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2D531" w14:textId="77777777" w:rsidR="00EA4751" w:rsidRPr="0003076C" w:rsidRDefault="00EA4751">
      <w:pPr>
        <w:jc w:val="right"/>
        <w:rPr>
          <w:rFonts w:ascii="Arial" w:hAnsi="Arial" w:cs="Arial"/>
          <w:b/>
          <w:sz w:val="48"/>
          <w:szCs w:val="48"/>
        </w:rPr>
      </w:pPr>
      <w:bookmarkStart w:id="0" w:name="_Toc153189646"/>
      <w:r w:rsidRPr="0003076C">
        <w:rPr>
          <w:rFonts w:ascii="Arial" w:hAnsi="Arial" w:cs="Arial"/>
          <w:b/>
          <w:sz w:val="48"/>
          <w:szCs w:val="48"/>
        </w:rPr>
        <w:t xml:space="preserve">Work Paper </w:t>
      </w:r>
      <w:bookmarkEnd w:id="0"/>
      <w:r w:rsidRPr="0003076C">
        <w:rPr>
          <w:rFonts w:ascii="Arial" w:hAnsi="Arial" w:cs="Arial"/>
          <w:b/>
          <w:sz w:val="48"/>
          <w:szCs w:val="48"/>
        </w:rPr>
        <w:t>PGE</w:t>
      </w:r>
      <w:r w:rsidR="00004E7A" w:rsidRPr="0003076C">
        <w:rPr>
          <w:rFonts w:ascii="Arial" w:hAnsi="Arial" w:cs="Arial"/>
          <w:b/>
          <w:sz w:val="48"/>
          <w:szCs w:val="48"/>
        </w:rPr>
        <w:t>CO</w:t>
      </w:r>
      <w:r w:rsidRPr="0003076C">
        <w:rPr>
          <w:rFonts w:ascii="Arial" w:hAnsi="Arial" w:cs="Arial"/>
          <w:b/>
          <w:sz w:val="48"/>
          <w:szCs w:val="48"/>
        </w:rPr>
        <w:t>LTG</w:t>
      </w:r>
      <w:r w:rsidR="00E5371A" w:rsidRPr="0003076C">
        <w:rPr>
          <w:rFonts w:ascii="Arial" w:hAnsi="Arial" w:cs="Arial"/>
          <w:b/>
          <w:sz w:val="48"/>
          <w:szCs w:val="48"/>
        </w:rPr>
        <w:t>1</w:t>
      </w:r>
      <w:r w:rsidR="00973F4B" w:rsidRPr="0003076C">
        <w:rPr>
          <w:rFonts w:ascii="Arial" w:hAnsi="Arial" w:cs="Arial"/>
          <w:b/>
          <w:sz w:val="48"/>
          <w:szCs w:val="48"/>
        </w:rPr>
        <w:t>14</w:t>
      </w:r>
    </w:p>
    <w:p w14:paraId="4BF2D532" w14:textId="77777777" w:rsidR="00EA4751" w:rsidRPr="0003076C" w:rsidRDefault="00EA4751">
      <w:pPr>
        <w:jc w:val="right"/>
        <w:rPr>
          <w:rFonts w:ascii="Arial" w:hAnsi="Arial" w:cs="Arial"/>
          <w:b/>
          <w:sz w:val="48"/>
          <w:szCs w:val="48"/>
        </w:rPr>
      </w:pPr>
      <w:r w:rsidRPr="0003076C">
        <w:rPr>
          <w:rFonts w:ascii="Arial" w:hAnsi="Arial" w:cs="Arial"/>
          <w:b/>
          <w:sz w:val="48"/>
          <w:szCs w:val="48"/>
        </w:rPr>
        <w:t xml:space="preserve"> </w:t>
      </w:r>
      <w:r w:rsidR="00E5371A" w:rsidRPr="0003076C">
        <w:rPr>
          <w:rFonts w:ascii="Arial" w:hAnsi="Arial" w:cs="Arial"/>
          <w:b/>
          <w:sz w:val="48"/>
          <w:szCs w:val="48"/>
        </w:rPr>
        <w:t xml:space="preserve">Linear Fluorescent </w:t>
      </w:r>
      <w:r w:rsidR="00973F4B" w:rsidRPr="0003076C">
        <w:rPr>
          <w:rFonts w:ascii="Arial" w:hAnsi="Arial" w:cs="Arial"/>
          <w:b/>
          <w:sz w:val="48"/>
          <w:szCs w:val="48"/>
        </w:rPr>
        <w:t>Interior Fixture</w:t>
      </w:r>
    </w:p>
    <w:p w14:paraId="4BF2D533" w14:textId="7B21B799" w:rsidR="00EA4751" w:rsidRDefault="00EA4751">
      <w:pPr>
        <w:jc w:val="right"/>
        <w:rPr>
          <w:rFonts w:ascii="Arial" w:hAnsi="Arial" w:cs="Arial"/>
          <w:b/>
          <w:sz w:val="48"/>
          <w:szCs w:val="48"/>
        </w:rPr>
      </w:pPr>
      <w:bookmarkStart w:id="1" w:name="_Toc153189647"/>
      <w:r w:rsidRPr="0003076C">
        <w:rPr>
          <w:rFonts w:ascii="Arial" w:hAnsi="Arial" w:cs="Arial"/>
          <w:b/>
          <w:sz w:val="48"/>
          <w:szCs w:val="48"/>
        </w:rPr>
        <w:t xml:space="preserve">Revision </w:t>
      </w:r>
      <w:bookmarkEnd w:id="1"/>
      <w:r w:rsidR="006E0732">
        <w:rPr>
          <w:rFonts w:ascii="Arial" w:hAnsi="Arial" w:cs="Arial"/>
          <w:b/>
          <w:sz w:val="48"/>
          <w:szCs w:val="48"/>
        </w:rPr>
        <w:t>7</w:t>
      </w:r>
    </w:p>
    <w:p w14:paraId="586CA4D9" w14:textId="77777777" w:rsidR="006E0732" w:rsidRPr="0003076C" w:rsidRDefault="006E0732">
      <w:pPr>
        <w:jc w:val="right"/>
        <w:rPr>
          <w:rFonts w:ascii="Arial" w:hAnsi="Arial" w:cs="Arial"/>
          <w:b/>
          <w:sz w:val="48"/>
          <w:szCs w:val="48"/>
        </w:rPr>
      </w:pPr>
    </w:p>
    <w:p w14:paraId="4BF2D534" w14:textId="77777777" w:rsidR="00EA4751" w:rsidRPr="0003076C" w:rsidRDefault="00EA4751"/>
    <w:p w14:paraId="4BF2D535" w14:textId="77777777" w:rsidR="00EA4751" w:rsidRPr="0003076C" w:rsidRDefault="00EA4751">
      <w:pPr>
        <w:pBdr>
          <w:bottom w:val="single" w:sz="4" w:space="1" w:color="auto"/>
        </w:pBdr>
        <w:rPr>
          <w:rFonts w:ascii="Arial" w:hAnsi="Arial" w:cs="Arial"/>
          <w:b/>
          <w:sz w:val="36"/>
          <w:szCs w:val="36"/>
        </w:rPr>
      </w:pPr>
      <w:r w:rsidRPr="0003076C">
        <w:rPr>
          <w:rFonts w:ascii="Arial" w:hAnsi="Arial" w:cs="Arial"/>
          <w:b/>
          <w:sz w:val="36"/>
          <w:szCs w:val="36"/>
        </w:rPr>
        <w:t>Pacific Gas &amp; Electric Company</w:t>
      </w:r>
    </w:p>
    <w:p w14:paraId="4BF2D536" w14:textId="77777777" w:rsidR="00EA4751" w:rsidRPr="0003076C" w:rsidRDefault="00EA4751">
      <w:pPr>
        <w:rPr>
          <w:rFonts w:ascii="Arial" w:hAnsi="Arial" w:cs="Arial"/>
          <w:b/>
          <w:sz w:val="32"/>
          <w:szCs w:val="32"/>
        </w:rPr>
      </w:pPr>
      <w:r w:rsidRPr="0003076C">
        <w:rPr>
          <w:rFonts w:ascii="Arial" w:hAnsi="Arial" w:cs="Arial"/>
          <w:b/>
          <w:sz w:val="32"/>
          <w:szCs w:val="32"/>
        </w:rPr>
        <w:t>Customer Energy Efficiency Department</w:t>
      </w:r>
    </w:p>
    <w:p w14:paraId="4BF2D537" w14:textId="77777777" w:rsidR="00EA4751" w:rsidRPr="0003076C" w:rsidRDefault="00EA4751"/>
    <w:p w14:paraId="4BF2D53A" w14:textId="77777777" w:rsidR="0003076C" w:rsidRDefault="0003076C">
      <w:pPr>
        <w:ind w:right="-720"/>
        <w:rPr>
          <w:rFonts w:ascii="Arial" w:hAnsi="Arial" w:cs="Arial"/>
          <w:b/>
          <w:sz w:val="72"/>
          <w:szCs w:val="72"/>
        </w:rPr>
      </w:pPr>
    </w:p>
    <w:p w14:paraId="4BF2D53C" w14:textId="6BD28621" w:rsidR="00EA4751" w:rsidRPr="0003076C" w:rsidRDefault="0074220A">
      <w:pPr>
        <w:ind w:right="-720"/>
        <w:rPr>
          <w:rFonts w:ascii="Arial" w:hAnsi="Arial" w:cs="Arial"/>
          <w:b/>
          <w:sz w:val="72"/>
          <w:szCs w:val="72"/>
        </w:rPr>
      </w:pPr>
      <w:r w:rsidRPr="00FF7DDB">
        <w:rPr>
          <w:rFonts w:ascii="Arial" w:hAnsi="Arial" w:cs="Arial"/>
          <w:b/>
          <w:sz w:val="56"/>
          <w:szCs w:val="72"/>
        </w:rPr>
        <w:t>Non Residential</w:t>
      </w:r>
      <w:r w:rsidR="00511D24" w:rsidRPr="00FF7DDB">
        <w:rPr>
          <w:rFonts w:ascii="Arial" w:hAnsi="Arial" w:cs="Arial"/>
          <w:b/>
          <w:sz w:val="56"/>
          <w:szCs w:val="72"/>
        </w:rPr>
        <w:t xml:space="preserve"> Interior</w:t>
      </w:r>
      <w:r w:rsidR="00F7631C" w:rsidRPr="00FF7DDB">
        <w:rPr>
          <w:rFonts w:ascii="Arial" w:hAnsi="Arial" w:cs="Arial"/>
          <w:b/>
          <w:sz w:val="56"/>
          <w:szCs w:val="72"/>
        </w:rPr>
        <w:t xml:space="preserve"> High </w:t>
      </w:r>
      <w:r w:rsidR="00FF7DDB">
        <w:rPr>
          <w:rFonts w:ascii="Arial" w:hAnsi="Arial" w:cs="Arial"/>
          <w:b/>
          <w:sz w:val="56"/>
          <w:szCs w:val="72"/>
        </w:rPr>
        <w:t>P</w:t>
      </w:r>
      <w:r w:rsidR="00F7631C" w:rsidRPr="00FF7DDB">
        <w:rPr>
          <w:rFonts w:ascii="Arial" w:hAnsi="Arial" w:cs="Arial"/>
          <w:b/>
          <w:sz w:val="56"/>
          <w:szCs w:val="72"/>
        </w:rPr>
        <w:t>erformance</w:t>
      </w:r>
      <w:r w:rsidR="00FF7DDB">
        <w:rPr>
          <w:rFonts w:ascii="Arial" w:hAnsi="Arial" w:cs="Arial"/>
          <w:b/>
          <w:sz w:val="56"/>
          <w:szCs w:val="72"/>
        </w:rPr>
        <w:t xml:space="preserve"> </w:t>
      </w:r>
      <w:r w:rsidR="00E5371A" w:rsidRPr="00FF7DDB">
        <w:rPr>
          <w:rFonts w:ascii="Arial" w:hAnsi="Arial" w:cs="Arial"/>
          <w:b/>
          <w:sz w:val="56"/>
          <w:szCs w:val="72"/>
        </w:rPr>
        <w:t xml:space="preserve">Linear Fluorescent </w:t>
      </w:r>
      <w:r w:rsidR="00973F4B" w:rsidRPr="00FF7DDB">
        <w:rPr>
          <w:rFonts w:ascii="Arial" w:hAnsi="Arial" w:cs="Arial"/>
          <w:b/>
          <w:sz w:val="56"/>
          <w:szCs w:val="72"/>
        </w:rPr>
        <w:t>Fixture</w:t>
      </w:r>
      <w:r w:rsidR="00294B9A" w:rsidRPr="00FF7DDB">
        <w:rPr>
          <w:rFonts w:ascii="Arial" w:hAnsi="Arial" w:cs="Arial"/>
          <w:b/>
          <w:sz w:val="56"/>
          <w:szCs w:val="72"/>
        </w:rPr>
        <w:t>s</w:t>
      </w:r>
      <w:r w:rsidR="00912CFF" w:rsidRPr="00FF7DDB">
        <w:rPr>
          <w:rFonts w:ascii="Arial" w:hAnsi="Arial" w:cs="Arial"/>
          <w:b/>
          <w:sz w:val="56"/>
          <w:szCs w:val="72"/>
        </w:rPr>
        <w:t xml:space="preserve"> </w:t>
      </w:r>
      <w:r w:rsidR="00F7631C" w:rsidRPr="00FF7DDB">
        <w:rPr>
          <w:rFonts w:ascii="Arial" w:hAnsi="Arial" w:cs="Arial"/>
          <w:b/>
          <w:sz w:val="56"/>
          <w:szCs w:val="72"/>
        </w:rPr>
        <w:t>with NEMA Premium HE Ballast</w:t>
      </w:r>
    </w:p>
    <w:p w14:paraId="4BF2D53D" w14:textId="34EC5643" w:rsidR="00EA4751" w:rsidRPr="0003076C" w:rsidRDefault="00BF2D9A" w:rsidP="0041595A">
      <w:pPr>
        <w:ind w:right="-720"/>
        <w:rPr>
          <w:rFonts w:ascii="Arial" w:hAnsi="Arial" w:cs="Arial"/>
          <w:b/>
        </w:rPr>
      </w:pPr>
      <w:r>
        <w:rPr>
          <w:rFonts w:ascii="Arial" w:hAnsi="Arial" w:cs="Arial"/>
          <w:b/>
        </w:rPr>
        <w:t xml:space="preserve">Measure Codes </w:t>
      </w:r>
      <w:r w:rsidR="00F77F68">
        <w:rPr>
          <w:rFonts w:ascii="Arial" w:hAnsi="Arial" w:cs="Arial"/>
          <w:b/>
        </w:rPr>
        <w:t>LT001, LT002, LT003, LT004, LT005, LT006</w:t>
      </w:r>
    </w:p>
    <w:p w14:paraId="4BF2D53E" w14:textId="77777777" w:rsidR="00AE623E" w:rsidRDefault="00AE623E" w:rsidP="0041595A">
      <w:pPr>
        <w:ind w:right="-720"/>
        <w:rPr>
          <w:rFonts w:ascii="Arial" w:hAnsi="Arial" w:cs="Arial"/>
          <w:b/>
          <w:color w:val="FF0000"/>
        </w:rPr>
      </w:pPr>
    </w:p>
    <w:p w14:paraId="4BF2D53F" w14:textId="77777777" w:rsidR="00AE623E" w:rsidRDefault="00AE623E" w:rsidP="0041595A">
      <w:pPr>
        <w:ind w:right="-720"/>
        <w:rPr>
          <w:rFonts w:ascii="Arial" w:hAnsi="Arial" w:cs="Arial"/>
          <w:b/>
          <w:color w:val="FF0000"/>
        </w:rPr>
      </w:pPr>
    </w:p>
    <w:p w14:paraId="4BF2D540" w14:textId="77777777" w:rsidR="00CF13E8" w:rsidRDefault="00CF13E8" w:rsidP="0041595A">
      <w:pPr>
        <w:ind w:right="-720"/>
        <w:rPr>
          <w:rFonts w:ascii="Arial" w:hAnsi="Arial" w:cs="Arial"/>
          <w:b/>
          <w:color w:val="FF0000"/>
        </w:rPr>
      </w:pPr>
    </w:p>
    <w:p w14:paraId="4BF2D541" w14:textId="77777777" w:rsidR="00CF13E8" w:rsidRDefault="00CF13E8" w:rsidP="0041595A">
      <w:pPr>
        <w:ind w:right="-720"/>
        <w:rPr>
          <w:rFonts w:ascii="Arial" w:hAnsi="Arial" w:cs="Arial"/>
          <w:b/>
          <w:color w:val="FF0000"/>
        </w:rPr>
      </w:pPr>
    </w:p>
    <w:p w14:paraId="4BF2D542" w14:textId="77777777" w:rsidR="00CF13E8" w:rsidRDefault="00CF13E8" w:rsidP="0041595A">
      <w:pPr>
        <w:ind w:right="-720"/>
        <w:rPr>
          <w:rFonts w:ascii="Arial" w:hAnsi="Arial" w:cs="Arial"/>
          <w:b/>
          <w:color w:val="FF0000"/>
        </w:rPr>
      </w:pPr>
    </w:p>
    <w:p w14:paraId="4BF2D543" w14:textId="77777777" w:rsidR="00CF13E8" w:rsidRDefault="00CF13E8" w:rsidP="0041595A">
      <w:pPr>
        <w:ind w:right="-720"/>
        <w:rPr>
          <w:rFonts w:ascii="Arial" w:hAnsi="Arial" w:cs="Arial"/>
          <w:b/>
          <w:color w:val="FF0000"/>
        </w:rPr>
      </w:pPr>
    </w:p>
    <w:p w14:paraId="4BF2D544" w14:textId="77777777" w:rsidR="00CF13E8" w:rsidRDefault="00CF13E8" w:rsidP="0041595A">
      <w:pPr>
        <w:ind w:right="-720"/>
        <w:rPr>
          <w:rFonts w:ascii="Arial" w:hAnsi="Arial" w:cs="Arial"/>
          <w:b/>
          <w:color w:val="FF0000"/>
        </w:rPr>
      </w:pPr>
    </w:p>
    <w:p w14:paraId="4BF2D545" w14:textId="77777777" w:rsidR="00CF13E8" w:rsidRDefault="00CF13E8" w:rsidP="0041595A">
      <w:pPr>
        <w:ind w:right="-720"/>
        <w:rPr>
          <w:rFonts w:ascii="Arial" w:hAnsi="Arial" w:cs="Arial"/>
          <w:b/>
          <w:color w:val="FF0000"/>
        </w:rPr>
      </w:pPr>
    </w:p>
    <w:p w14:paraId="4BF2D546" w14:textId="77777777" w:rsidR="00CF13E8" w:rsidRDefault="00CF13E8" w:rsidP="0041595A">
      <w:pPr>
        <w:ind w:right="-720"/>
        <w:rPr>
          <w:rFonts w:ascii="Arial" w:hAnsi="Arial" w:cs="Arial"/>
          <w:b/>
          <w:color w:val="FF0000"/>
        </w:rPr>
      </w:pPr>
    </w:p>
    <w:p w14:paraId="4BF2D547" w14:textId="77777777" w:rsidR="00CF13E8" w:rsidRDefault="00CF13E8" w:rsidP="0041595A">
      <w:pPr>
        <w:ind w:right="-720"/>
        <w:rPr>
          <w:rFonts w:ascii="Arial" w:hAnsi="Arial" w:cs="Arial"/>
          <w:b/>
          <w:color w:val="FF0000"/>
        </w:rPr>
      </w:pPr>
    </w:p>
    <w:p w14:paraId="4BF2D548" w14:textId="77777777" w:rsidR="00CF13E8" w:rsidRDefault="00CF13E8" w:rsidP="0041595A">
      <w:pPr>
        <w:ind w:right="-720"/>
        <w:rPr>
          <w:rFonts w:ascii="Arial" w:hAnsi="Arial" w:cs="Arial"/>
          <w:b/>
          <w:color w:val="FF0000"/>
        </w:rPr>
      </w:pPr>
    </w:p>
    <w:p w14:paraId="4BF2D549" w14:textId="77777777" w:rsidR="00CF13E8" w:rsidRDefault="00CF13E8" w:rsidP="0041595A">
      <w:pPr>
        <w:ind w:right="-720"/>
        <w:rPr>
          <w:rFonts w:ascii="Arial" w:hAnsi="Arial" w:cs="Arial"/>
          <w:b/>
          <w:color w:val="FF0000"/>
        </w:rPr>
      </w:pPr>
    </w:p>
    <w:p w14:paraId="4BF2D54A" w14:textId="77777777" w:rsidR="00CF13E8" w:rsidRDefault="00CF13E8" w:rsidP="0041595A">
      <w:pPr>
        <w:ind w:right="-720"/>
        <w:rPr>
          <w:rFonts w:ascii="Arial" w:hAnsi="Arial" w:cs="Arial"/>
          <w:b/>
          <w:color w:val="FF0000"/>
        </w:rPr>
      </w:pPr>
    </w:p>
    <w:p w14:paraId="4BF2D54B" w14:textId="77777777" w:rsidR="00CF13E8" w:rsidRDefault="00CF13E8" w:rsidP="0041595A">
      <w:pPr>
        <w:ind w:right="-720"/>
        <w:rPr>
          <w:rFonts w:ascii="Arial" w:hAnsi="Arial" w:cs="Arial"/>
          <w:b/>
          <w:color w:val="FF0000"/>
        </w:rPr>
      </w:pPr>
    </w:p>
    <w:p w14:paraId="4BF2D54C" w14:textId="77777777" w:rsidR="00AE623E" w:rsidRPr="0041595A" w:rsidRDefault="00AE623E" w:rsidP="0041595A">
      <w:pPr>
        <w:ind w:right="-720"/>
        <w:rPr>
          <w:rFonts w:ascii="Arial" w:hAnsi="Arial" w:cs="Arial"/>
          <w:b/>
          <w:color w:val="FF0000"/>
        </w:rPr>
        <w:sectPr w:rsidR="00AE623E" w:rsidRPr="0041595A" w:rsidSect="006E0732">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440" w:bottom="1440" w:left="1440" w:header="720" w:footer="720" w:gutter="0"/>
          <w:pgNumType w:fmt="lowerRoman"/>
          <w:cols w:space="720"/>
          <w:titlePg/>
          <w:docGrid w:linePitch="360"/>
        </w:sectPr>
      </w:pPr>
    </w:p>
    <w:p w14:paraId="4BF2D54D" w14:textId="53C9A304" w:rsidR="00EA4751" w:rsidRDefault="00EA4751">
      <w:pPr>
        <w:pStyle w:val="Heading1"/>
      </w:pPr>
      <w:bookmarkStart w:id="2" w:name="_Toc438526146"/>
      <w:r>
        <w:lastRenderedPageBreak/>
        <w:t>At-a-Glance Summary</w:t>
      </w:r>
      <w:bookmarkEnd w:id="2"/>
    </w:p>
    <w:tbl>
      <w:tblPr>
        <w:tblW w:w="5000" w:type="pct"/>
        <w:tblBorders>
          <w:insideH w:val="single" w:sz="18" w:space="0" w:color="FFFFFF"/>
          <w:insideV w:val="single" w:sz="18" w:space="0" w:color="FFFFFF"/>
        </w:tblBorders>
        <w:tblLayout w:type="fixed"/>
        <w:tblLook w:val="01E0" w:firstRow="1" w:lastRow="1" w:firstColumn="1" w:lastColumn="1" w:noHBand="0" w:noVBand="0"/>
      </w:tblPr>
      <w:tblGrid>
        <w:gridCol w:w="2540"/>
        <w:gridCol w:w="1172"/>
        <w:gridCol w:w="1172"/>
        <w:gridCol w:w="1172"/>
        <w:gridCol w:w="1172"/>
        <w:gridCol w:w="1172"/>
        <w:gridCol w:w="1176"/>
      </w:tblGrid>
      <w:tr w:rsidR="006E0732" w:rsidRPr="006E0732" w14:paraId="4BF2D555" w14:textId="77777777" w:rsidTr="006E0732">
        <w:trPr>
          <w:trHeight w:val="462"/>
        </w:trPr>
        <w:tc>
          <w:tcPr>
            <w:tcW w:w="1326" w:type="pct"/>
            <w:shd w:val="pct20" w:color="000000" w:fill="FFFFFF"/>
          </w:tcPr>
          <w:p w14:paraId="4BF2D54E" w14:textId="77777777" w:rsidR="0043294F" w:rsidRPr="00721359" w:rsidRDefault="0043294F">
            <w:pPr>
              <w:rPr>
                <w:rFonts w:ascii="Arial" w:hAnsi="Arial" w:cs="Arial"/>
                <w:b/>
                <w:sz w:val="20"/>
                <w:szCs w:val="20"/>
              </w:rPr>
            </w:pPr>
            <w:r w:rsidRPr="00721359">
              <w:rPr>
                <w:rFonts w:ascii="Arial" w:hAnsi="Arial" w:cs="Arial"/>
                <w:b/>
                <w:sz w:val="20"/>
                <w:szCs w:val="20"/>
              </w:rPr>
              <w:t>Applicable Measure Codes:</w:t>
            </w:r>
          </w:p>
        </w:tc>
        <w:tc>
          <w:tcPr>
            <w:tcW w:w="612" w:type="pct"/>
            <w:shd w:val="pct20" w:color="000000" w:fill="FFFFFF"/>
            <w:vAlign w:val="center"/>
          </w:tcPr>
          <w:p w14:paraId="4BF2D54F" w14:textId="47F05276" w:rsidR="0043294F" w:rsidRPr="00721359" w:rsidRDefault="00F02EC6" w:rsidP="00B50BF3">
            <w:pPr>
              <w:jc w:val="center"/>
              <w:rPr>
                <w:rFonts w:ascii="Arial" w:hAnsi="Arial" w:cs="Arial"/>
                <w:b/>
                <w:sz w:val="20"/>
                <w:szCs w:val="20"/>
              </w:rPr>
            </w:pPr>
            <w:r w:rsidRPr="00721359">
              <w:rPr>
                <w:rFonts w:ascii="Arial" w:hAnsi="Arial" w:cs="Arial"/>
                <w:b/>
                <w:sz w:val="20"/>
                <w:szCs w:val="20"/>
              </w:rPr>
              <w:t>L</w:t>
            </w:r>
            <w:r w:rsidR="00B50BF3" w:rsidRPr="00721359">
              <w:rPr>
                <w:rFonts w:ascii="Arial" w:hAnsi="Arial" w:cs="Arial"/>
                <w:b/>
                <w:sz w:val="20"/>
                <w:szCs w:val="20"/>
              </w:rPr>
              <w:t>T001</w:t>
            </w:r>
          </w:p>
        </w:tc>
        <w:tc>
          <w:tcPr>
            <w:tcW w:w="612" w:type="pct"/>
            <w:shd w:val="pct20" w:color="000000" w:fill="FFFFFF"/>
            <w:vAlign w:val="center"/>
          </w:tcPr>
          <w:p w14:paraId="4BF2D550" w14:textId="14E8CD13" w:rsidR="0043294F" w:rsidRPr="00721359" w:rsidRDefault="00F02EC6" w:rsidP="00B50BF3">
            <w:pPr>
              <w:jc w:val="center"/>
              <w:rPr>
                <w:rFonts w:ascii="Arial" w:hAnsi="Arial" w:cs="Arial"/>
                <w:b/>
                <w:sz w:val="20"/>
                <w:szCs w:val="20"/>
              </w:rPr>
            </w:pPr>
            <w:r w:rsidRPr="00721359">
              <w:rPr>
                <w:rFonts w:ascii="Arial" w:hAnsi="Arial" w:cs="Arial"/>
                <w:b/>
                <w:sz w:val="20"/>
                <w:szCs w:val="20"/>
              </w:rPr>
              <w:t>L</w:t>
            </w:r>
            <w:r w:rsidR="00B50BF3" w:rsidRPr="00721359">
              <w:rPr>
                <w:rFonts w:ascii="Arial" w:hAnsi="Arial" w:cs="Arial"/>
                <w:b/>
                <w:sz w:val="20"/>
                <w:szCs w:val="20"/>
              </w:rPr>
              <w:t>T002</w:t>
            </w:r>
          </w:p>
        </w:tc>
        <w:tc>
          <w:tcPr>
            <w:tcW w:w="612" w:type="pct"/>
            <w:shd w:val="pct20" w:color="000000" w:fill="FFFFFF"/>
            <w:vAlign w:val="center"/>
          </w:tcPr>
          <w:p w14:paraId="4BF2D551" w14:textId="7C0A07A4" w:rsidR="0043294F" w:rsidRPr="00721359" w:rsidRDefault="00F02EC6" w:rsidP="00B50BF3">
            <w:pPr>
              <w:jc w:val="center"/>
              <w:rPr>
                <w:rFonts w:ascii="Arial" w:hAnsi="Arial" w:cs="Arial"/>
                <w:b/>
                <w:sz w:val="20"/>
                <w:szCs w:val="20"/>
              </w:rPr>
            </w:pPr>
            <w:r w:rsidRPr="00721359">
              <w:rPr>
                <w:rFonts w:ascii="Arial" w:hAnsi="Arial" w:cs="Arial"/>
                <w:b/>
                <w:sz w:val="20"/>
                <w:szCs w:val="20"/>
              </w:rPr>
              <w:t>L</w:t>
            </w:r>
            <w:r w:rsidR="00B50BF3" w:rsidRPr="00721359">
              <w:rPr>
                <w:rFonts w:ascii="Arial" w:hAnsi="Arial" w:cs="Arial"/>
                <w:b/>
                <w:sz w:val="20"/>
                <w:szCs w:val="20"/>
              </w:rPr>
              <w:t>T003</w:t>
            </w:r>
          </w:p>
        </w:tc>
        <w:tc>
          <w:tcPr>
            <w:tcW w:w="612" w:type="pct"/>
            <w:shd w:val="pct20" w:color="000000" w:fill="FFFFFF"/>
            <w:vAlign w:val="center"/>
          </w:tcPr>
          <w:p w14:paraId="4BF2D552" w14:textId="0C7A7557" w:rsidR="0043294F" w:rsidRPr="00721359" w:rsidRDefault="00F02EC6" w:rsidP="00B50BF3">
            <w:pPr>
              <w:jc w:val="center"/>
              <w:rPr>
                <w:rFonts w:ascii="Arial" w:hAnsi="Arial" w:cs="Arial"/>
                <w:b/>
                <w:sz w:val="20"/>
                <w:szCs w:val="20"/>
              </w:rPr>
            </w:pPr>
            <w:r w:rsidRPr="00721359">
              <w:rPr>
                <w:rFonts w:ascii="Arial" w:hAnsi="Arial" w:cs="Arial"/>
                <w:b/>
                <w:sz w:val="20"/>
                <w:szCs w:val="20"/>
              </w:rPr>
              <w:t>L</w:t>
            </w:r>
            <w:r w:rsidR="00B50BF3" w:rsidRPr="00721359">
              <w:rPr>
                <w:rFonts w:ascii="Arial" w:hAnsi="Arial" w:cs="Arial"/>
                <w:b/>
                <w:sz w:val="20"/>
                <w:szCs w:val="20"/>
              </w:rPr>
              <w:t>T004</w:t>
            </w:r>
          </w:p>
        </w:tc>
        <w:tc>
          <w:tcPr>
            <w:tcW w:w="612" w:type="pct"/>
            <w:shd w:val="pct20" w:color="000000" w:fill="FFFFFF"/>
            <w:vAlign w:val="center"/>
          </w:tcPr>
          <w:p w14:paraId="4BF2D553" w14:textId="44CD9F80" w:rsidR="0043294F" w:rsidRPr="00721359" w:rsidRDefault="00F02EC6" w:rsidP="00B50BF3">
            <w:pPr>
              <w:jc w:val="center"/>
              <w:rPr>
                <w:rFonts w:ascii="Arial" w:hAnsi="Arial" w:cs="Arial"/>
                <w:b/>
                <w:sz w:val="20"/>
                <w:szCs w:val="20"/>
              </w:rPr>
            </w:pPr>
            <w:r w:rsidRPr="00721359">
              <w:rPr>
                <w:rFonts w:ascii="Arial" w:hAnsi="Arial" w:cs="Arial"/>
                <w:b/>
                <w:sz w:val="20"/>
                <w:szCs w:val="20"/>
              </w:rPr>
              <w:t>L</w:t>
            </w:r>
            <w:r w:rsidR="00074402" w:rsidRPr="00721359">
              <w:rPr>
                <w:rFonts w:ascii="Arial" w:hAnsi="Arial" w:cs="Arial"/>
                <w:b/>
                <w:sz w:val="20"/>
                <w:szCs w:val="20"/>
              </w:rPr>
              <w:t>1</w:t>
            </w:r>
            <w:r w:rsidR="00B50BF3" w:rsidRPr="00721359">
              <w:rPr>
                <w:rFonts w:ascii="Arial" w:hAnsi="Arial" w:cs="Arial"/>
                <w:b/>
                <w:sz w:val="20"/>
                <w:szCs w:val="20"/>
              </w:rPr>
              <w:t>T005</w:t>
            </w:r>
          </w:p>
        </w:tc>
        <w:tc>
          <w:tcPr>
            <w:tcW w:w="612" w:type="pct"/>
            <w:shd w:val="pct20" w:color="000000" w:fill="FFFFFF"/>
            <w:vAlign w:val="center"/>
          </w:tcPr>
          <w:p w14:paraId="4BF2D554" w14:textId="2AB08691" w:rsidR="0043294F" w:rsidRPr="00721359" w:rsidRDefault="00F02EC6" w:rsidP="00B50BF3">
            <w:pPr>
              <w:jc w:val="center"/>
              <w:rPr>
                <w:rFonts w:ascii="Arial" w:hAnsi="Arial" w:cs="Arial"/>
                <w:b/>
                <w:sz w:val="20"/>
                <w:szCs w:val="20"/>
              </w:rPr>
            </w:pPr>
            <w:r w:rsidRPr="00721359">
              <w:rPr>
                <w:rFonts w:ascii="Arial" w:hAnsi="Arial" w:cs="Arial"/>
                <w:b/>
                <w:sz w:val="20"/>
                <w:szCs w:val="20"/>
              </w:rPr>
              <w:t>L</w:t>
            </w:r>
            <w:r w:rsidR="00B50BF3" w:rsidRPr="00721359">
              <w:rPr>
                <w:rFonts w:ascii="Arial" w:hAnsi="Arial" w:cs="Arial"/>
                <w:b/>
                <w:sz w:val="20"/>
                <w:szCs w:val="20"/>
              </w:rPr>
              <w:t>T006</w:t>
            </w:r>
          </w:p>
        </w:tc>
      </w:tr>
      <w:tr w:rsidR="00287DAE" w:rsidRPr="006E0732" w14:paraId="4BF2D559" w14:textId="77777777" w:rsidTr="006E0732">
        <w:trPr>
          <w:trHeight w:val="462"/>
        </w:trPr>
        <w:tc>
          <w:tcPr>
            <w:tcW w:w="1326" w:type="pct"/>
            <w:vMerge w:val="restart"/>
            <w:shd w:val="pct5" w:color="000000" w:fill="FFFFFF"/>
          </w:tcPr>
          <w:p w14:paraId="4BF2D556" w14:textId="77777777" w:rsidR="00287DAE" w:rsidRPr="00721359" w:rsidRDefault="00287DAE" w:rsidP="00FF08D7">
            <w:pPr>
              <w:ind w:left="72" w:hanging="72"/>
              <w:rPr>
                <w:rFonts w:ascii="Arial" w:hAnsi="Arial" w:cs="Arial"/>
                <w:b/>
                <w:sz w:val="20"/>
                <w:szCs w:val="20"/>
              </w:rPr>
            </w:pPr>
            <w:r w:rsidRPr="00721359">
              <w:rPr>
                <w:rFonts w:ascii="Arial" w:hAnsi="Arial" w:cs="Arial"/>
                <w:b/>
                <w:sz w:val="20"/>
                <w:szCs w:val="20"/>
              </w:rPr>
              <w:t>Measure</w:t>
            </w:r>
          </w:p>
          <w:p w14:paraId="4BF2D557" w14:textId="77777777" w:rsidR="00287DAE" w:rsidRPr="00721359" w:rsidRDefault="00287DAE" w:rsidP="00FF08D7">
            <w:pPr>
              <w:ind w:left="72" w:hanging="72"/>
              <w:rPr>
                <w:rFonts w:ascii="Arial" w:hAnsi="Arial" w:cs="Arial"/>
                <w:b/>
                <w:sz w:val="20"/>
                <w:szCs w:val="20"/>
              </w:rPr>
            </w:pPr>
            <w:r w:rsidRPr="00721359">
              <w:rPr>
                <w:rFonts w:ascii="Arial" w:hAnsi="Arial" w:cs="Arial"/>
                <w:b/>
                <w:sz w:val="20"/>
                <w:szCs w:val="20"/>
              </w:rPr>
              <w:t xml:space="preserve">Description: </w:t>
            </w:r>
          </w:p>
        </w:tc>
        <w:tc>
          <w:tcPr>
            <w:tcW w:w="3674" w:type="pct"/>
            <w:gridSpan w:val="6"/>
            <w:tcBorders>
              <w:bottom w:val="single" w:sz="18" w:space="0" w:color="FFFFFF"/>
            </w:tcBorders>
            <w:shd w:val="pct5" w:color="000000" w:fill="FFFFFF"/>
          </w:tcPr>
          <w:p w14:paraId="4BF2D558" w14:textId="77777777" w:rsidR="00287DAE" w:rsidRPr="00721359" w:rsidRDefault="00287DAE" w:rsidP="007A0988">
            <w:pPr>
              <w:rPr>
                <w:rFonts w:ascii="Arial" w:hAnsi="Arial" w:cs="Arial"/>
                <w:sz w:val="20"/>
                <w:szCs w:val="20"/>
              </w:rPr>
            </w:pPr>
            <w:r w:rsidRPr="00721359">
              <w:rPr>
                <w:rFonts w:ascii="Arial" w:hAnsi="Arial" w:cs="Arial"/>
                <w:sz w:val="20"/>
                <w:szCs w:val="20"/>
              </w:rPr>
              <w:t xml:space="preserve">Replace, one-for-one, existing incandescent, mercury vapor, </w:t>
            </w:r>
            <w:r w:rsidRPr="00721359">
              <w:rPr>
                <w:rFonts w:ascii="Arial" w:hAnsi="Arial" w:cs="Arial"/>
                <w:color w:val="231F20"/>
                <w:sz w:val="20"/>
                <w:szCs w:val="20"/>
              </w:rPr>
              <w:t xml:space="preserve"> </w:t>
            </w:r>
            <w:r w:rsidRPr="00721359">
              <w:rPr>
                <w:rFonts w:ascii="Arial" w:hAnsi="Arial" w:cs="Arial"/>
                <w:sz w:val="20"/>
                <w:szCs w:val="20"/>
              </w:rPr>
              <w:t>standard metal halide or high pressure sodium fixtures in interior applications with complete high performance, HP T8 lamp/fixture and NEMA premium Hi-Efficiency Ballast (identified as low ballast factor &lt;= 0.80), lower wattage than the fixture being replaced.</w:t>
            </w:r>
          </w:p>
        </w:tc>
      </w:tr>
      <w:tr w:rsidR="006E0732" w:rsidRPr="006E0732" w14:paraId="4BF2D561" w14:textId="77777777" w:rsidTr="006E0732">
        <w:trPr>
          <w:trHeight w:val="462"/>
        </w:trPr>
        <w:tc>
          <w:tcPr>
            <w:tcW w:w="1326" w:type="pct"/>
            <w:vMerge/>
            <w:tcBorders>
              <w:bottom w:val="single" w:sz="18" w:space="0" w:color="FFFFFF"/>
            </w:tcBorders>
            <w:shd w:val="pct5" w:color="000000" w:fill="FFFFFF"/>
          </w:tcPr>
          <w:p w14:paraId="4BF2D55A" w14:textId="77777777" w:rsidR="00287DAE" w:rsidRPr="00721359" w:rsidRDefault="00287DAE">
            <w:pPr>
              <w:rPr>
                <w:rFonts w:ascii="Arial" w:hAnsi="Arial" w:cs="Arial"/>
                <w:b/>
                <w:sz w:val="20"/>
                <w:szCs w:val="20"/>
              </w:rPr>
            </w:pPr>
          </w:p>
        </w:tc>
        <w:tc>
          <w:tcPr>
            <w:tcW w:w="612" w:type="pct"/>
            <w:tcBorders>
              <w:top w:val="single" w:sz="18" w:space="0" w:color="FFFFFF"/>
              <w:bottom w:val="single" w:sz="18" w:space="0" w:color="FFFFFF"/>
            </w:tcBorders>
            <w:shd w:val="pct5" w:color="000000" w:fill="FFFFFF"/>
          </w:tcPr>
          <w:p w14:paraId="4BF2D55B" w14:textId="2D6F0ED9" w:rsidR="00287DAE" w:rsidRPr="00721359" w:rsidRDefault="00B50BF3">
            <w:pPr>
              <w:rPr>
                <w:rFonts w:ascii="Arial" w:hAnsi="Arial" w:cs="Arial"/>
                <w:sz w:val="20"/>
                <w:szCs w:val="20"/>
              </w:rPr>
            </w:pPr>
            <w:r w:rsidRPr="00721359">
              <w:rPr>
                <w:rFonts w:ascii="Arial" w:hAnsi="Arial" w:cs="Arial"/>
                <w:sz w:val="20"/>
                <w:szCs w:val="20"/>
              </w:rPr>
              <w:t>&gt;585 Watt Lamp Base case, 352 to 585 Watt Replacement Fixture</w:t>
            </w:r>
          </w:p>
        </w:tc>
        <w:tc>
          <w:tcPr>
            <w:tcW w:w="612" w:type="pct"/>
            <w:tcBorders>
              <w:top w:val="single" w:sz="18" w:space="0" w:color="FFFFFF"/>
              <w:bottom w:val="single" w:sz="18" w:space="0" w:color="FFFFFF"/>
            </w:tcBorders>
            <w:shd w:val="pct5" w:color="000000" w:fill="FFFFFF"/>
          </w:tcPr>
          <w:p w14:paraId="4BF2D55C" w14:textId="18996F94" w:rsidR="00287DAE" w:rsidRPr="00721359" w:rsidRDefault="00B50BF3">
            <w:pPr>
              <w:rPr>
                <w:rFonts w:ascii="Arial" w:hAnsi="Arial" w:cs="Arial"/>
                <w:sz w:val="20"/>
                <w:szCs w:val="20"/>
              </w:rPr>
            </w:pPr>
            <w:r w:rsidRPr="00721359">
              <w:rPr>
                <w:rFonts w:ascii="Arial" w:hAnsi="Arial" w:cs="Arial"/>
                <w:sz w:val="20"/>
                <w:szCs w:val="20"/>
              </w:rPr>
              <w:t>&gt;351 Watt Lamp Base case, 235 to 351 Watt Replacement Fixture</w:t>
            </w:r>
          </w:p>
        </w:tc>
        <w:tc>
          <w:tcPr>
            <w:tcW w:w="612" w:type="pct"/>
            <w:tcBorders>
              <w:top w:val="single" w:sz="18" w:space="0" w:color="FFFFFF"/>
              <w:bottom w:val="single" w:sz="18" w:space="0" w:color="FFFFFF"/>
            </w:tcBorders>
            <w:shd w:val="pct5" w:color="000000" w:fill="FFFFFF"/>
          </w:tcPr>
          <w:p w14:paraId="4BF2D55D" w14:textId="515A44F3" w:rsidR="00287DAE" w:rsidRPr="00721359" w:rsidRDefault="00B50BF3">
            <w:pPr>
              <w:rPr>
                <w:rFonts w:ascii="Arial" w:hAnsi="Arial" w:cs="Arial"/>
                <w:sz w:val="20"/>
                <w:szCs w:val="20"/>
              </w:rPr>
            </w:pPr>
            <w:r w:rsidRPr="00721359">
              <w:rPr>
                <w:rFonts w:ascii="Arial" w:hAnsi="Arial" w:cs="Arial"/>
                <w:sz w:val="20"/>
                <w:szCs w:val="20"/>
              </w:rPr>
              <w:t>&gt;234 Watt Lamp Base case, 145 to 234 Watt Replacement Fixture</w:t>
            </w:r>
          </w:p>
        </w:tc>
        <w:tc>
          <w:tcPr>
            <w:tcW w:w="612" w:type="pct"/>
            <w:tcBorders>
              <w:top w:val="single" w:sz="18" w:space="0" w:color="FFFFFF"/>
              <w:bottom w:val="single" w:sz="18" w:space="0" w:color="FFFFFF"/>
            </w:tcBorders>
            <w:shd w:val="pct5" w:color="000000" w:fill="FFFFFF"/>
          </w:tcPr>
          <w:p w14:paraId="4BF2D55E" w14:textId="0F14035C" w:rsidR="00287DAE" w:rsidRPr="00721359" w:rsidRDefault="00B50BF3">
            <w:pPr>
              <w:rPr>
                <w:rFonts w:ascii="Arial" w:hAnsi="Arial" w:cs="Arial"/>
                <w:sz w:val="20"/>
                <w:szCs w:val="20"/>
              </w:rPr>
            </w:pPr>
            <w:r w:rsidRPr="00721359">
              <w:rPr>
                <w:rFonts w:ascii="Arial" w:hAnsi="Arial" w:cs="Arial"/>
                <w:sz w:val="20"/>
                <w:szCs w:val="20"/>
              </w:rPr>
              <w:t>&gt;144 Watt Lamp Base case, 119 to 144 Watt Replacement Fixture</w:t>
            </w:r>
          </w:p>
        </w:tc>
        <w:tc>
          <w:tcPr>
            <w:tcW w:w="612" w:type="pct"/>
            <w:tcBorders>
              <w:top w:val="single" w:sz="18" w:space="0" w:color="FFFFFF"/>
              <w:bottom w:val="single" w:sz="18" w:space="0" w:color="FFFFFF"/>
            </w:tcBorders>
            <w:shd w:val="pct5" w:color="000000" w:fill="FFFFFF"/>
          </w:tcPr>
          <w:p w14:paraId="4BF2D55F" w14:textId="0DD1952D" w:rsidR="00287DAE" w:rsidRPr="00721359" w:rsidRDefault="00B50BF3">
            <w:pPr>
              <w:rPr>
                <w:rFonts w:ascii="Arial" w:hAnsi="Arial" w:cs="Arial"/>
                <w:sz w:val="20"/>
                <w:szCs w:val="20"/>
              </w:rPr>
            </w:pPr>
            <w:r w:rsidRPr="00721359">
              <w:rPr>
                <w:rFonts w:ascii="Arial" w:hAnsi="Arial" w:cs="Arial"/>
                <w:sz w:val="20"/>
                <w:szCs w:val="20"/>
              </w:rPr>
              <w:t>&gt;118 Watt Lamp Base case, 65 to 118 Watt Replacement Fixture</w:t>
            </w:r>
          </w:p>
        </w:tc>
        <w:tc>
          <w:tcPr>
            <w:tcW w:w="612" w:type="pct"/>
            <w:tcBorders>
              <w:top w:val="single" w:sz="18" w:space="0" w:color="FFFFFF"/>
              <w:bottom w:val="single" w:sz="18" w:space="0" w:color="FFFFFF"/>
            </w:tcBorders>
            <w:shd w:val="pct5" w:color="000000" w:fill="FFFFFF"/>
          </w:tcPr>
          <w:p w14:paraId="4BF2D560" w14:textId="533CA94F" w:rsidR="00287DAE" w:rsidRPr="00721359" w:rsidRDefault="00B50BF3" w:rsidP="0092732B">
            <w:pPr>
              <w:rPr>
                <w:rFonts w:ascii="Arial" w:hAnsi="Arial" w:cs="Arial"/>
                <w:sz w:val="20"/>
                <w:szCs w:val="20"/>
              </w:rPr>
            </w:pPr>
            <w:r w:rsidRPr="00721359">
              <w:rPr>
                <w:rFonts w:ascii="Arial" w:hAnsi="Arial" w:cs="Arial"/>
                <w:sz w:val="20"/>
                <w:szCs w:val="20"/>
              </w:rPr>
              <w:t>&gt;64 Watt Lamp Base case, 0 to 64 Watt Replacement Fixture</w:t>
            </w:r>
          </w:p>
        </w:tc>
      </w:tr>
      <w:tr w:rsidR="0063046A" w:rsidRPr="006E0732" w14:paraId="4BF2D565" w14:textId="77777777" w:rsidTr="006E0732">
        <w:trPr>
          <w:trHeight w:val="462"/>
        </w:trPr>
        <w:tc>
          <w:tcPr>
            <w:tcW w:w="1326" w:type="pct"/>
            <w:tcBorders>
              <w:top w:val="single" w:sz="18" w:space="0" w:color="FFFFFF"/>
            </w:tcBorders>
            <w:shd w:val="pct20" w:color="000000" w:fill="FFFFFF"/>
          </w:tcPr>
          <w:p w14:paraId="4BF2D562" w14:textId="77777777" w:rsidR="0063046A" w:rsidRPr="00721359" w:rsidRDefault="0063046A">
            <w:pPr>
              <w:rPr>
                <w:rFonts w:ascii="Arial" w:hAnsi="Arial" w:cs="Arial"/>
                <w:b/>
                <w:sz w:val="20"/>
                <w:szCs w:val="20"/>
              </w:rPr>
            </w:pPr>
            <w:r w:rsidRPr="00721359">
              <w:rPr>
                <w:rFonts w:ascii="Arial" w:hAnsi="Arial" w:cs="Arial"/>
                <w:b/>
                <w:sz w:val="20"/>
                <w:szCs w:val="20"/>
              </w:rPr>
              <w:t xml:space="preserve">Energy Impact Common Units: </w:t>
            </w:r>
          </w:p>
        </w:tc>
        <w:tc>
          <w:tcPr>
            <w:tcW w:w="3674" w:type="pct"/>
            <w:gridSpan w:val="6"/>
            <w:tcBorders>
              <w:top w:val="single" w:sz="18" w:space="0" w:color="FFFFFF"/>
            </w:tcBorders>
            <w:shd w:val="pct20" w:color="000000" w:fill="FFFFFF"/>
          </w:tcPr>
          <w:p w14:paraId="4BF2D563" w14:textId="15CD5189" w:rsidR="0063046A" w:rsidRPr="00721359" w:rsidRDefault="00B50BF3" w:rsidP="0041595A">
            <w:pPr>
              <w:rPr>
                <w:rFonts w:ascii="Arial" w:hAnsi="Arial" w:cs="Arial"/>
                <w:sz w:val="20"/>
                <w:szCs w:val="20"/>
              </w:rPr>
            </w:pPr>
            <w:r w:rsidRPr="00721359">
              <w:rPr>
                <w:rFonts w:ascii="Arial" w:hAnsi="Arial" w:cs="Arial"/>
                <w:sz w:val="20"/>
                <w:szCs w:val="20"/>
              </w:rPr>
              <w:t>Fixture</w:t>
            </w:r>
          </w:p>
          <w:p w14:paraId="4BF2D564" w14:textId="77777777" w:rsidR="0063046A" w:rsidRPr="00721359" w:rsidRDefault="0063046A" w:rsidP="0041595A">
            <w:pPr>
              <w:rPr>
                <w:rFonts w:ascii="Arial" w:hAnsi="Arial" w:cs="Arial"/>
                <w:sz w:val="20"/>
                <w:szCs w:val="20"/>
              </w:rPr>
            </w:pPr>
          </w:p>
        </w:tc>
      </w:tr>
      <w:tr w:rsidR="00347CAA" w:rsidRPr="006E0732" w14:paraId="4BF2D56D" w14:textId="77777777" w:rsidTr="006E0732">
        <w:trPr>
          <w:trHeight w:val="462"/>
        </w:trPr>
        <w:tc>
          <w:tcPr>
            <w:tcW w:w="1326" w:type="pct"/>
            <w:shd w:val="clear" w:color="auto" w:fill="F2F2F2" w:themeFill="background1" w:themeFillShade="F2"/>
          </w:tcPr>
          <w:p w14:paraId="4BF2D566" w14:textId="77777777" w:rsidR="00347CAA" w:rsidRPr="00721359" w:rsidRDefault="00347CAA">
            <w:pPr>
              <w:rPr>
                <w:rFonts w:ascii="Arial" w:hAnsi="Arial" w:cs="Arial"/>
                <w:b/>
                <w:sz w:val="20"/>
                <w:szCs w:val="20"/>
              </w:rPr>
            </w:pPr>
            <w:r w:rsidRPr="00721359">
              <w:rPr>
                <w:rFonts w:ascii="Arial" w:hAnsi="Arial" w:cs="Arial"/>
                <w:b/>
                <w:sz w:val="20"/>
                <w:szCs w:val="20"/>
              </w:rPr>
              <w:t>Base Case Description:</w:t>
            </w:r>
          </w:p>
        </w:tc>
        <w:tc>
          <w:tcPr>
            <w:tcW w:w="3674" w:type="pct"/>
            <w:gridSpan w:val="6"/>
            <w:shd w:val="clear" w:color="auto" w:fill="F2F2F2" w:themeFill="background1" w:themeFillShade="F2"/>
          </w:tcPr>
          <w:p w14:paraId="61878254" w14:textId="3E575C5A" w:rsidR="0092732B" w:rsidRPr="00721359" w:rsidRDefault="00347CAA" w:rsidP="00347CAA">
            <w:pPr>
              <w:rPr>
                <w:rFonts w:ascii="Arial" w:hAnsi="Arial" w:cs="Arial"/>
                <w:sz w:val="20"/>
                <w:szCs w:val="20"/>
              </w:rPr>
            </w:pPr>
            <w:r w:rsidRPr="00721359">
              <w:rPr>
                <w:rFonts w:ascii="Arial" w:hAnsi="Arial" w:cs="Arial"/>
                <w:sz w:val="20"/>
                <w:szCs w:val="20"/>
              </w:rPr>
              <w:t xml:space="preserve">Various Pulse Start Metal Halide </w:t>
            </w:r>
            <w:proofErr w:type="gramStart"/>
            <w:r w:rsidRPr="00721359">
              <w:rPr>
                <w:rFonts w:ascii="Arial" w:hAnsi="Arial" w:cs="Arial"/>
                <w:sz w:val="20"/>
                <w:szCs w:val="20"/>
              </w:rPr>
              <w:t xml:space="preserve">Fixtures </w:t>
            </w:r>
            <w:r w:rsidR="0092732B" w:rsidRPr="00721359">
              <w:rPr>
                <w:rFonts w:ascii="Arial" w:hAnsi="Arial" w:cs="Arial"/>
                <w:sz w:val="20"/>
                <w:szCs w:val="20"/>
              </w:rPr>
              <w:t>:</w:t>
            </w:r>
            <w:proofErr w:type="gramEnd"/>
            <w:r w:rsidR="0092732B" w:rsidRPr="00721359">
              <w:rPr>
                <w:rFonts w:ascii="Arial" w:hAnsi="Arial" w:cs="Arial"/>
                <w:sz w:val="20"/>
                <w:szCs w:val="20"/>
              </w:rPr>
              <w:t xml:space="preserve">  Refer to .</w:t>
            </w:r>
            <w:proofErr w:type="spellStart"/>
            <w:r w:rsidR="0092732B" w:rsidRPr="00721359">
              <w:rPr>
                <w:rFonts w:ascii="Arial" w:hAnsi="Arial" w:cs="Arial"/>
                <w:sz w:val="20"/>
                <w:szCs w:val="20"/>
              </w:rPr>
              <w:t>xlsx</w:t>
            </w:r>
            <w:proofErr w:type="spellEnd"/>
            <w:r w:rsidR="0092732B" w:rsidRPr="00721359">
              <w:rPr>
                <w:rFonts w:ascii="Arial" w:hAnsi="Arial" w:cs="Arial"/>
                <w:sz w:val="20"/>
                <w:szCs w:val="20"/>
              </w:rPr>
              <w:t xml:space="preserve"> file attached.</w:t>
            </w:r>
          </w:p>
          <w:p w14:paraId="4BF2D56C" w14:textId="71BC5358" w:rsidR="00347CAA" w:rsidRPr="00721359" w:rsidRDefault="0092732B" w:rsidP="00721359">
            <w:pPr>
              <w:rPr>
                <w:rFonts w:ascii="Arial" w:hAnsi="Arial" w:cs="Arial"/>
                <w:sz w:val="20"/>
                <w:szCs w:val="20"/>
              </w:rPr>
            </w:pPr>
            <w:r w:rsidRPr="00721359">
              <w:rPr>
                <w:rFonts w:ascii="Arial" w:hAnsi="Arial" w:cs="Arial"/>
                <w:sz w:val="20"/>
                <w:szCs w:val="20"/>
              </w:rPr>
              <w:t xml:space="preserve">Source: </w:t>
            </w:r>
            <w:r w:rsidR="00721359">
              <w:rPr>
                <w:rFonts w:ascii="Arial" w:hAnsi="Arial" w:cs="Arial"/>
                <w:sz w:val="20"/>
                <w:szCs w:val="20"/>
              </w:rPr>
              <w:t>DEER2016</w:t>
            </w:r>
          </w:p>
        </w:tc>
      </w:tr>
      <w:tr w:rsidR="0092732B" w:rsidRPr="006E0732" w14:paraId="4BF2D584" w14:textId="77777777" w:rsidTr="006E0732">
        <w:trPr>
          <w:trHeight w:val="462"/>
        </w:trPr>
        <w:tc>
          <w:tcPr>
            <w:tcW w:w="1326" w:type="pct"/>
            <w:shd w:val="pct20" w:color="000000" w:fill="FFFFFF"/>
          </w:tcPr>
          <w:p w14:paraId="4BF2D57C" w14:textId="77777777" w:rsidR="0092732B" w:rsidRPr="00721359" w:rsidRDefault="0092732B">
            <w:pPr>
              <w:rPr>
                <w:rFonts w:ascii="Arial" w:hAnsi="Arial" w:cs="Arial"/>
                <w:b/>
                <w:sz w:val="20"/>
                <w:szCs w:val="20"/>
              </w:rPr>
            </w:pPr>
            <w:r w:rsidRPr="00721359">
              <w:rPr>
                <w:rFonts w:ascii="Arial" w:hAnsi="Arial" w:cs="Arial"/>
                <w:b/>
                <w:sz w:val="20"/>
                <w:szCs w:val="20"/>
              </w:rPr>
              <w:t xml:space="preserve">Base Case Energy Consumption: </w:t>
            </w:r>
          </w:p>
        </w:tc>
        <w:tc>
          <w:tcPr>
            <w:tcW w:w="3674" w:type="pct"/>
            <w:gridSpan w:val="6"/>
            <w:shd w:val="pct20" w:color="000000" w:fill="FFFFFF"/>
          </w:tcPr>
          <w:p w14:paraId="1FBF27F6" w14:textId="60C418B5" w:rsidR="0092732B" w:rsidRPr="00721359" w:rsidRDefault="0092732B" w:rsidP="0092732B">
            <w:pPr>
              <w:rPr>
                <w:rFonts w:ascii="Arial" w:hAnsi="Arial" w:cs="Arial"/>
                <w:sz w:val="20"/>
                <w:szCs w:val="20"/>
              </w:rPr>
            </w:pPr>
            <w:r w:rsidRPr="00721359">
              <w:rPr>
                <w:rFonts w:ascii="Arial" w:hAnsi="Arial" w:cs="Arial"/>
                <w:sz w:val="20"/>
                <w:szCs w:val="20"/>
              </w:rPr>
              <w:t>Various: Refer to .</w:t>
            </w:r>
            <w:proofErr w:type="spellStart"/>
            <w:r w:rsidRPr="00721359">
              <w:rPr>
                <w:rFonts w:ascii="Arial" w:hAnsi="Arial" w:cs="Arial"/>
                <w:sz w:val="20"/>
                <w:szCs w:val="20"/>
              </w:rPr>
              <w:t>xlsx</w:t>
            </w:r>
            <w:proofErr w:type="spellEnd"/>
            <w:r w:rsidRPr="00721359">
              <w:rPr>
                <w:rFonts w:ascii="Arial" w:hAnsi="Arial" w:cs="Arial"/>
                <w:sz w:val="20"/>
                <w:szCs w:val="20"/>
              </w:rPr>
              <w:t xml:space="preserve"> file attached.</w:t>
            </w:r>
          </w:p>
          <w:p w14:paraId="4BF2D583" w14:textId="167F8B54" w:rsidR="0092732B" w:rsidRPr="00721359" w:rsidRDefault="0092732B" w:rsidP="00721359">
            <w:pPr>
              <w:rPr>
                <w:rFonts w:ascii="Arial" w:hAnsi="Arial" w:cs="Arial"/>
                <w:sz w:val="20"/>
                <w:szCs w:val="20"/>
              </w:rPr>
            </w:pPr>
            <w:r w:rsidRPr="00721359">
              <w:rPr>
                <w:rFonts w:ascii="Arial" w:hAnsi="Arial" w:cs="Arial"/>
                <w:sz w:val="20"/>
                <w:szCs w:val="20"/>
              </w:rPr>
              <w:t xml:space="preserve">Source: </w:t>
            </w:r>
            <w:r w:rsidR="00721359">
              <w:rPr>
                <w:rFonts w:ascii="Arial" w:hAnsi="Arial" w:cs="Arial"/>
                <w:sz w:val="20"/>
                <w:szCs w:val="20"/>
              </w:rPr>
              <w:t>DEER2016</w:t>
            </w:r>
          </w:p>
        </w:tc>
      </w:tr>
      <w:tr w:rsidR="0092732B" w:rsidRPr="006E0732" w14:paraId="4BF2D58C" w14:textId="77777777" w:rsidTr="006E0732">
        <w:trPr>
          <w:trHeight w:val="462"/>
        </w:trPr>
        <w:tc>
          <w:tcPr>
            <w:tcW w:w="1326" w:type="pct"/>
            <w:shd w:val="pct5" w:color="000000" w:fill="FFFFFF"/>
          </w:tcPr>
          <w:p w14:paraId="4BF2D585" w14:textId="77777777" w:rsidR="0092732B" w:rsidRPr="00721359" w:rsidRDefault="0092732B">
            <w:pPr>
              <w:rPr>
                <w:rFonts w:ascii="Arial" w:hAnsi="Arial" w:cs="Arial"/>
                <w:b/>
                <w:sz w:val="20"/>
                <w:szCs w:val="20"/>
              </w:rPr>
            </w:pPr>
            <w:r w:rsidRPr="00721359">
              <w:rPr>
                <w:rFonts w:ascii="Arial" w:hAnsi="Arial" w:cs="Arial"/>
                <w:b/>
                <w:sz w:val="20"/>
                <w:szCs w:val="20"/>
              </w:rPr>
              <w:t>Measure Energy Consumption:</w:t>
            </w:r>
          </w:p>
        </w:tc>
        <w:tc>
          <w:tcPr>
            <w:tcW w:w="3674" w:type="pct"/>
            <w:gridSpan w:val="6"/>
            <w:shd w:val="pct5" w:color="000000" w:fill="FFFFFF"/>
          </w:tcPr>
          <w:p w14:paraId="6FC637E8" w14:textId="7B0274C5" w:rsidR="0092732B" w:rsidRPr="00721359" w:rsidRDefault="0092732B" w:rsidP="0092732B">
            <w:pPr>
              <w:rPr>
                <w:rFonts w:ascii="Arial" w:hAnsi="Arial" w:cs="Arial"/>
                <w:sz w:val="20"/>
                <w:szCs w:val="20"/>
              </w:rPr>
            </w:pPr>
            <w:r w:rsidRPr="00721359">
              <w:rPr>
                <w:rFonts w:ascii="Arial" w:hAnsi="Arial" w:cs="Arial"/>
                <w:sz w:val="20"/>
                <w:szCs w:val="20"/>
              </w:rPr>
              <w:t>Various: Refer to .</w:t>
            </w:r>
            <w:proofErr w:type="spellStart"/>
            <w:r w:rsidRPr="00721359">
              <w:rPr>
                <w:rFonts w:ascii="Arial" w:hAnsi="Arial" w:cs="Arial"/>
                <w:sz w:val="20"/>
                <w:szCs w:val="20"/>
              </w:rPr>
              <w:t>xlsx</w:t>
            </w:r>
            <w:proofErr w:type="spellEnd"/>
            <w:r w:rsidRPr="00721359">
              <w:rPr>
                <w:rFonts w:ascii="Arial" w:hAnsi="Arial" w:cs="Arial"/>
                <w:sz w:val="20"/>
                <w:szCs w:val="20"/>
              </w:rPr>
              <w:t xml:space="preserve"> file attached.</w:t>
            </w:r>
          </w:p>
          <w:p w14:paraId="4BF2D58B" w14:textId="3D99A2D5" w:rsidR="0092732B" w:rsidRPr="00721359" w:rsidRDefault="0092732B" w:rsidP="00721359">
            <w:pPr>
              <w:rPr>
                <w:rFonts w:ascii="Arial" w:hAnsi="Arial" w:cs="Arial"/>
                <w:sz w:val="20"/>
                <w:szCs w:val="20"/>
              </w:rPr>
            </w:pPr>
            <w:r w:rsidRPr="00721359">
              <w:rPr>
                <w:rFonts w:ascii="Arial" w:hAnsi="Arial" w:cs="Arial"/>
                <w:sz w:val="20"/>
                <w:szCs w:val="20"/>
              </w:rPr>
              <w:t xml:space="preserve">Source: </w:t>
            </w:r>
            <w:r w:rsidR="00721359">
              <w:rPr>
                <w:rFonts w:ascii="Arial" w:hAnsi="Arial" w:cs="Arial"/>
                <w:sz w:val="20"/>
                <w:szCs w:val="20"/>
              </w:rPr>
              <w:t>DEER2016</w:t>
            </w:r>
          </w:p>
        </w:tc>
      </w:tr>
      <w:tr w:rsidR="0092732B" w:rsidRPr="006E0732" w14:paraId="4BF2D594" w14:textId="77777777" w:rsidTr="006E0732">
        <w:trPr>
          <w:trHeight w:val="462"/>
        </w:trPr>
        <w:tc>
          <w:tcPr>
            <w:tcW w:w="1326" w:type="pct"/>
            <w:shd w:val="pct20" w:color="000000" w:fill="FFFFFF"/>
          </w:tcPr>
          <w:p w14:paraId="4BF2D58D" w14:textId="40804790" w:rsidR="0092732B" w:rsidRPr="00721359" w:rsidRDefault="0092732B" w:rsidP="00347CAA">
            <w:pPr>
              <w:rPr>
                <w:rFonts w:ascii="Arial" w:hAnsi="Arial" w:cs="Arial"/>
                <w:b/>
                <w:sz w:val="20"/>
                <w:szCs w:val="20"/>
              </w:rPr>
            </w:pPr>
            <w:r w:rsidRPr="00721359">
              <w:rPr>
                <w:rFonts w:ascii="Arial" w:hAnsi="Arial" w:cs="Arial"/>
                <w:b/>
                <w:sz w:val="20"/>
                <w:szCs w:val="20"/>
              </w:rPr>
              <w:t>Energy Savings (Base Case – Measure)</w:t>
            </w:r>
          </w:p>
        </w:tc>
        <w:tc>
          <w:tcPr>
            <w:tcW w:w="3674" w:type="pct"/>
            <w:gridSpan w:val="6"/>
            <w:shd w:val="pct20" w:color="000000" w:fill="FFFFFF"/>
          </w:tcPr>
          <w:p w14:paraId="3FF60BC3" w14:textId="3BA39F88" w:rsidR="0092732B" w:rsidRPr="00721359" w:rsidRDefault="0092732B" w:rsidP="0092732B">
            <w:pPr>
              <w:rPr>
                <w:rFonts w:ascii="Arial" w:hAnsi="Arial" w:cs="Arial"/>
                <w:sz w:val="20"/>
                <w:szCs w:val="20"/>
              </w:rPr>
            </w:pPr>
            <w:r w:rsidRPr="00721359">
              <w:rPr>
                <w:rFonts w:ascii="Arial" w:hAnsi="Arial" w:cs="Arial"/>
                <w:sz w:val="20"/>
                <w:szCs w:val="20"/>
              </w:rPr>
              <w:t>Various: Refer to .</w:t>
            </w:r>
            <w:proofErr w:type="spellStart"/>
            <w:r w:rsidRPr="00721359">
              <w:rPr>
                <w:rFonts w:ascii="Arial" w:hAnsi="Arial" w:cs="Arial"/>
                <w:sz w:val="20"/>
                <w:szCs w:val="20"/>
              </w:rPr>
              <w:t>xlsx</w:t>
            </w:r>
            <w:proofErr w:type="spellEnd"/>
            <w:r w:rsidRPr="00721359">
              <w:rPr>
                <w:rFonts w:ascii="Arial" w:hAnsi="Arial" w:cs="Arial"/>
                <w:sz w:val="20"/>
                <w:szCs w:val="20"/>
              </w:rPr>
              <w:t xml:space="preserve"> file attached.</w:t>
            </w:r>
          </w:p>
          <w:p w14:paraId="4BF2D593" w14:textId="4846D3B7" w:rsidR="0092732B" w:rsidRPr="00721359" w:rsidRDefault="0092732B" w:rsidP="00721359">
            <w:pPr>
              <w:rPr>
                <w:rFonts w:ascii="Arial" w:hAnsi="Arial" w:cs="Arial"/>
                <w:sz w:val="20"/>
                <w:szCs w:val="20"/>
              </w:rPr>
            </w:pPr>
            <w:r w:rsidRPr="00721359">
              <w:rPr>
                <w:rFonts w:ascii="Arial" w:hAnsi="Arial" w:cs="Arial"/>
                <w:sz w:val="20"/>
                <w:szCs w:val="20"/>
              </w:rPr>
              <w:t xml:space="preserve">Source: </w:t>
            </w:r>
            <w:r w:rsidR="00721359">
              <w:rPr>
                <w:rFonts w:ascii="Arial" w:hAnsi="Arial" w:cs="Arial"/>
                <w:sz w:val="20"/>
                <w:szCs w:val="20"/>
              </w:rPr>
              <w:t>DEER2016</w:t>
            </w:r>
          </w:p>
        </w:tc>
      </w:tr>
      <w:tr w:rsidR="009A3ADB" w:rsidRPr="006E0732" w14:paraId="4BF2D597" w14:textId="77777777" w:rsidTr="006E0732">
        <w:trPr>
          <w:trHeight w:val="288"/>
        </w:trPr>
        <w:tc>
          <w:tcPr>
            <w:tcW w:w="1326" w:type="pct"/>
            <w:shd w:val="pct5" w:color="000000" w:fill="FFFFFF"/>
          </w:tcPr>
          <w:p w14:paraId="4BF2D595" w14:textId="77777777" w:rsidR="009A3ADB" w:rsidRPr="00721359" w:rsidRDefault="009A3ADB">
            <w:pPr>
              <w:rPr>
                <w:rFonts w:ascii="Arial" w:hAnsi="Arial" w:cs="Arial"/>
                <w:b/>
                <w:sz w:val="20"/>
                <w:szCs w:val="20"/>
              </w:rPr>
            </w:pPr>
            <w:r w:rsidRPr="00721359">
              <w:rPr>
                <w:rFonts w:ascii="Arial" w:hAnsi="Arial" w:cs="Arial"/>
                <w:b/>
                <w:sz w:val="20"/>
                <w:szCs w:val="20"/>
              </w:rPr>
              <w:t xml:space="preserve">Costs Common Units: </w:t>
            </w:r>
          </w:p>
        </w:tc>
        <w:tc>
          <w:tcPr>
            <w:tcW w:w="3674" w:type="pct"/>
            <w:gridSpan w:val="6"/>
            <w:shd w:val="pct5" w:color="000000" w:fill="FFFFFF"/>
          </w:tcPr>
          <w:p w14:paraId="4BF2D596" w14:textId="77777777" w:rsidR="009A3ADB" w:rsidRPr="00721359" w:rsidRDefault="009A3ADB">
            <w:pPr>
              <w:rPr>
                <w:rFonts w:ascii="Arial" w:hAnsi="Arial" w:cs="Arial"/>
                <w:sz w:val="20"/>
                <w:szCs w:val="20"/>
              </w:rPr>
            </w:pPr>
            <w:r w:rsidRPr="00721359">
              <w:rPr>
                <w:rFonts w:ascii="Arial" w:hAnsi="Arial" w:cs="Arial"/>
                <w:sz w:val="20"/>
                <w:szCs w:val="20"/>
              </w:rPr>
              <w:t>$ per fixture</w:t>
            </w:r>
          </w:p>
        </w:tc>
      </w:tr>
      <w:tr w:rsidR="0092732B" w:rsidRPr="006E0732" w14:paraId="4BF2D59B" w14:textId="77777777" w:rsidTr="006E0732">
        <w:trPr>
          <w:trHeight w:val="162"/>
        </w:trPr>
        <w:tc>
          <w:tcPr>
            <w:tcW w:w="1326" w:type="pct"/>
            <w:shd w:val="pct20" w:color="000000" w:fill="FFFFFF"/>
          </w:tcPr>
          <w:p w14:paraId="4BF2D598" w14:textId="120597CF" w:rsidR="0092732B" w:rsidRPr="00721359" w:rsidRDefault="0092732B" w:rsidP="00F278CD">
            <w:pPr>
              <w:rPr>
                <w:rFonts w:ascii="Arial" w:hAnsi="Arial" w:cs="Arial"/>
                <w:b/>
                <w:sz w:val="20"/>
                <w:szCs w:val="20"/>
              </w:rPr>
            </w:pPr>
            <w:r w:rsidRPr="00721359">
              <w:rPr>
                <w:rFonts w:ascii="Arial" w:hAnsi="Arial" w:cs="Arial"/>
                <w:b/>
                <w:sz w:val="20"/>
                <w:szCs w:val="20"/>
              </w:rPr>
              <w:t>Base Case Equipment Cost ($/unit):</w:t>
            </w:r>
          </w:p>
        </w:tc>
        <w:tc>
          <w:tcPr>
            <w:tcW w:w="3674" w:type="pct"/>
            <w:gridSpan w:val="6"/>
            <w:shd w:val="pct20" w:color="000000" w:fill="FFFFFF"/>
          </w:tcPr>
          <w:p w14:paraId="4FFB2BA6" w14:textId="22E2C9CC" w:rsidR="0092732B" w:rsidRPr="00721359" w:rsidRDefault="0092732B">
            <w:pPr>
              <w:rPr>
                <w:rFonts w:ascii="Arial" w:hAnsi="Arial" w:cs="Arial"/>
                <w:sz w:val="20"/>
                <w:szCs w:val="20"/>
              </w:rPr>
            </w:pPr>
            <w:r w:rsidRPr="00721359">
              <w:rPr>
                <w:rFonts w:ascii="Arial" w:hAnsi="Arial" w:cs="Arial"/>
                <w:sz w:val="20"/>
                <w:szCs w:val="20"/>
              </w:rPr>
              <w:t>Various: Refer to .</w:t>
            </w:r>
            <w:proofErr w:type="spellStart"/>
            <w:r w:rsidRPr="00721359">
              <w:rPr>
                <w:rFonts w:ascii="Arial" w:hAnsi="Arial" w:cs="Arial"/>
                <w:sz w:val="20"/>
                <w:szCs w:val="20"/>
              </w:rPr>
              <w:t>xlsx</w:t>
            </w:r>
            <w:proofErr w:type="spellEnd"/>
            <w:r w:rsidRPr="00721359">
              <w:rPr>
                <w:rFonts w:ascii="Arial" w:hAnsi="Arial" w:cs="Arial"/>
                <w:sz w:val="20"/>
                <w:szCs w:val="20"/>
              </w:rPr>
              <w:t xml:space="preserve"> file attached.</w:t>
            </w:r>
          </w:p>
          <w:p w14:paraId="4BF2D59A" w14:textId="671CF001" w:rsidR="0092732B" w:rsidRPr="00721359" w:rsidRDefault="0092732B" w:rsidP="00721359">
            <w:pPr>
              <w:rPr>
                <w:rFonts w:ascii="Arial" w:hAnsi="Arial" w:cs="Arial"/>
                <w:sz w:val="20"/>
                <w:szCs w:val="20"/>
              </w:rPr>
            </w:pPr>
            <w:r w:rsidRPr="00721359">
              <w:rPr>
                <w:rFonts w:ascii="Arial" w:hAnsi="Arial" w:cs="Arial"/>
                <w:sz w:val="20"/>
                <w:szCs w:val="20"/>
              </w:rPr>
              <w:t xml:space="preserve">Source: </w:t>
            </w:r>
            <w:r w:rsidR="00721359">
              <w:rPr>
                <w:rFonts w:ascii="Arial" w:hAnsi="Arial" w:cs="Arial"/>
                <w:sz w:val="20"/>
                <w:szCs w:val="20"/>
              </w:rPr>
              <w:t>WO017</w:t>
            </w:r>
          </w:p>
        </w:tc>
      </w:tr>
      <w:tr w:rsidR="0092732B" w:rsidRPr="006E0732" w14:paraId="4BF2D5A7" w14:textId="77777777" w:rsidTr="006E0732">
        <w:trPr>
          <w:trHeight w:val="252"/>
        </w:trPr>
        <w:tc>
          <w:tcPr>
            <w:tcW w:w="1326" w:type="pct"/>
            <w:shd w:val="pct5" w:color="000000" w:fill="FFFFFF"/>
          </w:tcPr>
          <w:p w14:paraId="4BF2D5A4" w14:textId="561F8386" w:rsidR="0092732B" w:rsidRPr="00721359" w:rsidRDefault="0092732B" w:rsidP="00A40598">
            <w:pPr>
              <w:rPr>
                <w:rFonts w:ascii="Arial" w:hAnsi="Arial" w:cs="Arial"/>
                <w:b/>
                <w:sz w:val="20"/>
                <w:szCs w:val="20"/>
              </w:rPr>
            </w:pPr>
            <w:r w:rsidRPr="00721359">
              <w:rPr>
                <w:rFonts w:ascii="Arial" w:hAnsi="Arial" w:cs="Arial"/>
                <w:b/>
                <w:sz w:val="20"/>
                <w:szCs w:val="20"/>
              </w:rPr>
              <w:t xml:space="preserve">Measure Equipment Cost ($/unit): </w:t>
            </w:r>
          </w:p>
        </w:tc>
        <w:tc>
          <w:tcPr>
            <w:tcW w:w="3674" w:type="pct"/>
            <w:gridSpan w:val="6"/>
            <w:shd w:val="pct5" w:color="000000" w:fill="FFFFFF"/>
          </w:tcPr>
          <w:p w14:paraId="32FAE6B9" w14:textId="0EDE8E99" w:rsidR="0092732B" w:rsidRPr="00721359" w:rsidRDefault="0092732B" w:rsidP="00A40598">
            <w:pPr>
              <w:rPr>
                <w:rFonts w:ascii="Arial" w:hAnsi="Arial" w:cs="Arial"/>
                <w:sz w:val="20"/>
                <w:szCs w:val="20"/>
              </w:rPr>
            </w:pPr>
            <w:r w:rsidRPr="00721359">
              <w:rPr>
                <w:rFonts w:ascii="Arial" w:hAnsi="Arial" w:cs="Arial"/>
                <w:sz w:val="20"/>
                <w:szCs w:val="20"/>
              </w:rPr>
              <w:t>Various: Refer to .</w:t>
            </w:r>
            <w:proofErr w:type="spellStart"/>
            <w:r w:rsidRPr="00721359">
              <w:rPr>
                <w:rFonts w:ascii="Arial" w:hAnsi="Arial" w:cs="Arial"/>
                <w:sz w:val="20"/>
                <w:szCs w:val="20"/>
              </w:rPr>
              <w:t>xlsx</w:t>
            </w:r>
            <w:proofErr w:type="spellEnd"/>
            <w:r w:rsidRPr="00721359">
              <w:rPr>
                <w:rFonts w:ascii="Arial" w:hAnsi="Arial" w:cs="Arial"/>
                <w:sz w:val="20"/>
                <w:szCs w:val="20"/>
              </w:rPr>
              <w:t xml:space="preserve"> file attached.</w:t>
            </w:r>
          </w:p>
          <w:p w14:paraId="4BF2D5A6" w14:textId="42336B85" w:rsidR="0092732B" w:rsidRPr="00721359" w:rsidRDefault="0092732B" w:rsidP="003C6D3E">
            <w:pPr>
              <w:rPr>
                <w:rFonts w:ascii="Arial" w:hAnsi="Arial" w:cs="Arial"/>
                <w:sz w:val="20"/>
                <w:szCs w:val="20"/>
              </w:rPr>
            </w:pPr>
            <w:r w:rsidRPr="00721359">
              <w:rPr>
                <w:rFonts w:ascii="Arial" w:hAnsi="Arial" w:cs="Arial"/>
                <w:sz w:val="20"/>
                <w:szCs w:val="20"/>
              </w:rPr>
              <w:t xml:space="preserve">Source: </w:t>
            </w:r>
            <w:r w:rsidR="003C6D3E">
              <w:rPr>
                <w:rFonts w:ascii="Arial" w:hAnsi="Arial" w:cs="Arial"/>
                <w:sz w:val="20"/>
                <w:szCs w:val="20"/>
              </w:rPr>
              <w:t>WO017</w:t>
            </w:r>
          </w:p>
        </w:tc>
      </w:tr>
      <w:tr w:rsidR="0092732B" w:rsidRPr="006E0732" w14:paraId="4BF2D5B7" w14:textId="77777777" w:rsidTr="006E0732">
        <w:trPr>
          <w:trHeight w:val="462"/>
        </w:trPr>
        <w:tc>
          <w:tcPr>
            <w:tcW w:w="1326" w:type="pct"/>
            <w:shd w:val="pct20" w:color="000000" w:fill="FFFFFF"/>
          </w:tcPr>
          <w:p w14:paraId="4BF2D5B0" w14:textId="77777777" w:rsidR="0092732B" w:rsidRPr="00721359" w:rsidRDefault="0092732B">
            <w:pPr>
              <w:rPr>
                <w:rFonts w:ascii="Arial" w:hAnsi="Arial" w:cs="Arial"/>
                <w:b/>
                <w:sz w:val="20"/>
                <w:szCs w:val="20"/>
              </w:rPr>
            </w:pPr>
            <w:bookmarkStart w:id="3" w:name="OLE_LINK1"/>
            <w:r w:rsidRPr="00721359">
              <w:rPr>
                <w:rFonts w:ascii="Arial" w:hAnsi="Arial" w:cs="Arial"/>
                <w:b/>
                <w:sz w:val="20"/>
                <w:szCs w:val="20"/>
              </w:rPr>
              <w:t xml:space="preserve">Measure Incremental Cost ($/unit): </w:t>
            </w:r>
            <w:bookmarkEnd w:id="3"/>
          </w:p>
        </w:tc>
        <w:tc>
          <w:tcPr>
            <w:tcW w:w="3674" w:type="pct"/>
            <w:gridSpan w:val="6"/>
            <w:shd w:val="pct20" w:color="000000" w:fill="FFFFFF"/>
          </w:tcPr>
          <w:p w14:paraId="426EF27F" w14:textId="77777777" w:rsidR="0092732B" w:rsidRPr="00721359" w:rsidRDefault="0092732B" w:rsidP="00496200">
            <w:pPr>
              <w:rPr>
                <w:rFonts w:ascii="Arial" w:hAnsi="Arial" w:cs="Arial"/>
                <w:sz w:val="20"/>
                <w:szCs w:val="20"/>
              </w:rPr>
            </w:pPr>
            <w:r w:rsidRPr="00721359">
              <w:rPr>
                <w:rFonts w:ascii="Arial" w:hAnsi="Arial" w:cs="Arial"/>
                <w:sz w:val="20"/>
                <w:szCs w:val="20"/>
              </w:rPr>
              <w:t>Various: Refer to .</w:t>
            </w:r>
            <w:proofErr w:type="spellStart"/>
            <w:r w:rsidRPr="00721359">
              <w:rPr>
                <w:rFonts w:ascii="Arial" w:hAnsi="Arial" w:cs="Arial"/>
                <w:sz w:val="20"/>
                <w:szCs w:val="20"/>
              </w:rPr>
              <w:t>xlsx</w:t>
            </w:r>
            <w:proofErr w:type="spellEnd"/>
            <w:r w:rsidRPr="00721359">
              <w:rPr>
                <w:rFonts w:ascii="Arial" w:hAnsi="Arial" w:cs="Arial"/>
                <w:sz w:val="20"/>
                <w:szCs w:val="20"/>
              </w:rPr>
              <w:t xml:space="preserve"> file attached.</w:t>
            </w:r>
          </w:p>
          <w:p w14:paraId="4BF2D5B6" w14:textId="72FA4420" w:rsidR="0092732B" w:rsidRPr="00721359" w:rsidRDefault="0092732B" w:rsidP="00C469AB">
            <w:pPr>
              <w:rPr>
                <w:rFonts w:ascii="Arial" w:hAnsi="Arial" w:cs="Arial"/>
                <w:sz w:val="20"/>
                <w:szCs w:val="20"/>
              </w:rPr>
            </w:pPr>
            <w:r w:rsidRPr="00721359">
              <w:rPr>
                <w:rFonts w:ascii="Arial" w:hAnsi="Arial" w:cs="Arial"/>
                <w:sz w:val="20"/>
                <w:szCs w:val="20"/>
              </w:rPr>
              <w:t xml:space="preserve">Source: </w:t>
            </w:r>
            <w:r w:rsidR="00C469AB">
              <w:rPr>
                <w:rFonts w:ascii="Arial" w:hAnsi="Arial" w:cs="Arial"/>
                <w:sz w:val="20"/>
                <w:szCs w:val="20"/>
              </w:rPr>
              <w:t>PG&amp;E Calculations</w:t>
            </w:r>
          </w:p>
        </w:tc>
      </w:tr>
      <w:tr w:rsidR="009A3ADB" w:rsidRPr="006E0732" w14:paraId="4BF2D5BB" w14:textId="77777777" w:rsidTr="006E0732">
        <w:trPr>
          <w:trHeight w:val="462"/>
        </w:trPr>
        <w:tc>
          <w:tcPr>
            <w:tcW w:w="1326" w:type="pct"/>
            <w:shd w:val="pct5" w:color="000000" w:fill="FFFFFF"/>
          </w:tcPr>
          <w:p w14:paraId="4BF2D5B8" w14:textId="77777777" w:rsidR="009A3ADB" w:rsidRPr="00721359" w:rsidRDefault="009A3ADB">
            <w:pPr>
              <w:rPr>
                <w:rFonts w:ascii="Arial" w:hAnsi="Arial" w:cs="Arial"/>
                <w:b/>
                <w:sz w:val="20"/>
                <w:szCs w:val="20"/>
              </w:rPr>
            </w:pPr>
            <w:r w:rsidRPr="00721359">
              <w:rPr>
                <w:rFonts w:ascii="Arial" w:hAnsi="Arial" w:cs="Arial"/>
                <w:b/>
                <w:sz w:val="20"/>
                <w:szCs w:val="20"/>
              </w:rPr>
              <w:t xml:space="preserve">Effective Useful Life (years): </w:t>
            </w:r>
          </w:p>
        </w:tc>
        <w:tc>
          <w:tcPr>
            <w:tcW w:w="3674" w:type="pct"/>
            <w:gridSpan w:val="6"/>
            <w:shd w:val="pct5" w:color="000000" w:fill="FFFFFF"/>
          </w:tcPr>
          <w:p w14:paraId="5E2A30FE" w14:textId="1D9B782A" w:rsidR="0092732B" w:rsidRPr="00721359" w:rsidRDefault="00DB53A2" w:rsidP="0092732B">
            <w:pPr>
              <w:rPr>
                <w:rFonts w:ascii="Arial" w:hAnsi="Arial" w:cs="Arial"/>
                <w:sz w:val="20"/>
                <w:szCs w:val="20"/>
              </w:rPr>
            </w:pPr>
            <w:r>
              <w:rPr>
                <w:rFonts w:ascii="Arial" w:hAnsi="Arial" w:cs="Arial"/>
                <w:sz w:val="20"/>
                <w:szCs w:val="20"/>
              </w:rPr>
              <w:t>Varies (Max of 15 years), ILtg-T5</w:t>
            </w:r>
          </w:p>
          <w:p w14:paraId="4BF2D5BA" w14:textId="300E6BF3" w:rsidR="0092732B" w:rsidRPr="00721359" w:rsidRDefault="009A3ADB" w:rsidP="0092732B">
            <w:pPr>
              <w:rPr>
                <w:rFonts w:ascii="Arial" w:hAnsi="Arial" w:cs="Arial"/>
                <w:sz w:val="20"/>
                <w:szCs w:val="20"/>
              </w:rPr>
            </w:pPr>
            <w:r w:rsidRPr="00721359">
              <w:rPr>
                <w:rFonts w:ascii="Arial" w:hAnsi="Arial" w:cs="Arial"/>
                <w:sz w:val="20"/>
                <w:szCs w:val="20"/>
              </w:rPr>
              <w:t xml:space="preserve">Source: </w:t>
            </w:r>
            <w:r w:rsidR="00294B9A" w:rsidRPr="00721359">
              <w:rPr>
                <w:rFonts w:ascii="Arial" w:hAnsi="Arial" w:cs="Arial"/>
                <w:sz w:val="20"/>
                <w:szCs w:val="20"/>
              </w:rPr>
              <w:t>DEER201</w:t>
            </w:r>
            <w:r w:rsidR="00721359">
              <w:rPr>
                <w:rFonts w:ascii="Arial" w:hAnsi="Arial" w:cs="Arial"/>
                <w:sz w:val="20"/>
                <w:szCs w:val="20"/>
              </w:rPr>
              <w:t>6</w:t>
            </w:r>
          </w:p>
        </w:tc>
      </w:tr>
      <w:tr w:rsidR="009A3ADB" w:rsidRPr="006E0732" w14:paraId="4BF2D5BE" w14:textId="77777777" w:rsidTr="006E0732">
        <w:trPr>
          <w:trHeight w:val="42"/>
        </w:trPr>
        <w:tc>
          <w:tcPr>
            <w:tcW w:w="1326" w:type="pct"/>
            <w:shd w:val="pct20" w:color="000000" w:fill="FFFFFF"/>
          </w:tcPr>
          <w:p w14:paraId="4BF2D5BC" w14:textId="77777777" w:rsidR="009A3ADB" w:rsidRPr="00721359" w:rsidRDefault="009A3ADB">
            <w:pPr>
              <w:rPr>
                <w:rFonts w:ascii="Arial" w:hAnsi="Arial" w:cs="Arial"/>
                <w:b/>
                <w:sz w:val="20"/>
                <w:szCs w:val="20"/>
              </w:rPr>
            </w:pPr>
            <w:r w:rsidRPr="00721359">
              <w:rPr>
                <w:rFonts w:ascii="Arial" w:hAnsi="Arial" w:cs="Arial"/>
                <w:b/>
                <w:sz w:val="20"/>
                <w:szCs w:val="20"/>
              </w:rPr>
              <w:t>Program Type:</w:t>
            </w:r>
          </w:p>
        </w:tc>
        <w:tc>
          <w:tcPr>
            <w:tcW w:w="3674" w:type="pct"/>
            <w:gridSpan w:val="6"/>
            <w:shd w:val="pct20" w:color="000000" w:fill="FFFFFF"/>
          </w:tcPr>
          <w:p w14:paraId="4BF2D5BD" w14:textId="02266399" w:rsidR="009A3ADB" w:rsidRPr="00721359" w:rsidRDefault="0045296F">
            <w:pPr>
              <w:rPr>
                <w:rFonts w:ascii="Arial" w:hAnsi="Arial" w:cs="Arial"/>
                <w:sz w:val="20"/>
                <w:szCs w:val="20"/>
              </w:rPr>
            </w:pPr>
            <w:r w:rsidRPr="00721359">
              <w:rPr>
                <w:rFonts w:ascii="Arial" w:hAnsi="Arial" w:cs="Arial"/>
                <w:sz w:val="20"/>
                <w:szCs w:val="20"/>
              </w:rPr>
              <w:t xml:space="preserve"> ROB</w:t>
            </w:r>
            <w:r w:rsidR="00114382">
              <w:rPr>
                <w:rFonts w:ascii="Arial" w:hAnsi="Arial" w:cs="Arial"/>
                <w:sz w:val="20"/>
                <w:szCs w:val="20"/>
              </w:rPr>
              <w:t>, NC</w:t>
            </w:r>
          </w:p>
        </w:tc>
      </w:tr>
      <w:tr w:rsidR="009A3ADB" w:rsidRPr="006E0732" w14:paraId="4BF2D5C2" w14:textId="77777777" w:rsidTr="006E0732">
        <w:trPr>
          <w:trHeight w:val="522"/>
        </w:trPr>
        <w:tc>
          <w:tcPr>
            <w:tcW w:w="1326" w:type="pct"/>
            <w:shd w:val="pct5" w:color="000000" w:fill="FFFFFF"/>
          </w:tcPr>
          <w:p w14:paraId="4BF2D5BF" w14:textId="77777777" w:rsidR="009A3ADB" w:rsidRPr="00721359" w:rsidRDefault="009A3ADB">
            <w:pPr>
              <w:rPr>
                <w:rFonts w:ascii="Arial" w:hAnsi="Arial" w:cs="Arial"/>
                <w:b/>
                <w:sz w:val="20"/>
                <w:szCs w:val="20"/>
              </w:rPr>
            </w:pPr>
            <w:r w:rsidRPr="00721359">
              <w:rPr>
                <w:rFonts w:ascii="Arial" w:hAnsi="Arial" w:cs="Arial"/>
                <w:b/>
                <w:sz w:val="20"/>
                <w:szCs w:val="20"/>
              </w:rPr>
              <w:t xml:space="preserve">Net-to-Gross Ratios: </w:t>
            </w:r>
          </w:p>
        </w:tc>
        <w:tc>
          <w:tcPr>
            <w:tcW w:w="3674" w:type="pct"/>
            <w:gridSpan w:val="6"/>
            <w:shd w:val="pct5" w:color="000000" w:fill="FFFFFF"/>
          </w:tcPr>
          <w:p w14:paraId="4BF2D5C0" w14:textId="3FD4C1BB" w:rsidR="009A3ADB" w:rsidRPr="00721359" w:rsidRDefault="004F7F34" w:rsidP="004F7F34">
            <w:pPr>
              <w:rPr>
                <w:rFonts w:ascii="Arial" w:hAnsi="Arial" w:cs="Arial"/>
                <w:sz w:val="20"/>
                <w:szCs w:val="20"/>
              </w:rPr>
            </w:pPr>
            <w:proofErr w:type="spellStart"/>
            <w:r w:rsidRPr="004F7F34">
              <w:rPr>
                <w:rFonts w:ascii="Arial" w:hAnsi="Arial" w:cs="Arial"/>
                <w:sz w:val="20"/>
                <w:szCs w:val="20"/>
              </w:rPr>
              <w:t>NonRes</w:t>
            </w:r>
            <w:proofErr w:type="spellEnd"/>
            <w:r w:rsidRPr="004F7F34">
              <w:rPr>
                <w:rFonts w:ascii="Arial" w:hAnsi="Arial" w:cs="Arial"/>
                <w:sz w:val="20"/>
                <w:szCs w:val="20"/>
              </w:rPr>
              <w:t>-</w:t>
            </w:r>
            <w:proofErr w:type="spellStart"/>
            <w:r w:rsidRPr="004F7F34">
              <w:rPr>
                <w:rFonts w:ascii="Arial" w:hAnsi="Arial" w:cs="Arial"/>
                <w:sz w:val="20"/>
                <w:szCs w:val="20"/>
              </w:rPr>
              <w:t>sAll</w:t>
            </w:r>
            <w:proofErr w:type="spellEnd"/>
            <w:r w:rsidRPr="004F7F34">
              <w:rPr>
                <w:rFonts w:ascii="Arial" w:hAnsi="Arial" w:cs="Arial"/>
                <w:sz w:val="20"/>
                <w:szCs w:val="20"/>
              </w:rPr>
              <w:t>-</w:t>
            </w:r>
            <w:proofErr w:type="spellStart"/>
            <w:r w:rsidRPr="004F7F34">
              <w:rPr>
                <w:rFonts w:ascii="Arial" w:hAnsi="Arial" w:cs="Arial"/>
                <w:sz w:val="20"/>
                <w:szCs w:val="20"/>
              </w:rPr>
              <w:t>mLFHB</w:t>
            </w:r>
            <w:proofErr w:type="spellEnd"/>
            <w:r w:rsidRPr="004F7F34">
              <w:rPr>
                <w:rFonts w:ascii="Arial" w:hAnsi="Arial" w:cs="Arial"/>
                <w:sz w:val="20"/>
                <w:szCs w:val="20"/>
              </w:rPr>
              <w:t>-Deemed</w:t>
            </w:r>
            <w:r>
              <w:rPr>
                <w:rFonts w:ascii="Arial" w:hAnsi="Arial" w:cs="Arial"/>
                <w:sz w:val="20"/>
                <w:szCs w:val="20"/>
              </w:rPr>
              <w:t xml:space="preserve"> 0.65</w:t>
            </w:r>
          </w:p>
          <w:p w14:paraId="4BF2D5C1" w14:textId="3AE23B60" w:rsidR="009A3ADB" w:rsidRPr="00721359" w:rsidRDefault="009A3ADB" w:rsidP="0092732B">
            <w:pPr>
              <w:rPr>
                <w:rFonts w:ascii="Arial" w:hAnsi="Arial" w:cs="Arial"/>
                <w:sz w:val="20"/>
                <w:szCs w:val="20"/>
              </w:rPr>
            </w:pPr>
            <w:r w:rsidRPr="00721359">
              <w:rPr>
                <w:rFonts w:ascii="Arial" w:hAnsi="Arial" w:cs="Arial"/>
                <w:sz w:val="20"/>
                <w:szCs w:val="20"/>
              </w:rPr>
              <w:t xml:space="preserve">Source: </w:t>
            </w:r>
            <w:r w:rsidR="00C54D3C" w:rsidRPr="00721359">
              <w:rPr>
                <w:rFonts w:ascii="Arial" w:hAnsi="Arial" w:cs="Arial"/>
                <w:sz w:val="20"/>
                <w:szCs w:val="20"/>
              </w:rPr>
              <w:t>DEER201</w:t>
            </w:r>
            <w:r w:rsidR="004F7F34">
              <w:rPr>
                <w:rFonts w:ascii="Arial" w:hAnsi="Arial" w:cs="Arial"/>
                <w:sz w:val="20"/>
                <w:szCs w:val="20"/>
              </w:rPr>
              <w:t>6</w:t>
            </w:r>
          </w:p>
        </w:tc>
      </w:tr>
      <w:tr w:rsidR="0027451C" w:rsidRPr="006E0732" w14:paraId="4BF2D5C5" w14:textId="77777777" w:rsidTr="006E0732">
        <w:trPr>
          <w:trHeight w:val="462"/>
        </w:trPr>
        <w:tc>
          <w:tcPr>
            <w:tcW w:w="1326" w:type="pct"/>
            <w:shd w:val="clear" w:color="auto" w:fill="BFBFBF" w:themeFill="background1" w:themeFillShade="BF"/>
          </w:tcPr>
          <w:p w14:paraId="4BF2D5C3" w14:textId="77777777" w:rsidR="0027451C" w:rsidRPr="00721359" w:rsidRDefault="0027451C">
            <w:pPr>
              <w:rPr>
                <w:rFonts w:ascii="Arial" w:hAnsi="Arial" w:cs="Arial"/>
                <w:b/>
                <w:sz w:val="20"/>
                <w:szCs w:val="20"/>
              </w:rPr>
            </w:pPr>
            <w:r w:rsidRPr="00721359">
              <w:rPr>
                <w:rFonts w:ascii="Arial" w:hAnsi="Arial" w:cs="Arial"/>
                <w:b/>
                <w:sz w:val="20"/>
                <w:szCs w:val="20"/>
              </w:rPr>
              <w:t>Comments</w:t>
            </w:r>
          </w:p>
        </w:tc>
        <w:tc>
          <w:tcPr>
            <w:tcW w:w="3674" w:type="pct"/>
            <w:gridSpan w:val="6"/>
            <w:shd w:val="clear" w:color="auto" w:fill="BFBFBF" w:themeFill="background1" w:themeFillShade="BF"/>
          </w:tcPr>
          <w:p w14:paraId="4BF2D5C4" w14:textId="3E390B30" w:rsidR="0027451C" w:rsidRPr="00721359" w:rsidRDefault="0027451C" w:rsidP="0092732B">
            <w:pPr>
              <w:rPr>
                <w:rFonts w:ascii="Arial" w:hAnsi="Arial" w:cs="Arial"/>
                <w:sz w:val="20"/>
                <w:szCs w:val="20"/>
              </w:rPr>
            </w:pPr>
          </w:p>
        </w:tc>
      </w:tr>
    </w:tbl>
    <w:p w14:paraId="4BF2D5C6" w14:textId="77777777" w:rsidR="00FF08D7" w:rsidRDefault="00FF08D7" w:rsidP="0090666D">
      <w:pPr>
        <w:pStyle w:val="Heading1"/>
        <w:sectPr w:rsidR="00FF08D7" w:rsidSect="006E0732">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start="1"/>
          <w:cols w:space="720"/>
          <w:docGrid w:linePitch="360"/>
        </w:sectPr>
      </w:pPr>
    </w:p>
    <w:p w14:paraId="4BF2D771" w14:textId="72A02116" w:rsidR="00EA4751" w:rsidRDefault="00EA4751">
      <w:pPr>
        <w:pStyle w:val="Heading1"/>
      </w:pPr>
      <w:bookmarkStart w:id="4" w:name="_Toc438526147"/>
      <w:r>
        <w:lastRenderedPageBreak/>
        <w:t>Document Revision History</w:t>
      </w:r>
      <w:bookmarkEnd w:id="4"/>
    </w:p>
    <w:p w14:paraId="4BF2D772" w14:textId="6ACFD8CF" w:rsidR="00EA4751" w:rsidRPr="006E0732" w:rsidRDefault="00EA4751" w:rsidP="006E0732">
      <w:pPr>
        <w:tabs>
          <w:tab w:val="left" w:pos="1710"/>
        </w:tabs>
        <w:rPr>
          <w:rFonts w:ascii="Arial" w:hAnsi="Arial" w:cs="Arial"/>
          <w:b/>
          <w:sz w:val="20"/>
          <w:szCs w:val="20"/>
        </w:rPr>
      </w:pPr>
      <w:r w:rsidRPr="00DF1B5D">
        <w:rPr>
          <w:rFonts w:ascii="Arial" w:hAnsi="Arial" w:cs="Arial"/>
        </w:rPr>
        <w:t xml:space="preserve">   </w:t>
      </w:r>
      <w:r w:rsidRPr="006E0732">
        <w:rPr>
          <w:rFonts w:ascii="Arial" w:hAnsi="Arial" w:cs="Arial"/>
          <w:b/>
        </w:rPr>
        <w:t xml:space="preserve">  </w:t>
      </w:r>
      <w:r w:rsidR="006E0732">
        <w:rPr>
          <w:rFonts w:ascii="Arial" w:hAnsi="Arial" w:cs="Arial"/>
          <w:b/>
          <w:sz w:val="20"/>
          <w:szCs w:val="20"/>
        </w:rPr>
        <w:t xml:space="preserve">Revision # </w:t>
      </w:r>
      <w:r w:rsidR="006E0732">
        <w:rPr>
          <w:rFonts w:ascii="Arial" w:hAnsi="Arial" w:cs="Arial"/>
          <w:b/>
          <w:sz w:val="20"/>
          <w:szCs w:val="20"/>
        </w:rPr>
        <w:tab/>
      </w:r>
      <w:r w:rsidRPr="006E0732">
        <w:rPr>
          <w:rFonts w:ascii="Arial" w:hAnsi="Arial" w:cs="Arial"/>
          <w:b/>
          <w:sz w:val="20"/>
          <w:szCs w:val="20"/>
        </w:rPr>
        <w:t>Date</w:t>
      </w:r>
      <w:r w:rsidR="006E0732">
        <w:rPr>
          <w:rFonts w:ascii="Arial" w:hAnsi="Arial" w:cs="Arial"/>
          <w:b/>
          <w:sz w:val="20"/>
          <w:szCs w:val="20"/>
        </w:rPr>
        <w:t xml:space="preserve"> </w:t>
      </w:r>
      <w:r w:rsidR="006E0732">
        <w:rPr>
          <w:rFonts w:ascii="Arial" w:hAnsi="Arial" w:cs="Arial"/>
          <w:b/>
          <w:sz w:val="20"/>
          <w:szCs w:val="20"/>
        </w:rPr>
        <w:tab/>
      </w:r>
      <w:r w:rsidRPr="006E0732">
        <w:rPr>
          <w:rFonts w:ascii="Arial" w:hAnsi="Arial" w:cs="Arial"/>
          <w:b/>
          <w:sz w:val="20"/>
          <w:szCs w:val="20"/>
        </w:rPr>
        <w:t xml:space="preserve">     Description</w:t>
      </w:r>
      <w:r w:rsidRPr="006E0732">
        <w:rPr>
          <w:rFonts w:ascii="Arial" w:hAnsi="Arial" w:cs="Arial"/>
          <w:b/>
          <w:sz w:val="20"/>
          <w:szCs w:val="20"/>
        </w:rPr>
        <w:tab/>
      </w:r>
      <w:r w:rsidRPr="006E0732">
        <w:rPr>
          <w:rFonts w:ascii="Arial" w:hAnsi="Arial" w:cs="Arial"/>
          <w:b/>
          <w:sz w:val="20"/>
          <w:szCs w:val="20"/>
        </w:rPr>
        <w:tab/>
        <w:t xml:space="preserve">         </w:t>
      </w:r>
      <w:r w:rsidR="003079E8" w:rsidRPr="006E0732">
        <w:rPr>
          <w:rFonts w:ascii="Arial" w:hAnsi="Arial" w:cs="Arial"/>
          <w:b/>
          <w:sz w:val="20"/>
          <w:szCs w:val="20"/>
        </w:rPr>
        <w:tab/>
      </w:r>
      <w:r w:rsidR="003079E8" w:rsidRPr="006E0732">
        <w:rPr>
          <w:rFonts w:ascii="Arial" w:hAnsi="Arial" w:cs="Arial"/>
          <w:b/>
          <w:sz w:val="20"/>
          <w:szCs w:val="20"/>
        </w:rPr>
        <w:tab/>
      </w:r>
      <w:r w:rsidRPr="006E0732">
        <w:rPr>
          <w:rFonts w:ascii="Arial" w:hAnsi="Arial" w:cs="Arial"/>
          <w:b/>
          <w:sz w:val="20"/>
          <w:szCs w:val="20"/>
        </w:rPr>
        <w:t>Author (Company)</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8"/>
        <w:gridCol w:w="1474"/>
        <w:gridCol w:w="3184"/>
        <w:gridCol w:w="3183"/>
      </w:tblGrid>
      <w:tr w:rsidR="00EA4751" w:rsidRPr="006E0732" w14:paraId="4BF2D777" w14:textId="77777777" w:rsidTr="00B57D26">
        <w:trPr>
          <w:trHeight w:val="464"/>
        </w:trPr>
        <w:tc>
          <w:tcPr>
            <w:tcW w:w="859" w:type="pct"/>
            <w:shd w:val="pct20" w:color="000000" w:fill="FFFFFF"/>
          </w:tcPr>
          <w:p w14:paraId="4BF2D773" w14:textId="77777777" w:rsidR="00EA4751" w:rsidRPr="006E0732" w:rsidRDefault="002730D6">
            <w:pPr>
              <w:rPr>
                <w:rFonts w:ascii="Arial" w:hAnsi="Arial" w:cs="Arial"/>
                <w:b/>
                <w:sz w:val="20"/>
                <w:szCs w:val="20"/>
              </w:rPr>
            </w:pPr>
            <w:r w:rsidRPr="006E0732">
              <w:rPr>
                <w:rFonts w:ascii="Arial" w:hAnsi="Arial" w:cs="Arial"/>
                <w:b/>
                <w:sz w:val="20"/>
                <w:szCs w:val="20"/>
              </w:rPr>
              <w:t>S</w:t>
            </w:r>
            <w:r w:rsidR="007A3050" w:rsidRPr="006E0732">
              <w:rPr>
                <w:rFonts w:ascii="Arial" w:hAnsi="Arial" w:cs="Arial"/>
                <w:b/>
                <w:sz w:val="20"/>
                <w:szCs w:val="20"/>
              </w:rPr>
              <w:t>uper</w:t>
            </w:r>
            <w:r w:rsidRPr="006E0732">
              <w:rPr>
                <w:rFonts w:ascii="Arial" w:hAnsi="Arial" w:cs="Arial"/>
                <w:b/>
                <w:sz w:val="20"/>
                <w:szCs w:val="20"/>
              </w:rPr>
              <w:t>s</w:t>
            </w:r>
            <w:r w:rsidR="007A3050" w:rsidRPr="006E0732">
              <w:rPr>
                <w:rFonts w:ascii="Arial" w:hAnsi="Arial" w:cs="Arial"/>
                <w:b/>
                <w:sz w:val="20"/>
                <w:szCs w:val="20"/>
              </w:rPr>
              <w:t>eded</w:t>
            </w:r>
          </w:p>
        </w:tc>
        <w:tc>
          <w:tcPr>
            <w:tcW w:w="778" w:type="pct"/>
            <w:shd w:val="pct20" w:color="000000" w:fill="FFFFFF"/>
          </w:tcPr>
          <w:p w14:paraId="4BF2D774" w14:textId="77777777" w:rsidR="00EA4751" w:rsidRPr="006E0732" w:rsidRDefault="00AE623E">
            <w:pPr>
              <w:rPr>
                <w:rFonts w:ascii="Arial" w:hAnsi="Arial" w:cs="Arial"/>
                <w:sz w:val="20"/>
                <w:szCs w:val="20"/>
              </w:rPr>
            </w:pPr>
            <w:r w:rsidRPr="006E0732">
              <w:rPr>
                <w:rFonts w:ascii="Arial" w:hAnsi="Arial" w:cs="Arial"/>
                <w:sz w:val="20"/>
                <w:szCs w:val="20"/>
              </w:rPr>
              <w:t>06/04/07</w:t>
            </w:r>
          </w:p>
        </w:tc>
        <w:tc>
          <w:tcPr>
            <w:tcW w:w="1681" w:type="pct"/>
            <w:shd w:val="pct20" w:color="000000" w:fill="FFFFFF"/>
          </w:tcPr>
          <w:p w14:paraId="4BF2D775" w14:textId="77777777" w:rsidR="00EA4751" w:rsidRPr="006E0732" w:rsidRDefault="007A3050">
            <w:pPr>
              <w:rPr>
                <w:rFonts w:ascii="Arial" w:hAnsi="Arial" w:cs="Arial"/>
                <w:sz w:val="20"/>
                <w:szCs w:val="20"/>
              </w:rPr>
            </w:pPr>
            <w:proofErr w:type="spellStart"/>
            <w:r w:rsidRPr="006E0732">
              <w:rPr>
                <w:rFonts w:ascii="Arial" w:hAnsi="Arial" w:cs="Arial"/>
                <w:sz w:val="20"/>
                <w:szCs w:val="20"/>
              </w:rPr>
              <w:t>Int</w:t>
            </w:r>
            <w:proofErr w:type="spellEnd"/>
            <w:r w:rsidRPr="006E0732">
              <w:rPr>
                <w:rFonts w:ascii="Arial" w:hAnsi="Arial" w:cs="Arial"/>
                <w:sz w:val="20"/>
                <w:szCs w:val="20"/>
              </w:rPr>
              <w:t xml:space="preserve"> Linear Fluor </w:t>
            </w:r>
            <w:proofErr w:type="spellStart"/>
            <w:r w:rsidRPr="006E0732">
              <w:rPr>
                <w:rFonts w:ascii="Arial" w:hAnsi="Arial" w:cs="Arial"/>
                <w:sz w:val="20"/>
                <w:szCs w:val="20"/>
              </w:rPr>
              <w:t>Fixt</w:t>
            </w:r>
            <w:proofErr w:type="spellEnd"/>
            <w:r w:rsidRPr="006E0732">
              <w:rPr>
                <w:rFonts w:ascii="Arial" w:hAnsi="Arial" w:cs="Arial"/>
                <w:sz w:val="20"/>
                <w:szCs w:val="20"/>
              </w:rPr>
              <w:t xml:space="preserve"> 060407.doc</w:t>
            </w:r>
          </w:p>
        </w:tc>
        <w:tc>
          <w:tcPr>
            <w:tcW w:w="1681" w:type="pct"/>
            <w:shd w:val="pct20" w:color="000000" w:fill="FFFFFF"/>
          </w:tcPr>
          <w:p w14:paraId="4BF2D776" w14:textId="77777777" w:rsidR="00EA4751" w:rsidRPr="006E0732" w:rsidRDefault="007A3050">
            <w:pPr>
              <w:rPr>
                <w:rFonts w:ascii="Arial" w:hAnsi="Arial" w:cs="Arial"/>
                <w:bCs/>
                <w:sz w:val="20"/>
                <w:szCs w:val="20"/>
              </w:rPr>
            </w:pPr>
            <w:r w:rsidRPr="006E0732">
              <w:rPr>
                <w:rFonts w:ascii="Arial" w:hAnsi="Arial" w:cs="Arial"/>
                <w:bCs/>
                <w:sz w:val="20"/>
                <w:szCs w:val="20"/>
              </w:rPr>
              <w:t>(PG&amp;E)</w:t>
            </w:r>
          </w:p>
        </w:tc>
      </w:tr>
      <w:tr w:rsidR="00674B95" w:rsidRPr="006E0732" w14:paraId="4BF2D77C" w14:textId="77777777" w:rsidTr="00B57D26">
        <w:trPr>
          <w:trHeight w:val="464"/>
        </w:trPr>
        <w:tc>
          <w:tcPr>
            <w:tcW w:w="859" w:type="pct"/>
            <w:shd w:val="pct5" w:color="000000" w:fill="FFFFFF"/>
          </w:tcPr>
          <w:p w14:paraId="4BF2D778" w14:textId="77777777" w:rsidR="00674B95" w:rsidRPr="006E0732" w:rsidRDefault="00674B95" w:rsidP="00997625">
            <w:pPr>
              <w:rPr>
                <w:rFonts w:ascii="Arial" w:hAnsi="Arial" w:cs="Arial"/>
                <w:b/>
                <w:sz w:val="20"/>
                <w:szCs w:val="20"/>
              </w:rPr>
            </w:pPr>
            <w:r w:rsidRPr="006E0732">
              <w:rPr>
                <w:rFonts w:ascii="Arial" w:hAnsi="Arial" w:cs="Arial"/>
                <w:b/>
                <w:sz w:val="20"/>
                <w:szCs w:val="20"/>
              </w:rPr>
              <w:t>Superseded</w:t>
            </w:r>
          </w:p>
        </w:tc>
        <w:tc>
          <w:tcPr>
            <w:tcW w:w="778" w:type="pct"/>
            <w:shd w:val="pct5" w:color="000000" w:fill="FFFFFF"/>
          </w:tcPr>
          <w:p w14:paraId="4BF2D779" w14:textId="77777777" w:rsidR="00674B95" w:rsidRPr="006E0732" w:rsidRDefault="00674B95" w:rsidP="00997625">
            <w:pPr>
              <w:rPr>
                <w:rFonts w:ascii="Arial" w:hAnsi="Arial" w:cs="Arial"/>
                <w:sz w:val="20"/>
                <w:szCs w:val="20"/>
              </w:rPr>
            </w:pPr>
            <w:r w:rsidRPr="006E0732">
              <w:rPr>
                <w:rFonts w:ascii="Arial" w:hAnsi="Arial" w:cs="Arial"/>
                <w:sz w:val="20"/>
                <w:szCs w:val="20"/>
              </w:rPr>
              <w:t>01/15/07</w:t>
            </w:r>
          </w:p>
        </w:tc>
        <w:tc>
          <w:tcPr>
            <w:tcW w:w="1681" w:type="pct"/>
            <w:shd w:val="pct5" w:color="000000" w:fill="FFFFFF"/>
          </w:tcPr>
          <w:p w14:paraId="4BF2D77A" w14:textId="77777777" w:rsidR="00674B95" w:rsidRPr="006E0732" w:rsidRDefault="00674B95" w:rsidP="00997625">
            <w:pPr>
              <w:rPr>
                <w:rFonts w:ascii="Arial" w:hAnsi="Arial" w:cs="Arial"/>
                <w:sz w:val="20"/>
                <w:szCs w:val="20"/>
              </w:rPr>
            </w:pPr>
            <w:r w:rsidRPr="006E0732">
              <w:rPr>
                <w:rFonts w:ascii="Arial" w:hAnsi="Arial" w:cs="Arial"/>
                <w:sz w:val="20"/>
                <w:szCs w:val="20"/>
              </w:rPr>
              <w:t>Linear Fluor Fixtures 01-15-07 – HO.doc</w:t>
            </w:r>
          </w:p>
        </w:tc>
        <w:tc>
          <w:tcPr>
            <w:tcW w:w="1681" w:type="pct"/>
            <w:shd w:val="pct5" w:color="000000" w:fill="FFFFFF"/>
          </w:tcPr>
          <w:p w14:paraId="4BF2D77B" w14:textId="77777777" w:rsidR="00674B95" w:rsidRPr="006E0732" w:rsidRDefault="00674B95" w:rsidP="00997625">
            <w:pPr>
              <w:rPr>
                <w:rFonts w:ascii="Arial" w:hAnsi="Arial" w:cs="Arial"/>
                <w:bCs/>
                <w:sz w:val="20"/>
                <w:szCs w:val="20"/>
              </w:rPr>
            </w:pPr>
            <w:r w:rsidRPr="006E0732">
              <w:rPr>
                <w:rFonts w:ascii="Arial" w:hAnsi="Arial" w:cs="Arial"/>
                <w:bCs/>
                <w:sz w:val="20"/>
                <w:szCs w:val="20"/>
              </w:rPr>
              <w:t>(PG&amp;E)</w:t>
            </w:r>
          </w:p>
        </w:tc>
      </w:tr>
      <w:tr w:rsidR="00674B95" w:rsidRPr="006E0732" w14:paraId="4BF2D781" w14:textId="77777777" w:rsidTr="00B57D26">
        <w:trPr>
          <w:trHeight w:val="464"/>
        </w:trPr>
        <w:tc>
          <w:tcPr>
            <w:tcW w:w="859" w:type="pct"/>
            <w:shd w:val="pct20" w:color="000000" w:fill="FFFFFF"/>
          </w:tcPr>
          <w:p w14:paraId="4BF2D77D" w14:textId="77777777" w:rsidR="00674B95" w:rsidRPr="006E0732" w:rsidRDefault="00674B95">
            <w:pPr>
              <w:rPr>
                <w:rFonts w:ascii="Arial" w:hAnsi="Arial" w:cs="Arial"/>
                <w:b/>
                <w:sz w:val="20"/>
                <w:szCs w:val="20"/>
              </w:rPr>
            </w:pPr>
            <w:r w:rsidRPr="006E0732">
              <w:rPr>
                <w:rFonts w:ascii="Arial" w:hAnsi="Arial" w:cs="Arial"/>
                <w:b/>
                <w:sz w:val="20"/>
                <w:szCs w:val="20"/>
              </w:rPr>
              <w:t>Superseded</w:t>
            </w:r>
          </w:p>
        </w:tc>
        <w:tc>
          <w:tcPr>
            <w:tcW w:w="778" w:type="pct"/>
            <w:shd w:val="pct20" w:color="000000" w:fill="FFFFFF"/>
          </w:tcPr>
          <w:p w14:paraId="4BF2D77E" w14:textId="77777777" w:rsidR="00674B95" w:rsidRPr="006E0732" w:rsidRDefault="00674B95">
            <w:pPr>
              <w:rPr>
                <w:rFonts w:ascii="Arial" w:hAnsi="Arial" w:cs="Arial"/>
                <w:sz w:val="20"/>
                <w:szCs w:val="20"/>
              </w:rPr>
            </w:pPr>
            <w:r w:rsidRPr="006E0732">
              <w:rPr>
                <w:rFonts w:ascii="Arial" w:hAnsi="Arial" w:cs="Arial"/>
                <w:sz w:val="20"/>
                <w:szCs w:val="20"/>
              </w:rPr>
              <w:t>01/15/07</w:t>
            </w:r>
          </w:p>
        </w:tc>
        <w:tc>
          <w:tcPr>
            <w:tcW w:w="1681" w:type="pct"/>
            <w:shd w:val="pct20" w:color="000000" w:fill="FFFFFF"/>
          </w:tcPr>
          <w:p w14:paraId="4BF2D77F" w14:textId="77777777" w:rsidR="00674B95" w:rsidRPr="006E0732" w:rsidRDefault="00674B95">
            <w:pPr>
              <w:rPr>
                <w:rFonts w:ascii="Arial" w:hAnsi="Arial" w:cs="Arial"/>
                <w:sz w:val="20"/>
                <w:szCs w:val="20"/>
              </w:rPr>
            </w:pPr>
            <w:r w:rsidRPr="006E0732">
              <w:rPr>
                <w:rFonts w:ascii="Arial" w:hAnsi="Arial" w:cs="Arial"/>
                <w:sz w:val="20"/>
                <w:szCs w:val="20"/>
              </w:rPr>
              <w:t>Linear Fluor Fixtures 01-15-07 .doc</w:t>
            </w:r>
          </w:p>
        </w:tc>
        <w:tc>
          <w:tcPr>
            <w:tcW w:w="1681" w:type="pct"/>
            <w:shd w:val="pct20" w:color="000000" w:fill="FFFFFF"/>
          </w:tcPr>
          <w:p w14:paraId="4BF2D780" w14:textId="77777777" w:rsidR="00674B95" w:rsidRPr="006E0732" w:rsidRDefault="00674B95">
            <w:pPr>
              <w:rPr>
                <w:rFonts w:ascii="Arial" w:hAnsi="Arial" w:cs="Arial"/>
                <w:bCs/>
                <w:sz w:val="20"/>
                <w:szCs w:val="20"/>
              </w:rPr>
            </w:pPr>
            <w:r w:rsidRPr="006E0732">
              <w:rPr>
                <w:rFonts w:ascii="Arial" w:hAnsi="Arial" w:cs="Arial"/>
                <w:bCs/>
                <w:sz w:val="20"/>
                <w:szCs w:val="20"/>
              </w:rPr>
              <w:t>(PG&amp;E)</w:t>
            </w:r>
          </w:p>
        </w:tc>
      </w:tr>
      <w:tr w:rsidR="00674B95" w:rsidRPr="006E0732" w14:paraId="4BF2D786" w14:textId="77777777" w:rsidTr="00B57D26">
        <w:trPr>
          <w:trHeight w:val="464"/>
        </w:trPr>
        <w:tc>
          <w:tcPr>
            <w:tcW w:w="859" w:type="pct"/>
            <w:shd w:val="pct5" w:color="000000" w:fill="FFFFFF"/>
          </w:tcPr>
          <w:p w14:paraId="4BF2D782" w14:textId="77777777" w:rsidR="00674B95" w:rsidRPr="006E0732" w:rsidRDefault="00674B95">
            <w:pPr>
              <w:rPr>
                <w:rFonts w:ascii="Arial" w:hAnsi="Arial" w:cs="Arial"/>
                <w:b/>
                <w:sz w:val="20"/>
                <w:szCs w:val="20"/>
              </w:rPr>
            </w:pPr>
            <w:r w:rsidRPr="006E0732">
              <w:rPr>
                <w:rFonts w:ascii="Arial" w:hAnsi="Arial" w:cs="Arial"/>
                <w:b/>
                <w:sz w:val="20"/>
                <w:szCs w:val="20"/>
              </w:rPr>
              <w:t>Revision 0</w:t>
            </w:r>
          </w:p>
        </w:tc>
        <w:tc>
          <w:tcPr>
            <w:tcW w:w="778" w:type="pct"/>
            <w:shd w:val="pct5" w:color="000000" w:fill="FFFFFF"/>
          </w:tcPr>
          <w:p w14:paraId="4BF2D783" w14:textId="77777777" w:rsidR="00674B95" w:rsidRPr="006E0732" w:rsidRDefault="008D4B1C">
            <w:pPr>
              <w:rPr>
                <w:rFonts w:ascii="Arial" w:hAnsi="Arial" w:cs="Arial"/>
                <w:b/>
                <w:sz w:val="20"/>
                <w:szCs w:val="20"/>
              </w:rPr>
            </w:pPr>
            <w:r w:rsidRPr="006E0732">
              <w:rPr>
                <w:rFonts w:ascii="Arial" w:hAnsi="Arial" w:cs="Arial"/>
                <w:sz w:val="20"/>
                <w:szCs w:val="20"/>
              </w:rPr>
              <w:t>03/07</w:t>
            </w:r>
            <w:r w:rsidR="00674B95" w:rsidRPr="006E0732">
              <w:rPr>
                <w:rFonts w:ascii="Arial" w:hAnsi="Arial" w:cs="Arial"/>
                <w:sz w:val="20"/>
                <w:szCs w:val="20"/>
              </w:rPr>
              <w:t>/08</w:t>
            </w:r>
          </w:p>
        </w:tc>
        <w:tc>
          <w:tcPr>
            <w:tcW w:w="1681" w:type="pct"/>
            <w:shd w:val="pct5" w:color="000000" w:fill="FFFFFF"/>
          </w:tcPr>
          <w:p w14:paraId="4BF2D784" w14:textId="77777777" w:rsidR="00674B95" w:rsidRPr="006E0732" w:rsidRDefault="00674B95">
            <w:pPr>
              <w:rPr>
                <w:rFonts w:ascii="Arial" w:hAnsi="Arial" w:cs="Arial"/>
                <w:b/>
                <w:sz w:val="20"/>
                <w:szCs w:val="20"/>
              </w:rPr>
            </w:pPr>
            <w:r w:rsidRPr="006E0732">
              <w:rPr>
                <w:rFonts w:ascii="Arial" w:hAnsi="Arial" w:cs="Arial"/>
                <w:sz w:val="20"/>
                <w:szCs w:val="20"/>
              </w:rPr>
              <w:t>Linear Fluorescent Interior Fixture PGECOLTG114 R0.doc</w:t>
            </w:r>
          </w:p>
        </w:tc>
        <w:tc>
          <w:tcPr>
            <w:tcW w:w="1681" w:type="pct"/>
            <w:shd w:val="pct5" w:color="000000" w:fill="FFFFFF"/>
          </w:tcPr>
          <w:p w14:paraId="4BF2D785" w14:textId="77777777" w:rsidR="00674B95" w:rsidRPr="006E0732" w:rsidRDefault="00674B95">
            <w:pPr>
              <w:rPr>
                <w:rFonts w:ascii="Arial" w:hAnsi="Arial" w:cs="Arial"/>
                <w:bCs/>
                <w:sz w:val="20"/>
                <w:szCs w:val="20"/>
              </w:rPr>
            </w:pPr>
            <w:r w:rsidRPr="006E0732">
              <w:rPr>
                <w:rFonts w:ascii="Arial" w:hAnsi="Arial" w:cs="Arial"/>
                <w:bCs/>
                <w:sz w:val="20"/>
                <w:szCs w:val="20"/>
              </w:rPr>
              <w:t>Emily Leslie (HDR/BVA)</w:t>
            </w:r>
            <w:r w:rsidRPr="006E0732">
              <w:rPr>
                <w:rFonts w:ascii="Arial" w:hAnsi="Arial" w:cs="Arial"/>
                <w:sz w:val="20"/>
                <w:szCs w:val="20"/>
              </w:rPr>
              <w:t xml:space="preserve"> </w:t>
            </w:r>
          </w:p>
        </w:tc>
      </w:tr>
      <w:tr w:rsidR="00674B95" w:rsidRPr="006E0732" w14:paraId="4BF2D798" w14:textId="77777777" w:rsidTr="00B57D26">
        <w:trPr>
          <w:trHeight w:val="464"/>
        </w:trPr>
        <w:tc>
          <w:tcPr>
            <w:tcW w:w="859" w:type="pct"/>
            <w:shd w:val="pct20" w:color="000000" w:fill="FFFFFF"/>
          </w:tcPr>
          <w:p w14:paraId="4BF2D787" w14:textId="77777777" w:rsidR="00674B95" w:rsidRPr="006E0732" w:rsidRDefault="00CC52E5">
            <w:pPr>
              <w:rPr>
                <w:rFonts w:ascii="Arial" w:hAnsi="Arial" w:cs="Arial"/>
                <w:b/>
                <w:sz w:val="20"/>
                <w:szCs w:val="20"/>
              </w:rPr>
            </w:pPr>
            <w:r w:rsidRPr="006E0732">
              <w:rPr>
                <w:rFonts w:ascii="Arial" w:hAnsi="Arial" w:cs="Arial"/>
                <w:b/>
                <w:sz w:val="20"/>
                <w:szCs w:val="20"/>
              </w:rPr>
              <w:t>Revision 1</w:t>
            </w:r>
          </w:p>
          <w:p w14:paraId="4BF2D788" w14:textId="77777777" w:rsidR="00004EF3" w:rsidRPr="006E0732" w:rsidRDefault="00004EF3">
            <w:pPr>
              <w:rPr>
                <w:rFonts w:ascii="Arial" w:hAnsi="Arial" w:cs="Arial"/>
                <w:b/>
                <w:sz w:val="20"/>
                <w:szCs w:val="20"/>
              </w:rPr>
            </w:pPr>
          </w:p>
          <w:p w14:paraId="4BF2D789" w14:textId="77777777" w:rsidR="00004EF3" w:rsidRPr="006E0732" w:rsidRDefault="00004EF3">
            <w:pPr>
              <w:rPr>
                <w:rFonts w:ascii="Arial" w:hAnsi="Arial" w:cs="Arial"/>
                <w:b/>
                <w:sz w:val="20"/>
                <w:szCs w:val="20"/>
              </w:rPr>
            </w:pPr>
          </w:p>
          <w:p w14:paraId="4BF2D78A" w14:textId="77777777" w:rsidR="00004EF3" w:rsidRPr="006E0732" w:rsidRDefault="00004EF3">
            <w:pPr>
              <w:rPr>
                <w:rFonts w:ascii="Arial" w:hAnsi="Arial" w:cs="Arial"/>
                <w:b/>
                <w:sz w:val="20"/>
                <w:szCs w:val="20"/>
              </w:rPr>
            </w:pPr>
          </w:p>
          <w:p w14:paraId="4BF2D78B" w14:textId="77777777" w:rsidR="00004EF3" w:rsidRPr="006E0732" w:rsidRDefault="00004EF3">
            <w:pPr>
              <w:rPr>
                <w:rFonts w:ascii="Arial" w:hAnsi="Arial" w:cs="Arial"/>
                <w:b/>
                <w:sz w:val="20"/>
                <w:szCs w:val="20"/>
              </w:rPr>
            </w:pPr>
          </w:p>
          <w:p w14:paraId="4BF2D78C" w14:textId="77777777" w:rsidR="00004EF3" w:rsidRPr="006E0732" w:rsidRDefault="00004EF3">
            <w:pPr>
              <w:rPr>
                <w:rFonts w:ascii="Arial" w:hAnsi="Arial" w:cs="Arial"/>
                <w:b/>
                <w:sz w:val="20"/>
                <w:szCs w:val="20"/>
              </w:rPr>
            </w:pPr>
          </w:p>
          <w:p w14:paraId="4BF2D78D" w14:textId="77777777" w:rsidR="00004EF3" w:rsidRPr="006E0732" w:rsidRDefault="00004EF3">
            <w:pPr>
              <w:rPr>
                <w:rFonts w:ascii="Arial" w:hAnsi="Arial" w:cs="Arial"/>
                <w:b/>
                <w:sz w:val="20"/>
                <w:szCs w:val="20"/>
              </w:rPr>
            </w:pPr>
          </w:p>
          <w:p w14:paraId="4BF2D78E" w14:textId="77777777" w:rsidR="00004EF3" w:rsidRPr="006E0732" w:rsidRDefault="00004EF3">
            <w:pPr>
              <w:rPr>
                <w:rFonts w:ascii="Arial" w:hAnsi="Arial" w:cs="Arial"/>
                <w:b/>
                <w:sz w:val="20"/>
                <w:szCs w:val="20"/>
              </w:rPr>
            </w:pPr>
          </w:p>
          <w:p w14:paraId="4BF2D78F" w14:textId="77777777" w:rsidR="00004EF3" w:rsidRPr="006E0732" w:rsidRDefault="00004EF3">
            <w:pPr>
              <w:rPr>
                <w:rFonts w:ascii="Arial" w:hAnsi="Arial" w:cs="Arial"/>
                <w:b/>
                <w:sz w:val="20"/>
                <w:szCs w:val="20"/>
              </w:rPr>
            </w:pPr>
          </w:p>
        </w:tc>
        <w:tc>
          <w:tcPr>
            <w:tcW w:w="778" w:type="pct"/>
            <w:shd w:val="pct20" w:color="000000" w:fill="FFFFFF"/>
          </w:tcPr>
          <w:p w14:paraId="4BF2D790" w14:textId="77777777" w:rsidR="00832293" w:rsidRPr="006E0732" w:rsidRDefault="00C65D66">
            <w:pPr>
              <w:rPr>
                <w:rFonts w:ascii="Arial" w:hAnsi="Arial" w:cs="Arial"/>
                <w:sz w:val="20"/>
                <w:szCs w:val="20"/>
              </w:rPr>
            </w:pPr>
            <w:r w:rsidRPr="006E0732">
              <w:rPr>
                <w:rFonts w:ascii="Arial" w:hAnsi="Arial" w:cs="Arial"/>
                <w:sz w:val="20"/>
                <w:szCs w:val="20"/>
              </w:rPr>
              <w:t>10/05</w:t>
            </w:r>
            <w:r w:rsidR="00832293" w:rsidRPr="006E0732">
              <w:rPr>
                <w:rFonts w:ascii="Arial" w:hAnsi="Arial" w:cs="Arial"/>
                <w:sz w:val="20"/>
                <w:szCs w:val="20"/>
              </w:rPr>
              <w:t>/09</w:t>
            </w:r>
          </w:p>
        </w:tc>
        <w:tc>
          <w:tcPr>
            <w:tcW w:w="1681" w:type="pct"/>
            <w:shd w:val="pct20" w:color="000000" w:fill="FFFFFF"/>
          </w:tcPr>
          <w:p w14:paraId="4BF2D791" w14:textId="77777777" w:rsidR="00674B95" w:rsidRPr="006E0732" w:rsidRDefault="00CC52E5">
            <w:pPr>
              <w:rPr>
                <w:rFonts w:ascii="Arial" w:hAnsi="Arial" w:cs="Arial"/>
                <w:sz w:val="20"/>
                <w:szCs w:val="20"/>
              </w:rPr>
            </w:pPr>
            <w:r w:rsidRPr="006E0732">
              <w:rPr>
                <w:rFonts w:ascii="Arial" w:hAnsi="Arial" w:cs="Arial"/>
                <w:sz w:val="20"/>
                <w:szCs w:val="20"/>
              </w:rPr>
              <w:t>Linear Fluorescent Interior Fixture PGECOLTG114 R1.doc</w:t>
            </w:r>
          </w:p>
          <w:p w14:paraId="4BF2D792" w14:textId="77777777" w:rsidR="00832293" w:rsidRPr="006E0732" w:rsidRDefault="00832293">
            <w:pPr>
              <w:rPr>
                <w:rFonts w:ascii="Arial" w:hAnsi="Arial" w:cs="Arial"/>
                <w:sz w:val="20"/>
                <w:szCs w:val="20"/>
              </w:rPr>
            </w:pPr>
            <w:r w:rsidRPr="006E0732">
              <w:rPr>
                <w:rFonts w:ascii="Arial" w:hAnsi="Arial" w:cs="Arial"/>
                <w:sz w:val="20"/>
                <w:szCs w:val="20"/>
              </w:rPr>
              <w:t>MODIFICATIONS:</w:t>
            </w:r>
          </w:p>
          <w:p w14:paraId="4BF2D793" w14:textId="77777777" w:rsidR="00832293" w:rsidRPr="006E0732" w:rsidRDefault="00832293" w:rsidP="00832293">
            <w:pPr>
              <w:numPr>
                <w:ilvl w:val="0"/>
                <w:numId w:val="8"/>
              </w:numPr>
              <w:rPr>
                <w:rFonts w:ascii="Arial" w:hAnsi="Arial" w:cs="Arial"/>
                <w:sz w:val="20"/>
                <w:szCs w:val="20"/>
              </w:rPr>
            </w:pPr>
            <w:r w:rsidRPr="006E0732">
              <w:rPr>
                <w:rFonts w:ascii="Arial" w:hAnsi="Arial" w:cs="Arial"/>
                <w:sz w:val="20"/>
                <w:szCs w:val="20"/>
              </w:rPr>
              <w:t>Modified Gas Energy Savings formula</w:t>
            </w:r>
          </w:p>
          <w:p w14:paraId="4BF2D794" w14:textId="77777777" w:rsidR="00832293" w:rsidRPr="006E0732" w:rsidRDefault="00832293" w:rsidP="00832293">
            <w:pPr>
              <w:numPr>
                <w:ilvl w:val="0"/>
                <w:numId w:val="8"/>
              </w:numPr>
              <w:rPr>
                <w:rFonts w:ascii="Arial" w:hAnsi="Arial" w:cs="Arial"/>
                <w:sz w:val="20"/>
                <w:szCs w:val="20"/>
              </w:rPr>
            </w:pPr>
            <w:r w:rsidRPr="006E0732">
              <w:rPr>
                <w:rFonts w:ascii="Arial" w:hAnsi="Arial" w:cs="Arial"/>
                <w:sz w:val="20"/>
                <w:szCs w:val="20"/>
              </w:rPr>
              <w:t xml:space="preserve">Revised </w:t>
            </w:r>
            <w:proofErr w:type="spellStart"/>
            <w:r w:rsidRPr="006E0732">
              <w:rPr>
                <w:rFonts w:ascii="Arial" w:hAnsi="Arial" w:cs="Arial"/>
                <w:sz w:val="20"/>
                <w:szCs w:val="20"/>
              </w:rPr>
              <w:t>Therms</w:t>
            </w:r>
            <w:proofErr w:type="spellEnd"/>
            <w:r w:rsidRPr="006E0732">
              <w:rPr>
                <w:rFonts w:ascii="Arial" w:hAnsi="Arial" w:cs="Arial"/>
                <w:sz w:val="20"/>
                <w:szCs w:val="20"/>
              </w:rPr>
              <w:t xml:space="preserve"> saving values</w:t>
            </w:r>
          </w:p>
          <w:p w14:paraId="4BF2D795" w14:textId="77777777" w:rsidR="00832293" w:rsidRPr="006E0732" w:rsidRDefault="00832293" w:rsidP="00832293">
            <w:pPr>
              <w:numPr>
                <w:ilvl w:val="0"/>
                <w:numId w:val="8"/>
              </w:numPr>
              <w:rPr>
                <w:rFonts w:ascii="Arial" w:hAnsi="Arial" w:cs="Arial"/>
                <w:sz w:val="20"/>
                <w:szCs w:val="20"/>
              </w:rPr>
            </w:pPr>
            <w:r w:rsidRPr="006E0732">
              <w:rPr>
                <w:rFonts w:ascii="Arial" w:hAnsi="Arial" w:cs="Arial"/>
                <w:sz w:val="20"/>
                <w:szCs w:val="20"/>
              </w:rPr>
              <w:t>Changed values for measure code id as “</w:t>
            </w:r>
            <w:r w:rsidR="008B231F" w:rsidRPr="006E0732">
              <w:rPr>
                <w:rFonts w:ascii="Arial" w:hAnsi="Arial" w:cs="Arial"/>
                <w:sz w:val="20"/>
                <w:szCs w:val="20"/>
              </w:rPr>
              <w:t>other</w:t>
            </w:r>
            <w:r w:rsidRPr="006E0732">
              <w:rPr>
                <w:rFonts w:ascii="Arial" w:hAnsi="Arial" w:cs="Arial"/>
                <w:sz w:val="20"/>
                <w:szCs w:val="20"/>
              </w:rPr>
              <w:t>”</w:t>
            </w:r>
            <w:r w:rsidR="00CB1D9C" w:rsidRPr="006E0732">
              <w:rPr>
                <w:rFonts w:ascii="Arial" w:hAnsi="Arial" w:cs="Arial"/>
                <w:sz w:val="20"/>
                <w:szCs w:val="20"/>
              </w:rPr>
              <w:t xml:space="preserve"> &amp;  “WRF”</w:t>
            </w:r>
          </w:p>
          <w:p w14:paraId="4BF2D796" w14:textId="77777777" w:rsidR="00004EF3" w:rsidRPr="006E0732" w:rsidRDefault="001A434A" w:rsidP="00160722">
            <w:pPr>
              <w:numPr>
                <w:ilvl w:val="0"/>
                <w:numId w:val="8"/>
              </w:numPr>
              <w:rPr>
                <w:rFonts w:ascii="Arial" w:hAnsi="Arial" w:cs="Arial"/>
                <w:sz w:val="20"/>
                <w:szCs w:val="20"/>
              </w:rPr>
            </w:pPr>
            <w:r w:rsidRPr="006E0732">
              <w:rPr>
                <w:rFonts w:ascii="Arial" w:hAnsi="Arial" w:cs="Arial"/>
                <w:sz w:val="20"/>
                <w:szCs w:val="20"/>
              </w:rPr>
              <w:t>Modified NTG ratio</w:t>
            </w:r>
          </w:p>
        </w:tc>
        <w:tc>
          <w:tcPr>
            <w:tcW w:w="1681" w:type="pct"/>
            <w:shd w:val="pct20" w:color="000000" w:fill="FFFFFF"/>
          </w:tcPr>
          <w:p w14:paraId="4BF2D797" w14:textId="77777777" w:rsidR="00674B95" w:rsidRPr="006E0732" w:rsidRDefault="00CC52E5">
            <w:pPr>
              <w:rPr>
                <w:rFonts w:ascii="Arial" w:hAnsi="Arial" w:cs="Arial"/>
                <w:sz w:val="20"/>
                <w:szCs w:val="20"/>
              </w:rPr>
            </w:pPr>
            <w:r w:rsidRPr="006E0732">
              <w:rPr>
                <w:rFonts w:ascii="Arial" w:hAnsi="Arial" w:cs="Arial"/>
                <w:sz w:val="20"/>
                <w:szCs w:val="20"/>
              </w:rPr>
              <w:t xml:space="preserve">Richmond </w:t>
            </w:r>
            <w:proofErr w:type="spellStart"/>
            <w:r w:rsidRPr="006E0732">
              <w:rPr>
                <w:rFonts w:ascii="Arial" w:hAnsi="Arial" w:cs="Arial"/>
                <w:sz w:val="20"/>
                <w:szCs w:val="20"/>
              </w:rPr>
              <w:t>Apande</w:t>
            </w:r>
            <w:proofErr w:type="spellEnd"/>
            <w:r w:rsidRPr="006E0732">
              <w:rPr>
                <w:rFonts w:ascii="Arial" w:hAnsi="Arial" w:cs="Arial"/>
                <w:sz w:val="20"/>
                <w:szCs w:val="20"/>
              </w:rPr>
              <w:t xml:space="preserve"> (PG&amp;E)</w:t>
            </w:r>
          </w:p>
        </w:tc>
      </w:tr>
      <w:tr w:rsidR="00004EF3" w:rsidRPr="006E0732" w14:paraId="4BF2D7A2" w14:textId="77777777" w:rsidTr="00B57D26">
        <w:trPr>
          <w:trHeight w:val="464"/>
        </w:trPr>
        <w:tc>
          <w:tcPr>
            <w:tcW w:w="859" w:type="pct"/>
            <w:tcBorders>
              <w:bottom w:val="single" w:sz="18" w:space="0" w:color="FFFFFF"/>
            </w:tcBorders>
            <w:shd w:val="pct5" w:color="000000" w:fill="FFFFFF"/>
          </w:tcPr>
          <w:p w14:paraId="4BF2D799" w14:textId="77777777" w:rsidR="00004EF3" w:rsidRPr="006E0732" w:rsidRDefault="00004EF3" w:rsidP="00B56069">
            <w:pPr>
              <w:rPr>
                <w:rFonts w:ascii="Arial" w:hAnsi="Arial" w:cs="Arial"/>
                <w:b/>
                <w:sz w:val="20"/>
                <w:szCs w:val="20"/>
              </w:rPr>
            </w:pPr>
            <w:bookmarkStart w:id="5" w:name="_Toc186621650"/>
            <w:r w:rsidRPr="006E0732">
              <w:rPr>
                <w:rFonts w:ascii="Arial" w:hAnsi="Arial" w:cs="Arial"/>
                <w:b/>
                <w:sz w:val="20"/>
                <w:szCs w:val="20"/>
              </w:rPr>
              <w:t>Revision 2</w:t>
            </w:r>
          </w:p>
        </w:tc>
        <w:tc>
          <w:tcPr>
            <w:tcW w:w="778" w:type="pct"/>
            <w:tcBorders>
              <w:bottom w:val="single" w:sz="18" w:space="0" w:color="FFFFFF"/>
            </w:tcBorders>
            <w:shd w:val="pct5" w:color="000000" w:fill="FFFFFF"/>
          </w:tcPr>
          <w:p w14:paraId="4BF2D79A" w14:textId="77777777" w:rsidR="00004EF3" w:rsidRPr="006E0732" w:rsidRDefault="00004EF3" w:rsidP="00B56069">
            <w:pPr>
              <w:rPr>
                <w:rFonts w:ascii="Arial" w:hAnsi="Arial" w:cs="Arial"/>
                <w:b/>
                <w:sz w:val="20"/>
                <w:szCs w:val="20"/>
              </w:rPr>
            </w:pPr>
            <w:r w:rsidRPr="006E0732">
              <w:rPr>
                <w:rFonts w:ascii="Arial" w:hAnsi="Arial" w:cs="Arial"/>
                <w:sz w:val="20"/>
                <w:szCs w:val="20"/>
              </w:rPr>
              <w:t>02/25/10</w:t>
            </w:r>
          </w:p>
        </w:tc>
        <w:tc>
          <w:tcPr>
            <w:tcW w:w="1681" w:type="pct"/>
            <w:tcBorders>
              <w:bottom w:val="single" w:sz="18" w:space="0" w:color="FFFFFF"/>
            </w:tcBorders>
            <w:shd w:val="pct5" w:color="000000" w:fill="FFFFFF"/>
          </w:tcPr>
          <w:p w14:paraId="4BF2D79B" w14:textId="77777777" w:rsidR="00004EF3" w:rsidRPr="006E0732" w:rsidRDefault="00004EF3" w:rsidP="00B56069">
            <w:pPr>
              <w:rPr>
                <w:rFonts w:ascii="Arial" w:hAnsi="Arial" w:cs="Arial"/>
                <w:sz w:val="20"/>
                <w:szCs w:val="20"/>
              </w:rPr>
            </w:pPr>
            <w:r w:rsidRPr="006E0732">
              <w:rPr>
                <w:rFonts w:ascii="Arial" w:hAnsi="Arial" w:cs="Arial"/>
                <w:sz w:val="20"/>
                <w:szCs w:val="20"/>
              </w:rPr>
              <w:t xml:space="preserve">Linear Fluorescent Interior Fixture </w:t>
            </w:r>
            <w:r w:rsidR="000538DA" w:rsidRPr="006E0732">
              <w:rPr>
                <w:rFonts w:ascii="Arial" w:hAnsi="Arial" w:cs="Arial"/>
                <w:sz w:val="20"/>
                <w:szCs w:val="20"/>
              </w:rPr>
              <w:t>PGECOLTG114 R2</w:t>
            </w:r>
            <w:r w:rsidRPr="006E0732">
              <w:rPr>
                <w:rFonts w:ascii="Arial" w:hAnsi="Arial" w:cs="Arial"/>
                <w:sz w:val="20"/>
                <w:szCs w:val="20"/>
              </w:rPr>
              <w:t>.doc</w:t>
            </w:r>
          </w:p>
          <w:p w14:paraId="4BF2D79C" w14:textId="77777777" w:rsidR="00C948C8" w:rsidRPr="006E0732" w:rsidRDefault="00004EF3" w:rsidP="00C948C8">
            <w:pPr>
              <w:rPr>
                <w:rFonts w:ascii="Arial" w:hAnsi="Arial" w:cs="Arial"/>
                <w:sz w:val="20"/>
                <w:szCs w:val="20"/>
              </w:rPr>
            </w:pPr>
            <w:r w:rsidRPr="006E0732">
              <w:rPr>
                <w:rFonts w:ascii="Arial" w:hAnsi="Arial" w:cs="Arial"/>
                <w:sz w:val="20"/>
                <w:szCs w:val="20"/>
              </w:rPr>
              <w:t>MODIFICATIONS:</w:t>
            </w:r>
          </w:p>
          <w:p w14:paraId="4BF2D79D" w14:textId="77777777" w:rsidR="00004EF3" w:rsidRPr="006E0732" w:rsidRDefault="00C948C8" w:rsidP="00C948C8">
            <w:pPr>
              <w:rPr>
                <w:rFonts w:ascii="Arial" w:hAnsi="Arial" w:cs="Arial"/>
                <w:sz w:val="20"/>
                <w:szCs w:val="20"/>
              </w:rPr>
            </w:pPr>
            <w:r w:rsidRPr="006E0732">
              <w:rPr>
                <w:rFonts w:ascii="Arial" w:hAnsi="Arial" w:cs="Arial"/>
                <w:sz w:val="20"/>
                <w:szCs w:val="20"/>
              </w:rPr>
              <w:t xml:space="preserve">1. </w:t>
            </w:r>
            <w:r w:rsidR="00004EF3" w:rsidRPr="006E0732">
              <w:rPr>
                <w:rFonts w:ascii="Arial" w:hAnsi="Arial" w:cs="Arial"/>
                <w:sz w:val="20"/>
                <w:szCs w:val="20"/>
              </w:rPr>
              <w:t>Changed Me</w:t>
            </w:r>
            <w:r w:rsidR="00AC0EC8" w:rsidRPr="006E0732">
              <w:rPr>
                <w:rFonts w:ascii="Arial" w:hAnsi="Arial" w:cs="Arial"/>
                <w:sz w:val="20"/>
                <w:szCs w:val="20"/>
              </w:rPr>
              <w:t xml:space="preserve">asure </w:t>
            </w:r>
            <w:proofErr w:type="gramStart"/>
            <w:r w:rsidR="00AC0EC8" w:rsidRPr="006E0732">
              <w:rPr>
                <w:rFonts w:ascii="Arial" w:hAnsi="Arial" w:cs="Arial"/>
                <w:sz w:val="20"/>
                <w:szCs w:val="20"/>
              </w:rPr>
              <w:t>C</w:t>
            </w:r>
            <w:r w:rsidR="00965A1F" w:rsidRPr="006E0732">
              <w:rPr>
                <w:rFonts w:ascii="Arial" w:hAnsi="Arial" w:cs="Arial"/>
                <w:sz w:val="20"/>
                <w:szCs w:val="20"/>
              </w:rPr>
              <w:t xml:space="preserve">odes  </w:t>
            </w:r>
            <w:r w:rsidR="00AC0EC8" w:rsidRPr="006E0732">
              <w:rPr>
                <w:rFonts w:ascii="Arial" w:hAnsi="Arial" w:cs="Arial"/>
                <w:sz w:val="20"/>
                <w:szCs w:val="20"/>
              </w:rPr>
              <w:t>&amp;</w:t>
            </w:r>
            <w:proofErr w:type="gramEnd"/>
            <w:r w:rsidR="00AC0EC8" w:rsidRPr="006E0732">
              <w:rPr>
                <w:rFonts w:ascii="Arial" w:hAnsi="Arial" w:cs="Arial"/>
                <w:sz w:val="20"/>
                <w:szCs w:val="20"/>
              </w:rPr>
              <w:t xml:space="preserve"> </w:t>
            </w:r>
            <w:r w:rsidR="00A8519F" w:rsidRPr="006E0732">
              <w:rPr>
                <w:rFonts w:ascii="Arial" w:hAnsi="Arial" w:cs="Arial"/>
                <w:sz w:val="20"/>
                <w:szCs w:val="20"/>
              </w:rPr>
              <w:t xml:space="preserve">added </w:t>
            </w:r>
            <w:r w:rsidR="00EF02B7" w:rsidRPr="006E0732">
              <w:rPr>
                <w:rFonts w:ascii="Arial" w:hAnsi="Arial" w:cs="Arial"/>
                <w:sz w:val="20"/>
                <w:szCs w:val="20"/>
              </w:rPr>
              <w:t>HP T8 Lamp</w:t>
            </w:r>
            <w:r w:rsidR="00A8519F" w:rsidRPr="006E0732">
              <w:rPr>
                <w:rFonts w:ascii="Arial" w:hAnsi="Arial" w:cs="Arial"/>
                <w:sz w:val="20"/>
                <w:szCs w:val="20"/>
              </w:rPr>
              <w:t>/</w:t>
            </w:r>
            <w:r w:rsidR="00EF02B7" w:rsidRPr="006E0732">
              <w:rPr>
                <w:rFonts w:ascii="Arial" w:hAnsi="Arial" w:cs="Arial"/>
                <w:sz w:val="20"/>
                <w:szCs w:val="20"/>
              </w:rPr>
              <w:t xml:space="preserve">NEMA </w:t>
            </w:r>
            <w:r w:rsidR="00A8519F" w:rsidRPr="006E0732">
              <w:rPr>
                <w:rFonts w:ascii="Arial" w:hAnsi="Arial" w:cs="Arial"/>
                <w:sz w:val="20"/>
                <w:szCs w:val="20"/>
              </w:rPr>
              <w:t>ballasts</w:t>
            </w:r>
            <w:r w:rsidR="00965A1F" w:rsidRPr="006E0732">
              <w:rPr>
                <w:rFonts w:ascii="Arial" w:hAnsi="Arial" w:cs="Arial"/>
                <w:sz w:val="20"/>
                <w:szCs w:val="20"/>
              </w:rPr>
              <w:t xml:space="preserve"> in the text.</w:t>
            </w:r>
          </w:p>
          <w:p w14:paraId="4BF2D79E" w14:textId="77777777" w:rsidR="00C948C8" w:rsidRPr="006E0732" w:rsidRDefault="00C948C8" w:rsidP="00C948C8">
            <w:pPr>
              <w:rPr>
                <w:rFonts w:ascii="Arial" w:hAnsi="Arial" w:cs="Arial"/>
                <w:sz w:val="20"/>
                <w:szCs w:val="20"/>
              </w:rPr>
            </w:pPr>
            <w:r w:rsidRPr="006E0732">
              <w:rPr>
                <w:rFonts w:ascii="Arial" w:hAnsi="Arial" w:cs="Arial"/>
                <w:sz w:val="20"/>
                <w:szCs w:val="20"/>
              </w:rPr>
              <w:t>2. Updated NTGR values for 2009-11</w:t>
            </w:r>
          </w:p>
          <w:p w14:paraId="4BF2D79F" w14:textId="77777777" w:rsidR="00EF02B7" w:rsidRPr="006E0732" w:rsidRDefault="00EF02B7" w:rsidP="00C948C8">
            <w:pPr>
              <w:rPr>
                <w:rFonts w:ascii="Arial" w:hAnsi="Arial" w:cs="Arial"/>
                <w:sz w:val="20"/>
                <w:szCs w:val="20"/>
              </w:rPr>
            </w:pPr>
            <w:r w:rsidRPr="006E0732">
              <w:rPr>
                <w:rFonts w:ascii="Arial" w:hAnsi="Arial" w:cs="Arial"/>
                <w:sz w:val="20"/>
                <w:szCs w:val="20"/>
              </w:rPr>
              <w:t xml:space="preserve">3. Modified kW, kWh  &amp; </w:t>
            </w:r>
            <w:proofErr w:type="spellStart"/>
            <w:r w:rsidRPr="006E0732">
              <w:rPr>
                <w:rFonts w:ascii="Arial" w:hAnsi="Arial" w:cs="Arial"/>
                <w:sz w:val="20"/>
                <w:szCs w:val="20"/>
              </w:rPr>
              <w:t>Therms</w:t>
            </w:r>
            <w:proofErr w:type="spellEnd"/>
            <w:r w:rsidRPr="006E0732">
              <w:rPr>
                <w:rFonts w:ascii="Arial" w:hAnsi="Arial" w:cs="Arial"/>
                <w:sz w:val="20"/>
                <w:szCs w:val="20"/>
              </w:rPr>
              <w:t xml:space="preserve"> savings values</w:t>
            </w:r>
          </w:p>
          <w:p w14:paraId="4BF2D7A0" w14:textId="77777777" w:rsidR="00004EF3" w:rsidRPr="006E0732" w:rsidRDefault="0074274D" w:rsidP="00160722">
            <w:pPr>
              <w:rPr>
                <w:rFonts w:ascii="Arial" w:hAnsi="Arial" w:cs="Arial"/>
                <w:b/>
                <w:sz w:val="20"/>
                <w:szCs w:val="20"/>
              </w:rPr>
            </w:pPr>
            <w:r w:rsidRPr="006E0732">
              <w:rPr>
                <w:rFonts w:ascii="Arial" w:hAnsi="Arial" w:cs="Arial"/>
                <w:sz w:val="20"/>
                <w:szCs w:val="20"/>
              </w:rPr>
              <w:t>4. Modified Costs</w:t>
            </w:r>
          </w:p>
        </w:tc>
        <w:tc>
          <w:tcPr>
            <w:tcW w:w="1681" w:type="pct"/>
            <w:tcBorders>
              <w:bottom w:val="single" w:sz="18" w:space="0" w:color="FFFFFF"/>
            </w:tcBorders>
            <w:shd w:val="pct5" w:color="000000" w:fill="FFFFFF"/>
          </w:tcPr>
          <w:p w14:paraId="4BF2D7A1" w14:textId="77777777" w:rsidR="00004EF3" w:rsidRPr="006E0732" w:rsidRDefault="00004EF3" w:rsidP="00B56069">
            <w:pPr>
              <w:rPr>
                <w:rFonts w:ascii="Arial" w:hAnsi="Arial" w:cs="Arial"/>
                <w:bCs/>
                <w:sz w:val="20"/>
                <w:szCs w:val="20"/>
              </w:rPr>
            </w:pPr>
            <w:r w:rsidRPr="006E0732">
              <w:rPr>
                <w:rFonts w:ascii="Arial" w:hAnsi="Arial" w:cs="Arial"/>
                <w:bCs/>
                <w:sz w:val="20"/>
                <w:szCs w:val="20"/>
              </w:rPr>
              <w:t xml:space="preserve">Richmond </w:t>
            </w:r>
            <w:proofErr w:type="spellStart"/>
            <w:r w:rsidRPr="006E0732">
              <w:rPr>
                <w:rFonts w:ascii="Arial" w:hAnsi="Arial" w:cs="Arial"/>
                <w:bCs/>
                <w:sz w:val="20"/>
                <w:szCs w:val="20"/>
              </w:rPr>
              <w:t>Apande</w:t>
            </w:r>
            <w:proofErr w:type="spellEnd"/>
            <w:r w:rsidRPr="006E0732">
              <w:rPr>
                <w:rFonts w:ascii="Arial" w:hAnsi="Arial" w:cs="Arial"/>
                <w:bCs/>
                <w:sz w:val="20"/>
                <w:szCs w:val="20"/>
              </w:rPr>
              <w:t xml:space="preserve">  (PG&amp;E)</w:t>
            </w:r>
            <w:r w:rsidRPr="006E0732">
              <w:rPr>
                <w:rFonts w:ascii="Arial" w:hAnsi="Arial" w:cs="Arial"/>
                <w:sz w:val="20"/>
                <w:szCs w:val="20"/>
              </w:rPr>
              <w:t xml:space="preserve"> </w:t>
            </w:r>
          </w:p>
        </w:tc>
      </w:tr>
      <w:tr w:rsidR="004E381A" w:rsidRPr="006E0732" w14:paraId="4BF2D7AA" w14:textId="77777777" w:rsidTr="00B57D26">
        <w:trPr>
          <w:trHeight w:val="464"/>
        </w:trPr>
        <w:tc>
          <w:tcPr>
            <w:tcW w:w="859" w:type="pct"/>
            <w:tcBorders>
              <w:top w:val="single" w:sz="18" w:space="0" w:color="FFFFFF"/>
              <w:bottom w:val="single" w:sz="18" w:space="0" w:color="FFFFFF"/>
            </w:tcBorders>
            <w:shd w:val="pct20" w:color="000000" w:fill="FFFFFF"/>
          </w:tcPr>
          <w:p w14:paraId="4BF2D7A3" w14:textId="77777777" w:rsidR="004E381A" w:rsidRPr="006E0732" w:rsidRDefault="004E381A" w:rsidP="007F0919">
            <w:pPr>
              <w:rPr>
                <w:rFonts w:ascii="Arial" w:hAnsi="Arial" w:cs="Arial"/>
                <w:b/>
                <w:sz w:val="20"/>
                <w:szCs w:val="20"/>
              </w:rPr>
            </w:pPr>
            <w:r w:rsidRPr="006E0732">
              <w:rPr>
                <w:rFonts w:ascii="Arial" w:hAnsi="Arial" w:cs="Arial"/>
                <w:b/>
                <w:sz w:val="20"/>
                <w:szCs w:val="20"/>
              </w:rPr>
              <w:t>Revision 3</w:t>
            </w:r>
          </w:p>
        </w:tc>
        <w:tc>
          <w:tcPr>
            <w:tcW w:w="778" w:type="pct"/>
            <w:tcBorders>
              <w:top w:val="single" w:sz="18" w:space="0" w:color="FFFFFF"/>
              <w:bottom w:val="single" w:sz="18" w:space="0" w:color="FFFFFF"/>
            </w:tcBorders>
            <w:shd w:val="pct20" w:color="000000" w:fill="FFFFFF"/>
          </w:tcPr>
          <w:p w14:paraId="4BF2D7A4" w14:textId="77777777" w:rsidR="004E381A" w:rsidRPr="006E0732" w:rsidRDefault="004E381A" w:rsidP="007F0919">
            <w:pPr>
              <w:rPr>
                <w:rFonts w:ascii="Arial" w:hAnsi="Arial" w:cs="Arial"/>
                <w:b/>
                <w:sz w:val="20"/>
                <w:szCs w:val="20"/>
              </w:rPr>
            </w:pPr>
            <w:r w:rsidRPr="006E0732">
              <w:rPr>
                <w:rFonts w:ascii="Arial" w:hAnsi="Arial" w:cs="Arial"/>
                <w:sz w:val="20"/>
                <w:szCs w:val="20"/>
              </w:rPr>
              <w:t>02/25/10</w:t>
            </w:r>
          </w:p>
        </w:tc>
        <w:tc>
          <w:tcPr>
            <w:tcW w:w="1681" w:type="pct"/>
            <w:tcBorders>
              <w:top w:val="single" w:sz="18" w:space="0" w:color="FFFFFF"/>
              <w:bottom w:val="single" w:sz="18" w:space="0" w:color="FFFFFF"/>
            </w:tcBorders>
            <w:shd w:val="pct20" w:color="000000" w:fill="FFFFFF"/>
          </w:tcPr>
          <w:p w14:paraId="4BF2D7A5" w14:textId="77777777" w:rsidR="004E381A" w:rsidRPr="006E0732" w:rsidRDefault="004E381A" w:rsidP="007F0919">
            <w:pPr>
              <w:rPr>
                <w:rFonts w:ascii="Arial" w:hAnsi="Arial" w:cs="Arial"/>
                <w:sz w:val="20"/>
                <w:szCs w:val="20"/>
              </w:rPr>
            </w:pPr>
            <w:r w:rsidRPr="006E0732">
              <w:rPr>
                <w:rFonts w:ascii="Arial" w:hAnsi="Arial" w:cs="Arial"/>
                <w:sz w:val="20"/>
                <w:szCs w:val="20"/>
              </w:rPr>
              <w:t>Linear Fluorescent Interior Fixture PGECOLTG114 R3.doc</w:t>
            </w:r>
          </w:p>
          <w:p w14:paraId="4BF2D7A6" w14:textId="77777777" w:rsidR="004E381A" w:rsidRPr="006E0732" w:rsidRDefault="004E381A" w:rsidP="007F0919">
            <w:pPr>
              <w:rPr>
                <w:rFonts w:ascii="Arial" w:hAnsi="Arial" w:cs="Arial"/>
                <w:sz w:val="20"/>
                <w:szCs w:val="20"/>
              </w:rPr>
            </w:pPr>
          </w:p>
          <w:p w14:paraId="4BF2D7A7" w14:textId="77777777" w:rsidR="004E381A" w:rsidRPr="006E0732" w:rsidRDefault="004E381A" w:rsidP="007F0919">
            <w:pPr>
              <w:rPr>
                <w:rFonts w:ascii="Arial" w:hAnsi="Arial" w:cs="Arial"/>
                <w:sz w:val="20"/>
                <w:szCs w:val="20"/>
              </w:rPr>
            </w:pPr>
            <w:r w:rsidRPr="006E0732">
              <w:rPr>
                <w:rFonts w:ascii="Arial" w:hAnsi="Arial" w:cs="Arial"/>
                <w:sz w:val="20"/>
                <w:szCs w:val="20"/>
              </w:rPr>
              <w:t>MODIFICATIONS:</w:t>
            </w:r>
          </w:p>
          <w:p w14:paraId="4BF2D7A8" w14:textId="77777777" w:rsidR="004E381A" w:rsidRPr="006E0732" w:rsidRDefault="004E381A" w:rsidP="007F0919">
            <w:pPr>
              <w:rPr>
                <w:rFonts w:ascii="Arial" w:hAnsi="Arial" w:cs="Arial"/>
                <w:sz w:val="20"/>
                <w:szCs w:val="20"/>
              </w:rPr>
            </w:pPr>
            <w:r w:rsidRPr="006E0732">
              <w:rPr>
                <w:rFonts w:ascii="Arial" w:hAnsi="Arial" w:cs="Arial"/>
                <w:sz w:val="20"/>
                <w:szCs w:val="20"/>
              </w:rPr>
              <w:t>Include Attachment A reco</w:t>
            </w:r>
            <w:r w:rsidR="00F3023F" w:rsidRPr="006E0732">
              <w:rPr>
                <w:rFonts w:ascii="Arial" w:hAnsi="Arial" w:cs="Arial"/>
                <w:sz w:val="20"/>
                <w:szCs w:val="20"/>
              </w:rPr>
              <w:t>m</w:t>
            </w:r>
            <w:r w:rsidRPr="006E0732">
              <w:rPr>
                <w:rFonts w:ascii="Arial" w:hAnsi="Arial" w:cs="Arial"/>
                <w:sz w:val="20"/>
                <w:szCs w:val="20"/>
              </w:rPr>
              <w:t>mendation</w:t>
            </w:r>
          </w:p>
        </w:tc>
        <w:tc>
          <w:tcPr>
            <w:tcW w:w="1681" w:type="pct"/>
            <w:tcBorders>
              <w:top w:val="single" w:sz="18" w:space="0" w:color="FFFFFF"/>
              <w:bottom w:val="single" w:sz="18" w:space="0" w:color="FFFFFF"/>
            </w:tcBorders>
            <w:shd w:val="pct20" w:color="000000" w:fill="FFFFFF"/>
          </w:tcPr>
          <w:p w14:paraId="4BF2D7A9" w14:textId="77777777" w:rsidR="004E381A" w:rsidRPr="006E0732" w:rsidRDefault="004E381A" w:rsidP="007F0919">
            <w:pPr>
              <w:rPr>
                <w:rFonts w:ascii="Arial" w:hAnsi="Arial" w:cs="Arial"/>
                <w:bCs/>
                <w:sz w:val="20"/>
                <w:szCs w:val="20"/>
              </w:rPr>
            </w:pPr>
            <w:r w:rsidRPr="006E0732">
              <w:rPr>
                <w:rFonts w:ascii="Arial" w:hAnsi="Arial" w:cs="Arial"/>
                <w:bCs/>
                <w:sz w:val="20"/>
                <w:szCs w:val="20"/>
              </w:rPr>
              <w:t xml:space="preserve">Alina </w:t>
            </w:r>
            <w:proofErr w:type="spellStart"/>
            <w:r w:rsidRPr="006E0732">
              <w:rPr>
                <w:rFonts w:ascii="Arial" w:hAnsi="Arial" w:cs="Arial"/>
                <w:bCs/>
                <w:sz w:val="20"/>
                <w:szCs w:val="20"/>
              </w:rPr>
              <w:t>Zohrabian</w:t>
            </w:r>
            <w:proofErr w:type="spellEnd"/>
            <w:r w:rsidRPr="006E0732">
              <w:rPr>
                <w:rFonts w:ascii="Arial" w:hAnsi="Arial" w:cs="Arial"/>
                <w:bCs/>
                <w:sz w:val="20"/>
                <w:szCs w:val="20"/>
              </w:rPr>
              <w:t xml:space="preserve"> (PG&amp;E)</w:t>
            </w:r>
            <w:r w:rsidRPr="006E0732">
              <w:rPr>
                <w:rFonts w:ascii="Arial" w:hAnsi="Arial" w:cs="Arial"/>
                <w:sz w:val="20"/>
                <w:szCs w:val="20"/>
              </w:rPr>
              <w:t xml:space="preserve"> </w:t>
            </w:r>
          </w:p>
        </w:tc>
      </w:tr>
      <w:tr w:rsidR="004E381A" w:rsidRPr="006E0732" w14:paraId="4BF2D7B5" w14:textId="77777777" w:rsidTr="00B57D26">
        <w:trPr>
          <w:trHeight w:val="464"/>
        </w:trPr>
        <w:tc>
          <w:tcPr>
            <w:tcW w:w="859" w:type="pct"/>
            <w:tcBorders>
              <w:top w:val="single" w:sz="18" w:space="0" w:color="FFFFFF"/>
              <w:bottom w:val="single" w:sz="18" w:space="0" w:color="FFFFFF"/>
            </w:tcBorders>
            <w:shd w:val="pct5" w:color="000000" w:fill="FFFFFF"/>
          </w:tcPr>
          <w:p w14:paraId="4BF2D7AB" w14:textId="77777777" w:rsidR="004E381A" w:rsidRPr="006E0732" w:rsidRDefault="004E381A" w:rsidP="00F3023F">
            <w:pPr>
              <w:rPr>
                <w:rFonts w:ascii="Arial" w:hAnsi="Arial" w:cs="Arial"/>
                <w:b/>
                <w:sz w:val="20"/>
                <w:szCs w:val="20"/>
              </w:rPr>
            </w:pPr>
            <w:r w:rsidRPr="006E0732">
              <w:rPr>
                <w:rFonts w:ascii="Arial" w:hAnsi="Arial" w:cs="Arial"/>
                <w:b/>
                <w:sz w:val="20"/>
                <w:szCs w:val="20"/>
              </w:rPr>
              <w:t xml:space="preserve">Revision </w:t>
            </w:r>
            <w:r w:rsidR="00F3023F" w:rsidRPr="006E0732">
              <w:rPr>
                <w:rFonts w:ascii="Arial" w:hAnsi="Arial" w:cs="Arial"/>
                <w:b/>
                <w:sz w:val="20"/>
                <w:szCs w:val="20"/>
              </w:rPr>
              <w:t>4</w:t>
            </w:r>
          </w:p>
        </w:tc>
        <w:tc>
          <w:tcPr>
            <w:tcW w:w="778" w:type="pct"/>
            <w:tcBorders>
              <w:top w:val="single" w:sz="18" w:space="0" w:color="FFFFFF"/>
              <w:bottom w:val="single" w:sz="18" w:space="0" w:color="FFFFFF"/>
            </w:tcBorders>
            <w:shd w:val="pct5" w:color="000000" w:fill="FFFFFF"/>
          </w:tcPr>
          <w:p w14:paraId="4BF2D7AC" w14:textId="77777777" w:rsidR="004E381A" w:rsidRPr="006E0732" w:rsidRDefault="00B57D26" w:rsidP="007F0919">
            <w:pPr>
              <w:rPr>
                <w:rFonts w:ascii="Arial" w:hAnsi="Arial" w:cs="Arial"/>
                <w:b/>
                <w:sz w:val="20"/>
                <w:szCs w:val="20"/>
              </w:rPr>
            </w:pPr>
            <w:r w:rsidRPr="006E0732">
              <w:rPr>
                <w:rFonts w:ascii="Arial" w:hAnsi="Arial" w:cs="Arial"/>
                <w:sz w:val="20"/>
                <w:szCs w:val="20"/>
              </w:rPr>
              <w:t>06/15/12</w:t>
            </w:r>
          </w:p>
        </w:tc>
        <w:tc>
          <w:tcPr>
            <w:tcW w:w="1681" w:type="pct"/>
            <w:tcBorders>
              <w:top w:val="single" w:sz="18" w:space="0" w:color="FFFFFF"/>
              <w:bottom w:val="single" w:sz="18" w:space="0" w:color="FFFFFF"/>
            </w:tcBorders>
            <w:shd w:val="pct5" w:color="000000" w:fill="FFFFFF"/>
          </w:tcPr>
          <w:p w14:paraId="4BF2D7AD" w14:textId="77777777" w:rsidR="004E381A" w:rsidRPr="006E0732" w:rsidRDefault="004E381A" w:rsidP="007F0919">
            <w:pPr>
              <w:rPr>
                <w:rFonts w:ascii="Arial" w:hAnsi="Arial" w:cs="Arial"/>
                <w:sz w:val="20"/>
                <w:szCs w:val="20"/>
              </w:rPr>
            </w:pPr>
            <w:r w:rsidRPr="006E0732">
              <w:rPr>
                <w:rFonts w:ascii="Arial" w:hAnsi="Arial" w:cs="Arial"/>
                <w:sz w:val="20"/>
                <w:szCs w:val="20"/>
              </w:rPr>
              <w:t>Linear Fluorescent Interior Fixture PGECOLTG114 R4.doc</w:t>
            </w:r>
          </w:p>
          <w:p w14:paraId="4BF2D7AE" w14:textId="77777777" w:rsidR="00B57D26" w:rsidRPr="006E0732" w:rsidRDefault="00B57D26" w:rsidP="007F0919">
            <w:pPr>
              <w:rPr>
                <w:rFonts w:ascii="Arial" w:hAnsi="Arial" w:cs="Arial"/>
                <w:sz w:val="20"/>
                <w:szCs w:val="20"/>
              </w:rPr>
            </w:pPr>
          </w:p>
          <w:p w14:paraId="4BF2D7AF" w14:textId="77777777" w:rsidR="00B57D26" w:rsidRPr="006E0732" w:rsidRDefault="00B57D26" w:rsidP="00B57D26">
            <w:pPr>
              <w:rPr>
                <w:rFonts w:ascii="Arial" w:hAnsi="Arial" w:cs="Arial"/>
                <w:sz w:val="20"/>
                <w:szCs w:val="20"/>
              </w:rPr>
            </w:pPr>
            <w:r w:rsidRPr="006E0732">
              <w:rPr>
                <w:rFonts w:ascii="Arial" w:hAnsi="Arial" w:cs="Arial"/>
                <w:sz w:val="20"/>
                <w:szCs w:val="20"/>
              </w:rPr>
              <w:t>MODIFICATIONS:</w:t>
            </w:r>
          </w:p>
          <w:p w14:paraId="4BF2D7B0" w14:textId="77777777" w:rsidR="00B57D26" w:rsidRPr="006E0732" w:rsidRDefault="00B57D26" w:rsidP="00B57D26">
            <w:pPr>
              <w:numPr>
                <w:ilvl w:val="0"/>
                <w:numId w:val="14"/>
              </w:numPr>
              <w:rPr>
                <w:rFonts w:ascii="Arial" w:hAnsi="Arial" w:cs="Arial"/>
                <w:sz w:val="20"/>
                <w:szCs w:val="20"/>
              </w:rPr>
            </w:pPr>
            <w:r w:rsidRPr="006E0732">
              <w:rPr>
                <w:rFonts w:ascii="Arial" w:hAnsi="Arial" w:cs="Arial"/>
                <w:sz w:val="20"/>
                <w:szCs w:val="20"/>
              </w:rPr>
              <w:t>Removed T12 baseline from text.</w:t>
            </w:r>
          </w:p>
          <w:p w14:paraId="4BF2D7B1" w14:textId="77777777" w:rsidR="00B57D26" w:rsidRPr="006E0732" w:rsidRDefault="00B57D26" w:rsidP="00B57D26">
            <w:pPr>
              <w:numPr>
                <w:ilvl w:val="0"/>
                <w:numId w:val="14"/>
              </w:numPr>
              <w:rPr>
                <w:rFonts w:ascii="Arial" w:hAnsi="Arial" w:cs="Arial"/>
                <w:sz w:val="20"/>
                <w:szCs w:val="20"/>
              </w:rPr>
            </w:pPr>
            <w:r w:rsidRPr="006E0732">
              <w:rPr>
                <w:rFonts w:ascii="Arial" w:hAnsi="Arial" w:cs="Arial"/>
                <w:sz w:val="20"/>
                <w:szCs w:val="20"/>
              </w:rPr>
              <w:t xml:space="preserve">Modified kW, kWh &amp; </w:t>
            </w:r>
            <w:proofErr w:type="spellStart"/>
            <w:r w:rsidRPr="006E0732">
              <w:rPr>
                <w:rFonts w:ascii="Arial" w:hAnsi="Arial" w:cs="Arial"/>
                <w:sz w:val="20"/>
                <w:szCs w:val="20"/>
              </w:rPr>
              <w:t>Therm</w:t>
            </w:r>
            <w:proofErr w:type="spellEnd"/>
            <w:r w:rsidRPr="006E0732">
              <w:rPr>
                <w:rFonts w:ascii="Arial" w:hAnsi="Arial" w:cs="Arial"/>
                <w:sz w:val="20"/>
                <w:szCs w:val="20"/>
              </w:rPr>
              <w:t xml:space="preserve"> savings.</w:t>
            </w:r>
          </w:p>
          <w:p w14:paraId="4BF2D7B2" w14:textId="77777777" w:rsidR="004E381A" w:rsidRPr="006E0732" w:rsidRDefault="00B57D26" w:rsidP="007F0919">
            <w:pPr>
              <w:numPr>
                <w:ilvl w:val="0"/>
                <w:numId w:val="14"/>
              </w:numPr>
              <w:rPr>
                <w:rFonts w:ascii="Arial" w:hAnsi="Arial" w:cs="Arial"/>
                <w:sz w:val="20"/>
                <w:szCs w:val="20"/>
              </w:rPr>
            </w:pPr>
            <w:r w:rsidRPr="006E0732">
              <w:rPr>
                <w:rFonts w:ascii="Arial" w:hAnsi="Arial" w:cs="Arial"/>
                <w:sz w:val="20"/>
                <w:szCs w:val="20"/>
              </w:rPr>
              <w:t>Modified costs.</w:t>
            </w:r>
          </w:p>
        </w:tc>
        <w:tc>
          <w:tcPr>
            <w:tcW w:w="1681" w:type="pct"/>
            <w:tcBorders>
              <w:top w:val="single" w:sz="18" w:space="0" w:color="FFFFFF"/>
              <w:bottom w:val="single" w:sz="18" w:space="0" w:color="FFFFFF"/>
            </w:tcBorders>
            <w:shd w:val="pct5" w:color="000000" w:fill="FFFFFF"/>
          </w:tcPr>
          <w:p w14:paraId="4BF2D7B3" w14:textId="77777777" w:rsidR="00B57D26" w:rsidRPr="006E0732" w:rsidRDefault="00B57D26" w:rsidP="00B57D26">
            <w:pPr>
              <w:rPr>
                <w:rFonts w:ascii="Arial" w:hAnsi="Arial" w:cs="Arial"/>
                <w:bCs/>
                <w:sz w:val="20"/>
                <w:szCs w:val="20"/>
              </w:rPr>
            </w:pPr>
            <w:r w:rsidRPr="006E0732">
              <w:rPr>
                <w:rFonts w:ascii="Arial" w:hAnsi="Arial" w:cs="Arial"/>
                <w:bCs/>
                <w:sz w:val="20"/>
                <w:szCs w:val="20"/>
              </w:rPr>
              <w:t xml:space="preserve">David Gilliland (kW Engineering), </w:t>
            </w:r>
          </w:p>
          <w:p w14:paraId="4BF2D7B4" w14:textId="77777777" w:rsidR="004E381A" w:rsidRPr="006E0732" w:rsidRDefault="00B57D26" w:rsidP="00B57D26">
            <w:pPr>
              <w:rPr>
                <w:rFonts w:ascii="Arial" w:hAnsi="Arial" w:cs="Arial"/>
                <w:bCs/>
                <w:sz w:val="20"/>
                <w:szCs w:val="20"/>
              </w:rPr>
            </w:pPr>
            <w:r w:rsidRPr="006E0732">
              <w:rPr>
                <w:rFonts w:ascii="Arial" w:hAnsi="Arial" w:cs="Arial"/>
                <w:bCs/>
                <w:sz w:val="20"/>
                <w:szCs w:val="20"/>
              </w:rPr>
              <w:t xml:space="preserve">Alina </w:t>
            </w:r>
            <w:proofErr w:type="spellStart"/>
            <w:r w:rsidRPr="006E0732">
              <w:rPr>
                <w:rFonts w:ascii="Arial" w:hAnsi="Arial" w:cs="Arial"/>
                <w:bCs/>
                <w:sz w:val="20"/>
                <w:szCs w:val="20"/>
              </w:rPr>
              <w:t>Zohrabian</w:t>
            </w:r>
            <w:proofErr w:type="spellEnd"/>
            <w:r w:rsidRPr="006E0732">
              <w:rPr>
                <w:rFonts w:ascii="Arial" w:hAnsi="Arial" w:cs="Arial"/>
                <w:bCs/>
                <w:sz w:val="20"/>
                <w:szCs w:val="20"/>
              </w:rPr>
              <w:t xml:space="preserve"> (PG&amp;E)</w:t>
            </w:r>
          </w:p>
        </w:tc>
      </w:tr>
      <w:tr w:rsidR="00621EF8" w:rsidRPr="006E0732" w14:paraId="4BF2D7BA" w14:textId="77777777" w:rsidTr="001D41EC">
        <w:trPr>
          <w:trHeight w:val="464"/>
        </w:trPr>
        <w:tc>
          <w:tcPr>
            <w:tcW w:w="859" w:type="pct"/>
            <w:tcBorders>
              <w:top w:val="single" w:sz="18" w:space="0" w:color="FFFFFF"/>
              <w:bottom w:val="single" w:sz="18" w:space="0" w:color="FFFFFF"/>
            </w:tcBorders>
            <w:shd w:val="clear" w:color="auto" w:fill="BFBFBF"/>
          </w:tcPr>
          <w:p w14:paraId="4BF2D7B6" w14:textId="77777777" w:rsidR="00621EF8" w:rsidRPr="006E0732" w:rsidRDefault="00621EF8" w:rsidP="00F3023F">
            <w:pPr>
              <w:rPr>
                <w:rFonts w:ascii="Arial" w:hAnsi="Arial" w:cs="Arial"/>
                <w:b/>
                <w:sz w:val="20"/>
                <w:szCs w:val="20"/>
              </w:rPr>
            </w:pPr>
            <w:r w:rsidRPr="006E0732">
              <w:rPr>
                <w:rFonts w:ascii="Arial" w:hAnsi="Arial" w:cs="Arial"/>
                <w:b/>
                <w:sz w:val="20"/>
                <w:szCs w:val="20"/>
              </w:rPr>
              <w:t>Revision 4</w:t>
            </w:r>
          </w:p>
        </w:tc>
        <w:tc>
          <w:tcPr>
            <w:tcW w:w="778" w:type="pct"/>
            <w:tcBorders>
              <w:top w:val="single" w:sz="18" w:space="0" w:color="FFFFFF"/>
              <w:bottom w:val="single" w:sz="18" w:space="0" w:color="FFFFFF"/>
            </w:tcBorders>
            <w:shd w:val="clear" w:color="auto" w:fill="BFBFBF"/>
          </w:tcPr>
          <w:p w14:paraId="4BF2D7B7" w14:textId="77777777" w:rsidR="00621EF8" w:rsidRPr="006E0732" w:rsidRDefault="00621EF8" w:rsidP="007F0919">
            <w:pPr>
              <w:rPr>
                <w:rFonts w:ascii="Arial" w:hAnsi="Arial" w:cs="Arial"/>
                <w:sz w:val="20"/>
                <w:szCs w:val="20"/>
              </w:rPr>
            </w:pPr>
            <w:r w:rsidRPr="006E0732">
              <w:rPr>
                <w:rFonts w:ascii="Arial" w:hAnsi="Arial" w:cs="Arial"/>
                <w:sz w:val="20"/>
                <w:szCs w:val="20"/>
              </w:rPr>
              <w:t>8/28/12</w:t>
            </w:r>
          </w:p>
        </w:tc>
        <w:tc>
          <w:tcPr>
            <w:tcW w:w="1681" w:type="pct"/>
            <w:tcBorders>
              <w:top w:val="single" w:sz="18" w:space="0" w:color="FFFFFF"/>
              <w:bottom w:val="single" w:sz="18" w:space="0" w:color="FFFFFF"/>
            </w:tcBorders>
            <w:shd w:val="clear" w:color="auto" w:fill="BFBFBF"/>
          </w:tcPr>
          <w:p w14:paraId="4BF2D7B8" w14:textId="77777777" w:rsidR="00621EF8" w:rsidRPr="006E0732" w:rsidRDefault="00621EF8" w:rsidP="007F0919">
            <w:pPr>
              <w:rPr>
                <w:rFonts w:ascii="Arial" w:hAnsi="Arial" w:cs="Arial"/>
                <w:sz w:val="20"/>
                <w:szCs w:val="20"/>
              </w:rPr>
            </w:pPr>
            <w:r w:rsidRPr="006E0732">
              <w:rPr>
                <w:rFonts w:ascii="Arial" w:hAnsi="Arial" w:cs="Arial"/>
                <w:sz w:val="20"/>
                <w:szCs w:val="20"/>
              </w:rPr>
              <w:t xml:space="preserve">OTR explanation is added in the </w:t>
            </w:r>
            <w:proofErr w:type="spellStart"/>
            <w:r w:rsidRPr="006E0732">
              <w:rPr>
                <w:rFonts w:ascii="Arial" w:hAnsi="Arial" w:cs="Arial"/>
                <w:sz w:val="20"/>
                <w:szCs w:val="20"/>
              </w:rPr>
              <w:t>workpaper</w:t>
            </w:r>
            <w:proofErr w:type="spellEnd"/>
            <w:r w:rsidRPr="006E0732">
              <w:rPr>
                <w:rFonts w:ascii="Arial" w:hAnsi="Arial" w:cs="Arial"/>
                <w:sz w:val="20"/>
                <w:szCs w:val="20"/>
              </w:rPr>
              <w:t>,  For Vintage AV is changed to EX and For Climate Zone All is changed to IOU</w:t>
            </w:r>
          </w:p>
        </w:tc>
        <w:tc>
          <w:tcPr>
            <w:tcW w:w="1681" w:type="pct"/>
            <w:tcBorders>
              <w:top w:val="single" w:sz="18" w:space="0" w:color="FFFFFF"/>
              <w:bottom w:val="single" w:sz="18" w:space="0" w:color="FFFFFF"/>
            </w:tcBorders>
            <w:shd w:val="clear" w:color="auto" w:fill="BFBFBF"/>
          </w:tcPr>
          <w:p w14:paraId="4BF2D7B9" w14:textId="77777777" w:rsidR="00621EF8" w:rsidRPr="006E0732" w:rsidRDefault="00621EF8" w:rsidP="00B57D26">
            <w:pPr>
              <w:rPr>
                <w:rFonts w:ascii="Arial" w:hAnsi="Arial" w:cs="Arial"/>
                <w:bCs/>
                <w:sz w:val="20"/>
                <w:szCs w:val="20"/>
              </w:rPr>
            </w:pPr>
            <w:r w:rsidRPr="006E0732">
              <w:rPr>
                <w:rFonts w:ascii="Arial" w:hAnsi="Arial" w:cs="Arial"/>
                <w:bCs/>
                <w:sz w:val="20"/>
                <w:szCs w:val="20"/>
              </w:rPr>
              <w:t xml:space="preserve">Alina </w:t>
            </w:r>
            <w:proofErr w:type="spellStart"/>
            <w:r w:rsidRPr="006E0732">
              <w:rPr>
                <w:rFonts w:ascii="Arial" w:hAnsi="Arial" w:cs="Arial"/>
                <w:bCs/>
                <w:sz w:val="20"/>
                <w:szCs w:val="20"/>
              </w:rPr>
              <w:t>Zohrabian</w:t>
            </w:r>
            <w:proofErr w:type="spellEnd"/>
            <w:r w:rsidRPr="006E0732">
              <w:rPr>
                <w:rFonts w:ascii="Arial" w:hAnsi="Arial" w:cs="Arial"/>
                <w:bCs/>
                <w:sz w:val="20"/>
                <w:szCs w:val="20"/>
              </w:rPr>
              <w:t xml:space="preserve"> (PG&amp;E)</w:t>
            </w:r>
          </w:p>
        </w:tc>
      </w:tr>
      <w:tr w:rsidR="00CA7833" w:rsidRPr="006E0732" w14:paraId="4BF2D7C1" w14:textId="77777777" w:rsidTr="00D576A8">
        <w:trPr>
          <w:trHeight w:val="464"/>
        </w:trPr>
        <w:tc>
          <w:tcPr>
            <w:tcW w:w="859" w:type="pct"/>
            <w:tcBorders>
              <w:top w:val="single" w:sz="18" w:space="0" w:color="FFFFFF"/>
              <w:bottom w:val="single" w:sz="18" w:space="0" w:color="FFFFFF"/>
            </w:tcBorders>
            <w:shd w:val="clear" w:color="auto" w:fill="F2F2F2" w:themeFill="background1" w:themeFillShade="F2"/>
          </w:tcPr>
          <w:p w14:paraId="4BF2D7BB" w14:textId="77777777" w:rsidR="00CA7833" w:rsidRPr="006E0732" w:rsidRDefault="00CA7833" w:rsidP="00F3023F">
            <w:pPr>
              <w:rPr>
                <w:rFonts w:ascii="Arial" w:hAnsi="Arial" w:cs="Arial"/>
                <w:b/>
                <w:sz w:val="20"/>
                <w:szCs w:val="20"/>
              </w:rPr>
            </w:pPr>
            <w:r w:rsidRPr="006E0732">
              <w:rPr>
                <w:rFonts w:ascii="Arial" w:hAnsi="Arial" w:cs="Arial"/>
                <w:b/>
                <w:sz w:val="20"/>
                <w:szCs w:val="20"/>
              </w:rPr>
              <w:lastRenderedPageBreak/>
              <w:t>Revision 5</w:t>
            </w:r>
          </w:p>
        </w:tc>
        <w:tc>
          <w:tcPr>
            <w:tcW w:w="778" w:type="pct"/>
            <w:tcBorders>
              <w:top w:val="single" w:sz="18" w:space="0" w:color="FFFFFF"/>
              <w:bottom w:val="single" w:sz="18" w:space="0" w:color="FFFFFF"/>
            </w:tcBorders>
            <w:shd w:val="clear" w:color="auto" w:fill="F2F2F2" w:themeFill="background1" w:themeFillShade="F2"/>
          </w:tcPr>
          <w:p w14:paraId="4BF2D7BC" w14:textId="77777777" w:rsidR="00CA7833" w:rsidRPr="006E0732" w:rsidRDefault="00CA7833" w:rsidP="007F0919">
            <w:pPr>
              <w:rPr>
                <w:rFonts w:ascii="Arial" w:hAnsi="Arial" w:cs="Arial"/>
                <w:sz w:val="20"/>
                <w:szCs w:val="20"/>
              </w:rPr>
            </w:pPr>
            <w:r w:rsidRPr="006E0732">
              <w:rPr>
                <w:rFonts w:ascii="Arial" w:hAnsi="Arial" w:cs="Arial"/>
                <w:sz w:val="20"/>
                <w:szCs w:val="20"/>
              </w:rPr>
              <w:t>7/14/13</w:t>
            </w:r>
          </w:p>
        </w:tc>
        <w:tc>
          <w:tcPr>
            <w:tcW w:w="1681" w:type="pct"/>
            <w:tcBorders>
              <w:top w:val="single" w:sz="18" w:space="0" w:color="FFFFFF"/>
              <w:bottom w:val="single" w:sz="18" w:space="0" w:color="FFFFFF"/>
            </w:tcBorders>
            <w:shd w:val="clear" w:color="auto" w:fill="F2F2F2" w:themeFill="background1" w:themeFillShade="F2"/>
          </w:tcPr>
          <w:p w14:paraId="4BF2D7BD" w14:textId="77777777" w:rsidR="00CA7833" w:rsidRPr="006E0732" w:rsidRDefault="00CA7833" w:rsidP="007F0919">
            <w:pPr>
              <w:rPr>
                <w:rFonts w:ascii="Arial" w:hAnsi="Arial" w:cs="Arial"/>
                <w:bCs/>
                <w:sz w:val="20"/>
                <w:szCs w:val="20"/>
              </w:rPr>
            </w:pPr>
            <w:r w:rsidRPr="006E0732">
              <w:rPr>
                <w:rFonts w:ascii="Arial" w:hAnsi="Arial" w:cs="Arial"/>
                <w:bCs/>
                <w:sz w:val="20"/>
                <w:szCs w:val="20"/>
              </w:rPr>
              <w:t xml:space="preserve">Revised Savings values per ED </w:t>
            </w:r>
            <w:proofErr w:type="spellStart"/>
            <w:r w:rsidRPr="006E0732">
              <w:rPr>
                <w:rFonts w:ascii="Arial" w:hAnsi="Arial" w:cs="Arial"/>
                <w:bCs/>
                <w:sz w:val="20"/>
                <w:szCs w:val="20"/>
              </w:rPr>
              <w:t>Workpaper</w:t>
            </w:r>
            <w:proofErr w:type="spellEnd"/>
            <w:r w:rsidRPr="006E0732">
              <w:rPr>
                <w:rFonts w:ascii="Arial" w:hAnsi="Arial" w:cs="Arial"/>
                <w:bCs/>
                <w:sz w:val="20"/>
                <w:szCs w:val="20"/>
              </w:rPr>
              <w:t xml:space="preserve"> Disposition for Lighting Retrofit, issue March, 2013. For updated savings values, see file PGECOLTG114 R5-Calcs.xlsx</w:t>
            </w:r>
          </w:p>
          <w:p w14:paraId="4BF2D7BE" w14:textId="77777777" w:rsidR="00CA7833" w:rsidRPr="006E0732" w:rsidRDefault="00CA7833" w:rsidP="007F0919">
            <w:pPr>
              <w:rPr>
                <w:rFonts w:ascii="Arial" w:hAnsi="Arial" w:cs="Arial"/>
                <w:bCs/>
                <w:sz w:val="20"/>
                <w:szCs w:val="20"/>
              </w:rPr>
            </w:pPr>
            <w:r w:rsidRPr="006E0732">
              <w:rPr>
                <w:rFonts w:ascii="Arial" w:hAnsi="Arial" w:cs="Arial"/>
                <w:bCs/>
                <w:sz w:val="20"/>
                <w:szCs w:val="20"/>
              </w:rPr>
              <w:t>Measure wattage adjustments. Measure L1036 changed from 480 to 600 watts. Measure L1035 changed from 96 to 94 watts. Measure L1033 changed from 73 to 78 watts.</w:t>
            </w:r>
          </w:p>
          <w:p w14:paraId="4BF2D7BF" w14:textId="77777777" w:rsidR="00CA7833" w:rsidRPr="006E0732" w:rsidRDefault="00CA7833" w:rsidP="00CA7833">
            <w:pPr>
              <w:rPr>
                <w:rFonts w:ascii="Arial" w:hAnsi="Arial" w:cs="Arial"/>
                <w:sz w:val="20"/>
                <w:szCs w:val="20"/>
              </w:rPr>
            </w:pPr>
            <w:r w:rsidRPr="006E0732">
              <w:rPr>
                <w:rFonts w:ascii="Arial" w:hAnsi="Arial" w:cs="Arial"/>
                <w:bCs/>
                <w:sz w:val="20"/>
                <w:szCs w:val="20"/>
              </w:rPr>
              <w:t>ISR changed from 1 to 0.92.</w:t>
            </w:r>
          </w:p>
        </w:tc>
        <w:tc>
          <w:tcPr>
            <w:tcW w:w="1681" w:type="pct"/>
            <w:tcBorders>
              <w:top w:val="single" w:sz="18" w:space="0" w:color="FFFFFF"/>
              <w:bottom w:val="single" w:sz="18" w:space="0" w:color="FFFFFF"/>
            </w:tcBorders>
            <w:shd w:val="clear" w:color="auto" w:fill="F2F2F2" w:themeFill="background1" w:themeFillShade="F2"/>
          </w:tcPr>
          <w:p w14:paraId="4BF2D7C0" w14:textId="77777777" w:rsidR="00CA7833" w:rsidRPr="006E0732" w:rsidRDefault="00CA7833" w:rsidP="00B57D26">
            <w:pPr>
              <w:rPr>
                <w:rFonts w:ascii="Arial" w:hAnsi="Arial" w:cs="Arial"/>
                <w:bCs/>
                <w:sz w:val="20"/>
                <w:szCs w:val="20"/>
              </w:rPr>
            </w:pPr>
            <w:r w:rsidRPr="006E0732">
              <w:rPr>
                <w:rFonts w:ascii="Arial" w:hAnsi="Arial" w:cs="Arial"/>
                <w:bCs/>
                <w:sz w:val="20"/>
                <w:szCs w:val="20"/>
              </w:rPr>
              <w:t xml:space="preserve">Alina </w:t>
            </w:r>
            <w:proofErr w:type="spellStart"/>
            <w:r w:rsidRPr="006E0732">
              <w:rPr>
                <w:rFonts w:ascii="Arial" w:hAnsi="Arial" w:cs="Arial"/>
                <w:bCs/>
                <w:sz w:val="20"/>
                <w:szCs w:val="20"/>
              </w:rPr>
              <w:t>Zohrabian</w:t>
            </w:r>
            <w:proofErr w:type="spellEnd"/>
            <w:r w:rsidRPr="006E0732">
              <w:rPr>
                <w:rFonts w:ascii="Arial" w:hAnsi="Arial" w:cs="Arial"/>
                <w:bCs/>
                <w:sz w:val="20"/>
                <w:szCs w:val="20"/>
              </w:rPr>
              <w:t xml:space="preserve"> (PG&amp;E)</w:t>
            </w:r>
          </w:p>
        </w:tc>
      </w:tr>
      <w:tr w:rsidR="00D576A8" w:rsidRPr="006E0732" w14:paraId="4368B516" w14:textId="77777777" w:rsidTr="001D41EC">
        <w:trPr>
          <w:trHeight w:val="464"/>
        </w:trPr>
        <w:tc>
          <w:tcPr>
            <w:tcW w:w="859" w:type="pct"/>
            <w:tcBorders>
              <w:top w:val="single" w:sz="18" w:space="0" w:color="FFFFFF"/>
              <w:bottom w:val="single" w:sz="18" w:space="0" w:color="FFFFFF"/>
            </w:tcBorders>
            <w:shd w:val="clear" w:color="auto" w:fill="BFBFBF"/>
          </w:tcPr>
          <w:p w14:paraId="2A856A9E" w14:textId="3B0ABAD8" w:rsidR="00D576A8" w:rsidRPr="006E0732" w:rsidRDefault="00D576A8" w:rsidP="00F3023F">
            <w:pPr>
              <w:rPr>
                <w:rFonts w:ascii="Arial" w:hAnsi="Arial" w:cs="Arial"/>
                <w:b/>
                <w:sz w:val="20"/>
                <w:szCs w:val="20"/>
              </w:rPr>
            </w:pPr>
            <w:r w:rsidRPr="006E0732">
              <w:rPr>
                <w:rFonts w:ascii="Arial" w:hAnsi="Arial" w:cs="Arial"/>
                <w:b/>
                <w:sz w:val="20"/>
                <w:szCs w:val="20"/>
              </w:rPr>
              <w:t>Revision 6</w:t>
            </w:r>
          </w:p>
        </w:tc>
        <w:tc>
          <w:tcPr>
            <w:tcW w:w="778" w:type="pct"/>
            <w:tcBorders>
              <w:top w:val="single" w:sz="18" w:space="0" w:color="FFFFFF"/>
              <w:bottom w:val="single" w:sz="18" w:space="0" w:color="FFFFFF"/>
            </w:tcBorders>
            <w:shd w:val="clear" w:color="auto" w:fill="BFBFBF"/>
          </w:tcPr>
          <w:p w14:paraId="5B57F95A" w14:textId="25AECA76" w:rsidR="00D576A8" w:rsidRPr="006E0732" w:rsidRDefault="00D576A8" w:rsidP="007F0919">
            <w:pPr>
              <w:rPr>
                <w:rFonts w:ascii="Arial" w:hAnsi="Arial" w:cs="Arial"/>
                <w:sz w:val="20"/>
                <w:szCs w:val="20"/>
              </w:rPr>
            </w:pPr>
            <w:r w:rsidRPr="006E0732">
              <w:rPr>
                <w:rFonts w:ascii="Arial" w:hAnsi="Arial" w:cs="Arial"/>
                <w:sz w:val="20"/>
                <w:szCs w:val="20"/>
              </w:rPr>
              <w:t>5/16/2014</w:t>
            </w:r>
          </w:p>
        </w:tc>
        <w:tc>
          <w:tcPr>
            <w:tcW w:w="1681" w:type="pct"/>
            <w:tcBorders>
              <w:top w:val="single" w:sz="18" w:space="0" w:color="FFFFFF"/>
              <w:bottom w:val="single" w:sz="18" w:space="0" w:color="FFFFFF"/>
            </w:tcBorders>
            <w:shd w:val="clear" w:color="auto" w:fill="BFBFBF"/>
          </w:tcPr>
          <w:p w14:paraId="5905E1C0" w14:textId="6B909EC1" w:rsidR="00D576A8" w:rsidRPr="006E0732" w:rsidRDefault="00D576A8" w:rsidP="007F0919">
            <w:pPr>
              <w:rPr>
                <w:rFonts w:ascii="Arial" w:hAnsi="Arial" w:cs="Arial"/>
                <w:bCs/>
                <w:color w:val="FF0000"/>
                <w:sz w:val="20"/>
                <w:szCs w:val="20"/>
              </w:rPr>
            </w:pPr>
            <w:r w:rsidRPr="006E0732">
              <w:rPr>
                <w:rFonts w:ascii="Arial" w:hAnsi="Arial" w:cs="Arial"/>
                <w:bCs/>
                <w:sz w:val="20"/>
                <w:szCs w:val="20"/>
              </w:rPr>
              <w:t>Added DI values from (PGE3PLTG172) and revised savings values pe</w:t>
            </w:r>
            <w:r w:rsidR="00A476C2" w:rsidRPr="006E0732">
              <w:rPr>
                <w:rFonts w:ascii="Arial" w:hAnsi="Arial" w:cs="Arial"/>
                <w:bCs/>
                <w:sz w:val="20"/>
                <w:szCs w:val="20"/>
              </w:rPr>
              <w:t xml:space="preserve">r ED </w:t>
            </w:r>
            <w:proofErr w:type="spellStart"/>
            <w:r w:rsidR="00A476C2" w:rsidRPr="006E0732">
              <w:rPr>
                <w:rFonts w:ascii="Arial" w:hAnsi="Arial" w:cs="Arial"/>
                <w:bCs/>
                <w:sz w:val="20"/>
                <w:szCs w:val="20"/>
              </w:rPr>
              <w:t>Workpaper</w:t>
            </w:r>
            <w:proofErr w:type="spellEnd"/>
            <w:r w:rsidR="00A476C2" w:rsidRPr="006E0732">
              <w:rPr>
                <w:rFonts w:ascii="Arial" w:hAnsi="Arial" w:cs="Arial"/>
                <w:bCs/>
                <w:sz w:val="20"/>
                <w:szCs w:val="20"/>
              </w:rPr>
              <w:t xml:space="preserve"> Disposition for L</w:t>
            </w:r>
            <w:r w:rsidRPr="006E0732">
              <w:rPr>
                <w:rFonts w:ascii="Arial" w:hAnsi="Arial" w:cs="Arial"/>
                <w:bCs/>
                <w:sz w:val="20"/>
                <w:szCs w:val="20"/>
              </w:rPr>
              <w:t>ighting Retrofit</w:t>
            </w:r>
            <w:r w:rsidR="00A476C2" w:rsidRPr="006E0732">
              <w:rPr>
                <w:rFonts w:ascii="Arial" w:hAnsi="Arial" w:cs="Arial"/>
                <w:bCs/>
                <w:sz w:val="20"/>
                <w:szCs w:val="20"/>
              </w:rPr>
              <w:t>s</w:t>
            </w:r>
            <w:r w:rsidRPr="006E0732">
              <w:rPr>
                <w:rFonts w:ascii="Arial" w:hAnsi="Arial" w:cs="Arial"/>
                <w:bCs/>
                <w:sz w:val="20"/>
                <w:szCs w:val="20"/>
              </w:rPr>
              <w:t>, December 14, 2013.</w:t>
            </w:r>
          </w:p>
        </w:tc>
        <w:tc>
          <w:tcPr>
            <w:tcW w:w="1681" w:type="pct"/>
            <w:tcBorders>
              <w:top w:val="single" w:sz="18" w:space="0" w:color="FFFFFF"/>
              <w:bottom w:val="single" w:sz="18" w:space="0" w:color="FFFFFF"/>
            </w:tcBorders>
            <w:shd w:val="clear" w:color="auto" w:fill="BFBFBF"/>
          </w:tcPr>
          <w:p w14:paraId="51B2620F" w14:textId="21ABF441" w:rsidR="00D576A8" w:rsidRPr="006E0732" w:rsidRDefault="00D576A8" w:rsidP="00B57D26">
            <w:pPr>
              <w:rPr>
                <w:rFonts w:ascii="Arial" w:hAnsi="Arial" w:cs="Arial"/>
                <w:bCs/>
                <w:sz w:val="20"/>
                <w:szCs w:val="20"/>
              </w:rPr>
            </w:pPr>
            <w:r w:rsidRPr="006E0732">
              <w:rPr>
                <w:rFonts w:ascii="Arial" w:hAnsi="Arial" w:cs="Arial"/>
                <w:bCs/>
                <w:sz w:val="20"/>
                <w:szCs w:val="20"/>
              </w:rPr>
              <w:t xml:space="preserve">Mark </w:t>
            </w:r>
            <w:proofErr w:type="spellStart"/>
            <w:r w:rsidRPr="006E0732">
              <w:rPr>
                <w:rFonts w:ascii="Arial" w:hAnsi="Arial" w:cs="Arial"/>
                <w:bCs/>
                <w:sz w:val="20"/>
                <w:szCs w:val="20"/>
              </w:rPr>
              <w:t>Tiemens</w:t>
            </w:r>
            <w:proofErr w:type="spellEnd"/>
            <w:r w:rsidRPr="006E0732">
              <w:rPr>
                <w:rFonts w:ascii="Arial" w:hAnsi="Arial" w:cs="Arial"/>
                <w:bCs/>
                <w:sz w:val="20"/>
                <w:szCs w:val="20"/>
              </w:rPr>
              <w:t xml:space="preserve"> (PG&amp;E)</w:t>
            </w:r>
          </w:p>
        </w:tc>
      </w:tr>
      <w:tr w:rsidR="006E0732" w:rsidRPr="006E0732" w14:paraId="49BCA1C5" w14:textId="77777777" w:rsidTr="006E0732">
        <w:trPr>
          <w:trHeight w:val="464"/>
        </w:trPr>
        <w:tc>
          <w:tcPr>
            <w:tcW w:w="859" w:type="pct"/>
            <w:tcBorders>
              <w:top w:val="single" w:sz="18" w:space="0" w:color="FFFFFF"/>
              <w:bottom w:val="single" w:sz="18" w:space="0" w:color="FFFFFF"/>
            </w:tcBorders>
            <w:shd w:val="clear" w:color="auto" w:fill="F2F2F2" w:themeFill="background1" w:themeFillShade="F2"/>
          </w:tcPr>
          <w:p w14:paraId="463C1F4A" w14:textId="7E5DAE37" w:rsidR="006E0732" w:rsidRPr="006E0732" w:rsidRDefault="006E0732" w:rsidP="00F3023F">
            <w:pPr>
              <w:rPr>
                <w:rFonts w:ascii="Arial" w:hAnsi="Arial" w:cs="Arial"/>
                <w:b/>
                <w:sz w:val="20"/>
                <w:szCs w:val="20"/>
              </w:rPr>
            </w:pPr>
            <w:r>
              <w:rPr>
                <w:rFonts w:ascii="Arial" w:hAnsi="Arial" w:cs="Arial"/>
                <w:b/>
                <w:sz w:val="20"/>
                <w:szCs w:val="20"/>
              </w:rPr>
              <w:t>Revision 7</w:t>
            </w:r>
          </w:p>
        </w:tc>
        <w:tc>
          <w:tcPr>
            <w:tcW w:w="778" w:type="pct"/>
            <w:tcBorders>
              <w:top w:val="single" w:sz="18" w:space="0" w:color="FFFFFF"/>
              <w:bottom w:val="single" w:sz="18" w:space="0" w:color="FFFFFF"/>
            </w:tcBorders>
            <w:shd w:val="clear" w:color="auto" w:fill="F2F2F2" w:themeFill="background1" w:themeFillShade="F2"/>
          </w:tcPr>
          <w:p w14:paraId="0B8937FF" w14:textId="6AF18018" w:rsidR="006E0732" w:rsidRPr="006E0732" w:rsidRDefault="006E0732" w:rsidP="007F0919">
            <w:pPr>
              <w:rPr>
                <w:rFonts w:ascii="Arial" w:hAnsi="Arial" w:cs="Arial"/>
                <w:sz w:val="20"/>
                <w:szCs w:val="20"/>
              </w:rPr>
            </w:pPr>
            <w:r>
              <w:rPr>
                <w:rFonts w:ascii="Arial" w:hAnsi="Arial" w:cs="Arial"/>
                <w:sz w:val="20"/>
                <w:szCs w:val="20"/>
              </w:rPr>
              <w:t>1/1/2016</w:t>
            </w:r>
          </w:p>
        </w:tc>
        <w:tc>
          <w:tcPr>
            <w:tcW w:w="1681" w:type="pct"/>
            <w:tcBorders>
              <w:top w:val="single" w:sz="18" w:space="0" w:color="FFFFFF"/>
              <w:bottom w:val="single" w:sz="18" w:space="0" w:color="FFFFFF"/>
            </w:tcBorders>
            <w:shd w:val="clear" w:color="auto" w:fill="F2F2F2" w:themeFill="background1" w:themeFillShade="F2"/>
          </w:tcPr>
          <w:p w14:paraId="2A35EA82" w14:textId="596D2892" w:rsidR="006E0732" w:rsidRPr="006E0732" w:rsidRDefault="006E0732" w:rsidP="004F7F34">
            <w:pPr>
              <w:rPr>
                <w:rFonts w:ascii="Arial" w:hAnsi="Arial" w:cs="Arial"/>
                <w:bCs/>
                <w:sz w:val="20"/>
                <w:szCs w:val="20"/>
              </w:rPr>
            </w:pPr>
            <w:r>
              <w:rPr>
                <w:rFonts w:ascii="Arial" w:hAnsi="Arial" w:cs="Arial"/>
                <w:bCs/>
                <w:sz w:val="20"/>
                <w:szCs w:val="20"/>
              </w:rPr>
              <w:t>Updated base case and measure costs</w:t>
            </w:r>
            <w:r w:rsidR="004F7F34">
              <w:rPr>
                <w:rFonts w:ascii="Arial" w:hAnsi="Arial" w:cs="Arial"/>
                <w:bCs/>
                <w:sz w:val="20"/>
                <w:szCs w:val="20"/>
              </w:rPr>
              <w:t xml:space="preserve"> per Work Order 17</w:t>
            </w:r>
            <w:r w:rsidR="005833F9">
              <w:rPr>
                <w:rFonts w:ascii="Arial" w:hAnsi="Arial" w:cs="Arial"/>
                <w:bCs/>
                <w:sz w:val="20"/>
                <w:szCs w:val="20"/>
              </w:rPr>
              <w:t>.</w:t>
            </w:r>
            <w:r w:rsidR="004F7F34">
              <w:rPr>
                <w:rFonts w:ascii="Arial" w:hAnsi="Arial" w:cs="Arial"/>
                <w:bCs/>
                <w:sz w:val="20"/>
                <w:szCs w:val="20"/>
              </w:rPr>
              <w:t xml:space="preserve">  </w:t>
            </w:r>
            <w:r w:rsidR="005833F9">
              <w:rPr>
                <w:rFonts w:ascii="Arial" w:hAnsi="Arial" w:cs="Arial"/>
                <w:bCs/>
                <w:sz w:val="20"/>
                <w:szCs w:val="20"/>
              </w:rPr>
              <w:t xml:space="preserve">Updated </w:t>
            </w:r>
            <w:r w:rsidR="00164824">
              <w:rPr>
                <w:rFonts w:ascii="Arial" w:hAnsi="Arial" w:cs="Arial"/>
                <w:bCs/>
                <w:sz w:val="20"/>
                <w:szCs w:val="20"/>
              </w:rPr>
              <w:t xml:space="preserve">NTG, </w:t>
            </w:r>
            <w:r w:rsidR="005833F9">
              <w:rPr>
                <w:rFonts w:ascii="Arial" w:hAnsi="Arial" w:cs="Arial"/>
                <w:bCs/>
                <w:sz w:val="20"/>
                <w:szCs w:val="20"/>
              </w:rPr>
              <w:t>annual hours of operation, EUL, CDF, IE per DEER 2016.</w:t>
            </w:r>
          </w:p>
        </w:tc>
        <w:tc>
          <w:tcPr>
            <w:tcW w:w="1681" w:type="pct"/>
            <w:tcBorders>
              <w:top w:val="single" w:sz="18" w:space="0" w:color="FFFFFF"/>
              <w:bottom w:val="single" w:sz="18" w:space="0" w:color="FFFFFF"/>
            </w:tcBorders>
            <w:shd w:val="clear" w:color="auto" w:fill="F2F2F2" w:themeFill="background1" w:themeFillShade="F2"/>
          </w:tcPr>
          <w:p w14:paraId="717251E5" w14:textId="47B19236" w:rsidR="006E0732" w:rsidRPr="006E0732" w:rsidRDefault="006E0732" w:rsidP="004F7F34">
            <w:pPr>
              <w:rPr>
                <w:rFonts w:ascii="Arial" w:hAnsi="Arial" w:cs="Arial"/>
                <w:bCs/>
                <w:sz w:val="20"/>
                <w:szCs w:val="20"/>
              </w:rPr>
            </w:pPr>
            <w:r>
              <w:rPr>
                <w:rFonts w:ascii="Arial" w:hAnsi="Arial" w:cs="Arial"/>
                <w:bCs/>
                <w:sz w:val="20"/>
                <w:szCs w:val="20"/>
              </w:rPr>
              <w:t xml:space="preserve">Linda Wan (PG&amp;E)/Alina </w:t>
            </w:r>
            <w:proofErr w:type="spellStart"/>
            <w:r>
              <w:rPr>
                <w:rFonts w:ascii="Arial" w:hAnsi="Arial" w:cs="Arial"/>
                <w:bCs/>
                <w:sz w:val="20"/>
                <w:szCs w:val="20"/>
              </w:rPr>
              <w:t>Zohrabian</w:t>
            </w:r>
            <w:proofErr w:type="spellEnd"/>
            <w:r>
              <w:rPr>
                <w:rFonts w:ascii="Arial" w:hAnsi="Arial" w:cs="Arial"/>
                <w:bCs/>
                <w:sz w:val="20"/>
                <w:szCs w:val="20"/>
              </w:rPr>
              <w:t xml:space="preserve"> (PG&amp;E)</w:t>
            </w:r>
            <w:r w:rsidR="00114382">
              <w:rPr>
                <w:rFonts w:ascii="Arial" w:hAnsi="Arial" w:cs="Arial"/>
                <w:bCs/>
                <w:sz w:val="20"/>
                <w:szCs w:val="20"/>
              </w:rPr>
              <w:t>/Tai Voong (PG&amp;E)</w:t>
            </w:r>
          </w:p>
        </w:tc>
      </w:tr>
    </w:tbl>
    <w:p w14:paraId="1199C166" w14:textId="77777777" w:rsidR="006E0732" w:rsidRDefault="006E0732" w:rsidP="00A7406F">
      <w:pPr>
        <w:pStyle w:val="Heading1"/>
      </w:pPr>
    </w:p>
    <w:p w14:paraId="736A1FBA" w14:textId="77777777" w:rsidR="006E0732" w:rsidRDefault="006E0732">
      <w:pPr>
        <w:rPr>
          <w:rFonts w:ascii="Arial" w:hAnsi="Arial" w:cs="Arial"/>
          <w:b/>
          <w:bCs/>
          <w:kern w:val="32"/>
          <w:sz w:val="32"/>
          <w:szCs w:val="32"/>
        </w:rPr>
      </w:pPr>
      <w:r>
        <w:br w:type="page"/>
      </w:r>
    </w:p>
    <w:p w14:paraId="4BF2D7C2" w14:textId="529D30E8" w:rsidR="00EA4751" w:rsidRPr="00777A02" w:rsidRDefault="00EA4751" w:rsidP="00A7406F">
      <w:pPr>
        <w:pStyle w:val="Heading1"/>
      </w:pPr>
      <w:bookmarkStart w:id="6" w:name="_Toc438526148"/>
      <w:r>
        <w:lastRenderedPageBreak/>
        <w:t>Table of Contents</w:t>
      </w:r>
      <w:bookmarkEnd w:id="5"/>
      <w:bookmarkEnd w:id="6"/>
    </w:p>
    <w:p w14:paraId="28A4AE16" w14:textId="77777777" w:rsidR="00C469AB" w:rsidRDefault="00EA4751">
      <w:pPr>
        <w:pStyle w:val="TOC1"/>
        <w:tabs>
          <w:tab w:val="right" w:leader="dot" w:pos="9350"/>
        </w:tabs>
        <w:rPr>
          <w:rFonts w:asciiTheme="minorHAnsi" w:eastAsiaTheme="minorEastAsia" w:hAnsiTheme="minorHAnsi" w:cstheme="minorBidi"/>
          <w:noProof/>
          <w:sz w:val="22"/>
          <w:szCs w:val="22"/>
        </w:rPr>
      </w:pPr>
      <w:r w:rsidRPr="0019077F">
        <w:rPr>
          <w:rFonts w:ascii="Arial" w:hAnsi="Arial" w:cs="Arial"/>
          <w:b/>
          <w:bCs/>
        </w:rPr>
        <w:fldChar w:fldCharType="begin"/>
      </w:r>
      <w:r w:rsidRPr="0019077F">
        <w:rPr>
          <w:rFonts w:ascii="Arial" w:hAnsi="Arial" w:cs="Arial"/>
          <w:b/>
          <w:bCs/>
        </w:rPr>
        <w:instrText xml:space="preserve"> TOC \o "1-3" \h \z \u </w:instrText>
      </w:r>
      <w:r w:rsidRPr="0019077F">
        <w:rPr>
          <w:rFonts w:ascii="Arial" w:hAnsi="Arial" w:cs="Arial"/>
          <w:b/>
          <w:bCs/>
        </w:rPr>
        <w:fldChar w:fldCharType="separate"/>
      </w:r>
      <w:hyperlink w:anchor="_Toc438526146" w:history="1">
        <w:r w:rsidR="00C469AB" w:rsidRPr="0095669E">
          <w:rPr>
            <w:rStyle w:val="Hyperlink"/>
            <w:noProof/>
          </w:rPr>
          <w:t>At-a-Glance Summary</w:t>
        </w:r>
        <w:r w:rsidR="00C469AB">
          <w:rPr>
            <w:noProof/>
            <w:webHidden/>
          </w:rPr>
          <w:tab/>
        </w:r>
        <w:r w:rsidR="00C469AB">
          <w:rPr>
            <w:noProof/>
            <w:webHidden/>
          </w:rPr>
          <w:fldChar w:fldCharType="begin"/>
        </w:r>
        <w:r w:rsidR="00C469AB">
          <w:rPr>
            <w:noProof/>
            <w:webHidden/>
          </w:rPr>
          <w:instrText xml:space="preserve"> PAGEREF _Toc438526146 \h </w:instrText>
        </w:r>
        <w:r w:rsidR="00C469AB">
          <w:rPr>
            <w:noProof/>
            <w:webHidden/>
          </w:rPr>
        </w:r>
        <w:r w:rsidR="00C469AB">
          <w:rPr>
            <w:noProof/>
            <w:webHidden/>
          </w:rPr>
          <w:fldChar w:fldCharType="separate"/>
        </w:r>
        <w:r w:rsidR="00C469AB">
          <w:rPr>
            <w:noProof/>
            <w:webHidden/>
          </w:rPr>
          <w:t>i</w:t>
        </w:r>
        <w:r w:rsidR="00C469AB">
          <w:rPr>
            <w:noProof/>
            <w:webHidden/>
          </w:rPr>
          <w:fldChar w:fldCharType="end"/>
        </w:r>
      </w:hyperlink>
    </w:p>
    <w:p w14:paraId="50B75922" w14:textId="77777777" w:rsidR="00C469AB" w:rsidRDefault="00D227BC">
      <w:pPr>
        <w:pStyle w:val="TOC1"/>
        <w:tabs>
          <w:tab w:val="right" w:leader="dot" w:pos="9350"/>
        </w:tabs>
        <w:rPr>
          <w:rFonts w:asciiTheme="minorHAnsi" w:eastAsiaTheme="minorEastAsia" w:hAnsiTheme="minorHAnsi" w:cstheme="minorBidi"/>
          <w:noProof/>
          <w:sz w:val="22"/>
          <w:szCs w:val="22"/>
        </w:rPr>
      </w:pPr>
      <w:hyperlink w:anchor="_Toc438526147" w:history="1">
        <w:r w:rsidR="00C469AB" w:rsidRPr="0095669E">
          <w:rPr>
            <w:rStyle w:val="Hyperlink"/>
            <w:noProof/>
          </w:rPr>
          <w:t>Document Revision History</w:t>
        </w:r>
        <w:r w:rsidR="00C469AB">
          <w:rPr>
            <w:noProof/>
            <w:webHidden/>
          </w:rPr>
          <w:tab/>
        </w:r>
        <w:r w:rsidR="00C469AB">
          <w:rPr>
            <w:noProof/>
            <w:webHidden/>
          </w:rPr>
          <w:fldChar w:fldCharType="begin"/>
        </w:r>
        <w:r w:rsidR="00C469AB">
          <w:rPr>
            <w:noProof/>
            <w:webHidden/>
          </w:rPr>
          <w:instrText xml:space="preserve"> PAGEREF _Toc438526147 \h </w:instrText>
        </w:r>
        <w:r w:rsidR="00C469AB">
          <w:rPr>
            <w:noProof/>
            <w:webHidden/>
          </w:rPr>
        </w:r>
        <w:r w:rsidR="00C469AB">
          <w:rPr>
            <w:noProof/>
            <w:webHidden/>
          </w:rPr>
          <w:fldChar w:fldCharType="separate"/>
        </w:r>
        <w:r w:rsidR="00C469AB">
          <w:rPr>
            <w:noProof/>
            <w:webHidden/>
          </w:rPr>
          <w:t>ii</w:t>
        </w:r>
        <w:r w:rsidR="00C469AB">
          <w:rPr>
            <w:noProof/>
            <w:webHidden/>
          </w:rPr>
          <w:fldChar w:fldCharType="end"/>
        </w:r>
      </w:hyperlink>
    </w:p>
    <w:p w14:paraId="24E350B5" w14:textId="77777777" w:rsidR="00C469AB" w:rsidRDefault="00D227BC">
      <w:pPr>
        <w:pStyle w:val="TOC1"/>
        <w:tabs>
          <w:tab w:val="right" w:leader="dot" w:pos="9350"/>
        </w:tabs>
        <w:rPr>
          <w:rFonts w:asciiTheme="minorHAnsi" w:eastAsiaTheme="minorEastAsia" w:hAnsiTheme="minorHAnsi" w:cstheme="minorBidi"/>
          <w:noProof/>
          <w:sz w:val="22"/>
          <w:szCs w:val="22"/>
        </w:rPr>
      </w:pPr>
      <w:hyperlink w:anchor="_Toc438526148" w:history="1">
        <w:r w:rsidR="00C469AB" w:rsidRPr="0095669E">
          <w:rPr>
            <w:rStyle w:val="Hyperlink"/>
            <w:noProof/>
          </w:rPr>
          <w:t>Table of Contents</w:t>
        </w:r>
        <w:r w:rsidR="00C469AB">
          <w:rPr>
            <w:noProof/>
            <w:webHidden/>
          </w:rPr>
          <w:tab/>
        </w:r>
        <w:r w:rsidR="00C469AB">
          <w:rPr>
            <w:noProof/>
            <w:webHidden/>
          </w:rPr>
          <w:fldChar w:fldCharType="begin"/>
        </w:r>
        <w:r w:rsidR="00C469AB">
          <w:rPr>
            <w:noProof/>
            <w:webHidden/>
          </w:rPr>
          <w:instrText xml:space="preserve"> PAGEREF _Toc438526148 \h </w:instrText>
        </w:r>
        <w:r w:rsidR="00C469AB">
          <w:rPr>
            <w:noProof/>
            <w:webHidden/>
          </w:rPr>
        </w:r>
        <w:r w:rsidR="00C469AB">
          <w:rPr>
            <w:noProof/>
            <w:webHidden/>
          </w:rPr>
          <w:fldChar w:fldCharType="separate"/>
        </w:r>
        <w:r w:rsidR="00C469AB">
          <w:rPr>
            <w:noProof/>
            <w:webHidden/>
          </w:rPr>
          <w:t>iv</w:t>
        </w:r>
        <w:r w:rsidR="00C469AB">
          <w:rPr>
            <w:noProof/>
            <w:webHidden/>
          </w:rPr>
          <w:fldChar w:fldCharType="end"/>
        </w:r>
      </w:hyperlink>
    </w:p>
    <w:p w14:paraId="3F9C040C" w14:textId="77777777" w:rsidR="00C469AB" w:rsidRDefault="00D227BC">
      <w:pPr>
        <w:pStyle w:val="TOC1"/>
        <w:tabs>
          <w:tab w:val="right" w:leader="dot" w:pos="9350"/>
        </w:tabs>
        <w:rPr>
          <w:rFonts w:asciiTheme="minorHAnsi" w:eastAsiaTheme="minorEastAsia" w:hAnsiTheme="minorHAnsi" w:cstheme="minorBidi"/>
          <w:noProof/>
          <w:sz w:val="22"/>
          <w:szCs w:val="22"/>
        </w:rPr>
      </w:pPr>
      <w:hyperlink w:anchor="_Toc438526149" w:history="1">
        <w:r w:rsidR="00C469AB" w:rsidRPr="0095669E">
          <w:rPr>
            <w:rStyle w:val="Hyperlink"/>
            <w:noProof/>
          </w:rPr>
          <w:t>List of Tables</w:t>
        </w:r>
        <w:r w:rsidR="00C469AB">
          <w:rPr>
            <w:noProof/>
            <w:webHidden/>
          </w:rPr>
          <w:tab/>
        </w:r>
        <w:r w:rsidR="00C469AB">
          <w:rPr>
            <w:noProof/>
            <w:webHidden/>
          </w:rPr>
          <w:fldChar w:fldCharType="begin"/>
        </w:r>
        <w:r w:rsidR="00C469AB">
          <w:rPr>
            <w:noProof/>
            <w:webHidden/>
          </w:rPr>
          <w:instrText xml:space="preserve"> PAGEREF _Toc438526149 \h </w:instrText>
        </w:r>
        <w:r w:rsidR="00C469AB">
          <w:rPr>
            <w:noProof/>
            <w:webHidden/>
          </w:rPr>
        </w:r>
        <w:r w:rsidR="00C469AB">
          <w:rPr>
            <w:noProof/>
            <w:webHidden/>
          </w:rPr>
          <w:fldChar w:fldCharType="separate"/>
        </w:r>
        <w:r w:rsidR="00C469AB">
          <w:rPr>
            <w:noProof/>
            <w:webHidden/>
          </w:rPr>
          <w:t>iv</w:t>
        </w:r>
        <w:r w:rsidR="00C469AB">
          <w:rPr>
            <w:noProof/>
            <w:webHidden/>
          </w:rPr>
          <w:fldChar w:fldCharType="end"/>
        </w:r>
      </w:hyperlink>
    </w:p>
    <w:p w14:paraId="5F542776" w14:textId="77777777" w:rsidR="00C469AB" w:rsidRDefault="00D227BC">
      <w:pPr>
        <w:pStyle w:val="TOC1"/>
        <w:tabs>
          <w:tab w:val="right" w:leader="dot" w:pos="9350"/>
        </w:tabs>
        <w:rPr>
          <w:rFonts w:asciiTheme="minorHAnsi" w:eastAsiaTheme="minorEastAsia" w:hAnsiTheme="minorHAnsi" w:cstheme="minorBidi"/>
          <w:noProof/>
          <w:sz w:val="22"/>
          <w:szCs w:val="22"/>
        </w:rPr>
      </w:pPr>
      <w:hyperlink w:anchor="_Toc438526150" w:history="1">
        <w:r w:rsidR="00C469AB" w:rsidRPr="0095669E">
          <w:rPr>
            <w:rStyle w:val="Hyperlink"/>
            <w:noProof/>
          </w:rPr>
          <w:t>Section 1. General Measure &amp; Baseline Data</w:t>
        </w:r>
        <w:r w:rsidR="00C469AB">
          <w:rPr>
            <w:noProof/>
            <w:webHidden/>
          </w:rPr>
          <w:tab/>
        </w:r>
        <w:r w:rsidR="00C469AB">
          <w:rPr>
            <w:noProof/>
            <w:webHidden/>
          </w:rPr>
          <w:fldChar w:fldCharType="begin"/>
        </w:r>
        <w:r w:rsidR="00C469AB">
          <w:rPr>
            <w:noProof/>
            <w:webHidden/>
          </w:rPr>
          <w:instrText xml:space="preserve"> PAGEREF _Toc438526150 \h </w:instrText>
        </w:r>
        <w:r w:rsidR="00C469AB">
          <w:rPr>
            <w:noProof/>
            <w:webHidden/>
          </w:rPr>
        </w:r>
        <w:r w:rsidR="00C469AB">
          <w:rPr>
            <w:noProof/>
            <w:webHidden/>
          </w:rPr>
          <w:fldChar w:fldCharType="separate"/>
        </w:r>
        <w:r w:rsidR="00C469AB">
          <w:rPr>
            <w:noProof/>
            <w:webHidden/>
          </w:rPr>
          <w:t>5</w:t>
        </w:r>
        <w:r w:rsidR="00C469AB">
          <w:rPr>
            <w:noProof/>
            <w:webHidden/>
          </w:rPr>
          <w:fldChar w:fldCharType="end"/>
        </w:r>
      </w:hyperlink>
    </w:p>
    <w:p w14:paraId="3A7AB14F"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51" w:history="1">
        <w:r w:rsidR="00C469AB" w:rsidRPr="0095669E">
          <w:rPr>
            <w:rStyle w:val="Hyperlink"/>
            <w:noProof/>
          </w:rPr>
          <w:t>1.1 Measure Description &amp; Background</w:t>
        </w:r>
        <w:r w:rsidR="00C469AB">
          <w:rPr>
            <w:noProof/>
            <w:webHidden/>
          </w:rPr>
          <w:tab/>
        </w:r>
        <w:r w:rsidR="00C469AB">
          <w:rPr>
            <w:noProof/>
            <w:webHidden/>
          </w:rPr>
          <w:fldChar w:fldCharType="begin"/>
        </w:r>
        <w:r w:rsidR="00C469AB">
          <w:rPr>
            <w:noProof/>
            <w:webHidden/>
          </w:rPr>
          <w:instrText xml:space="preserve"> PAGEREF _Toc438526151 \h </w:instrText>
        </w:r>
        <w:r w:rsidR="00C469AB">
          <w:rPr>
            <w:noProof/>
            <w:webHidden/>
          </w:rPr>
        </w:r>
        <w:r w:rsidR="00C469AB">
          <w:rPr>
            <w:noProof/>
            <w:webHidden/>
          </w:rPr>
          <w:fldChar w:fldCharType="separate"/>
        </w:r>
        <w:r w:rsidR="00C469AB">
          <w:rPr>
            <w:noProof/>
            <w:webHidden/>
          </w:rPr>
          <w:t>5</w:t>
        </w:r>
        <w:r w:rsidR="00C469AB">
          <w:rPr>
            <w:noProof/>
            <w:webHidden/>
          </w:rPr>
          <w:fldChar w:fldCharType="end"/>
        </w:r>
      </w:hyperlink>
    </w:p>
    <w:p w14:paraId="0FF0FC91"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52" w:history="1">
        <w:r w:rsidR="00C469AB" w:rsidRPr="0095669E">
          <w:rPr>
            <w:rStyle w:val="Hyperlink"/>
            <w:noProof/>
          </w:rPr>
          <w:t>1.2 Product Technical Description</w:t>
        </w:r>
        <w:r w:rsidR="00C469AB">
          <w:rPr>
            <w:noProof/>
            <w:webHidden/>
          </w:rPr>
          <w:tab/>
        </w:r>
        <w:r w:rsidR="00C469AB">
          <w:rPr>
            <w:noProof/>
            <w:webHidden/>
          </w:rPr>
          <w:fldChar w:fldCharType="begin"/>
        </w:r>
        <w:r w:rsidR="00C469AB">
          <w:rPr>
            <w:noProof/>
            <w:webHidden/>
          </w:rPr>
          <w:instrText xml:space="preserve"> PAGEREF _Toc438526152 \h </w:instrText>
        </w:r>
        <w:r w:rsidR="00C469AB">
          <w:rPr>
            <w:noProof/>
            <w:webHidden/>
          </w:rPr>
        </w:r>
        <w:r w:rsidR="00C469AB">
          <w:rPr>
            <w:noProof/>
            <w:webHidden/>
          </w:rPr>
          <w:fldChar w:fldCharType="separate"/>
        </w:r>
        <w:r w:rsidR="00C469AB">
          <w:rPr>
            <w:noProof/>
            <w:webHidden/>
          </w:rPr>
          <w:t>6</w:t>
        </w:r>
        <w:r w:rsidR="00C469AB">
          <w:rPr>
            <w:noProof/>
            <w:webHidden/>
          </w:rPr>
          <w:fldChar w:fldCharType="end"/>
        </w:r>
      </w:hyperlink>
    </w:p>
    <w:p w14:paraId="2B160A7D"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53" w:history="1">
        <w:r w:rsidR="00C469AB" w:rsidRPr="0095669E">
          <w:rPr>
            <w:rStyle w:val="Hyperlink"/>
            <w:noProof/>
          </w:rPr>
          <w:t>1.3 Measure Application Type</w:t>
        </w:r>
        <w:r w:rsidR="00C469AB">
          <w:rPr>
            <w:noProof/>
            <w:webHidden/>
          </w:rPr>
          <w:tab/>
        </w:r>
        <w:r w:rsidR="00C469AB">
          <w:rPr>
            <w:noProof/>
            <w:webHidden/>
          </w:rPr>
          <w:fldChar w:fldCharType="begin"/>
        </w:r>
        <w:r w:rsidR="00C469AB">
          <w:rPr>
            <w:noProof/>
            <w:webHidden/>
          </w:rPr>
          <w:instrText xml:space="preserve"> PAGEREF _Toc438526153 \h </w:instrText>
        </w:r>
        <w:r w:rsidR="00C469AB">
          <w:rPr>
            <w:noProof/>
            <w:webHidden/>
          </w:rPr>
        </w:r>
        <w:r w:rsidR="00C469AB">
          <w:rPr>
            <w:noProof/>
            <w:webHidden/>
          </w:rPr>
          <w:fldChar w:fldCharType="separate"/>
        </w:r>
        <w:r w:rsidR="00C469AB">
          <w:rPr>
            <w:noProof/>
            <w:webHidden/>
          </w:rPr>
          <w:t>6</w:t>
        </w:r>
        <w:r w:rsidR="00C469AB">
          <w:rPr>
            <w:noProof/>
            <w:webHidden/>
          </w:rPr>
          <w:fldChar w:fldCharType="end"/>
        </w:r>
      </w:hyperlink>
    </w:p>
    <w:p w14:paraId="079D1FA7"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54" w:history="1">
        <w:r w:rsidR="00C469AB" w:rsidRPr="0095669E">
          <w:rPr>
            <w:rStyle w:val="Hyperlink"/>
            <w:noProof/>
          </w:rPr>
          <w:t>1.4 Product Base Case and Measure Case Data</w:t>
        </w:r>
        <w:r w:rsidR="00C469AB">
          <w:rPr>
            <w:noProof/>
            <w:webHidden/>
          </w:rPr>
          <w:tab/>
        </w:r>
        <w:r w:rsidR="00C469AB">
          <w:rPr>
            <w:noProof/>
            <w:webHidden/>
          </w:rPr>
          <w:fldChar w:fldCharType="begin"/>
        </w:r>
        <w:r w:rsidR="00C469AB">
          <w:rPr>
            <w:noProof/>
            <w:webHidden/>
          </w:rPr>
          <w:instrText xml:space="preserve"> PAGEREF _Toc438526154 \h </w:instrText>
        </w:r>
        <w:r w:rsidR="00C469AB">
          <w:rPr>
            <w:noProof/>
            <w:webHidden/>
          </w:rPr>
        </w:r>
        <w:r w:rsidR="00C469AB">
          <w:rPr>
            <w:noProof/>
            <w:webHidden/>
          </w:rPr>
          <w:fldChar w:fldCharType="separate"/>
        </w:r>
        <w:r w:rsidR="00C469AB">
          <w:rPr>
            <w:noProof/>
            <w:webHidden/>
          </w:rPr>
          <w:t>6</w:t>
        </w:r>
        <w:r w:rsidR="00C469AB">
          <w:rPr>
            <w:noProof/>
            <w:webHidden/>
          </w:rPr>
          <w:fldChar w:fldCharType="end"/>
        </w:r>
      </w:hyperlink>
    </w:p>
    <w:p w14:paraId="31D3ECA9"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55" w:history="1">
        <w:r w:rsidR="00C469AB" w:rsidRPr="0095669E">
          <w:rPr>
            <w:rStyle w:val="Hyperlink"/>
            <w:noProof/>
          </w:rPr>
          <w:t>1.4.1 DEER Base Case and Measure Case Information</w:t>
        </w:r>
        <w:r w:rsidR="00C469AB">
          <w:rPr>
            <w:noProof/>
            <w:webHidden/>
          </w:rPr>
          <w:tab/>
        </w:r>
        <w:r w:rsidR="00C469AB">
          <w:rPr>
            <w:noProof/>
            <w:webHidden/>
          </w:rPr>
          <w:fldChar w:fldCharType="begin"/>
        </w:r>
        <w:r w:rsidR="00C469AB">
          <w:rPr>
            <w:noProof/>
            <w:webHidden/>
          </w:rPr>
          <w:instrText xml:space="preserve"> PAGEREF _Toc438526155 \h </w:instrText>
        </w:r>
        <w:r w:rsidR="00C469AB">
          <w:rPr>
            <w:noProof/>
            <w:webHidden/>
          </w:rPr>
        </w:r>
        <w:r w:rsidR="00C469AB">
          <w:rPr>
            <w:noProof/>
            <w:webHidden/>
          </w:rPr>
          <w:fldChar w:fldCharType="separate"/>
        </w:r>
        <w:r w:rsidR="00C469AB">
          <w:rPr>
            <w:noProof/>
            <w:webHidden/>
          </w:rPr>
          <w:t>7</w:t>
        </w:r>
        <w:r w:rsidR="00C469AB">
          <w:rPr>
            <w:noProof/>
            <w:webHidden/>
          </w:rPr>
          <w:fldChar w:fldCharType="end"/>
        </w:r>
      </w:hyperlink>
    </w:p>
    <w:p w14:paraId="2A2AE291"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56" w:history="1">
        <w:r w:rsidR="00C469AB" w:rsidRPr="0095669E">
          <w:rPr>
            <w:rStyle w:val="Hyperlink"/>
            <w:noProof/>
          </w:rPr>
          <w:t>1.4.2 Codes &amp; Standards Requirements Base Case and Measure Information</w:t>
        </w:r>
        <w:r w:rsidR="00C469AB">
          <w:rPr>
            <w:noProof/>
            <w:webHidden/>
          </w:rPr>
          <w:tab/>
        </w:r>
        <w:r w:rsidR="00C469AB">
          <w:rPr>
            <w:noProof/>
            <w:webHidden/>
          </w:rPr>
          <w:fldChar w:fldCharType="begin"/>
        </w:r>
        <w:r w:rsidR="00C469AB">
          <w:rPr>
            <w:noProof/>
            <w:webHidden/>
          </w:rPr>
          <w:instrText xml:space="preserve"> PAGEREF _Toc438526156 \h </w:instrText>
        </w:r>
        <w:r w:rsidR="00C469AB">
          <w:rPr>
            <w:noProof/>
            <w:webHidden/>
          </w:rPr>
        </w:r>
        <w:r w:rsidR="00C469AB">
          <w:rPr>
            <w:noProof/>
            <w:webHidden/>
          </w:rPr>
          <w:fldChar w:fldCharType="separate"/>
        </w:r>
        <w:r w:rsidR="00C469AB">
          <w:rPr>
            <w:noProof/>
            <w:webHidden/>
          </w:rPr>
          <w:t>7</w:t>
        </w:r>
        <w:r w:rsidR="00C469AB">
          <w:rPr>
            <w:noProof/>
            <w:webHidden/>
          </w:rPr>
          <w:fldChar w:fldCharType="end"/>
        </w:r>
      </w:hyperlink>
    </w:p>
    <w:p w14:paraId="4A429FFA"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57" w:history="1">
        <w:r w:rsidR="00C469AB" w:rsidRPr="0095669E">
          <w:rPr>
            <w:rStyle w:val="Hyperlink"/>
            <w:noProof/>
          </w:rPr>
          <w:t>1.4.3 EM&amp;V, Market Potential, and Other Studies – Base Case and Measure Case Information</w:t>
        </w:r>
        <w:r w:rsidR="00C469AB">
          <w:rPr>
            <w:noProof/>
            <w:webHidden/>
          </w:rPr>
          <w:tab/>
        </w:r>
        <w:r w:rsidR="00C469AB">
          <w:rPr>
            <w:noProof/>
            <w:webHidden/>
          </w:rPr>
          <w:fldChar w:fldCharType="begin"/>
        </w:r>
        <w:r w:rsidR="00C469AB">
          <w:rPr>
            <w:noProof/>
            <w:webHidden/>
          </w:rPr>
          <w:instrText xml:space="preserve"> PAGEREF _Toc438526157 \h </w:instrText>
        </w:r>
        <w:r w:rsidR="00C469AB">
          <w:rPr>
            <w:noProof/>
            <w:webHidden/>
          </w:rPr>
        </w:r>
        <w:r w:rsidR="00C469AB">
          <w:rPr>
            <w:noProof/>
            <w:webHidden/>
          </w:rPr>
          <w:fldChar w:fldCharType="separate"/>
        </w:r>
        <w:r w:rsidR="00C469AB">
          <w:rPr>
            <w:noProof/>
            <w:webHidden/>
          </w:rPr>
          <w:t>8</w:t>
        </w:r>
        <w:r w:rsidR="00C469AB">
          <w:rPr>
            <w:noProof/>
            <w:webHidden/>
          </w:rPr>
          <w:fldChar w:fldCharType="end"/>
        </w:r>
      </w:hyperlink>
    </w:p>
    <w:p w14:paraId="790028B6" w14:textId="77777777" w:rsidR="00C469AB" w:rsidRDefault="00D227BC">
      <w:pPr>
        <w:pStyle w:val="TOC1"/>
        <w:tabs>
          <w:tab w:val="right" w:leader="dot" w:pos="9350"/>
        </w:tabs>
        <w:rPr>
          <w:rFonts w:asciiTheme="minorHAnsi" w:eastAsiaTheme="minorEastAsia" w:hAnsiTheme="minorHAnsi" w:cstheme="minorBidi"/>
          <w:noProof/>
          <w:sz w:val="22"/>
          <w:szCs w:val="22"/>
        </w:rPr>
      </w:pPr>
      <w:hyperlink w:anchor="_Toc438526158" w:history="1">
        <w:r w:rsidR="00C469AB" w:rsidRPr="0095669E">
          <w:rPr>
            <w:rStyle w:val="Hyperlink"/>
            <w:noProof/>
          </w:rPr>
          <w:t>Section 2. Calculation Methods</w:t>
        </w:r>
        <w:r w:rsidR="00C469AB">
          <w:rPr>
            <w:noProof/>
            <w:webHidden/>
          </w:rPr>
          <w:tab/>
        </w:r>
        <w:r w:rsidR="00C469AB">
          <w:rPr>
            <w:noProof/>
            <w:webHidden/>
          </w:rPr>
          <w:fldChar w:fldCharType="begin"/>
        </w:r>
        <w:r w:rsidR="00C469AB">
          <w:rPr>
            <w:noProof/>
            <w:webHidden/>
          </w:rPr>
          <w:instrText xml:space="preserve"> PAGEREF _Toc438526158 \h </w:instrText>
        </w:r>
        <w:r w:rsidR="00C469AB">
          <w:rPr>
            <w:noProof/>
            <w:webHidden/>
          </w:rPr>
        </w:r>
        <w:r w:rsidR="00C469AB">
          <w:rPr>
            <w:noProof/>
            <w:webHidden/>
          </w:rPr>
          <w:fldChar w:fldCharType="separate"/>
        </w:r>
        <w:r w:rsidR="00C469AB">
          <w:rPr>
            <w:noProof/>
            <w:webHidden/>
          </w:rPr>
          <w:t>9</w:t>
        </w:r>
        <w:r w:rsidR="00C469AB">
          <w:rPr>
            <w:noProof/>
            <w:webHidden/>
          </w:rPr>
          <w:fldChar w:fldCharType="end"/>
        </w:r>
      </w:hyperlink>
    </w:p>
    <w:p w14:paraId="1626C7BB"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59" w:history="1">
        <w:r w:rsidR="00C469AB" w:rsidRPr="0095669E">
          <w:rPr>
            <w:rStyle w:val="Hyperlink"/>
            <w:noProof/>
          </w:rPr>
          <w:t>2.1 Electric Energy Savings Estimation Methodologies</w:t>
        </w:r>
        <w:r w:rsidR="00C469AB">
          <w:rPr>
            <w:noProof/>
            <w:webHidden/>
          </w:rPr>
          <w:tab/>
        </w:r>
        <w:r w:rsidR="00C469AB">
          <w:rPr>
            <w:noProof/>
            <w:webHidden/>
          </w:rPr>
          <w:fldChar w:fldCharType="begin"/>
        </w:r>
        <w:r w:rsidR="00C469AB">
          <w:rPr>
            <w:noProof/>
            <w:webHidden/>
          </w:rPr>
          <w:instrText xml:space="preserve"> PAGEREF _Toc438526159 \h </w:instrText>
        </w:r>
        <w:r w:rsidR="00C469AB">
          <w:rPr>
            <w:noProof/>
            <w:webHidden/>
          </w:rPr>
        </w:r>
        <w:r w:rsidR="00C469AB">
          <w:rPr>
            <w:noProof/>
            <w:webHidden/>
          </w:rPr>
          <w:fldChar w:fldCharType="separate"/>
        </w:r>
        <w:r w:rsidR="00C469AB">
          <w:rPr>
            <w:noProof/>
            <w:webHidden/>
          </w:rPr>
          <w:t>9</w:t>
        </w:r>
        <w:r w:rsidR="00C469AB">
          <w:rPr>
            <w:noProof/>
            <w:webHidden/>
          </w:rPr>
          <w:fldChar w:fldCharType="end"/>
        </w:r>
      </w:hyperlink>
    </w:p>
    <w:p w14:paraId="68C8FCEA"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60" w:history="1">
        <w:r w:rsidR="00C469AB" w:rsidRPr="0095669E">
          <w:rPr>
            <w:rStyle w:val="Hyperlink"/>
            <w:noProof/>
          </w:rPr>
          <w:t>2.2. Demand Reduction Estimation Methodologies</w:t>
        </w:r>
        <w:r w:rsidR="00C469AB">
          <w:rPr>
            <w:noProof/>
            <w:webHidden/>
          </w:rPr>
          <w:tab/>
        </w:r>
        <w:r w:rsidR="00C469AB">
          <w:rPr>
            <w:noProof/>
            <w:webHidden/>
          </w:rPr>
          <w:fldChar w:fldCharType="begin"/>
        </w:r>
        <w:r w:rsidR="00C469AB">
          <w:rPr>
            <w:noProof/>
            <w:webHidden/>
          </w:rPr>
          <w:instrText xml:space="preserve"> PAGEREF _Toc438526160 \h </w:instrText>
        </w:r>
        <w:r w:rsidR="00C469AB">
          <w:rPr>
            <w:noProof/>
            <w:webHidden/>
          </w:rPr>
        </w:r>
        <w:r w:rsidR="00C469AB">
          <w:rPr>
            <w:noProof/>
            <w:webHidden/>
          </w:rPr>
          <w:fldChar w:fldCharType="separate"/>
        </w:r>
        <w:r w:rsidR="00C469AB">
          <w:rPr>
            <w:noProof/>
            <w:webHidden/>
          </w:rPr>
          <w:t>9</w:t>
        </w:r>
        <w:r w:rsidR="00C469AB">
          <w:rPr>
            <w:noProof/>
            <w:webHidden/>
          </w:rPr>
          <w:fldChar w:fldCharType="end"/>
        </w:r>
      </w:hyperlink>
    </w:p>
    <w:p w14:paraId="019B8EC1"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61" w:history="1">
        <w:r w:rsidR="00C469AB" w:rsidRPr="0095669E">
          <w:rPr>
            <w:rStyle w:val="Hyperlink"/>
            <w:noProof/>
          </w:rPr>
          <w:t>2.3. Gas Energy Savings Estimation Methodologies</w:t>
        </w:r>
        <w:r w:rsidR="00C469AB">
          <w:rPr>
            <w:noProof/>
            <w:webHidden/>
          </w:rPr>
          <w:tab/>
        </w:r>
        <w:r w:rsidR="00C469AB">
          <w:rPr>
            <w:noProof/>
            <w:webHidden/>
          </w:rPr>
          <w:fldChar w:fldCharType="begin"/>
        </w:r>
        <w:r w:rsidR="00C469AB">
          <w:rPr>
            <w:noProof/>
            <w:webHidden/>
          </w:rPr>
          <w:instrText xml:space="preserve"> PAGEREF _Toc438526161 \h </w:instrText>
        </w:r>
        <w:r w:rsidR="00C469AB">
          <w:rPr>
            <w:noProof/>
            <w:webHidden/>
          </w:rPr>
        </w:r>
        <w:r w:rsidR="00C469AB">
          <w:rPr>
            <w:noProof/>
            <w:webHidden/>
          </w:rPr>
          <w:fldChar w:fldCharType="separate"/>
        </w:r>
        <w:r w:rsidR="00C469AB">
          <w:rPr>
            <w:noProof/>
            <w:webHidden/>
          </w:rPr>
          <w:t>9</w:t>
        </w:r>
        <w:r w:rsidR="00C469AB">
          <w:rPr>
            <w:noProof/>
            <w:webHidden/>
          </w:rPr>
          <w:fldChar w:fldCharType="end"/>
        </w:r>
      </w:hyperlink>
    </w:p>
    <w:p w14:paraId="47C02B40" w14:textId="77777777" w:rsidR="00C469AB" w:rsidRDefault="00D227BC">
      <w:pPr>
        <w:pStyle w:val="TOC1"/>
        <w:tabs>
          <w:tab w:val="right" w:leader="dot" w:pos="9350"/>
        </w:tabs>
        <w:rPr>
          <w:rFonts w:asciiTheme="minorHAnsi" w:eastAsiaTheme="minorEastAsia" w:hAnsiTheme="minorHAnsi" w:cstheme="minorBidi"/>
          <w:noProof/>
          <w:sz w:val="22"/>
          <w:szCs w:val="22"/>
        </w:rPr>
      </w:pPr>
      <w:hyperlink w:anchor="_Toc438526162" w:history="1">
        <w:r w:rsidR="00C469AB" w:rsidRPr="0095669E">
          <w:rPr>
            <w:rStyle w:val="Hyperlink"/>
            <w:noProof/>
          </w:rPr>
          <w:t>Section 3. Load Shapes</w:t>
        </w:r>
        <w:r w:rsidR="00C469AB">
          <w:rPr>
            <w:noProof/>
            <w:webHidden/>
          </w:rPr>
          <w:tab/>
        </w:r>
        <w:r w:rsidR="00C469AB">
          <w:rPr>
            <w:noProof/>
            <w:webHidden/>
          </w:rPr>
          <w:fldChar w:fldCharType="begin"/>
        </w:r>
        <w:r w:rsidR="00C469AB">
          <w:rPr>
            <w:noProof/>
            <w:webHidden/>
          </w:rPr>
          <w:instrText xml:space="preserve"> PAGEREF _Toc438526162 \h </w:instrText>
        </w:r>
        <w:r w:rsidR="00C469AB">
          <w:rPr>
            <w:noProof/>
            <w:webHidden/>
          </w:rPr>
        </w:r>
        <w:r w:rsidR="00C469AB">
          <w:rPr>
            <w:noProof/>
            <w:webHidden/>
          </w:rPr>
          <w:fldChar w:fldCharType="separate"/>
        </w:r>
        <w:r w:rsidR="00C469AB">
          <w:rPr>
            <w:noProof/>
            <w:webHidden/>
          </w:rPr>
          <w:t>10</w:t>
        </w:r>
        <w:r w:rsidR="00C469AB">
          <w:rPr>
            <w:noProof/>
            <w:webHidden/>
          </w:rPr>
          <w:fldChar w:fldCharType="end"/>
        </w:r>
      </w:hyperlink>
    </w:p>
    <w:p w14:paraId="32480560"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63" w:history="1">
        <w:r w:rsidR="00C469AB" w:rsidRPr="0095669E">
          <w:rPr>
            <w:rStyle w:val="Hyperlink"/>
            <w:noProof/>
          </w:rPr>
          <w:t>3.1 Base Case Load Shapes</w:t>
        </w:r>
        <w:r w:rsidR="00C469AB">
          <w:rPr>
            <w:noProof/>
            <w:webHidden/>
          </w:rPr>
          <w:tab/>
        </w:r>
        <w:r w:rsidR="00C469AB">
          <w:rPr>
            <w:noProof/>
            <w:webHidden/>
          </w:rPr>
          <w:fldChar w:fldCharType="begin"/>
        </w:r>
        <w:r w:rsidR="00C469AB">
          <w:rPr>
            <w:noProof/>
            <w:webHidden/>
          </w:rPr>
          <w:instrText xml:space="preserve"> PAGEREF _Toc438526163 \h </w:instrText>
        </w:r>
        <w:r w:rsidR="00C469AB">
          <w:rPr>
            <w:noProof/>
            <w:webHidden/>
          </w:rPr>
        </w:r>
        <w:r w:rsidR="00C469AB">
          <w:rPr>
            <w:noProof/>
            <w:webHidden/>
          </w:rPr>
          <w:fldChar w:fldCharType="separate"/>
        </w:r>
        <w:r w:rsidR="00C469AB">
          <w:rPr>
            <w:noProof/>
            <w:webHidden/>
          </w:rPr>
          <w:t>10</w:t>
        </w:r>
        <w:r w:rsidR="00C469AB">
          <w:rPr>
            <w:noProof/>
            <w:webHidden/>
          </w:rPr>
          <w:fldChar w:fldCharType="end"/>
        </w:r>
      </w:hyperlink>
    </w:p>
    <w:p w14:paraId="100311FD"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64" w:history="1">
        <w:r w:rsidR="00C469AB" w:rsidRPr="0095669E">
          <w:rPr>
            <w:rStyle w:val="Hyperlink"/>
            <w:noProof/>
          </w:rPr>
          <w:t>3.2 Measure Load Shapes</w:t>
        </w:r>
        <w:r w:rsidR="00C469AB">
          <w:rPr>
            <w:noProof/>
            <w:webHidden/>
          </w:rPr>
          <w:tab/>
        </w:r>
        <w:r w:rsidR="00C469AB">
          <w:rPr>
            <w:noProof/>
            <w:webHidden/>
          </w:rPr>
          <w:fldChar w:fldCharType="begin"/>
        </w:r>
        <w:r w:rsidR="00C469AB">
          <w:rPr>
            <w:noProof/>
            <w:webHidden/>
          </w:rPr>
          <w:instrText xml:space="preserve"> PAGEREF _Toc438526164 \h </w:instrText>
        </w:r>
        <w:r w:rsidR="00C469AB">
          <w:rPr>
            <w:noProof/>
            <w:webHidden/>
          </w:rPr>
        </w:r>
        <w:r w:rsidR="00C469AB">
          <w:rPr>
            <w:noProof/>
            <w:webHidden/>
          </w:rPr>
          <w:fldChar w:fldCharType="separate"/>
        </w:r>
        <w:r w:rsidR="00C469AB">
          <w:rPr>
            <w:noProof/>
            <w:webHidden/>
          </w:rPr>
          <w:t>10</w:t>
        </w:r>
        <w:r w:rsidR="00C469AB">
          <w:rPr>
            <w:noProof/>
            <w:webHidden/>
          </w:rPr>
          <w:fldChar w:fldCharType="end"/>
        </w:r>
      </w:hyperlink>
    </w:p>
    <w:p w14:paraId="60D5CFC7" w14:textId="77777777" w:rsidR="00C469AB" w:rsidRDefault="00D227BC">
      <w:pPr>
        <w:pStyle w:val="TOC1"/>
        <w:tabs>
          <w:tab w:val="right" w:leader="dot" w:pos="9350"/>
        </w:tabs>
        <w:rPr>
          <w:rFonts w:asciiTheme="minorHAnsi" w:eastAsiaTheme="minorEastAsia" w:hAnsiTheme="minorHAnsi" w:cstheme="minorBidi"/>
          <w:noProof/>
          <w:sz w:val="22"/>
          <w:szCs w:val="22"/>
        </w:rPr>
      </w:pPr>
      <w:hyperlink w:anchor="_Toc438526165" w:history="1">
        <w:r w:rsidR="00C469AB" w:rsidRPr="0095669E">
          <w:rPr>
            <w:rStyle w:val="Hyperlink"/>
            <w:noProof/>
          </w:rPr>
          <w:t>Section 4. Base Case &amp; Measure Costs</w:t>
        </w:r>
        <w:r w:rsidR="00C469AB">
          <w:rPr>
            <w:noProof/>
            <w:webHidden/>
          </w:rPr>
          <w:tab/>
        </w:r>
        <w:r w:rsidR="00C469AB">
          <w:rPr>
            <w:noProof/>
            <w:webHidden/>
          </w:rPr>
          <w:fldChar w:fldCharType="begin"/>
        </w:r>
        <w:r w:rsidR="00C469AB">
          <w:rPr>
            <w:noProof/>
            <w:webHidden/>
          </w:rPr>
          <w:instrText xml:space="preserve"> PAGEREF _Toc438526165 \h </w:instrText>
        </w:r>
        <w:r w:rsidR="00C469AB">
          <w:rPr>
            <w:noProof/>
            <w:webHidden/>
          </w:rPr>
        </w:r>
        <w:r w:rsidR="00C469AB">
          <w:rPr>
            <w:noProof/>
            <w:webHidden/>
          </w:rPr>
          <w:fldChar w:fldCharType="separate"/>
        </w:r>
        <w:r w:rsidR="00C469AB">
          <w:rPr>
            <w:noProof/>
            <w:webHidden/>
          </w:rPr>
          <w:t>11</w:t>
        </w:r>
        <w:r w:rsidR="00C469AB">
          <w:rPr>
            <w:noProof/>
            <w:webHidden/>
          </w:rPr>
          <w:fldChar w:fldCharType="end"/>
        </w:r>
      </w:hyperlink>
    </w:p>
    <w:p w14:paraId="05910054"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66" w:history="1">
        <w:r w:rsidR="00C469AB" w:rsidRPr="0095669E">
          <w:rPr>
            <w:rStyle w:val="Hyperlink"/>
            <w:noProof/>
          </w:rPr>
          <w:t>4.1 Base Case(s) Costs</w:t>
        </w:r>
        <w:r w:rsidR="00C469AB">
          <w:rPr>
            <w:noProof/>
            <w:webHidden/>
          </w:rPr>
          <w:tab/>
        </w:r>
        <w:r w:rsidR="00C469AB">
          <w:rPr>
            <w:noProof/>
            <w:webHidden/>
          </w:rPr>
          <w:fldChar w:fldCharType="begin"/>
        </w:r>
        <w:r w:rsidR="00C469AB">
          <w:rPr>
            <w:noProof/>
            <w:webHidden/>
          </w:rPr>
          <w:instrText xml:space="preserve"> PAGEREF _Toc438526166 \h </w:instrText>
        </w:r>
        <w:r w:rsidR="00C469AB">
          <w:rPr>
            <w:noProof/>
            <w:webHidden/>
          </w:rPr>
        </w:r>
        <w:r w:rsidR="00C469AB">
          <w:rPr>
            <w:noProof/>
            <w:webHidden/>
          </w:rPr>
          <w:fldChar w:fldCharType="separate"/>
        </w:r>
        <w:r w:rsidR="00C469AB">
          <w:rPr>
            <w:noProof/>
            <w:webHidden/>
          </w:rPr>
          <w:t>11</w:t>
        </w:r>
        <w:r w:rsidR="00C469AB">
          <w:rPr>
            <w:noProof/>
            <w:webHidden/>
          </w:rPr>
          <w:fldChar w:fldCharType="end"/>
        </w:r>
      </w:hyperlink>
    </w:p>
    <w:p w14:paraId="26C653BC"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67" w:history="1">
        <w:r w:rsidR="00C469AB" w:rsidRPr="0095669E">
          <w:rPr>
            <w:rStyle w:val="Hyperlink"/>
            <w:noProof/>
          </w:rPr>
          <w:t>4.2 Measure Costs</w:t>
        </w:r>
        <w:r w:rsidR="00C469AB">
          <w:rPr>
            <w:noProof/>
            <w:webHidden/>
          </w:rPr>
          <w:tab/>
        </w:r>
        <w:r w:rsidR="00C469AB">
          <w:rPr>
            <w:noProof/>
            <w:webHidden/>
          </w:rPr>
          <w:fldChar w:fldCharType="begin"/>
        </w:r>
        <w:r w:rsidR="00C469AB">
          <w:rPr>
            <w:noProof/>
            <w:webHidden/>
          </w:rPr>
          <w:instrText xml:space="preserve"> PAGEREF _Toc438526167 \h </w:instrText>
        </w:r>
        <w:r w:rsidR="00C469AB">
          <w:rPr>
            <w:noProof/>
            <w:webHidden/>
          </w:rPr>
        </w:r>
        <w:r w:rsidR="00C469AB">
          <w:rPr>
            <w:noProof/>
            <w:webHidden/>
          </w:rPr>
          <w:fldChar w:fldCharType="separate"/>
        </w:r>
        <w:r w:rsidR="00C469AB">
          <w:rPr>
            <w:noProof/>
            <w:webHidden/>
          </w:rPr>
          <w:t>11</w:t>
        </w:r>
        <w:r w:rsidR="00C469AB">
          <w:rPr>
            <w:noProof/>
            <w:webHidden/>
          </w:rPr>
          <w:fldChar w:fldCharType="end"/>
        </w:r>
      </w:hyperlink>
    </w:p>
    <w:p w14:paraId="21871623" w14:textId="77777777" w:rsidR="00C469AB" w:rsidRDefault="00D227BC">
      <w:pPr>
        <w:pStyle w:val="TOC2"/>
        <w:tabs>
          <w:tab w:val="right" w:leader="dot" w:pos="9350"/>
        </w:tabs>
        <w:rPr>
          <w:rFonts w:asciiTheme="minorHAnsi" w:eastAsiaTheme="minorEastAsia" w:hAnsiTheme="minorHAnsi" w:cstheme="minorBidi"/>
          <w:noProof/>
          <w:sz w:val="22"/>
          <w:szCs w:val="22"/>
        </w:rPr>
      </w:pPr>
      <w:hyperlink w:anchor="_Toc438526168" w:history="1">
        <w:r w:rsidR="00C469AB" w:rsidRPr="0095669E">
          <w:rPr>
            <w:rStyle w:val="Hyperlink"/>
            <w:noProof/>
          </w:rPr>
          <w:t>4.3 Incremental &amp; Full Measure Costs</w:t>
        </w:r>
        <w:r w:rsidR="00C469AB">
          <w:rPr>
            <w:noProof/>
            <w:webHidden/>
          </w:rPr>
          <w:tab/>
        </w:r>
        <w:r w:rsidR="00C469AB">
          <w:rPr>
            <w:noProof/>
            <w:webHidden/>
          </w:rPr>
          <w:fldChar w:fldCharType="begin"/>
        </w:r>
        <w:r w:rsidR="00C469AB">
          <w:rPr>
            <w:noProof/>
            <w:webHidden/>
          </w:rPr>
          <w:instrText xml:space="preserve"> PAGEREF _Toc438526168 \h </w:instrText>
        </w:r>
        <w:r w:rsidR="00C469AB">
          <w:rPr>
            <w:noProof/>
            <w:webHidden/>
          </w:rPr>
        </w:r>
        <w:r w:rsidR="00C469AB">
          <w:rPr>
            <w:noProof/>
            <w:webHidden/>
          </w:rPr>
          <w:fldChar w:fldCharType="separate"/>
        </w:r>
        <w:r w:rsidR="00C469AB">
          <w:rPr>
            <w:noProof/>
            <w:webHidden/>
          </w:rPr>
          <w:t>11</w:t>
        </w:r>
        <w:r w:rsidR="00C469AB">
          <w:rPr>
            <w:noProof/>
            <w:webHidden/>
          </w:rPr>
          <w:fldChar w:fldCharType="end"/>
        </w:r>
      </w:hyperlink>
    </w:p>
    <w:p w14:paraId="5668F117" w14:textId="77777777" w:rsidR="00C469AB" w:rsidRDefault="00D227BC">
      <w:pPr>
        <w:pStyle w:val="TOC1"/>
        <w:tabs>
          <w:tab w:val="right" w:leader="dot" w:pos="9350"/>
        </w:tabs>
        <w:rPr>
          <w:rFonts w:asciiTheme="minorHAnsi" w:eastAsiaTheme="minorEastAsia" w:hAnsiTheme="minorHAnsi" w:cstheme="minorBidi"/>
          <w:noProof/>
          <w:sz w:val="22"/>
          <w:szCs w:val="22"/>
        </w:rPr>
      </w:pPr>
      <w:hyperlink w:anchor="_Toc438526169" w:history="1">
        <w:r w:rsidR="00C469AB" w:rsidRPr="0095669E">
          <w:rPr>
            <w:rStyle w:val="Hyperlink"/>
            <w:noProof/>
          </w:rPr>
          <w:t>References</w:t>
        </w:r>
        <w:r w:rsidR="00C469AB">
          <w:rPr>
            <w:noProof/>
            <w:webHidden/>
          </w:rPr>
          <w:tab/>
        </w:r>
        <w:r w:rsidR="00C469AB">
          <w:rPr>
            <w:noProof/>
            <w:webHidden/>
          </w:rPr>
          <w:fldChar w:fldCharType="begin"/>
        </w:r>
        <w:r w:rsidR="00C469AB">
          <w:rPr>
            <w:noProof/>
            <w:webHidden/>
          </w:rPr>
          <w:instrText xml:space="preserve"> PAGEREF _Toc438526169 \h </w:instrText>
        </w:r>
        <w:r w:rsidR="00C469AB">
          <w:rPr>
            <w:noProof/>
            <w:webHidden/>
          </w:rPr>
        </w:r>
        <w:r w:rsidR="00C469AB">
          <w:rPr>
            <w:noProof/>
            <w:webHidden/>
          </w:rPr>
          <w:fldChar w:fldCharType="separate"/>
        </w:r>
        <w:r w:rsidR="00C469AB">
          <w:rPr>
            <w:noProof/>
            <w:webHidden/>
          </w:rPr>
          <w:t>12</w:t>
        </w:r>
        <w:r w:rsidR="00C469AB">
          <w:rPr>
            <w:noProof/>
            <w:webHidden/>
          </w:rPr>
          <w:fldChar w:fldCharType="end"/>
        </w:r>
      </w:hyperlink>
    </w:p>
    <w:p w14:paraId="4BF2D7DD" w14:textId="77777777" w:rsidR="003C2E03" w:rsidRDefault="00EA4751">
      <w:pPr>
        <w:pStyle w:val="Heading1"/>
        <w:rPr>
          <w:rFonts w:ascii="Times New Roman" w:hAnsi="Times New Roman" w:cs="Times New Roman"/>
          <w:b w:val="0"/>
          <w:bCs w:val="0"/>
          <w:kern w:val="0"/>
          <w:sz w:val="24"/>
          <w:szCs w:val="24"/>
        </w:rPr>
      </w:pPr>
      <w:r w:rsidRPr="0019077F">
        <w:rPr>
          <w:b w:val="0"/>
          <w:bCs w:val="0"/>
          <w:kern w:val="0"/>
          <w:sz w:val="24"/>
          <w:szCs w:val="24"/>
        </w:rPr>
        <w:fldChar w:fldCharType="end"/>
      </w:r>
    </w:p>
    <w:p w14:paraId="4BF2D7E0" w14:textId="45E6B941" w:rsidR="003C2E03" w:rsidRDefault="00EA4751" w:rsidP="00EA6D65">
      <w:pPr>
        <w:pStyle w:val="Heading1"/>
      </w:pPr>
      <w:bookmarkStart w:id="7" w:name="_Toc172205729"/>
      <w:bookmarkStart w:id="8" w:name="_Toc438526149"/>
      <w:r>
        <w:t>List of Tables</w:t>
      </w:r>
      <w:bookmarkEnd w:id="7"/>
      <w:bookmarkEnd w:id="8"/>
    </w:p>
    <w:p w14:paraId="62B57368" w14:textId="77777777" w:rsidR="00C469AB" w:rsidRPr="00C469AB" w:rsidRDefault="00470FD2">
      <w:pPr>
        <w:pStyle w:val="TableofFigures"/>
        <w:tabs>
          <w:tab w:val="right" w:leader="dot" w:pos="9350"/>
        </w:tabs>
        <w:rPr>
          <w:rFonts w:eastAsiaTheme="minorEastAsia"/>
          <w:noProof/>
        </w:rPr>
      </w:pPr>
      <w:r w:rsidRPr="00C469AB">
        <w:fldChar w:fldCharType="begin"/>
      </w:r>
      <w:r w:rsidRPr="00C469AB">
        <w:instrText xml:space="preserve"> TOC \h \z \c "Table" </w:instrText>
      </w:r>
      <w:r w:rsidRPr="00C469AB">
        <w:fldChar w:fldCharType="separate"/>
      </w:r>
      <w:hyperlink w:anchor="_Toc438526181" w:history="1">
        <w:r w:rsidR="00C469AB" w:rsidRPr="00C469AB">
          <w:rPr>
            <w:rStyle w:val="Hyperlink"/>
            <w:noProof/>
          </w:rPr>
          <w:t>Table 1 Product Codes and Descriptions</w:t>
        </w:r>
        <w:r w:rsidR="00C469AB" w:rsidRPr="00C469AB">
          <w:rPr>
            <w:noProof/>
            <w:webHidden/>
          </w:rPr>
          <w:tab/>
        </w:r>
        <w:r w:rsidR="00C469AB" w:rsidRPr="00C469AB">
          <w:rPr>
            <w:noProof/>
            <w:webHidden/>
          </w:rPr>
          <w:fldChar w:fldCharType="begin"/>
        </w:r>
        <w:r w:rsidR="00C469AB" w:rsidRPr="00C469AB">
          <w:rPr>
            <w:noProof/>
            <w:webHidden/>
          </w:rPr>
          <w:instrText xml:space="preserve"> PAGEREF _Toc438526181 \h </w:instrText>
        </w:r>
        <w:r w:rsidR="00C469AB" w:rsidRPr="00C469AB">
          <w:rPr>
            <w:noProof/>
            <w:webHidden/>
          </w:rPr>
        </w:r>
        <w:r w:rsidR="00C469AB" w:rsidRPr="00C469AB">
          <w:rPr>
            <w:noProof/>
            <w:webHidden/>
          </w:rPr>
          <w:fldChar w:fldCharType="separate"/>
        </w:r>
        <w:r w:rsidR="00C469AB" w:rsidRPr="00C469AB">
          <w:rPr>
            <w:noProof/>
            <w:webHidden/>
          </w:rPr>
          <w:t>5</w:t>
        </w:r>
        <w:r w:rsidR="00C469AB" w:rsidRPr="00C469AB">
          <w:rPr>
            <w:noProof/>
            <w:webHidden/>
          </w:rPr>
          <w:fldChar w:fldCharType="end"/>
        </w:r>
      </w:hyperlink>
    </w:p>
    <w:p w14:paraId="66195617" w14:textId="77777777" w:rsidR="00C469AB" w:rsidRPr="00C469AB" w:rsidRDefault="00D227BC">
      <w:pPr>
        <w:pStyle w:val="TableofFigures"/>
        <w:tabs>
          <w:tab w:val="right" w:leader="dot" w:pos="9350"/>
        </w:tabs>
        <w:rPr>
          <w:rFonts w:eastAsiaTheme="minorEastAsia"/>
          <w:noProof/>
        </w:rPr>
      </w:pPr>
      <w:hyperlink w:anchor="_Toc438526182" w:history="1">
        <w:r w:rsidR="00C469AB" w:rsidRPr="00C469AB">
          <w:rPr>
            <w:rStyle w:val="Hyperlink"/>
            <w:noProof/>
          </w:rPr>
          <w:t>Table 2 Delivery Method and Applicable Building Types</w:t>
        </w:r>
        <w:r w:rsidR="00C469AB" w:rsidRPr="00C469AB">
          <w:rPr>
            <w:noProof/>
            <w:webHidden/>
          </w:rPr>
          <w:tab/>
        </w:r>
        <w:r w:rsidR="00C469AB" w:rsidRPr="00C469AB">
          <w:rPr>
            <w:noProof/>
            <w:webHidden/>
          </w:rPr>
          <w:fldChar w:fldCharType="begin"/>
        </w:r>
        <w:r w:rsidR="00C469AB" w:rsidRPr="00C469AB">
          <w:rPr>
            <w:noProof/>
            <w:webHidden/>
          </w:rPr>
          <w:instrText xml:space="preserve"> PAGEREF _Toc438526182 \h </w:instrText>
        </w:r>
        <w:r w:rsidR="00C469AB" w:rsidRPr="00C469AB">
          <w:rPr>
            <w:noProof/>
            <w:webHidden/>
          </w:rPr>
        </w:r>
        <w:r w:rsidR="00C469AB" w:rsidRPr="00C469AB">
          <w:rPr>
            <w:noProof/>
            <w:webHidden/>
          </w:rPr>
          <w:fldChar w:fldCharType="separate"/>
        </w:r>
        <w:r w:rsidR="00C469AB" w:rsidRPr="00C469AB">
          <w:rPr>
            <w:noProof/>
            <w:webHidden/>
          </w:rPr>
          <w:t>6</w:t>
        </w:r>
        <w:r w:rsidR="00C469AB" w:rsidRPr="00C469AB">
          <w:rPr>
            <w:noProof/>
            <w:webHidden/>
          </w:rPr>
          <w:fldChar w:fldCharType="end"/>
        </w:r>
      </w:hyperlink>
    </w:p>
    <w:p w14:paraId="75088D1D" w14:textId="77777777" w:rsidR="00C469AB" w:rsidRPr="00C469AB" w:rsidRDefault="00D227BC">
      <w:pPr>
        <w:pStyle w:val="TableofFigures"/>
        <w:tabs>
          <w:tab w:val="right" w:leader="dot" w:pos="9350"/>
        </w:tabs>
        <w:rPr>
          <w:rFonts w:eastAsiaTheme="minorEastAsia"/>
          <w:noProof/>
        </w:rPr>
      </w:pPr>
      <w:hyperlink w:anchor="_Toc438526183" w:history="1">
        <w:r w:rsidR="00C469AB" w:rsidRPr="00C469AB">
          <w:rPr>
            <w:rStyle w:val="Hyperlink"/>
            <w:noProof/>
          </w:rPr>
          <w:t>Table 3 Measure Application Type</w:t>
        </w:r>
        <w:r w:rsidR="00C469AB" w:rsidRPr="00C469AB">
          <w:rPr>
            <w:noProof/>
            <w:webHidden/>
          </w:rPr>
          <w:tab/>
        </w:r>
        <w:r w:rsidR="00C469AB" w:rsidRPr="00C469AB">
          <w:rPr>
            <w:noProof/>
            <w:webHidden/>
          </w:rPr>
          <w:fldChar w:fldCharType="begin"/>
        </w:r>
        <w:r w:rsidR="00C469AB" w:rsidRPr="00C469AB">
          <w:rPr>
            <w:noProof/>
            <w:webHidden/>
          </w:rPr>
          <w:instrText xml:space="preserve"> PAGEREF _Toc438526183 \h </w:instrText>
        </w:r>
        <w:r w:rsidR="00C469AB" w:rsidRPr="00C469AB">
          <w:rPr>
            <w:noProof/>
            <w:webHidden/>
          </w:rPr>
        </w:r>
        <w:r w:rsidR="00C469AB" w:rsidRPr="00C469AB">
          <w:rPr>
            <w:noProof/>
            <w:webHidden/>
          </w:rPr>
          <w:fldChar w:fldCharType="separate"/>
        </w:r>
        <w:r w:rsidR="00C469AB" w:rsidRPr="00C469AB">
          <w:rPr>
            <w:noProof/>
            <w:webHidden/>
          </w:rPr>
          <w:t>6</w:t>
        </w:r>
        <w:r w:rsidR="00C469AB" w:rsidRPr="00C469AB">
          <w:rPr>
            <w:noProof/>
            <w:webHidden/>
          </w:rPr>
          <w:fldChar w:fldCharType="end"/>
        </w:r>
      </w:hyperlink>
    </w:p>
    <w:p w14:paraId="641A8CCA" w14:textId="77777777" w:rsidR="00C469AB" w:rsidRPr="00C469AB" w:rsidRDefault="00D227BC">
      <w:pPr>
        <w:pStyle w:val="TableofFigures"/>
        <w:tabs>
          <w:tab w:val="right" w:leader="dot" w:pos="9350"/>
        </w:tabs>
        <w:rPr>
          <w:rFonts w:eastAsiaTheme="minorEastAsia"/>
          <w:noProof/>
        </w:rPr>
      </w:pPr>
      <w:hyperlink w:anchor="_Toc438526184" w:history="1">
        <w:r w:rsidR="00C469AB" w:rsidRPr="00C469AB">
          <w:rPr>
            <w:rStyle w:val="Hyperlink"/>
            <w:noProof/>
          </w:rPr>
          <w:t>Table 4  Net-to-Gross Ratios</w:t>
        </w:r>
        <w:r w:rsidR="00C469AB" w:rsidRPr="00C469AB">
          <w:rPr>
            <w:noProof/>
            <w:webHidden/>
          </w:rPr>
          <w:tab/>
        </w:r>
        <w:r w:rsidR="00C469AB" w:rsidRPr="00C469AB">
          <w:rPr>
            <w:noProof/>
            <w:webHidden/>
          </w:rPr>
          <w:fldChar w:fldCharType="begin"/>
        </w:r>
        <w:r w:rsidR="00C469AB" w:rsidRPr="00C469AB">
          <w:rPr>
            <w:noProof/>
            <w:webHidden/>
          </w:rPr>
          <w:instrText xml:space="preserve"> PAGEREF _Toc438526184 \h </w:instrText>
        </w:r>
        <w:r w:rsidR="00C469AB" w:rsidRPr="00C469AB">
          <w:rPr>
            <w:noProof/>
            <w:webHidden/>
          </w:rPr>
        </w:r>
        <w:r w:rsidR="00C469AB" w:rsidRPr="00C469AB">
          <w:rPr>
            <w:noProof/>
            <w:webHidden/>
          </w:rPr>
          <w:fldChar w:fldCharType="separate"/>
        </w:r>
        <w:r w:rsidR="00C469AB" w:rsidRPr="00C469AB">
          <w:rPr>
            <w:noProof/>
            <w:webHidden/>
          </w:rPr>
          <w:t>7</w:t>
        </w:r>
        <w:r w:rsidR="00C469AB" w:rsidRPr="00C469AB">
          <w:rPr>
            <w:noProof/>
            <w:webHidden/>
          </w:rPr>
          <w:fldChar w:fldCharType="end"/>
        </w:r>
      </w:hyperlink>
    </w:p>
    <w:p w14:paraId="699819F1" w14:textId="77777777" w:rsidR="00C469AB" w:rsidRPr="00C469AB" w:rsidRDefault="00D227BC">
      <w:pPr>
        <w:pStyle w:val="TableofFigures"/>
        <w:tabs>
          <w:tab w:val="right" w:leader="dot" w:pos="9350"/>
        </w:tabs>
        <w:rPr>
          <w:rFonts w:eastAsiaTheme="minorEastAsia"/>
          <w:noProof/>
        </w:rPr>
      </w:pPr>
      <w:hyperlink w:anchor="_Toc438526185" w:history="1">
        <w:r w:rsidR="00C469AB" w:rsidRPr="00C469AB">
          <w:rPr>
            <w:rStyle w:val="Hyperlink"/>
            <w:noProof/>
          </w:rPr>
          <w:t>Table 5 Installation Rate</w:t>
        </w:r>
        <w:r w:rsidR="00C469AB" w:rsidRPr="00C469AB">
          <w:rPr>
            <w:noProof/>
            <w:webHidden/>
          </w:rPr>
          <w:tab/>
        </w:r>
        <w:r w:rsidR="00C469AB" w:rsidRPr="00C469AB">
          <w:rPr>
            <w:noProof/>
            <w:webHidden/>
          </w:rPr>
          <w:fldChar w:fldCharType="begin"/>
        </w:r>
        <w:r w:rsidR="00C469AB" w:rsidRPr="00C469AB">
          <w:rPr>
            <w:noProof/>
            <w:webHidden/>
          </w:rPr>
          <w:instrText xml:space="preserve"> PAGEREF _Toc438526185 \h </w:instrText>
        </w:r>
        <w:r w:rsidR="00C469AB" w:rsidRPr="00C469AB">
          <w:rPr>
            <w:noProof/>
            <w:webHidden/>
          </w:rPr>
        </w:r>
        <w:r w:rsidR="00C469AB" w:rsidRPr="00C469AB">
          <w:rPr>
            <w:noProof/>
            <w:webHidden/>
          </w:rPr>
          <w:fldChar w:fldCharType="separate"/>
        </w:r>
        <w:r w:rsidR="00C469AB" w:rsidRPr="00C469AB">
          <w:rPr>
            <w:noProof/>
            <w:webHidden/>
          </w:rPr>
          <w:t>7</w:t>
        </w:r>
        <w:r w:rsidR="00C469AB" w:rsidRPr="00C469AB">
          <w:rPr>
            <w:noProof/>
            <w:webHidden/>
          </w:rPr>
          <w:fldChar w:fldCharType="end"/>
        </w:r>
      </w:hyperlink>
    </w:p>
    <w:p w14:paraId="0B28165C" w14:textId="77777777" w:rsidR="00C469AB" w:rsidRPr="00C469AB" w:rsidRDefault="00D227BC">
      <w:pPr>
        <w:pStyle w:val="TableofFigures"/>
        <w:tabs>
          <w:tab w:val="right" w:leader="dot" w:pos="9350"/>
        </w:tabs>
        <w:rPr>
          <w:rFonts w:eastAsiaTheme="minorEastAsia"/>
          <w:noProof/>
        </w:rPr>
      </w:pPr>
      <w:hyperlink w:anchor="_Toc438526186" w:history="1">
        <w:r w:rsidR="00C469AB" w:rsidRPr="00C469AB">
          <w:rPr>
            <w:rStyle w:val="Hyperlink"/>
            <w:noProof/>
          </w:rPr>
          <w:t>Table 6 Effective Useful Life</w:t>
        </w:r>
        <w:r w:rsidR="00C469AB" w:rsidRPr="00C469AB">
          <w:rPr>
            <w:noProof/>
            <w:webHidden/>
          </w:rPr>
          <w:tab/>
        </w:r>
        <w:r w:rsidR="00C469AB" w:rsidRPr="00C469AB">
          <w:rPr>
            <w:noProof/>
            <w:webHidden/>
          </w:rPr>
          <w:fldChar w:fldCharType="begin"/>
        </w:r>
        <w:r w:rsidR="00C469AB" w:rsidRPr="00C469AB">
          <w:rPr>
            <w:noProof/>
            <w:webHidden/>
          </w:rPr>
          <w:instrText xml:space="preserve"> PAGEREF _Toc438526186 \h </w:instrText>
        </w:r>
        <w:r w:rsidR="00C469AB" w:rsidRPr="00C469AB">
          <w:rPr>
            <w:noProof/>
            <w:webHidden/>
          </w:rPr>
        </w:r>
        <w:r w:rsidR="00C469AB" w:rsidRPr="00C469AB">
          <w:rPr>
            <w:noProof/>
            <w:webHidden/>
          </w:rPr>
          <w:fldChar w:fldCharType="separate"/>
        </w:r>
        <w:r w:rsidR="00C469AB" w:rsidRPr="00C469AB">
          <w:rPr>
            <w:noProof/>
            <w:webHidden/>
          </w:rPr>
          <w:t>7</w:t>
        </w:r>
        <w:r w:rsidR="00C469AB" w:rsidRPr="00C469AB">
          <w:rPr>
            <w:noProof/>
            <w:webHidden/>
          </w:rPr>
          <w:fldChar w:fldCharType="end"/>
        </w:r>
      </w:hyperlink>
    </w:p>
    <w:p w14:paraId="1BEE78CD" w14:textId="77777777" w:rsidR="00C469AB" w:rsidRPr="00C469AB" w:rsidRDefault="00D227BC">
      <w:pPr>
        <w:pStyle w:val="TableofFigures"/>
        <w:tabs>
          <w:tab w:val="right" w:leader="dot" w:pos="9350"/>
        </w:tabs>
        <w:rPr>
          <w:rFonts w:eastAsiaTheme="minorEastAsia"/>
          <w:noProof/>
        </w:rPr>
      </w:pPr>
      <w:hyperlink w:anchor="_Toc438526187" w:history="1">
        <w:r w:rsidR="00C469AB" w:rsidRPr="00C469AB">
          <w:rPr>
            <w:rStyle w:val="Hyperlink"/>
            <w:noProof/>
          </w:rPr>
          <w:t>Table 7 - DOE Baseline Linear Fluorescent Standards</w:t>
        </w:r>
        <w:r w:rsidR="00C469AB" w:rsidRPr="00C469AB">
          <w:rPr>
            <w:noProof/>
            <w:webHidden/>
          </w:rPr>
          <w:tab/>
        </w:r>
        <w:r w:rsidR="00C469AB" w:rsidRPr="00C469AB">
          <w:rPr>
            <w:noProof/>
            <w:webHidden/>
          </w:rPr>
          <w:fldChar w:fldCharType="begin"/>
        </w:r>
        <w:r w:rsidR="00C469AB" w:rsidRPr="00C469AB">
          <w:rPr>
            <w:noProof/>
            <w:webHidden/>
          </w:rPr>
          <w:instrText xml:space="preserve"> PAGEREF _Toc438526187 \h </w:instrText>
        </w:r>
        <w:r w:rsidR="00C469AB" w:rsidRPr="00C469AB">
          <w:rPr>
            <w:noProof/>
            <w:webHidden/>
          </w:rPr>
        </w:r>
        <w:r w:rsidR="00C469AB" w:rsidRPr="00C469AB">
          <w:rPr>
            <w:noProof/>
            <w:webHidden/>
          </w:rPr>
          <w:fldChar w:fldCharType="separate"/>
        </w:r>
        <w:r w:rsidR="00C469AB" w:rsidRPr="00C469AB">
          <w:rPr>
            <w:noProof/>
            <w:webHidden/>
          </w:rPr>
          <w:t>8</w:t>
        </w:r>
        <w:r w:rsidR="00C469AB" w:rsidRPr="00C469AB">
          <w:rPr>
            <w:noProof/>
            <w:webHidden/>
          </w:rPr>
          <w:fldChar w:fldCharType="end"/>
        </w:r>
      </w:hyperlink>
    </w:p>
    <w:p w14:paraId="269D1ED9" w14:textId="77777777" w:rsidR="00C469AB" w:rsidRPr="00C469AB" w:rsidRDefault="00D227BC">
      <w:pPr>
        <w:pStyle w:val="TableofFigures"/>
        <w:tabs>
          <w:tab w:val="right" w:leader="dot" w:pos="9350"/>
        </w:tabs>
        <w:rPr>
          <w:rFonts w:eastAsiaTheme="minorEastAsia"/>
          <w:noProof/>
        </w:rPr>
      </w:pPr>
      <w:hyperlink w:anchor="_Toc438526188" w:history="1">
        <w:r w:rsidR="00C469AB" w:rsidRPr="00C469AB">
          <w:rPr>
            <w:rStyle w:val="Hyperlink"/>
            <w:noProof/>
          </w:rPr>
          <w:t>Table 8 Building Types and Load Shapes</w:t>
        </w:r>
        <w:r w:rsidR="00C469AB" w:rsidRPr="00C469AB">
          <w:rPr>
            <w:noProof/>
            <w:webHidden/>
          </w:rPr>
          <w:tab/>
        </w:r>
        <w:r w:rsidR="00C469AB" w:rsidRPr="00C469AB">
          <w:rPr>
            <w:noProof/>
            <w:webHidden/>
          </w:rPr>
          <w:fldChar w:fldCharType="begin"/>
        </w:r>
        <w:r w:rsidR="00C469AB" w:rsidRPr="00C469AB">
          <w:rPr>
            <w:noProof/>
            <w:webHidden/>
          </w:rPr>
          <w:instrText xml:space="preserve"> PAGEREF _Toc438526188 \h </w:instrText>
        </w:r>
        <w:r w:rsidR="00C469AB" w:rsidRPr="00C469AB">
          <w:rPr>
            <w:noProof/>
            <w:webHidden/>
          </w:rPr>
        </w:r>
        <w:r w:rsidR="00C469AB" w:rsidRPr="00C469AB">
          <w:rPr>
            <w:noProof/>
            <w:webHidden/>
          </w:rPr>
          <w:fldChar w:fldCharType="separate"/>
        </w:r>
        <w:r w:rsidR="00C469AB" w:rsidRPr="00C469AB">
          <w:rPr>
            <w:noProof/>
            <w:webHidden/>
          </w:rPr>
          <w:t>10</w:t>
        </w:r>
        <w:r w:rsidR="00C469AB" w:rsidRPr="00C469AB">
          <w:rPr>
            <w:noProof/>
            <w:webHidden/>
          </w:rPr>
          <w:fldChar w:fldCharType="end"/>
        </w:r>
      </w:hyperlink>
    </w:p>
    <w:p w14:paraId="74B54485" w14:textId="77777777" w:rsidR="00C469AB" w:rsidRPr="00C469AB" w:rsidRDefault="00D227BC">
      <w:pPr>
        <w:pStyle w:val="TableofFigures"/>
        <w:tabs>
          <w:tab w:val="right" w:leader="dot" w:pos="9350"/>
        </w:tabs>
        <w:rPr>
          <w:rFonts w:eastAsiaTheme="minorEastAsia"/>
          <w:noProof/>
        </w:rPr>
      </w:pPr>
      <w:hyperlink w:anchor="_Toc438526189" w:history="1">
        <w:r w:rsidR="00C469AB" w:rsidRPr="00C469AB">
          <w:rPr>
            <w:rStyle w:val="Hyperlink"/>
            <w:noProof/>
          </w:rPr>
          <w:t>Table 9 Full and Incremental Measure Cost Equations</w:t>
        </w:r>
        <w:r w:rsidR="00C469AB" w:rsidRPr="00C469AB">
          <w:rPr>
            <w:noProof/>
            <w:webHidden/>
          </w:rPr>
          <w:tab/>
        </w:r>
        <w:r w:rsidR="00C469AB" w:rsidRPr="00C469AB">
          <w:rPr>
            <w:noProof/>
            <w:webHidden/>
          </w:rPr>
          <w:fldChar w:fldCharType="begin"/>
        </w:r>
        <w:r w:rsidR="00C469AB" w:rsidRPr="00C469AB">
          <w:rPr>
            <w:noProof/>
            <w:webHidden/>
          </w:rPr>
          <w:instrText xml:space="preserve"> PAGEREF _Toc438526189 \h </w:instrText>
        </w:r>
        <w:r w:rsidR="00C469AB" w:rsidRPr="00C469AB">
          <w:rPr>
            <w:noProof/>
            <w:webHidden/>
          </w:rPr>
        </w:r>
        <w:r w:rsidR="00C469AB" w:rsidRPr="00C469AB">
          <w:rPr>
            <w:noProof/>
            <w:webHidden/>
          </w:rPr>
          <w:fldChar w:fldCharType="separate"/>
        </w:r>
        <w:r w:rsidR="00C469AB" w:rsidRPr="00C469AB">
          <w:rPr>
            <w:noProof/>
            <w:webHidden/>
          </w:rPr>
          <w:t>11</w:t>
        </w:r>
        <w:r w:rsidR="00C469AB" w:rsidRPr="00C469AB">
          <w:rPr>
            <w:noProof/>
            <w:webHidden/>
          </w:rPr>
          <w:fldChar w:fldCharType="end"/>
        </w:r>
      </w:hyperlink>
    </w:p>
    <w:p w14:paraId="0CABCA25" w14:textId="77777777" w:rsidR="00571F3A" w:rsidRDefault="00470FD2">
      <w:pPr>
        <w:rPr>
          <w:rFonts w:ascii="Arial" w:hAnsi="Arial" w:cs="Arial"/>
        </w:rPr>
        <w:sectPr w:rsidR="00571F3A" w:rsidSect="00571F3A">
          <w:footnotePr>
            <w:numFmt w:val="lowerLetter"/>
          </w:footnotePr>
          <w:endnotePr>
            <w:numFmt w:val="decimal"/>
          </w:endnotePr>
          <w:pgSz w:w="12240" w:h="15840" w:code="1"/>
          <w:pgMar w:top="1440" w:right="1440" w:bottom="1440" w:left="1440" w:header="720" w:footer="720" w:gutter="0"/>
          <w:pgNumType w:fmt="lowerRoman" w:chapStyle="1"/>
          <w:cols w:space="720"/>
          <w:docGrid w:linePitch="360"/>
        </w:sectPr>
      </w:pPr>
      <w:r w:rsidRPr="00C469AB">
        <w:fldChar w:fldCharType="end"/>
      </w:r>
    </w:p>
    <w:p w14:paraId="4BF2D809" w14:textId="77777777" w:rsidR="00EA4751" w:rsidRPr="00FF7DDB" w:rsidRDefault="00EA4751">
      <w:pPr>
        <w:pStyle w:val="Heading1"/>
      </w:pPr>
      <w:bookmarkStart w:id="9" w:name="_Toc196877398"/>
      <w:bookmarkStart w:id="10" w:name="_Toc438526150"/>
      <w:bookmarkStart w:id="11" w:name="_Toc172205732"/>
      <w:proofErr w:type="gramStart"/>
      <w:r w:rsidRPr="00FF7DDB">
        <w:lastRenderedPageBreak/>
        <w:t>Section 1.</w:t>
      </w:r>
      <w:proofErr w:type="gramEnd"/>
      <w:r w:rsidRPr="00FF7DDB">
        <w:t xml:space="preserve"> General Measure &amp; Baseline Data</w:t>
      </w:r>
      <w:bookmarkEnd w:id="9"/>
      <w:bookmarkEnd w:id="10"/>
    </w:p>
    <w:p w14:paraId="4BF2D80A" w14:textId="77777777" w:rsidR="00EA4751" w:rsidRPr="00FF7DDB" w:rsidRDefault="00523AF2" w:rsidP="00523AF2">
      <w:pPr>
        <w:pStyle w:val="Heading2"/>
      </w:pPr>
      <w:bookmarkStart w:id="12" w:name="_Toc438526151"/>
      <w:bookmarkEnd w:id="11"/>
      <w:r w:rsidRPr="00FF7DDB">
        <w:t xml:space="preserve">1.1 </w:t>
      </w:r>
      <w:r w:rsidR="00EA4751" w:rsidRPr="00FF7DDB">
        <w:t>Measure Description &amp; Background</w:t>
      </w:r>
      <w:bookmarkEnd w:id="12"/>
    </w:p>
    <w:p w14:paraId="4BF2D80B" w14:textId="77DCE6E8" w:rsidR="00FC2C46" w:rsidRPr="00FF7DDB" w:rsidRDefault="00FC2C46" w:rsidP="00FC2C46">
      <w:pPr>
        <w:rPr>
          <w:rFonts w:ascii="Arial" w:hAnsi="Arial" w:cs="Arial"/>
          <w:sz w:val="20"/>
          <w:szCs w:val="20"/>
        </w:rPr>
      </w:pPr>
      <w:r w:rsidRPr="00FF7DDB">
        <w:rPr>
          <w:rFonts w:ascii="Arial" w:hAnsi="Arial" w:cs="Arial"/>
          <w:sz w:val="20"/>
          <w:szCs w:val="20"/>
        </w:rPr>
        <w:t>This work</w:t>
      </w:r>
      <w:r w:rsidR="00547A45" w:rsidRPr="00FF7DDB">
        <w:rPr>
          <w:rFonts w:ascii="Arial" w:hAnsi="Arial" w:cs="Arial"/>
          <w:sz w:val="20"/>
          <w:szCs w:val="20"/>
        </w:rPr>
        <w:t xml:space="preserve"> </w:t>
      </w:r>
      <w:r w:rsidRPr="00FF7DDB">
        <w:rPr>
          <w:rFonts w:ascii="Arial" w:hAnsi="Arial" w:cs="Arial"/>
          <w:sz w:val="20"/>
          <w:szCs w:val="20"/>
        </w:rPr>
        <w:t>paper documents the rationale for the “</w:t>
      </w:r>
      <w:r w:rsidR="00FF7DDB">
        <w:rPr>
          <w:rFonts w:ascii="Arial" w:hAnsi="Arial" w:cs="Arial"/>
          <w:sz w:val="20"/>
          <w:szCs w:val="20"/>
        </w:rPr>
        <w:t>Interior High-Bay Linear Fluorescent Fixtures</w:t>
      </w:r>
      <w:r w:rsidRPr="00FF7DDB">
        <w:rPr>
          <w:rFonts w:ascii="Arial" w:hAnsi="Arial" w:cs="Arial"/>
          <w:sz w:val="20"/>
          <w:szCs w:val="20"/>
        </w:rPr>
        <w:t>” measure as listed in the PG&amp;E Lighting Catalog, as part of Pacific Gas and Electric Company’s Customer Energy Efficiency Program.</w:t>
      </w:r>
    </w:p>
    <w:p w14:paraId="4BF2D80C" w14:textId="77777777" w:rsidR="00FC2C46" w:rsidRPr="00FF7DDB" w:rsidRDefault="00FC2C46" w:rsidP="00FC2C46">
      <w:pPr>
        <w:rPr>
          <w:rFonts w:ascii="Arial" w:hAnsi="Arial" w:cs="Arial"/>
          <w:sz w:val="20"/>
          <w:szCs w:val="20"/>
        </w:rPr>
      </w:pPr>
    </w:p>
    <w:p w14:paraId="4BF2D80F" w14:textId="77777777" w:rsidR="0085359F" w:rsidRPr="00FF7DDB" w:rsidRDefault="0085359F" w:rsidP="0085359F">
      <w:pPr>
        <w:autoSpaceDE w:val="0"/>
        <w:autoSpaceDN w:val="0"/>
        <w:adjustRightInd w:val="0"/>
        <w:rPr>
          <w:rFonts w:ascii="Arial" w:hAnsi="Arial" w:cs="Arial"/>
          <w:b/>
          <w:bCs/>
          <w:color w:val="231F20"/>
          <w:sz w:val="20"/>
          <w:szCs w:val="20"/>
        </w:rPr>
      </w:pPr>
      <w:r w:rsidRPr="00FF7DDB">
        <w:rPr>
          <w:rFonts w:ascii="Arial" w:hAnsi="Arial" w:cs="Arial"/>
          <w:b/>
          <w:bCs/>
          <w:color w:val="231F20"/>
          <w:sz w:val="20"/>
          <w:szCs w:val="20"/>
        </w:rPr>
        <w:t>Requirements:</w:t>
      </w:r>
    </w:p>
    <w:p w14:paraId="4BF2D811" w14:textId="08767E30" w:rsidR="0039099B" w:rsidRPr="00FF7DDB" w:rsidRDefault="0039099B" w:rsidP="00FF7DDB">
      <w:pPr>
        <w:pStyle w:val="ListParagraph"/>
        <w:numPr>
          <w:ilvl w:val="0"/>
          <w:numId w:val="26"/>
        </w:numPr>
        <w:autoSpaceDE w:val="0"/>
        <w:autoSpaceDN w:val="0"/>
        <w:adjustRightInd w:val="0"/>
        <w:ind w:left="360"/>
        <w:rPr>
          <w:rFonts w:ascii="Arial" w:hAnsi="Arial" w:cs="Arial"/>
          <w:color w:val="000000"/>
          <w:sz w:val="20"/>
          <w:szCs w:val="20"/>
        </w:rPr>
      </w:pPr>
      <w:r w:rsidRPr="00FF7DDB">
        <w:rPr>
          <w:rFonts w:ascii="Arial" w:hAnsi="Arial" w:cs="Arial"/>
          <w:color w:val="000000"/>
          <w:sz w:val="20"/>
          <w:szCs w:val="20"/>
        </w:rPr>
        <w:t>Only complete, new High Performance (HP) T8/T5, Super T8, T8 VHO, or T5 HO interior linear fluorescent fixtures qualify.</w:t>
      </w:r>
    </w:p>
    <w:p w14:paraId="4BF2D812" w14:textId="247B5B69" w:rsidR="0039099B" w:rsidRPr="00114382" w:rsidRDefault="0039099B" w:rsidP="00FF7DDB">
      <w:pPr>
        <w:pStyle w:val="ListParagraph"/>
        <w:numPr>
          <w:ilvl w:val="0"/>
          <w:numId w:val="26"/>
        </w:numPr>
        <w:autoSpaceDE w:val="0"/>
        <w:autoSpaceDN w:val="0"/>
        <w:adjustRightInd w:val="0"/>
        <w:ind w:left="360"/>
        <w:rPr>
          <w:rFonts w:ascii="Arial" w:hAnsi="Arial" w:cs="Arial"/>
          <w:color w:val="000000"/>
          <w:sz w:val="20"/>
          <w:szCs w:val="20"/>
        </w:rPr>
      </w:pPr>
      <w:r w:rsidRPr="00FF7DDB">
        <w:rPr>
          <w:rFonts w:ascii="Arial" w:hAnsi="Arial" w:cs="Arial"/>
          <w:color w:val="000000"/>
          <w:sz w:val="20"/>
          <w:szCs w:val="20"/>
        </w:rPr>
        <w:t xml:space="preserve">New fixtures must not exceed the maximum “New Fixture </w:t>
      </w:r>
      <w:r w:rsidR="005D6E88" w:rsidRPr="00FF7DDB">
        <w:rPr>
          <w:rFonts w:ascii="Arial" w:hAnsi="Arial" w:cs="Arial"/>
          <w:color w:val="000000"/>
          <w:sz w:val="20"/>
          <w:szCs w:val="20"/>
        </w:rPr>
        <w:t>Wattage” listed in Table 1</w:t>
      </w:r>
      <w:r w:rsidRPr="00FF7DDB">
        <w:rPr>
          <w:rFonts w:ascii="Arial" w:hAnsi="Arial" w:cs="Arial"/>
          <w:color w:val="000000"/>
          <w:sz w:val="20"/>
          <w:szCs w:val="20"/>
        </w:rPr>
        <w:t xml:space="preserve"> for each range of lamp wattage being replaced. New fixture wattage is the tot</w:t>
      </w:r>
      <w:r w:rsidRPr="00114382">
        <w:rPr>
          <w:rFonts w:ascii="Arial" w:hAnsi="Arial" w:cs="Arial"/>
          <w:color w:val="000000"/>
          <w:sz w:val="20"/>
          <w:szCs w:val="20"/>
        </w:rPr>
        <w:t>al system wattage (Lamp and Ballast).</w:t>
      </w:r>
    </w:p>
    <w:p w14:paraId="4BF2D813" w14:textId="772C13BA" w:rsidR="0039099B" w:rsidRPr="00114382" w:rsidRDefault="0039099B" w:rsidP="00FF7DDB">
      <w:pPr>
        <w:pStyle w:val="ListParagraph"/>
        <w:numPr>
          <w:ilvl w:val="0"/>
          <w:numId w:val="26"/>
        </w:numPr>
        <w:autoSpaceDE w:val="0"/>
        <w:autoSpaceDN w:val="0"/>
        <w:adjustRightInd w:val="0"/>
        <w:ind w:left="360"/>
        <w:rPr>
          <w:rFonts w:ascii="Arial" w:hAnsi="Arial" w:cs="Arial"/>
          <w:color w:val="000000"/>
          <w:sz w:val="20"/>
          <w:szCs w:val="20"/>
        </w:rPr>
      </w:pPr>
      <w:r w:rsidRPr="00114382">
        <w:rPr>
          <w:rFonts w:ascii="Arial" w:hAnsi="Arial" w:cs="Arial"/>
          <w:color w:val="000000"/>
          <w:sz w:val="20"/>
          <w:szCs w:val="20"/>
        </w:rPr>
        <w:t>Rebates are based on a one-for-one replacement of incandescent or high intensity discharge (HID) fixtures</w:t>
      </w:r>
      <w:r w:rsidR="0074274D" w:rsidRPr="00114382">
        <w:rPr>
          <w:rFonts w:ascii="Arial" w:hAnsi="Arial" w:cs="Arial"/>
          <w:color w:val="000000"/>
          <w:sz w:val="20"/>
          <w:szCs w:val="20"/>
        </w:rPr>
        <w:t xml:space="preserve"> </w:t>
      </w:r>
      <w:r w:rsidRPr="00114382">
        <w:rPr>
          <w:rFonts w:ascii="Arial" w:hAnsi="Arial" w:cs="Arial"/>
          <w:color w:val="000000"/>
          <w:sz w:val="20"/>
          <w:szCs w:val="20"/>
        </w:rPr>
        <w:t>including, mercury vapor, high pressure sodium, and standard metal halide o</w:t>
      </w:r>
      <w:r w:rsidR="003F6BB3" w:rsidRPr="00114382">
        <w:rPr>
          <w:rFonts w:ascii="Arial" w:hAnsi="Arial" w:cs="Arial"/>
          <w:color w:val="000000"/>
          <w:sz w:val="20"/>
          <w:szCs w:val="20"/>
        </w:rPr>
        <w:t xml:space="preserve">r pulse start metal halide. </w:t>
      </w:r>
      <w:r w:rsidRPr="00114382">
        <w:rPr>
          <w:rFonts w:ascii="Arial" w:hAnsi="Arial" w:cs="Arial"/>
          <w:color w:val="000000"/>
          <w:sz w:val="20"/>
          <w:szCs w:val="20"/>
        </w:rPr>
        <w:t>Existing lamp wattage is used rather than total fixture wattage (i.e. a 250 Watt high pressure sodium fixture is a 250 Watt base case and qualifies under the L1033 rebate code).</w:t>
      </w:r>
    </w:p>
    <w:p w14:paraId="4BF2D814" w14:textId="32512C4F" w:rsidR="0039099B" w:rsidRPr="00114382" w:rsidRDefault="0039099B" w:rsidP="00FF7DDB">
      <w:pPr>
        <w:pStyle w:val="ListParagraph"/>
        <w:numPr>
          <w:ilvl w:val="0"/>
          <w:numId w:val="26"/>
        </w:numPr>
        <w:autoSpaceDE w:val="0"/>
        <w:autoSpaceDN w:val="0"/>
        <w:adjustRightInd w:val="0"/>
        <w:ind w:left="360"/>
        <w:rPr>
          <w:rFonts w:ascii="Arial" w:hAnsi="Arial" w:cs="Arial"/>
          <w:color w:val="000000"/>
          <w:sz w:val="20"/>
          <w:szCs w:val="20"/>
        </w:rPr>
      </w:pPr>
      <w:r w:rsidRPr="00114382">
        <w:rPr>
          <w:rFonts w:ascii="Arial" w:hAnsi="Arial" w:cs="Arial"/>
          <w:color w:val="000000"/>
          <w:sz w:val="20"/>
          <w:szCs w:val="20"/>
        </w:rPr>
        <w:t>Any wattage incandescent lamp may be replaced by complete new linear fluorescent fixtures.</w:t>
      </w:r>
    </w:p>
    <w:p w14:paraId="4BF2D816" w14:textId="18DDDE97" w:rsidR="001D7272" w:rsidRPr="00114382" w:rsidRDefault="0039099B" w:rsidP="00FF7DDB">
      <w:pPr>
        <w:pStyle w:val="ListParagraph"/>
        <w:numPr>
          <w:ilvl w:val="1"/>
          <w:numId w:val="26"/>
        </w:numPr>
        <w:autoSpaceDE w:val="0"/>
        <w:autoSpaceDN w:val="0"/>
        <w:adjustRightInd w:val="0"/>
        <w:ind w:left="360"/>
        <w:rPr>
          <w:rFonts w:ascii="Arial" w:hAnsi="Arial" w:cs="Arial"/>
          <w:color w:val="000000"/>
          <w:sz w:val="20"/>
          <w:szCs w:val="20"/>
        </w:rPr>
      </w:pPr>
      <w:r w:rsidRPr="00114382">
        <w:rPr>
          <w:rFonts w:ascii="Arial" w:hAnsi="Arial" w:cs="Arial"/>
          <w:color w:val="000000"/>
          <w:sz w:val="20"/>
          <w:szCs w:val="20"/>
        </w:rPr>
        <w:t>To calculate the base case wattage for incandescent fixtures with more than one lamp</w:t>
      </w:r>
      <w:r w:rsidR="00547A45" w:rsidRPr="00114382">
        <w:rPr>
          <w:rFonts w:ascii="Arial" w:hAnsi="Arial" w:cs="Arial"/>
          <w:color w:val="000000"/>
          <w:sz w:val="20"/>
          <w:szCs w:val="20"/>
        </w:rPr>
        <w:t>, m</w:t>
      </w:r>
      <w:r w:rsidRPr="00114382">
        <w:rPr>
          <w:rFonts w:ascii="Arial" w:hAnsi="Arial" w:cs="Arial"/>
          <w:color w:val="000000"/>
          <w:sz w:val="20"/>
          <w:szCs w:val="20"/>
        </w:rPr>
        <w:t xml:space="preserve">ultiply </w:t>
      </w:r>
      <w:r w:rsidR="00547A45" w:rsidRPr="00114382">
        <w:rPr>
          <w:rFonts w:ascii="Arial" w:hAnsi="Arial" w:cs="Arial"/>
          <w:color w:val="000000"/>
          <w:sz w:val="20"/>
          <w:szCs w:val="20"/>
        </w:rPr>
        <w:t xml:space="preserve">the </w:t>
      </w:r>
      <w:r w:rsidRPr="00114382">
        <w:rPr>
          <w:rFonts w:ascii="Arial" w:hAnsi="Arial" w:cs="Arial"/>
          <w:color w:val="000000"/>
          <w:sz w:val="20"/>
          <w:szCs w:val="20"/>
        </w:rPr>
        <w:t>number of lamps by nominal lamp wattage as listed on lamp label.</w:t>
      </w:r>
    </w:p>
    <w:p w14:paraId="4BF2D817" w14:textId="5EB36FD9" w:rsidR="0039099B" w:rsidRPr="00114382" w:rsidRDefault="0039099B" w:rsidP="00FF7DDB">
      <w:pPr>
        <w:pStyle w:val="ListParagraph"/>
        <w:numPr>
          <w:ilvl w:val="0"/>
          <w:numId w:val="26"/>
        </w:numPr>
        <w:autoSpaceDE w:val="0"/>
        <w:autoSpaceDN w:val="0"/>
        <w:adjustRightInd w:val="0"/>
        <w:ind w:left="360"/>
        <w:rPr>
          <w:rFonts w:ascii="Arial" w:hAnsi="Arial" w:cs="Arial"/>
          <w:color w:val="000000"/>
          <w:sz w:val="20"/>
          <w:szCs w:val="20"/>
        </w:rPr>
      </w:pPr>
      <w:r w:rsidRPr="00114382">
        <w:rPr>
          <w:rFonts w:ascii="Arial" w:hAnsi="Arial" w:cs="Arial"/>
          <w:color w:val="000000"/>
          <w:sz w:val="20"/>
          <w:szCs w:val="20"/>
        </w:rPr>
        <w:t>In all cases, the wattage of the replacement fixture must be less than the wattage of the existing lamp.</w:t>
      </w:r>
    </w:p>
    <w:p w14:paraId="4BF2D818" w14:textId="5F19BABC" w:rsidR="0039099B" w:rsidRPr="00114382" w:rsidRDefault="0039099B" w:rsidP="00FF7DDB">
      <w:pPr>
        <w:pStyle w:val="ListParagraph"/>
        <w:numPr>
          <w:ilvl w:val="0"/>
          <w:numId w:val="26"/>
        </w:numPr>
        <w:autoSpaceDE w:val="0"/>
        <w:autoSpaceDN w:val="0"/>
        <w:adjustRightInd w:val="0"/>
        <w:ind w:left="360"/>
        <w:rPr>
          <w:rFonts w:ascii="Arial" w:hAnsi="Arial" w:cs="Arial"/>
          <w:color w:val="000000"/>
          <w:sz w:val="20"/>
          <w:szCs w:val="20"/>
        </w:rPr>
      </w:pPr>
      <w:r w:rsidRPr="00114382">
        <w:rPr>
          <w:rFonts w:ascii="Arial" w:hAnsi="Arial" w:cs="Arial"/>
          <w:color w:val="000000"/>
          <w:sz w:val="20"/>
          <w:szCs w:val="20"/>
        </w:rPr>
        <w:t xml:space="preserve">All 32 Watt T8 lamps must be HP T8 or Super T8 lamps and listed on the qualified HP T8 lamp list at </w:t>
      </w:r>
      <w:r w:rsidRPr="00114382">
        <w:rPr>
          <w:rFonts w:ascii="Arial" w:hAnsi="Arial" w:cs="Arial"/>
          <w:b/>
          <w:bCs/>
          <w:color w:val="000000"/>
          <w:sz w:val="20"/>
          <w:szCs w:val="20"/>
        </w:rPr>
        <w:t>www.cee1.org</w:t>
      </w:r>
      <w:r w:rsidRPr="00114382">
        <w:rPr>
          <w:rFonts w:ascii="Arial" w:hAnsi="Arial" w:cs="Arial"/>
          <w:color w:val="000000"/>
          <w:sz w:val="20"/>
          <w:szCs w:val="20"/>
        </w:rPr>
        <w:t>.</w:t>
      </w:r>
    </w:p>
    <w:p w14:paraId="4BF2D819" w14:textId="03B7D679" w:rsidR="0039099B" w:rsidRPr="00114382" w:rsidRDefault="0039099B" w:rsidP="00FF7DDB">
      <w:pPr>
        <w:pStyle w:val="ListParagraph"/>
        <w:numPr>
          <w:ilvl w:val="0"/>
          <w:numId w:val="26"/>
        </w:numPr>
        <w:autoSpaceDE w:val="0"/>
        <w:autoSpaceDN w:val="0"/>
        <w:adjustRightInd w:val="0"/>
        <w:ind w:left="360"/>
        <w:rPr>
          <w:rFonts w:ascii="Arial" w:hAnsi="Arial" w:cs="Arial"/>
          <w:color w:val="000000"/>
          <w:sz w:val="20"/>
          <w:szCs w:val="20"/>
        </w:rPr>
      </w:pPr>
      <w:r w:rsidRPr="00114382">
        <w:rPr>
          <w:rFonts w:ascii="Arial" w:hAnsi="Arial" w:cs="Arial"/>
          <w:color w:val="000000"/>
          <w:sz w:val="20"/>
          <w:szCs w:val="20"/>
        </w:rPr>
        <w:t xml:space="preserve">All lamps must be rated ≥ 20,000 hours average rated lamp life based on 3 hours per start when operated on Program </w:t>
      </w:r>
      <w:r w:rsidR="00547A45" w:rsidRPr="00114382">
        <w:rPr>
          <w:rFonts w:ascii="Arial" w:hAnsi="Arial" w:cs="Arial"/>
          <w:color w:val="000000"/>
          <w:sz w:val="20"/>
          <w:szCs w:val="20"/>
        </w:rPr>
        <w:t>Rapid-</w:t>
      </w:r>
      <w:r w:rsidRPr="00114382">
        <w:rPr>
          <w:rFonts w:ascii="Arial" w:hAnsi="Arial" w:cs="Arial"/>
          <w:color w:val="000000"/>
          <w:sz w:val="20"/>
          <w:szCs w:val="20"/>
        </w:rPr>
        <w:t>Start Ballasts.</w:t>
      </w:r>
    </w:p>
    <w:p w14:paraId="4BF2D81A" w14:textId="54867A8D" w:rsidR="0039099B" w:rsidRPr="00114382" w:rsidRDefault="0039099B" w:rsidP="00FF7DDB">
      <w:pPr>
        <w:pStyle w:val="ListParagraph"/>
        <w:numPr>
          <w:ilvl w:val="0"/>
          <w:numId w:val="26"/>
        </w:numPr>
        <w:autoSpaceDE w:val="0"/>
        <w:autoSpaceDN w:val="0"/>
        <w:adjustRightInd w:val="0"/>
        <w:ind w:left="360"/>
        <w:rPr>
          <w:rFonts w:ascii="Arial" w:hAnsi="Arial" w:cs="Arial"/>
          <w:color w:val="000000"/>
          <w:sz w:val="20"/>
          <w:szCs w:val="20"/>
        </w:rPr>
      </w:pPr>
      <w:r w:rsidRPr="00114382">
        <w:rPr>
          <w:rFonts w:ascii="Arial" w:hAnsi="Arial" w:cs="Arial"/>
          <w:color w:val="000000"/>
          <w:sz w:val="20"/>
          <w:szCs w:val="20"/>
        </w:rPr>
        <w:t>T5 HO and T8 VHO lamps must have Color Rendering Index (CRI) that is equal to or greater than 82.</w:t>
      </w:r>
    </w:p>
    <w:p w14:paraId="4BF2D81B" w14:textId="2E76634B" w:rsidR="0039099B" w:rsidRPr="00FF7DDB" w:rsidRDefault="0039099B" w:rsidP="00FF7DDB">
      <w:pPr>
        <w:pStyle w:val="ListParagraph"/>
        <w:numPr>
          <w:ilvl w:val="0"/>
          <w:numId w:val="26"/>
        </w:numPr>
        <w:autoSpaceDE w:val="0"/>
        <w:autoSpaceDN w:val="0"/>
        <w:adjustRightInd w:val="0"/>
        <w:ind w:left="360"/>
        <w:rPr>
          <w:rFonts w:ascii="Arial" w:hAnsi="Arial" w:cs="Arial"/>
          <w:color w:val="000000"/>
          <w:sz w:val="20"/>
          <w:szCs w:val="20"/>
        </w:rPr>
      </w:pPr>
      <w:r w:rsidRPr="00114382">
        <w:rPr>
          <w:rFonts w:ascii="Arial" w:hAnsi="Arial" w:cs="Arial"/>
          <w:color w:val="000000"/>
          <w:sz w:val="20"/>
          <w:szCs w:val="20"/>
        </w:rPr>
        <w:t xml:space="preserve">All T8 ballasts must be NEMA premium or designated HP electronic ballast listed on </w:t>
      </w:r>
      <w:r w:rsidRPr="00114382">
        <w:rPr>
          <w:rFonts w:ascii="Arial" w:hAnsi="Arial" w:cs="Arial"/>
          <w:b/>
          <w:bCs/>
          <w:color w:val="000000"/>
          <w:sz w:val="20"/>
          <w:szCs w:val="20"/>
        </w:rPr>
        <w:t>www.cee1.org</w:t>
      </w:r>
      <w:r w:rsidRPr="00114382">
        <w:rPr>
          <w:rFonts w:ascii="Arial" w:hAnsi="Arial" w:cs="Arial"/>
          <w:color w:val="000000"/>
          <w:sz w:val="20"/>
          <w:szCs w:val="20"/>
        </w:rPr>
        <w:t>, T5 HO and T8 VHO must be Program Rapid Start ballasts.</w:t>
      </w:r>
    </w:p>
    <w:p w14:paraId="4BF2D81C" w14:textId="77777777" w:rsidR="0039099B" w:rsidRPr="00FF7DDB" w:rsidRDefault="0039099B" w:rsidP="0039099B">
      <w:pPr>
        <w:autoSpaceDE w:val="0"/>
        <w:autoSpaceDN w:val="0"/>
        <w:adjustRightInd w:val="0"/>
        <w:rPr>
          <w:rFonts w:ascii="Arial" w:hAnsi="Arial" w:cs="Arial"/>
          <w:color w:val="000000"/>
          <w:sz w:val="20"/>
          <w:szCs w:val="20"/>
        </w:rPr>
      </w:pPr>
    </w:p>
    <w:p w14:paraId="4BF2D81D" w14:textId="77777777" w:rsidR="0085359F" w:rsidRPr="00FF7DDB" w:rsidRDefault="0085359F" w:rsidP="0085359F">
      <w:pPr>
        <w:autoSpaceDE w:val="0"/>
        <w:autoSpaceDN w:val="0"/>
        <w:adjustRightInd w:val="0"/>
        <w:rPr>
          <w:rFonts w:ascii="Arial" w:hAnsi="Arial" w:cs="Arial"/>
          <w:b/>
          <w:bCs/>
          <w:color w:val="231F20"/>
          <w:sz w:val="20"/>
          <w:szCs w:val="20"/>
        </w:rPr>
      </w:pPr>
      <w:r w:rsidRPr="00FF7DDB">
        <w:rPr>
          <w:rFonts w:ascii="Arial" w:hAnsi="Arial" w:cs="Arial"/>
          <w:b/>
          <w:bCs/>
          <w:color w:val="231F20"/>
          <w:sz w:val="20"/>
          <w:szCs w:val="20"/>
        </w:rPr>
        <w:t>Exclusions:</w:t>
      </w:r>
    </w:p>
    <w:p w14:paraId="4BF2D81F" w14:textId="4B5B45E2" w:rsidR="00D4458E" w:rsidRPr="00FF7DDB" w:rsidRDefault="00D4458E" w:rsidP="00FF7DDB">
      <w:pPr>
        <w:pStyle w:val="ListParagraph"/>
        <w:numPr>
          <w:ilvl w:val="0"/>
          <w:numId w:val="25"/>
        </w:numPr>
        <w:autoSpaceDE w:val="0"/>
        <w:autoSpaceDN w:val="0"/>
        <w:adjustRightInd w:val="0"/>
        <w:ind w:left="360"/>
        <w:rPr>
          <w:rFonts w:ascii="Arial" w:hAnsi="Arial" w:cs="Arial"/>
          <w:bCs/>
          <w:sz w:val="20"/>
          <w:szCs w:val="20"/>
        </w:rPr>
      </w:pPr>
      <w:r w:rsidRPr="00FF7DDB">
        <w:rPr>
          <w:rFonts w:ascii="Arial" w:hAnsi="Arial" w:cs="Arial"/>
          <w:bCs/>
          <w:sz w:val="20"/>
          <w:szCs w:val="20"/>
        </w:rPr>
        <w:t>Exterior installations do not qualify.</w:t>
      </w:r>
    </w:p>
    <w:p w14:paraId="4BF2D820" w14:textId="48EBC845" w:rsidR="00D4458E" w:rsidRPr="00FF7DDB" w:rsidRDefault="00D4458E" w:rsidP="00FF7DDB">
      <w:pPr>
        <w:pStyle w:val="ListParagraph"/>
        <w:numPr>
          <w:ilvl w:val="0"/>
          <w:numId w:val="25"/>
        </w:numPr>
        <w:autoSpaceDE w:val="0"/>
        <w:autoSpaceDN w:val="0"/>
        <w:adjustRightInd w:val="0"/>
        <w:ind w:left="360"/>
        <w:rPr>
          <w:rFonts w:ascii="Arial" w:hAnsi="Arial" w:cs="Arial"/>
          <w:bCs/>
          <w:sz w:val="20"/>
          <w:szCs w:val="20"/>
        </w:rPr>
      </w:pPr>
      <w:r w:rsidRPr="00FF7DDB">
        <w:rPr>
          <w:rFonts w:ascii="Arial" w:hAnsi="Arial" w:cs="Arial"/>
          <w:bCs/>
          <w:sz w:val="20"/>
          <w:szCs w:val="20"/>
        </w:rPr>
        <w:t>Not eligible for additional rebates under the "Compact Fluorescent Fixtures" category.</w:t>
      </w:r>
    </w:p>
    <w:p w14:paraId="4BF2D821" w14:textId="1086429B" w:rsidR="00D4458E" w:rsidRPr="00FF7DDB" w:rsidRDefault="00D4458E" w:rsidP="00FF7DDB">
      <w:pPr>
        <w:pStyle w:val="ListParagraph"/>
        <w:numPr>
          <w:ilvl w:val="0"/>
          <w:numId w:val="25"/>
        </w:numPr>
        <w:autoSpaceDE w:val="0"/>
        <w:autoSpaceDN w:val="0"/>
        <w:adjustRightInd w:val="0"/>
        <w:ind w:left="360"/>
        <w:rPr>
          <w:rFonts w:ascii="Arial" w:hAnsi="Arial" w:cs="Arial"/>
          <w:bCs/>
          <w:sz w:val="20"/>
          <w:szCs w:val="20"/>
        </w:rPr>
      </w:pPr>
      <w:r w:rsidRPr="00FF7DDB">
        <w:rPr>
          <w:rFonts w:ascii="Arial" w:hAnsi="Arial" w:cs="Arial"/>
          <w:bCs/>
          <w:sz w:val="20"/>
          <w:szCs w:val="20"/>
        </w:rPr>
        <w:t>Other fixture configurations may be considered under our Customized Retrofit Incentive Program.</w:t>
      </w:r>
    </w:p>
    <w:p w14:paraId="4BF2D822" w14:textId="0526A55D" w:rsidR="000F2648" w:rsidRPr="00FF7DDB" w:rsidRDefault="00D4458E" w:rsidP="00FF7DDB">
      <w:pPr>
        <w:pStyle w:val="ListParagraph"/>
        <w:numPr>
          <w:ilvl w:val="0"/>
          <w:numId w:val="25"/>
        </w:numPr>
        <w:autoSpaceDE w:val="0"/>
        <w:autoSpaceDN w:val="0"/>
        <w:adjustRightInd w:val="0"/>
        <w:ind w:left="360"/>
        <w:rPr>
          <w:rFonts w:ascii="Arial" w:hAnsi="Arial" w:cs="Arial"/>
          <w:color w:val="000000"/>
          <w:sz w:val="20"/>
          <w:szCs w:val="20"/>
        </w:rPr>
      </w:pPr>
      <w:r w:rsidRPr="00114382">
        <w:rPr>
          <w:rFonts w:ascii="Arial" w:hAnsi="Arial" w:cs="Arial"/>
          <w:bCs/>
          <w:sz w:val="20"/>
          <w:szCs w:val="20"/>
        </w:rPr>
        <w:t>Replacement fixtures for T12 Linear Fixtures are not eligible for this rebate.</w:t>
      </w:r>
    </w:p>
    <w:p w14:paraId="4BF2D823" w14:textId="77777777" w:rsidR="001D7272" w:rsidRPr="00FF7DDB" w:rsidRDefault="001D7272" w:rsidP="000F2648">
      <w:pPr>
        <w:autoSpaceDE w:val="0"/>
        <w:autoSpaceDN w:val="0"/>
        <w:adjustRightInd w:val="0"/>
        <w:rPr>
          <w:rFonts w:ascii="Arial" w:hAnsi="Arial" w:cs="Arial"/>
          <w:color w:val="000000"/>
          <w:sz w:val="20"/>
          <w:szCs w:val="20"/>
        </w:rPr>
      </w:pPr>
    </w:p>
    <w:p w14:paraId="4BF2D828" w14:textId="7A245E29" w:rsidR="003E1C9E" w:rsidRPr="00FF7DDB" w:rsidRDefault="000F2648" w:rsidP="00A476C2">
      <w:pPr>
        <w:autoSpaceDE w:val="0"/>
        <w:autoSpaceDN w:val="0"/>
        <w:adjustRightInd w:val="0"/>
        <w:rPr>
          <w:rFonts w:ascii="Arial" w:hAnsi="Arial" w:cs="Arial"/>
          <w:b/>
          <w:bCs/>
          <w:sz w:val="20"/>
          <w:szCs w:val="20"/>
        </w:rPr>
      </w:pPr>
      <w:r w:rsidRPr="00FF7DDB">
        <w:rPr>
          <w:rFonts w:ascii="Arial" w:hAnsi="Arial" w:cs="Arial"/>
          <w:b/>
          <w:sz w:val="20"/>
          <w:szCs w:val="20"/>
        </w:rPr>
        <w:t>Additional Details:</w:t>
      </w:r>
    </w:p>
    <w:p w14:paraId="4BF2D829" w14:textId="77777777" w:rsidR="000F2648" w:rsidRPr="00FF7DDB" w:rsidRDefault="000F2648" w:rsidP="000F2648">
      <w:pPr>
        <w:autoSpaceDE w:val="0"/>
        <w:autoSpaceDN w:val="0"/>
        <w:adjustRightInd w:val="0"/>
        <w:rPr>
          <w:rFonts w:ascii="Arial" w:hAnsi="Arial" w:cs="Arial"/>
          <w:bCs/>
          <w:sz w:val="20"/>
          <w:szCs w:val="20"/>
        </w:rPr>
      </w:pPr>
      <w:r w:rsidRPr="00FF7DDB">
        <w:rPr>
          <w:rFonts w:ascii="Arial" w:hAnsi="Arial" w:cs="Arial"/>
          <w:bCs/>
          <w:sz w:val="20"/>
          <w:szCs w:val="20"/>
        </w:rPr>
        <w:t>– T8 and T5: Program</w:t>
      </w:r>
      <w:r w:rsidR="00547A45" w:rsidRPr="00FF7DDB">
        <w:rPr>
          <w:rFonts w:ascii="Arial" w:hAnsi="Arial" w:cs="Arial"/>
          <w:bCs/>
          <w:sz w:val="20"/>
          <w:szCs w:val="20"/>
        </w:rPr>
        <w:t xml:space="preserve"> Rapid</w:t>
      </w:r>
      <w:r w:rsidRPr="00FF7DDB">
        <w:rPr>
          <w:rFonts w:ascii="Arial" w:hAnsi="Arial" w:cs="Arial"/>
          <w:bCs/>
          <w:sz w:val="20"/>
          <w:szCs w:val="20"/>
        </w:rPr>
        <w:t>-Start ballasts are designed to provide maximum lamp life in frequent lamp starting</w:t>
      </w:r>
      <w:r w:rsidR="0074274D" w:rsidRPr="00FF7DDB">
        <w:rPr>
          <w:rFonts w:ascii="Arial" w:hAnsi="Arial" w:cs="Arial"/>
          <w:bCs/>
          <w:sz w:val="20"/>
          <w:szCs w:val="20"/>
        </w:rPr>
        <w:t xml:space="preserve"> </w:t>
      </w:r>
      <w:r w:rsidRPr="00FF7DDB">
        <w:rPr>
          <w:rFonts w:ascii="Arial" w:hAnsi="Arial" w:cs="Arial"/>
          <w:bCs/>
          <w:sz w:val="20"/>
          <w:szCs w:val="20"/>
        </w:rPr>
        <w:t>applications such as in areas where occupancy sensor controls are used.</w:t>
      </w:r>
    </w:p>
    <w:p w14:paraId="4BF2D82A" w14:textId="77777777" w:rsidR="000F2648" w:rsidRPr="00FF7DDB" w:rsidRDefault="000F2648" w:rsidP="000F2648">
      <w:pPr>
        <w:autoSpaceDE w:val="0"/>
        <w:autoSpaceDN w:val="0"/>
        <w:adjustRightInd w:val="0"/>
        <w:rPr>
          <w:rFonts w:ascii="Arial" w:hAnsi="Arial" w:cs="Arial"/>
          <w:bCs/>
          <w:sz w:val="20"/>
          <w:szCs w:val="20"/>
        </w:rPr>
      </w:pPr>
      <w:r w:rsidRPr="00FF7DDB">
        <w:rPr>
          <w:rFonts w:ascii="Arial" w:hAnsi="Arial" w:cs="Arial"/>
          <w:bCs/>
          <w:sz w:val="20"/>
          <w:szCs w:val="20"/>
        </w:rPr>
        <w:t>– T8 Only: Instant Start electronic ballasts are the most popular type of electronic ballast today because they</w:t>
      </w:r>
      <w:r w:rsidR="0074274D" w:rsidRPr="00FF7DDB">
        <w:rPr>
          <w:rFonts w:ascii="Arial" w:hAnsi="Arial" w:cs="Arial"/>
          <w:bCs/>
          <w:sz w:val="20"/>
          <w:szCs w:val="20"/>
        </w:rPr>
        <w:t xml:space="preserve"> </w:t>
      </w:r>
      <w:r w:rsidRPr="00FF7DDB">
        <w:rPr>
          <w:rFonts w:ascii="Arial" w:hAnsi="Arial" w:cs="Arial"/>
          <w:bCs/>
          <w:sz w:val="20"/>
          <w:szCs w:val="20"/>
        </w:rPr>
        <w:t>provide maximum energy savings and start lamps without delay.</w:t>
      </w:r>
    </w:p>
    <w:p w14:paraId="4BF2D82C" w14:textId="77777777" w:rsidR="00CE5DA2" w:rsidRPr="00FF7DDB" w:rsidRDefault="00CE5DA2" w:rsidP="0085359F">
      <w:pPr>
        <w:rPr>
          <w:rFonts w:ascii="Arial" w:hAnsi="Arial" w:cs="Arial"/>
          <w:color w:val="231F20"/>
          <w:sz w:val="20"/>
          <w:szCs w:val="20"/>
        </w:rPr>
      </w:pPr>
    </w:p>
    <w:p w14:paraId="4BF2D82D" w14:textId="5C36C36D" w:rsidR="00CE5DA2" w:rsidRPr="00FF7DDB" w:rsidRDefault="00DB7820" w:rsidP="00DF1B5D">
      <w:pPr>
        <w:pStyle w:val="Caption"/>
        <w:keepNext/>
        <w:jc w:val="center"/>
        <w:rPr>
          <w:rFonts w:ascii="Arial" w:hAnsi="Arial" w:cs="Arial"/>
        </w:rPr>
      </w:pPr>
      <w:bookmarkStart w:id="13" w:name="_Toc240443060"/>
      <w:bookmarkStart w:id="14" w:name="_Toc438526181"/>
      <w:r w:rsidRPr="00FF7DDB">
        <w:rPr>
          <w:rFonts w:ascii="Arial" w:hAnsi="Arial" w:cs="Arial"/>
        </w:rPr>
        <w:t xml:space="preserve">Table </w:t>
      </w:r>
      <w:r w:rsidRPr="00FF7DDB">
        <w:rPr>
          <w:rFonts w:ascii="Arial" w:hAnsi="Arial" w:cs="Arial"/>
        </w:rPr>
        <w:fldChar w:fldCharType="begin"/>
      </w:r>
      <w:r w:rsidRPr="00FF7DDB">
        <w:rPr>
          <w:rFonts w:ascii="Arial" w:hAnsi="Arial" w:cs="Arial"/>
        </w:rPr>
        <w:instrText xml:space="preserve"> SEQ Table \* ARABIC </w:instrText>
      </w:r>
      <w:r w:rsidRPr="00FF7DDB">
        <w:rPr>
          <w:rFonts w:ascii="Arial" w:hAnsi="Arial" w:cs="Arial"/>
        </w:rPr>
        <w:fldChar w:fldCharType="separate"/>
      </w:r>
      <w:r w:rsidR="00D40AB7">
        <w:rPr>
          <w:rFonts w:ascii="Arial" w:hAnsi="Arial" w:cs="Arial"/>
          <w:noProof/>
        </w:rPr>
        <w:t>1</w:t>
      </w:r>
      <w:r w:rsidRPr="00FF7DDB">
        <w:rPr>
          <w:rFonts w:ascii="Arial" w:hAnsi="Arial" w:cs="Arial"/>
        </w:rPr>
        <w:fldChar w:fldCharType="end"/>
      </w:r>
      <w:r w:rsidR="003E59C2" w:rsidRPr="00FF7DDB">
        <w:rPr>
          <w:rFonts w:ascii="Arial" w:hAnsi="Arial" w:cs="Arial"/>
        </w:rPr>
        <w:t xml:space="preserve"> </w:t>
      </w:r>
      <w:bookmarkEnd w:id="13"/>
      <w:r w:rsidR="00947129">
        <w:rPr>
          <w:rFonts w:ascii="Arial" w:hAnsi="Arial" w:cs="Arial"/>
        </w:rPr>
        <w:t>Product Codes and Descriptions</w:t>
      </w:r>
      <w:bookmarkEnd w:id="14"/>
    </w:p>
    <w:tbl>
      <w:tblPr>
        <w:tblW w:w="7258" w:type="dxa"/>
        <w:jc w:val="center"/>
        <w:tblInd w:w="93" w:type="dxa"/>
        <w:tblLook w:val="0000" w:firstRow="0" w:lastRow="0" w:firstColumn="0" w:lastColumn="0" w:noHBand="0" w:noVBand="0"/>
      </w:tblPr>
      <w:tblGrid>
        <w:gridCol w:w="1639"/>
        <w:gridCol w:w="5619"/>
      </w:tblGrid>
      <w:tr w:rsidR="00947129" w:rsidRPr="00FF7DDB" w14:paraId="4BF2D832" w14:textId="77777777" w:rsidTr="00947129">
        <w:trPr>
          <w:trHeight w:val="630"/>
          <w:jc w:val="center"/>
        </w:trPr>
        <w:tc>
          <w:tcPr>
            <w:tcW w:w="1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F2D82E" w14:textId="3F1FCEA0" w:rsidR="00947129" w:rsidRPr="00FE6D4E" w:rsidRDefault="00947129" w:rsidP="00DB7820">
            <w:pPr>
              <w:jc w:val="center"/>
              <w:rPr>
                <w:rFonts w:ascii="Arial" w:hAnsi="Arial" w:cs="Arial"/>
                <w:b/>
                <w:bCs/>
                <w:sz w:val="20"/>
              </w:rPr>
            </w:pPr>
            <w:r w:rsidRPr="00FE6D4E">
              <w:rPr>
                <w:rFonts w:ascii="Arial" w:hAnsi="Arial" w:cs="Arial"/>
                <w:b/>
                <w:bCs/>
                <w:sz w:val="20"/>
              </w:rPr>
              <w:t>Product Code</w:t>
            </w:r>
          </w:p>
        </w:tc>
        <w:tc>
          <w:tcPr>
            <w:tcW w:w="561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BF2D830" w14:textId="564B4F8A" w:rsidR="00947129" w:rsidRPr="00FE6D4E" w:rsidRDefault="00947129" w:rsidP="00947129">
            <w:pPr>
              <w:jc w:val="center"/>
              <w:rPr>
                <w:rFonts w:ascii="Arial" w:hAnsi="Arial" w:cs="Arial"/>
                <w:b/>
                <w:bCs/>
                <w:sz w:val="20"/>
              </w:rPr>
            </w:pPr>
            <w:r w:rsidRPr="00FE6D4E">
              <w:rPr>
                <w:rFonts w:ascii="Arial" w:hAnsi="Arial" w:cs="Arial"/>
                <w:b/>
                <w:bCs/>
                <w:sz w:val="20"/>
              </w:rPr>
              <w:t>Description of New Linear Fluorescent HP T8/T5 Fixture</w:t>
            </w:r>
          </w:p>
        </w:tc>
      </w:tr>
      <w:tr w:rsidR="00FE6D4E" w:rsidRPr="00FF7DDB" w14:paraId="4BF2D837" w14:textId="77777777" w:rsidTr="00FE6D4E">
        <w:trPr>
          <w:trHeight w:val="319"/>
          <w:jc w:val="center"/>
        </w:trPr>
        <w:tc>
          <w:tcPr>
            <w:tcW w:w="1639" w:type="dxa"/>
            <w:tcBorders>
              <w:top w:val="nil"/>
              <w:left w:val="single" w:sz="4" w:space="0" w:color="auto"/>
              <w:bottom w:val="nil"/>
              <w:right w:val="single" w:sz="4" w:space="0" w:color="auto"/>
            </w:tcBorders>
            <w:shd w:val="clear" w:color="auto" w:fill="auto"/>
            <w:vAlign w:val="center"/>
          </w:tcPr>
          <w:p w14:paraId="4BF2D833" w14:textId="425A14E5" w:rsidR="00FE6D4E" w:rsidRPr="00FE6D4E" w:rsidRDefault="00FE6D4E" w:rsidP="00FE6D4E">
            <w:pPr>
              <w:jc w:val="center"/>
              <w:rPr>
                <w:rFonts w:ascii="Arial" w:hAnsi="Arial" w:cs="Arial"/>
                <w:sz w:val="20"/>
              </w:rPr>
            </w:pPr>
            <w:r w:rsidRPr="00FE6D4E">
              <w:rPr>
                <w:rFonts w:ascii="Arial" w:hAnsi="Arial" w:cs="Arial"/>
                <w:sz w:val="20"/>
              </w:rPr>
              <w:t>LT001</w:t>
            </w:r>
          </w:p>
        </w:tc>
        <w:tc>
          <w:tcPr>
            <w:tcW w:w="5619" w:type="dxa"/>
            <w:tcBorders>
              <w:top w:val="nil"/>
              <w:left w:val="nil"/>
              <w:bottom w:val="nil"/>
              <w:right w:val="single" w:sz="4" w:space="0" w:color="auto"/>
            </w:tcBorders>
            <w:shd w:val="clear" w:color="auto" w:fill="auto"/>
            <w:noWrap/>
            <w:vAlign w:val="bottom"/>
          </w:tcPr>
          <w:p w14:paraId="4BF2D835" w14:textId="02B6E492" w:rsidR="00FE6D4E" w:rsidRPr="00FE6D4E" w:rsidRDefault="00FE6D4E" w:rsidP="0018684B">
            <w:pPr>
              <w:jc w:val="center"/>
              <w:rPr>
                <w:rFonts w:ascii="Arial" w:hAnsi="Arial" w:cs="Arial"/>
                <w:sz w:val="20"/>
              </w:rPr>
            </w:pPr>
            <w:r w:rsidRPr="00FE6D4E">
              <w:rPr>
                <w:rFonts w:ascii="Arial" w:hAnsi="Arial" w:cs="Arial"/>
                <w:sz w:val="20"/>
              </w:rPr>
              <w:t>HP T8/T5, &gt;585 WATT LAMP BASE CASE, 352 TO 585 WATT REPLACEMENT FIXTURE</w:t>
            </w:r>
          </w:p>
        </w:tc>
      </w:tr>
      <w:tr w:rsidR="00FE6D4E" w:rsidRPr="00FF7DDB" w14:paraId="4BF2D83C" w14:textId="77777777" w:rsidTr="00FE6D4E">
        <w:trPr>
          <w:trHeight w:val="319"/>
          <w:jc w:val="center"/>
        </w:trPr>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14:paraId="4BF2D838" w14:textId="5DB7B490" w:rsidR="00FE6D4E" w:rsidRPr="00FE6D4E" w:rsidRDefault="00FE6D4E" w:rsidP="00FE6D4E">
            <w:pPr>
              <w:jc w:val="center"/>
              <w:rPr>
                <w:rFonts w:ascii="Arial" w:hAnsi="Arial" w:cs="Arial"/>
                <w:sz w:val="20"/>
              </w:rPr>
            </w:pPr>
            <w:r w:rsidRPr="00FE6D4E">
              <w:rPr>
                <w:rFonts w:ascii="Arial" w:hAnsi="Arial" w:cs="Arial"/>
                <w:sz w:val="20"/>
              </w:rPr>
              <w:t>LT002</w:t>
            </w:r>
          </w:p>
        </w:tc>
        <w:tc>
          <w:tcPr>
            <w:tcW w:w="5619" w:type="dxa"/>
            <w:tcBorders>
              <w:top w:val="single" w:sz="4" w:space="0" w:color="auto"/>
              <w:left w:val="nil"/>
              <w:bottom w:val="single" w:sz="4" w:space="0" w:color="auto"/>
              <w:right w:val="single" w:sz="4" w:space="0" w:color="auto"/>
            </w:tcBorders>
            <w:shd w:val="clear" w:color="auto" w:fill="auto"/>
            <w:noWrap/>
            <w:vAlign w:val="bottom"/>
          </w:tcPr>
          <w:p w14:paraId="4BF2D83A" w14:textId="184782F5" w:rsidR="00FE6D4E" w:rsidRPr="00FE6D4E" w:rsidRDefault="00FE6D4E" w:rsidP="0018684B">
            <w:pPr>
              <w:jc w:val="center"/>
              <w:rPr>
                <w:rFonts w:ascii="Arial" w:hAnsi="Arial" w:cs="Arial"/>
                <w:sz w:val="20"/>
              </w:rPr>
            </w:pPr>
            <w:r w:rsidRPr="00FE6D4E">
              <w:rPr>
                <w:rFonts w:ascii="Arial" w:hAnsi="Arial" w:cs="Arial"/>
                <w:sz w:val="20"/>
              </w:rPr>
              <w:t>HP T8/T5, &gt;351 WATT LAMP BASE CASE, 235 TO 351 WATT REPLACEMENT FIXTURE</w:t>
            </w:r>
          </w:p>
        </w:tc>
      </w:tr>
      <w:tr w:rsidR="00FE6D4E" w:rsidRPr="00FF7DDB" w14:paraId="4BF2D841" w14:textId="77777777" w:rsidTr="00FE6D4E">
        <w:trPr>
          <w:trHeight w:val="319"/>
          <w:jc w:val="center"/>
        </w:trPr>
        <w:tc>
          <w:tcPr>
            <w:tcW w:w="1639" w:type="dxa"/>
            <w:tcBorders>
              <w:top w:val="nil"/>
              <w:left w:val="single" w:sz="4" w:space="0" w:color="auto"/>
              <w:bottom w:val="nil"/>
              <w:right w:val="single" w:sz="4" w:space="0" w:color="auto"/>
            </w:tcBorders>
            <w:shd w:val="clear" w:color="auto" w:fill="auto"/>
            <w:vAlign w:val="center"/>
          </w:tcPr>
          <w:p w14:paraId="4BF2D83D" w14:textId="2D213B02" w:rsidR="00FE6D4E" w:rsidRPr="00FE6D4E" w:rsidRDefault="00FE6D4E" w:rsidP="00FE6D4E">
            <w:pPr>
              <w:jc w:val="center"/>
              <w:rPr>
                <w:rFonts w:ascii="Arial" w:hAnsi="Arial" w:cs="Arial"/>
                <w:sz w:val="20"/>
              </w:rPr>
            </w:pPr>
            <w:r w:rsidRPr="00FE6D4E">
              <w:rPr>
                <w:rFonts w:ascii="Arial" w:hAnsi="Arial" w:cs="Arial"/>
                <w:sz w:val="20"/>
              </w:rPr>
              <w:t>LT003</w:t>
            </w:r>
          </w:p>
        </w:tc>
        <w:tc>
          <w:tcPr>
            <w:tcW w:w="5619" w:type="dxa"/>
            <w:tcBorders>
              <w:top w:val="nil"/>
              <w:left w:val="nil"/>
              <w:bottom w:val="nil"/>
              <w:right w:val="single" w:sz="4" w:space="0" w:color="auto"/>
            </w:tcBorders>
            <w:shd w:val="clear" w:color="auto" w:fill="auto"/>
            <w:noWrap/>
            <w:vAlign w:val="bottom"/>
          </w:tcPr>
          <w:p w14:paraId="4BF2D83F" w14:textId="5ED1F1BE" w:rsidR="00FE6D4E" w:rsidRPr="00FE6D4E" w:rsidRDefault="00FE6D4E" w:rsidP="0018684B">
            <w:pPr>
              <w:jc w:val="center"/>
              <w:rPr>
                <w:rFonts w:ascii="Arial" w:hAnsi="Arial" w:cs="Arial"/>
                <w:sz w:val="20"/>
              </w:rPr>
            </w:pPr>
            <w:r w:rsidRPr="00FE6D4E">
              <w:rPr>
                <w:rFonts w:ascii="Arial" w:hAnsi="Arial" w:cs="Arial"/>
                <w:sz w:val="20"/>
              </w:rPr>
              <w:t>HP T8/T5, &gt;234 WATT LAMP BASE CASE, 145 TO 234 WATT REPLACEMENT FIXTURE</w:t>
            </w:r>
          </w:p>
        </w:tc>
      </w:tr>
      <w:tr w:rsidR="00FE6D4E" w:rsidRPr="00FF7DDB" w14:paraId="4BF2D846" w14:textId="77777777" w:rsidTr="00FE6D4E">
        <w:trPr>
          <w:trHeight w:val="319"/>
          <w:jc w:val="center"/>
        </w:trPr>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14:paraId="4BF2D842" w14:textId="5FCEC889" w:rsidR="00FE6D4E" w:rsidRPr="00FE6D4E" w:rsidRDefault="00FE6D4E" w:rsidP="00FE6D4E">
            <w:pPr>
              <w:jc w:val="center"/>
              <w:rPr>
                <w:rFonts w:ascii="Arial" w:hAnsi="Arial" w:cs="Arial"/>
                <w:sz w:val="20"/>
              </w:rPr>
            </w:pPr>
            <w:r w:rsidRPr="00FE6D4E">
              <w:rPr>
                <w:rFonts w:ascii="Arial" w:hAnsi="Arial" w:cs="Arial"/>
                <w:sz w:val="20"/>
              </w:rPr>
              <w:t>LT004</w:t>
            </w:r>
          </w:p>
        </w:tc>
        <w:tc>
          <w:tcPr>
            <w:tcW w:w="5619" w:type="dxa"/>
            <w:tcBorders>
              <w:top w:val="single" w:sz="4" w:space="0" w:color="auto"/>
              <w:left w:val="nil"/>
              <w:bottom w:val="single" w:sz="4" w:space="0" w:color="auto"/>
              <w:right w:val="single" w:sz="4" w:space="0" w:color="auto"/>
            </w:tcBorders>
            <w:shd w:val="clear" w:color="auto" w:fill="auto"/>
            <w:noWrap/>
            <w:vAlign w:val="bottom"/>
          </w:tcPr>
          <w:p w14:paraId="4BF2D844" w14:textId="0A03056D" w:rsidR="00FE6D4E" w:rsidRPr="00FE6D4E" w:rsidRDefault="00FE6D4E" w:rsidP="0018684B">
            <w:pPr>
              <w:jc w:val="center"/>
              <w:rPr>
                <w:rFonts w:ascii="Arial" w:hAnsi="Arial" w:cs="Arial"/>
                <w:sz w:val="20"/>
              </w:rPr>
            </w:pPr>
            <w:r w:rsidRPr="00FE6D4E">
              <w:rPr>
                <w:rFonts w:ascii="Arial" w:hAnsi="Arial" w:cs="Arial"/>
                <w:sz w:val="20"/>
              </w:rPr>
              <w:t>HP T8/T5, &gt;144 WATT LAMP BASE CASE, 119 TO 144WATT REPLACEMENT FIXTURE</w:t>
            </w:r>
          </w:p>
        </w:tc>
      </w:tr>
      <w:tr w:rsidR="00FE6D4E" w:rsidRPr="00FF7DDB" w14:paraId="4BF2D84B" w14:textId="77777777" w:rsidTr="00FE6D4E">
        <w:trPr>
          <w:trHeight w:val="319"/>
          <w:jc w:val="center"/>
        </w:trPr>
        <w:tc>
          <w:tcPr>
            <w:tcW w:w="1639" w:type="dxa"/>
            <w:tcBorders>
              <w:top w:val="single" w:sz="4" w:space="0" w:color="auto"/>
              <w:left w:val="single" w:sz="4" w:space="0" w:color="auto"/>
              <w:bottom w:val="nil"/>
              <w:right w:val="single" w:sz="4" w:space="0" w:color="auto"/>
            </w:tcBorders>
            <w:shd w:val="clear" w:color="auto" w:fill="auto"/>
            <w:vAlign w:val="center"/>
          </w:tcPr>
          <w:p w14:paraId="4BF2D847" w14:textId="190439EB" w:rsidR="00FE6D4E" w:rsidRPr="00FE6D4E" w:rsidRDefault="00FE6D4E" w:rsidP="00FE6D4E">
            <w:pPr>
              <w:jc w:val="center"/>
              <w:rPr>
                <w:rFonts w:ascii="Arial" w:hAnsi="Arial" w:cs="Arial"/>
                <w:sz w:val="20"/>
              </w:rPr>
            </w:pPr>
            <w:r w:rsidRPr="00FE6D4E">
              <w:rPr>
                <w:rFonts w:ascii="Arial" w:hAnsi="Arial" w:cs="Arial"/>
                <w:sz w:val="20"/>
              </w:rPr>
              <w:lastRenderedPageBreak/>
              <w:t>LT005</w:t>
            </w:r>
          </w:p>
        </w:tc>
        <w:tc>
          <w:tcPr>
            <w:tcW w:w="5619" w:type="dxa"/>
            <w:tcBorders>
              <w:top w:val="single" w:sz="4" w:space="0" w:color="auto"/>
              <w:left w:val="nil"/>
              <w:bottom w:val="nil"/>
              <w:right w:val="single" w:sz="4" w:space="0" w:color="auto"/>
            </w:tcBorders>
            <w:shd w:val="clear" w:color="auto" w:fill="auto"/>
            <w:noWrap/>
            <w:vAlign w:val="bottom"/>
          </w:tcPr>
          <w:p w14:paraId="4BF2D849" w14:textId="62DC4C50" w:rsidR="00FE6D4E" w:rsidRPr="00FE6D4E" w:rsidRDefault="00FE6D4E" w:rsidP="00947129">
            <w:pPr>
              <w:jc w:val="center"/>
              <w:rPr>
                <w:rFonts w:ascii="Arial" w:hAnsi="Arial" w:cs="Arial"/>
                <w:sz w:val="20"/>
              </w:rPr>
            </w:pPr>
            <w:r w:rsidRPr="00FE6D4E">
              <w:rPr>
                <w:rFonts w:ascii="Arial" w:hAnsi="Arial" w:cs="Arial"/>
                <w:sz w:val="20"/>
              </w:rPr>
              <w:t>HP T8/T5, &gt;118 WATT LAMP BASE CASE, 65 TO 118 WATT REPLACEMENT FIXTURE</w:t>
            </w:r>
          </w:p>
        </w:tc>
      </w:tr>
      <w:tr w:rsidR="00FE6D4E" w:rsidRPr="00FF7DDB" w14:paraId="4BF2D850" w14:textId="77777777" w:rsidTr="00FE6D4E">
        <w:trPr>
          <w:trHeight w:val="319"/>
          <w:jc w:val="center"/>
        </w:trPr>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14:paraId="4BF2D84C" w14:textId="1A3AD786" w:rsidR="00FE6D4E" w:rsidRPr="00FE6D4E" w:rsidRDefault="00FE6D4E" w:rsidP="00FE6D4E">
            <w:pPr>
              <w:jc w:val="center"/>
              <w:rPr>
                <w:rFonts w:ascii="Arial" w:hAnsi="Arial" w:cs="Arial"/>
                <w:sz w:val="20"/>
              </w:rPr>
            </w:pPr>
            <w:r w:rsidRPr="00FE6D4E">
              <w:rPr>
                <w:rFonts w:ascii="Arial" w:hAnsi="Arial" w:cs="Arial"/>
                <w:sz w:val="20"/>
              </w:rPr>
              <w:t>LT006</w:t>
            </w:r>
          </w:p>
        </w:tc>
        <w:tc>
          <w:tcPr>
            <w:tcW w:w="5619" w:type="dxa"/>
            <w:tcBorders>
              <w:top w:val="single" w:sz="4" w:space="0" w:color="auto"/>
              <w:left w:val="nil"/>
              <w:bottom w:val="single" w:sz="4" w:space="0" w:color="auto"/>
              <w:right w:val="single" w:sz="4" w:space="0" w:color="auto"/>
            </w:tcBorders>
            <w:shd w:val="clear" w:color="auto" w:fill="auto"/>
            <w:noWrap/>
            <w:vAlign w:val="bottom"/>
          </w:tcPr>
          <w:p w14:paraId="4BF2D84E" w14:textId="4725F55B" w:rsidR="00FE6D4E" w:rsidRPr="00FE6D4E" w:rsidRDefault="00FE6D4E" w:rsidP="00947129">
            <w:pPr>
              <w:jc w:val="center"/>
              <w:rPr>
                <w:rFonts w:ascii="Arial" w:hAnsi="Arial" w:cs="Arial"/>
                <w:sz w:val="20"/>
              </w:rPr>
            </w:pPr>
            <w:r w:rsidRPr="00FE6D4E">
              <w:rPr>
                <w:rFonts w:ascii="Arial" w:hAnsi="Arial" w:cs="Arial"/>
                <w:sz w:val="20"/>
              </w:rPr>
              <w:t>HP T8/T5, &gt;64 WATT LAMP BASE CASE, 0 TO 64 WATT REPLACEMENT FIXTURE</w:t>
            </w:r>
          </w:p>
        </w:tc>
      </w:tr>
    </w:tbl>
    <w:p w14:paraId="4BF2D851" w14:textId="77777777" w:rsidR="00A825C2" w:rsidRPr="00FF7DDB" w:rsidRDefault="00A825C2">
      <w:pPr>
        <w:rPr>
          <w:rFonts w:ascii="Arial" w:hAnsi="Arial" w:cs="Arial"/>
          <w:i/>
          <w:sz w:val="20"/>
          <w:szCs w:val="20"/>
        </w:rPr>
      </w:pPr>
    </w:p>
    <w:p w14:paraId="4BF2D852" w14:textId="77777777" w:rsidR="00444714" w:rsidRPr="00FF7DDB" w:rsidRDefault="00444714">
      <w:pPr>
        <w:rPr>
          <w:rFonts w:ascii="Arial" w:hAnsi="Arial" w:cs="Arial"/>
          <w:i/>
          <w:sz w:val="20"/>
          <w:szCs w:val="20"/>
        </w:rPr>
      </w:pPr>
    </w:p>
    <w:p w14:paraId="4BF2D853" w14:textId="77777777" w:rsidR="00EA4751" w:rsidRPr="00FF7DDB" w:rsidRDefault="00EA4751">
      <w:pPr>
        <w:rPr>
          <w:rFonts w:ascii="Arial" w:hAnsi="Arial" w:cs="Arial"/>
          <w:b/>
          <w:i/>
          <w:sz w:val="20"/>
          <w:szCs w:val="20"/>
        </w:rPr>
      </w:pPr>
      <w:r w:rsidRPr="00FF7DDB">
        <w:rPr>
          <w:rFonts w:ascii="Arial" w:hAnsi="Arial" w:cs="Arial"/>
          <w:b/>
          <w:i/>
          <w:sz w:val="20"/>
          <w:szCs w:val="20"/>
        </w:rPr>
        <w:t>Program Restrictions and Guidelines</w:t>
      </w:r>
    </w:p>
    <w:p w14:paraId="4BF2D855" w14:textId="77777777" w:rsidR="008459CD" w:rsidRPr="00FF7DDB" w:rsidRDefault="00EA4751" w:rsidP="008459CD">
      <w:pPr>
        <w:pStyle w:val="BasicText"/>
        <w:ind w:left="0" w:firstLine="720"/>
        <w:rPr>
          <w:rFonts w:ascii="Arial" w:hAnsi="Arial" w:cs="Arial"/>
          <w:b/>
          <w:i/>
          <w:sz w:val="20"/>
        </w:rPr>
      </w:pPr>
      <w:r w:rsidRPr="00FF7DDB">
        <w:rPr>
          <w:rFonts w:ascii="Arial" w:hAnsi="Arial" w:cs="Arial"/>
          <w:b/>
          <w:i/>
          <w:sz w:val="20"/>
        </w:rPr>
        <w:t xml:space="preserve">Terms and Conditions: </w:t>
      </w:r>
    </w:p>
    <w:p w14:paraId="4BF2D856" w14:textId="5A36DA55" w:rsidR="002158E2" w:rsidRPr="00FF7DDB" w:rsidRDefault="00F94AA6" w:rsidP="008459CD">
      <w:pPr>
        <w:pStyle w:val="BasicText"/>
        <w:rPr>
          <w:rFonts w:ascii="Arial" w:hAnsi="Arial" w:cs="Arial"/>
          <w:color w:val="auto"/>
          <w:sz w:val="20"/>
        </w:rPr>
      </w:pPr>
      <w:r w:rsidRPr="00114382">
        <w:rPr>
          <w:rFonts w:ascii="Arial" w:hAnsi="Arial" w:cs="Arial"/>
          <w:color w:val="auto"/>
          <w:sz w:val="20"/>
        </w:rPr>
        <w:t>These measures are for interior fixtures only.</w:t>
      </w:r>
      <w:r w:rsidR="0018684B" w:rsidRPr="00114382">
        <w:rPr>
          <w:rFonts w:ascii="Arial" w:hAnsi="Arial" w:cs="Arial"/>
          <w:color w:val="auto"/>
          <w:sz w:val="20"/>
        </w:rPr>
        <w:t xml:space="preserve"> </w:t>
      </w:r>
      <w:r w:rsidR="0014082C" w:rsidRPr="00114382">
        <w:rPr>
          <w:rFonts w:ascii="Arial" w:hAnsi="Arial" w:cs="Arial"/>
          <w:color w:val="auto"/>
          <w:sz w:val="20"/>
        </w:rPr>
        <w:t xml:space="preserve"> All fixtures must be hardwired. </w:t>
      </w:r>
      <w:r w:rsidR="002158E2" w:rsidRPr="00114382">
        <w:rPr>
          <w:rFonts w:ascii="Arial" w:hAnsi="Arial" w:cs="Arial"/>
          <w:color w:val="auto"/>
          <w:sz w:val="20"/>
        </w:rPr>
        <w:t xml:space="preserve"> </w:t>
      </w:r>
      <w:r w:rsidR="0014082C" w:rsidRPr="00114382">
        <w:rPr>
          <w:rFonts w:ascii="Arial" w:hAnsi="Arial" w:cs="Arial"/>
          <w:color w:val="auto"/>
          <w:sz w:val="20"/>
        </w:rPr>
        <w:t xml:space="preserve">Fixtures are not eligible for additional rebates under the Compact Fluorescent Fixtures and </w:t>
      </w:r>
      <w:r w:rsidR="00EF02B7" w:rsidRPr="00114382">
        <w:rPr>
          <w:rFonts w:ascii="Arial" w:hAnsi="Arial" w:cs="Arial"/>
          <w:color w:val="auto"/>
          <w:sz w:val="20"/>
        </w:rPr>
        <w:t xml:space="preserve">HP </w:t>
      </w:r>
      <w:r w:rsidR="0014082C" w:rsidRPr="00114382">
        <w:rPr>
          <w:rFonts w:ascii="Arial" w:hAnsi="Arial" w:cs="Arial"/>
          <w:color w:val="auto"/>
          <w:sz w:val="20"/>
        </w:rPr>
        <w:t>T8 or</w:t>
      </w:r>
      <w:r w:rsidR="00EF02B7" w:rsidRPr="00114382">
        <w:rPr>
          <w:rFonts w:ascii="Arial" w:hAnsi="Arial" w:cs="Arial"/>
          <w:color w:val="auto"/>
          <w:sz w:val="20"/>
        </w:rPr>
        <w:t xml:space="preserve"> T8/</w:t>
      </w:r>
      <w:r w:rsidR="0014082C" w:rsidRPr="00114382">
        <w:rPr>
          <w:rFonts w:ascii="Arial" w:hAnsi="Arial" w:cs="Arial"/>
          <w:color w:val="auto"/>
          <w:sz w:val="20"/>
        </w:rPr>
        <w:t xml:space="preserve">T5 Linear Fluorescent Lamps with </w:t>
      </w:r>
      <w:r w:rsidR="00EF02B7" w:rsidRPr="00114382">
        <w:rPr>
          <w:rFonts w:ascii="Arial" w:hAnsi="Arial" w:cs="Arial"/>
          <w:color w:val="auto"/>
          <w:sz w:val="20"/>
        </w:rPr>
        <w:t>NEMA/</w:t>
      </w:r>
      <w:r w:rsidR="0014082C" w:rsidRPr="00114382">
        <w:rPr>
          <w:rFonts w:ascii="Arial" w:hAnsi="Arial" w:cs="Arial"/>
          <w:color w:val="auto"/>
          <w:sz w:val="20"/>
        </w:rPr>
        <w:t>Electronic Ballasts categories, but may qualify for an occupancy sensor rebate under the Occupancy Sensor category, provided all requirements are met.</w:t>
      </w:r>
      <w:r w:rsidR="0014082C" w:rsidRPr="00FF7DDB">
        <w:rPr>
          <w:rFonts w:ascii="Arial" w:hAnsi="Arial" w:cs="Arial"/>
          <w:color w:val="auto"/>
          <w:sz w:val="20"/>
        </w:rPr>
        <w:t xml:space="preserve"> </w:t>
      </w:r>
    </w:p>
    <w:p w14:paraId="4BF2D857" w14:textId="77777777" w:rsidR="00DA5B97" w:rsidRPr="00FF7DDB" w:rsidRDefault="00DA5B97" w:rsidP="008459CD">
      <w:pPr>
        <w:pStyle w:val="BasicText"/>
        <w:rPr>
          <w:rFonts w:ascii="Arial" w:hAnsi="Arial" w:cs="Arial"/>
          <w:color w:val="auto"/>
          <w:sz w:val="20"/>
        </w:rPr>
      </w:pPr>
    </w:p>
    <w:p w14:paraId="4BF2D858" w14:textId="77777777" w:rsidR="00671AE1" w:rsidRPr="00FF7DDB" w:rsidRDefault="00EA4751" w:rsidP="008459CD">
      <w:pPr>
        <w:ind w:firstLine="720"/>
        <w:rPr>
          <w:rFonts w:ascii="Arial" w:hAnsi="Arial" w:cs="Arial"/>
          <w:b/>
          <w:i/>
          <w:sz w:val="20"/>
          <w:szCs w:val="20"/>
        </w:rPr>
      </w:pPr>
      <w:r w:rsidRPr="00FF7DDB">
        <w:rPr>
          <w:rFonts w:ascii="Arial" w:hAnsi="Arial" w:cs="Arial"/>
          <w:b/>
          <w:i/>
          <w:sz w:val="20"/>
          <w:szCs w:val="20"/>
        </w:rPr>
        <w:t xml:space="preserve">Market Applicability: </w:t>
      </w:r>
    </w:p>
    <w:p w14:paraId="4BF2D859" w14:textId="105A1360" w:rsidR="00EA4751" w:rsidRDefault="00470FD2" w:rsidP="00470FD2">
      <w:pPr>
        <w:rPr>
          <w:rFonts w:ascii="Arial" w:hAnsi="Arial" w:cs="Arial"/>
          <w:sz w:val="20"/>
          <w:szCs w:val="20"/>
        </w:rPr>
      </w:pPr>
      <w:r w:rsidRPr="00FF7DDB">
        <w:rPr>
          <w:rFonts w:ascii="Arial" w:hAnsi="Arial" w:cs="Arial"/>
          <w:sz w:val="20"/>
          <w:szCs w:val="20"/>
        </w:rPr>
        <w:t xml:space="preserve">          </w:t>
      </w:r>
      <w:r w:rsidR="0018684B">
        <w:rPr>
          <w:rFonts w:ascii="Arial" w:hAnsi="Arial" w:cs="Arial"/>
          <w:sz w:val="20"/>
          <w:szCs w:val="20"/>
        </w:rPr>
        <w:t xml:space="preserve">  </w:t>
      </w:r>
      <w:r w:rsidRPr="00FF7DDB">
        <w:rPr>
          <w:rFonts w:ascii="Arial" w:hAnsi="Arial" w:cs="Arial"/>
          <w:sz w:val="20"/>
          <w:szCs w:val="20"/>
        </w:rPr>
        <w:t xml:space="preserve"> </w:t>
      </w:r>
      <w:r w:rsidR="00D9453F" w:rsidRPr="00FF7DDB">
        <w:rPr>
          <w:rFonts w:ascii="Arial" w:hAnsi="Arial" w:cs="Arial"/>
          <w:sz w:val="20"/>
          <w:szCs w:val="20"/>
        </w:rPr>
        <w:t xml:space="preserve">This measure is </w:t>
      </w:r>
      <w:r w:rsidR="00DF5848" w:rsidRPr="00FF7DDB">
        <w:rPr>
          <w:rFonts w:ascii="Arial" w:hAnsi="Arial" w:cs="Arial"/>
          <w:sz w:val="20"/>
          <w:szCs w:val="20"/>
        </w:rPr>
        <w:t xml:space="preserve">available </w:t>
      </w:r>
      <w:r w:rsidR="00D9453F" w:rsidRPr="00FF7DDB">
        <w:rPr>
          <w:rFonts w:ascii="Arial" w:hAnsi="Arial" w:cs="Arial"/>
          <w:sz w:val="20"/>
          <w:szCs w:val="20"/>
        </w:rPr>
        <w:t xml:space="preserve">to </w:t>
      </w:r>
      <w:r w:rsidR="00DF5848" w:rsidRPr="00FF7DDB">
        <w:rPr>
          <w:rFonts w:ascii="Arial" w:hAnsi="Arial" w:cs="Arial"/>
          <w:sz w:val="20"/>
          <w:szCs w:val="20"/>
        </w:rPr>
        <w:t xml:space="preserve">all </w:t>
      </w:r>
      <w:r w:rsidR="00D9453F" w:rsidRPr="00FF7DDB">
        <w:rPr>
          <w:rFonts w:ascii="Arial" w:hAnsi="Arial" w:cs="Arial"/>
          <w:sz w:val="20"/>
          <w:szCs w:val="20"/>
        </w:rPr>
        <w:t xml:space="preserve">non-residential </w:t>
      </w:r>
      <w:r w:rsidR="00DF5848" w:rsidRPr="00FF7DDB">
        <w:rPr>
          <w:rFonts w:ascii="Arial" w:hAnsi="Arial" w:cs="Arial"/>
          <w:sz w:val="20"/>
          <w:szCs w:val="20"/>
        </w:rPr>
        <w:t>customers</w:t>
      </w:r>
      <w:r w:rsidR="00D9453F" w:rsidRPr="00FF7DDB">
        <w:rPr>
          <w:rFonts w:ascii="Arial" w:hAnsi="Arial" w:cs="Arial"/>
          <w:sz w:val="20"/>
          <w:szCs w:val="20"/>
        </w:rPr>
        <w:t xml:space="preserve">. </w:t>
      </w:r>
    </w:p>
    <w:p w14:paraId="7E38A9ED" w14:textId="77777777" w:rsidR="00124B90" w:rsidRDefault="00124B90" w:rsidP="00470FD2">
      <w:pPr>
        <w:rPr>
          <w:rFonts w:ascii="Arial" w:hAnsi="Arial" w:cs="Arial"/>
          <w:sz w:val="20"/>
          <w:szCs w:val="20"/>
        </w:rPr>
      </w:pPr>
    </w:p>
    <w:p w14:paraId="5EDBDC7C" w14:textId="1426D808" w:rsidR="00124B90" w:rsidRDefault="00124B90" w:rsidP="00470FD2">
      <w:pPr>
        <w:rPr>
          <w:rFonts w:ascii="Arial" w:hAnsi="Arial" w:cs="Arial"/>
          <w:sz w:val="20"/>
          <w:szCs w:val="20"/>
        </w:rPr>
      </w:pPr>
      <w:r>
        <w:rPr>
          <w:rFonts w:ascii="Arial" w:hAnsi="Arial" w:cs="Arial"/>
          <w:sz w:val="20"/>
          <w:szCs w:val="20"/>
        </w:rPr>
        <w:t>Please refer to the table below for applicable delivery types, building types, and application types:</w:t>
      </w:r>
    </w:p>
    <w:p w14:paraId="33A676C3" w14:textId="77777777" w:rsidR="00124B90" w:rsidRDefault="00124B90" w:rsidP="00470FD2">
      <w:pPr>
        <w:rPr>
          <w:rFonts w:ascii="Arial" w:hAnsi="Arial" w:cs="Arial"/>
          <w:sz w:val="20"/>
          <w:szCs w:val="20"/>
        </w:rPr>
      </w:pPr>
    </w:p>
    <w:p w14:paraId="0C858D08" w14:textId="7D914994" w:rsidR="00124B90" w:rsidRPr="00124B90" w:rsidRDefault="00124B90" w:rsidP="00124B90">
      <w:pPr>
        <w:pStyle w:val="Caption"/>
        <w:keepNext/>
        <w:jc w:val="center"/>
        <w:rPr>
          <w:rFonts w:ascii="Arial" w:hAnsi="Arial" w:cs="Arial"/>
        </w:rPr>
      </w:pPr>
      <w:bookmarkStart w:id="15" w:name="_Toc438526182"/>
      <w:r w:rsidRPr="00124B90">
        <w:rPr>
          <w:rFonts w:ascii="Arial" w:hAnsi="Arial" w:cs="Arial"/>
        </w:rPr>
        <w:t xml:space="preserve">Table </w:t>
      </w:r>
      <w:r w:rsidRPr="00124B90">
        <w:rPr>
          <w:rFonts w:ascii="Arial" w:hAnsi="Arial" w:cs="Arial"/>
        </w:rPr>
        <w:fldChar w:fldCharType="begin"/>
      </w:r>
      <w:r w:rsidRPr="00124B90">
        <w:rPr>
          <w:rFonts w:ascii="Arial" w:hAnsi="Arial" w:cs="Arial"/>
        </w:rPr>
        <w:instrText xml:space="preserve"> SEQ Table \* ARABIC </w:instrText>
      </w:r>
      <w:r w:rsidRPr="00124B90">
        <w:rPr>
          <w:rFonts w:ascii="Arial" w:hAnsi="Arial" w:cs="Arial"/>
        </w:rPr>
        <w:fldChar w:fldCharType="separate"/>
      </w:r>
      <w:r w:rsidR="00D40AB7">
        <w:rPr>
          <w:rFonts w:ascii="Arial" w:hAnsi="Arial" w:cs="Arial"/>
          <w:noProof/>
        </w:rPr>
        <w:t>2</w:t>
      </w:r>
      <w:r w:rsidRPr="00124B90">
        <w:rPr>
          <w:rFonts w:ascii="Arial" w:hAnsi="Arial" w:cs="Arial"/>
        </w:rPr>
        <w:fldChar w:fldCharType="end"/>
      </w:r>
      <w:r>
        <w:rPr>
          <w:rFonts w:ascii="Arial" w:hAnsi="Arial" w:cs="Arial"/>
        </w:rPr>
        <w:t xml:space="preserve"> Delivery Method and Applicable Building Types</w:t>
      </w:r>
      <w:bookmarkEnd w:id="15"/>
    </w:p>
    <w:tbl>
      <w:tblPr>
        <w:tblStyle w:val="TableGrid"/>
        <w:tblW w:w="0" w:type="auto"/>
        <w:jc w:val="center"/>
        <w:tblLook w:val="04A0" w:firstRow="1" w:lastRow="0" w:firstColumn="1" w:lastColumn="0" w:noHBand="0" w:noVBand="1"/>
      </w:tblPr>
      <w:tblGrid>
        <w:gridCol w:w="1998"/>
        <w:gridCol w:w="5400"/>
        <w:gridCol w:w="2178"/>
      </w:tblGrid>
      <w:tr w:rsidR="00124B90" w:rsidRPr="00E24055" w14:paraId="7577BABE" w14:textId="77777777" w:rsidTr="00B676F3">
        <w:trPr>
          <w:jc w:val="center"/>
        </w:trPr>
        <w:tc>
          <w:tcPr>
            <w:tcW w:w="1998" w:type="dxa"/>
            <w:shd w:val="clear" w:color="auto" w:fill="D9D9D9" w:themeFill="background1" w:themeFillShade="D9"/>
            <w:vAlign w:val="center"/>
          </w:tcPr>
          <w:p w14:paraId="4E2B28D1" w14:textId="77777777" w:rsidR="00124B90" w:rsidRPr="00E24055" w:rsidRDefault="00124B90" w:rsidP="00B676F3">
            <w:pPr>
              <w:rPr>
                <w:rFonts w:ascii="Arial" w:hAnsi="Arial" w:cs="Arial"/>
                <w:b/>
                <w:sz w:val="20"/>
                <w:szCs w:val="20"/>
              </w:rPr>
            </w:pPr>
            <w:r w:rsidRPr="00E24055">
              <w:rPr>
                <w:rFonts w:ascii="Arial" w:hAnsi="Arial" w:cs="Arial"/>
                <w:b/>
                <w:sz w:val="20"/>
                <w:szCs w:val="20"/>
              </w:rPr>
              <w:t>Delivery Type</w:t>
            </w:r>
          </w:p>
        </w:tc>
        <w:tc>
          <w:tcPr>
            <w:tcW w:w="5400" w:type="dxa"/>
            <w:shd w:val="clear" w:color="auto" w:fill="D9D9D9" w:themeFill="background1" w:themeFillShade="D9"/>
            <w:vAlign w:val="center"/>
          </w:tcPr>
          <w:p w14:paraId="68C9A97F" w14:textId="77777777" w:rsidR="00124B90" w:rsidRPr="00E24055" w:rsidRDefault="00124B90" w:rsidP="00B676F3">
            <w:pPr>
              <w:rPr>
                <w:rFonts w:ascii="Arial" w:hAnsi="Arial" w:cs="Arial"/>
                <w:b/>
                <w:sz w:val="20"/>
                <w:szCs w:val="20"/>
              </w:rPr>
            </w:pPr>
            <w:r w:rsidRPr="00E24055">
              <w:rPr>
                <w:rFonts w:ascii="Arial" w:hAnsi="Arial" w:cs="Arial"/>
                <w:b/>
                <w:sz w:val="20"/>
                <w:szCs w:val="20"/>
              </w:rPr>
              <w:t>Applicable Building Types</w:t>
            </w:r>
          </w:p>
        </w:tc>
        <w:tc>
          <w:tcPr>
            <w:tcW w:w="2178" w:type="dxa"/>
            <w:shd w:val="clear" w:color="auto" w:fill="D9D9D9" w:themeFill="background1" w:themeFillShade="D9"/>
            <w:vAlign w:val="center"/>
          </w:tcPr>
          <w:p w14:paraId="1B786998" w14:textId="77777777" w:rsidR="00124B90" w:rsidRPr="00E24055" w:rsidRDefault="00124B90" w:rsidP="00B676F3">
            <w:pPr>
              <w:rPr>
                <w:rFonts w:ascii="Arial" w:hAnsi="Arial" w:cs="Arial"/>
                <w:b/>
                <w:sz w:val="20"/>
                <w:szCs w:val="20"/>
              </w:rPr>
            </w:pPr>
            <w:r>
              <w:rPr>
                <w:rFonts w:ascii="Arial" w:hAnsi="Arial" w:cs="Arial"/>
                <w:b/>
                <w:sz w:val="20"/>
                <w:szCs w:val="20"/>
              </w:rPr>
              <w:t>Application Type</w:t>
            </w:r>
          </w:p>
        </w:tc>
      </w:tr>
      <w:tr w:rsidR="00124B90" w14:paraId="08C5C8AF" w14:textId="77777777" w:rsidTr="00B676F3">
        <w:trPr>
          <w:jc w:val="center"/>
        </w:trPr>
        <w:tc>
          <w:tcPr>
            <w:tcW w:w="1998" w:type="dxa"/>
            <w:vAlign w:val="center"/>
          </w:tcPr>
          <w:p w14:paraId="4EDE4539" w14:textId="77777777" w:rsidR="00124B90" w:rsidRDefault="00124B90" w:rsidP="00B676F3">
            <w:pPr>
              <w:rPr>
                <w:rFonts w:ascii="Arial" w:hAnsi="Arial" w:cs="Arial"/>
                <w:sz w:val="20"/>
                <w:szCs w:val="20"/>
              </w:rPr>
            </w:pPr>
            <w:r>
              <w:rPr>
                <w:rFonts w:ascii="Arial" w:hAnsi="Arial" w:cs="Arial"/>
                <w:sz w:val="20"/>
                <w:szCs w:val="20"/>
              </w:rPr>
              <w:t>Downstream</w:t>
            </w:r>
          </w:p>
        </w:tc>
        <w:tc>
          <w:tcPr>
            <w:tcW w:w="5400" w:type="dxa"/>
            <w:vAlign w:val="center"/>
          </w:tcPr>
          <w:p w14:paraId="40128821" w14:textId="10A6027F" w:rsidR="00124B90" w:rsidRDefault="00124B90" w:rsidP="00124B90">
            <w:pPr>
              <w:rPr>
                <w:rFonts w:ascii="Arial" w:hAnsi="Arial" w:cs="Arial"/>
                <w:sz w:val="20"/>
                <w:szCs w:val="20"/>
              </w:rPr>
            </w:pPr>
            <w:r>
              <w:rPr>
                <w:rFonts w:ascii="Arial" w:hAnsi="Arial" w:cs="Arial"/>
                <w:sz w:val="20"/>
                <w:szCs w:val="20"/>
              </w:rPr>
              <w:t>All Commercial Building Types</w:t>
            </w:r>
          </w:p>
        </w:tc>
        <w:tc>
          <w:tcPr>
            <w:tcW w:w="2178" w:type="dxa"/>
            <w:vAlign w:val="center"/>
          </w:tcPr>
          <w:p w14:paraId="21FD2D76" w14:textId="49C0AF85" w:rsidR="00124B90" w:rsidRDefault="00124B90" w:rsidP="00B676F3">
            <w:pPr>
              <w:rPr>
                <w:rFonts w:ascii="Arial" w:hAnsi="Arial" w:cs="Arial"/>
                <w:sz w:val="20"/>
                <w:szCs w:val="20"/>
              </w:rPr>
            </w:pPr>
            <w:r>
              <w:rPr>
                <w:rFonts w:ascii="Arial" w:hAnsi="Arial" w:cs="Arial"/>
                <w:sz w:val="20"/>
                <w:szCs w:val="20"/>
              </w:rPr>
              <w:t>ROB, NC</w:t>
            </w:r>
          </w:p>
        </w:tc>
      </w:tr>
      <w:tr w:rsidR="00124B90" w14:paraId="4AF86939" w14:textId="77777777" w:rsidTr="00B676F3">
        <w:trPr>
          <w:jc w:val="center"/>
        </w:trPr>
        <w:tc>
          <w:tcPr>
            <w:tcW w:w="1998" w:type="dxa"/>
            <w:vAlign w:val="center"/>
          </w:tcPr>
          <w:p w14:paraId="26B0999F" w14:textId="77777777" w:rsidR="00124B90" w:rsidRDefault="00124B90" w:rsidP="00B676F3">
            <w:pPr>
              <w:rPr>
                <w:rFonts w:ascii="Arial" w:hAnsi="Arial" w:cs="Arial"/>
                <w:sz w:val="20"/>
                <w:szCs w:val="20"/>
              </w:rPr>
            </w:pPr>
            <w:r>
              <w:rPr>
                <w:rFonts w:ascii="Arial" w:hAnsi="Arial" w:cs="Arial"/>
                <w:sz w:val="20"/>
                <w:szCs w:val="20"/>
              </w:rPr>
              <w:t>Direct Install</w:t>
            </w:r>
          </w:p>
        </w:tc>
        <w:tc>
          <w:tcPr>
            <w:tcW w:w="5400" w:type="dxa"/>
            <w:vAlign w:val="center"/>
          </w:tcPr>
          <w:p w14:paraId="60023D81" w14:textId="266639AE" w:rsidR="00124B90" w:rsidRDefault="00124B90" w:rsidP="0023487D">
            <w:pPr>
              <w:rPr>
                <w:rFonts w:ascii="Arial" w:hAnsi="Arial" w:cs="Arial"/>
                <w:sz w:val="20"/>
                <w:szCs w:val="20"/>
              </w:rPr>
            </w:pPr>
            <w:r>
              <w:rPr>
                <w:rFonts w:ascii="Arial" w:hAnsi="Arial" w:cs="Arial"/>
                <w:sz w:val="20"/>
                <w:szCs w:val="20"/>
              </w:rPr>
              <w:t>All Commercial Building Types</w:t>
            </w:r>
          </w:p>
        </w:tc>
        <w:tc>
          <w:tcPr>
            <w:tcW w:w="2178" w:type="dxa"/>
            <w:vAlign w:val="center"/>
          </w:tcPr>
          <w:p w14:paraId="50FE6869" w14:textId="001A6BCB" w:rsidR="00124B90" w:rsidRDefault="00124B90" w:rsidP="00B676F3">
            <w:pPr>
              <w:rPr>
                <w:rFonts w:ascii="Arial" w:hAnsi="Arial" w:cs="Arial"/>
                <w:sz w:val="20"/>
                <w:szCs w:val="20"/>
              </w:rPr>
            </w:pPr>
            <w:r>
              <w:rPr>
                <w:rFonts w:ascii="Arial" w:hAnsi="Arial" w:cs="Arial"/>
                <w:sz w:val="20"/>
                <w:szCs w:val="20"/>
              </w:rPr>
              <w:t>ROB, NC</w:t>
            </w:r>
          </w:p>
        </w:tc>
      </w:tr>
    </w:tbl>
    <w:p w14:paraId="313A5F6F" w14:textId="77777777" w:rsidR="00124B90" w:rsidRPr="00FF7DDB" w:rsidRDefault="00124B90" w:rsidP="00470FD2">
      <w:pPr>
        <w:rPr>
          <w:rFonts w:ascii="Arial" w:hAnsi="Arial" w:cs="Arial"/>
          <w:sz w:val="20"/>
          <w:szCs w:val="20"/>
        </w:rPr>
      </w:pPr>
    </w:p>
    <w:p w14:paraId="4BF2D860" w14:textId="5C1420BA" w:rsidR="00EA4751" w:rsidRPr="0018684B" w:rsidRDefault="00523AF2" w:rsidP="00523AF2">
      <w:pPr>
        <w:pStyle w:val="Heading2"/>
      </w:pPr>
      <w:bookmarkStart w:id="16" w:name="_Toc438526152"/>
      <w:r w:rsidRPr="0018684B">
        <w:t xml:space="preserve">1.2 </w:t>
      </w:r>
      <w:r w:rsidR="00D576A8" w:rsidRPr="0018684B">
        <w:t>Product Technical Description</w:t>
      </w:r>
      <w:bookmarkEnd w:id="16"/>
    </w:p>
    <w:p w14:paraId="52A6EA84" w14:textId="0D203E45" w:rsidR="00BB0058" w:rsidRPr="0018684B" w:rsidRDefault="00BC78BE" w:rsidP="00BC78BE">
      <w:pPr>
        <w:rPr>
          <w:rFonts w:ascii="Arial" w:hAnsi="Arial" w:cs="Arial"/>
          <w:sz w:val="20"/>
          <w:szCs w:val="22"/>
        </w:rPr>
      </w:pPr>
      <w:r w:rsidRPr="0018684B">
        <w:rPr>
          <w:rFonts w:ascii="Arial" w:hAnsi="Arial" w:cs="Arial"/>
          <w:sz w:val="20"/>
          <w:szCs w:val="22"/>
        </w:rPr>
        <w:t xml:space="preserve">The </w:t>
      </w:r>
      <w:r w:rsidR="00124B90">
        <w:rPr>
          <w:rFonts w:ascii="Arial" w:hAnsi="Arial" w:cs="Arial"/>
          <w:sz w:val="20"/>
          <w:szCs w:val="22"/>
        </w:rPr>
        <w:t xml:space="preserve">measure </w:t>
      </w:r>
      <w:r w:rsidRPr="0018684B">
        <w:rPr>
          <w:rFonts w:ascii="Arial" w:hAnsi="Arial" w:cs="Arial"/>
          <w:sz w:val="20"/>
          <w:szCs w:val="22"/>
        </w:rPr>
        <w:t>case high performance fluorescent lamps are more efficient than the baseline lamps and provide similar illumination levels at lower wattage. The NEMA High Efficiency Electronic ballasts provide the same light output as standard electronic ballast but do so more efficiently, reducing lighting power.</w:t>
      </w:r>
    </w:p>
    <w:p w14:paraId="507B4C2E" w14:textId="77777777" w:rsidR="00BB0058" w:rsidRPr="0018684B" w:rsidRDefault="00BB0058" w:rsidP="00BB0058">
      <w:pPr>
        <w:pStyle w:val="Heading2"/>
      </w:pPr>
      <w:bookmarkStart w:id="17" w:name="_Toc304800203"/>
      <w:bookmarkStart w:id="18" w:name="_Toc384115348"/>
      <w:bookmarkStart w:id="19" w:name="_Toc383090703"/>
      <w:bookmarkStart w:id="20" w:name="_Toc381279667"/>
      <w:bookmarkStart w:id="21" w:name="_Toc324340483"/>
      <w:bookmarkStart w:id="22" w:name="_Toc324318339"/>
      <w:bookmarkStart w:id="23" w:name="_Toc438526153"/>
      <w:r w:rsidRPr="0018684B">
        <w:t xml:space="preserve">1.3 Measure Application </w:t>
      </w:r>
      <w:bookmarkEnd w:id="17"/>
      <w:r w:rsidRPr="0018684B">
        <w:t>Type</w:t>
      </w:r>
      <w:bookmarkEnd w:id="18"/>
      <w:bookmarkEnd w:id="19"/>
      <w:bookmarkEnd w:id="20"/>
      <w:bookmarkEnd w:id="21"/>
      <w:bookmarkEnd w:id="22"/>
      <w:bookmarkEnd w:id="23"/>
    </w:p>
    <w:p w14:paraId="252663C5" w14:textId="77777777" w:rsidR="00BB0058" w:rsidRPr="0018684B" w:rsidRDefault="00BB0058" w:rsidP="00BB0058">
      <w:pPr>
        <w:rPr>
          <w:rFonts w:ascii="Arial" w:hAnsi="Arial" w:cs="Arial"/>
          <w:sz w:val="20"/>
          <w:szCs w:val="20"/>
        </w:rPr>
      </w:pPr>
      <w:r w:rsidRPr="0018684B">
        <w:rPr>
          <w:rFonts w:ascii="Arial" w:hAnsi="Arial" w:cs="Arial"/>
          <w:sz w:val="20"/>
          <w:szCs w:val="20"/>
        </w:rPr>
        <w:t xml:space="preserve">The DEER Measure Cost Data Users Guide found on </w:t>
      </w:r>
      <w:hyperlink r:id="rId23" w:history="1">
        <w:r w:rsidRPr="0018684B">
          <w:rPr>
            <w:rStyle w:val="Hyperlink"/>
            <w:rFonts w:ascii="Arial" w:hAnsi="Arial" w:cs="Arial"/>
            <w:sz w:val="20"/>
            <w:szCs w:val="20"/>
          </w:rPr>
          <w:t>www.deeresources.com</w:t>
        </w:r>
      </w:hyperlink>
      <w:r w:rsidRPr="0018684B">
        <w:rPr>
          <w:rFonts w:ascii="Arial" w:hAnsi="Arial" w:cs="Arial"/>
          <w:sz w:val="20"/>
          <w:szCs w:val="20"/>
        </w:rPr>
        <w:t xml:space="preserve"> under </w:t>
      </w:r>
      <w:r w:rsidRPr="0018684B">
        <w:rPr>
          <w:rFonts w:ascii="Arial" w:hAnsi="Arial" w:cs="Arial"/>
          <w:i/>
          <w:sz w:val="20"/>
          <w:szCs w:val="20"/>
        </w:rPr>
        <w:t>DEER2011 Database Format</w:t>
      </w:r>
      <w:r w:rsidRPr="0018684B">
        <w:rPr>
          <w:rFonts w:ascii="Arial" w:hAnsi="Arial" w:cs="Arial"/>
          <w:sz w:val="20"/>
          <w:szCs w:val="20"/>
        </w:rPr>
        <w:t xml:space="preserve"> hyperlink, </w:t>
      </w:r>
      <w:r w:rsidRPr="0018684B">
        <w:rPr>
          <w:rStyle w:val="breadcrumbs"/>
          <w:rFonts w:ascii="Arial" w:hAnsi="Arial" w:cs="Arial"/>
          <w:color w:val="333333"/>
          <w:sz w:val="20"/>
          <w:szCs w:val="20"/>
          <w:lang w:val="en-GB"/>
        </w:rPr>
        <w:t>DEER2011 for 13-14</w:t>
      </w:r>
      <w:r w:rsidRPr="0018684B">
        <w:rPr>
          <w:rFonts w:ascii="Arial" w:hAnsi="Arial" w:cs="Arial"/>
          <w:color w:val="333333"/>
          <w:sz w:val="20"/>
          <w:szCs w:val="20"/>
          <w:lang w:val="en-GB"/>
        </w:rPr>
        <w:t>,</w:t>
      </w:r>
      <w:r w:rsidRPr="0018684B">
        <w:rPr>
          <w:rFonts w:ascii="Arial" w:hAnsi="Arial" w:cs="Arial"/>
          <w:sz w:val="20"/>
          <w:szCs w:val="20"/>
        </w:rPr>
        <w:t xml:space="preserve"> spreadsheet </w:t>
      </w:r>
      <w:r w:rsidRPr="0018684B">
        <w:rPr>
          <w:rFonts w:ascii="Arial" w:hAnsi="Arial" w:cs="Arial"/>
          <w:i/>
          <w:sz w:val="20"/>
          <w:szCs w:val="20"/>
        </w:rPr>
        <w:t>SPTdata_format-V0.97.xls</w:t>
      </w:r>
      <w:r w:rsidRPr="0018684B">
        <w:rPr>
          <w:rFonts w:ascii="Arial" w:hAnsi="Arial" w:cs="Arial"/>
          <w:sz w:val="20"/>
          <w:szCs w:val="20"/>
        </w:rPr>
        <w:t>, defines the terms as follows:</w:t>
      </w:r>
    </w:p>
    <w:p w14:paraId="4CCE34FD" w14:textId="77777777" w:rsidR="00BB0058" w:rsidRPr="0018684B" w:rsidRDefault="00BB0058" w:rsidP="00BB0058">
      <w:pPr>
        <w:rPr>
          <w:rFonts w:ascii="Arial" w:hAnsi="Arial" w:cs="Arial"/>
          <w:i/>
        </w:rPr>
      </w:pPr>
    </w:p>
    <w:p w14:paraId="1DD39F23" w14:textId="77777777" w:rsidR="00BB0058" w:rsidRPr="0018684B" w:rsidRDefault="00BB0058" w:rsidP="00124B90">
      <w:pPr>
        <w:pStyle w:val="Caption"/>
        <w:keepNext/>
        <w:jc w:val="center"/>
        <w:rPr>
          <w:rFonts w:ascii="Arial" w:hAnsi="Arial" w:cs="Arial"/>
          <w:sz w:val="26"/>
          <w:szCs w:val="26"/>
        </w:rPr>
      </w:pPr>
      <w:bookmarkStart w:id="24" w:name="_Toc324427642"/>
      <w:bookmarkStart w:id="25" w:name="_Toc383090723"/>
      <w:bookmarkStart w:id="26" w:name="_Toc384115368"/>
      <w:bookmarkStart w:id="27" w:name="_Toc438526183"/>
      <w:r w:rsidRPr="0018684B">
        <w:rPr>
          <w:rFonts w:ascii="Arial" w:hAnsi="Arial" w:cs="Arial"/>
        </w:rPr>
        <w:t xml:space="preserve">Table </w:t>
      </w:r>
      <w:r w:rsidRPr="0018684B">
        <w:fldChar w:fldCharType="begin"/>
      </w:r>
      <w:r w:rsidRPr="0018684B">
        <w:rPr>
          <w:rFonts w:ascii="Arial" w:hAnsi="Arial" w:cs="Arial"/>
        </w:rPr>
        <w:instrText xml:space="preserve"> SEQ Table \* ARABIC </w:instrText>
      </w:r>
      <w:r w:rsidRPr="0018684B">
        <w:fldChar w:fldCharType="separate"/>
      </w:r>
      <w:r w:rsidR="00D40AB7">
        <w:rPr>
          <w:rFonts w:ascii="Arial" w:hAnsi="Arial" w:cs="Arial"/>
          <w:noProof/>
        </w:rPr>
        <w:t>3</w:t>
      </w:r>
      <w:r w:rsidRPr="0018684B">
        <w:fldChar w:fldCharType="end"/>
      </w:r>
      <w:r w:rsidRPr="0018684B">
        <w:rPr>
          <w:rFonts w:ascii="Arial" w:hAnsi="Arial" w:cs="Arial"/>
          <w:sz w:val="26"/>
          <w:szCs w:val="26"/>
        </w:rPr>
        <w:t xml:space="preserve"> </w:t>
      </w:r>
      <w:bookmarkStart w:id="28" w:name="RANGE!B222"/>
      <w:r w:rsidRPr="0018684B">
        <w:rPr>
          <w:rFonts w:ascii="Arial" w:hAnsi="Arial" w:cs="Arial"/>
        </w:rPr>
        <w:t>Measure Application Type</w:t>
      </w:r>
      <w:bookmarkEnd w:id="24"/>
      <w:bookmarkEnd w:id="28"/>
      <w:r w:rsidRPr="0018684B">
        <w:rPr>
          <w:rStyle w:val="EndnoteReference"/>
          <w:rFonts w:ascii="Arial" w:hAnsi="Arial" w:cs="Arial"/>
        </w:rPr>
        <w:endnoteReference w:id="1"/>
      </w:r>
      <w:bookmarkEnd w:id="25"/>
      <w:bookmarkEnd w:id="26"/>
      <w:bookmarkEnd w:id="27"/>
    </w:p>
    <w:p w14:paraId="627A7132" w14:textId="290190EB" w:rsidR="00BB0058" w:rsidRPr="00124B90" w:rsidRDefault="00BB0058" w:rsidP="00BB0058">
      <w:pPr>
        <w:keepNext/>
        <w:rPr>
          <w:rFonts w:ascii="Arial" w:hAnsi="Arial" w:cs="Arial"/>
          <w:sz w:val="20"/>
          <w:szCs w:val="20"/>
        </w:rPr>
      </w:pPr>
      <w:proofErr w:type="gramStart"/>
      <w:r w:rsidRPr="0018684B">
        <w:rPr>
          <w:rFonts w:ascii="Arial" w:hAnsi="Arial" w:cs="Arial"/>
          <w:sz w:val="20"/>
          <w:szCs w:val="20"/>
        </w:rPr>
        <w:t xml:space="preserve">Identifies the measure application type in the Measure </w:t>
      </w:r>
      <w:proofErr w:type="spellStart"/>
      <w:r w:rsidRPr="0018684B">
        <w:rPr>
          <w:rFonts w:ascii="Arial" w:hAnsi="Arial" w:cs="Arial"/>
          <w:sz w:val="20"/>
          <w:szCs w:val="20"/>
        </w:rPr>
        <w:t>Implemenation</w:t>
      </w:r>
      <w:proofErr w:type="spellEnd"/>
      <w:r w:rsidRPr="0018684B">
        <w:rPr>
          <w:rFonts w:ascii="Arial" w:hAnsi="Arial" w:cs="Arial"/>
          <w:sz w:val="20"/>
          <w:szCs w:val="20"/>
        </w:rPr>
        <w:t xml:space="preserve"> table in DEER2011.</w:t>
      </w:r>
      <w:proofErr w:type="gramEnd"/>
    </w:p>
    <w:tbl>
      <w:tblPr>
        <w:tblW w:w="9090" w:type="dxa"/>
        <w:tblInd w:w="108" w:type="dxa"/>
        <w:tblLook w:val="04A0" w:firstRow="1" w:lastRow="0" w:firstColumn="1" w:lastColumn="0" w:noHBand="0" w:noVBand="1"/>
      </w:tblPr>
      <w:tblGrid>
        <w:gridCol w:w="900"/>
        <w:gridCol w:w="2610"/>
        <w:gridCol w:w="5580"/>
      </w:tblGrid>
      <w:tr w:rsidR="00BB0058" w:rsidRPr="00124B90" w14:paraId="6A38183B" w14:textId="77777777" w:rsidTr="00BB0058">
        <w:trPr>
          <w:trHeight w:val="315"/>
        </w:trPr>
        <w:tc>
          <w:tcPr>
            <w:tcW w:w="900" w:type="dxa"/>
            <w:tcBorders>
              <w:top w:val="single" w:sz="4" w:space="0" w:color="auto"/>
              <w:left w:val="single" w:sz="4" w:space="0" w:color="auto"/>
              <w:bottom w:val="single" w:sz="8" w:space="0" w:color="auto"/>
              <w:right w:val="nil"/>
            </w:tcBorders>
            <w:shd w:val="clear" w:color="auto" w:fill="D9D9D9"/>
            <w:noWrap/>
            <w:vAlign w:val="bottom"/>
            <w:hideMark/>
          </w:tcPr>
          <w:p w14:paraId="0E557B09" w14:textId="77777777" w:rsidR="00BB0058" w:rsidRPr="00124B90" w:rsidRDefault="00BB0058">
            <w:pPr>
              <w:keepNext/>
              <w:rPr>
                <w:rFonts w:ascii="Arial" w:hAnsi="Arial" w:cs="Arial"/>
                <w:b/>
                <w:color w:val="000000"/>
                <w:szCs w:val="22"/>
              </w:rPr>
            </w:pPr>
            <w:r w:rsidRPr="00124B9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auto" w:fill="D9D9D9"/>
            <w:noWrap/>
            <w:vAlign w:val="bottom"/>
            <w:hideMark/>
          </w:tcPr>
          <w:p w14:paraId="005DC304" w14:textId="77777777" w:rsidR="00BB0058" w:rsidRPr="00124B90" w:rsidRDefault="00BB0058">
            <w:pPr>
              <w:keepNext/>
              <w:rPr>
                <w:rFonts w:ascii="Arial" w:hAnsi="Arial" w:cs="Arial"/>
                <w:b/>
                <w:color w:val="000000"/>
                <w:szCs w:val="22"/>
              </w:rPr>
            </w:pPr>
            <w:r w:rsidRPr="00124B9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auto" w:fill="D9D9D9"/>
            <w:noWrap/>
            <w:vAlign w:val="bottom"/>
            <w:hideMark/>
          </w:tcPr>
          <w:p w14:paraId="280F3384" w14:textId="77777777" w:rsidR="00BB0058" w:rsidRPr="00124B90" w:rsidRDefault="00BB0058">
            <w:pPr>
              <w:keepNext/>
              <w:rPr>
                <w:rFonts w:ascii="Arial" w:hAnsi="Arial" w:cs="Arial"/>
                <w:b/>
                <w:color w:val="000000"/>
                <w:szCs w:val="22"/>
              </w:rPr>
            </w:pPr>
            <w:r w:rsidRPr="00124B90">
              <w:rPr>
                <w:rFonts w:ascii="Arial" w:hAnsi="Arial" w:cs="Arial"/>
                <w:b/>
                <w:color w:val="000000"/>
                <w:szCs w:val="22"/>
              </w:rPr>
              <w:t>Comment</w:t>
            </w:r>
          </w:p>
        </w:tc>
      </w:tr>
      <w:tr w:rsidR="00BB0058" w:rsidRPr="00124B90" w14:paraId="37D983D0" w14:textId="77777777" w:rsidTr="00BB0058">
        <w:trPr>
          <w:trHeight w:val="600"/>
        </w:trPr>
        <w:tc>
          <w:tcPr>
            <w:tcW w:w="900" w:type="dxa"/>
            <w:tcBorders>
              <w:top w:val="nil"/>
              <w:left w:val="single" w:sz="4" w:space="0" w:color="auto"/>
              <w:bottom w:val="nil"/>
              <w:right w:val="nil"/>
            </w:tcBorders>
            <w:noWrap/>
            <w:vAlign w:val="center"/>
            <w:hideMark/>
          </w:tcPr>
          <w:p w14:paraId="05069064" w14:textId="77777777" w:rsidR="00BB0058" w:rsidRPr="00124B90" w:rsidRDefault="00BB0058">
            <w:pPr>
              <w:keepNext/>
              <w:rPr>
                <w:rFonts w:ascii="Arial" w:hAnsi="Arial" w:cs="Arial"/>
                <w:i/>
                <w:sz w:val="20"/>
                <w:szCs w:val="20"/>
              </w:rPr>
            </w:pPr>
            <w:r w:rsidRPr="00124B90">
              <w:rPr>
                <w:rFonts w:ascii="Arial" w:hAnsi="Arial" w:cs="Arial"/>
                <w:i/>
                <w:sz w:val="20"/>
                <w:szCs w:val="20"/>
              </w:rPr>
              <w:t>ER</w:t>
            </w:r>
          </w:p>
        </w:tc>
        <w:tc>
          <w:tcPr>
            <w:tcW w:w="2610" w:type="dxa"/>
            <w:noWrap/>
            <w:vAlign w:val="center"/>
            <w:hideMark/>
          </w:tcPr>
          <w:p w14:paraId="67DDF097" w14:textId="77777777" w:rsidR="00BB0058" w:rsidRPr="00124B90" w:rsidRDefault="00BB0058">
            <w:pPr>
              <w:keepNext/>
              <w:rPr>
                <w:rFonts w:ascii="Arial" w:hAnsi="Arial" w:cs="Arial"/>
                <w:i/>
                <w:sz w:val="20"/>
                <w:szCs w:val="20"/>
              </w:rPr>
            </w:pPr>
            <w:r w:rsidRPr="00124B90">
              <w:rPr>
                <w:rFonts w:ascii="Arial" w:hAnsi="Arial" w:cs="Arial"/>
                <w:i/>
                <w:sz w:val="20"/>
                <w:szCs w:val="20"/>
              </w:rPr>
              <w:t>Early retirement</w:t>
            </w:r>
          </w:p>
        </w:tc>
        <w:tc>
          <w:tcPr>
            <w:tcW w:w="5580" w:type="dxa"/>
            <w:tcBorders>
              <w:top w:val="nil"/>
              <w:left w:val="nil"/>
              <w:bottom w:val="nil"/>
              <w:right w:val="single" w:sz="4" w:space="0" w:color="auto"/>
            </w:tcBorders>
            <w:vAlign w:val="center"/>
            <w:hideMark/>
          </w:tcPr>
          <w:p w14:paraId="4863CDC3" w14:textId="77777777" w:rsidR="00BB0058" w:rsidRPr="00124B90" w:rsidRDefault="00BB0058">
            <w:pPr>
              <w:keepNext/>
              <w:rPr>
                <w:rFonts w:ascii="Arial" w:hAnsi="Arial" w:cs="Arial"/>
                <w:i/>
                <w:sz w:val="20"/>
                <w:szCs w:val="20"/>
              </w:rPr>
            </w:pPr>
            <w:r w:rsidRPr="00124B90">
              <w:rPr>
                <w:rFonts w:ascii="Arial" w:hAnsi="Arial" w:cs="Arial"/>
                <w:i/>
                <w:sz w:val="20"/>
                <w:szCs w:val="20"/>
              </w:rPr>
              <w:t>measure applied while existing equipment still viable, or retrofit of existing equipment</w:t>
            </w:r>
          </w:p>
        </w:tc>
      </w:tr>
      <w:tr w:rsidR="00BB0058" w:rsidRPr="00124B90" w14:paraId="24EA0403" w14:textId="77777777" w:rsidTr="00BB0058">
        <w:trPr>
          <w:trHeight w:val="600"/>
        </w:trPr>
        <w:tc>
          <w:tcPr>
            <w:tcW w:w="900" w:type="dxa"/>
            <w:tcBorders>
              <w:top w:val="nil"/>
              <w:left w:val="single" w:sz="4" w:space="0" w:color="auto"/>
              <w:bottom w:val="nil"/>
              <w:right w:val="nil"/>
            </w:tcBorders>
            <w:noWrap/>
            <w:vAlign w:val="center"/>
            <w:hideMark/>
          </w:tcPr>
          <w:p w14:paraId="2EA29177" w14:textId="77777777" w:rsidR="00BB0058" w:rsidRPr="00124B90" w:rsidRDefault="00BB0058">
            <w:pPr>
              <w:keepNext/>
              <w:rPr>
                <w:rFonts w:ascii="Arial" w:hAnsi="Arial" w:cs="Arial"/>
                <w:i/>
                <w:sz w:val="20"/>
                <w:szCs w:val="20"/>
              </w:rPr>
            </w:pPr>
            <w:r w:rsidRPr="00124B90">
              <w:rPr>
                <w:rFonts w:ascii="Arial" w:hAnsi="Arial" w:cs="Arial"/>
                <w:i/>
                <w:sz w:val="20"/>
                <w:szCs w:val="20"/>
              </w:rPr>
              <w:t>ROB</w:t>
            </w:r>
          </w:p>
        </w:tc>
        <w:tc>
          <w:tcPr>
            <w:tcW w:w="2610" w:type="dxa"/>
            <w:noWrap/>
            <w:vAlign w:val="center"/>
            <w:hideMark/>
          </w:tcPr>
          <w:p w14:paraId="2DB33FF9" w14:textId="77777777" w:rsidR="00BB0058" w:rsidRPr="00124B90" w:rsidRDefault="00BB0058">
            <w:pPr>
              <w:keepNext/>
              <w:rPr>
                <w:rFonts w:ascii="Arial" w:hAnsi="Arial" w:cs="Arial"/>
                <w:i/>
                <w:sz w:val="20"/>
                <w:szCs w:val="20"/>
              </w:rPr>
            </w:pPr>
            <w:r w:rsidRPr="00124B90">
              <w:rPr>
                <w:rFonts w:ascii="Arial" w:hAnsi="Arial" w:cs="Arial"/>
                <w:i/>
                <w:sz w:val="20"/>
                <w:szCs w:val="20"/>
              </w:rPr>
              <w:t>Replace on Burnout</w:t>
            </w:r>
          </w:p>
        </w:tc>
        <w:tc>
          <w:tcPr>
            <w:tcW w:w="5580" w:type="dxa"/>
            <w:tcBorders>
              <w:top w:val="nil"/>
              <w:left w:val="nil"/>
              <w:bottom w:val="nil"/>
              <w:right w:val="single" w:sz="4" w:space="0" w:color="auto"/>
            </w:tcBorders>
            <w:vAlign w:val="center"/>
            <w:hideMark/>
          </w:tcPr>
          <w:p w14:paraId="50AA00B5" w14:textId="77777777" w:rsidR="00BB0058" w:rsidRPr="00124B90" w:rsidRDefault="00BB0058">
            <w:pPr>
              <w:keepNext/>
              <w:rPr>
                <w:rFonts w:ascii="Arial" w:hAnsi="Arial" w:cs="Arial"/>
                <w:i/>
                <w:sz w:val="20"/>
                <w:szCs w:val="20"/>
              </w:rPr>
            </w:pPr>
            <w:r w:rsidRPr="00124B90">
              <w:rPr>
                <w:rFonts w:ascii="Arial" w:hAnsi="Arial" w:cs="Arial"/>
                <w:i/>
                <w:sz w:val="20"/>
                <w:szCs w:val="20"/>
              </w:rPr>
              <w:t>measure applied when existing equipment fails or maintenance requires replacement</w:t>
            </w:r>
          </w:p>
        </w:tc>
      </w:tr>
      <w:tr w:rsidR="00BB0058" w:rsidRPr="00124B90" w14:paraId="3F1A2C15" w14:textId="77777777" w:rsidTr="00BB0058">
        <w:trPr>
          <w:trHeight w:val="600"/>
        </w:trPr>
        <w:tc>
          <w:tcPr>
            <w:tcW w:w="900" w:type="dxa"/>
            <w:tcBorders>
              <w:top w:val="nil"/>
              <w:left w:val="single" w:sz="4" w:space="0" w:color="auto"/>
              <w:bottom w:val="single" w:sz="4" w:space="0" w:color="auto"/>
              <w:right w:val="nil"/>
            </w:tcBorders>
            <w:noWrap/>
            <w:vAlign w:val="center"/>
            <w:hideMark/>
          </w:tcPr>
          <w:p w14:paraId="40A89BEA" w14:textId="77777777" w:rsidR="00BB0058" w:rsidRPr="00124B90" w:rsidRDefault="00BB0058">
            <w:pPr>
              <w:rPr>
                <w:rFonts w:ascii="Arial" w:hAnsi="Arial" w:cs="Arial"/>
                <w:i/>
                <w:sz w:val="20"/>
                <w:szCs w:val="20"/>
              </w:rPr>
            </w:pPr>
            <w:r w:rsidRPr="00124B90">
              <w:rPr>
                <w:rFonts w:ascii="Arial" w:hAnsi="Arial" w:cs="Arial"/>
                <w:i/>
                <w:sz w:val="20"/>
                <w:szCs w:val="20"/>
              </w:rPr>
              <w:t>NC</w:t>
            </w:r>
          </w:p>
        </w:tc>
        <w:tc>
          <w:tcPr>
            <w:tcW w:w="2610" w:type="dxa"/>
            <w:tcBorders>
              <w:top w:val="nil"/>
              <w:left w:val="nil"/>
              <w:bottom w:val="single" w:sz="4" w:space="0" w:color="auto"/>
              <w:right w:val="nil"/>
            </w:tcBorders>
            <w:noWrap/>
            <w:vAlign w:val="center"/>
            <w:hideMark/>
          </w:tcPr>
          <w:p w14:paraId="1F723C06" w14:textId="77777777" w:rsidR="00BB0058" w:rsidRPr="00124B90" w:rsidRDefault="00BB0058">
            <w:pPr>
              <w:rPr>
                <w:rFonts w:ascii="Arial" w:hAnsi="Arial" w:cs="Arial"/>
                <w:i/>
                <w:sz w:val="20"/>
                <w:szCs w:val="20"/>
              </w:rPr>
            </w:pPr>
            <w:r w:rsidRPr="00124B90">
              <w:rPr>
                <w:rFonts w:ascii="Arial" w:hAnsi="Arial" w:cs="Arial"/>
                <w:i/>
                <w:sz w:val="20"/>
                <w:szCs w:val="20"/>
              </w:rPr>
              <w:t>New Construction</w:t>
            </w:r>
          </w:p>
        </w:tc>
        <w:tc>
          <w:tcPr>
            <w:tcW w:w="5580" w:type="dxa"/>
            <w:tcBorders>
              <w:top w:val="nil"/>
              <w:left w:val="nil"/>
              <w:bottom w:val="single" w:sz="4" w:space="0" w:color="auto"/>
              <w:right w:val="single" w:sz="4" w:space="0" w:color="auto"/>
            </w:tcBorders>
            <w:vAlign w:val="center"/>
            <w:hideMark/>
          </w:tcPr>
          <w:p w14:paraId="7C7567C0" w14:textId="77777777" w:rsidR="00BB0058" w:rsidRPr="00124B90" w:rsidRDefault="00BB0058">
            <w:pPr>
              <w:rPr>
                <w:rFonts w:ascii="Arial" w:hAnsi="Arial" w:cs="Arial"/>
                <w:i/>
                <w:sz w:val="20"/>
                <w:szCs w:val="20"/>
              </w:rPr>
            </w:pPr>
            <w:r w:rsidRPr="00124B90">
              <w:rPr>
                <w:rFonts w:ascii="Arial" w:hAnsi="Arial" w:cs="Arial"/>
                <w:i/>
                <w:sz w:val="20"/>
                <w:szCs w:val="20"/>
              </w:rPr>
              <w:t>measure applied during construction design phase as an alternative to a code-compliant standard design</w:t>
            </w:r>
          </w:p>
        </w:tc>
      </w:tr>
    </w:tbl>
    <w:p w14:paraId="3C215586" w14:textId="77777777" w:rsidR="00124B90" w:rsidRDefault="00124B90" w:rsidP="00BB0058">
      <w:pPr>
        <w:rPr>
          <w:rFonts w:ascii="Arial" w:hAnsi="Arial" w:cs="Arial"/>
          <w:sz w:val="20"/>
          <w:szCs w:val="20"/>
        </w:rPr>
      </w:pPr>
    </w:p>
    <w:p w14:paraId="6A19FADE" w14:textId="0785B97F" w:rsidR="00BB0058" w:rsidRPr="00124B90" w:rsidRDefault="00BB0058" w:rsidP="00BB0058">
      <w:r w:rsidRPr="00124B90">
        <w:rPr>
          <w:rFonts w:ascii="Arial" w:hAnsi="Arial" w:cs="Arial"/>
          <w:sz w:val="20"/>
          <w:szCs w:val="20"/>
        </w:rPr>
        <w:t xml:space="preserve">All the measures within this </w:t>
      </w:r>
      <w:proofErr w:type="spellStart"/>
      <w:r w:rsidRPr="00124B90">
        <w:rPr>
          <w:rFonts w:ascii="Arial" w:hAnsi="Arial" w:cs="Arial"/>
          <w:sz w:val="20"/>
          <w:szCs w:val="20"/>
        </w:rPr>
        <w:t>workpaper</w:t>
      </w:r>
      <w:proofErr w:type="spellEnd"/>
      <w:r w:rsidRPr="00124B90">
        <w:rPr>
          <w:rFonts w:ascii="Arial" w:hAnsi="Arial" w:cs="Arial"/>
          <w:sz w:val="20"/>
          <w:szCs w:val="20"/>
        </w:rPr>
        <w:t xml:space="preserve"> are ROB</w:t>
      </w:r>
      <w:r w:rsidR="0023487D">
        <w:rPr>
          <w:rFonts w:ascii="Arial" w:hAnsi="Arial" w:cs="Arial"/>
          <w:sz w:val="20"/>
          <w:szCs w:val="20"/>
        </w:rPr>
        <w:t xml:space="preserve"> and NC.</w:t>
      </w:r>
    </w:p>
    <w:p w14:paraId="1352843E" w14:textId="77777777" w:rsidR="00BB0058" w:rsidRPr="00124B90" w:rsidRDefault="00BB0058" w:rsidP="00BB0058">
      <w:pPr>
        <w:pStyle w:val="Heading2"/>
      </w:pPr>
      <w:bookmarkStart w:id="29" w:name="_Toc384115349"/>
      <w:bookmarkStart w:id="30" w:name="_Toc438526154"/>
      <w:r w:rsidRPr="00124B90">
        <w:t>1.4 Product Base Case and Measure Case Data</w:t>
      </w:r>
      <w:bookmarkEnd w:id="29"/>
      <w:bookmarkEnd w:id="30"/>
    </w:p>
    <w:p w14:paraId="479D0B73" w14:textId="49B93DCB" w:rsidR="00BB0058" w:rsidRPr="0023487D" w:rsidRDefault="00BB0058" w:rsidP="00BB0058">
      <w:pPr>
        <w:rPr>
          <w:rFonts w:ascii="Arial" w:hAnsi="Arial" w:cs="Arial"/>
          <w:sz w:val="20"/>
        </w:rPr>
      </w:pPr>
      <w:r w:rsidRPr="0023487D">
        <w:rPr>
          <w:rFonts w:ascii="Arial" w:hAnsi="Arial" w:cs="Arial"/>
          <w:sz w:val="20"/>
        </w:rPr>
        <w:t xml:space="preserve">The base case wattages of the Pulse Start Metal Halide Fixtures are based on methodology outlined in </w:t>
      </w:r>
      <w:r w:rsidR="00A476C2" w:rsidRPr="0023487D">
        <w:rPr>
          <w:rFonts w:ascii="Arial" w:hAnsi="Arial" w:cs="Arial"/>
          <w:sz w:val="20"/>
        </w:rPr>
        <w:t xml:space="preserve">ED </w:t>
      </w:r>
      <w:proofErr w:type="spellStart"/>
      <w:r w:rsidR="00A476C2" w:rsidRPr="0023487D">
        <w:rPr>
          <w:rFonts w:ascii="Arial" w:hAnsi="Arial" w:cs="Arial"/>
          <w:sz w:val="20"/>
        </w:rPr>
        <w:t>Workpaper</w:t>
      </w:r>
      <w:proofErr w:type="spellEnd"/>
      <w:r w:rsidR="00A476C2" w:rsidRPr="0023487D">
        <w:rPr>
          <w:rFonts w:ascii="Arial" w:hAnsi="Arial" w:cs="Arial"/>
          <w:sz w:val="20"/>
        </w:rPr>
        <w:t xml:space="preserve"> Disposition for L</w:t>
      </w:r>
      <w:r w:rsidRPr="0023487D">
        <w:rPr>
          <w:rFonts w:ascii="Arial" w:hAnsi="Arial" w:cs="Arial"/>
          <w:sz w:val="20"/>
        </w:rPr>
        <w:t>ighting Retrofit</w:t>
      </w:r>
      <w:r w:rsidR="00A476C2" w:rsidRPr="0023487D">
        <w:rPr>
          <w:rFonts w:ascii="Arial" w:hAnsi="Arial" w:cs="Arial"/>
          <w:sz w:val="20"/>
        </w:rPr>
        <w:t>s</w:t>
      </w:r>
      <w:r w:rsidRPr="0023487D">
        <w:rPr>
          <w:rFonts w:ascii="Arial" w:hAnsi="Arial" w:cs="Arial"/>
          <w:sz w:val="20"/>
        </w:rPr>
        <w:t>, December 14, 2013</w:t>
      </w:r>
      <w:r w:rsidR="00114382">
        <w:rPr>
          <w:rFonts w:ascii="Arial" w:hAnsi="Arial" w:cs="Arial"/>
          <w:sz w:val="20"/>
        </w:rPr>
        <w:t xml:space="preserve"> and in 2015 Uncertain</w:t>
      </w:r>
      <w:r w:rsidR="00DB53A2">
        <w:rPr>
          <w:rFonts w:ascii="Arial" w:hAnsi="Arial" w:cs="Arial"/>
          <w:sz w:val="20"/>
        </w:rPr>
        <w:t xml:space="preserve"> Measures Update.</w:t>
      </w:r>
    </w:p>
    <w:p w14:paraId="4D26BCDD" w14:textId="77777777" w:rsidR="00BB0058" w:rsidRPr="0023487D" w:rsidRDefault="00BB0058" w:rsidP="00BB0058">
      <w:pPr>
        <w:rPr>
          <w:rFonts w:ascii="Arial" w:hAnsi="Arial" w:cs="Arial"/>
          <w:sz w:val="20"/>
        </w:rPr>
      </w:pPr>
    </w:p>
    <w:p w14:paraId="69D82E3C" w14:textId="77777777" w:rsidR="00A476C2" w:rsidRPr="0023487D" w:rsidRDefault="00A476C2" w:rsidP="0023487D">
      <w:pPr>
        <w:pStyle w:val="Heading2"/>
      </w:pPr>
      <w:bookmarkStart w:id="31" w:name="_Toc386807697"/>
      <w:bookmarkStart w:id="32" w:name="_Toc438526155"/>
      <w:r w:rsidRPr="0023487D">
        <w:t>1.4.1 DEER Base Case and Measure Case Information</w:t>
      </w:r>
      <w:bookmarkEnd w:id="31"/>
      <w:bookmarkEnd w:id="32"/>
    </w:p>
    <w:p w14:paraId="3AE66764" w14:textId="6B24F145" w:rsidR="00A476C2" w:rsidRDefault="0023487D" w:rsidP="00A476C2">
      <w:pPr>
        <w:rPr>
          <w:rFonts w:ascii="Arial" w:hAnsi="Arial" w:cs="Arial"/>
          <w:sz w:val="20"/>
          <w:szCs w:val="20"/>
        </w:rPr>
      </w:pPr>
      <w:r>
        <w:rPr>
          <w:rFonts w:ascii="Arial" w:hAnsi="Arial" w:cs="Arial"/>
          <w:sz w:val="20"/>
          <w:szCs w:val="20"/>
        </w:rPr>
        <w:t>The Database for Energy Efficient Resources (DEER) 2016 contains the measures for HP high bay linear fluorescent fixtures using the Delta Wattage Assumption.  The base case technology is HID and the standard case is metal halide for LT006 and Pulse start metal halide for the rest of the measures.</w:t>
      </w:r>
      <w:r w:rsidR="005833F9">
        <w:rPr>
          <w:rFonts w:ascii="Arial" w:hAnsi="Arial" w:cs="Arial"/>
          <w:sz w:val="20"/>
          <w:szCs w:val="20"/>
        </w:rPr>
        <w:t xml:space="preserve"> </w:t>
      </w:r>
    </w:p>
    <w:p w14:paraId="2C2BC716" w14:textId="77777777" w:rsidR="00A476C2" w:rsidRPr="0023487D" w:rsidRDefault="00A476C2" w:rsidP="00A476C2">
      <w:pPr>
        <w:rPr>
          <w:rFonts w:ascii="Arial" w:hAnsi="Arial" w:cs="Arial"/>
          <w:sz w:val="20"/>
          <w:szCs w:val="20"/>
        </w:rPr>
      </w:pPr>
    </w:p>
    <w:p w14:paraId="268166F1" w14:textId="77777777" w:rsidR="00A476C2" w:rsidRPr="0023487D" w:rsidRDefault="00A476C2" w:rsidP="00A476C2">
      <w:pPr>
        <w:rPr>
          <w:rFonts w:ascii="Arial" w:hAnsi="Arial" w:cs="Arial"/>
          <w:b/>
          <w:sz w:val="20"/>
          <w:szCs w:val="20"/>
        </w:rPr>
      </w:pPr>
      <w:r w:rsidRPr="0023487D">
        <w:rPr>
          <w:rFonts w:ascii="Arial" w:hAnsi="Arial" w:cs="Arial"/>
          <w:b/>
          <w:sz w:val="20"/>
          <w:szCs w:val="20"/>
        </w:rPr>
        <w:t>Hours of Operation</w:t>
      </w:r>
    </w:p>
    <w:p w14:paraId="4D56FE1F" w14:textId="1C701394" w:rsidR="00A476C2" w:rsidRPr="0023487D" w:rsidRDefault="00A476C2" w:rsidP="00A476C2">
      <w:pPr>
        <w:rPr>
          <w:rFonts w:ascii="Arial" w:hAnsi="Arial" w:cs="Arial"/>
          <w:sz w:val="20"/>
          <w:szCs w:val="20"/>
        </w:rPr>
      </w:pPr>
      <w:r w:rsidRPr="0023487D">
        <w:rPr>
          <w:rFonts w:ascii="Arial" w:hAnsi="Arial" w:cs="Arial"/>
          <w:sz w:val="20"/>
          <w:szCs w:val="20"/>
        </w:rPr>
        <w:t>The DEER 201</w:t>
      </w:r>
      <w:r w:rsidR="005833F9">
        <w:rPr>
          <w:rFonts w:ascii="Arial" w:hAnsi="Arial" w:cs="Arial"/>
          <w:sz w:val="20"/>
          <w:szCs w:val="20"/>
        </w:rPr>
        <w:t>6</w:t>
      </w:r>
      <w:r w:rsidRPr="0023487D">
        <w:rPr>
          <w:rFonts w:ascii="Arial" w:hAnsi="Arial" w:cs="Arial"/>
          <w:sz w:val="20"/>
          <w:szCs w:val="20"/>
        </w:rPr>
        <w:t xml:space="preserve"> hours of operation and interactive effects are used for savings calculations.</w:t>
      </w:r>
    </w:p>
    <w:p w14:paraId="1D5FCB8C" w14:textId="77777777" w:rsidR="00A476C2" w:rsidRPr="0023487D" w:rsidRDefault="00A476C2" w:rsidP="00A476C2">
      <w:pPr>
        <w:rPr>
          <w:rFonts w:ascii="Arial" w:hAnsi="Arial" w:cs="Arial"/>
          <w:sz w:val="20"/>
          <w:szCs w:val="20"/>
        </w:rPr>
      </w:pPr>
    </w:p>
    <w:p w14:paraId="7F107CFE" w14:textId="77777777" w:rsidR="00A476C2" w:rsidRPr="0023487D" w:rsidRDefault="00A476C2" w:rsidP="00A476C2">
      <w:pPr>
        <w:rPr>
          <w:rFonts w:ascii="Arial" w:hAnsi="Arial" w:cs="Arial"/>
          <w:i/>
          <w:sz w:val="20"/>
          <w:szCs w:val="20"/>
        </w:rPr>
      </w:pPr>
      <w:r w:rsidRPr="0023487D">
        <w:rPr>
          <w:rFonts w:ascii="Arial" w:hAnsi="Arial" w:cs="Arial"/>
          <w:b/>
          <w:sz w:val="20"/>
          <w:szCs w:val="20"/>
        </w:rPr>
        <w:t>Net-to-Gross Assumption</w:t>
      </w:r>
    </w:p>
    <w:p w14:paraId="369812E3" w14:textId="48AEE061" w:rsidR="00A476C2" w:rsidRPr="0023487D" w:rsidRDefault="00A476C2" w:rsidP="00A476C2">
      <w:pPr>
        <w:rPr>
          <w:rFonts w:ascii="Arial" w:hAnsi="Arial" w:cs="Arial"/>
          <w:sz w:val="20"/>
          <w:szCs w:val="20"/>
        </w:rPr>
      </w:pPr>
      <w:r w:rsidRPr="0023487D">
        <w:rPr>
          <w:rFonts w:ascii="Arial" w:hAnsi="Arial" w:cs="Arial"/>
          <w:sz w:val="20"/>
          <w:szCs w:val="20"/>
        </w:rPr>
        <w:t>The NTG values are from DEER 201</w:t>
      </w:r>
      <w:r w:rsidR="005833F9">
        <w:rPr>
          <w:rFonts w:ascii="Arial" w:hAnsi="Arial" w:cs="Arial"/>
          <w:sz w:val="20"/>
          <w:szCs w:val="20"/>
        </w:rPr>
        <w:t>6</w:t>
      </w:r>
      <w:r w:rsidRPr="0023487D">
        <w:rPr>
          <w:rFonts w:ascii="Arial" w:hAnsi="Arial" w:cs="Arial"/>
          <w:sz w:val="20"/>
          <w:szCs w:val="20"/>
        </w:rPr>
        <w:t>. T</w:t>
      </w:r>
      <w:r w:rsidR="005833F9">
        <w:rPr>
          <w:rFonts w:ascii="Arial" w:hAnsi="Arial" w:cs="Arial"/>
          <w:sz w:val="20"/>
          <w:szCs w:val="20"/>
        </w:rPr>
        <w:t xml:space="preserve">he table </w:t>
      </w:r>
      <w:r w:rsidRPr="0023487D">
        <w:rPr>
          <w:rFonts w:ascii="Arial" w:hAnsi="Arial" w:cs="Arial"/>
          <w:sz w:val="20"/>
          <w:szCs w:val="20"/>
        </w:rPr>
        <w:t>below summarizes all applicable Net-to-Gross ratios for programs that may be used by this measure.</w:t>
      </w:r>
    </w:p>
    <w:p w14:paraId="031956A0" w14:textId="77777777" w:rsidR="00A476C2" w:rsidRPr="0023487D" w:rsidRDefault="00A476C2" w:rsidP="005833F9">
      <w:pPr>
        <w:pStyle w:val="Caption"/>
        <w:keepNext/>
        <w:spacing w:before="240"/>
        <w:jc w:val="center"/>
        <w:rPr>
          <w:rFonts w:ascii="Arial" w:hAnsi="Arial" w:cs="Arial"/>
        </w:rPr>
      </w:pPr>
      <w:bookmarkStart w:id="33" w:name="_Ref312930327"/>
      <w:bookmarkStart w:id="34" w:name="_Toc386807716"/>
      <w:bookmarkStart w:id="35" w:name="_Toc438526184"/>
      <w:r w:rsidRPr="0023487D">
        <w:rPr>
          <w:rFonts w:ascii="Arial" w:hAnsi="Arial" w:cs="Arial"/>
        </w:rPr>
        <w:t xml:space="preserve">Table </w:t>
      </w:r>
      <w:r w:rsidR="00896A9A" w:rsidRPr="0023487D">
        <w:rPr>
          <w:rFonts w:ascii="Arial" w:hAnsi="Arial" w:cs="Arial"/>
        </w:rPr>
        <w:fldChar w:fldCharType="begin"/>
      </w:r>
      <w:r w:rsidR="00896A9A" w:rsidRPr="0023487D">
        <w:rPr>
          <w:rFonts w:ascii="Arial" w:hAnsi="Arial" w:cs="Arial"/>
        </w:rPr>
        <w:instrText xml:space="preserve"> SEQ Table \* ARABIC \s 1 </w:instrText>
      </w:r>
      <w:r w:rsidR="00896A9A" w:rsidRPr="0023487D">
        <w:rPr>
          <w:rFonts w:ascii="Arial" w:hAnsi="Arial" w:cs="Arial"/>
        </w:rPr>
        <w:fldChar w:fldCharType="separate"/>
      </w:r>
      <w:r w:rsidR="00D40AB7">
        <w:rPr>
          <w:rFonts w:ascii="Arial" w:hAnsi="Arial" w:cs="Arial"/>
          <w:noProof/>
        </w:rPr>
        <w:t>4</w:t>
      </w:r>
      <w:r w:rsidR="00896A9A" w:rsidRPr="0023487D">
        <w:rPr>
          <w:rFonts w:ascii="Arial" w:hAnsi="Arial" w:cs="Arial"/>
          <w:noProof/>
        </w:rPr>
        <w:fldChar w:fldCharType="end"/>
      </w:r>
      <w:bookmarkEnd w:id="33"/>
      <w:r w:rsidRPr="0023487D">
        <w:rPr>
          <w:rFonts w:ascii="Arial" w:hAnsi="Arial" w:cs="Arial"/>
        </w:rPr>
        <w:t xml:space="preserve">  Net-to-Gross Ratios</w:t>
      </w:r>
      <w:bookmarkEnd w:id="34"/>
      <w:bookmarkEnd w:id="35"/>
    </w:p>
    <w:tbl>
      <w:tblPr>
        <w:tblStyle w:val="TableGrid1"/>
        <w:tblW w:w="5000" w:type="pct"/>
        <w:tblLayout w:type="fixed"/>
        <w:tblLook w:val="01E0" w:firstRow="1" w:lastRow="1" w:firstColumn="1" w:lastColumn="1" w:noHBand="0" w:noVBand="0"/>
      </w:tblPr>
      <w:tblGrid>
        <w:gridCol w:w="1368"/>
        <w:gridCol w:w="3871"/>
        <w:gridCol w:w="990"/>
        <w:gridCol w:w="1170"/>
        <w:gridCol w:w="1350"/>
        <w:gridCol w:w="827"/>
      </w:tblGrid>
      <w:tr w:rsidR="005833F9" w:rsidRPr="005379C5" w14:paraId="59CA1937" w14:textId="77777777" w:rsidTr="00B676F3">
        <w:tc>
          <w:tcPr>
            <w:tcW w:w="714" w:type="pct"/>
            <w:shd w:val="clear" w:color="auto" w:fill="D9D9D9" w:themeFill="background1" w:themeFillShade="D9"/>
            <w:vAlign w:val="center"/>
          </w:tcPr>
          <w:p w14:paraId="0FF928BD" w14:textId="77777777" w:rsidR="005833F9" w:rsidRPr="005379C5" w:rsidRDefault="005833F9" w:rsidP="00B676F3">
            <w:pPr>
              <w:jc w:val="center"/>
              <w:rPr>
                <w:rFonts w:ascii="Arial" w:hAnsi="Arial" w:cs="Arial"/>
                <w:b/>
                <w:sz w:val="20"/>
                <w:szCs w:val="20"/>
              </w:rPr>
            </w:pPr>
            <w:r w:rsidRPr="005379C5">
              <w:rPr>
                <w:rFonts w:ascii="Arial" w:hAnsi="Arial" w:cs="Arial"/>
                <w:b/>
                <w:sz w:val="20"/>
                <w:szCs w:val="20"/>
              </w:rPr>
              <w:t>NTGR ID</w:t>
            </w:r>
          </w:p>
        </w:tc>
        <w:tc>
          <w:tcPr>
            <w:tcW w:w="2021" w:type="pct"/>
            <w:shd w:val="clear" w:color="auto" w:fill="D9D9D9" w:themeFill="background1" w:themeFillShade="D9"/>
            <w:vAlign w:val="center"/>
          </w:tcPr>
          <w:p w14:paraId="649C98B3" w14:textId="77777777" w:rsidR="005833F9" w:rsidRPr="005379C5" w:rsidRDefault="005833F9" w:rsidP="00B676F3">
            <w:pPr>
              <w:jc w:val="center"/>
              <w:rPr>
                <w:rFonts w:ascii="Arial" w:hAnsi="Arial" w:cs="Arial"/>
                <w:b/>
                <w:sz w:val="20"/>
                <w:szCs w:val="20"/>
              </w:rPr>
            </w:pPr>
            <w:r w:rsidRPr="005379C5">
              <w:rPr>
                <w:rFonts w:ascii="Arial" w:hAnsi="Arial" w:cs="Arial"/>
                <w:b/>
                <w:sz w:val="20"/>
                <w:szCs w:val="20"/>
              </w:rPr>
              <w:t>Description</w:t>
            </w:r>
          </w:p>
        </w:tc>
        <w:tc>
          <w:tcPr>
            <w:tcW w:w="517" w:type="pct"/>
            <w:shd w:val="clear" w:color="auto" w:fill="D9D9D9" w:themeFill="background1" w:themeFillShade="D9"/>
            <w:vAlign w:val="center"/>
          </w:tcPr>
          <w:p w14:paraId="669AF426" w14:textId="77777777" w:rsidR="005833F9" w:rsidRPr="005379C5" w:rsidRDefault="005833F9" w:rsidP="00B676F3">
            <w:pPr>
              <w:jc w:val="center"/>
              <w:rPr>
                <w:rFonts w:ascii="Arial" w:hAnsi="Arial" w:cs="Arial"/>
                <w:b/>
                <w:sz w:val="20"/>
                <w:szCs w:val="20"/>
              </w:rPr>
            </w:pPr>
            <w:r w:rsidRPr="005379C5">
              <w:rPr>
                <w:rFonts w:ascii="Arial" w:hAnsi="Arial" w:cs="Arial"/>
                <w:b/>
                <w:sz w:val="20"/>
                <w:szCs w:val="20"/>
              </w:rPr>
              <w:t>Sector</w:t>
            </w:r>
          </w:p>
        </w:tc>
        <w:tc>
          <w:tcPr>
            <w:tcW w:w="611" w:type="pct"/>
            <w:shd w:val="clear" w:color="auto" w:fill="D9D9D9" w:themeFill="background1" w:themeFillShade="D9"/>
            <w:vAlign w:val="center"/>
          </w:tcPr>
          <w:p w14:paraId="61954FF0" w14:textId="77777777" w:rsidR="005833F9" w:rsidRPr="005379C5" w:rsidRDefault="005833F9" w:rsidP="00B676F3">
            <w:pPr>
              <w:jc w:val="center"/>
              <w:rPr>
                <w:rFonts w:ascii="Arial" w:hAnsi="Arial" w:cs="Arial"/>
                <w:b/>
                <w:sz w:val="20"/>
                <w:szCs w:val="20"/>
              </w:rPr>
            </w:pPr>
            <w:proofErr w:type="spellStart"/>
            <w:r w:rsidRPr="005379C5">
              <w:rPr>
                <w:rFonts w:ascii="Arial" w:hAnsi="Arial" w:cs="Arial"/>
                <w:b/>
                <w:sz w:val="20"/>
                <w:szCs w:val="20"/>
              </w:rPr>
              <w:t>BldgType</w:t>
            </w:r>
            <w:proofErr w:type="spellEnd"/>
          </w:p>
        </w:tc>
        <w:tc>
          <w:tcPr>
            <w:tcW w:w="705" w:type="pct"/>
            <w:shd w:val="clear" w:color="auto" w:fill="D9D9D9" w:themeFill="background1" w:themeFillShade="D9"/>
            <w:vAlign w:val="center"/>
          </w:tcPr>
          <w:p w14:paraId="382886E0" w14:textId="77777777" w:rsidR="005833F9" w:rsidRPr="005379C5" w:rsidRDefault="005833F9" w:rsidP="00B676F3">
            <w:pPr>
              <w:jc w:val="center"/>
              <w:rPr>
                <w:rFonts w:ascii="Arial" w:hAnsi="Arial" w:cs="Arial"/>
                <w:b/>
                <w:sz w:val="20"/>
                <w:szCs w:val="20"/>
              </w:rPr>
            </w:pPr>
            <w:r w:rsidRPr="005379C5">
              <w:rPr>
                <w:rFonts w:ascii="Arial" w:hAnsi="Arial" w:cs="Arial"/>
                <w:b/>
                <w:sz w:val="20"/>
                <w:szCs w:val="20"/>
              </w:rPr>
              <w:t>Measure Delivery</w:t>
            </w:r>
          </w:p>
        </w:tc>
        <w:tc>
          <w:tcPr>
            <w:tcW w:w="432" w:type="pct"/>
            <w:shd w:val="clear" w:color="auto" w:fill="D9D9D9" w:themeFill="background1" w:themeFillShade="D9"/>
            <w:vAlign w:val="center"/>
          </w:tcPr>
          <w:p w14:paraId="05CB0D4E" w14:textId="77777777" w:rsidR="005833F9" w:rsidRPr="005379C5" w:rsidRDefault="005833F9" w:rsidP="00B676F3">
            <w:pPr>
              <w:jc w:val="center"/>
              <w:rPr>
                <w:rFonts w:ascii="Arial" w:hAnsi="Arial" w:cs="Arial"/>
                <w:b/>
                <w:sz w:val="20"/>
                <w:szCs w:val="20"/>
              </w:rPr>
            </w:pPr>
            <w:r w:rsidRPr="005379C5">
              <w:rPr>
                <w:rFonts w:ascii="Arial" w:hAnsi="Arial" w:cs="Arial"/>
                <w:b/>
                <w:sz w:val="20"/>
                <w:szCs w:val="20"/>
              </w:rPr>
              <w:t>NTGR</w:t>
            </w:r>
          </w:p>
        </w:tc>
      </w:tr>
      <w:tr w:rsidR="00E161F9" w:rsidRPr="005379C5" w14:paraId="5967B8A2" w14:textId="77777777" w:rsidTr="00B676F3">
        <w:tc>
          <w:tcPr>
            <w:tcW w:w="714" w:type="pct"/>
            <w:vAlign w:val="center"/>
          </w:tcPr>
          <w:p w14:paraId="115B4CF2" w14:textId="1EC10842" w:rsidR="00E161F9" w:rsidRPr="005379C5" w:rsidRDefault="00E161F9" w:rsidP="00B676F3">
            <w:pPr>
              <w:jc w:val="center"/>
              <w:rPr>
                <w:rFonts w:ascii="Arial" w:hAnsi="Arial" w:cs="Arial"/>
                <w:sz w:val="20"/>
                <w:szCs w:val="20"/>
              </w:rPr>
            </w:pPr>
            <w:proofErr w:type="spellStart"/>
            <w:r w:rsidRPr="005833F9">
              <w:rPr>
                <w:rFonts w:ascii="Arial" w:hAnsi="Arial" w:cs="Arial"/>
                <w:sz w:val="20"/>
                <w:szCs w:val="20"/>
              </w:rPr>
              <w:t>NonRes</w:t>
            </w:r>
            <w:proofErr w:type="spellEnd"/>
            <w:r w:rsidRPr="005833F9">
              <w:rPr>
                <w:rFonts w:ascii="Arial" w:hAnsi="Arial" w:cs="Arial"/>
                <w:sz w:val="20"/>
                <w:szCs w:val="20"/>
              </w:rPr>
              <w:t>-</w:t>
            </w:r>
            <w:proofErr w:type="spellStart"/>
            <w:r w:rsidRPr="005833F9">
              <w:rPr>
                <w:rFonts w:ascii="Arial" w:hAnsi="Arial" w:cs="Arial"/>
                <w:sz w:val="20"/>
                <w:szCs w:val="20"/>
              </w:rPr>
              <w:t>sAll</w:t>
            </w:r>
            <w:proofErr w:type="spellEnd"/>
            <w:r w:rsidRPr="005833F9">
              <w:rPr>
                <w:rFonts w:ascii="Arial" w:hAnsi="Arial" w:cs="Arial"/>
                <w:sz w:val="20"/>
                <w:szCs w:val="20"/>
              </w:rPr>
              <w:t>-</w:t>
            </w:r>
            <w:proofErr w:type="spellStart"/>
            <w:r w:rsidRPr="005833F9">
              <w:rPr>
                <w:rFonts w:ascii="Arial" w:hAnsi="Arial" w:cs="Arial"/>
                <w:sz w:val="20"/>
                <w:szCs w:val="20"/>
              </w:rPr>
              <w:t>mLFHB</w:t>
            </w:r>
            <w:proofErr w:type="spellEnd"/>
            <w:r w:rsidRPr="005833F9">
              <w:rPr>
                <w:rFonts w:ascii="Arial" w:hAnsi="Arial" w:cs="Arial"/>
                <w:sz w:val="20"/>
                <w:szCs w:val="20"/>
              </w:rPr>
              <w:t>-Deemed</w:t>
            </w:r>
          </w:p>
        </w:tc>
        <w:tc>
          <w:tcPr>
            <w:tcW w:w="2021" w:type="pct"/>
            <w:vAlign w:val="center"/>
          </w:tcPr>
          <w:p w14:paraId="76A38F6A" w14:textId="577D403E" w:rsidR="00E161F9" w:rsidRPr="005379C5" w:rsidRDefault="00E161F9" w:rsidP="00B676F3">
            <w:pPr>
              <w:jc w:val="center"/>
              <w:rPr>
                <w:rFonts w:ascii="Arial" w:hAnsi="Arial" w:cs="Arial"/>
                <w:sz w:val="20"/>
                <w:szCs w:val="20"/>
              </w:rPr>
            </w:pPr>
            <w:r w:rsidRPr="005833F9">
              <w:rPr>
                <w:rFonts w:ascii="Arial" w:hAnsi="Arial" w:cs="Arial"/>
                <w:sz w:val="20"/>
                <w:szCs w:val="20"/>
              </w:rPr>
              <w:t>Nonresidential Linear Fluorescent: high bay applications; deemed; all delivery mechanisms</w:t>
            </w:r>
          </w:p>
        </w:tc>
        <w:tc>
          <w:tcPr>
            <w:tcW w:w="517" w:type="pct"/>
            <w:vAlign w:val="center"/>
          </w:tcPr>
          <w:p w14:paraId="7BC1DBDA" w14:textId="6B057F6C" w:rsidR="00E161F9" w:rsidRPr="005379C5" w:rsidRDefault="00E161F9" w:rsidP="00B676F3">
            <w:pPr>
              <w:jc w:val="center"/>
              <w:rPr>
                <w:rFonts w:ascii="Arial" w:hAnsi="Arial" w:cs="Arial"/>
                <w:sz w:val="20"/>
                <w:szCs w:val="20"/>
              </w:rPr>
            </w:pPr>
            <w:proofErr w:type="spellStart"/>
            <w:r>
              <w:rPr>
                <w:rFonts w:ascii="Arial" w:hAnsi="Arial" w:cs="Arial"/>
                <w:sz w:val="20"/>
                <w:szCs w:val="20"/>
              </w:rPr>
              <w:t>NonRes</w:t>
            </w:r>
            <w:proofErr w:type="spellEnd"/>
          </w:p>
        </w:tc>
        <w:tc>
          <w:tcPr>
            <w:tcW w:w="611" w:type="pct"/>
            <w:vAlign w:val="center"/>
          </w:tcPr>
          <w:p w14:paraId="571C2E42" w14:textId="1CE890ED" w:rsidR="00E161F9" w:rsidRPr="005379C5" w:rsidRDefault="00E161F9" w:rsidP="00B676F3">
            <w:pPr>
              <w:jc w:val="center"/>
              <w:rPr>
                <w:rFonts w:ascii="Arial" w:hAnsi="Arial" w:cs="Arial"/>
                <w:sz w:val="20"/>
                <w:szCs w:val="20"/>
              </w:rPr>
            </w:pPr>
            <w:r>
              <w:rPr>
                <w:rFonts w:ascii="Arial" w:hAnsi="Arial" w:cs="Arial"/>
                <w:sz w:val="20"/>
                <w:szCs w:val="20"/>
              </w:rPr>
              <w:t>Any</w:t>
            </w:r>
          </w:p>
        </w:tc>
        <w:tc>
          <w:tcPr>
            <w:tcW w:w="705" w:type="pct"/>
            <w:vAlign w:val="center"/>
          </w:tcPr>
          <w:p w14:paraId="6F2781C0" w14:textId="796EFBEC" w:rsidR="00E161F9" w:rsidRPr="005379C5" w:rsidRDefault="00E161F9" w:rsidP="00B676F3">
            <w:pPr>
              <w:jc w:val="center"/>
              <w:rPr>
                <w:rFonts w:ascii="Arial" w:hAnsi="Arial" w:cs="Arial"/>
                <w:sz w:val="20"/>
                <w:szCs w:val="20"/>
              </w:rPr>
            </w:pPr>
            <w:r>
              <w:rPr>
                <w:rFonts w:ascii="Arial" w:hAnsi="Arial" w:cs="Arial"/>
                <w:sz w:val="20"/>
                <w:szCs w:val="20"/>
              </w:rPr>
              <w:t>Any</w:t>
            </w:r>
          </w:p>
        </w:tc>
        <w:tc>
          <w:tcPr>
            <w:tcW w:w="432" w:type="pct"/>
            <w:vAlign w:val="center"/>
          </w:tcPr>
          <w:p w14:paraId="59A9928B" w14:textId="31C39568" w:rsidR="00E161F9" w:rsidRPr="005379C5" w:rsidRDefault="00E161F9" w:rsidP="00B676F3">
            <w:pPr>
              <w:jc w:val="center"/>
              <w:rPr>
                <w:rFonts w:ascii="Arial" w:hAnsi="Arial" w:cs="Arial"/>
                <w:sz w:val="20"/>
                <w:szCs w:val="20"/>
              </w:rPr>
            </w:pPr>
            <w:r>
              <w:rPr>
                <w:rFonts w:ascii="Arial" w:hAnsi="Arial" w:cs="Arial"/>
                <w:sz w:val="20"/>
                <w:szCs w:val="20"/>
              </w:rPr>
              <w:t>0.65</w:t>
            </w:r>
          </w:p>
        </w:tc>
      </w:tr>
    </w:tbl>
    <w:p w14:paraId="515E62CC" w14:textId="77777777" w:rsidR="00A476C2" w:rsidRPr="0023487D" w:rsidRDefault="00A476C2" w:rsidP="00A476C2">
      <w:pPr>
        <w:rPr>
          <w:rFonts w:ascii="Arial" w:hAnsi="Arial" w:cs="Arial"/>
          <w:sz w:val="20"/>
          <w:szCs w:val="20"/>
        </w:rPr>
      </w:pPr>
    </w:p>
    <w:p w14:paraId="37B4E374" w14:textId="77777777" w:rsidR="00E161F9" w:rsidRPr="00FB1892" w:rsidRDefault="00E161F9" w:rsidP="00E161F9">
      <w:pPr>
        <w:pStyle w:val="Reminders"/>
        <w:rPr>
          <w:rFonts w:ascii="Arial" w:hAnsi="Arial" w:cs="Arial"/>
          <w:i w:val="0"/>
          <w:color w:val="auto"/>
          <w:sz w:val="20"/>
          <w:szCs w:val="20"/>
        </w:rPr>
      </w:pPr>
      <w:r w:rsidRPr="00FB1892">
        <w:rPr>
          <w:rFonts w:ascii="Arial" w:hAnsi="Arial" w:cs="Arial"/>
          <w:b/>
          <w:i w:val="0"/>
          <w:color w:val="auto"/>
          <w:sz w:val="20"/>
          <w:szCs w:val="20"/>
        </w:rPr>
        <w:t>Spillage Rate</w:t>
      </w:r>
    </w:p>
    <w:p w14:paraId="3186AB0A" w14:textId="77777777" w:rsidR="00E161F9" w:rsidRPr="00FB1892" w:rsidRDefault="00E161F9" w:rsidP="00E161F9">
      <w:pPr>
        <w:pStyle w:val="Reminders"/>
        <w:rPr>
          <w:rFonts w:ascii="Arial" w:hAnsi="Arial" w:cs="Arial"/>
          <w:i w:val="0"/>
          <w:color w:val="auto"/>
          <w:sz w:val="20"/>
          <w:szCs w:val="20"/>
        </w:rPr>
      </w:pPr>
      <w:r w:rsidRPr="00FB1892">
        <w:rPr>
          <w:rFonts w:ascii="Arial" w:hAnsi="Arial" w:cs="Arial"/>
          <w:i w:val="0"/>
          <w:color w:val="auto"/>
          <w:sz w:val="20"/>
          <w:szCs w:val="20"/>
        </w:rPr>
        <w:t>Spillage rates are not tracked in work papers; they are tracked in an external document which will be supplied to the Commission Staff.</w:t>
      </w:r>
    </w:p>
    <w:p w14:paraId="165C6691" w14:textId="77777777" w:rsidR="00E161F9" w:rsidRPr="00FB1892" w:rsidRDefault="00E161F9" w:rsidP="00E161F9">
      <w:pPr>
        <w:pStyle w:val="Reminders"/>
        <w:rPr>
          <w:rFonts w:ascii="Arial" w:hAnsi="Arial" w:cs="Arial"/>
          <w:i w:val="0"/>
          <w:color w:val="auto"/>
          <w:sz w:val="20"/>
          <w:szCs w:val="20"/>
        </w:rPr>
      </w:pPr>
    </w:p>
    <w:p w14:paraId="71D78A89" w14:textId="77777777" w:rsidR="00E161F9" w:rsidRPr="00FB1892" w:rsidRDefault="00E161F9" w:rsidP="00E161F9">
      <w:pPr>
        <w:pStyle w:val="Reminders"/>
        <w:rPr>
          <w:rFonts w:ascii="Arial" w:hAnsi="Arial" w:cs="Arial"/>
          <w:b/>
          <w:i w:val="0"/>
          <w:color w:val="auto"/>
          <w:sz w:val="20"/>
          <w:szCs w:val="20"/>
        </w:rPr>
      </w:pPr>
      <w:r w:rsidRPr="00FB1892">
        <w:rPr>
          <w:rFonts w:ascii="Arial" w:hAnsi="Arial" w:cs="Arial"/>
          <w:b/>
          <w:i w:val="0"/>
          <w:color w:val="auto"/>
          <w:sz w:val="20"/>
          <w:szCs w:val="20"/>
        </w:rPr>
        <w:t>Installation Rate</w:t>
      </w:r>
    </w:p>
    <w:p w14:paraId="74EA9D02" w14:textId="69A00162" w:rsidR="00E161F9" w:rsidRPr="00FB1892" w:rsidRDefault="00E161F9" w:rsidP="00E161F9">
      <w:pPr>
        <w:pStyle w:val="NoSpacing"/>
        <w:rPr>
          <w:rFonts w:ascii="Arial" w:hAnsi="Arial" w:cs="Arial"/>
          <w:sz w:val="20"/>
          <w:szCs w:val="20"/>
        </w:rPr>
      </w:pPr>
      <w:r w:rsidRPr="00FB1892">
        <w:rPr>
          <w:rFonts w:ascii="Arial" w:hAnsi="Arial" w:cs="Arial"/>
          <w:sz w:val="20"/>
          <w:szCs w:val="20"/>
        </w:rPr>
        <w:t>The IR value</w:t>
      </w:r>
      <w:r>
        <w:rPr>
          <w:rFonts w:ascii="Arial" w:hAnsi="Arial" w:cs="Arial"/>
          <w:sz w:val="20"/>
          <w:szCs w:val="20"/>
        </w:rPr>
        <w:t xml:space="preserve"> was </w:t>
      </w:r>
      <w:r w:rsidRPr="00FB1892">
        <w:rPr>
          <w:rFonts w:ascii="Arial" w:hAnsi="Arial" w:cs="Arial"/>
          <w:sz w:val="20"/>
          <w:szCs w:val="20"/>
        </w:rPr>
        <w:t xml:space="preserve">obtained using the DEER READI tool. The relevant IR value for </w:t>
      </w:r>
      <w:r>
        <w:rPr>
          <w:rFonts w:ascii="Arial" w:hAnsi="Arial" w:cs="Arial"/>
          <w:sz w:val="20"/>
          <w:szCs w:val="20"/>
        </w:rPr>
        <w:t>these measures is</w:t>
      </w:r>
      <w:r w:rsidRPr="00FB1892">
        <w:rPr>
          <w:rFonts w:ascii="Arial" w:hAnsi="Arial" w:cs="Arial"/>
          <w:sz w:val="20"/>
          <w:szCs w:val="20"/>
        </w:rPr>
        <w:t xml:space="preserve"> in the table below:</w:t>
      </w:r>
    </w:p>
    <w:p w14:paraId="67963DA6" w14:textId="77777777" w:rsidR="00E161F9" w:rsidRDefault="00E161F9" w:rsidP="00E161F9">
      <w:pPr>
        <w:pStyle w:val="Caption"/>
        <w:jc w:val="center"/>
        <w:rPr>
          <w:rFonts w:ascii="Arial" w:hAnsi="Arial" w:cs="Arial"/>
        </w:rPr>
      </w:pPr>
    </w:p>
    <w:p w14:paraId="09C8071D" w14:textId="77777777" w:rsidR="00E161F9" w:rsidRPr="00FB1892" w:rsidRDefault="00E161F9" w:rsidP="00E161F9">
      <w:pPr>
        <w:pStyle w:val="Caption"/>
        <w:jc w:val="center"/>
        <w:rPr>
          <w:rFonts w:ascii="Arial" w:hAnsi="Arial" w:cs="Arial"/>
        </w:rPr>
      </w:pPr>
      <w:bookmarkStart w:id="36" w:name="_Toc434214798"/>
      <w:bookmarkStart w:id="37" w:name="_Toc438526185"/>
      <w:r w:rsidRPr="00FB1892">
        <w:rPr>
          <w:rFonts w:ascii="Arial" w:hAnsi="Arial" w:cs="Arial"/>
        </w:rPr>
        <w:t xml:space="preserve">Table </w:t>
      </w:r>
      <w:r w:rsidRPr="00FB1892">
        <w:rPr>
          <w:rFonts w:ascii="Arial" w:hAnsi="Arial" w:cs="Arial"/>
        </w:rPr>
        <w:fldChar w:fldCharType="begin"/>
      </w:r>
      <w:r w:rsidRPr="00FB1892">
        <w:rPr>
          <w:rFonts w:ascii="Arial" w:hAnsi="Arial" w:cs="Arial"/>
        </w:rPr>
        <w:instrText xml:space="preserve"> SEQ Table \* ARABIC </w:instrText>
      </w:r>
      <w:r w:rsidRPr="00FB1892">
        <w:rPr>
          <w:rFonts w:ascii="Arial" w:hAnsi="Arial" w:cs="Arial"/>
        </w:rPr>
        <w:fldChar w:fldCharType="separate"/>
      </w:r>
      <w:r w:rsidR="00D40AB7">
        <w:rPr>
          <w:rFonts w:ascii="Arial" w:hAnsi="Arial" w:cs="Arial"/>
          <w:noProof/>
        </w:rPr>
        <w:t>5</w:t>
      </w:r>
      <w:r w:rsidRPr="00FB1892">
        <w:rPr>
          <w:rFonts w:ascii="Arial" w:hAnsi="Arial" w:cs="Arial"/>
          <w:noProof/>
        </w:rPr>
        <w:fldChar w:fldCharType="end"/>
      </w:r>
      <w:r w:rsidRPr="00FB1892">
        <w:rPr>
          <w:rFonts w:ascii="Arial" w:hAnsi="Arial" w:cs="Arial"/>
        </w:rPr>
        <w:t xml:space="preserve"> Installation Rate</w:t>
      </w:r>
      <w:bookmarkEnd w:id="36"/>
      <w:bookmarkEnd w:id="37"/>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E161F9" w:rsidRPr="00FB1892" w14:paraId="13527589" w14:textId="77777777" w:rsidTr="00E161F9">
        <w:tc>
          <w:tcPr>
            <w:tcW w:w="716" w:type="pct"/>
            <w:shd w:val="clear" w:color="auto" w:fill="D9D9D9" w:themeFill="background1" w:themeFillShade="D9"/>
          </w:tcPr>
          <w:p w14:paraId="59C59609" w14:textId="77777777" w:rsidR="00E161F9" w:rsidRPr="00FB1892" w:rsidRDefault="00E161F9" w:rsidP="00B676F3">
            <w:pPr>
              <w:jc w:val="center"/>
              <w:rPr>
                <w:rFonts w:ascii="Arial" w:hAnsi="Arial" w:cs="Arial"/>
                <w:b/>
                <w:sz w:val="20"/>
                <w:szCs w:val="20"/>
              </w:rPr>
            </w:pPr>
            <w:r w:rsidRPr="00FB1892">
              <w:rPr>
                <w:rFonts w:ascii="Arial" w:hAnsi="Arial" w:cs="Arial"/>
                <w:b/>
                <w:sz w:val="20"/>
                <w:szCs w:val="20"/>
              </w:rPr>
              <w:t>GSIA ID</w:t>
            </w:r>
          </w:p>
        </w:tc>
        <w:tc>
          <w:tcPr>
            <w:tcW w:w="1398" w:type="pct"/>
            <w:shd w:val="clear" w:color="auto" w:fill="D9D9D9" w:themeFill="background1" w:themeFillShade="D9"/>
          </w:tcPr>
          <w:p w14:paraId="0C19C172" w14:textId="77777777" w:rsidR="00E161F9" w:rsidRPr="00FB1892" w:rsidRDefault="00E161F9" w:rsidP="00B676F3">
            <w:pPr>
              <w:jc w:val="center"/>
              <w:rPr>
                <w:rFonts w:ascii="Arial" w:hAnsi="Arial" w:cs="Arial"/>
                <w:b/>
                <w:sz w:val="20"/>
                <w:szCs w:val="20"/>
              </w:rPr>
            </w:pPr>
            <w:r w:rsidRPr="00FB1892">
              <w:rPr>
                <w:rFonts w:ascii="Arial" w:hAnsi="Arial" w:cs="Arial"/>
                <w:b/>
                <w:sz w:val="20"/>
                <w:szCs w:val="20"/>
              </w:rPr>
              <w:t>Description</w:t>
            </w:r>
          </w:p>
        </w:tc>
        <w:tc>
          <w:tcPr>
            <w:tcW w:w="682" w:type="pct"/>
            <w:shd w:val="clear" w:color="auto" w:fill="D9D9D9" w:themeFill="background1" w:themeFillShade="D9"/>
          </w:tcPr>
          <w:p w14:paraId="531EF4A6" w14:textId="77777777" w:rsidR="00E161F9" w:rsidRPr="00FB1892" w:rsidRDefault="00E161F9" w:rsidP="00B676F3">
            <w:pPr>
              <w:jc w:val="center"/>
              <w:rPr>
                <w:rFonts w:ascii="Arial" w:hAnsi="Arial" w:cs="Arial"/>
                <w:b/>
                <w:sz w:val="20"/>
                <w:szCs w:val="20"/>
              </w:rPr>
            </w:pPr>
            <w:r w:rsidRPr="00FB1892">
              <w:rPr>
                <w:rFonts w:ascii="Arial" w:hAnsi="Arial" w:cs="Arial"/>
                <w:b/>
                <w:sz w:val="20"/>
                <w:szCs w:val="20"/>
              </w:rPr>
              <w:t>Sector</w:t>
            </w:r>
          </w:p>
        </w:tc>
        <w:tc>
          <w:tcPr>
            <w:tcW w:w="852" w:type="pct"/>
            <w:shd w:val="clear" w:color="auto" w:fill="D9D9D9" w:themeFill="background1" w:themeFillShade="D9"/>
          </w:tcPr>
          <w:p w14:paraId="659C7405" w14:textId="77777777" w:rsidR="00E161F9" w:rsidRPr="00FB1892" w:rsidRDefault="00E161F9" w:rsidP="00B676F3">
            <w:pPr>
              <w:jc w:val="center"/>
              <w:rPr>
                <w:rFonts w:ascii="Arial" w:hAnsi="Arial" w:cs="Arial"/>
                <w:b/>
                <w:sz w:val="20"/>
                <w:szCs w:val="20"/>
              </w:rPr>
            </w:pPr>
            <w:proofErr w:type="spellStart"/>
            <w:r w:rsidRPr="00FB1892">
              <w:rPr>
                <w:rFonts w:ascii="Arial" w:hAnsi="Arial" w:cs="Arial"/>
                <w:b/>
                <w:sz w:val="20"/>
                <w:szCs w:val="20"/>
              </w:rPr>
              <w:t>BldgType</w:t>
            </w:r>
            <w:proofErr w:type="spellEnd"/>
          </w:p>
        </w:tc>
        <w:tc>
          <w:tcPr>
            <w:tcW w:w="705" w:type="pct"/>
            <w:shd w:val="clear" w:color="auto" w:fill="D9D9D9" w:themeFill="background1" w:themeFillShade="D9"/>
          </w:tcPr>
          <w:p w14:paraId="3E1BDD5A" w14:textId="77777777" w:rsidR="00E161F9" w:rsidRPr="00FB1892" w:rsidRDefault="00E161F9" w:rsidP="00B676F3">
            <w:pPr>
              <w:jc w:val="center"/>
              <w:rPr>
                <w:rFonts w:ascii="Arial" w:hAnsi="Arial" w:cs="Arial"/>
                <w:b/>
                <w:sz w:val="20"/>
                <w:szCs w:val="20"/>
              </w:rPr>
            </w:pPr>
            <w:proofErr w:type="spellStart"/>
            <w:r w:rsidRPr="00FB1892">
              <w:rPr>
                <w:rFonts w:ascii="Arial" w:hAnsi="Arial" w:cs="Arial"/>
                <w:b/>
                <w:sz w:val="20"/>
                <w:szCs w:val="20"/>
              </w:rPr>
              <w:t>ProgDelivID</w:t>
            </w:r>
            <w:proofErr w:type="spellEnd"/>
          </w:p>
        </w:tc>
        <w:tc>
          <w:tcPr>
            <w:tcW w:w="647" w:type="pct"/>
            <w:shd w:val="clear" w:color="auto" w:fill="D9D9D9" w:themeFill="background1" w:themeFillShade="D9"/>
          </w:tcPr>
          <w:p w14:paraId="4E0790FF" w14:textId="77777777" w:rsidR="00E161F9" w:rsidRPr="00FB1892" w:rsidRDefault="00E161F9" w:rsidP="00B676F3">
            <w:pPr>
              <w:jc w:val="center"/>
              <w:rPr>
                <w:rFonts w:ascii="Arial" w:hAnsi="Arial" w:cs="Arial"/>
                <w:b/>
                <w:sz w:val="20"/>
                <w:szCs w:val="20"/>
              </w:rPr>
            </w:pPr>
            <w:proofErr w:type="spellStart"/>
            <w:r w:rsidRPr="00FB1892">
              <w:rPr>
                <w:rFonts w:ascii="Arial" w:hAnsi="Arial" w:cs="Arial"/>
                <w:b/>
                <w:sz w:val="20"/>
                <w:szCs w:val="20"/>
              </w:rPr>
              <w:t>GSIAValue</w:t>
            </w:r>
            <w:proofErr w:type="spellEnd"/>
          </w:p>
        </w:tc>
      </w:tr>
      <w:tr w:rsidR="00E161F9" w:rsidRPr="00FB1892" w14:paraId="4F778526" w14:textId="77777777" w:rsidTr="00E161F9">
        <w:tc>
          <w:tcPr>
            <w:tcW w:w="716" w:type="pct"/>
            <w:vAlign w:val="center"/>
          </w:tcPr>
          <w:p w14:paraId="24A29E6B" w14:textId="32DCE7C5" w:rsidR="00E161F9" w:rsidRPr="00FB1892" w:rsidRDefault="00884121" w:rsidP="00B676F3">
            <w:pPr>
              <w:jc w:val="center"/>
              <w:rPr>
                <w:rFonts w:ascii="Arial" w:hAnsi="Arial" w:cs="Arial"/>
                <w:sz w:val="20"/>
                <w:szCs w:val="20"/>
              </w:rPr>
            </w:pPr>
            <w:r w:rsidRPr="00884121">
              <w:rPr>
                <w:rFonts w:ascii="Arial" w:hAnsi="Arial" w:cs="Arial"/>
                <w:sz w:val="20"/>
                <w:szCs w:val="20"/>
              </w:rPr>
              <w:t>Com-</w:t>
            </w:r>
            <w:proofErr w:type="spellStart"/>
            <w:r w:rsidRPr="00884121">
              <w:rPr>
                <w:rFonts w:ascii="Arial" w:hAnsi="Arial" w:cs="Arial"/>
                <w:sz w:val="20"/>
                <w:szCs w:val="20"/>
              </w:rPr>
              <w:t>HiBay</w:t>
            </w:r>
            <w:proofErr w:type="spellEnd"/>
            <w:r w:rsidRPr="00884121">
              <w:rPr>
                <w:rFonts w:ascii="Arial" w:hAnsi="Arial" w:cs="Arial"/>
                <w:sz w:val="20"/>
                <w:szCs w:val="20"/>
              </w:rPr>
              <w:t>-PGE</w:t>
            </w:r>
          </w:p>
        </w:tc>
        <w:tc>
          <w:tcPr>
            <w:tcW w:w="1398" w:type="pct"/>
            <w:vAlign w:val="center"/>
          </w:tcPr>
          <w:p w14:paraId="0DA431B6" w14:textId="18829B56" w:rsidR="00E161F9" w:rsidRPr="00FB1892" w:rsidRDefault="00884121" w:rsidP="00B676F3">
            <w:pPr>
              <w:jc w:val="center"/>
              <w:rPr>
                <w:rFonts w:ascii="Arial" w:hAnsi="Arial" w:cs="Arial"/>
                <w:sz w:val="20"/>
                <w:szCs w:val="20"/>
              </w:rPr>
            </w:pPr>
            <w:r w:rsidRPr="00884121">
              <w:rPr>
                <w:rFonts w:ascii="Arial" w:hAnsi="Arial" w:cs="Arial"/>
                <w:sz w:val="20"/>
                <w:szCs w:val="20"/>
              </w:rPr>
              <w:t>Non-Res High-Bay; Annual Installation Rate</w:t>
            </w:r>
          </w:p>
        </w:tc>
        <w:tc>
          <w:tcPr>
            <w:tcW w:w="682" w:type="pct"/>
            <w:vAlign w:val="center"/>
          </w:tcPr>
          <w:p w14:paraId="6F13C77D" w14:textId="77777777" w:rsidR="00E161F9" w:rsidRPr="00FB1892" w:rsidRDefault="00E161F9" w:rsidP="00B676F3">
            <w:pPr>
              <w:jc w:val="center"/>
              <w:rPr>
                <w:rFonts w:ascii="Arial" w:hAnsi="Arial" w:cs="Arial"/>
                <w:sz w:val="20"/>
                <w:szCs w:val="20"/>
              </w:rPr>
            </w:pPr>
            <w:r>
              <w:rPr>
                <w:rFonts w:ascii="Arial" w:hAnsi="Arial" w:cs="Arial"/>
                <w:sz w:val="20"/>
                <w:szCs w:val="20"/>
              </w:rPr>
              <w:t>Com</w:t>
            </w:r>
          </w:p>
        </w:tc>
        <w:tc>
          <w:tcPr>
            <w:tcW w:w="852" w:type="pct"/>
            <w:vAlign w:val="center"/>
          </w:tcPr>
          <w:p w14:paraId="64D90556" w14:textId="77777777" w:rsidR="00E161F9" w:rsidRPr="00FB1892" w:rsidRDefault="00E161F9" w:rsidP="00B676F3">
            <w:pPr>
              <w:jc w:val="center"/>
              <w:rPr>
                <w:rFonts w:ascii="Arial" w:hAnsi="Arial" w:cs="Arial"/>
                <w:sz w:val="20"/>
                <w:szCs w:val="20"/>
              </w:rPr>
            </w:pPr>
            <w:r>
              <w:rPr>
                <w:rFonts w:ascii="Arial" w:hAnsi="Arial" w:cs="Arial"/>
                <w:sz w:val="20"/>
                <w:szCs w:val="20"/>
              </w:rPr>
              <w:t>Any</w:t>
            </w:r>
          </w:p>
        </w:tc>
        <w:tc>
          <w:tcPr>
            <w:tcW w:w="705" w:type="pct"/>
            <w:vAlign w:val="center"/>
          </w:tcPr>
          <w:p w14:paraId="74AEA90D" w14:textId="77777777" w:rsidR="00E161F9" w:rsidRPr="00FB1892" w:rsidRDefault="00E161F9" w:rsidP="00B676F3">
            <w:pPr>
              <w:jc w:val="center"/>
              <w:rPr>
                <w:rFonts w:ascii="Arial" w:hAnsi="Arial" w:cs="Arial"/>
                <w:sz w:val="20"/>
                <w:szCs w:val="20"/>
              </w:rPr>
            </w:pPr>
            <w:proofErr w:type="spellStart"/>
            <w:r w:rsidRPr="00CC406F">
              <w:rPr>
                <w:rFonts w:ascii="Arial" w:hAnsi="Arial" w:cs="Arial"/>
                <w:sz w:val="20"/>
                <w:szCs w:val="20"/>
              </w:rPr>
              <w:t>NonUpStrm</w:t>
            </w:r>
            <w:proofErr w:type="spellEnd"/>
          </w:p>
        </w:tc>
        <w:tc>
          <w:tcPr>
            <w:tcW w:w="647" w:type="pct"/>
            <w:vAlign w:val="center"/>
          </w:tcPr>
          <w:p w14:paraId="6B985EBE" w14:textId="4028108B" w:rsidR="00E161F9" w:rsidRPr="00FB1892" w:rsidRDefault="00E161F9" w:rsidP="00B676F3">
            <w:pPr>
              <w:jc w:val="center"/>
              <w:rPr>
                <w:rFonts w:ascii="Arial" w:hAnsi="Arial" w:cs="Arial"/>
                <w:sz w:val="20"/>
                <w:szCs w:val="20"/>
              </w:rPr>
            </w:pPr>
            <w:r>
              <w:rPr>
                <w:rFonts w:ascii="Arial" w:hAnsi="Arial" w:cs="Arial"/>
                <w:sz w:val="20"/>
                <w:szCs w:val="20"/>
              </w:rPr>
              <w:t>0.92</w:t>
            </w:r>
          </w:p>
        </w:tc>
      </w:tr>
    </w:tbl>
    <w:p w14:paraId="373BF2D3" w14:textId="77777777" w:rsidR="00E161F9" w:rsidRPr="00FB1892" w:rsidRDefault="00E161F9" w:rsidP="00E161F9">
      <w:pPr>
        <w:pStyle w:val="Reminders"/>
        <w:rPr>
          <w:rFonts w:ascii="Arial" w:hAnsi="Arial" w:cs="Arial"/>
          <w:b/>
          <w:i w:val="0"/>
          <w:color w:val="auto"/>
          <w:sz w:val="20"/>
          <w:szCs w:val="20"/>
        </w:rPr>
      </w:pPr>
    </w:p>
    <w:p w14:paraId="1E0E4D44" w14:textId="2A37BBE8" w:rsidR="00A476C2" w:rsidRPr="0023487D" w:rsidRDefault="00A476C2" w:rsidP="00A476C2">
      <w:pPr>
        <w:rPr>
          <w:rFonts w:ascii="Arial" w:hAnsi="Arial" w:cs="Arial"/>
          <w:sz w:val="20"/>
          <w:szCs w:val="20"/>
        </w:rPr>
      </w:pPr>
      <w:r w:rsidRPr="0023487D">
        <w:rPr>
          <w:rFonts w:ascii="Arial" w:hAnsi="Arial" w:cs="Arial"/>
          <w:b/>
          <w:sz w:val="20"/>
          <w:szCs w:val="20"/>
        </w:rPr>
        <w:t xml:space="preserve">Effective Useful Life </w:t>
      </w:r>
      <w:r w:rsidR="00496200" w:rsidRPr="0023487D">
        <w:rPr>
          <w:rFonts w:ascii="Arial" w:hAnsi="Arial" w:cs="Arial"/>
          <w:b/>
          <w:sz w:val="20"/>
          <w:szCs w:val="20"/>
        </w:rPr>
        <w:t>(EUL)</w:t>
      </w:r>
    </w:p>
    <w:p w14:paraId="73967C7A" w14:textId="4004611B" w:rsidR="00496200" w:rsidRPr="0023487D" w:rsidRDefault="00496200" w:rsidP="00496200">
      <w:pPr>
        <w:rPr>
          <w:rFonts w:ascii="Arial" w:hAnsi="Arial" w:cs="Arial"/>
          <w:sz w:val="20"/>
          <w:szCs w:val="20"/>
        </w:rPr>
      </w:pPr>
      <w:r w:rsidRPr="0023487D">
        <w:rPr>
          <w:rFonts w:ascii="Arial" w:hAnsi="Arial" w:cs="Arial"/>
          <w:sz w:val="20"/>
          <w:szCs w:val="20"/>
        </w:rPr>
        <w:t xml:space="preserve">EUL varies based on the Building Type.  The EUL for Linear Fluorescent fixtures is calculated either using the Rated Life of the Ballast and the hours of operation for the building type installed or 15 years, whichever is less. </w:t>
      </w:r>
      <w:r w:rsidR="00E161F9">
        <w:rPr>
          <w:rFonts w:ascii="Arial" w:hAnsi="Arial" w:cs="Arial"/>
          <w:sz w:val="20"/>
          <w:szCs w:val="20"/>
        </w:rPr>
        <w:t xml:space="preserve"> </w:t>
      </w:r>
      <w:r w:rsidRPr="0023487D">
        <w:rPr>
          <w:rFonts w:ascii="Arial" w:hAnsi="Arial" w:cs="Arial"/>
          <w:sz w:val="20"/>
          <w:szCs w:val="20"/>
        </w:rPr>
        <w:t>DEER</w:t>
      </w:r>
      <w:r w:rsidR="00E161F9">
        <w:rPr>
          <w:rFonts w:ascii="Arial" w:hAnsi="Arial" w:cs="Arial"/>
          <w:sz w:val="20"/>
          <w:szCs w:val="20"/>
        </w:rPr>
        <w:t xml:space="preserve"> </w:t>
      </w:r>
      <w:r w:rsidRPr="0023487D">
        <w:rPr>
          <w:rFonts w:ascii="Arial" w:hAnsi="Arial" w:cs="Arial"/>
          <w:sz w:val="20"/>
          <w:szCs w:val="20"/>
        </w:rPr>
        <w:t>201</w:t>
      </w:r>
      <w:r w:rsidR="00E161F9">
        <w:rPr>
          <w:rFonts w:ascii="Arial" w:hAnsi="Arial" w:cs="Arial"/>
          <w:sz w:val="20"/>
          <w:szCs w:val="20"/>
        </w:rPr>
        <w:t>6</w:t>
      </w:r>
      <w:r w:rsidRPr="0023487D">
        <w:rPr>
          <w:rFonts w:ascii="Arial" w:hAnsi="Arial" w:cs="Arial"/>
          <w:sz w:val="20"/>
          <w:szCs w:val="20"/>
        </w:rPr>
        <w:t xml:space="preserve"> specifies 70,000 hours for </w:t>
      </w:r>
      <w:r w:rsidR="00E161F9">
        <w:rPr>
          <w:rFonts w:ascii="Arial" w:hAnsi="Arial" w:cs="Arial"/>
          <w:sz w:val="20"/>
          <w:szCs w:val="20"/>
        </w:rPr>
        <w:t>n</w:t>
      </w:r>
      <w:r w:rsidRPr="0023487D">
        <w:rPr>
          <w:rFonts w:ascii="Arial" w:hAnsi="Arial" w:cs="Arial"/>
          <w:sz w:val="20"/>
          <w:szCs w:val="20"/>
        </w:rPr>
        <w:t>on-Residential linear fluorescent ballast hours</w:t>
      </w:r>
      <w:r w:rsidRPr="0023487D">
        <w:rPr>
          <w:rStyle w:val="EndnoteReference"/>
          <w:rFonts w:ascii="Arial" w:hAnsi="Arial" w:cs="Arial"/>
          <w:sz w:val="20"/>
          <w:szCs w:val="20"/>
        </w:rPr>
        <w:endnoteReference w:id="2"/>
      </w:r>
      <w:r w:rsidRPr="0023487D">
        <w:rPr>
          <w:rFonts w:ascii="Arial" w:hAnsi="Arial" w:cs="Arial"/>
          <w:sz w:val="20"/>
          <w:szCs w:val="20"/>
        </w:rPr>
        <w:t>.  The formula for calculating the EUL is shown below:</w:t>
      </w:r>
    </w:p>
    <w:p w14:paraId="6F324F93" w14:textId="77777777" w:rsidR="00496200" w:rsidRPr="0023487D" w:rsidRDefault="00496200" w:rsidP="00496200">
      <w:pPr>
        <w:rPr>
          <w:rFonts w:ascii="Arial" w:hAnsi="Arial" w:cs="Arial"/>
          <w:sz w:val="20"/>
          <w:szCs w:val="20"/>
        </w:rPr>
      </w:pPr>
    </w:p>
    <w:p w14:paraId="62283DD4" w14:textId="030E0CEC" w:rsidR="00BB0058" w:rsidRPr="0023487D" w:rsidRDefault="00496200" w:rsidP="00E161F9">
      <w:pPr>
        <w:jc w:val="center"/>
        <w:rPr>
          <w:rFonts w:ascii="Arial" w:hAnsi="Arial" w:cs="Arial"/>
          <w:sz w:val="20"/>
          <w:szCs w:val="20"/>
        </w:rPr>
      </w:pPr>
      <w:r w:rsidRPr="0023487D">
        <w:rPr>
          <w:rFonts w:ascii="Arial" w:hAnsi="Arial" w:cs="Arial"/>
          <w:sz w:val="20"/>
          <w:szCs w:val="20"/>
        </w:rPr>
        <w:t xml:space="preserve">EUL (Years) = 70,000 </w:t>
      </w:r>
      <w:proofErr w:type="spellStart"/>
      <w:r w:rsidRPr="0023487D">
        <w:rPr>
          <w:rFonts w:ascii="Arial" w:hAnsi="Arial" w:cs="Arial"/>
          <w:sz w:val="20"/>
          <w:szCs w:val="20"/>
        </w:rPr>
        <w:t>hrs</w:t>
      </w:r>
      <w:proofErr w:type="spellEnd"/>
      <w:r w:rsidRPr="0023487D">
        <w:rPr>
          <w:rFonts w:ascii="Arial" w:hAnsi="Arial" w:cs="Arial"/>
          <w:sz w:val="20"/>
          <w:szCs w:val="20"/>
        </w:rPr>
        <w:t xml:space="preserve"> / Building type operational hours or 15 years (whichever is less)</w:t>
      </w:r>
    </w:p>
    <w:p w14:paraId="4008E710" w14:textId="77777777" w:rsidR="005833F9" w:rsidRPr="0023487D" w:rsidRDefault="002D63EE" w:rsidP="00BB0058">
      <w:pPr>
        <w:rPr>
          <w:rFonts w:ascii="Arial" w:hAnsi="Arial" w:cs="Arial"/>
          <w:sz w:val="20"/>
          <w:szCs w:val="20"/>
        </w:rPr>
      </w:pPr>
      <w:r w:rsidRPr="0023487D">
        <w:rPr>
          <w:rFonts w:ascii="Arial" w:hAnsi="Arial" w:cs="Arial"/>
          <w:sz w:val="20"/>
          <w:szCs w:val="20"/>
        </w:rPr>
        <w:t xml:space="preserve"> </w:t>
      </w:r>
    </w:p>
    <w:p w14:paraId="1D133E51" w14:textId="0696C230" w:rsidR="00C76D27" w:rsidRDefault="00C76D27" w:rsidP="00C76D27">
      <w:pPr>
        <w:pStyle w:val="Caption"/>
        <w:keepNext/>
        <w:jc w:val="center"/>
      </w:pPr>
      <w:bookmarkStart w:id="38" w:name="_Toc438526186"/>
      <w:r>
        <w:t xml:space="preserve">Table </w:t>
      </w:r>
      <w:r w:rsidR="00D227BC">
        <w:fldChar w:fldCharType="begin"/>
      </w:r>
      <w:r w:rsidR="00D227BC">
        <w:instrText xml:space="preserve"> SEQ Table \* ARABIC </w:instrText>
      </w:r>
      <w:r w:rsidR="00D227BC">
        <w:fldChar w:fldCharType="separate"/>
      </w:r>
      <w:r w:rsidR="00D40AB7">
        <w:rPr>
          <w:noProof/>
        </w:rPr>
        <w:t>6</w:t>
      </w:r>
      <w:r w:rsidR="00D227BC">
        <w:rPr>
          <w:noProof/>
        </w:rPr>
        <w:fldChar w:fldCharType="end"/>
      </w:r>
      <w:r>
        <w:t xml:space="preserve"> Effective Useful Life</w:t>
      </w:r>
      <w:bookmarkEnd w:id="38"/>
    </w:p>
    <w:tbl>
      <w:tblPr>
        <w:tblStyle w:val="TableGrid1"/>
        <w:tblW w:w="5000" w:type="pct"/>
        <w:tblLook w:val="04A0" w:firstRow="1" w:lastRow="0" w:firstColumn="1" w:lastColumn="0" w:noHBand="0" w:noVBand="1"/>
      </w:tblPr>
      <w:tblGrid>
        <w:gridCol w:w="1547"/>
        <w:gridCol w:w="2720"/>
        <w:gridCol w:w="877"/>
        <w:gridCol w:w="1450"/>
        <w:gridCol w:w="1526"/>
        <w:gridCol w:w="1456"/>
      </w:tblGrid>
      <w:tr w:rsidR="005833F9" w:rsidRPr="00704D11" w14:paraId="2473C05E" w14:textId="77777777" w:rsidTr="005833F9">
        <w:tc>
          <w:tcPr>
            <w:tcW w:w="808" w:type="pct"/>
            <w:shd w:val="clear" w:color="auto" w:fill="D9D9D9" w:themeFill="background1" w:themeFillShade="D9"/>
            <w:vAlign w:val="center"/>
          </w:tcPr>
          <w:p w14:paraId="3095391D" w14:textId="77777777" w:rsidR="005833F9" w:rsidRPr="00704D11" w:rsidRDefault="005833F9" w:rsidP="00B676F3">
            <w:pPr>
              <w:jc w:val="center"/>
              <w:rPr>
                <w:rFonts w:ascii="Arial" w:hAnsi="Arial" w:cs="Arial"/>
                <w:b/>
                <w:sz w:val="20"/>
                <w:szCs w:val="20"/>
              </w:rPr>
            </w:pPr>
            <w:r w:rsidRPr="00704D11">
              <w:rPr>
                <w:rFonts w:ascii="Arial" w:hAnsi="Arial" w:cs="Arial"/>
                <w:b/>
                <w:sz w:val="20"/>
                <w:szCs w:val="20"/>
              </w:rPr>
              <w:t>EUL ID</w:t>
            </w:r>
          </w:p>
        </w:tc>
        <w:tc>
          <w:tcPr>
            <w:tcW w:w="1420" w:type="pct"/>
            <w:shd w:val="clear" w:color="auto" w:fill="D9D9D9" w:themeFill="background1" w:themeFillShade="D9"/>
            <w:vAlign w:val="center"/>
          </w:tcPr>
          <w:p w14:paraId="67BCE161" w14:textId="77777777" w:rsidR="005833F9" w:rsidRPr="00704D11" w:rsidRDefault="005833F9" w:rsidP="00B676F3">
            <w:pPr>
              <w:jc w:val="center"/>
              <w:rPr>
                <w:rFonts w:ascii="Arial" w:hAnsi="Arial" w:cs="Arial"/>
                <w:b/>
                <w:sz w:val="20"/>
                <w:szCs w:val="20"/>
              </w:rPr>
            </w:pPr>
            <w:r w:rsidRPr="00704D11">
              <w:rPr>
                <w:rFonts w:ascii="Arial" w:hAnsi="Arial" w:cs="Arial"/>
                <w:b/>
                <w:sz w:val="20"/>
                <w:szCs w:val="20"/>
              </w:rPr>
              <w:t>Description</w:t>
            </w:r>
          </w:p>
        </w:tc>
        <w:tc>
          <w:tcPr>
            <w:tcW w:w="458" w:type="pct"/>
            <w:shd w:val="clear" w:color="auto" w:fill="D9D9D9" w:themeFill="background1" w:themeFillShade="D9"/>
            <w:vAlign w:val="center"/>
          </w:tcPr>
          <w:p w14:paraId="541F29E4" w14:textId="77777777" w:rsidR="005833F9" w:rsidRPr="00704D11" w:rsidRDefault="005833F9" w:rsidP="00B676F3">
            <w:pPr>
              <w:jc w:val="center"/>
              <w:rPr>
                <w:rFonts w:ascii="Arial" w:hAnsi="Arial" w:cs="Arial"/>
                <w:b/>
                <w:sz w:val="20"/>
                <w:szCs w:val="20"/>
              </w:rPr>
            </w:pPr>
            <w:r w:rsidRPr="00704D11">
              <w:rPr>
                <w:rFonts w:ascii="Arial" w:hAnsi="Arial" w:cs="Arial"/>
                <w:b/>
                <w:sz w:val="20"/>
                <w:szCs w:val="20"/>
              </w:rPr>
              <w:t>Sector</w:t>
            </w:r>
          </w:p>
        </w:tc>
        <w:tc>
          <w:tcPr>
            <w:tcW w:w="757" w:type="pct"/>
            <w:shd w:val="clear" w:color="auto" w:fill="D9D9D9" w:themeFill="background1" w:themeFillShade="D9"/>
            <w:vAlign w:val="center"/>
          </w:tcPr>
          <w:p w14:paraId="4A96FFFF" w14:textId="77777777" w:rsidR="005833F9" w:rsidRPr="00704D11" w:rsidRDefault="005833F9" w:rsidP="00B676F3">
            <w:pPr>
              <w:jc w:val="center"/>
              <w:rPr>
                <w:rFonts w:ascii="Arial" w:hAnsi="Arial" w:cs="Arial"/>
                <w:b/>
                <w:sz w:val="20"/>
                <w:szCs w:val="20"/>
              </w:rPr>
            </w:pPr>
            <w:proofErr w:type="spellStart"/>
            <w:r w:rsidRPr="00704D11">
              <w:rPr>
                <w:rFonts w:ascii="Arial" w:hAnsi="Arial" w:cs="Arial"/>
                <w:b/>
                <w:sz w:val="20"/>
                <w:szCs w:val="20"/>
              </w:rPr>
              <w:t>UseCategory</w:t>
            </w:r>
            <w:proofErr w:type="spellEnd"/>
          </w:p>
        </w:tc>
        <w:tc>
          <w:tcPr>
            <w:tcW w:w="797" w:type="pct"/>
            <w:shd w:val="clear" w:color="auto" w:fill="D9D9D9" w:themeFill="background1" w:themeFillShade="D9"/>
            <w:vAlign w:val="center"/>
          </w:tcPr>
          <w:p w14:paraId="1DE7B042" w14:textId="77777777" w:rsidR="005833F9" w:rsidRPr="00704D11" w:rsidRDefault="005833F9" w:rsidP="00B676F3">
            <w:pPr>
              <w:jc w:val="center"/>
              <w:rPr>
                <w:rFonts w:ascii="Arial" w:hAnsi="Arial" w:cs="Arial"/>
                <w:b/>
                <w:sz w:val="20"/>
                <w:szCs w:val="20"/>
              </w:rPr>
            </w:pPr>
            <w:r w:rsidRPr="00704D11">
              <w:rPr>
                <w:rFonts w:ascii="Arial" w:hAnsi="Arial" w:cs="Arial"/>
                <w:b/>
                <w:sz w:val="20"/>
                <w:szCs w:val="20"/>
              </w:rPr>
              <w:t>EUL (Years)</w:t>
            </w:r>
          </w:p>
        </w:tc>
        <w:tc>
          <w:tcPr>
            <w:tcW w:w="760" w:type="pct"/>
            <w:shd w:val="clear" w:color="auto" w:fill="D9D9D9" w:themeFill="background1" w:themeFillShade="D9"/>
            <w:vAlign w:val="center"/>
          </w:tcPr>
          <w:p w14:paraId="5C61868D" w14:textId="77777777" w:rsidR="005833F9" w:rsidRPr="00704D11" w:rsidRDefault="005833F9" w:rsidP="00B676F3">
            <w:pPr>
              <w:jc w:val="center"/>
              <w:rPr>
                <w:rFonts w:ascii="Arial" w:hAnsi="Arial" w:cs="Arial"/>
                <w:b/>
                <w:sz w:val="20"/>
                <w:szCs w:val="20"/>
              </w:rPr>
            </w:pPr>
            <w:r w:rsidRPr="00704D11">
              <w:rPr>
                <w:rFonts w:ascii="Arial" w:hAnsi="Arial" w:cs="Arial"/>
                <w:b/>
                <w:sz w:val="20"/>
                <w:szCs w:val="20"/>
              </w:rPr>
              <w:t>RUL (Years)</w:t>
            </w:r>
          </w:p>
        </w:tc>
      </w:tr>
      <w:tr w:rsidR="005833F9" w:rsidRPr="00704D11" w14:paraId="5416872D" w14:textId="77777777" w:rsidTr="005833F9">
        <w:trPr>
          <w:trHeight w:val="243"/>
        </w:trPr>
        <w:tc>
          <w:tcPr>
            <w:tcW w:w="808" w:type="pct"/>
            <w:vAlign w:val="center"/>
          </w:tcPr>
          <w:p w14:paraId="07A79445" w14:textId="3A6F008F" w:rsidR="005833F9" w:rsidRPr="00704D11" w:rsidRDefault="005833F9" w:rsidP="00B676F3">
            <w:pPr>
              <w:jc w:val="center"/>
              <w:rPr>
                <w:rFonts w:ascii="Arial" w:hAnsi="Arial" w:cs="Arial"/>
                <w:sz w:val="20"/>
                <w:szCs w:val="20"/>
              </w:rPr>
            </w:pPr>
            <w:r w:rsidRPr="005833F9">
              <w:rPr>
                <w:rFonts w:ascii="Arial" w:hAnsi="Arial" w:cs="Arial"/>
                <w:sz w:val="20"/>
                <w:szCs w:val="20"/>
              </w:rPr>
              <w:t>ILtg-T5</w:t>
            </w:r>
          </w:p>
        </w:tc>
        <w:tc>
          <w:tcPr>
            <w:tcW w:w="1420" w:type="pct"/>
            <w:vAlign w:val="center"/>
          </w:tcPr>
          <w:p w14:paraId="42EFBE6F" w14:textId="4E0164F3" w:rsidR="005833F9" w:rsidRPr="00704D11" w:rsidRDefault="005833F9" w:rsidP="00B676F3">
            <w:pPr>
              <w:jc w:val="center"/>
              <w:rPr>
                <w:rFonts w:ascii="Arial" w:hAnsi="Arial" w:cs="Arial"/>
                <w:sz w:val="20"/>
                <w:szCs w:val="20"/>
              </w:rPr>
            </w:pPr>
            <w:r w:rsidRPr="005833F9">
              <w:rPr>
                <w:rFonts w:ascii="Arial" w:hAnsi="Arial" w:cs="Arial"/>
                <w:sz w:val="20"/>
                <w:szCs w:val="20"/>
              </w:rPr>
              <w:t>HID Lighting (T-5)</w:t>
            </w:r>
          </w:p>
        </w:tc>
        <w:tc>
          <w:tcPr>
            <w:tcW w:w="458" w:type="pct"/>
            <w:vAlign w:val="center"/>
          </w:tcPr>
          <w:p w14:paraId="026977FA" w14:textId="46A355A4" w:rsidR="005833F9" w:rsidRPr="00704D11" w:rsidRDefault="005833F9" w:rsidP="00B676F3">
            <w:pPr>
              <w:jc w:val="center"/>
              <w:rPr>
                <w:rFonts w:ascii="Arial" w:hAnsi="Arial" w:cs="Arial"/>
                <w:sz w:val="20"/>
                <w:szCs w:val="20"/>
              </w:rPr>
            </w:pPr>
            <w:r>
              <w:rPr>
                <w:rFonts w:ascii="Arial" w:hAnsi="Arial" w:cs="Arial"/>
                <w:sz w:val="20"/>
                <w:szCs w:val="20"/>
              </w:rPr>
              <w:t>Com</w:t>
            </w:r>
          </w:p>
        </w:tc>
        <w:tc>
          <w:tcPr>
            <w:tcW w:w="757" w:type="pct"/>
            <w:vAlign w:val="center"/>
          </w:tcPr>
          <w:p w14:paraId="232C6885" w14:textId="03196114" w:rsidR="005833F9" w:rsidRPr="00704D11" w:rsidRDefault="005833F9" w:rsidP="00B676F3">
            <w:pPr>
              <w:jc w:val="center"/>
              <w:rPr>
                <w:rFonts w:ascii="Arial" w:hAnsi="Arial" w:cs="Arial"/>
                <w:sz w:val="20"/>
                <w:szCs w:val="20"/>
              </w:rPr>
            </w:pPr>
            <w:r>
              <w:rPr>
                <w:rFonts w:ascii="Arial" w:hAnsi="Arial" w:cs="Arial"/>
                <w:sz w:val="20"/>
                <w:szCs w:val="20"/>
              </w:rPr>
              <w:t>Lighting</w:t>
            </w:r>
          </w:p>
        </w:tc>
        <w:tc>
          <w:tcPr>
            <w:tcW w:w="797" w:type="pct"/>
            <w:vAlign w:val="center"/>
          </w:tcPr>
          <w:p w14:paraId="79B280B8" w14:textId="7FADF056" w:rsidR="005833F9" w:rsidRPr="00704D11" w:rsidRDefault="005833F9" w:rsidP="00B676F3">
            <w:pPr>
              <w:jc w:val="center"/>
              <w:rPr>
                <w:rFonts w:ascii="Arial" w:hAnsi="Arial" w:cs="Arial"/>
                <w:sz w:val="20"/>
                <w:szCs w:val="20"/>
              </w:rPr>
            </w:pPr>
            <w:r>
              <w:rPr>
                <w:rFonts w:ascii="Arial" w:hAnsi="Arial" w:cs="Arial"/>
                <w:sz w:val="20"/>
                <w:szCs w:val="20"/>
              </w:rPr>
              <w:t xml:space="preserve">Varies (Max 15 </w:t>
            </w:r>
            <w:proofErr w:type="spellStart"/>
            <w:r>
              <w:rPr>
                <w:rFonts w:ascii="Arial" w:hAnsi="Arial" w:cs="Arial"/>
                <w:sz w:val="20"/>
                <w:szCs w:val="20"/>
              </w:rPr>
              <w:t>yrs</w:t>
            </w:r>
            <w:proofErr w:type="spellEnd"/>
            <w:r>
              <w:rPr>
                <w:rFonts w:ascii="Arial" w:hAnsi="Arial" w:cs="Arial"/>
                <w:sz w:val="20"/>
                <w:szCs w:val="20"/>
              </w:rPr>
              <w:t>)</w:t>
            </w:r>
          </w:p>
        </w:tc>
        <w:tc>
          <w:tcPr>
            <w:tcW w:w="760" w:type="pct"/>
            <w:vAlign w:val="center"/>
          </w:tcPr>
          <w:p w14:paraId="500111D9" w14:textId="5F09E0BE" w:rsidR="005833F9" w:rsidRPr="00704D11" w:rsidRDefault="005833F9" w:rsidP="005833F9">
            <w:pPr>
              <w:jc w:val="center"/>
              <w:rPr>
                <w:rFonts w:ascii="Arial" w:hAnsi="Arial" w:cs="Arial"/>
                <w:sz w:val="20"/>
                <w:szCs w:val="20"/>
              </w:rPr>
            </w:pPr>
            <w:r w:rsidRPr="005833F9">
              <w:rPr>
                <w:rFonts w:ascii="Arial" w:hAnsi="Arial" w:cs="Arial"/>
                <w:sz w:val="20"/>
                <w:szCs w:val="20"/>
              </w:rPr>
              <w:t>Varies</w:t>
            </w:r>
          </w:p>
        </w:tc>
      </w:tr>
    </w:tbl>
    <w:p w14:paraId="66E7BCA4" w14:textId="12361679" w:rsidR="00A476C2" w:rsidRPr="0023487D" w:rsidRDefault="00A476C2" w:rsidP="00BB0058">
      <w:pPr>
        <w:rPr>
          <w:rFonts w:ascii="Arial" w:hAnsi="Arial" w:cs="Arial"/>
          <w:sz w:val="20"/>
          <w:szCs w:val="20"/>
        </w:rPr>
      </w:pPr>
    </w:p>
    <w:p w14:paraId="4BF2D86A" w14:textId="76BBB107" w:rsidR="00EA4751" w:rsidRPr="00E161F9" w:rsidRDefault="00496200" w:rsidP="00523AF2">
      <w:pPr>
        <w:pStyle w:val="Heading2"/>
      </w:pPr>
      <w:bookmarkStart w:id="39" w:name="_Toc386807698"/>
      <w:bookmarkStart w:id="40" w:name="_Toc438526156"/>
      <w:r w:rsidRPr="00E161F9">
        <w:t>1.4.2 Codes &amp; Standards Requirements Base Case and Measure Information</w:t>
      </w:r>
      <w:bookmarkEnd w:id="39"/>
      <w:bookmarkEnd w:id="40"/>
    </w:p>
    <w:p w14:paraId="4BF2D86B" w14:textId="0AE4D50C" w:rsidR="006E0DF7" w:rsidRPr="00E161F9" w:rsidRDefault="006E0DF7" w:rsidP="00DF1B5D">
      <w:pPr>
        <w:pStyle w:val="ListParagraph"/>
        <w:spacing w:after="200" w:line="276" w:lineRule="auto"/>
        <w:ind w:left="0"/>
        <w:rPr>
          <w:rFonts w:ascii="Arial" w:hAnsi="Arial" w:cs="Arial"/>
          <w:sz w:val="20"/>
          <w:szCs w:val="20"/>
        </w:rPr>
      </w:pPr>
      <w:r w:rsidRPr="00E161F9">
        <w:rPr>
          <w:rFonts w:ascii="Arial" w:hAnsi="Arial" w:cs="Arial"/>
          <w:b/>
          <w:i/>
          <w:sz w:val="20"/>
          <w:szCs w:val="20"/>
        </w:rPr>
        <w:t>Title 20</w:t>
      </w:r>
      <w:r w:rsidR="00E161F9">
        <w:rPr>
          <w:rFonts w:ascii="Arial" w:hAnsi="Arial" w:cs="Arial"/>
          <w:b/>
          <w:i/>
          <w:sz w:val="20"/>
          <w:szCs w:val="20"/>
        </w:rPr>
        <w:t xml:space="preserve"> [2015]</w:t>
      </w:r>
      <w:r w:rsidRPr="00E161F9">
        <w:rPr>
          <w:rFonts w:ascii="Arial" w:hAnsi="Arial" w:cs="Arial"/>
          <w:b/>
          <w:i/>
          <w:sz w:val="20"/>
          <w:szCs w:val="20"/>
        </w:rPr>
        <w:t>:</w:t>
      </w:r>
      <w:r w:rsidR="00561E70" w:rsidRPr="00E161F9">
        <w:rPr>
          <w:rFonts w:ascii="Arial" w:hAnsi="Arial" w:cs="Arial"/>
          <w:sz w:val="20"/>
          <w:szCs w:val="20"/>
        </w:rPr>
        <w:t xml:space="preserve"> </w:t>
      </w:r>
      <w:r w:rsidR="00DF1B5D" w:rsidRPr="00E161F9">
        <w:rPr>
          <w:rFonts w:ascii="Arial" w:hAnsi="Arial" w:cs="Arial"/>
          <w:sz w:val="20"/>
          <w:szCs w:val="20"/>
        </w:rPr>
        <w:t xml:space="preserve">The fluorescent lighting standards listed in the California Code of Regulations, Title 20 Public Utilities and Energy, Article 4 Appliance Efficiency Regulations, matches </w:t>
      </w:r>
      <w:r w:rsidR="00147B77" w:rsidRPr="00E161F9">
        <w:rPr>
          <w:rFonts w:ascii="Arial" w:hAnsi="Arial" w:cs="Arial"/>
          <w:sz w:val="20"/>
          <w:szCs w:val="20"/>
        </w:rPr>
        <w:t xml:space="preserve">an outdated version of the </w:t>
      </w:r>
      <w:r w:rsidR="00147B77" w:rsidRPr="00E161F9">
        <w:rPr>
          <w:rFonts w:ascii="Arial" w:hAnsi="Arial" w:cs="Arial"/>
          <w:sz w:val="20"/>
          <w:szCs w:val="20"/>
        </w:rPr>
        <w:lastRenderedPageBreak/>
        <w:t>US Department of Energy’s (DOE) energy conservation standards for general service fluorescent lamps</w:t>
      </w:r>
      <w:r w:rsidR="00147B77" w:rsidRPr="00E161F9">
        <w:rPr>
          <w:rStyle w:val="EndnoteReference"/>
          <w:rFonts w:ascii="Arial" w:hAnsi="Arial" w:cs="Arial"/>
          <w:sz w:val="20"/>
          <w:szCs w:val="20"/>
        </w:rPr>
        <w:endnoteReference w:id="3"/>
      </w:r>
      <w:r w:rsidRPr="00E161F9">
        <w:rPr>
          <w:rFonts w:ascii="Arial" w:hAnsi="Arial" w:cs="Arial"/>
          <w:sz w:val="20"/>
          <w:szCs w:val="20"/>
        </w:rPr>
        <w:t>.</w:t>
      </w:r>
      <w:r w:rsidR="00147B77" w:rsidRPr="00E161F9">
        <w:rPr>
          <w:rFonts w:ascii="Arial" w:hAnsi="Arial" w:cs="Arial"/>
          <w:sz w:val="20"/>
          <w:szCs w:val="20"/>
        </w:rPr>
        <w:t xml:space="preserve"> The updated DOE rules take precedent as of July 14</w:t>
      </w:r>
      <w:r w:rsidR="00147B77" w:rsidRPr="00E161F9">
        <w:rPr>
          <w:rFonts w:ascii="Arial" w:hAnsi="Arial" w:cs="Arial"/>
          <w:sz w:val="20"/>
          <w:szCs w:val="20"/>
          <w:vertAlign w:val="superscript"/>
        </w:rPr>
        <w:t>th</w:t>
      </w:r>
      <w:r w:rsidR="00147B77" w:rsidRPr="00E161F9">
        <w:rPr>
          <w:rFonts w:ascii="Arial" w:hAnsi="Arial" w:cs="Arial"/>
          <w:sz w:val="20"/>
          <w:szCs w:val="20"/>
        </w:rPr>
        <w:t xml:space="preserve">, 2012, and are summarized in the </w:t>
      </w:r>
      <w:r w:rsidR="00147B77" w:rsidRPr="00E161F9">
        <w:rPr>
          <w:rFonts w:ascii="Arial" w:hAnsi="Arial" w:cs="Arial"/>
          <w:i/>
          <w:sz w:val="20"/>
          <w:szCs w:val="20"/>
        </w:rPr>
        <w:t>Federal Standards</w:t>
      </w:r>
      <w:r w:rsidR="00147B77" w:rsidRPr="00E161F9">
        <w:rPr>
          <w:rFonts w:ascii="Arial" w:hAnsi="Arial" w:cs="Arial"/>
          <w:sz w:val="20"/>
          <w:szCs w:val="20"/>
        </w:rPr>
        <w:t xml:space="preserve"> section below. </w:t>
      </w:r>
      <w:r w:rsidRPr="00E161F9">
        <w:rPr>
          <w:rFonts w:ascii="Arial" w:hAnsi="Arial" w:cs="Arial"/>
          <w:sz w:val="20"/>
          <w:szCs w:val="20"/>
        </w:rPr>
        <w:t xml:space="preserve">  </w:t>
      </w:r>
    </w:p>
    <w:p w14:paraId="4BF2D86D" w14:textId="07CDE183" w:rsidR="00DF1B5D" w:rsidRPr="00E161F9" w:rsidRDefault="006E0DF7" w:rsidP="00DF1B5D">
      <w:pPr>
        <w:pStyle w:val="ListParagraph"/>
        <w:spacing w:after="200" w:line="276" w:lineRule="auto"/>
        <w:ind w:left="0"/>
        <w:rPr>
          <w:rFonts w:ascii="Arial" w:hAnsi="Arial" w:cs="Arial"/>
          <w:sz w:val="20"/>
          <w:szCs w:val="20"/>
        </w:rPr>
      </w:pPr>
      <w:r w:rsidRPr="00E161F9">
        <w:rPr>
          <w:rFonts w:ascii="Arial" w:hAnsi="Arial" w:cs="Arial"/>
          <w:b/>
          <w:i/>
          <w:sz w:val="20"/>
          <w:szCs w:val="20"/>
        </w:rPr>
        <w:t>Title 24</w:t>
      </w:r>
      <w:r w:rsidR="00E161F9">
        <w:rPr>
          <w:rFonts w:ascii="Arial" w:hAnsi="Arial" w:cs="Arial"/>
          <w:b/>
          <w:i/>
          <w:sz w:val="20"/>
          <w:szCs w:val="20"/>
        </w:rPr>
        <w:t xml:space="preserve"> [2013]</w:t>
      </w:r>
      <w:r w:rsidRPr="00E161F9">
        <w:rPr>
          <w:rFonts w:ascii="Arial" w:hAnsi="Arial" w:cs="Arial"/>
          <w:b/>
          <w:i/>
          <w:sz w:val="20"/>
          <w:szCs w:val="20"/>
        </w:rPr>
        <w:t>:</w:t>
      </w:r>
      <w:r w:rsidR="00561E70" w:rsidRPr="00E161F9">
        <w:rPr>
          <w:rFonts w:ascii="Arial" w:hAnsi="Arial" w:cs="Arial"/>
          <w:sz w:val="20"/>
          <w:szCs w:val="20"/>
        </w:rPr>
        <w:t xml:space="preserve"> These</w:t>
      </w:r>
      <w:r w:rsidRPr="00E161F9">
        <w:rPr>
          <w:rFonts w:ascii="Arial" w:hAnsi="Arial" w:cs="Arial"/>
          <w:sz w:val="20"/>
          <w:szCs w:val="20"/>
        </w:rPr>
        <w:t xml:space="preserve"> measure</w:t>
      </w:r>
      <w:r w:rsidR="00561E70" w:rsidRPr="00E161F9">
        <w:rPr>
          <w:rFonts w:ascii="Arial" w:hAnsi="Arial" w:cs="Arial"/>
          <w:sz w:val="20"/>
          <w:szCs w:val="20"/>
        </w:rPr>
        <w:t xml:space="preserve">s </w:t>
      </w:r>
      <w:r w:rsidR="00DF1B5D" w:rsidRPr="00E161F9">
        <w:rPr>
          <w:rFonts w:ascii="Arial" w:hAnsi="Arial" w:cs="Arial"/>
          <w:sz w:val="20"/>
          <w:szCs w:val="20"/>
        </w:rPr>
        <w:t>are not specifically regulated by California Code of Regulations, Title 24 Part 6 Building Energy Efficiency Standards for Residential and Nonresidential Buildings</w:t>
      </w:r>
      <w:r w:rsidR="00496200" w:rsidRPr="00E161F9">
        <w:rPr>
          <w:rFonts w:ascii="Arial" w:hAnsi="Arial" w:cs="Arial"/>
          <w:sz w:val="20"/>
          <w:szCs w:val="20"/>
        </w:rPr>
        <w:t xml:space="preserve">.  </w:t>
      </w:r>
    </w:p>
    <w:p w14:paraId="4BF2D872" w14:textId="439BCBEA" w:rsidR="006E0DF7" w:rsidRPr="00E161F9" w:rsidRDefault="006E0DF7" w:rsidP="006E0DF7">
      <w:pPr>
        <w:rPr>
          <w:rFonts w:ascii="Arial" w:hAnsi="Arial" w:cs="Arial"/>
          <w:sz w:val="20"/>
        </w:rPr>
      </w:pPr>
      <w:r w:rsidRPr="00E161F9">
        <w:rPr>
          <w:rFonts w:ascii="Arial" w:hAnsi="Arial" w:cs="Arial"/>
          <w:b/>
          <w:i/>
          <w:sz w:val="20"/>
        </w:rPr>
        <w:t>Federal Standards:</w:t>
      </w:r>
      <w:r w:rsidR="00561E70" w:rsidRPr="00E161F9">
        <w:rPr>
          <w:rFonts w:ascii="Arial" w:hAnsi="Arial" w:cs="Arial"/>
          <w:sz w:val="20"/>
        </w:rPr>
        <w:t xml:space="preserve"> </w:t>
      </w:r>
      <w:r w:rsidR="00925A19" w:rsidRPr="00E161F9">
        <w:rPr>
          <w:rFonts w:ascii="Arial" w:hAnsi="Arial" w:cs="Arial"/>
          <w:sz w:val="20"/>
        </w:rPr>
        <w:t>On June 26</w:t>
      </w:r>
      <w:r w:rsidR="00925A19" w:rsidRPr="00E161F9">
        <w:rPr>
          <w:rFonts w:ascii="Arial" w:hAnsi="Arial" w:cs="Arial"/>
          <w:sz w:val="20"/>
          <w:vertAlign w:val="superscript"/>
        </w:rPr>
        <w:t>th</w:t>
      </w:r>
      <w:r w:rsidR="00925A19" w:rsidRPr="00E161F9">
        <w:rPr>
          <w:rFonts w:ascii="Arial" w:hAnsi="Arial" w:cs="Arial"/>
          <w:sz w:val="20"/>
        </w:rPr>
        <w:t>, 2009, the US Department of Energy (DOE)</w:t>
      </w:r>
      <w:r w:rsidRPr="00E161F9">
        <w:rPr>
          <w:rFonts w:ascii="Arial" w:hAnsi="Arial" w:cs="Arial"/>
          <w:sz w:val="20"/>
        </w:rPr>
        <w:t xml:space="preserve"> </w:t>
      </w:r>
      <w:r w:rsidR="00925A19" w:rsidRPr="00E161F9">
        <w:rPr>
          <w:rFonts w:ascii="Arial" w:hAnsi="Arial" w:cs="Arial"/>
          <w:sz w:val="20"/>
        </w:rPr>
        <w:t>issued a final rule amending the energy conservation standards for general service fluorescent lamps and incandescent reflector lamps. The updated rules, which take effect on July 14</w:t>
      </w:r>
      <w:r w:rsidR="00925A19" w:rsidRPr="00E161F9">
        <w:rPr>
          <w:rFonts w:ascii="Arial" w:hAnsi="Arial" w:cs="Arial"/>
          <w:sz w:val="20"/>
          <w:vertAlign w:val="superscript"/>
        </w:rPr>
        <w:t>th</w:t>
      </w:r>
      <w:r w:rsidR="00925A19" w:rsidRPr="00E161F9">
        <w:rPr>
          <w:rFonts w:ascii="Arial" w:hAnsi="Arial" w:cs="Arial"/>
          <w:sz w:val="20"/>
        </w:rPr>
        <w:t>, 2012, institute the following luminous efficacy (lumens/Watt) standards for general service fluorescent lamps</w:t>
      </w:r>
      <w:r w:rsidR="00925A19" w:rsidRPr="00E161F9">
        <w:rPr>
          <w:rStyle w:val="EndnoteReference"/>
          <w:rFonts w:ascii="Arial" w:hAnsi="Arial" w:cs="Arial"/>
          <w:sz w:val="20"/>
        </w:rPr>
        <w:endnoteReference w:id="4"/>
      </w:r>
      <w:r w:rsidR="00925A19" w:rsidRPr="00E161F9">
        <w:rPr>
          <w:rFonts w:ascii="Arial" w:hAnsi="Arial" w:cs="Arial"/>
          <w:sz w:val="20"/>
        </w:rPr>
        <w:t>:</w:t>
      </w:r>
    </w:p>
    <w:p w14:paraId="4BF2D873" w14:textId="77777777" w:rsidR="00925A19" w:rsidRPr="00E161F9" w:rsidRDefault="00925A19" w:rsidP="006E0DF7">
      <w:pPr>
        <w:rPr>
          <w:rFonts w:ascii="Arial" w:hAnsi="Arial" w:cs="Arial"/>
          <w:sz w:val="20"/>
          <w:szCs w:val="20"/>
          <w:highlight w:val="yellow"/>
        </w:rPr>
      </w:pPr>
    </w:p>
    <w:p w14:paraId="4BF2D874" w14:textId="77777777" w:rsidR="00187355" w:rsidRPr="00E161F9" w:rsidRDefault="00187355" w:rsidP="009B3646">
      <w:pPr>
        <w:pStyle w:val="Caption"/>
        <w:keepNext/>
        <w:jc w:val="center"/>
        <w:rPr>
          <w:rFonts w:ascii="Arial" w:hAnsi="Arial" w:cs="Arial"/>
        </w:rPr>
      </w:pPr>
      <w:bookmarkStart w:id="41" w:name="_Toc438526187"/>
      <w:r w:rsidRPr="00E161F9">
        <w:rPr>
          <w:rFonts w:ascii="Arial" w:hAnsi="Arial" w:cs="Arial"/>
        </w:rPr>
        <w:t xml:space="preserve">Table </w:t>
      </w:r>
      <w:r w:rsidR="00896A9A" w:rsidRPr="00E161F9">
        <w:rPr>
          <w:rFonts w:ascii="Arial" w:hAnsi="Arial" w:cs="Arial"/>
        </w:rPr>
        <w:fldChar w:fldCharType="begin"/>
      </w:r>
      <w:r w:rsidR="00896A9A" w:rsidRPr="00E161F9">
        <w:rPr>
          <w:rFonts w:ascii="Arial" w:hAnsi="Arial" w:cs="Arial"/>
        </w:rPr>
        <w:instrText xml:space="preserve"> SEQ Table \* ARABIC </w:instrText>
      </w:r>
      <w:r w:rsidR="00896A9A" w:rsidRPr="00E161F9">
        <w:rPr>
          <w:rFonts w:ascii="Arial" w:hAnsi="Arial" w:cs="Arial"/>
        </w:rPr>
        <w:fldChar w:fldCharType="separate"/>
      </w:r>
      <w:r w:rsidR="00D40AB7">
        <w:rPr>
          <w:rFonts w:ascii="Arial" w:hAnsi="Arial" w:cs="Arial"/>
          <w:noProof/>
        </w:rPr>
        <w:t>7</w:t>
      </w:r>
      <w:r w:rsidR="00896A9A" w:rsidRPr="00E161F9">
        <w:rPr>
          <w:rFonts w:ascii="Arial" w:hAnsi="Arial" w:cs="Arial"/>
          <w:noProof/>
        </w:rPr>
        <w:fldChar w:fldCharType="end"/>
      </w:r>
      <w:r w:rsidRPr="00E161F9">
        <w:rPr>
          <w:rFonts w:ascii="Arial" w:hAnsi="Arial" w:cs="Arial"/>
        </w:rPr>
        <w:t xml:space="preserve"> - DOE Baseline Linear Fluorescent Standards</w:t>
      </w:r>
      <w:bookmarkEnd w:id="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212"/>
        <w:gridCol w:w="3225"/>
      </w:tblGrid>
      <w:tr w:rsidR="004B3B33" w:rsidRPr="00721359" w14:paraId="4BF2D878" w14:textId="77777777" w:rsidTr="00721359">
        <w:tc>
          <w:tcPr>
            <w:tcW w:w="3624" w:type="dxa"/>
            <w:shd w:val="clear" w:color="auto" w:fill="D9D9D9" w:themeFill="background1" w:themeFillShade="D9"/>
            <w:vAlign w:val="center"/>
          </w:tcPr>
          <w:p w14:paraId="4BF2D875" w14:textId="77777777" w:rsidR="004B3B33" w:rsidRPr="00721359" w:rsidRDefault="004B3B33" w:rsidP="00721359">
            <w:pPr>
              <w:jc w:val="center"/>
              <w:rPr>
                <w:rFonts w:ascii="Arial" w:hAnsi="Arial" w:cs="Arial"/>
                <w:b/>
                <w:sz w:val="20"/>
                <w:szCs w:val="20"/>
              </w:rPr>
            </w:pPr>
            <w:r w:rsidRPr="00721359">
              <w:rPr>
                <w:rFonts w:ascii="Arial" w:hAnsi="Arial" w:cs="Arial"/>
                <w:b/>
                <w:sz w:val="20"/>
                <w:szCs w:val="20"/>
              </w:rPr>
              <w:t>Lamp Type</w:t>
            </w:r>
          </w:p>
        </w:tc>
        <w:tc>
          <w:tcPr>
            <w:tcW w:w="3624" w:type="dxa"/>
            <w:shd w:val="clear" w:color="auto" w:fill="D9D9D9" w:themeFill="background1" w:themeFillShade="D9"/>
            <w:vAlign w:val="center"/>
          </w:tcPr>
          <w:p w14:paraId="4BF2D876" w14:textId="77777777" w:rsidR="004B3B33" w:rsidRPr="00721359" w:rsidRDefault="004B3B33" w:rsidP="00721359">
            <w:pPr>
              <w:jc w:val="center"/>
              <w:rPr>
                <w:rFonts w:ascii="Arial" w:hAnsi="Arial" w:cs="Arial"/>
                <w:b/>
                <w:sz w:val="20"/>
                <w:szCs w:val="20"/>
              </w:rPr>
            </w:pPr>
            <w:r w:rsidRPr="00721359">
              <w:rPr>
                <w:rFonts w:ascii="Arial" w:hAnsi="Arial" w:cs="Arial"/>
                <w:b/>
                <w:sz w:val="20"/>
                <w:szCs w:val="20"/>
              </w:rPr>
              <w:t>Correlated Color Temperature</w:t>
            </w:r>
          </w:p>
        </w:tc>
        <w:tc>
          <w:tcPr>
            <w:tcW w:w="3624" w:type="dxa"/>
            <w:shd w:val="clear" w:color="auto" w:fill="D9D9D9" w:themeFill="background1" w:themeFillShade="D9"/>
            <w:vAlign w:val="center"/>
          </w:tcPr>
          <w:p w14:paraId="4BF2D877" w14:textId="77777777" w:rsidR="004B3B33" w:rsidRPr="00721359" w:rsidRDefault="004B3B33" w:rsidP="00721359">
            <w:pPr>
              <w:jc w:val="center"/>
              <w:rPr>
                <w:rFonts w:ascii="Arial" w:hAnsi="Arial" w:cs="Arial"/>
                <w:b/>
                <w:sz w:val="20"/>
                <w:szCs w:val="20"/>
              </w:rPr>
            </w:pPr>
            <w:r w:rsidRPr="00721359">
              <w:rPr>
                <w:rFonts w:ascii="Arial" w:hAnsi="Arial" w:cs="Arial"/>
                <w:b/>
                <w:sz w:val="20"/>
                <w:szCs w:val="20"/>
              </w:rPr>
              <w:t>Energy Conservation Standard (Lm/W)</w:t>
            </w:r>
          </w:p>
        </w:tc>
      </w:tr>
      <w:tr w:rsidR="004B3B33" w:rsidRPr="00E161F9" w14:paraId="4BF2D87C" w14:textId="77777777" w:rsidTr="00F141AF">
        <w:trPr>
          <w:trHeight w:val="135"/>
        </w:trPr>
        <w:tc>
          <w:tcPr>
            <w:tcW w:w="3624" w:type="dxa"/>
            <w:vMerge w:val="restart"/>
          </w:tcPr>
          <w:p w14:paraId="4BF2D879" w14:textId="77777777" w:rsidR="004B3B33" w:rsidRPr="00E161F9" w:rsidRDefault="004B3B33" w:rsidP="006E0DF7">
            <w:pPr>
              <w:rPr>
                <w:rFonts w:ascii="Arial" w:hAnsi="Arial" w:cs="Arial"/>
                <w:sz w:val="20"/>
                <w:szCs w:val="20"/>
              </w:rPr>
            </w:pPr>
            <w:r w:rsidRPr="00E161F9">
              <w:rPr>
                <w:rFonts w:ascii="Arial" w:hAnsi="Arial" w:cs="Arial"/>
                <w:sz w:val="20"/>
                <w:szCs w:val="20"/>
              </w:rPr>
              <w:t xml:space="preserve">4-Foot Medium </w:t>
            </w:r>
            <w:proofErr w:type="spellStart"/>
            <w:r w:rsidRPr="00E161F9">
              <w:rPr>
                <w:rFonts w:ascii="Arial" w:hAnsi="Arial" w:cs="Arial"/>
                <w:sz w:val="20"/>
                <w:szCs w:val="20"/>
              </w:rPr>
              <w:t>Bipin</w:t>
            </w:r>
            <w:proofErr w:type="spellEnd"/>
          </w:p>
        </w:tc>
        <w:tc>
          <w:tcPr>
            <w:tcW w:w="3624" w:type="dxa"/>
          </w:tcPr>
          <w:p w14:paraId="4BF2D87A" w14:textId="77777777" w:rsidR="004B3B33" w:rsidRPr="00E161F9" w:rsidRDefault="004B3B33" w:rsidP="006E0DF7">
            <w:pPr>
              <w:rPr>
                <w:rFonts w:ascii="Arial" w:hAnsi="Arial" w:cs="Arial"/>
                <w:sz w:val="20"/>
                <w:szCs w:val="20"/>
              </w:rPr>
            </w:pPr>
            <w:r w:rsidRPr="00E161F9">
              <w:rPr>
                <w:rFonts w:ascii="Arial" w:hAnsi="Arial" w:cs="Arial"/>
                <w:sz w:val="20"/>
                <w:szCs w:val="20"/>
              </w:rPr>
              <w:t>≤4,500K</w:t>
            </w:r>
          </w:p>
        </w:tc>
        <w:tc>
          <w:tcPr>
            <w:tcW w:w="3624" w:type="dxa"/>
          </w:tcPr>
          <w:p w14:paraId="4BF2D87B" w14:textId="77777777" w:rsidR="004B3B33" w:rsidRPr="00E161F9" w:rsidRDefault="004B3B33" w:rsidP="006E0DF7">
            <w:pPr>
              <w:rPr>
                <w:rFonts w:ascii="Arial" w:hAnsi="Arial" w:cs="Arial"/>
                <w:sz w:val="20"/>
                <w:szCs w:val="20"/>
              </w:rPr>
            </w:pPr>
            <w:r w:rsidRPr="00E161F9">
              <w:rPr>
                <w:rFonts w:ascii="Arial" w:hAnsi="Arial" w:cs="Arial"/>
                <w:sz w:val="20"/>
                <w:szCs w:val="20"/>
              </w:rPr>
              <w:t>89</w:t>
            </w:r>
          </w:p>
        </w:tc>
      </w:tr>
      <w:tr w:rsidR="004B3B33" w:rsidRPr="00E161F9" w14:paraId="4BF2D880" w14:textId="77777777" w:rsidTr="00F141AF">
        <w:trPr>
          <w:trHeight w:val="135"/>
        </w:trPr>
        <w:tc>
          <w:tcPr>
            <w:tcW w:w="3624" w:type="dxa"/>
            <w:vMerge/>
          </w:tcPr>
          <w:p w14:paraId="4BF2D87D" w14:textId="77777777" w:rsidR="004B3B33" w:rsidRPr="00E161F9" w:rsidRDefault="004B3B33" w:rsidP="006E0DF7">
            <w:pPr>
              <w:rPr>
                <w:rFonts w:ascii="Arial" w:hAnsi="Arial" w:cs="Arial"/>
                <w:sz w:val="20"/>
                <w:szCs w:val="20"/>
              </w:rPr>
            </w:pPr>
          </w:p>
        </w:tc>
        <w:tc>
          <w:tcPr>
            <w:tcW w:w="3624" w:type="dxa"/>
          </w:tcPr>
          <w:p w14:paraId="4BF2D87E" w14:textId="77777777" w:rsidR="004B3B33" w:rsidRPr="00E161F9" w:rsidRDefault="004B3B33" w:rsidP="006E0DF7">
            <w:pPr>
              <w:rPr>
                <w:rFonts w:ascii="Arial" w:hAnsi="Arial" w:cs="Arial"/>
                <w:sz w:val="20"/>
                <w:szCs w:val="20"/>
              </w:rPr>
            </w:pPr>
            <w:r w:rsidRPr="00E161F9">
              <w:rPr>
                <w:rFonts w:ascii="Arial" w:hAnsi="Arial" w:cs="Arial"/>
                <w:sz w:val="20"/>
                <w:szCs w:val="20"/>
              </w:rPr>
              <w:t>˃4,500K and ≤7,000K</w:t>
            </w:r>
          </w:p>
        </w:tc>
        <w:tc>
          <w:tcPr>
            <w:tcW w:w="3624" w:type="dxa"/>
          </w:tcPr>
          <w:p w14:paraId="4BF2D87F" w14:textId="77777777" w:rsidR="004B3B33" w:rsidRPr="00E161F9" w:rsidRDefault="004B3B33" w:rsidP="006E0DF7">
            <w:pPr>
              <w:rPr>
                <w:rFonts w:ascii="Arial" w:hAnsi="Arial" w:cs="Arial"/>
                <w:sz w:val="20"/>
                <w:szCs w:val="20"/>
              </w:rPr>
            </w:pPr>
            <w:r w:rsidRPr="00E161F9">
              <w:rPr>
                <w:rFonts w:ascii="Arial" w:hAnsi="Arial" w:cs="Arial"/>
                <w:sz w:val="20"/>
                <w:szCs w:val="20"/>
              </w:rPr>
              <w:t>88</w:t>
            </w:r>
          </w:p>
        </w:tc>
      </w:tr>
      <w:tr w:rsidR="004B3B33" w:rsidRPr="00E161F9" w14:paraId="4BF2D884" w14:textId="77777777" w:rsidTr="00F141AF">
        <w:trPr>
          <w:trHeight w:val="135"/>
        </w:trPr>
        <w:tc>
          <w:tcPr>
            <w:tcW w:w="3624" w:type="dxa"/>
            <w:vMerge w:val="restart"/>
          </w:tcPr>
          <w:p w14:paraId="4BF2D881" w14:textId="77777777" w:rsidR="004B3B33" w:rsidRPr="00E161F9" w:rsidRDefault="004B3B33" w:rsidP="006E0DF7">
            <w:pPr>
              <w:rPr>
                <w:rFonts w:ascii="Arial" w:hAnsi="Arial" w:cs="Arial"/>
                <w:sz w:val="20"/>
                <w:szCs w:val="20"/>
              </w:rPr>
            </w:pPr>
            <w:r w:rsidRPr="00E161F9">
              <w:rPr>
                <w:rFonts w:ascii="Arial" w:hAnsi="Arial" w:cs="Arial"/>
                <w:sz w:val="20"/>
                <w:szCs w:val="20"/>
              </w:rPr>
              <w:t>2-Foot U-Shaped</w:t>
            </w:r>
          </w:p>
        </w:tc>
        <w:tc>
          <w:tcPr>
            <w:tcW w:w="3624" w:type="dxa"/>
          </w:tcPr>
          <w:p w14:paraId="4BF2D882" w14:textId="77777777" w:rsidR="004B3B33" w:rsidRPr="00E161F9" w:rsidRDefault="004B3B33" w:rsidP="006E0DF7">
            <w:pPr>
              <w:rPr>
                <w:rFonts w:ascii="Arial" w:hAnsi="Arial" w:cs="Arial"/>
                <w:sz w:val="20"/>
                <w:szCs w:val="20"/>
              </w:rPr>
            </w:pPr>
            <w:r w:rsidRPr="00E161F9">
              <w:rPr>
                <w:rFonts w:ascii="Arial" w:hAnsi="Arial" w:cs="Arial"/>
                <w:sz w:val="20"/>
                <w:szCs w:val="20"/>
              </w:rPr>
              <w:t>≤4,500K</w:t>
            </w:r>
          </w:p>
        </w:tc>
        <w:tc>
          <w:tcPr>
            <w:tcW w:w="3624" w:type="dxa"/>
          </w:tcPr>
          <w:p w14:paraId="4BF2D883" w14:textId="77777777" w:rsidR="004B3B33" w:rsidRPr="00E161F9" w:rsidRDefault="004B3B33" w:rsidP="006E0DF7">
            <w:pPr>
              <w:rPr>
                <w:rFonts w:ascii="Arial" w:hAnsi="Arial" w:cs="Arial"/>
                <w:sz w:val="20"/>
                <w:szCs w:val="20"/>
              </w:rPr>
            </w:pPr>
            <w:r w:rsidRPr="00E161F9">
              <w:rPr>
                <w:rFonts w:ascii="Arial" w:hAnsi="Arial" w:cs="Arial"/>
                <w:sz w:val="20"/>
                <w:szCs w:val="20"/>
              </w:rPr>
              <w:t>84</w:t>
            </w:r>
          </w:p>
        </w:tc>
      </w:tr>
      <w:tr w:rsidR="004B3B33" w:rsidRPr="00E161F9" w14:paraId="4BF2D888" w14:textId="77777777" w:rsidTr="00F141AF">
        <w:trPr>
          <w:trHeight w:val="135"/>
        </w:trPr>
        <w:tc>
          <w:tcPr>
            <w:tcW w:w="3624" w:type="dxa"/>
            <w:vMerge/>
          </w:tcPr>
          <w:p w14:paraId="4BF2D885" w14:textId="77777777" w:rsidR="004B3B33" w:rsidRPr="00E161F9" w:rsidRDefault="004B3B33" w:rsidP="006E0DF7">
            <w:pPr>
              <w:rPr>
                <w:rFonts w:ascii="Arial" w:hAnsi="Arial" w:cs="Arial"/>
                <w:sz w:val="20"/>
                <w:szCs w:val="20"/>
              </w:rPr>
            </w:pPr>
          </w:p>
        </w:tc>
        <w:tc>
          <w:tcPr>
            <w:tcW w:w="3624" w:type="dxa"/>
          </w:tcPr>
          <w:p w14:paraId="4BF2D886" w14:textId="77777777" w:rsidR="004B3B33" w:rsidRPr="00E161F9" w:rsidRDefault="004B3B33" w:rsidP="006E0DF7">
            <w:pPr>
              <w:rPr>
                <w:rFonts w:ascii="Arial" w:hAnsi="Arial" w:cs="Arial"/>
                <w:sz w:val="20"/>
                <w:szCs w:val="20"/>
              </w:rPr>
            </w:pPr>
            <w:r w:rsidRPr="00E161F9">
              <w:rPr>
                <w:rFonts w:ascii="Arial" w:hAnsi="Arial" w:cs="Arial"/>
                <w:sz w:val="20"/>
                <w:szCs w:val="20"/>
              </w:rPr>
              <w:t>˃4,500K and ≤7,000K</w:t>
            </w:r>
          </w:p>
        </w:tc>
        <w:tc>
          <w:tcPr>
            <w:tcW w:w="3624" w:type="dxa"/>
          </w:tcPr>
          <w:p w14:paraId="4BF2D887" w14:textId="77777777" w:rsidR="004B3B33" w:rsidRPr="00E161F9" w:rsidRDefault="004B3B33" w:rsidP="006E0DF7">
            <w:pPr>
              <w:rPr>
                <w:rFonts w:ascii="Arial" w:hAnsi="Arial" w:cs="Arial"/>
                <w:sz w:val="20"/>
                <w:szCs w:val="20"/>
              </w:rPr>
            </w:pPr>
            <w:r w:rsidRPr="00E161F9">
              <w:rPr>
                <w:rFonts w:ascii="Arial" w:hAnsi="Arial" w:cs="Arial"/>
                <w:sz w:val="20"/>
                <w:szCs w:val="20"/>
              </w:rPr>
              <w:t>81</w:t>
            </w:r>
          </w:p>
        </w:tc>
      </w:tr>
      <w:tr w:rsidR="004B3B33" w:rsidRPr="00E161F9" w14:paraId="4BF2D88C" w14:textId="77777777" w:rsidTr="00F141AF">
        <w:trPr>
          <w:trHeight w:val="135"/>
        </w:trPr>
        <w:tc>
          <w:tcPr>
            <w:tcW w:w="3624" w:type="dxa"/>
            <w:vMerge w:val="restart"/>
          </w:tcPr>
          <w:p w14:paraId="4BF2D889" w14:textId="77777777" w:rsidR="004B3B33" w:rsidRPr="00E161F9" w:rsidRDefault="004B3B33" w:rsidP="006E0DF7">
            <w:pPr>
              <w:rPr>
                <w:rFonts w:ascii="Arial" w:hAnsi="Arial" w:cs="Arial"/>
                <w:sz w:val="20"/>
                <w:szCs w:val="20"/>
              </w:rPr>
            </w:pPr>
            <w:r w:rsidRPr="00E161F9">
              <w:rPr>
                <w:rFonts w:ascii="Arial" w:hAnsi="Arial" w:cs="Arial"/>
                <w:sz w:val="20"/>
                <w:szCs w:val="20"/>
              </w:rPr>
              <w:t xml:space="preserve">8-Foot </w:t>
            </w:r>
            <w:proofErr w:type="spellStart"/>
            <w:r w:rsidRPr="00E161F9">
              <w:rPr>
                <w:rFonts w:ascii="Arial" w:hAnsi="Arial" w:cs="Arial"/>
                <w:sz w:val="20"/>
                <w:szCs w:val="20"/>
              </w:rPr>
              <w:t>Slimline</w:t>
            </w:r>
            <w:proofErr w:type="spellEnd"/>
          </w:p>
        </w:tc>
        <w:tc>
          <w:tcPr>
            <w:tcW w:w="3624" w:type="dxa"/>
          </w:tcPr>
          <w:p w14:paraId="4BF2D88A" w14:textId="77777777" w:rsidR="004B3B33" w:rsidRPr="00E161F9" w:rsidRDefault="004B3B33" w:rsidP="006E0DF7">
            <w:pPr>
              <w:rPr>
                <w:rFonts w:ascii="Arial" w:hAnsi="Arial" w:cs="Arial"/>
                <w:sz w:val="20"/>
                <w:szCs w:val="20"/>
              </w:rPr>
            </w:pPr>
            <w:r w:rsidRPr="00E161F9">
              <w:rPr>
                <w:rFonts w:ascii="Arial" w:hAnsi="Arial" w:cs="Arial"/>
                <w:sz w:val="20"/>
                <w:szCs w:val="20"/>
              </w:rPr>
              <w:t>≤4,500K</w:t>
            </w:r>
          </w:p>
        </w:tc>
        <w:tc>
          <w:tcPr>
            <w:tcW w:w="3624" w:type="dxa"/>
          </w:tcPr>
          <w:p w14:paraId="4BF2D88B" w14:textId="77777777" w:rsidR="004B3B33" w:rsidRPr="00E161F9" w:rsidRDefault="004B3B33" w:rsidP="006E0DF7">
            <w:pPr>
              <w:rPr>
                <w:rFonts w:ascii="Arial" w:hAnsi="Arial" w:cs="Arial"/>
                <w:sz w:val="20"/>
                <w:szCs w:val="20"/>
              </w:rPr>
            </w:pPr>
            <w:r w:rsidRPr="00E161F9">
              <w:rPr>
                <w:rFonts w:ascii="Arial" w:hAnsi="Arial" w:cs="Arial"/>
                <w:sz w:val="20"/>
                <w:szCs w:val="20"/>
              </w:rPr>
              <w:t>97</w:t>
            </w:r>
          </w:p>
        </w:tc>
      </w:tr>
      <w:tr w:rsidR="004B3B33" w:rsidRPr="00E161F9" w14:paraId="4BF2D890" w14:textId="77777777" w:rsidTr="00F141AF">
        <w:trPr>
          <w:trHeight w:val="135"/>
        </w:trPr>
        <w:tc>
          <w:tcPr>
            <w:tcW w:w="3624" w:type="dxa"/>
            <w:vMerge/>
          </w:tcPr>
          <w:p w14:paraId="4BF2D88D" w14:textId="77777777" w:rsidR="004B3B33" w:rsidRPr="00E161F9" w:rsidRDefault="004B3B33" w:rsidP="006E0DF7">
            <w:pPr>
              <w:rPr>
                <w:rFonts w:ascii="Arial" w:hAnsi="Arial" w:cs="Arial"/>
                <w:sz w:val="20"/>
                <w:szCs w:val="20"/>
              </w:rPr>
            </w:pPr>
          </w:p>
        </w:tc>
        <w:tc>
          <w:tcPr>
            <w:tcW w:w="3624" w:type="dxa"/>
          </w:tcPr>
          <w:p w14:paraId="4BF2D88E" w14:textId="77777777" w:rsidR="004B3B33" w:rsidRPr="00E161F9" w:rsidRDefault="004B3B33" w:rsidP="006E0DF7">
            <w:pPr>
              <w:rPr>
                <w:rFonts w:ascii="Arial" w:hAnsi="Arial" w:cs="Arial"/>
                <w:sz w:val="20"/>
                <w:szCs w:val="20"/>
              </w:rPr>
            </w:pPr>
            <w:r w:rsidRPr="00E161F9">
              <w:rPr>
                <w:rFonts w:ascii="Arial" w:hAnsi="Arial" w:cs="Arial"/>
                <w:sz w:val="20"/>
                <w:szCs w:val="20"/>
              </w:rPr>
              <w:t>˃4,500K and ≤7,000K</w:t>
            </w:r>
          </w:p>
        </w:tc>
        <w:tc>
          <w:tcPr>
            <w:tcW w:w="3624" w:type="dxa"/>
          </w:tcPr>
          <w:p w14:paraId="4BF2D88F" w14:textId="77777777" w:rsidR="004B3B33" w:rsidRPr="00E161F9" w:rsidRDefault="004B3B33" w:rsidP="006E0DF7">
            <w:pPr>
              <w:rPr>
                <w:rFonts w:ascii="Arial" w:hAnsi="Arial" w:cs="Arial"/>
                <w:sz w:val="20"/>
                <w:szCs w:val="20"/>
              </w:rPr>
            </w:pPr>
            <w:r w:rsidRPr="00E161F9">
              <w:rPr>
                <w:rFonts w:ascii="Arial" w:hAnsi="Arial" w:cs="Arial"/>
                <w:sz w:val="20"/>
                <w:szCs w:val="20"/>
              </w:rPr>
              <w:t>93</w:t>
            </w:r>
          </w:p>
        </w:tc>
      </w:tr>
      <w:tr w:rsidR="004B3B33" w:rsidRPr="00E161F9" w14:paraId="4BF2D894" w14:textId="77777777" w:rsidTr="00F141AF">
        <w:trPr>
          <w:trHeight w:val="135"/>
        </w:trPr>
        <w:tc>
          <w:tcPr>
            <w:tcW w:w="3624" w:type="dxa"/>
            <w:vMerge w:val="restart"/>
          </w:tcPr>
          <w:p w14:paraId="4BF2D891" w14:textId="77777777" w:rsidR="004B3B33" w:rsidRPr="00E161F9" w:rsidRDefault="004B3B33" w:rsidP="006E0DF7">
            <w:pPr>
              <w:rPr>
                <w:rFonts w:ascii="Arial" w:hAnsi="Arial" w:cs="Arial"/>
                <w:sz w:val="20"/>
                <w:szCs w:val="20"/>
              </w:rPr>
            </w:pPr>
            <w:r w:rsidRPr="00E161F9">
              <w:rPr>
                <w:rFonts w:ascii="Arial" w:hAnsi="Arial" w:cs="Arial"/>
                <w:sz w:val="20"/>
                <w:szCs w:val="20"/>
              </w:rPr>
              <w:t>8-Foot High Output</w:t>
            </w:r>
          </w:p>
        </w:tc>
        <w:tc>
          <w:tcPr>
            <w:tcW w:w="3624" w:type="dxa"/>
          </w:tcPr>
          <w:p w14:paraId="4BF2D892" w14:textId="77777777" w:rsidR="004B3B33" w:rsidRPr="00E161F9" w:rsidRDefault="004B3B33" w:rsidP="006E0DF7">
            <w:pPr>
              <w:rPr>
                <w:rFonts w:ascii="Arial" w:hAnsi="Arial" w:cs="Arial"/>
                <w:sz w:val="20"/>
                <w:szCs w:val="20"/>
              </w:rPr>
            </w:pPr>
            <w:r w:rsidRPr="00E161F9">
              <w:rPr>
                <w:rFonts w:ascii="Arial" w:hAnsi="Arial" w:cs="Arial"/>
                <w:sz w:val="20"/>
                <w:szCs w:val="20"/>
              </w:rPr>
              <w:t>≤4,500K</w:t>
            </w:r>
          </w:p>
        </w:tc>
        <w:tc>
          <w:tcPr>
            <w:tcW w:w="3624" w:type="dxa"/>
          </w:tcPr>
          <w:p w14:paraId="4BF2D893" w14:textId="77777777" w:rsidR="004B3B33" w:rsidRPr="00E161F9" w:rsidRDefault="004B3B33" w:rsidP="006E0DF7">
            <w:pPr>
              <w:rPr>
                <w:rFonts w:ascii="Arial" w:hAnsi="Arial" w:cs="Arial"/>
                <w:sz w:val="20"/>
                <w:szCs w:val="20"/>
              </w:rPr>
            </w:pPr>
            <w:r w:rsidRPr="00E161F9">
              <w:rPr>
                <w:rFonts w:ascii="Arial" w:hAnsi="Arial" w:cs="Arial"/>
                <w:sz w:val="20"/>
                <w:szCs w:val="20"/>
              </w:rPr>
              <w:t>92</w:t>
            </w:r>
          </w:p>
        </w:tc>
      </w:tr>
      <w:tr w:rsidR="004B3B33" w:rsidRPr="00E161F9" w14:paraId="4BF2D898" w14:textId="77777777" w:rsidTr="00F141AF">
        <w:trPr>
          <w:trHeight w:val="135"/>
        </w:trPr>
        <w:tc>
          <w:tcPr>
            <w:tcW w:w="3624" w:type="dxa"/>
            <w:vMerge/>
          </w:tcPr>
          <w:p w14:paraId="4BF2D895" w14:textId="77777777" w:rsidR="004B3B33" w:rsidRPr="00E161F9" w:rsidRDefault="004B3B33" w:rsidP="006E0DF7">
            <w:pPr>
              <w:rPr>
                <w:rFonts w:ascii="Arial" w:hAnsi="Arial" w:cs="Arial"/>
                <w:sz w:val="20"/>
                <w:szCs w:val="20"/>
              </w:rPr>
            </w:pPr>
          </w:p>
        </w:tc>
        <w:tc>
          <w:tcPr>
            <w:tcW w:w="3624" w:type="dxa"/>
          </w:tcPr>
          <w:p w14:paraId="4BF2D896" w14:textId="77777777" w:rsidR="004B3B33" w:rsidRPr="00E161F9" w:rsidRDefault="004B3B33" w:rsidP="006E0DF7">
            <w:pPr>
              <w:rPr>
                <w:rFonts w:ascii="Arial" w:hAnsi="Arial" w:cs="Arial"/>
                <w:sz w:val="20"/>
                <w:szCs w:val="20"/>
              </w:rPr>
            </w:pPr>
            <w:r w:rsidRPr="00E161F9">
              <w:rPr>
                <w:rFonts w:ascii="Arial" w:hAnsi="Arial" w:cs="Arial"/>
                <w:sz w:val="20"/>
                <w:szCs w:val="20"/>
              </w:rPr>
              <w:t>˃4,500K and ≤7,000K</w:t>
            </w:r>
          </w:p>
        </w:tc>
        <w:tc>
          <w:tcPr>
            <w:tcW w:w="3624" w:type="dxa"/>
          </w:tcPr>
          <w:p w14:paraId="4BF2D897" w14:textId="77777777" w:rsidR="004B3B33" w:rsidRPr="00E161F9" w:rsidRDefault="004B3B33" w:rsidP="006E0DF7">
            <w:pPr>
              <w:rPr>
                <w:rFonts w:ascii="Arial" w:hAnsi="Arial" w:cs="Arial"/>
                <w:sz w:val="20"/>
                <w:szCs w:val="20"/>
              </w:rPr>
            </w:pPr>
            <w:r w:rsidRPr="00E161F9">
              <w:rPr>
                <w:rFonts w:ascii="Arial" w:hAnsi="Arial" w:cs="Arial"/>
                <w:sz w:val="20"/>
                <w:szCs w:val="20"/>
              </w:rPr>
              <w:t>88</w:t>
            </w:r>
          </w:p>
        </w:tc>
      </w:tr>
      <w:tr w:rsidR="004B3B33" w:rsidRPr="00E161F9" w14:paraId="4BF2D89C" w14:textId="77777777" w:rsidTr="00F141AF">
        <w:trPr>
          <w:trHeight w:val="135"/>
        </w:trPr>
        <w:tc>
          <w:tcPr>
            <w:tcW w:w="3624" w:type="dxa"/>
            <w:vMerge w:val="restart"/>
          </w:tcPr>
          <w:p w14:paraId="4BF2D899" w14:textId="77777777" w:rsidR="004B3B33" w:rsidRPr="00E161F9" w:rsidRDefault="004B3B33" w:rsidP="006E0DF7">
            <w:pPr>
              <w:rPr>
                <w:rFonts w:ascii="Arial" w:hAnsi="Arial" w:cs="Arial"/>
                <w:sz w:val="20"/>
                <w:szCs w:val="20"/>
              </w:rPr>
            </w:pPr>
            <w:r w:rsidRPr="00E161F9">
              <w:rPr>
                <w:rFonts w:ascii="Arial" w:hAnsi="Arial" w:cs="Arial"/>
                <w:sz w:val="20"/>
                <w:szCs w:val="20"/>
              </w:rPr>
              <w:t xml:space="preserve">4-Foot Miniature </w:t>
            </w:r>
            <w:proofErr w:type="spellStart"/>
            <w:r w:rsidRPr="00E161F9">
              <w:rPr>
                <w:rFonts w:ascii="Arial" w:hAnsi="Arial" w:cs="Arial"/>
                <w:sz w:val="20"/>
                <w:szCs w:val="20"/>
              </w:rPr>
              <w:t>Bipin</w:t>
            </w:r>
            <w:proofErr w:type="spellEnd"/>
            <w:r w:rsidRPr="00E161F9">
              <w:rPr>
                <w:rFonts w:ascii="Arial" w:hAnsi="Arial" w:cs="Arial"/>
                <w:sz w:val="20"/>
                <w:szCs w:val="20"/>
              </w:rPr>
              <w:t xml:space="preserve"> Standard Output</w:t>
            </w:r>
          </w:p>
        </w:tc>
        <w:tc>
          <w:tcPr>
            <w:tcW w:w="3624" w:type="dxa"/>
          </w:tcPr>
          <w:p w14:paraId="4BF2D89A" w14:textId="77777777" w:rsidR="004B3B33" w:rsidRPr="00E161F9" w:rsidRDefault="004B3B33" w:rsidP="006E0DF7">
            <w:pPr>
              <w:rPr>
                <w:rFonts w:ascii="Arial" w:hAnsi="Arial" w:cs="Arial"/>
                <w:sz w:val="20"/>
                <w:szCs w:val="20"/>
              </w:rPr>
            </w:pPr>
            <w:r w:rsidRPr="00E161F9">
              <w:rPr>
                <w:rFonts w:ascii="Arial" w:hAnsi="Arial" w:cs="Arial"/>
                <w:sz w:val="20"/>
                <w:szCs w:val="20"/>
              </w:rPr>
              <w:t>≤4,500K</w:t>
            </w:r>
          </w:p>
        </w:tc>
        <w:tc>
          <w:tcPr>
            <w:tcW w:w="3624" w:type="dxa"/>
          </w:tcPr>
          <w:p w14:paraId="4BF2D89B" w14:textId="77777777" w:rsidR="004B3B33" w:rsidRPr="00E161F9" w:rsidRDefault="004B3B33" w:rsidP="006E0DF7">
            <w:pPr>
              <w:rPr>
                <w:rFonts w:ascii="Arial" w:hAnsi="Arial" w:cs="Arial"/>
                <w:sz w:val="20"/>
                <w:szCs w:val="20"/>
              </w:rPr>
            </w:pPr>
            <w:r w:rsidRPr="00E161F9">
              <w:rPr>
                <w:rFonts w:ascii="Arial" w:hAnsi="Arial" w:cs="Arial"/>
                <w:sz w:val="20"/>
                <w:szCs w:val="20"/>
              </w:rPr>
              <w:t>86</w:t>
            </w:r>
          </w:p>
        </w:tc>
      </w:tr>
      <w:tr w:rsidR="004B3B33" w:rsidRPr="00E161F9" w14:paraId="4BF2D8A0" w14:textId="77777777" w:rsidTr="00F141AF">
        <w:trPr>
          <w:trHeight w:val="135"/>
        </w:trPr>
        <w:tc>
          <w:tcPr>
            <w:tcW w:w="3624" w:type="dxa"/>
            <w:vMerge/>
          </w:tcPr>
          <w:p w14:paraId="4BF2D89D" w14:textId="77777777" w:rsidR="004B3B33" w:rsidRPr="00E161F9" w:rsidRDefault="004B3B33" w:rsidP="006E0DF7">
            <w:pPr>
              <w:rPr>
                <w:rFonts w:ascii="Arial" w:hAnsi="Arial" w:cs="Arial"/>
                <w:sz w:val="20"/>
                <w:szCs w:val="20"/>
              </w:rPr>
            </w:pPr>
          </w:p>
        </w:tc>
        <w:tc>
          <w:tcPr>
            <w:tcW w:w="3624" w:type="dxa"/>
          </w:tcPr>
          <w:p w14:paraId="4BF2D89E" w14:textId="77777777" w:rsidR="004B3B33" w:rsidRPr="00E161F9" w:rsidRDefault="004B3B33" w:rsidP="006E0DF7">
            <w:pPr>
              <w:rPr>
                <w:rFonts w:ascii="Arial" w:hAnsi="Arial" w:cs="Arial"/>
                <w:sz w:val="20"/>
                <w:szCs w:val="20"/>
              </w:rPr>
            </w:pPr>
            <w:r w:rsidRPr="00E161F9">
              <w:rPr>
                <w:rFonts w:ascii="Arial" w:hAnsi="Arial" w:cs="Arial"/>
                <w:sz w:val="20"/>
                <w:szCs w:val="20"/>
              </w:rPr>
              <w:t>˃4,500K and ≤7,000K</w:t>
            </w:r>
          </w:p>
        </w:tc>
        <w:tc>
          <w:tcPr>
            <w:tcW w:w="3624" w:type="dxa"/>
          </w:tcPr>
          <w:p w14:paraId="4BF2D89F" w14:textId="77777777" w:rsidR="004B3B33" w:rsidRPr="00E161F9" w:rsidRDefault="004B3B33" w:rsidP="006E0DF7">
            <w:pPr>
              <w:rPr>
                <w:rFonts w:ascii="Arial" w:hAnsi="Arial" w:cs="Arial"/>
                <w:sz w:val="20"/>
                <w:szCs w:val="20"/>
              </w:rPr>
            </w:pPr>
            <w:r w:rsidRPr="00E161F9">
              <w:rPr>
                <w:rFonts w:ascii="Arial" w:hAnsi="Arial" w:cs="Arial"/>
                <w:sz w:val="20"/>
                <w:szCs w:val="20"/>
              </w:rPr>
              <w:t>81</w:t>
            </w:r>
          </w:p>
        </w:tc>
      </w:tr>
      <w:tr w:rsidR="004B3B33" w:rsidRPr="00E161F9" w14:paraId="4BF2D8A4" w14:textId="77777777" w:rsidTr="00F141AF">
        <w:trPr>
          <w:trHeight w:val="135"/>
        </w:trPr>
        <w:tc>
          <w:tcPr>
            <w:tcW w:w="3624" w:type="dxa"/>
            <w:vMerge w:val="restart"/>
          </w:tcPr>
          <w:p w14:paraId="4BF2D8A1" w14:textId="77777777" w:rsidR="004B3B33" w:rsidRPr="00E161F9" w:rsidRDefault="004B3B33" w:rsidP="006E0DF7">
            <w:pPr>
              <w:rPr>
                <w:rFonts w:ascii="Arial" w:hAnsi="Arial" w:cs="Arial"/>
                <w:sz w:val="20"/>
                <w:szCs w:val="20"/>
              </w:rPr>
            </w:pPr>
            <w:r w:rsidRPr="00E161F9">
              <w:rPr>
                <w:rFonts w:ascii="Arial" w:hAnsi="Arial" w:cs="Arial"/>
                <w:sz w:val="20"/>
                <w:szCs w:val="20"/>
              </w:rPr>
              <w:t xml:space="preserve">4-Foot Miniature </w:t>
            </w:r>
            <w:proofErr w:type="spellStart"/>
            <w:r w:rsidRPr="00E161F9">
              <w:rPr>
                <w:rFonts w:ascii="Arial" w:hAnsi="Arial" w:cs="Arial"/>
                <w:sz w:val="20"/>
                <w:szCs w:val="20"/>
              </w:rPr>
              <w:t>Bipin</w:t>
            </w:r>
            <w:proofErr w:type="spellEnd"/>
            <w:r w:rsidRPr="00E161F9">
              <w:rPr>
                <w:rFonts w:ascii="Arial" w:hAnsi="Arial" w:cs="Arial"/>
                <w:sz w:val="20"/>
                <w:szCs w:val="20"/>
              </w:rPr>
              <w:t xml:space="preserve"> High Output</w:t>
            </w:r>
          </w:p>
        </w:tc>
        <w:tc>
          <w:tcPr>
            <w:tcW w:w="3624" w:type="dxa"/>
          </w:tcPr>
          <w:p w14:paraId="4BF2D8A2" w14:textId="77777777" w:rsidR="004B3B33" w:rsidRPr="00E161F9" w:rsidRDefault="004B3B33" w:rsidP="006E0DF7">
            <w:pPr>
              <w:rPr>
                <w:rFonts w:ascii="Arial" w:hAnsi="Arial" w:cs="Arial"/>
                <w:sz w:val="20"/>
                <w:szCs w:val="20"/>
              </w:rPr>
            </w:pPr>
            <w:r w:rsidRPr="00E161F9">
              <w:rPr>
                <w:rFonts w:ascii="Arial" w:hAnsi="Arial" w:cs="Arial"/>
                <w:sz w:val="20"/>
                <w:szCs w:val="20"/>
              </w:rPr>
              <w:t>≤4,500K</w:t>
            </w:r>
          </w:p>
        </w:tc>
        <w:tc>
          <w:tcPr>
            <w:tcW w:w="3624" w:type="dxa"/>
          </w:tcPr>
          <w:p w14:paraId="4BF2D8A3" w14:textId="77777777" w:rsidR="004B3B33" w:rsidRPr="00E161F9" w:rsidRDefault="004B3B33" w:rsidP="006E0DF7">
            <w:pPr>
              <w:rPr>
                <w:rFonts w:ascii="Arial" w:hAnsi="Arial" w:cs="Arial"/>
                <w:sz w:val="20"/>
                <w:szCs w:val="20"/>
              </w:rPr>
            </w:pPr>
            <w:r w:rsidRPr="00E161F9">
              <w:rPr>
                <w:rFonts w:ascii="Arial" w:hAnsi="Arial" w:cs="Arial"/>
                <w:sz w:val="20"/>
                <w:szCs w:val="20"/>
              </w:rPr>
              <w:t>76</w:t>
            </w:r>
          </w:p>
        </w:tc>
      </w:tr>
      <w:tr w:rsidR="004B3B33" w:rsidRPr="00E161F9" w14:paraId="4BF2D8A8" w14:textId="77777777" w:rsidTr="00F141AF">
        <w:trPr>
          <w:trHeight w:val="135"/>
        </w:trPr>
        <w:tc>
          <w:tcPr>
            <w:tcW w:w="3624" w:type="dxa"/>
            <w:vMerge/>
          </w:tcPr>
          <w:p w14:paraId="4BF2D8A5" w14:textId="77777777" w:rsidR="004B3B33" w:rsidRPr="00E161F9" w:rsidRDefault="004B3B33" w:rsidP="006E0DF7">
            <w:pPr>
              <w:rPr>
                <w:rFonts w:ascii="Arial" w:hAnsi="Arial" w:cs="Arial"/>
                <w:sz w:val="20"/>
                <w:szCs w:val="20"/>
              </w:rPr>
            </w:pPr>
          </w:p>
        </w:tc>
        <w:tc>
          <w:tcPr>
            <w:tcW w:w="3624" w:type="dxa"/>
          </w:tcPr>
          <w:p w14:paraId="4BF2D8A6" w14:textId="77777777" w:rsidR="004B3B33" w:rsidRPr="00E161F9" w:rsidRDefault="004B3B33" w:rsidP="006E0DF7">
            <w:pPr>
              <w:rPr>
                <w:rFonts w:ascii="Arial" w:hAnsi="Arial" w:cs="Arial"/>
                <w:sz w:val="20"/>
                <w:szCs w:val="20"/>
              </w:rPr>
            </w:pPr>
            <w:r w:rsidRPr="00E161F9">
              <w:rPr>
                <w:rFonts w:ascii="Arial" w:hAnsi="Arial" w:cs="Arial"/>
                <w:sz w:val="20"/>
                <w:szCs w:val="20"/>
              </w:rPr>
              <w:t>˃4,500K and ≤7,000K</w:t>
            </w:r>
          </w:p>
        </w:tc>
        <w:tc>
          <w:tcPr>
            <w:tcW w:w="3624" w:type="dxa"/>
          </w:tcPr>
          <w:p w14:paraId="4BF2D8A7" w14:textId="77777777" w:rsidR="004B3B33" w:rsidRPr="00E161F9" w:rsidRDefault="004B3B33" w:rsidP="006E0DF7">
            <w:pPr>
              <w:rPr>
                <w:rFonts w:ascii="Arial" w:hAnsi="Arial" w:cs="Arial"/>
                <w:sz w:val="20"/>
                <w:szCs w:val="20"/>
              </w:rPr>
            </w:pPr>
            <w:r w:rsidRPr="00E161F9">
              <w:rPr>
                <w:rFonts w:ascii="Arial" w:hAnsi="Arial" w:cs="Arial"/>
                <w:sz w:val="20"/>
                <w:szCs w:val="20"/>
              </w:rPr>
              <w:t>72</w:t>
            </w:r>
          </w:p>
        </w:tc>
      </w:tr>
    </w:tbl>
    <w:p w14:paraId="4BF2D8A9" w14:textId="77777777" w:rsidR="00925A19" w:rsidRPr="00E161F9" w:rsidRDefault="00925A19" w:rsidP="006E0DF7">
      <w:pPr>
        <w:rPr>
          <w:rFonts w:ascii="Arial" w:hAnsi="Arial" w:cs="Arial"/>
          <w:sz w:val="20"/>
          <w:szCs w:val="20"/>
        </w:rPr>
      </w:pPr>
    </w:p>
    <w:p w14:paraId="4BF2D8AB" w14:textId="7F41208C" w:rsidR="00EA4751" w:rsidRPr="00E161F9" w:rsidRDefault="00496200" w:rsidP="00523AF2">
      <w:pPr>
        <w:pStyle w:val="Heading2"/>
        <w:rPr>
          <w:sz w:val="20"/>
          <w:szCs w:val="20"/>
        </w:rPr>
      </w:pPr>
      <w:bookmarkStart w:id="42" w:name="_Toc386807699"/>
      <w:bookmarkStart w:id="43" w:name="_Toc438526157"/>
      <w:r w:rsidRPr="00E161F9">
        <w:rPr>
          <w:sz w:val="20"/>
          <w:szCs w:val="20"/>
        </w:rPr>
        <w:t>1.4.3 EM&amp;V, Market Potential, and Other Studies – Base Case and Measure Case Information</w:t>
      </w:r>
      <w:bookmarkEnd w:id="42"/>
      <w:bookmarkEnd w:id="43"/>
    </w:p>
    <w:p w14:paraId="4BF2D8AD" w14:textId="63931210" w:rsidR="00E90A6F" w:rsidRPr="00E161F9" w:rsidRDefault="0047553F" w:rsidP="0047553F">
      <w:pPr>
        <w:rPr>
          <w:rFonts w:ascii="Arial" w:hAnsi="Arial" w:cs="Arial"/>
          <w:sz w:val="20"/>
          <w:szCs w:val="20"/>
        </w:rPr>
      </w:pPr>
      <w:r w:rsidRPr="00E161F9">
        <w:rPr>
          <w:rFonts w:ascii="Arial" w:hAnsi="Arial" w:cs="Arial"/>
          <w:sz w:val="20"/>
          <w:szCs w:val="20"/>
        </w:rPr>
        <w:t>Some M&amp;V studies were done</w:t>
      </w:r>
      <w:r w:rsidR="00E90A6F" w:rsidRPr="00E161F9">
        <w:rPr>
          <w:rFonts w:ascii="Arial" w:hAnsi="Arial" w:cs="Arial"/>
          <w:sz w:val="20"/>
          <w:szCs w:val="20"/>
        </w:rPr>
        <w:t xml:space="preserve"> which included </w:t>
      </w:r>
      <w:proofErr w:type="spellStart"/>
      <w:r w:rsidR="00E90A6F" w:rsidRPr="00E161F9">
        <w:rPr>
          <w:rFonts w:ascii="Arial" w:hAnsi="Arial" w:cs="Arial"/>
          <w:sz w:val="20"/>
          <w:szCs w:val="20"/>
        </w:rPr>
        <w:t>Heschong</w:t>
      </w:r>
      <w:proofErr w:type="spellEnd"/>
      <w:r w:rsidR="00E90A6F" w:rsidRPr="00E161F9">
        <w:rPr>
          <w:rFonts w:ascii="Arial" w:hAnsi="Arial" w:cs="Arial"/>
          <w:sz w:val="20"/>
          <w:szCs w:val="20"/>
        </w:rPr>
        <w:t xml:space="preserve"> </w:t>
      </w:r>
      <w:proofErr w:type="spellStart"/>
      <w:r w:rsidR="00E90A6F" w:rsidRPr="00E161F9">
        <w:rPr>
          <w:rFonts w:ascii="Arial" w:hAnsi="Arial" w:cs="Arial"/>
          <w:sz w:val="20"/>
          <w:szCs w:val="20"/>
        </w:rPr>
        <w:t>Mahone’s</w:t>
      </w:r>
      <w:proofErr w:type="spellEnd"/>
      <w:r w:rsidR="00E90A6F" w:rsidRPr="00E161F9">
        <w:rPr>
          <w:rFonts w:ascii="Arial" w:hAnsi="Arial" w:cs="Arial"/>
          <w:sz w:val="20"/>
          <w:szCs w:val="20"/>
        </w:rPr>
        <w:t xml:space="preserve"> </w:t>
      </w:r>
      <w:r w:rsidR="00E90A6F" w:rsidRPr="00E161F9">
        <w:rPr>
          <w:rFonts w:ascii="Arial" w:hAnsi="Arial" w:cs="Arial"/>
          <w:i/>
          <w:sz w:val="20"/>
          <w:szCs w:val="20"/>
        </w:rPr>
        <w:t>CEC lighting Efficiency Technology Report</w:t>
      </w:r>
      <w:r w:rsidR="004654F9" w:rsidRPr="00E161F9">
        <w:rPr>
          <w:rStyle w:val="EndnoteReference"/>
          <w:rFonts w:ascii="Arial" w:hAnsi="Arial" w:cs="Arial"/>
          <w:i/>
          <w:sz w:val="20"/>
          <w:szCs w:val="20"/>
        </w:rPr>
        <w:endnoteReference w:id="5"/>
      </w:r>
      <w:r w:rsidR="00E90A6F" w:rsidRPr="00E161F9">
        <w:rPr>
          <w:rFonts w:ascii="Arial" w:hAnsi="Arial" w:cs="Arial"/>
          <w:sz w:val="20"/>
          <w:szCs w:val="20"/>
        </w:rPr>
        <w:t>,</w:t>
      </w:r>
      <w:r w:rsidRPr="00E161F9">
        <w:rPr>
          <w:rFonts w:ascii="Arial" w:hAnsi="Arial" w:cs="Arial"/>
          <w:sz w:val="20"/>
          <w:szCs w:val="20"/>
        </w:rPr>
        <w:t xml:space="preserve"> but DEER has the most relevant information as far as operating hours</w:t>
      </w:r>
      <w:r w:rsidR="0070439C" w:rsidRPr="00E161F9">
        <w:rPr>
          <w:rFonts w:ascii="Arial" w:hAnsi="Arial" w:cs="Arial"/>
          <w:sz w:val="20"/>
          <w:szCs w:val="20"/>
        </w:rPr>
        <w:t xml:space="preserve"> and</w:t>
      </w:r>
      <w:r w:rsidR="00885BC6" w:rsidRPr="00E161F9">
        <w:rPr>
          <w:rFonts w:ascii="Arial" w:hAnsi="Arial" w:cs="Arial"/>
          <w:sz w:val="20"/>
          <w:szCs w:val="20"/>
        </w:rPr>
        <w:t xml:space="preserve"> interactive effects by building type. DEER201</w:t>
      </w:r>
      <w:r w:rsidR="00092BA5">
        <w:rPr>
          <w:rFonts w:ascii="Arial" w:hAnsi="Arial" w:cs="Arial"/>
          <w:sz w:val="20"/>
          <w:szCs w:val="20"/>
        </w:rPr>
        <w:t>6</w:t>
      </w:r>
      <w:r w:rsidRPr="00E161F9">
        <w:rPr>
          <w:rFonts w:ascii="Arial" w:hAnsi="Arial" w:cs="Arial"/>
          <w:sz w:val="20"/>
          <w:szCs w:val="20"/>
        </w:rPr>
        <w:t xml:space="preserve"> data is used for this measure</w:t>
      </w:r>
      <w:r w:rsidR="00E90A6F" w:rsidRPr="00E161F9">
        <w:rPr>
          <w:rFonts w:ascii="Arial" w:hAnsi="Arial" w:cs="Arial"/>
          <w:sz w:val="20"/>
          <w:szCs w:val="20"/>
        </w:rPr>
        <w:t>.</w:t>
      </w:r>
    </w:p>
    <w:p w14:paraId="4BF2D8E8" w14:textId="008AA721" w:rsidR="00DE3BF6" w:rsidRPr="00FF7DDB" w:rsidRDefault="00612CBE" w:rsidP="00496200">
      <w:pPr>
        <w:pStyle w:val="Heading2"/>
        <w:keepNext w:val="0"/>
        <w:rPr>
          <w:sz w:val="18"/>
          <w:szCs w:val="18"/>
          <w:highlight w:val="yellow"/>
        </w:rPr>
      </w:pPr>
      <w:r w:rsidRPr="00FF7DDB">
        <w:rPr>
          <w:highlight w:val="yellow"/>
        </w:rPr>
        <w:br w:type="page"/>
      </w:r>
    </w:p>
    <w:p w14:paraId="74B3D8B2" w14:textId="1FBFA751" w:rsidR="00092BA5" w:rsidRPr="00C76D27" w:rsidRDefault="003E1CBA" w:rsidP="00C76D27">
      <w:pPr>
        <w:pStyle w:val="Heading1"/>
      </w:pPr>
      <w:bookmarkStart w:id="44" w:name="_Toc438526158"/>
      <w:proofErr w:type="gramStart"/>
      <w:r w:rsidRPr="00092BA5">
        <w:lastRenderedPageBreak/>
        <w:t>Section 2.</w:t>
      </w:r>
      <w:proofErr w:type="gramEnd"/>
      <w:r w:rsidRPr="00092BA5">
        <w:t xml:space="preserve"> Calculation Methods</w:t>
      </w:r>
      <w:bookmarkEnd w:id="44"/>
    </w:p>
    <w:p w14:paraId="4BF2D92F" w14:textId="77777777" w:rsidR="003E1CBA" w:rsidRPr="00092BA5" w:rsidRDefault="00523AF2" w:rsidP="00092BA5">
      <w:pPr>
        <w:pStyle w:val="Heading2"/>
      </w:pPr>
      <w:bookmarkStart w:id="45" w:name="_Toc438526159"/>
      <w:r w:rsidRPr="00092BA5">
        <w:t xml:space="preserve">2.1 </w:t>
      </w:r>
      <w:r w:rsidR="003E1CBA" w:rsidRPr="00092BA5">
        <w:t>Electric Energy Savings Estimation Methodologies</w:t>
      </w:r>
      <w:bookmarkEnd w:id="45"/>
    </w:p>
    <w:p w14:paraId="4BF2D954" w14:textId="77E2BF8D" w:rsidR="00A47FEF" w:rsidRPr="00092BA5" w:rsidRDefault="00A47FEF" w:rsidP="00A47FEF">
      <w:pPr>
        <w:rPr>
          <w:rFonts w:ascii="Arial" w:hAnsi="Arial" w:cs="Arial"/>
          <w:sz w:val="20"/>
          <w:szCs w:val="20"/>
        </w:rPr>
      </w:pPr>
      <w:r w:rsidRPr="00092BA5">
        <w:rPr>
          <w:rFonts w:ascii="Arial" w:hAnsi="Arial" w:cs="Arial"/>
          <w:sz w:val="20"/>
          <w:szCs w:val="20"/>
        </w:rPr>
        <w:t xml:space="preserve">To calculate the </w:t>
      </w:r>
      <w:r w:rsidR="001B2D24" w:rsidRPr="00092BA5">
        <w:rPr>
          <w:rFonts w:ascii="Arial" w:hAnsi="Arial" w:cs="Arial"/>
          <w:sz w:val="20"/>
          <w:szCs w:val="20"/>
        </w:rPr>
        <w:t xml:space="preserve">electrical </w:t>
      </w:r>
      <w:r w:rsidRPr="00092BA5">
        <w:rPr>
          <w:rFonts w:ascii="Arial" w:hAnsi="Arial" w:cs="Arial"/>
          <w:sz w:val="20"/>
          <w:szCs w:val="20"/>
        </w:rPr>
        <w:t xml:space="preserve">energy used, simply multiply the wattage difference by the hours of operation and </w:t>
      </w:r>
      <w:r w:rsidR="001B2D24" w:rsidRPr="00092BA5">
        <w:rPr>
          <w:rFonts w:ascii="Arial" w:hAnsi="Arial" w:cs="Arial"/>
          <w:sz w:val="20"/>
          <w:szCs w:val="20"/>
        </w:rPr>
        <w:t xml:space="preserve">cooling </w:t>
      </w:r>
      <w:r w:rsidRPr="00092BA5">
        <w:rPr>
          <w:rFonts w:ascii="Arial" w:hAnsi="Arial" w:cs="Arial"/>
          <w:sz w:val="20"/>
          <w:szCs w:val="20"/>
        </w:rPr>
        <w:t>energy interactive effects, both of which are taken from DEER</w:t>
      </w:r>
      <w:r w:rsidR="00202841">
        <w:rPr>
          <w:rFonts w:ascii="Arial" w:hAnsi="Arial" w:cs="Arial"/>
          <w:sz w:val="20"/>
          <w:szCs w:val="20"/>
        </w:rPr>
        <w:t xml:space="preserve"> </w:t>
      </w:r>
      <w:r w:rsidRPr="00092BA5">
        <w:rPr>
          <w:rFonts w:ascii="Arial" w:hAnsi="Arial" w:cs="Arial"/>
          <w:sz w:val="20"/>
          <w:szCs w:val="20"/>
        </w:rPr>
        <w:t>201</w:t>
      </w:r>
      <w:r w:rsidR="00092BA5">
        <w:rPr>
          <w:rFonts w:ascii="Arial" w:hAnsi="Arial" w:cs="Arial"/>
          <w:sz w:val="20"/>
          <w:szCs w:val="20"/>
        </w:rPr>
        <w:t>6</w:t>
      </w:r>
      <w:r w:rsidR="00870618" w:rsidRPr="00092BA5">
        <w:rPr>
          <w:rFonts w:ascii="Arial" w:hAnsi="Arial" w:cs="Arial"/>
          <w:sz w:val="20"/>
          <w:szCs w:val="20"/>
        </w:rPr>
        <w:t>.</w:t>
      </w:r>
    </w:p>
    <w:p w14:paraId="4BF2D955" w14:textId="77777777" w:rsidR="00C31805" w:rsidRPr="00092BA5" w:rsidRDefault="00C31805" w:rsidP="00C31805">
      <w:pPr>
        <w:rPr>
          <w:rFonts w:ascii="Arial" w:hAnsi="Arial" w:cs="Arial"/>
          <w:sz w:val="20"/>
          <w:szCs w:val="20"/>
        </w:rPr>
      </w:pPr>
    </w:p>
    <w:p w14:paraId="4BF2D956" w14:textId="77777777" w:rsidR="00C31805" w:rsidRPr="00092BA5" w:rsidRDefault="00014D82" w:rsidP="00092BA5">
      <w:pPr>
        <w:jc w:val="center"/>
        <w:rPr>
          <w:rFonts w:ascii="Arial" w:hAnsi="Arial" w:cs="Arial"/>
          <w:sz w:val="20"/>
          <w:szCs w:val="20"/>
        </w:rPr>
      </w:pPr>
      <w:r w:rsidRPr="00092BA5">
        <w:rPr>
          <w:rFonts w:ascii="Arial" w:hAnsi="Arial" w:cs="Arial"/>
          <w:position w:val="-28"/>
          <w:sz w:val="20"/>
          <w:szCs w:val="20"/>
        </w:rPr>
        <w:object w:dxaOrig="9980" w:dyaOrig="680" w14:anchorId="4BF2D9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pt;height:34.5pt" o:ole="">
            <v:imagedata r:id="rId24" o:title=""/>
          </v:shape>
          <o:OLEObject Type="Embed" ProgID="Equation.3" ShapeID="_x0000_i1025" DrawAspect="Content" ObjectID="_1512372469" r:id="rId25"/>
        </w:object>
      </w:r>
    </w:p>
    <w:p w14:paraId="4BF2D957" w14:textId="77777777" w:rsidR="00014D82" w:rsidRPr="00092BA5" w:rsidRDefault="00014D82" w:rsidP="00C31805">
      <w:pPr>
        <w:rPr>
          <w:rFonts w:ascii="Arial" w:hAnsi="Arial" w:cs="Arial"/>
          <w:sz w:val="20"/>
          <w:szCs w:val="20"/>
        </w:rPr>
      </w:pPr>
    </w:p>
    <w:p w14:paraId="4BF2D958" w14:textId="722377A5" w:rsidR="00C31805" w:rsidRPr="00092BA5" w:rsidRDefault="00C31805" w:rsidP="00C31805">
      <w:pPr>
        <w:rPr>
          <w:rFonts w:ascii="Arial" w:hAnsi="Arial" w:cs="Arial"/>
          <w:sz w:val="20"/>
          <w:szCs w:val="20"/>
        </w:rPr>
      </w:pPr>
      <w:r w:rsidRPr="00092BA5">
        <w:rPr>
          <w:rFonts w:ascii="Arial" w:hAnsi="Arial" w:cs="Arial"/>
          <w:sz w:val="20"/>
          <w:szCs w:val="20"/>
        </w:rPr>
        <w:t>Example of Energy Savings Calculation</w:t>
      </w:r>
      <w:r w:rsidR="00014D82" w:rsidRPr="00092BA5">
        <w:rPr>
          <w:rFonts w:ascii="Arial" w:hAnsi="Arial" w:cs="Arial"/>
          <w:sz w:val="20"/>
          <w:szCs w:val="20"/>
        </w:rPr>
        <w:t xml:space="preserve"> for ASM building type for measure </w:t>
      </w:r>
      <w:r w:rsidR="00092BA5">
        <w:rPr>
          <w:rFonts w:ascii="Arial" w:hAnsi="Arial" w:cs="Arial"/>
          <w:sz w:val="20"/>
          <w:szCs w:val="20"/>
        </w:rPr>
        <w:t>LT001 (ROB)</w:t>
      </w:r>
      <w:r w:rsidRPr="00092BA5">
        <w:rPr>
          <w:rFonts w:ascii="Arial" w:hAnsi="Arial" w:cs="Arial"/>
          <w:sz w:val="20"/>
          <w:szCs w:val="20"/>
        </w:rPr>
        <w:t>:</w:t>
      </w:r>
    </w:p>
    <w:p w14:paraId="4BF2D959" w14:textId="77777777" w:rsidR="00C31805" w:rsidRPr="00092BA5" w:rsidRDefault="00C31805" w:rsidP="00C31805">
      <w:pPr>
        <w:rPr>
          <w:rFonts w:ascii="Arial" w:hAnsi="Arial" w:cs="Arial"/>
          <w:sz w:val="20"/>
          <w:szCs w:val="20"/>
        </w:rPr>
      </w:pPr>
    </w:p>
    <w:p w14:paraId="4BF2D95B" w14:textId="7EBC9E2A" w:rsidR="00C31805" w:rsidRPr="00092BA5" w:rsidRDefault="00884121" w:rsidP="00092BA5">
      <w:pPr>
        <w:jc w:val="center"/>
        <w:rPr>
          <w:rFonts w:ascii="Arial" w:hAnsi="Arial" w:cs="Arial"/>
          <w:b/>
          <w:sz w:val="20"/>
          <w:szCs w:val="20"/>
        </w:rPr>
      </w:pPr>
      <w:r w:rsidRPr="00092BA5">
        <w:rPr>
          <w:rFonts w:ascii="Arial" w:hAnsi="Arial" w:cs="Arial"/>
          <w:position w:val="-28"/>
          <w:sz w:val="20"/>
          <w:szCs w:val="20"/>
        </w:rPr>
        <w:object w:dxaOrig="7260" w:dyaOrig="680" w14:anchorId="52C58643">
          <v:shape id="_x0000_i1026" type="#_x0000_t75" style="width:363pt;height:34.5pt" o:ole="">
            <v:imagedata r:id="rId26" o:title=""/>
          </v:shape>
          <o:OLEObject Type="Embed" ProgID="Equation.3" ShapeID="_x0000_i1026" DrawAspect="Content" ObjectID="_1512372470" r:id="rId27"/>
        </w:object>
      </w:r>
    </w:p>
    <w:p w14:paraId="4BF2D95E" w14:textId="2A6AE680" w:rsidR="00177D1B" w:rsidRPr="00092BA5" w:rsidRDefault="00177D1B" w:rsidP="00092BA5">
      <w:pPr>
        <w:pStyle w:val="Heading2"/>
      </w:pPr>
      <w:bookmarkStart w:id="46" w:name="_Toc438526160"/>
      <w:r w:rsidRPr="00092BA5">
        <w:t>2.2. Demand Reduction Estimation Methodologies</w:t>
      </w:r>
      <w:bookmarkEnd w:id="46"/>
    </w:p>
    <w:p w14:paraId="04FE65DA" w14:textId="77777777" w:rsidR="00092BA5" w:rsidRDefault="00092BA5" w:rsidP="00092BA5">
      <w:pPr>
        <w:rPr>
          <w:rFonts w:ascii="Arial" w:hAnsi="Arial" w:cs="Arial"/>
          <w:sz w:val="20"/>
          <w:szCs w:val="20"/>
        </w:rPr>
      </w:pPr>
      <w:r w:rsidRPr="00D54929">
        <w:rPr>
          <w:rFonts w:ascii="Arial" w:hAnsi="Arial" w:cs="Arial"/>
          <w:sz w:val="20"/>
          <w:szCs w:val="20"/>
        </w:rPr>
        <w:t>The lighting demand difference (Watts per unit) is simply the difference between the electric demand of the base unit and the electric demand of the energy efficient unit. The Demand savings is calculated based on the formula below</w:t>
      </w:r>
      <w:r>
        <w:rPr>
          <w:rFonts w:ascii="Arial" w:hAnsi="Arial" w:cs="Arial"/>
          <w:sz w:val="20"/>
          <w:szCs w:val="20"/>
        </w:rPr>
        <w:t>:</w:t>
      </w:r>
    </w:p>
    <w:p w14:paraId="2E960A81" w14:textId="77777777" w:rsidR="00092BA5" w:rsidRDefault="00092BA5" w:rsidP="00092BA5">
      <w:pPr>
        <w:rPr>
          <w:rFonts w:ascii="Arial" w:hAnsi="Arial" w:cs="Arial"/>
          <w:sz w:val="20"/>
          <w:szCs w:val="20"/>
        </w:rPr>
      </w:pPr>
    </w:p>
    <w:p w14:paraId="4D1DB414" w14:textId="77777777" w:rsidR="00092BA5" w:rsidRDefault="00092BA5" w:rsidP="00092BA5">
      <w:pPr>
        <w:jc w:val="center"/>
        <w:rPr>
          <w:rFonts w:ascii="Arial" w:hAnsi="Arial" w:cs="Arial"/>
          <w:sz w:val="20"/>
          <w:szCs w:val="20"/>
        </w:rPr>
      </w:pPr>
      <w:r w:rsidRPr="00746B00">
        <w:rPr>
          <w:rFonts w:ascii="Arial" w:hAnsi="Arial" w:cs="Arial"/>
          <w:position w:val="-28"/>
        </w:rPr>
        <w:object w:dxaOrig="9740" w:dyaOrig="680" w14:anchorId="28889F6A">
          <v:shape id="_x0000_i1027" type="#_x0000_t75" style="width:486.75pt;height:34.5pt" o:ole="">
            <v:imagedata r:id="rId28" o:title=""/>
          </v:shape>
          <o:OLEObject Type="Embed" ProgID="Equation.3" ShapeID="_x0000_i1027" DrawAspect="Content" ObjectID="_1512372471" r:id="rId29"/>
        </w:object>
      </w:r>
    </w:p>
    <w:p w14:paraId="2CFA8563" w14:textId="77777777" w:rsidR="00092BA5" w:rsidRPr="00092BA5" w:rsidRDefault="00092BA5" w:rsidP="00092BA5">
      <w:pPr>
        <w:rPr>
          <w:rFonts w:ascii="Arial" w:hAnsi="Arial" w:cs="Arial"/>
          <w:sz w:val="20"/>
          <w:szCs w:val="20"/>
        </w:rPr>
      </w:pPr>
      <w:r w:rsidRPr="00092BA5">
        <w:rPr>
          <w:rFonts w:ascii="Arial" w:hAnsi="Arial" w:cs="Arial"/>
          <w:sz w:val="20"/>
          <w:szCs w:val="20"/>
        </w:rPr>
        <w:t xml:space="preserve">Example of Energy Savings Calculation for ASM building type for measure </w:t>
      </w:r>
      <w:r>
        <w:rPr>
          <w:rFonts w:ascii="Arial" w:hAnsi="Arial" w:cs="Arial"/>
          <w:sz w:val="20"/>
          <w:szCs w:val="20"/>
        </w:rPr>
        <w:t>LT001 (ROB)</w:t>
      </w:r>
      <w:r w:rsidRPr="00092BA5">
        <w:rPr>
          <w:rFonts w:ascii="Arial" w:hAnsi="Arial" w:cs="Arial"/>
          <w:sz w:val="20"/>
          <w:szCs w:val="20"/>
        </w:rPr>
        <w:t>:</w:t>
      </w:r>
    </w:p>
    <w:p w14:paraId="128C4BF9" w14:textId="77777777" w:rsidR="00092BA5" w:rsidRPr="00746B00" w:rsidRDefault="00092BA5" w:rsidP="00092BA5">
      <w:pPr>
        <w:rPr>
          <w:rFonts w:ascii="Arial" w:hAnsi="Arial" w:cs="Arial"/>
        </w:rPr>
      </w:pPr>
    </w:p>
    <w:p w14:paraId="2B4B41A9" w14:textId="77777777" w:rsidR="00092BA5" w:rsidRDefault="00884121" w:rsidP="00092BA5">
      <w:pPr>
        <w:jc w:val="center"/>
        <w:rPr>
          <w:rFonts w:ascii="Arial" w:hAnsi="Arial" w:cs="Arial"/>
        </w:rPr>
      </w:pPr>
      <w:r w:rsidRPr="00746B00">
        <w:rPr>
          <w:rFonts w:ascii="Arial" w:hAnsi="Arial" w:cs="Arial"/>
          <w:position w:val="-28"/>
        </w:rPr>
        <w:object w:dxaOrig="7119" w:dyaOrig="680" w14:anchorId="1C585D42">
          <v:shape id="_x0000_i1028" type="#_x0000_t75" style="width:342pt;height:33pt" o:ole="">
            <v:imagedata r:id="rId30" o:title=""/>
          </v:shape>
          <o:OLEObject Type="Embed" ProgID="Equation.3" ShapeID="_x0000_i1028" DrawAspect="Content" ObjectID="_1512372472" r:id="rId31"/>
        </w:object>
      </w:r>
    </w:p>
    <w:p w14:paraId="4BF2D972" w14:textId="77777777" w:rsidR="003E1CBA" w:rsidRPr="00092BA5" w:rsidRDefault="003E1CBA" w:rsidP="00092BA5">
      <w:pPr>
        <w:pStyle w:val="Heading2"/>
      </w:pPr>
      <w:bookmarkStart w:id="47" w:name="_Toc438526161"/>
      <w:bookmarkStart w:id="48" w:name="OLE_LINK10"/>
      <w:r w:rsidRPr="00092BA5">
        <w:t>2.3. Gas Energy Savings Estimation Methodologies</w:t>
      </w:r>
      <w:bookmarkEnd w:id="47"/>
    </w:p>
    <w:p w14:paraId="4BF2D974" w14:textId="77777777" w:rsidR="00D646E3" w:rsidRPr="00092BA5" w:rsidRDefault="00D646E3" w:rsidP="00D646E3">
      <w:pPr>
        <w:rPr>
          <w:rFonts w:ascii="Arial" w:hAnsi="Arial" w:cs="Arial"/>
          <w:sz w:val="20"/>
          <w:szCs w:val="20"/>
        </w:rPr>
      </w:pPr>
      <w:r w:rsidRPr="00092BA5">
        <w:rPr>
          <w:rFonts w:ascii="Arial" w:hAnsi="Arial" w:cs="Arial"/>
          <w:sz w:val="20"/>
          <w:szCs w:val="20"/>
        </w:rPr>
        <w:t>Gas estimates are entirely based on the estimated increased gas use through calculated interactive effects. This measure includes HVAC interactive effects savings.</w:t>
      </w:r>
    </w:p>
    <w:p w14:paraId="4BF2D975" w14:textId="77777777" w:rsidR="00D646E3" w:rsidRPr="00092BA5" w:rsidRDefault="00D646E3" w:rsidP="00D646E3">
      <w:pPr>
        <w:rPr>
          <w:rFonts w:ascii="Arial" w:hAnsi="Arial" w:cs="Arial"/>
          <w:sz w:val="20"/>
          <w:szCs w:val="20"/>
        </w:rPr>
      </w:pPr>
    </w:p>
    <w:p w14:paraId="4BF2D978" w14:textId="77777777" w:rsidR="00D646E3" w:rsidRPr="00092BA5" w:rsidRDefault="001061B9" w:rsidP="001061B9">
      <w:pPr>
        <w:jc w:val="both"/>
        <w:rPr>
          <w:rFonts w:ascii="Arial" w:hAnsi="Arial" w:cs="Arial"/>
          <w:sz w:val="20"/>
          <w:szCs w:val="20"/>
        </w:rPr>
      </w:pPr>
      <w:r w:rsidRPr="001061B9">
        <w:rPr>
          <w:rFonts w:ascii="Arial" w:hAnsi="Arial" w:cs="Arial"/>
          <w:position w:val="-28"/>
          <w:sz w:val="20"/>
          <w:szCs w:val="20"/>
        </w:rPr>
        <w:object w:dxaOrig="9620" w:dyaOrig="680" w14:anchorId="4BF2D9E7">
          <v:shape id="_x0000_i1029" type="#_x0000_t75" style="width:482.25pt;height:33.75pt" o:ole="">
            <v:imagedata r:id="rId32" o:title=""/>
          </v:shape>
          <o:OLEObject Type="Embed" ProgID="Equation.3" ShapeID="_x0000_i1029" DrawAspect="Content" ObjectID="_1512372473" r:id="rId33"/>
        </w:object>
      </w:r>
    </w:p>
    <w:p w14:paraId="4BF2D979" w14:textId="77777777" w:rsidR="00D646E3" w:rsidRPr="00092BA5" w:rsidRDefault="00D646E3" w:rsidP="00D646E3">
      <w:pPr>
        <w:rPr>
          <w:rFonts w:ascii="Arial" w:hAnsi="Arial" w:cs="Arial"/>
          <w:sz w:val="20"/>
          <w:szCs w:val="20"/>
        </w:rPr>
      </w:pPr>
    </w:p>
    <w:p w14:paraId="4AA15D80" w14:textId="77777777" w:rsidR="00092BA5" w:rsidRPr="00092BA5" w:rsidRDefault="00092BA5" w:rsidP="00092BA5">
      <w:pPr>
        <w:rPr>
          <w:rFonts w:ascii="Arial" w:hAnsi="Arial" w:cs="Arial"/>
          <w:sz w:val="20"/>
          <w:szCs w:val="20"/>
        </w:rPr>
      </w:pPr>
      <w:r w:rsidRPr="00092BA5">
        <w:rPr>
          <w:rFonts w:ascii="Arial" w:hAnsi="Arial" w:cs="Arial"/>
          <w:sz w:val="20"/>
          <w:szCs w:val="20"/>
        </w:rPr>
        <w:t xml:space="preserve">Example of Energy Savings Calculation for ASM building type for measure </w:t>
      </w:r>
      <w:r>
        <w:rPr>
          <w:rFonts w:ascii="Arial" w:hAnsi="Arial" w:cs="Arial"/>
          <w:sz w:val="20"/>
          <w:szCs w:val="20"/>
        </w:rPr>
        <w:t>LT001 (ROB)</w:t>
      </w:r>
      <w:r w:rsidRPr="00092BA5">
        <w:rPr>
          <w:rFonts w:ascii="Arial" w:hAnsi="Arial" w:cs="Arial"/>
          <w:sz w:val="20"/>
          <w:szCs w:val="20"/>
        </w:rPr>
        <w:t>:</w:t>
      </w:r>
    </w:p>
    <w:p w14:paraId="319F2391" w14:textId="77777777" w:rsidR="00092BA5" w:rsidRDefault="00092BA5">
      <w:pPr>
        <w:rPr>
          <w:rFonts w:ascii="Arial" w:hAnsi="Arial" w:cs="Arial"/>
          <w:sz w:val="20"/>
          <w:szCs w:val="20"/>
        </w:rPr>
      </w:pPr>
    </w:p>
    <w:p w14:paraId="4BF2D97D" w14:textId="2BA01DCA" w:rsidR="00D646E3" w:rsidRPr="00092BA5" w:rsidRDefault="00884121" w:rsidP="001061B9">
      <w:pPr>
        <w:jc w:val="center"/>
        <w:rPr>
          <w:rFonts w:ascii="Arial" w:hAnsi="Arial" w:cs="Arial"/>
          <w:sz w:val="20"/>
          <w:szCs w:val="20"/>
        </w:rPr>
      </w:pPr>
      <w:r w:rsidRPr="001061B9">
        <w:rPr>
          <w:rFonts w:ascii="Arial" w:hAnsi="Arial" w:cs="Arial"/>
          <w:position w:val="-10"/>
          <w:sz w:val="20"/>
          <w:szCs w:val="20"/>
        </w:rPr>
        <w:object w:dxaOrig="8820" w:dyaOrig="340" w14:anchorId="574FCE09">
          <v:shape id="_x0000_i1030" type="#_x0000_t75" style="width:441.75pt;height:16.5pt" o:ole="">
            <v:imagedata r:id="rId34" o:title=""/>
          </v:shape>
          <o:OLEObject Type="Embed" ProgID="Equation.3" ShapeID="_x0000_i1030" DrawAspect="Content" ObjectID="_1512372474" r:id="rId35"/>
        </w:object>
      </w:r>
    </w:p>
    <w:p w14:paraId="4BF2D97E" w14:textId="77777777" w:rsidR="00D646E3" w:rsidRPr="00092BA5" w:rsidRDefault="00D646E3">
      <w:pPr>
        <w:rPr>
          <w:rFonts w:ascii="Arial" w:hAnsi="Arial" w:cs="Arial"/>
          <w:sz w:val="20"/>
          <w:szCs w:val="20"/>
        </w:rPr>
      </w:pPr>
    </w:p>
    <w:p w14:paraId="4BF2D97F" w14:textId="77777777" w:rsidR="00D646E3" w:rsidRPr="00092BA5" w:rsidRDefault="00D646E3">
      <w:pPr>
        <w:rPr>
          <w:rFonts w:ascii="Arial" w:hAnsi="Arial" w:cs="Arial"/>
          <w:sz w:val="20"/>
          <w:szCs w:val="20"/>
        </w:rPr>
      </w:pPr>
    </w:p>
    <w:p w14:paraId="4BF2D980" w14:textId="77777777" w:rsidR="00D646E3" w:rsidRPr="00092BA5" w:rsidRDefault="00D646E3">
      <w:pPr>
        <w:rPr>
          <w:rFonts w:ascii="Arial" w:hAnsi="Arial" w:cs="Arial"/>
          <w:sz w:val="20"/>
          <w:szCs w:val="20"/>
          <w:highlight w:val="yellow"/>
        </w:rPr>
      </w:pPr>
    </w:p>
    <w:p w14:paraId="4BF2D981" w14:textId="77777777" w:rsidR="00D646E3" w:rsidRPr="00FF7DDB" w:rsidRDefault="00D646E3">
      <w:pPr>
        <w:rPr>
          <w:rFonts w:ascii="Arial" w:hAnsi="Arial" w:cs="Arial"/>
          <w:highlight w:val="yellow"/>
        </w:rPr>
      </w:pPr>
    </w:p>
    <w:p w14:paraId="4BF2D982" w14:textId="77777777" w:rsidR="006722F9" w:rsidRPr="00FF7DDB" w:rsidRDefault="006722F9" w:rsidP="00380594">
      <w:pPr>
        <w:rPr>
          <w:rFonts w:ascii="Arial" w:hAnsi="Arial" w:cs="Arial"/>
          <w:b/>
          <w:sz w:val="20"/>
          <w:szCs w:val="20"/>
          <w:highlight w:val="yellow"/>
        </w:rPr>
      </w:pPr>
      <w:r w:rsidRPr="00FF7DDB">
        <w:rPr>
          <w:rFonts w:ascii="Arial" w:hAnsi="Arial" w:cs="Arial"/>
          <w:i/>
          <w:sz w:val="20"/>
          <w:szCs w:val="20"/>
          <w:highlight w:val="yellow"/>
        </w:rPr>
        <w:t xml:space="preserve">                                                            </w:t>
      </w:r>
      <w:r w:rsidR="005D62C2" w:rsidRPr="00FF7DDB">
        <w:rPr>
          <w:rFonts w:ascii="Arial" w:hAnsi="Arial" w:cs="Arial"/>
          <w:i/>
          <w:sz w:val="20"/>
          <w:szCs w:val="20"/>
          <w:highlight w:val="yellow"/>
        </w:rPr>
        <w:t xml:space="preserve">  </w:t>
      </w:r>
      <w:r w:rsidR="00380594" w:rsidRPr="00FF7DDB">
        <w:rPr>
          <w:rFonts w:ascii="Arial" w:hAnsi="Arial" w:cs="Arial"/>
          <w:i/>
          <w:sz w:val="20"/>
          <w:szCs w:val="20"/>
          <w:highlight w:val="yellow"/>
        </w:rPr>
        <w:t xml:space="preserve">                 </w:t>
      </w:r>
    </w:p>
    <w:bookmarkEnd w:id="48"/>
    <w:p w14:paraId="3843DF3C" w14:textId="77777777" w:rsidR="001061B9" w:rsidRDefault="001061B9">
      <w:pPr>
        <w:rPr>
          <w:rFonts w:ascii="Arial" w:hAnsi="Arial" w:cs="Arial"/>
          <w:b/>
          <w:bCs/>
          <w:kern w:val="32"/>
          <w:sz w:val="32"/>
          <w:szCs w:val="32"/>
          <w:highlight w:val="yellow"/>
        </w:rPr>
      </w:pPr>
      <w:r>
        <w:rPr>
          <w:highlight w:val="yellow"/>
        </w:rPr>
        <w:br w:type="page"/>
      </w:r>
    </w:p>
    <w:p w14:paraId="4BF2D983" w14:textId="47C6FF7B" w:rsidR="003E1CBA" w:rsidRPr="001061B9" w:rsidRDefault="003E1CBA" w:rsidP="001061B9">
      <w:pPr>
        <w:pStyle w:val="Heading1"/>
      </w:pPr>
      <w:bookmarkStart w:id="49" w:name="_Toc438526162"/>
      <w:proofErr w:type="gramStart"/>
      <w:r w:rsidRPr="001061B9">
        <w:lastRenderedPageBreak/>
        <w:t>Section 3.</w:t>
      </w:r>
      <w:proofErr w:type="gramEnd"/>
      <w:r w:rsidRPr="001061B9">
        <w:t xml:space="preserve"> Load Shapes</w:t>
      </w:r>
      <w:bookmarkEnd w:id="49"/>
      <w:r w:rsidRPr="001061B9">
        <w:t xml:space="preserve"> </w:t>
      </w:r>
    </w:p>
    <w:p w14:paraId="4BF2D985" w14:textId="77777777" w:rsidR="003E1CBA" w:rsidRPr="001061B9" w:rsidRDefault="003E1CBA">
      <w:pPr>
        <w:autoSpaceDE w:val="0"/>
        <w:autoSpaceDN w:val="0"/>
        <w:adjustRightInd w:val="0"/>
        <w:rPr>
          <w:rFonts w:ascii="Arial" w:hAnsi="Arial" w:cs="Arial"/>
          <w:sz w:val="20"/>
          <w:szCs w:val="20"/>
        </w:rPr>
      </w:pPr>
      <w:r w:rsidRPr="001061B9">
        <w:rPr>
          <w:rFonts w:ascii="Arial" w:hAnsi="Arial" w:cs="Arial"/>
          <w:sz w:val="20"/>
          <w:szCs w:val="20"/>
        </w:rPr>
        <w:t>Load Shapes are an important part of the l</w:t>
      </w:r>
      <w:r w:rsidR="005E7664" w:rsidRPr="001061B9">
        <w:rPr>
          <w:rFonts w:ascii="Arial" w:hAnsi="Arial" w:cs="Arial"/>
          <w:sz w:val="20"/>
          <w:szCs w:val="20"/>
        </w:rPr>
        <w:t>ife-cycle cost analysis of any Energy E</w:t>
      </w:r>
      <w:r w:rsidRPr="001061B9">
        <w:rPr>
          <w:rFonts w:ascii="Arial" w:hAnsi="Arial" w:cs="Arial"/>
          <w:sz w:val="20"/>
          <w:szCs w:val="20"/>
        </w:rPr>
        <w:t xml:space="preserve">fficiency </w:t>
      </w:r>
      <w:r w:rsidR="005E7664" w:rsidRPr="001061B9">
        <w:rPr>
          <w:rFonts w:ascii="Arial" w:hAnsi="Arial" w:cs="Arial"/>
          <w:sz w:val="20"/>
          <w:szCs w:val="20"/>
        </w:rPr>
        <w:t>Program P</w:t>
      </w:r>
      <w:r w:rsidRPr="001061B9">
        <w:rPr>
          <w:rFonts w:ascii="Arial" w:hAnsi="Arial" w:cs="Arial"/>
          <w:sz w:val="20"/>
          <w:szCs w:val="20"/>
        </w:rPr>
        <w:t>ortfolio.  Th</w:t>
      </w:r>
      <w:r w:rsidR="006F65CD" w:rsidRPr="001061B9">
        <w:rPr>
          <w:rFonts w:ascii="Arial" w:hAnsi="Arial" w:cs="Arial"/>
          <w:sz w:val="20"/>
          <w:szCs w:val="20"/>
        </w:rPr>
        <w:t>e net benefits associated with the</w:t>
      </w:r>
      <w:r w:rsidRPr="001061B9">
        <w:rPr>
          <w:rFonts w:ascii="Arial" w:hAnsi="Arial" w:cs="Arial"/>
          <w:sz w:val="20"/>
          <w:szCs w:val="20"/>
        </w:rPr>
        <w:t xml:space="preserve">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4BF2D987" w14:textId="77777777" w:rsidR="003E1CBA" w:rsidRPr="001061B9" w:rsidRDefault="003E1CBA" w:rsidP="001061B9">
      <w:pPr>
        <w:pStyle w:val="Heading2"/>
      </w:pPr>
      <w:bookmarkStart w:id="50" w:name="_Toc173742996"/>
      <w:bookmarkStart w:id="51" w:name="_Toc438526163"/>
      <w:r w:rsidRPr="001061B9">
        <w:t>3.1 Base Case Load Shapes</w:t>
      </w:r>
      <w:bookmarkEnd w:id="50"/>
      <w:bookmarkEnd w:id="51"/>
    </w:p>
    <w:p w14:paraId="4BF2D988" w14:textId="77777777" w:rsidR="003E1CBA" w:rsidRPr="001061B9" w:rsidRDefault="00372BBC">
      <w:pPr>
        <w:rPr>
          <w:rFonts w:ascii="Arial" w:hAnsi="Arial" w:cs="Arial"/>
          <w:sz w:val="20"/>
          <w:szCs w:val="20"/>
        </w:rPr>
      </w:pPr>
      <w:bookmarkStart w:id="52" w:name="_Toc173742997"/>
      <w:r w:rsidRPr="001061B9">
        <w:rPr>
          <w:rFonts w:ascii="Arial" w:hAnsi="Arial" w:cs="Arial"/>
          <w:sz w:val="20"/>
          <w:szCs w:val="20"/>
        </w:rPr>
        <w:t>The Base Case Load S</w:t>
      </w:r>
      <w:r w:rsidR="003E1CBA" w:rsidRPr="001061B9">
        <w:rPr>
          <w:rFonts w:ascii="Arial" w:hAnsi="Arial" w:cs="Arial"/>
          <w:sz w:val="20"/>
          <w:szCs w:val="20"/>
        </w:rPr>
        <w:t xml:space="preserve">hape would be expected to follow a </w:t>
      </w:r>
      <w:r w:rsidRPr="001061B9">
        <w:rPr>
          <w:rFonts w:ascii="Arial" w:hAnsi="Arial" w:cs="Arial"/>
          <w:sz w:val="20"/>
          <w:szCs w:val="20"/>
        </w:rPr>
        <w:t>typical Non-R</w:t>
      </w:r>
      <w:r w:rsidR="003E1CBA" w:rsidRPr="001061B9">
        <w:rPr>
          <w:rFonts w:ascii="Arial" w:hAnsi="Arial" w:cs="Arial"/>
          <w:sz w:val="20"/>
          <w:szCs w:val="20"/>
        </w:rPr>
        <w:t>e</w:t>
      </w:r>
      <w:r w:rsidRPr="001061B9">
        <w:rPr>
          <w:rFonts w:ascii="Arial" w:hAnsi="Arial" w:cs="Arial"/>
          <w:sz w:val="20"/>
          <w:szCs w:val="20"/>
        </w:rPr>
        <w:t>sidential L</w:t>
      </w:r>
      <w:r w:rsidR="003E1CBA" w:rsidRPr="001061B9">
        <w:rPr>
          <w:rFonts w:ascii="Arial" w:hAnsi="Arial" w:cs="Arial"/>
          <w:sz w:val="20"/>
          <w:szCs w:val="20"/>
        </w:rPr>
        <w:t xml:space="preserve">ighting </w:t>
      </w:r>
      <w:r w:rsidR="00707EBA" w:rsidRPr="001061B9">
        <w:rPr>
          <w:rFonts w:ascii="Arial" w:hAnsi="Arial" w:cs="Arial"/>
          <w:sz w:val="20"/>
          <w:szCs w:val="20"/>
        </w:rPr>
        <w:t xml:space="preserve">indoor lighting </w:t>
      </w:r>
      <w:r w:rsidR="003E1CBA" w:rsidRPr="001061B9">
        <w:rPr>
          <w:rFonts w:ascii="Arial" w:hAnsi="Arial" w:cs="Arial"/>
          <w:sz w:val="20"/>
          <w:szCs w:val="20"/>
        </w:rPr>
        <w:t>end use load shape.</w:t>
      </w:r>
    </w:p>
    <w:p w14:paraId="4BF2D989" w14:textId="77777777" w:rsidR="003E1CBA" w:rsidRPr="001061B9" w:rsidRDefault="003E1CBA" w:rsidP="001061B9">
      <w:pPr>
        <w:pStyle w:val="Heading2"/>
      </w:pPr>
      <w:bookmarkStart w:id="53" w:name="_Toc438526164"/>
      <w:r w:rsidRPr="001061B9">
        <w:t>3.2 Measure Load Shapes</w:t>
      </w:r>
      <w:bookmarkEnd w:id="52"/>
      <w:bookmarkEnd w:id="53"/>
    </w:p>
    <w:p w14:paraId="4BF2D98A" w14:textId="77777777" w:rsidR="003E1CBA" w:rsidRPr="001061B9" w:rsidRDefault="003E1CBA">
      <w:pPr>
        <w:rPr>
          <w:rFonts w:ascii="Arial" w:hAnsi="Arial" w:cs="Arial"/>
          <w:sz w:val="20"/>
          <w:szCs w:val="20"/>
        </w:rPr>
      </w:pPr>
      <w:r w:rsidRPr="001061B9">
        <w:rPr>
          <w:rFonts w:ascii="Arial" w:hAnsi="Arial" w:cs="Arial"/>
          <w:sz w:val="20"/>
          <w:szCs w:val="20"/>
        </w:rPr>
        <w:t xml:space="preserve">For purposes of the net benefits estimates in the </w:t>
      </w:r>
      <w:r w:rsidR="00424B9D" w:rsidRPr="001061B9">
        <w:rPr>
          <w:rFonts w:ascii="Arial" w:hAnsi="Arial" w:cs="Arial"/>
          <w:sz w:val="20"/>
          <w:szCs w:val="20"/>
        </w:rPr>
        <w:t xml:space="preserve">Energy Environmental Economics, Inc., </w:t>
      </w:r>
      <w:r w:rsidRPr="001061B9">
        <w:rPr>
          <w:rFonts w:ascii="Arial" w:hAnsi="Arial" w:cs="Arial"/>
          <w:sz w:val="20"/>
          <w:szCs w:val="20"/>
        </w:rPr>
        <w:t>E3 calculator, what is required is the load shape</w:t>
      </w:r>
      <w:r w:rsidRPr="001061B9">
        <w:rPr>
          <w:rFonts w:ascii="Arial" w:hAnsi="Arial" w:cs="Arial"/>
          <w:sz w:val="20"/>
          <w:szCs w:val="20"/>
        </w:rPr>
        <w:fldChar w:fldCharType="begin"/>
      </w:r>
      <w:r w:rsidRPr="001061B9">
        <w:rPr>
          <w:rFonts w:ascii="Arial" w:hAnsi="Arial" w:cs="Arial"/>
          <w:sz w:val="20"/>
          <w:szCs w:val="20"/>
        </w:rPr>
        <w:instrText xml:space="preserve"> XE "load shape" </w:instrText>
      </w:r>
      <w:r w:rsidRPr="001061B9">
        <w:rPr>
          <w:rFonts w:ascii="Arial" w:hAnsi="Arial" w:cs="Arial"/>
          <w:sz w:val="20"/>
          <w:szCs w:val="20"/>
        </w:rPr>
        <w:fldChar w:fldCharType="end"/>
      </w:r>
      <w:r w:rsidRPr="001061B9">
        <w:rPr>
          <w:rFonts w:ascii="Arial" w:hAnsi="Arial" w:cs="Arial"/>
          <w:sz w:val="20"/>
          <w:szCs w:val="20"/>
        </w:rPr>
        <w:t xml:space="preserve"> that ideally represents the </w:t>
      </w:r>
      <w:r w:rsidRPr="001061B9">
        <w:rPr>
          <w:rFonts w:ascii="Arial" w:hAnsi="Arial" w:cs="Arial"/>
          <w:i/>
          <w:sz w:val="20"/>
          <w:szCs w:val="20"/>
        </w:rPr>
        <w:t>difference</w:t>
      </w:r>
      <w:r w:rsidRPr="001061B9">
        <w:rPr>
          <w:rFonts w:ascii="Arial" w:hAnsi="Arial" w:cs="Arial"/>
          <w:sz w:val="20"/>
          <w:szCs w:val="20"/>
        </w:rPr>
        <w:t xml:space="preserve"> between the base equipment and the installed energy efficiency measure.  This </w:t>
      </w:r>
      <w:r w:rsidRPr="001061B9">
        <w:rPr>
          <w:rFonts w:ascii="Arial" w:hAnsi="Arial" w:cs="Arial"/>
          <w:i/>
          <w:sz w:val="20"/>
          <w:szCs w:val="20"/>
        </w:rPr>
        <w:t>difference</w:t>
      </w:r>
      <w:r w:rsidRPr="001061B9">
        <w:rPr>
          <w:rFonts w:ascii="Arial" w:hAnsi="Arial" w:cs="Arial"/>
          <w:sz w:val="20"/>
          <w:szCs w:val="20"/>
        </w:rPr>
        <w:t xml:space="preserve"> load profile is what is called the Measure Load Shape and would be the preferred load shape for use in the net benefits calculations.  </w:t>
      </w:r>
    </w:p>
    <w:p w14:paraId="4BF2D98B" w14:textId="77777777" w:rsidR="003E1CBA" w:rsidRPr="001061B9" w:rsidRDefault="003E1CBA">
      <w:pPr>
        <w:rPr>
          <w:rFonts w:ascii="Arial" w:hAnsi="Arial" w:cs="Arial"/>
          <w:sz w:val="20"/>
          <w:szCs w:val="20"/>
        </w:rPr>
      </w:pPr>
    </w:p>
    <w:p w14:paraId="4BF2D98C" w14:textId="77777777" w:rsidR="0069051E" w:rsidRPr="001061B9" w:rsidRDefault="003E1CBA" w:rsidP="00424B9D">
      <w:pPr>
        <w:rPr>
          <w:rFonts w:ascii="Arial" w:hAnsi="Arial" w:cs="Arial"/>
          <w:sz w:val="20"/>
          <w:szCs w:val="20"/>
        </w:rPr>
      </w:pPr>
      <w:r w:rsidRPr="001061B9">
        <w:rPr>
          <w:rFonts w:ascii="Arial" w:hAnsi="Arial" w:cs="Arial"/>
          <w:sz w:val="20"/>
          <w:szCs w:val="20"/>
        </w:rPr>
        <w:t xml:space="preserve">The </w:t>
      </w:r>
      <w:r w:rsidR="00AA5F34" w:rsidRPr="001061B9">
        <w:rPr>
          <w:rFonts w:ascii="Arial" w:hAnsi="Arial" w:cs="Arial"/>
          <w:sz w:val="20"/>
          <w:szCs w:val="20"/>
        </w:rPr>
        <w:t>Measure Load S</w:t>
      </w:r>
      <w:r w:rsidRPr="001061B9">
        <w:rPr>
          <w:rFonts w:ascii="Arial" w:hAnsi="Arial" w:cs="Arial"/>
          <w:sz w:val="20"/>
          <w:szCs w:val="20"/>
        </w:rPr>
        <w:t>hape for this measure is determined by E3 c</w:t>
      </w:r>
      <w:r w:rsidR="00AA5F34" w:rsidRPr="001061B9">
        <w:rPr>
          <w:rFonts w:ascii="Arial" w:hAnsi="Arial" w:cs="Arial"/>
          <w:sz w:val="20"/>
          <w:szCs w:val="20"/>
        </w:rPr>
        <w:t xml:space="preserve">alculator, </w:t>
      </w:r>
      <w:r w:rsidRPr="001061B9">
        <w:rPr>
          <w:rFonts w:ascii="Arial" w:hAnsi="Arial" w:cs="Arial"/>
          <w:sz w:val="20"/>
          <w:szCs w:val="20"/>
        </w:rPr>
        <w:t xml:space="preserve">based on the applicable non-residential market sector and the lighting end-use. </w:t>
      </w:r>
    </w:p>
    <w:p w14:paraId="4BF2D98D" w14:textId="77777777" w:rsidR="006A54A8" w:rsidRPr="001061B9" w:rsidRDefault="006A54A8" w:rsidP="00424B9D">
      <w:pPr>
        <w:rPr>
          <w:rFonts w:ascii="Arial" w:hAnsi="Arial" w:cs="Arial"/>
          <w:sz w:val="20"/>
          <w:szCs w:val="20"/>
        </w:rPr>
      </w:pPr>
    </w:p>
    <w:p w14:paraId="7A77F979" w14:textId="04228D78" w:rsidR="001061B9" w:rsidRPr="001061B9" w:rsidRDefault="001061B9" w:rsidP="001061B9">
      <w:pPr>
        <w:pStyle w:val="Caption"/>
        <w:keepNext/>
        <w:jc w:val="center"/>
        <w:rPr>
          <w:rFonts w:ascii="Arial" w:hAnsi="Arial" w:cs="Arial"/>
        </w:rPr>
      </w:pPr>
      <w:bookmarkStart w:id="54" w:name="_Toc438526188"/>
      <w:r w:rsidRPr="001061B9">
        <w:rPr>
          <w:rFonts w:ascii="Arial" w:hAnsi="Arial" w:cs="Arial"/>
        </w:rPr>
        <w:t xml:space="preserve">Table </w:t>
      </w:r>
      <w:r w:rsidRPr="001061B9">
        <w:rPr>
          <w:rFonts w:ascii="Arial" w:hAnsi="Arial" w:cs="Arial"/>
        </w:rPr>
        <w:fldChar w:fldCharType="begin"/>
      </w:r>
      <w:r w:rsidRPr="001061B9">
        <w:rPr>
          <w:rFonts w:ascii="Arial" w:hAnsi="Arial" w:cs="Arial"/>
        </w:rPr>
        <w:instrText xml:space="preserve"> SEQ Table \* ARABIC </w:instrText>
      </w:r>
      <w:r w:rsidRPr="001061B9">
        <w:rPr>
          <w:rFonts w:ascii="Arial" w:hAnsi="Arial" w:cs="Arial"/>
        </w:rPr>
        <w:fldChar w:fldCharType="separate"/>
      </w:r>
      <w:r w:rsidR="00D40AB7">
        <w:rPr>
          <w:rFonts w:ascii="Arial" w:hAnsi="Arial" w:cs="Arial"/>
          <w:noProof/>
        </w:rPr>
        <w:t>8</w:t>
      </w:r>
      <w:r w:rsidRPr="001061B9">
        <w:rPr>
          <w:rFonts w:ascii="Arial" w:hAnsi="Arial" w:cs="Arial"/>
        </w:rPr>
        <w:fldChar w:fldCharType="end"/>
      </w:r>
      <w:r w:rsidRPr="001061B9">
        <w:rPr>
          <w:rFonts w:ascii="Arial" w:hAnsi="Arial" w:cs="Arial"/>
        </w:rPr>
        <w:t xml:space="preserve"> Building Types and Load Shapes</w:t>
      </w:r>
      <w:bookmarkEnd w:id="54"/>
    </w:p>
    <w:tbl>
      <w:tblPr>
        <w:tblStyle w:val="TableGrid1"/>
        <w:tblW w:w="5000" w:type="pct"/>
        <w:tblLook w:val="01E0" w:firstRow="1" w:lastRow="1" w:firstColumn="1" w:lastColumn="1" w:noHBand="0" w:noVBand="0"/>
      </w:tblPr>
      <w:tblGrid>
        <w:gridCol w:w="3229"/>
        <w:gridCol w:w="3407"/>
        <w:gridCol w:w="2940"/>
      </w:tblGrid>
      <w:tr w:rsidR="001061B9" w:rsidRPr="00FC2AE8" w14:paraId="680F2A87" w14:textId="77777777" w:rsidTr="00B676F3">
        <w:tc>
          <w:tcPr>
            <w:tcW w:w="1686" w:type="pct"/>
            <w:shd w:val="clear" w:color="auto" w:fill="D9D9D9" w:themeFill="background1" w:themeFillShade="D9"/>
            <w:vAlign w:val="center"/>
          </w:tcPr>
          <w:p w14:paraId="41972FB1" w14:textId="77777777" w:rsidR="001061B9" w:rsidRPr="00FC2AE8" w:rsidRDefault="001061B9" w:rsidP="00B676F3">
            <w:pPr>
              <w:jc w:val="center"/>
              <w:rPr>
                <w:rFonts w:ascii="Arial" w:hAnsi="Arial" w:cs="Arial"/>
                <w:b/>
                <w:sz w:val="20"/>
                <w:szCs w:val="20"/>
                <w:highlight w:val="yellow"/>
              </w:rPr>
            </w:pPr>
            <w:r w:rsidRPr="00FC2AE8">
              <w:rPr>
                <w:rFonts w:ascii="Arial" w:hAnsi="Arial" w:cs="Arial"/>
                <w:b/>
                <w:sz w:val="20"/>
                <w:szCs w:val="20"/>
              </w:rPr>
              <w:t>Building Type</w:t>
            </w:r>
          </w:p>
        </w:tc>
        <w:tc>
          <w:tcPr>
            <w:tcW w:w="1779" w:type="pct"/>
            <w:shd w:val="clear" w:color="auto" w:fill="D9D9D9" w:themeFill="background1" w:themeFillShade="D9"/>
            <w:vAlign w:val="center"/>
          </w:tcPr>
          <w:p w14:paraId="600D5E76" w14:textId="77777777" w:rsidR="001061B9" w:rsidRPr="00FC2AE8" w:rsidRDefault="001061B9" w:rsidP="00B676F3">
            <w:pPr>
              <w:jc w:val="center"/>
              <w:rPr>
                <w:rFonts w:ascii="Arial" w:hAnsi="Arial" w:cs="Arial"/>
                <w:b/>
                <w:sz w:val="20"/>
                <w:szCs w:val="20"/>
              </w:rPr>
            </w:pPr>
            <w:r w:rsidRPr="00FC2AE8">
              <w:rPr>
                <w:rFonts w:ascii="Arial" w:hAnsi="Arial" w:cs="Arial"/>
                <w:b/>
                <w:sz w:val="20"/>
                <w:szCs w:val="20"/>
              </w:rPr>
              <w:t>Load Shape</w:t>
            </w:r>
          </w:p>
        </w:tc>
        <w:tc>
          <w:tcPr>
            <w:tcW w:w="1535" w:type="pct"/>
            <w:shd w:val="clear" w:color="auto" w:fill="D9D9D9" w:themeFill="background1" w:themeFillShade="D9"/>
            <w:vAlign w:val="center"/>
          </w:tcPr>
          <w:p w14:paraId="7BEDACE8" w14:textId="77777777" w:rsidR="001061B9" w:rsidRPr="00FC2AE8" w:rsidRDefault="001061B9" w:rsidP="00B676F3">
            <w:pPr>
              <w:jc w:val="center"/>
              <w:rPr>
                <w:rFonts w:ascii="Arial" w:hAnsi="Arial" w:cs="Arial"/>
                <w:b/>
                <w:sz w:val="20"/>
                <w:szCs w:val="20"/>
                <w:highlight w:val="yellow"/>
              </w:rPr>
            </w:pPr>
            <w:r w:rsidRPr="00FC2AE8">
              <w:rPr>
                <w:rFonts w:ascii="Arial" w:hAnsi="Arial" w:cs="Arial"/>
                <w:b/>
                <w:sz w:val="20"/>
                <w:szCs w:val="20"/>
              </w:rPr>
              <w:t>E3 Alternate Building Type</w:t>
            </w:r>
          </w:p>
        </w:tc>
      </w:tr>
      <w:tr w:rsidR="001061B9" w:rsidRPr="00FC2AE8" w14:paraId="15BBF93A" w14:textId="77777777" w:rsidTr="00D24BAE">
        <w:trPr>
          <w:trHeight w:val="485"/>
        </w:trPr>
        <w:tc>
          <w:tcPr>
            <w:tcW w:w="1686" w:type="pct"/>
            <w:vAlign w:val="center"/>
          </w:tcPr>
          <w:p w14:paraId="28DF6CC3" w14:textId="77777777" w:rsidR="001061B9" w:rsidRPr="00FC2AE8" w:rsidRDefault="001061B9" w:rsidP="00B676F3">
            <w:pPr>
              <w:jc w:val="center"/>
              <w:rPr>
                <w:rFonts w:ascii="Arial" w:hAnsi="Arial" w:cs="Arial"/>
                <w:sz w:val="20"/>
                <w:szCs w:val="20"/>
              </w:rPr>
            </w:pPr>
            <w:r>
              <w:rPr>
                <w:rFonts w:ascii="Arial" w:hAnsi="Arial" w:cs="Arial"/>
                <w:sz w:val="20"/>
                <w:szCs w:val="20"/>
              </w:rPr>
              <w:t>All Commercial Building Types</w:t>
            </w:r>
          </w:p>
        </w:tc>
        <w:tc>
          <w:tcPr>
            <w:tcW w:w="1779" w:type="pct"/>
            <w:vAlign w:val="center"/>
          </w:tcPr>
          <w:p w14:paraId="1E5C4803" w14:textId="6B99BA46" w:rsidR="001061B9" w:rsidRPr="00FC2AE8" w:rsidRDefault="00D24BAE" w:rsidP="00B676F3">
            <w:pPr>
              <w:jc w:val="center"/>
              <w:rPr>
                <w:rFonts w:ascii="Arial" w:hAnsi="Arial" w:cs="Arial"/>
                <w:sz w:val="20"/>
                <w:szCs w:val="20"/>
              </w:rPr>
            </w:pPr>
            <w:proofErr w:type="spellStart"/>
            <w:r>
              <w:rPr>
                <w:rFonts w:ascii="Arial" w:hAnsi="Arial" w:cs="Arial"/>
                <w:sz w:val="20"/>
                <w:szCs w:val="20"/>
              </w:rPr>
              <w:t>PGE:DEER:Com:Indoor_Non-CFL_</w:t>
            </w:r>
            <w:r w:rsidR="001061B9" w:rsidRPr="001061B9">
              <w:rPr>
                <w:rFonts w:ascii="Arial" w:hAnsi="Arial" w:cs="Arial"/>
                <w:sz w:val="20"/>
                <w:szCs w:val="20"/>
              </w:rPr>
              <w:t>Ltg</w:t>
            </w:r>
            <w:proofErr w:type="spellEnd"/>
          </w:p>
        </w:tc>
        <w:tc>
          <w:tcPr>
            <w:tcW w:w="1535" w:type="pct"/>
            <w:vAlign w:val="center"/>
          </w:tcPr>
          <w:p w14:paraId="55436664" w14:textId="77777777" w:rsidR="001061B9" w:rsidRPr="00FC2AE8" w:rsidRDefault="001061B9" w:rsidP="00B676F3">
            <w:pPr>
              <w:jc w:val="center"/>
              <w:rPr>
                <w:rFonts w:ascii="Arial" w:hAnsi="Arial" w:cs="Arial"/>
                <w:sz w:val="20"/>
                <w:szCs w:val="20"/>
              </w:rPr>
            </w:pPr>
            <w:r>
              <w:rPr>
                <w:rFonts w:ascii="Arial" w:hAnsi="Arial" w:cs="Arial"/>
                <w:sz w:val="20"/>
                <w:szCs w:val="20"/>
              </w:rPr>
              <w:t>NON_RES</w:t>
            </w:r>
          </w:p>
        </w:tc>
      </w:tr>
    </w:tbl>
    <w:p w14:paraId="4BF2D98E" w14:textId="77777777" w:rsidR="006A54A8" w:rsidRPr="001061B9" w:rsidRDefault="006A54A8" w:rsidP="00424B9D">
      <w:pPr>
        <w:rPr>
          <w:sz w:val="20"/>
          <w:szCs w:val="20"/>
        </w:rPr>
      </w:pPr>
    </w:p>
    <w:p w14:paraId="4BF2D98F" w14:textId="77777777" w:rsidR="006A54A8" w:rsidRPr="001061B9" w:rsidRDefault="006A54A8" w:rsidP="00424B9D">
      <w:pPr>
        <w:rPr>
          <w:sz w:val="20"/>
          <w:szCs w:val="20"/>
        </w:rPr>
      </w:pPr>
    </w:p>
    <w:p w14:paraId="4BF2D990" w14:textId="77777777" w:rsidR="006A54A8" w:rsidRPr="001061B9" w:rsidRDefault="006A54A8" w:rsidP="00424B9D">
      <w:pPr>
        <w:rPr>
          <w:sz w:val="20"/>
          <w:szCs w:val="20"/>
        </w:rPr>
      </w:pPr>
    </w:p>
    <w:p w14:paraId="4BF2D991" w14:textId="77777777" w:rsidR="006A54A8" w:rsidRDefault="006A54A8" w:rsidP="00424B9D"/>
    <w:p w14:paraId="4BF2D992" w14:textId="77777777" w:rsidR="006A54A8" w:rsidRDefault="006A54A8" w:rsidP="00424B9D"/>
    <w:p w14:paraId="4BF2D993" w14:textId="77777777" w:rsidR="006A54A8" w:rsidRDefault="006A54A8" w:rsidP="00424B9D"/>
    <w:p w14:paraId="4BF2D994" w14:textId="77777777" w:rsidR="006A54A8" w:rsidRDefault="006A54A8" w:rsidP="00424B9D"/>
    <w:p w14:paraId="4BF2D995" w14:textId="77777777" w:rsidR="005C568E" w:rsidRDefault="005C568E">
      <w:pPr>
        <w:pStyle w:val="Heading1"/>
        <w:keepNext w:val="0"/>
        <w:sectPr w:rsidR="005C568E" w:rsidSect="0018684B">
          <w:footnotePr>
            <w:numFmt w:val="lowerLetter"/>
          </w:footnotePr>
          <w:endnotePr>
            <w:numFmt w:val="decimal"/>
          </w:endnotePr>
          <w:pgSz w:w="12240" w:h="15840" w:code="1"/>
          <w:pgMar w:top="1440" w:right="1440" w:bottom="1440" w:left="1440" w:header="720" w:footer="720" w:gutter="0"/>
          <w:pgNumType w:chapStyle="1"/>
          <w:cols w:space="720"/>
          <w:docGrid w:linePitch="360"/>
        </w:sectPr>
      </w:pPr>
    </w:p>
    <w:p w14:paraId="4BF2D996" w14:textId="77777777" w:rsidR="003E1CBA" w:rsidRPr="008A3BFC" w:rsidRDefault="003E1CBA">
      <w:pPr>
        <w:pStyle w:val="Heading1"/>
        <w:keepNext w:val="0"/>
      </w:pPr>
      <w:bookmarkStart w:id="55" w:name="_Toc438526165"/>
      <w:proofErr w:type="gramStart"/>
      <w:r w:rsidRPr="008A3BFC">
        <w:lastRenderedPageBreak/>
        <w:t>Section 4.</w:t>
      </w:r>
      <w:proofErr w:type="gramEnd"/>
      <w:r w:rsidRPr="008A3BFC">
        <w:t xml:space="preserve"> Base Case &amp; Measure Costs</w:t>
      </w:r>
      <w:bookmarkEnd w:id="55"/>
    </w:p>
    <w:p w14:paraId="185C3FFF" w14:textId="7B8EC962" w:rsidR="00D227BC" w:rsidRPr="00D227BC" w:rsidRDefault="00D227BC" w:rsidP="00D227BC">
      <w:pPr>
        <w:rPr>
          <w:rFonts w:ascii="Arial" w:hAnsi="Arial" w:cs="Arial"/>
          <w:sz w:val="20"/>
        </w:rPr>
      </w:pPr>
      <w:bookmarkStart w:id="56" w:name="_Toc438526166"/>
      <w:r>
        <w:rPr>
          <w:rFonts w:ascii="Arial" w:hAnsi="Arial" w:cs="Arial"/>
          <w:sz w:val="20"/>
        </w:rPr>
        <w:t xml:space="preserve">A joint effort was made between SCE and PG&amp;E to update base case and measure costs for these affected measures.  Please refer to the </w:t>
      </w:r>
      <w:proofErr w:type="spellStart"/>
      <w:r>
        <w:rPr>
          <w:rFonts w:ascii="Arial" w:hAnsi="Arial" w:cs="Arial"/>
          <w:sz w:val="20"/>
        </w:rPr>
        <w:t>HiBay</w:t>
      </w:r>
      <w:proofErr w:type="spellEnd"/>
      <w:r>
        <w:rPr>
          <w:rFonts w:ascii="Arial" w:hAnsi="Arial" w:cs="Arial"/>
          <w:sz w:val="20"/>
        </w:rPr>
        <w:t xml:space="preserve"> cost workbook for detailed information</w:t>
      </w:r>
      <w:r>
        <w:rPr>
          <w:rStyle w:val="EndnoteReference"/>
          <w:rFonts w:ascii="Arial" w:hAnsi="Arial" w:cs="Arial"/>
          <w:sz w:val="20"/>
          <w:szCs w:val="22"/>
        </w:rPr>
        <w:endnoteReference w:id="6"/>
      </w:r>
      <w:r>
        <w:rPr>
          <w:rFonts w:ascii="Arial" w:hAnsi="Arial" w:cs="Arial"/>
          <w:sz w:val="20"/>
        </w:rPr>
        <w:t>.</w:t>
      </w:r>
    </w:p>
    <w:p w14:paraId="4BF2D998" w14:textId="01626B05" w:rsidR="001D6763" w:rsidRPr="008A3BFC" w:rsidRDefault="002C0E32" w:rsidP="00FF7DDB">
      <w:pPr>
        <w:pStyle w:val="Heading2"/>
        <w:keepNext w:val="0"/>
      </w:pPr>
      <w:r w:rsidRPr="008A3BFC">
        <w:t xml:space="preserve">4.1 </w:t>
      </w:r>
      <w:r w:rsidR="003E1CBA" w:rsidRPr="008A3BFC">
        <w:t>Base Case(s) Costs</w:t>
      </w:r>
      <w:bookmarkEnd w:id="56"/>
    </w:p>
    <w:p w14:paraId="3CFA93DF" w14:textId="650C28D7" w:rsidR="00C76D27" w:rsidRDefault="00870618" w:rsidP="00C76D27">
      <w:pPr>
        <w:rPr>
          <w:rFonts w:ascii="Arial" w:hAnsi="Arial" w:cs="Arial"/>
          <w:sz w:val="20"/>
        </w:rPr>
      </w:pPr>
      <w:r w:rsidRPr="008A3BFC">
        <w:rPr>
          <w:rFonts w:ascii="Arial" w:hAnsi="Arial" w:cs="Arial"/>
          <w:sz w:val="20"/>
        </w:rPr>
        <w:t>The base case assumes a standard</w:t>
      </w:r>
      <w:r w:rsidR="00C76D27">
        <w:rPr>
          <w:rFonts w:ascii="Arial" w:hAnsi="Arial" w:cs="Arial"/>
          <w:sz w:val="20"/>
        </w:rPr>
        <w:t xml:space="preserve"> or pulse start metal halide </w:t>
      </w:r>
      <w:r w:rsidRPr="008A3BFC">
        <w:rPr>
          <w:rFonts w:ascii="Arial" w:hAnsi="Arial" w:cs="Arial"/>
          <w:sz w:val="20"/>
        </w:rPr>
        <w:t xml:space="preserve">fixture with different wattages depending on the measure code. </w:t>
      </w:r>
      <w:r w:rsidR="00A75A29" w:rsidRPr="008A3BFC">
        <w:rPr>
          <w:rFonts w:ascii="Arial" w:hAnsi="Arial" w:cs="Arial"/>
          <w:sz w:val="20"/>
        </w:rPr>
        <w:t xml:space="preserve">The base case cost </w:t>
      </w:r>
      <w:r w:rsidR="0019203D" w:rsidRPr="008A3BFC">
        <w:rPr>
          <w:rFonts w:ascii="Arial" w:hAnsi="Arial" w:cs="Arial"/>
          <w:sz w:val="20"/>
        </w:rPr>
        <w:t xml:space="preserve">represents the cost the customer would incur by purchasing replacement </w:t>
      </w:r>
      <w:r w:rsidR="003C6D3E">
        <w:rPr>
          <w:rFonts w:ascii="Arial" w:hAnsi="Arial" w:cs="Arial"/>
          <w:sz w:val="20"/>
        </w:rPr>
        <w:t xml:space="preserve">HID </w:t>
      </w:r>
      <w:r w:rsidR="0019203D" w:rsidRPr="008A3BFC">
        <w:rPr>
          <w:rFonts w:ascii="Arial" w:hAnsi="Arial" w:cs="Arial"/>
          <w:sz w:val="20"/>
        </w:rPr>
        <w:t xml:space="preserve">fixtures. The </w:t>
      </w:r>
      <w:r w:rsidR="00831F48" w:rsidRPr="008A3BFC">
        <w:rPr>
          <w:rFonts w:ascii="Arial" w:hAnsi="Arial" w:cs="Arial"/>
          <w:sz w:val="20"/>
        </w:rPr>
        <w:t>material</w:t>
      </w:r>
      <w:r w:rsidR="003C6D3E">
        <w:rPr>
          <w:rFonts w:ascii="Arial" w:hAnsi="Arial" w:cs="Arial"/>
          <w:sz w:val="20"/>
        </w:rPr>
        <w:t xml:space="preserve"> and labor</w:t>
      </w:r>
      <w:r w:rsidR="00831F48" w:rsidRPr="008A3BFC">
        <w:rPr>
          <w:rFonts w:ascii="Arial" w:hAnsi="Arial" w:cs="Arial"/>
          <w:sz w:val="20"/>
        </w:rPr>
        <w:t xml:space="preserve"> </w:t>
      </w:r>
      <w:r w:rsidR="0019203D" w:rsidRPr="008A3BFC">
        <w:rPr>
          <w:rFonts w:ascii="Arial" w:hAnsi="Arial" w:cs="Arial"/>
          <w:sz w:val="20"/>
        </w:rPr>
        <w:t xml:space="preserve">costs for the base case </w:t>
      </w:r>
      <w:r w:rsidR="003C6D3E">
        <w:rPr>
          <w:rFonts w:ascii="Arial" w:hAnsi="Arial" w:cs="Arial"/>
          <w:sz w:val="20"/>
        </w:rPr>
        <w:t>fixtures</w:t>
      </w:r>
      <w:r w:rsidR="0019203D" w:rsidRPr="008A3BFC">
        <w:rPr>
          <w:rFonts w:ascii="Arial" w:hAnsi="Arial" w:cs="Arial"/>
          <w:sz w:val="20"/>
        </w:rPr>
        <w:t xml:space="preserve"> were </w:t>
      </w:r>
      <w:r w:rsidR="00C76D27">
        <w:rPr>
          <w:rFonts w:ascii="Arial" w:hAnsi="Arial" w:cs="Arial"/>
          <w:sz w:val="20"/>
        </w:rPr>
        <w:t>calculated from Work Order 17</w:t>
      </w:r>
      <w:r w:rsidR="00C76D27">
        <w:rPr>
          <w:rStyle w:val="EndnoteReference"/>
          <w:rFonts w:ascii="Arial" w:hAnsi="Arial" w:cs="Arial"/>
          <w:sz w:val="20"/>
        </w:rPr>
        <w:endnoteReference w:id="7"/>
      </w:r>
      <w:r w:rsidR="0019203D" w:rsidRPr="008A3BFC">
        <w:rPr>
          <w:rFonts w:ascii="Arial" w:hAnsi="Arial" w:cs="Arial"/>
          <w:sz w:val="20"/>
        </w:rPr>
        <w:t xml:space="preserve">. </w:t>
      </w:r>
      <w:r w:rsidR="00C76D27">
        <w:rPr>
          <w:rFonts w:ascii="Arial" w:hAnsi="Arial" w:cs="Arial"/>
          <w:sz w:val="20"/>
        </w:rPr>
        <w:t xml:space="preserve"> </w:t>
      </w:r>
      <w:r w:rsidR="00DB53A2">
        <w:rPr>
          <w:rFonts w:ascii="Arial" w:hAnsi="Arial" w:cs="Arial"/>
          <w:sz w:val="20"/>
        </w:rPr>
        <w:t>Refer to the spreadsheet for detailed cost information</w:t>
      </w:r>
      <w:r w:rsidR="00C76D27">
        <w:rPr>
          <w:rFonts w:ascii="Arial" w:hAnsi="Arial" w:cs="Arial"/>
          <w:sz w:val="20"/>
        </w:rPr>
        <w:t>.</w:t>
      </w:r>
    </w:p>
    <w:p w14:paraId="4BF2D99B" w14:textId="74079A77" w:rsidR="003E1CBA" w:rsidRPr="008A3BFC" w:rsidRDefault="003E1CBA" w:rsidP="00C76D27">
      <w:pPr>
        <w:pStyle w:val="Heading2"/>
      </w:pPr>
      <w:bookmarkStart w:id="57" w:name="_Toc438526167"/>
      <w:r w:rsidRPr="008A3BFC">
        <w:t>4.2 Measure Costs</w:t>
      </w:r>
      <w:bookmarkEnd w:id="57"/>
    </w:p>
    <w:p w14:paraId="4BF2D99C" w14:textId="11DC3BBF" w:rsidR="001A1D1B" w:rsidRPr="008A3BFC" w:rsidRDefault="003C6D3E" w:rsidP="001A1D1B">
      <w:pPr>
        <w:rPr>
          <w:rFonts w:ascii="Arial" w:hAnsi="Arial" w:cs="Arial"/>
          <w:sz w:val="20"/>
          <w:szCs w:val="20"/>
        </w:rPr>
      </w:pPr>
      <w:r>
        <w:rPr>
          <w:rFonts w:ascii="Arial" w:hAnsi="Arial" w:cs="Arial"/>
          <w:sz w:val="20"/>
        </w:rPr>
        <w:t>T</w:t>
      </w:r>
      <w:r w:rsidR="00C469AB">
        <w:rPr>
          <w:rFonts w:ascii="Arial" w:hAnsi="Arial" w:cs="Arial"/>
          <w:sz w:val="20"/>
        </w:rPr>
        <w:t>he measure case is linear fluorescent fixtures</w:t>
      </w:r>
      <w:r>
        <w:rPr>
          <w:rFonts w:ascii="Arial" w:hAnsi="Arial" w:cs="Arial"/>
          <w:sz w:val="20"/>
        </w:rPr>
        <w:t xml:space="preserve"> with different wattages depending on the measure code</w:t>
      </w:r>
      <w:r w:rsidR="00C469AB">
        <w:rPr>
          <w:rFonts w:ascii="Arial" w:hAnsi="Arial" w:cs="Arial"/>
          <w:sz w:val="20"/>
        </w:rPr>
        <w:t xml:space="preserve">.  </w:t>
      </w:r>
      <w:r w:rsidR="00D40AB7">
        <w:rPr>
          <w:rFonts w:ascii="Arial" w:hAnsi="Arial" w:cs="Arial"/>
          <w:sz w:val="20"/>
          <w:szCs w:val="20"/>
        </w:rPr>
        <w:t>The m</w:t>
      </w:r>
      <w:r w:rsidR="00A347A9" w:rsidRPr="008A3BFC">
        <w:rPr>
          <w:rFonts w:ascii="Arial" w:hAnsi="Arial" w:cs="Arial"/>
          <w:sz w:val="20"/>
          <w:szCs w:val="20"/>
        </w:rPr>
        <w:t>easur</w:t>
      </w:r>
      <w:r w:rsidR="00C76D27">
        <w:rPr>
          <w:rFonts w:ascii="Arial" w:hAnsi="Arial" w:cs="Arial"/>
          <w:sz w:val="20"/>
          <w:szCs w:val="20"/>
        </w:rPr>
        <w:t xml:space="preserve">e </w:t>
      </w:r>
      <w:r w:rsidR="00C469AB">
        <w:rPr>
          <w:rFonts w:ascii="Arial" w:hAnsi="Arial" w:cs="Arial"/>
          <w:sz w:val="20"/>
          <w:szCs w:val="20"/>
        </w:rPr>
        <w:t xml:space="preserve">equipment </w:t>
      </w:r>
      <w:r w:rsidR="00C76D27">
        <w:rPr>
          <w:rFonts w:ascii="Arial" w:hAnsi="Arial" w:cs="Arial"/>
          <w:sz w:val="20"/>
          <w:szCs w:val="20"/>
        </w:rPr>
        <w:t xml:space="preserve">costs are calculated using </w:t>
      </w:r>
      <w:r>
        <w:rPr>
          <w:rFonts w:ascii="Arial" w:hAnsi="Arial" w:cs="Arial"/>
          <w:sz w:val="20"/>
          <w:szCs w:val="20"/>
        </w:rPr>
        <w:t>Work Order 17</w:t>
      </w:r>
      <w:r w:rsidR="00A347A9" w:rsidRPr="008A3BFC">
        <w:rPr>
          <w:rFonts w:ascii="Arial" w:hAnsi="Arial" w:cs="Arial"/>
          <w:sz w:val="20"/>
          <w:szCs w:val="20"/>
        </w:rPr>
        <w:t xml:space="preserve">. </w:t>
      </w:r>
      <w:r>
        <w:rPr>
          <w:rFonts w:ascii="Arial" w:hAnsi="Arial" w:cs="Arial"/>
          <w:sz w:val="20"/>
          <w:szCs w:val="20"/>
        </w:rPr>
        <w:t xml:space="preserve"> </w:t>
      </w:r>
      <w:r w:rsidR="00C469AB">
        <w:rPr>
          <w:rFonts w:ascii="Arial" w:hAnsi="Arial" w:cs="Arial"/>
          <w:sz w:val="20"/>
          <w:szCs w:val="20"/>
        </w:rPr>
        <w:t>The labor cost is $187.14 per the Work Order 17 report for high bay applications.</w:t>
      </w:r>
    </w:p>
    <w:p w14:paraId="4BF2D9D0" w14:textId="1D198541" w:rsidR="00F51910" w:rsidRPr="00D40AB7" w:rsidRDefault="00F51910" w:rsidP="00D40AB7">
      <w:pPr>
        <w:pStyle w:val="Heading2"/>
      </w:pPr>
      <w:bookmarkStart w:id="58" w:name="_Toc438526168"/>
      <w:r w:rsidRPr="00D40AB7">
        <w:t>4.3 Incremental &amp; Full Measure Costs</w:t>
      </w:r>
      <w:bookmarkEnd w:id="58"/>
    </w:p>
    <w:p w14:paraId="4BF2D9D6" w14:textId="77777777" w:rsidR="001A1D1B" w:rsidRPr="008A3BFC" w:rsidRDefault="001A1D1B" w:rsidP="001A1D1B">
      <w:pPr>
        <w:ind w:left="2880" w:firstLine="720"/>
        <w:rPr>
          <w:rFonts w:ascii="Arial" w:hAnsi="Arial" w:cs="Arial"/>
          <w:sz w:val="20"/>
          <w:szCs w:val="20"/>
        </w:rPr>
      </w:pPr>
    </w:p>
    <w:p w14:paraId="43F491FB" w14:textId="77777777" w:rsidR="00D40AB7" w:rsidRDefault="00D40AB7" w:rsidP="00D40AB7">
      <w:pPr>
        <w:pStyle w:val="Caption"/>
        <w:keepNext/>
        <w:jc w:val="center"/>
      </w:pPr>
      <w:bookmarkStart w:id="59" w:name="_Toc435619440"/>
      <w:bookmarkStart w:id="60" w:name="_Toc438526189"/>
      <w:r>
        <w:t xml:space="preserve">Table </w:t>
      </w:r>
      <w:r w:rsidR="00D227BC">
        <w:fldChar w:fldCharType="begin"/>
      </w:r>
      <w:r w:rsidR="00D227BC">
        <w:instrText xml:space="preserve"> SEQ Table \* ARABIC </w:instrText>
      </w:r>
      <w:r w:rsidR="00D227BC">
        <w:fldChar w:fldCharType="separate"/>
      </w:r>
      <w:r w:rsidR="00C469AB">
        <w:rPr>
          <w:noProof/>
        </w:rPr>
        <w:t>9</w:t>
      </w:r>
      <w:r w:rsidR="00D227BC">
        <w:rPr>
          <w:noProof/>
        </w:rPr>
        <w:fldChar w:fldCharType="end"/>
      </w:r>
      <w:r>
        <w:t xml:space="preserve"> Full and Incremental Measure Cost Equations</w:t>
      </w:r>
      <w:bookmarkEnd w:id="59"/>
      <w:bookmarkEnd w:id="60"/>
    </w:p>
    <w:tbl>
      <w:tblPr>
        <w:tblStyle w:val="TableGrid1"/>
        <w:tblW w:w="5000" w:type="pct"/>
        <w:tblLook w:val="01E0" w:firstRow="1" w:lastRow="1" w:firstColumn="1" w:lastColumn="1" w:noHBand="0" w:noVBand="0"/>
      </w:tblPr>
      <w:tblGrid>
        <w:gridCol w:w="1286"/>
        <w:gridCol w:w="2764"/>
        <w:gridCol w:w="2674"/>
        <w:gridCol w:w="2852"/>
      </w:tblGrid>
      <w:tr w:rsidR="00884121" w:rsidRPr="00884121" w14:paraId="4652F714" w14:textId="77777777" w:rsidTr="00884121">
        <w:tc>
          <w:tcPr>
            <w:tcW w:w="672" w:type="pct"/>
            <w:vMerge w:val="restart"/>
            <w:shd w:val="clear" w:color="auto" w:fill="D9D9D9" w:themeFill="background1" w:themeFillShade="D9"/>
          </w:tcPr>
          <w:p w14:paraId="61984D19" w14:textId="77777777" w:rsidR="00884121" w:rsidRPr="00884121" w:rsidRDefault="00884121" w:rsidP="00884121">
            <w:pPr>
              <w:rPr>
                <w:rFonts w:ascii="Arial" w:hAnsi="Arial" w:cs="Arial"/>
                <w:b/>
                <w:sz w:val="20"/>
                <w:szCs w:val="20"/>
                <w:highlight w:val="yellow"/>
              </w:rPr>
            </w:pPr>
            <w:r w:rsidRPr="00884121">
              <w:rPr>
                <w:rFonts w:ascii="Arial" w:hAnsi="Arial" w:cs="Arial"/>
                <w:b/>
                <w:sz w:val="20"/>
                <w:szCs w:val="20"/>
              </w:rPr>
              <w:t>Installation Type</w:t>
            </w:r>
          </w:p>
        </w:tc>
        <w:tc>
          <w:tcPr>
            <w:tcW w:w="1443" w:type="pct"/>
            <w:vMerge w:val="restart"/>
            <w:shd w:val="clear" w:color="auto" w:fill="D9D9D9" w:themeFill="background1" w:themeFillShade="D9"/>
          </w:tcPr>
          <w:p w14:paraId="2AD29778" w14:textId="77777777" w:rsidR="00884121" w:rsidRPr="00884121" w:rsidRDefault="00884121" w:rsidP="00884121">
            <w:pPr>
              <w:rPr>
                <w:rFonts w:ascii="Arial" w:hAnsi="Arial" w:cs="Arial"/>
                <w:b/>
                <w:sz w:val="20"/>
                <w:szCs w:val="20"/>
              </w:rPr>
            </w:pPr>
            <w:r w:rsidRPr="00884121">
              <w:rPr>
                <w:rFonts w:ascii="Arial" w:hAnsi="Arial" w:cs="Arial"/>
                <w:b/>
                <w:sz w:val="20"/>
                <w:szCs w:val="20"/>
              </w:rPr>
              <w:t>Incremental Measure Cost</w:t>
            </w:r>
          </w:p>
        </w:tc>
        <w:tc>
          <w:tcPr>
            <w:tcW w:w="2885" w:type="pct"/>
            <w:gridSpan w:val="2"/>
            <w:shd w:val="clear" w:color="auto" w:fill="D9D9D9" w:themeFill="background1" w:themeFillShade="D9"/>
          </w:tcPr>
          <w:p w14:paraId="6C0992D5" w14:textId="77777777" w:rsidR="00884121" w:rsidRPr="00884121" w:rsidRDefault="00884121" w:rsidP="00884121">
            <w:pPr>
              <w:rPr>
                <w:rFonts w:ascii="Arial" w:hAnsi="Arial" w:cs="Arial"/>
                <w:b/>
                <w:sz w:val="20"/>
                <w:szCs w:val="20"/>
                <w:highlight w:val="yellow"/>
              </w:rPr>
            </w:pPr>
            <w:r w:rsidRPr="00884121">
              <w:rPr>
                <w:rFonts w:ascii="Arial" w:hAnsi="Arial" w:cs="Arial"/>
                <w:b/>
                <w:sz w:val="20"/>
                <w:szCs w:val="20"/>
              </w:rPr>
              <w:t>Full Measure Cost</w:t>
            </w:r>
          </w:p>
        </w:tc>
      </w:tr>
      <w:tr w:rsidR="00884121" w:rsidRPr="00884121" w14:paraId="2FF3A13A" w14:textId="77777777" w:rsidTr="00884121">
        <w:tc>
          <w:tcPr>
            <w:tcW w:w="672" w:type="pct"/>
            <w:vMerge/>
            <w:shd w:val="clear" w:color="auto" w:fill="D9D9D9" w:themeFill="background1" w:themeFillShade="D9"/>
          </w:tcPr>
          <w:p w14:paraId="77DDA449" w14:textId="77777777" w:rsidR="00884121" w:rsidRPr="00884121" w:rsidRDefault="00884121" w:rsidP="00884121">
            <w:pPr>
              <w:rPr>
                <w:rFonts w:ascii="Arial" w:hAnsi="Arial" w:cs="Arial"/>
                <w:b/>
                <w:sz w:val="20"/>
                <w:szCs w:val="20"/>
              </w:rPr>
            </w:pPr>
          </w:p>
        </w:tc>
        <w:tc>
          <w:tcPr>
            <w:tcW w:w="1443" w:type="pct"/>
            <w:vMerge/>
            <w:shd w:val="clear" w:color="auto" w:fill="D9D9D9" w:themeFill="background1" w:themeFillShade="D9"/>
          </w:tcPr>
          <w:p w14:paraId="0CF4858D" w14:textId="77777777" w:rsidR="00884121" w:rsidRPr="00884121" w:rsidRDefault="00884121" w:rsidP="00884121">
            <w:pPr>
              <w:rPr>
                <w:rFonts w:ascii="Arial" w:hAnsi="Arial" w:cs="Arial"/>
                <w:b/>
                <w:sz w:val="20"/>
                <w:szCs w:val="20"/>
              </w:rPr>
            </w:pPr>
          </w:p>
        </w:tc>
        <w:tc>
          <w:tcPr>
            <w:tcW w:w="1396" w:type="pct"/>
            <w:shd w:val="clear" w:color="auto" w:fill="F2F2F2" w:themeFill="background1" w:themeFillShade="F2"/>
          </w:tcPr>
          <w:p w14:paraId="1BB41D9C" w14:textId="77777777" w:rsidR="00884121" w:rsidRPr="00884121" w:rsidRDefault="00884121" w:rsidP="00884121">
            <w:pPr>
              <w:rPr>
                <w:rFonts w:ascii="Arial" w:hAnsi="Arial" w:cs="Arial"/>
                <w:b/>
                <w:sz w:val="20"/>
                <w:szCs w:val="20"/>
              </w:rPr>
            </w:pPr>
            <w:r w:rsidRPr="00884121">
              <w:rPr>
                <w:rFonts w:ascii="Arial" w:hAnsi="Arial" w:cs="Arial"/>
                <w:b/>
                <w:sz w:val="20"/>
                <w:szCs w:val="20"/>
              </w:rPr>
              <w:t>1</w:t>
            </w:r>
            <w:r w:rsidRPr="00884121">
              <w:rPr>
                <w:rFonts w:ascii="Arial" w:hAnsi="Arial" w:cs="Arial"/>
                <w:b/>
                <w:sz w:val="20"/>
                <w:szCs w:val="20"/>
                <w:vertAlign w:val="superscript"/>
              </w:rPr>
              <w:t>st</w:t>
            </w:r>
            <w:r w:rsidRPr="00884121">
              <w:rPr>
                <w:rFonts w:ascii="Arial" w:hAnsi="Arial" w:cs="Arial"/>
                <w:b/>
                <w:sz w:val="20"/>
                <w:szCs w:val="20"/>
              </w:rPr>
              <w:t xml:space="preserve"> Baseline</w:t>
            </w:r>
          </w:p>
        </w:tc>
        <w:tc>
          <w:tcPr>
            <w:tcW w:w="1489" w:type="pct"/>
            <w:shd w:val="clear" w:color="auto" w:fill="F2F2F2" w:themeFill="background1" w:themeFillShade="F2"/>
          </w:tcPr>
          <w:p w14:paraId="67E0A3AA" w14:textId="77777777" w:rsidR="00884121" w:rsidRPr="00884121" w:rsidRDefault="00884121" w:rsidP="00884121">
            <w:pPr>
              <w:rPr>
                <w:rFonts w:ascii="Arial" w:hAnsi="Arial" w:cs="Arial"/>
                <w:b/>
                <w:sz w:val="20"/>
                <w:szCs w:val="20"/>
              </w:rPr>
            </w:pPr>
            <w:r w:rsidRPr="00884121">
              <w:rPr>
                <w:rFonts w:ascii="Arial" w:hAnsi="Arial" w:cs="Arial"/>
                <w:b/>
                <w:sz w:val="20"/>
                <w:szCs w:val="20"/>
              </w:rPr>
              <w:t>2</w:t>
            </w:r>
            <w:r w:rsidRPr="00884121">
              <w:rPr>
                <w:rFonts w:ascii="Arial" w:hAnsi="Arial" w:cs="Arial"/>
                <w:b/>
                <w:sz w:val="20"/>
                <w:szCs w:val="20"/>
                <w:vertAlign w:val="superscript"/>
              </w:rPr>
              <w:t>nd</w:t>
            </w:r>
            <w:r w:rsidRPr="00884121">
              <w:rPr>
                <w:rFonts w:ascii="Arial" w:hAnsi="Arial" w:cs="Arial"/>
                <w:b/>
                <w:sz w:val="20"/>
                <w:szCs w:val="20"/>
              </w:rPr>
              <w:t xml:space="preserve"> Baseline</w:t>
            </w:r>
          </w:p>
        </w:tc>
      </w:tr>
      <w:tr w:rsidR="00884121" w:rsidRPr="00884121" w14:paraId="113C8E66" w14:textId="77777777" w:rsidTr="00884121">
        <w:tc>
          <w:tcPr>
            <w:tcW w:w="672" w:type="pct"/>
          </w:tcPr>
          <w:p w14:paraId="307CFA33" w14:textId="77777777" w:rsidR="00884121" w:rsidRPr="00884121" w:rsidRDefault="00884121" w:rsidP="00884121">
            <w:pPr>
              <w:rPr>
                <w:rFonts w:ascii="Arial" w:hAnsi="Arial" w:cs="Arial"/>
                <w:sz w:val="20"/>
                <w:szCs w:val="20"/>
              </w:rPr>
            </w:pPr>
            <w:r w:rsidRPr="00884121">
              <w:rPr>
                <w:rFonts w:ascii="Arial" w:hAnsi="Arial" w:cs="Arial"/>
                <w:sz w:val="20"/>
                <w:szCs w:val="20"/>
              </w:rPr>
              <w:t>ROB</w:t>
            </w:r>
          </w:p>
        </w:tc>
        <w:tc>
          <w:tcPr>
            <w:tcW w:w="1443" w:type="pct"/>
            <w:vMerge w:val="restart"/>
          </w:tcPr>
          <w:p w14:paraId="45973EFC" w14:textId="77777777" w:rsidR="00884121" w:rsidRPr="00884121" w:rsidRDefault="00884121" w:rsidP="00884121">
            <w:pPr>
              <w:rPr>
                <w:rFonts w:ascii="Arial" w:hAnsi="Arial" w:cs="Arial"/>
                <w:sz w:val="20"/>
                <w:szCs w:val="20"/>
              </w:rPr>
            </w:pPr>
            <w:r w:rsidRPr="00884121">
              <w:rPr>
                <w:rFonts w:ascii="Arial" w:hAnsi="Arial" w:cs="Arial"/>
                <w:sz w:val="20"/>
                <w:szCs w:val="20"/>
              </w:rPr>
              <w:t>(MEC + MLC) – (BEC + BLC)</w:t>
            </w:r>
          </w:p>
        </w:tc>
        <w:tc>
          <w:tcPr>
            <w:tcW w:w="1396" w:type="pct"/>
            <w:vMerge w:val="restart"/>
          </w:tcPr>
          <w:p w14:paraId="565815D3" w14:textId="77777777" w:rsidR="00884121" w:rsidRPr="00884121" w:rsidRDefault="00884121" w:rsidP="00884121">
            <w:pPr>
              <w:rPr>
                <w:rFonts w:ascii="Arial" w:hAnsi="Arial" w:cs="Arial"/>
                <w:sz w:val="20"/>
                <w:szCs w:val="20"/>
              </w:rPr>
            </w:pPr>
            <w:r w:rsidRPr="00884121">
              <w:rPr>
                <w:rFonts w:ascii="Arial" w:hAnsi="Arial" w:cs="Arial"/>
                <w:sz w:val="20"/>
                <w:szCs w:val="20"/>
              </w:rPr>
              <w:t>(MEC + MLC) – (BEC + BLC)</w:t>
            </w:r>
          </w:p>
        </w:tc>
        <w:tc>
          <w:tcPr>
            <w:tcW w:w="1489" w:type="pct"/>
            <w:vMerge w:val="restart"/>
          </w:tcPr>
          <w:p w14:paraId="0C4A160C" w14:textId="77777777" w:rsidR="00884121" w:rsidRPr="00884121" w:rsidRDefault="00884121" w:rsidP="00884121">
            <w:pPr>
              <w:rPr>
                <w:rFonts w:ascii="Arial" w:hAnsi="Arial" w:cs="Arial"/>
                <w:sz w:val="20"/>
                <w:szCs w:val="20"/>
              </w:rPr>
            </w:pPr>
            <w:r w:rsidRPr="00884121">
              <w:rPr>
                <w:rFonts w:ascii="Arial" w:hAnsi="Arial" w:cs="Arial"/>
                <w:sz w:val="20"/>
                <w:szCs w:val="20"/>
              </w:rPr>
              <w:t>N/A</w:t>
            </w:r>
          </w:p>
        </w:tc>
      </w:tr>
      <w:tr w:rsidR="00884121" w:rsidRPr="00884121" w14:paraId="1C815E73" w14:textId="77777777" w:rsidTr="00884121">
        <w:tc>
          <w:tcPr>
            <w:tcW w:w="672" w:type="pct"/>
          </w:tcPr>
          <w:p w14:paraId="5B2F8FD5" w14:textId="77777777" w:rsidR="00884121" w:rsidRPr="00884121" w:rsidRDefault="00884121" w:rsidP="00884121">
            <w:pPr>
              <w:rPr>
                <w:rFonts w:ascii="Arial" w:hAnsi="Arial" w:cs="Arial"/>
                <w:sz w:val="20"/>
                <w:szCs w:val="20"/>
              </w:rPr>
            </w:pPr>
            <w:r w:rsidRPr="00884121">
              <w:rPr>
                <w:rFonts w:ascii="Arial" w:hAnsi="Arial" w:cs="Arial"/>
                <w:sz w:val="20"/>
                <w:szCs w:val="20"/>
              </w:rPr>
              <w:t>NEW/NC</w:t>
            </w:r>
          </w:p>
        </w:tc>
        <w:tc>
          <w:tcPr>
            <w:tcW w:w="1443" w:type="pct"/>
            <w:vMerge/>
          </w:tcPr>
          <w:p w14:paraId="4AADC1BC" w14:textId="77777777" w:rsidR="00884121" w:rsidRPr="00884121" w:rsidRDefault="00884121" w:rsidP="00884121">
            <w:pPr>
              <w:rPr>
                <w:rFonts w:ascii="Arial" w:hAnsi="Arial" w:cs="Arial"/>
                <w:sz w:val="20"/>
                <w:szCs w:val="20"/>
              </w:rPr>
            </w:pPr>
          </w:p>
        </w:tc>
        <w:tc>
          <w:tcPr>
            <w:tcW w:w="1396" w:type="pct"/>
            <w:vMerge/>
          </w:tcPr>
          <w:p w14:paraId="06EE1D98" w14:textId="77777777" w:rsidR="00884121" w:rsidRPr="00884121" w:rsidRDefault="00884121" w:rsidP="00884121">
            <w:pPr>
              <w:rPr>
                <w:rFonts w:ascii="Arial" w:hAnsi="Arial" w:cs="Arial"/>
                <w:sz w:val="20"/>
                <w:szCs w:val="20"/>
              </w:rPr>
            </w:pPr>
          </w:p>
        </w:tc>
        <w:tc>
          <w:tcPr>
            <w:tcW w:w="1489" w:type="pct"/>
            <w:vMerge/>
          </w:tcPr>
          <w:p w14:paraId="77F210F4" w14:textId="77777777" w:rsidR="00884121" w:rsidRPr="00884121" w:rsidRDefault="00884121" w:rsidP="00884121">
            <w:pPr>
              <w:rPr>
                <w:rFonts w:ascii="Arial" w:hAnsi="Arial" w:cs="Arial"/>
                <w:sz w:val="20"/>
                <w:szCs w:val="20"/>
              </w:rPr>
            </w:pPr>
          </w:p>
        </w:tc>
      </w:tr>
      <w:tr w:rsidR="00884121" w:rsidRPr="00884121" w14:paraId="68EC9748" w14:textId="77777777" w:rsidTr="00884121">
        <w:tc>
          <w:tcPr>
            <w:tcW w:w="672" w:type="pct"/>
          </w:tcPr>
          <w:p w14:paraId="2A11145B" w14:textId="77777777" w:rsidR="00884121" w:rsidRPr="00884121" w:rsidRDefault="00884121" w:rsidP="00884121">
            <w:pPr>
              <w:rPr>
                <w:rFonts w:ascii="Arial" w:hAnsi="Arial" w:cs="Arial"/>
                <w:sz w:val="20"/>
                <w:szCs w:val="20"/>
              </w:rPr>
            </w:pPr>
            <w:r w:rsidRPr="00884121">
              <w:rPr>
                <w:rFonts w:ascii="Arial" w:hAnsi="Arial" w:cs="Arial"/>
                <w:sz w:val="20"/>
                <w:szCs w:val="20"/>
              </w:rPr>
              <w:t>RET/ER</w:t>
            </w:r>
          </w:p>
        </w:tc>
        <w:tc>
          <w:tcPr>
            <w:tcW w:w="1443" w:type="pct"/>
          </w:tcPr>
          <w:p w14:paraId="6C46B1D6" w14:textId="77777777" w:rsidR="00884121" w:rsidRPr="00884121" w:rsidRDefault="00884121" w:rsidP="00884121">
            <w:pPr>
              <w:rPr>
                <w:rFonts w:ascii="Arial" w:hAnsi="Arial" w:cs="Arial"/>
                <w:sz w:val="20"/>
                <w:szCs w:val="20"/>
              </w:rPr>
            </w:pPr>
            <w:r w:rsidRPr="00884121">
              <w:rPr>
                <w:rFonts w:ascii="Arial" w:hAnsi="Arial" w:cs="Arial"/>
                <w:sz w:val="20"/>
                <w:szCs w:val="20"/>
              </w:rPr>
              <w:t>(MEC + MLC) – (BEC + BLC)</w:t>
            </w:r>
          </w:p>
        </w:tc>
        <w:tc>
          <w:tcPr>
            <w:tcW w:w="1396" w:type="pct"/>
          </w:tcPr>
          <w:p w14:paraId="6F214338" w14:textId="77777777" w:rsidR="00884121" w:rsidRPr="00884121" w:rsidRDefault="00884121" w:rsidP="00884121">
            <w:pPr>
              <w:rPr>
                <w:rFonts w:ascii="Arial" w:hAnsi="Arial" w:cs="Arial"/>
                <w:sz w:val="20"/>
                <w:szCs w:val="20"/>
              </w:rPr>
            </w:pPr>
            <w:r w:rsidRPr="00884121">
              <w:rPr>
                <w:rFonts w:ascii="Arial" w:hAnsi="Arial" w:cs="Arial"/>
                <w:sz w:val="20"/>
                <w:szCs w:val="20"/>
              </w:rPr>
              <w:t>MEC + MLC</w:t>
            </w:r>
          </w:p>
        </w:tc>
        <w:tc>
          <w:tcPr>
            <w:tcW w:w="1489" w:type="pct"/>
          </w:tcPr>
          <w:p w14:paraId="6A1CAB82" w14:textId="77777777" w:rsidR="00884121" w:rsidRPr="00884121" w:rsidRDefault="00884121" w:rsidP="00884121">
            <w:pPr>
              <w:rPr>
                <w:rFonts w:ascii="Arial" w:hAnsi="Arial" w:cs="Arial"/>
                <w:sz w:val="20"/>
                <w:szCs w:val="20"/>
              </w:rPr>
            </w:pPr>
            <w:r w:rsidRPr="00884121">
              <w:rPr>
                <w:rFonts w:ascii="Arial" w:hAnsi="Arial" w:cs="Arial"/>
                <w:sz w:val="20"/>
                <w:szCs w:val="20"/>
              </w:rPr>
              <w:t>(MEC + MLC) – (BEC + BLC)</w:t>
            </w:r>
          </w:p>
        </w:tc>
      </w:tr>
      <w:tr w:rsidR="00884121" w:rsidRPr="00884121" w14:paraId="45CCBAC5" w14:textId="77777777" w:rsidTr="00884121">
        <w:tc>
          <w:tcPr>
            <w:tcW w:w="672" w:type="pct"/>
          </w:tcPr>
          <w:p w14:paraId="57748510" w14:textId="77777777" w:rsidR="00884121" w:rsidRPr="00884121" w:rsidRDefault="00884121" w:rsidP="00884121">
            <w:pPr>
              <w:rPr>
                <w:rFonts w:ascii="Arial" w:hAnsi="Arial" w:cs="Arial"/>
                <w:sz w:val="20"/>
                <w:szCs w:val="20"/>
              </w:rPr>
            </w:pPr>
            <w:r w:rsidRPr="00884121">
              <w:rPr>
                <w:rFonts w:ascii="Arial" w:hAnsi="Arial" w:cs="Arial"/>
                <w:sz w:val="20"/>
                <w:szCs w:val="20"/>
              </w:rPr>
              <w:t>REF</w:t>
            </w:r>
          </w:p>
        </w:tc>
        <w:tc>
          <w:tcPr>
            <w:tcW w:w="1443" w:type="pct"/>
          </w:tcPr>
          <w:p w14:paraId="2C21A3D6" w14:textId="77777777" w:rsidR="00884121" w:rsidRPr="00884121" w:rsidRDefault="00884121" w:rsidP="00884121">
            <w:pPr>
              <w:rPr>
                <w:rFonts w:ascii="Arial" w:hAnsi="Arial" w:cs="Arial"/>
                <w:sz w:val="20"/>
                <w:szCs w:val="20"/>
              </w:rPr>
            </w:pPr>
            <w:r w:rsidRPr="00884121">
              <w:rPr>
                <w:rFonts w:ascii="Arial" w:hAnsi="Arial" w:cs="Arial"/>
                <w:sz w:val="20"/>
                <w:szCs w:val="20"/>
              </w:rPr>
              <w:t>(MEC + MLC) – (BEC + BLC)</w:t>
            </w:r>
          </w:p>
        </w:tc>
        <w:tc>
          <w:tcPr>
            <w:tcW w:w="1396" w:type="pct"/>
          </w:tcPr>
          <w:p w14:paraId="2197073C" w14:textId="77777777" w:rsidR="00884121" w:rsidRPr="00884121" w:rsidRDefault="00884121" w:rsidP="00884121">
            <w:pPr>
              <w:rPr>
                <w:rFonts w:ascii="Arial" w:hAnsi="Arial" w:cs="Arial"/>
                <w:sz w:val="20"/>
                <w:szCs w:val="20"/>
              </w:rPr>
            </w:pPr>
            <w:r w:rsidRPr="00884121">
              <w:rPr>
                <w:rFonts w:ascii="Arial" w:hAnsi="Arial" w:cs="Arial"/>
                <w:sz w:val="20"/>
                <w:szCs w:val="20"/>
              </w:rPr>
              <w:t>MEC + MLC</w:t>
            </w:r>
          </w:p>
        </w:tc>
        <w:tc>
          <w:tcPr>
            <w:tcW w:w="1489" w:type="pct"/>
          </w:tcPr>
          <w:p w14:paraId="39FD4F01" w14:textId="77777777" w:rsidR="00884121" w:rsidRPr="00884121" w:rsidRDefault="00884121" w:rsidP="00884121">
            <w:pPr>
              <w:rPr>
                <w:rFonts w:ascii="Arial" w:hAnsi="Arial" w:cs="Arial"/>
                <w:sz w:val="20"/>
                <w:szCs w:val="20"/>
              </w:rPr>
            </w:pPr>
            <w:r w:rsidRPr="00884121">
              <w:rPr>
                <w:rFonts w:ascii="Arial" w:hAnsi="Arial" w:cs="Arial"/>
                <w:sz w:val="20"/>
                <w:szCs w:val="20"/>
              </w:rPr>
              <w:t>N/A</w:t>
            </w:r>
          </w:p>
        </w:tc>
      </w:tr>
      <w:tr w:rsidR="00884121" w:rsidRPr="00884121" w14:paraId="612B5191" w14:textId="77777777" w:rsidTr="00884121">
        <w:tc>
          <w:tcPr>
            <w:tcW w:w="672" w:type="pct"/>
          </w:tcPr>
          <w:p w14:paraId="5A25F680" w14:textId="77777777" w:rsidR="00884121" w:rsidRPr="00884121" w:rsidRDefault="00884121" w:rsidP="00884121">
            <w:pPr>
              <w:rPr>
                <w:rFonts w:ascii="Arial" w:hAnsi="Arial" w:cs="Arial"/>
                <w:sz w:val="20"/>
                <w:szCs w:val="20"/>
              </w:rPr>
            </w:pPr>
            <w:r w:rsidRPr="00884121">
              <w:rPr>
                <w:rFonts w:ascii="Arial" w:hAnsi="Arial" w:cs="Arial"/>
                <w:sz w:val="20"/>
                <w:szCs w:val="20"/>
              </w:rPr>
              <w:t>REA</w:t>
            </w:r>
          </w:p>
        </w:tc>
        <w:tc>
          <w:tcPr>
            <w:tcW w:w="1443" w:type="pct"/>
          </w:tcPr>
          <w:p w14:paraId="7D6E6BA8" w14:textId="77777777" w:rsidR="00884121" w:rsidRPr="00884121" w:rsidRDefault="00884121" w:rsidP="00884121">
            <w:pPr>
              <w:rPr>
                <w:rFonts w:ascii="Arial" w:hAnsi="Arial" w:cs="Arial"/>
                <w:sz w:val="20"/>
                <w:szCs w:val="20"/>
              </w:rPr>
            </w:pPr>
            <w:r w:rsidRPr="00884121">
              <w:rPr>
                <w:rFonts w:ascii="Arial" w:hAnsi="Arial" w:cs="Arial"/>
                <w:sz w:val="20"/>
                <w:szCs w:val="20"/>
              </w:rPr>
              <w:t>MEC + MLC</w:t>
            </w:r>
          </w:p>
        </w:tc>
        <w:tc>
          <w:tcPr>
            <w:tcW w:w="1396" w:type="pct"/>
          </w:tcPr>
          <w:p w14:paraId="10250019" w14:textId="77777777" w:rsidR="00884121" w:rsidRPr="00884121" w:rsidRDefault="00884121" w:rsidP="00884121">
            <w:pPr>
              <w:rPr>
                <w:rFonts w:ascii="Arial" w:hAnsi="Arial" w:cs="Arial"/>
                <w:sz w:val="20"/>
                <w:szCs w:val="20"/>
              </w:rPr>
            </w:pPr>
            <w:r w:rsidRPr="00884121">
              <w:rPr>
                <w:rFonts w:ascii="Arial" w:hAnsi="Arial" w:cs="Arial"/>
                <w:sz w:val="20"/>
                <w:szCs w:val="20"/>
              </w:rPr>
              <w:t>MEC + MLC</w:t>
            </w:r>
          </w:p>
        </w:tc>
        <w:tc>
          <w:tcPr>
            <w:tcW w:w="1489" w:type="pct"/>
          </w:tcPr>
          <w:p w14:paraId="7681807E" w14:textId="77777777" w:rsidR="00884121" w:rsidRPr="00884121" w:rsidRDefault="00884121" w:rsidP="00884121">
            <w:pPr>
              <w:rPr>
                <w:rFonts w:ascii="Arial" w:hAnsi="Arial" w:cs="Arial"/>
                <w:sz w:val="20"/>
                <w:szCs w:val="20"/>
              </w:rPr>
            </w:pPr>
            <w:r w:rsidRPr="00884121">
              <w:rPr>
                <w:rFonts w:ascii="Arial" w:hAnsi="Arial" w:cs="Arial"/>
                <w:sz w:val="20"/>
                <w:szCs w:val="20"/>
              </w:rPr>
              <w:t>N/A</w:t>
            </w:r>
          </w:p>
        </w:tc>
      </w:tr>
    </w:tbl>
    <w:p w14:paraId="74F15096" w14:textId="77777777" w:rsidR="00D40AB7" w:rsidRPr="00920905" w:rsidRDefault="00D40AB7" w:rsidP="00D40AB7">
      <w:pPr>
        <w:rPr>
          <w:sz w:val="20"/>
          <w:szCs w:val="20"/>
        </w:rPr>
      </w:pPr>
      <w:r w:rsidRPr="00920905">
        <w:rPr>
          <w:sz w:val="20"/>
          <w:szCs w:val="20"/>
        </w:rPr>
        <w:t>MEC = Measure Equipment Cost; MLC = Measure Labor Cost</w:t>
      </w:r>
    </w:p>
    <w:p w14:paraId="68AD708B" w14:textId="77777777" w:rsidR="00D40AB7" w:rsidRPr="00920905" w:rsidRDefault="00D40AB7" w:rsidP="00D40AB7">
      <w:pPr>
        <w:rPr>
          <w:sz w:val="20"/>
          <w:szCs w:val="20"/>
        </w:rPr>
      </w:pPr>
      <w:r w:rsidRPr="00920905">
        <w:rPr>
          <w:sz w:val="20"/>
          <w:szCs w:val="20"/>
        </w:rPr>
        <w:t>BEC = Base Case Equipment Cost; BLC = Base Case Labor Cost</w:t>
      </w:r>
    </w:p>
    <w:p w14:paraId="4F5F5929" w14:textId="77777777" w:rsidR="00D227BC" w:rsidRPr="00A57E74" w:rsidRDefault="00D227BC" w:rsidP="00D227BC">
      <w:pPr>
        <w:pStyle w:val="Heading2"/>
      </w:pPr>
      <w:r w:rsidRPr="00A57E74">
        <w:t>4.3.1 Full Measure Cost</w:t>
      </w:r>
    </w:p>
    <w:p w14:paraId="17EC6C2A" w14:textId="77777777" w:rsidR="00D227BC" w:rsidRPr="00A57E74" w:rsidRDefault="00D227BC" w:rsidP="00D227BC">
      <w:pPr>
        <w:rPr>
          <w:rFonts w:ascii="Arial" w:hAnsi="Arial" w:cs="Arial"/>
          <w:sz w:val="20"/>
          <w:szCs w:val="20"/>
        </w:rPr>
      </w:pPr>
      <w:bookmarkStart w:id="61" w:name="_Toc324318376"/>
      <w:bookmarkStart w:id="62" w:name="_Toc324340505"/>
      <w:bookmarkStart w:id="63" w:name="_Toc381279689"/>
      <w:bookmarkStart w:id="64" w:name="_Toc383697823"/>
      <w:r w:rsidRPr="00A57E74">
        <w:rPr>
          <w:rFonts w:ascii="Arial" w:hAnsi="Arial" w:cs="Arial"/>
          <w:sz w:val="20"/>
          <w:szCs w:val="20"/>
        </w:rPr>
        <w:t>Full Measure Cost is the cost to install an energy efficient measure per the CPUC calculators. This definition implies a different meaning depending on the Measure Application type.</w:t>
      </w:r>
    </w:p>
    <w:p w14:paraId="63FE3ACE" w14:textId="77777777" w:rsidR="00D227BC" w:rsidRPr="00A57E74" w:rsidRDefault="00D227BC" w:rsidP="00D227BC">
      <w:pPr>
        <w:rPr>
          <w:rFonts w:ascii="Arial" w:hAnsi="Arial" w:cs="Arial"/>
          <w:sz w:val="20"/>
          <w:szCs w:val="20"/>
        </w:rPr>
      </w:pPr>
    </w:p>
    <w:p w14:paraId="2B22EFD7" w14:textId="4A46FFF4" w:rsidR="00D227BC" w:rsidRPr="00A57E74" w:rsidRDefault="00D227BC" w:rsidP="00D227BC">
      <w:pPr>
        <w:rPr>
          <w:rFonts w:ascii="Arial" w:hAnsi="Arial" w:cs="Arial"/>
          <w:sz w:val="20"/>
          <w:szCs w:val="20"/>
        </w:rPr>
      </w:pPr>
      <w:r w:rsidRPr="00A57E74">
        <w:rPr>
          <w:rFonts w:ascii="Arial" w:hAnsi="Arial" w:cs="Arial"/>
          <w:sz w:val="20"/>
          <w:szCs w:val="20"/>
        </w:rPr>
        <w:t>The Full measure cost is used for Direct Install Measures. A labor cost of $</w:t>
      </w:r>
      <w:r>
        <w:rPr>
          <w:rFonts w:ascii="Arial" w:hAnsi="Arial" w:cs="Arial"/>
          <w:sz w:val="20"/>
          <w:szCs w:val="20"/>
        </w:rPr>
        <w:t>187.14</w:t>
      </w:r>
      <w:r w:rsidRPr="00A57E74">
        <w:rPr>
          <w:rFonts w:ascii="Arial" w:hAnsi="Arial" w:cs="Arial"/>
          <w:sz w:val="20"/>
          <w:szCs w:val="20"/>
        </w:rPr>
        <w:t xml:space="preserve"> is used from WO017.  </w:t>
      </w:r>
    </w:p>
    <w:p w14:paraId="7657E05F" w14:textId="77777777" w:rsidR="00D227BC" w:rsidRPr="00A57E74" w:rsidRDefault="00D227BC" w:rsidP="00D227BC">
      <w:pPr>
        <w:pStyle w:val="Heading2"/>
      </w:pPr>
      <w:bookmarkStart w:id="65" w:name="_Toc437587498"/>
      <w:r w:rsidRPr="00A57E74">
        <w:t>4.3.2 Incremental Measure Costs</w:t>
      </w:r>
      <w:bookmarkEnd w:id="61"/>
      <w:bookmarkEnd w:id="62"/>
      <w:bookmarkEnd w:id="63"/>
      <w:bookmarkEnd w:id="64"/>
      <w:bookmarkEnd w:id="65"/>
    </w:p>
    <w:p w14:paraId="2447917A" w14:textId="4F76B1DB" w:rsidR="00D227BC" w:rsidRDefault="00D227BC" w:rsidP="00D227BC">
      <w:pPr>
        <w:rPr>
          <w:rFonts w:ascii="Arial" w:hAnsi="Arial" w:cs="Arial"/>
          <w:sz w:val="20"/>
          <w:szCs w:val="20"/>
        </w:rPr>
      </w:pPr>
      <w:r w:rsidRPr="00A57E74">
        <w:rPr>
          <w:rFonts w:ascii="Arial" w:hAnsi="Arial" w:cs="Arial"/>
          <w:sz w:val="20"/>
          <w:szCs w:val="20"/>
        </w:rPr>
        <w:t>The labor required installing base case or measure case is equivalent.  Therefore, labor cost is not considered in incremental measure costs</w:t>
      </w:r>
      <w:r>
        <w:rPr>
          <w:rFonts w:ascii="Arial" w:hAnsi="Arial" w:cs="Arial"/>
          <w:sz w:val="20"/>
          <w:szCs w:val="20"/>
        </w:rPr>
        <w:t>.</w:t>
      </w:r>
      <w:bookmarkStart w:id="66" w:name="_GoBack"/>
      <w:bookmarkEnd w:id="66"/>
    </w:p>
    <w:p w14:paraId="6B4C100E" w14:textId="68A4BDA0" w:rsidR="00C469AB" w:rsidRDefault="00D227BC" w:rsidP="00D227BC">
      <w:pPr>
        <w:rPr>
          <w:rFonts w:ascii="Arial" w:hAnsi="Arial" w:cs="Arial"/>
          <w:b/>
          <w:bCs/>
          <w:kern w:val="32"/>
          <w:sz w:val="32"/>
          <w:szCs w:val="32"/>
        </w:rPr>
      </w:pPr>
      <w:r>
        <w:rPr>
          <w:rFonts w:ascii="Arial" w:hAnsi="Arial" w:cs="Arial"/>
          <w:sz w:val="20"/>
          <w:szCs w:val="20"/>
        </w:rPr>
        <w:br w:type="page"/>
      </w:r>
    </w:p>
    <w:p w14:paraId="4BF2D9DE" w14:textId="10536B67" w:rsidR="00AA6DC8" w:rsidRDefault="00EA4751" w:rsidP="001A1D1B">
      <w:pPr>
        <w:pStyle w:val="Heading1"/>
      </w:pPr>
      <w:bookmarkStart w:id="67" w:name="_Toc438526169"/>
      <w:r>
        <w:lastRenderedPageBreak/>
        <w:t>References</w:t>
      </w:r>
      <w:bookmarkEnd w:id="67"/>
      <w:r>
        <w:t xml:space="preserve"> </w:t>
      </w:r>
    </w:p>
    <w:sectPr w:rsidR="00AA6DC8" w:rsidSect="00FF7DDB">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B7FFD5" w14:textId="77777777" w:rsidR="00DB53A2" w:rsidRDefault="00DB53A2">
      <w:r>
        <w:separator/>
      </w:r>
    </w:p>
  </w:endnote>
  <w:endnote w:type="continuationSeparator" w:id="0">
    <w:p w14:paraId="76AA9C89" w14:textId="77777777" w:rsidR="00DB53A2" w:rsidRDefault="00DB53A2">
      <w:r>
        <w:continuationSeparator/>
      </w:r>
    </w:p>
  </w:endnote>
  <w:endnote w:id="1">
    <w:p w14:paraId="01B9FD4E" w14:textId="77777777" w:rsidR="00DB53A2" w:rsidRDefault="00DB53A2" w:rsidP="00BB0058">
      <w:pPr>
        <w:pStyle w:val="EndnoteText"/>
      </w:pPr>
      <w:r>
        <w:rPr>
          <w:rStyle w:val="EndnoteReference"/>
        </w:rPr>
        <w:endnoteRef/>
      </w:r>
      <w:r>
        <w:t xml:space="preserve"> </w:t>
      </w:r>
      <w:r>
        <w:rPr>
          <w:rFonts w:cs="Arial"/>
        </w:rPr>
        <w:t xml:space="preserve">The DEER Measure Cost Data Users Guide found on </w:t>
      </w:r>
      <w:hyperlink r:id="rId1" w:history="1">
        <w:r>
          <w:rPr>
            <w:rStyle w:val="Hyperlink"/>
            <w:rFonts w:cs="Arial"/>
          </w:rPr>
          <w:t>www.deeresources.com</w:t>
        </w:r>
      </w:hyperlink>
      <w:r>
        <w:rPr>
          <w:rFonts w:cs="Arial"/>
        </w:rPr>
        <w:t xml:space="preserve"> under </w:t>
      </w:r>
      <w:r>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Pr>
          <w:rFonts w:cs="Arial"/>
          <w:lang w:val="en-GB"/>
        </w:rPr>
        <w:t xml:space="preserve"> </w:t>
      </w:r>
      <w:r>
        <w:rPr>
          <w:rFonts w:cs="Arial"/>
        </w:rPr>
        <w:t xml:space="preserve">spreadsheet </w:t>
      </w:r>
      <w:r>
        <w:rPr>
          <w:rFonts w:cs="Arial"/>
          <w:i/>
        </w:rPr>
        <w:t>SPTdata_format-V0.97.xls.</w:t>
      </w:r>
    </w:p>
  </w:endnote>
  <w:endnote w:id="2">
    <w:p w14:paraId="0C956B40" w14:textId="77777777" w:rsidR="00DB53A2" w:rsidRPr="00187355" w:rsidRDefault="00DB53A2" w:rsidP="00496200">
      <w:pPr>
        <w:pStyle w:val="EndnoteText"/>
        <w:rPr>
          <w:rFonts w:ascii="Arial" w:hAnsi="Arial" w:cs="Arial"/>
        </w:rPr>
      </w:pPr>
      <w:r w:rsidRPr="00187355">
        <w:rPr>
          <w:rStyle w:val="EndnoteReference"/>
          <w:rFonts w:ascii="Arial" w:hAnsi="Arial" w:cs="Arial"/>
        </w:rPr>
        <w:endnoteRef/>
      </w:r>
      <w:r w:rsidRPr="00187355">
        <w:rPr>
          <w:rFonts w:ascii="Arial" w:hAnsi="Arial" w:cs="Arial"/>
        </w:rPr>
        <w:t xml:space="preserve"> </w:t>
      </w:r>
      <w:proofErr w:type="gramStart"/>
      <w:r w:rsidRPr="00187355">
        <w:rPr>
          <w:rFonts w:ascii="Arial" w:hAnsi="Arial" w:cs="Arial"/>
          <w:i/>
        </w:rPr>
        <w:t>DEER Database for Energy-Efficient Resources, Version 2011 4.01.</w:t>
      </w:r>
      <w:proofErr w:type="gramEnd"/>
      <w:r w:rsidRPr="00187355">
        <w:rPr>
          <w:rFonts w:ascii="Arial" w:hAnsi="Arial" w:cs="Arial"/>
        </w:rPr>
        <w:t xml:space="preserve"> </w:t>
      </w:r>
      <w:proofErr w:type="gramStart"/>
      <w:r w:rsidRPr="00187355">
        <w:rPr>
          <w:rFonts w:ascii="Arial" w:hAnsi="Arial" w:cs="Arial"/>
        </w:rPr>
        <w:t>EUL/RUL Values.</w:t>
      </w:r>
      <w:proofErr w:type="gramEnd"/>
      <w:r w:rsidRPr="00187355">
        <w:rPr>
          <w:rFonts w:ascii="Arial" w:hAnsi="Arial" w:cs="Arial"/>
        </w:rPr>
        <w:t xml:space="preserve"> Updated 10/10/2008. </w:t>
      </w:r>
      <w:proofErr w:type="gramStart"/>
      <w:r w:rsidRPr="00187355">
        <w:rPr>
          <w:rFonts w:ascii="Arial" w:hAnsi="Arial" w:cs="Arial"/>
        </w:rPr>
        <w:t>Web.</w:t>
      </w:r>
      <w:proofErr w:type="gramEnd"/>
      <w:r w:rsidRPr="00187355">
        <w:rPr>
          <w:rFonts w:ascii="Arial" w:hAnsi="Arial" w:cs="Arial"/>
        </w:rPr>
        <w:t xml:space="preserve"> Accessed 6/4/2012. </w:t>
      </w:r>
    </w:p>
    <w:p w14:paraId="5B402EAB" w14:textId="77777777" w:rsidR="00DB53A2" w:rsidRDefault="00DB53A2" w:rsidP="00496200">
      <w:pPr>
        <w:pStyle w:val="EndnoteText"/>
        <w:rPr>
          <w:rFonts w:ascii="Arial" w:hAnsi="Arial" w:cs="Arial"/>
        </w:rPr>
      </w:pPr>
      <w:r w:rsidRPr="00187355">
        <w:rPr>
          <w:rFonts w:ascii="Arial" w:hAnsi="Arial" w:cs="Arial"/>
        </w:rPr>
        <w:t xml:space="preserve">&lt; </w:t>
      </w:r>
      <w:hyperlink r:id="rId2" w:history="1">
        <w:r w:rsidRPr="00187355">
          <w:rPr>
            <w:rStyle w:val="Hyperlink"/>
            <w:rFonts w:ascii="Arial" w:hAnsi="Arial" w:cs="Arial"/>
          </w:rPr>
          <w:t>http://deeresources.com/index.php?option=com_content&amp;view=article&amp;id=68&amp;Itemid=60</w:t>
        </w:r>
      </w:hyperlink>
      <w:r w:rsidRPr="00187355">
        <w:rPr>
          <w:rFonts w:ascii="Arial" w:hAnsi="Arial" w:cs="Arial"/>
        </w:rPr>
        <w:t>&gt;.</w:t>
      </w:r>
    </w:p>
    <w:p w14:paraId="484B4DB5" w14:textId="77777777" w:rsidR="00DB53A2" w:rsidRPr="00187355" w:rsidRDefault="00DB53A2" w:rsidP="00496200">
      <w:pPr>
        <w:pStyle w:val="EndnoteText"/>
        <w:rPr>
          <w:rFonts w:ascii="Arial" w:hAnsi="Arial" w:cs="Arial"/>
        </w:rPr>
      </w:pPr>
    </w:p>
  </w:endnote>
  <w:endnote w:id="3">
    <w:p w14:paraId="4BF2DA0B" w14:textId="77777777" w:rsidR="00DB53A2" w:rsidRDefault="00DB53A2">
      <w:pPr>
        <w:pStyle w:val="EndnoteText"/>
        <w:rPr>
          <w:rFonts w:ascii="Arial" w:hAnsi="Arial" w:cs="Arial"/>
        </w:rPr>
      </w:pPr>
      <w:r w:rsidRPr="00187355">
        <w:rPr>
          <w:rStyle w:val="EndnoteReference"/>
          <w:rFonts w:ascii="Arial" w:hAnsi="Arial" w:cs="Arial"/>
        </w:rPr>
        <w:endnoteRef/>
      </w:r>
      <w:r w:rsidRPr="00187355">
        <w:rPr>
          <w:rFonts w:ascii="Arial" w:hAnsi="Arial" w:cs="Arial"/>
        </w:rPr>
        <w:t xml:space="preserve"> </w:t>
      </w:r>
      <w:proofErr w:type="gramStart"/>
      <w:r w:rsidRPr="00187355">
        <w:rPr>
          <w:rFonts w:ascii="Arial" w:hAnsi="Arial" w:cs="Arial"/>
        </w:rPr>
        <w:t>2010 Appliance Efficiency Regulations (Title 20</w:t>
      </w:r>
      <w:r w:rsidRPr="00187355">
        <w:rPr>
          <w:rFonts w:ascii="Arial" w:hAnsi="Arial" w:cs="Arial"/>
        </w:rPr>
        <w:fldChar w:fldCharType="begin"/>
      </w:r>
      <w:r w:rsidRPr="00187355">
        <w:rPr>
          <w:rFonts w:ascii="Arial" w:hAnsi="Arial" w:cs="Arial"/>
        </w:rPr>
        <w:instrText xml:space="preserve"> XE "Title 20" </w:instrText>
      </w:r>
      <w:r w:rsidRPr="00187355">
        <w:rPr>
          <w:rFonts w:ascii="Arial" w:hAnsi="Arial" w:cs="Arial"/>
        </w:rPr>
        <w:fldChar w:fldCharType="end"/>
      </w:r>
      <w:r w:rsidRPr="00187355">
        <w:rPr>
          <w:rFonts w:ascii="Arial" w:hAnsi="Arial" w:cs="Arial"/>
        </w:rPr>
        <w:t>).</w:t>
      </w:r>
      <w:proofErr w:type="gramEnd"/>
      <w:r w:rsidRPr="00187355">
        <w:rPr>
          <w:rFonts w:ascii="Arial" w:hAnsi="Arial" w:cs="Arial"/>
        </w:rPr>
        <w:t xml:space="preserve"> </w:t>
      </w:r>
      <w:proofErr w:type="gramStart"/>
      <w:r w:rsidRPr="00187355">
        <w:rPr>
          <w:rFonts w:ascii="Arial" w:hAnsi="Arial" w:cs="Arial"/>
        </w:rPr>
        <w:t>California Energy Commission.</w:t>
      </w:r>
      <w:proofErr w:type="gramEnd"/>
      <w:r w:rsidRPr="00187355">
        <w:rPr>
          <w:rFonts w:ascii="Arial" w:hAnsi="Arial" w:cs="Arial"/>
        </w:rPr>
        <w:t xml:space="preserve"> </w:t>
      </w:r>
      <w:proofErr w:type="gramStart"/>
      <w:r w:rsidRPr="00187355">
        <w:rPr>
          <w:rFonts w:ascii="Arial" w:hAnsi="Arial" w:cs="Arial"/>
        </w:rPr>
        <w:t>Section 1605(k), page 117.</w:t>
      </w:r>
      <w:proofErr w:type="gramEnd"/>
      <w:r w:rsidRPr="00187355">
        <w:rPr>
          <w:rFonts w:ascii="Arial" w:hAnsi="Arial" w:cs="Arial"/>
        </w:rPr>
        <w:t xml:space="preserve"> December, 2010</w:t>
      </w:r>
      <w:r>
        <w:rPr>
          <w:rFonts w:ascii="Arial" w:hAnsi="Arial" w:cs="Arial"/>
        </w:rPr>
        <w:t>.</w:t>
      </w:r>
    </w:p>
    <w:p w14:paraId="4BF2DA0C" w14:textId="77777777" w:rsidR="00DB53A2" w:rsidRPr="00187355" w:rsidRDefault="00DB53A2">
      <w:pPr>
        <w:pStyle w:val="EndnoteText"/>
        <w:rPr>
          <w:rFonts w:ascii="Arial" w:hAnsi="Arial" w:cs="Arial"/>
        </w:rPr>
      </w:pPr>
    </w:p>
  </w:endnote>
  <w:endnote w:id="4">
    <w:p w14:paraId="4BF2DA0D" w14:textId="77777777" w:rsidR="00DB53A2" w:rsidRPr="00187355" w:rsidRDefault="00DB53A2">
      <w:pPr>
        <w:pStyle w:val="EndnoteText"/>
        <w:rPr>
          <w:rFonts w:ascii="Arial" w:hAnsi="Arial" w:cs="Arial"/>
          <w:shd w:val="clear" w:color="auto" w:fill="FFFFFF"/>
        </w:rPr>
      </w:pPr>
      <w:r w:rsidRPr="00187355">
        <w:rPr>
          <w:rStyle w:val="EndnoteReference"/>
          <w:rFonts w:ascii="Arial" w:hAnsi="Arial" w:cs="Arial"/>
        </w:rPr>
        <w:endnoteRef/>
      </w:r>
      <w:proofErr w:type="gramStart"/>
      <w:r w:rsidRPr="00187355">
        <w:rPr>
          <w:rFonts w:ascii="Arial" w:hAnsi="Arial" w:cs="Arial"/>
          <w:i/>
          <w:shd w:val="clear" w:color="auto" w:fill="FFFFFF"/>
        </w:rPr>
        <w:t>Energy Conservation Standards and Test Procedures for General Service Fluorescent Lamps and Incandescent Reflector Lamps; Final Rule.</w:t>
      </w:r>
      <w:proofErr w:type="gramEnd"/>
      <w:r w:rsidRPr="00187355">
        <w:rPr>
          <w:rStyle w:val="apple-converted-space"/>
          <w:rFonts w:ascii="Arial" w:hAnsi="Arial" w:cs="Arial"/>
          <w:shd w:val="clear" w:color="auto" w:fill="FFFFFF"/>
        </w:rPr>
        <w:t> </w:t>
      </w:r>
      <w:r w:rsidRPr="00187355">
        <w:rPr>
          <w:rStyle w:val="Emphasis"/>
          <w:rFonts w:ascii="Arial" w:hAnsi="Arial" w:cs="Arial"/>
          <w:i w:val="0"/>
          <w:bdr w:val="none" w:sz="0" w:space="0" w:color="auto" w:frame="1"/>
          <w:shd w:val="clear" w:color="auto" w:fill="FFFFFF"/>
        </w:rPr>
        <w:t>Federal Register</w:t>
      </w:r>
      <w:r w:rsidRPr="00187355">
        <w:rPr>
          <w:rFonts w:ascii="Arial" w:hAnsi="Arial" w:cs="Arial"/>
          <w:shd w:val="clear" w:color="auto" w:fill="FFFFFF"/>
        </w:rPr>
        <w:t xml:space="preserve">, 74 FR 34080, July 14, 2009. </w:t>
      </w:r>
      <w:proofErr w:type="gramStart"/>
      <w:r w:rsidRPr="00187355">
        <w:rPr>
          <w:rFonts w:ascii="Arial" w:hAnsi="Arial" w:cs="Arial"/>
          <w:shd w:val="clear" w:color="auto" w:fill="FFFFFF"/>
        </w:rPr>
        <w:t>Web.</w:t>
      </w:r>
      <w:proofErr w:type="gramEnd"/>
      <w:r w:rsidRPr="00187355">
        <w:rPr>
          <w:rFonts w:ascii="Arial" w:hAnsi="Arial" w:cs="Arial"/>
          <w:shd w:val="clear" w:color="auto" w:fill="FFFFFF"/>
        </w:rPr>
        <w:t xml:space="preserve"> </w:t>
      </w:r>
      <w:proofErr w:type="gramStart"/>
      <w:r w:rsidRPr="00187355">
        <w:rPr>
          <w:rFonts w:ascii="Arial" w:hAnsi="Arial" w:cs="Arial"/>
          <w:shd w:val="clear" w:color="auto" w:fill="FFFFFF"/>
        </w:rPr>
        <w:t>Accessed June 4</w:t>
      </w:r>
      <w:r w:rsidRPr="00187355">
        <w:rPr>
          <w:rFonts w:ascii="Arial" w:hAnsi="Arial" w:cs="Arial"/>
          <w:shd w:val="clear" w:color="auto" w:fill="FFFFFF"/>
          <w:vertAlign w:val="superscript"/>
        </w:rPr>
        <w:t>th</w:t>
      </w:r>
      <w:r w:rsidRPr="00187355">
        <w:rPr>
          <w:rFonts w:ascii="Arial" w:hAnsi="Arial" w:cs="Arial"/>
          <w:shd w:val="clear" w:color="auto" w:fill="FFFFFF"/>
        </w:rPr>
        <w:t>, 2012.</w:t>
      </w:r>
      <w:proofErr w:type="gramEnd"/>
      <w:r w:rsidRPr="00187355">
        <w:rPr>
          <w:rFonts w:ascii="Arial" w:hAnsi="Arial" w:cs="Arial"/>
          <w:shd w:val="clear" w:color="auto" w:fill="FFFFFF"/>
        </w:rPr>
        <w:t xml:space="preserve"> </w:t>
      </w:r>
    </w:p>
    <w:p w14:paraId="4BF2DA0E" w14:textId="77777777" w:rsidR="00DB53A2" w:rsidRDefault="00DB53A2">
      <w:pPr>
        <w:pStyle w:val="EndnoteText"/>
        <w:rPr>
          <w:rFonts w:ascii="Arial" w:hAnsi="Arial" w:cs="Arial"/>
        </w:rPr>
      </w:pPr>
      <w:r w:rsidRPr="00187355">
        <w:rPr>
          <w:rFonts w:ascii="Arial" w:hAnsi="Arial" w:cs="Arial"/>
          <w:shd w:val="clear" w:color="auto" w:fill="FFFFFF"/>
        </w:rPr>
        <w:t>&lt;</w:t>
      </w:r>
      <w:hyperlink r:id="rId3" w:history="1">
        <w:r w:rsidRPr="00187355">
          <w:rPr>
            <w:rStyle w:val="Hyperlink"/>
            <w:rFonts w:ascii="Arial" w:hAnsi="Arial" w:cs="Arial"/>
            <w:color w:val="auto"/>
          </w:rPr>
          <w:t>http://www1.eere.energy.gov/buildings/appliance_standards/residential/incandescent_lamps_standards_final_rule.html</w:t>
        </w:r>
      </w:hyperlink>
      <w:r w:rsidRPr="00187355">
        <w:rPr>
          <w:rFonts w:ascii="Arial" w:hAnsi="Arial" w:cs="Arial"/>
        </w:rPr>
        <w:t>&gt;.</w:t>
      </w:r>
    </w:p>
    <w:p w14:paraId="4BF2DA0F" w14:textId="77777777" w:rsidR="00DB53A2" w:rsidRPr="00187355" w:rsidRDefault="00DB53A2">
      <w:pPr>
        <w:pStyle w:val="EndnoteText"/>
        <w:rPr>
          <w:rFonts w:ascii="Arial" w:hAnsi="Arial" w:cs="Arial"/>
        </w:rPr>
      </w:pPr>
    </w:p>
  </w:endnote>
  <w:endnote w:id="5">
    <w:p w14:paraId="4BF2DA10" w14:textId="77777777" w:rsidR="00DB53A2" w:rsidRDefault="00DB53A2">
      <w:pPr>
        <w:pStyle w:val="EndnoteText"/>
        <w:rPr>
          <w:rFonts w:ascii="Arial" w:hAnsi="Arial" w:cs="Arial"/>
        </w:rPr>
      </w:pPr>
      <w:r w:rsidRPr="00187355">
        <w:rPr>
          <w:rStyle w:val="EndnoteReference"/>
          <w:rFonts w:ascii="Arial" w:hAnsi="Arial" w:cs="Arial"/>
        </w:rPr>
        <w:endnoteRef/>
      </w:r>
      <w:r w:rsidRPr="00187355">
        <w:rPr>
          <w:rFonts w:ascii="Arial" w:hAnsi="Arial" w:cs="Arial"/>
        </w:rPr>
        <w:t xml:space="preserve"> </w:t>
      </w:r>
      <w:proofErr w:type="spellStart"/>
      <w:r w:rsidRPr="00187355">
        <w:rPr>
          <w:rFonts w:ascii="Arial" w:hAnsi="Arial" w:cs="Arial"/>
        </w:rPr>
        <w:t>Heschong</w:t>
      </w:r>
      <w:proofErr w:type="spellEnd"/>
      <w:r w:rsidRPr="00187355">
        <w:rPr>
          <w:rFonts w:ascii="Arial" w:hAnsi="Arial" w:cs="Arial"/>
        </w:rPr>
        <w:t xml:space="preserve"> </w:t>
      </w:r>
      <w:proofErr w:type="spellStart"/>
      <w:r w:rsidRPr="00187355">
        <w:rPr>
          <w:rFonts w:ascii="Arial" w:hAnsi="Arial" w:cs="Arial"/>
        </w:rPr>
        <w:t>Mahone</w:t>
      </w:r>
      <w:proofErr w:type="spellEnd"/>
      <w:r w:rsidRPr="00187355">
        <w:rPr>
          <w:rFonts w:ascii="Arial" w:hAnsi="Arial" w:cs="Arial"/>
        </w:rPr>
        <w:t xml:space="preserve"> Group, </w:t>
      </w:r>
      <w:r w:rsidRPr="00187355">
        <w:rPr>
          <w:rFonts w:ascii="Arial" w:hAnsi="Arial" w:cs="Arial"/>
          <w:i/>
        </w:rPr>
        <w:t>Lighting Efficiency Technology Report.</w:t>
      </w:r>
      <w:r w:rsidRPr="00187355">
        <w:rPr>
          <w:rFonts w:ascii="Arial" w:hAnsi="Arial" w:cs="Arial"/>
        </w:rPr>
        <w:t xml:space="preserve">  </w:t>
      </w:r>
      <w:proofErr w:type="gramStart"/>
      <w:r w:rsidRPr="00187355">
        <w:rPr>
          <w:rFonts w:ascii="Arial" w:hAnsi="Arial" w:cs="Arial"/>
        </w:rPr>
        <w:t>Prepared for the California Energy Commission, Sacramento.</w:t>
      </w:r>
      <w:proofErr w:type="gramEnd"/>
      <w:r w:rsidRPr="00187355">
        <w:rPr>
          <w:rFonts w:ascii="Arial" w:hAnsi="Arial" w:cs="Arial"/>
        </w:rPr>
        <w:t xml:space="preserve"> September 1999.</w:t>
      </w:r>
    </w:p>
    <w:p w14:paraId="4BF2DA11" w14:textId="77777777" w:rsidR="00DB53A2" w:rsidRPr="00187355" w:rsidRDefault="00DB53A2">
      <w:pPr>
        <w:pStyle w:val="EndnoteText"/>
        <w:rPr>
          <w:rFonts w:ascii="Arial" w:hAnsi="Arial" w:cs="Arial"/>
        </w:rPr>
      </w:pPr>
    </w:p>
  </w:endnote>
  <w:endnote w:id="6">
    <w:p w14:paraId="73424556" w14:textId="46945DB8" w:rsidR="00D227BC" w:rsidRPr="00D227BC" w:rsidRDefault="00D227BC" w:rsidP="00D227BC">
      <w:pPr>
        <w:pStyle w:val="EndnoteText"/>
        <w:rPr>
          <w:rFonts w:ascii="Arial" w:hAnsi="Arial" w:cs="Arial"/>
        </w:rPr>
      </w:pPr>
      <w:r w:rsidRPr="00D227BC">
        <w:rPr>
          <w:rStyle w:val="EndnoteReference"/>
          <w:rFonts w:ascii="Arial" w:hAnsi="Arial" w:cs="Arial"/>
        </w:rPr>
        <w:endnoteRef/>
      </w:r>
      <w:r w:rsidRPr="00D227BC">
        <w:rPr>
          <w:rFonts w:ascii="Arial" w:hAnsi="Arial" w:cs="Arial"/>
        </w:rPr>
        <w:t xml:space="preserve"> </w:t>
      </w:r>
      <w:r w:rsidRPr="00D227BC">
        <w:rPr>
          <w:rFonts w:ascii="Arial" w:hAnsi="Arial" w:cs="Arial"/>
        </w:rPr>
        <w:t xml:space="preserve">PGE </w:t>
      </w:r>
      <w:proofErr w:type="spellStart"/>
      <w:r w:rsidRPr="00D227BC">
        <w:rPr>
          <w:rFonts w:ascii="Arial" w:hAnsi="Arial" w:cs="Arial"/>
        </w:rPr>
        <w:t>HiLoBay</w:t>
      </w:r>
      <w:proofErr w:type="spellEnd"/>
      <w:r w:rsidRPr="00D227BC">
        <w:rPr>
          <w:rFonts w:ascii="Arial" w:hAnsi="Arial" w:cs="Arial"/>
        </w:rPr>
        <w:t xml:space="preserve"> DEER2016 Cost Updates.xlsx</w:t>
      </w:r>
    </w:p>
  </w:endnote>
  <w:endnote w:id="7">
    <w:p w14:paraId="506AFC76" w14:textId="77777777" w:rsidR="00D227BC" w:rsidRPr="00D227BC" w:rsidRDefault="00D227BC">
      <w:pPr>
        <w:pStyle w:val="EndnoteText"/>
        <w:rPr>
          <w:rFonts w:ascii="Arial" w:hAnsi="Arial" w:cs="Arial"/>
        </w:rPr>
      </w:pPr>
    </w:p>
    <w:p w14:paraId="18031C03" w14:textId="70348DB0" w:rsidR="00DB53A2" w:rsidRDefault="00DB53A2">
      <w:pPr>
        <w:pStyle w:val="EndnoteText"/>
      </w:pPr>
      <w:r w:rsidRPr="00D227BC">
        <w:rPr>
          <w:rStyle w:val="EndnoteReference"/>
          <w:rFonts w:ascii="Arial" w:hAnsi="Arial" w:cs="Arial"/>
        </w:rPr>
        <w:endnoteRef/>
      </w:r>
      <w:r w:rsidRPr="00D227BC">
        <w:rPr>
          <w:rFonts w:ascii="Arial" w:hAnsi="Arial" w:cs="Arial"/>
        </w:rPr>
        <w:t xml:space="preserve"> 2010-2012 WO017 </w:t>
      </w:r>
      <w:proofErr w:type="gramStart"/>
      <w:r w:rsidRPr="00D227BC">
        <w:rPr>
          <w:rFonts w:ascii="Arial" w:hAnsi="Arial" w:cs="Arial"/>
        </w:rPr>
        <w:t>Ex</w:t>
      </w:r>
      <w:proofErr w:type="gramEnd"/>
      <w:r w:rsidRPr="00D227BC">
        <w:rPr>
          <w:rFonts w:ascii="Arial" w:hAnsi="Arial" w:cs="Arial"/>
        </w:rPr>
        <w:t xml:space="preserve"> Ante Measure Cost Study Final Report.  </w:t>
      </w:r>
      <w:proofErr w:type="spellStart"/>
      <w:r w:rsidRPr="00D227BC">
        <w:rPr>
          <w:rFonts w:ascii="Arial" w:hAnsi="Arial" w:cs="Arial"/>
        </w:rPr>
        <w:t>Itron</w:t>
      </w:r>
      <w:proofErr w:type="spellEnd"/>
      <w:r w:rsidRPr="00D227BC">
        <w:rPr>
          <w:rFonts w:ascii="Arial" w:hAnsi="Arial" w:cs="Arial"/>
        </w:rPr>
        <w:t>, Inc.  May 27, 2014.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2D9F1" w14:textId="77777777" w:rsidR="00DB53A2" w:rsidRDefault="00DB53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F2D9F2" w14:textId="77777777" w:rsidR="00DB53A2" w:rsidRDefault="00DB53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2D9F3" w14:textId="77777777" w:rsidR="00DB53A2" w:rsidRDefault="00DB53A2">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Pr>
        <w:rStyle w:val="PageNumber"/>
        <w:b/>
        <w:noProof/>
        <w:sz w:val="20"/>
        <w:szCs w:val="20"/>
      </w:rPr>
      <w:t>ii</w:t>
    </w:r>
    <w:r>
      <w:rPr>
        <w:rStyle w:val="PageNumber"/>
        <w:b/>
        <w:sz w:val="20"/>
        <w:szCs w:val="20"/>
      </w:rPr>
      <w:fldChar w:fldCharType="end"/>
    </w:r>
  </w:p>
  <w:p w14:paraId="4BF2D9F4" w14:textId="77777777" w:rsidR="00DB53A2" w:rsidRDefault="00DB53A2">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Pr>
        <w:b/>
        <w:color w:val="FF0000"/>
        <w:sz w:val="20"/>
        <w:szCs w:val="20"/>
      </w:rPr>
      <w:t>X</w:t>
    </w:r>
    <w:r>
      <w:rPr>
        <w:b/>
        <w:sz w:val="20"/>
        <w:szCs w:val="20"/>
      </w:rPr>
      <w:tab/>
    </w:r>
    <w:r>
      <w:rPr>
        <w:b/>
        <w:sz w:val="20"/>
        <w:szCs w:val="20"/>
      </w:rPr>
      <w:tab/>
      <w:t>11/20/2007</w:t>
    </w:r>
  </w:p>
  <w:p w14:paraId="4BF2D9F5" w14:textId="77777777" w:rsidR="00DB53A2" w:rsidRDefault="00DB53A2">
    <w:pPr>
      <w:pStyle w:val="Footer"/>
      <w:rPr>
        <w:b/>
        <w:sz w:val="20"/>
        <w:szCs w:val="20"/>
      </w:rPr>
    </w:pPr>
    <w:r>
      <w:rPr>
        <w:b/>
        <w:sz w:val="20"/>
        <w:szCs w:val="20"/>
      </w:rPr>
      <w:t>Pacific Gas &amp; Electric Company</w:t>
    </w:r>
  </w:p>
  <w:p w14:paraId="4BF2D9F6" w14:textId="77777777" w:rsidR="00DB53A2" w:rsidRDefault="00DB53A2">
    <w:pPr>
      <w:pStyle w:val="Footer"/>
      <w:rPr>
        <w:b/>
        <w:color w:val="0000FF"/>
        <w:sz w:val="20"/>
        <w:szCs w:val="20"/>
      </w:rPr>
    </w:pPr>
    <w:r>
      <w:rPr>
        <w:b/>
        <w:color w:val="0000FF"/>
        <w:sz w:val="20"/>
        <w:szCs w:val="20"/>
      </w:rPr>
      <w:fldChar w:fldCharType="begin"/>
    </w:r>
    <w:r>
      <w:rPr>
        <w:b/>
        <w:color w:val="0000FF"/>
        <w:sz w:val="20"/>
        <w:szCs w:val="20"/>
      </w:rPr>
      <w:instrText xml:space="preserve"> FILENAME </w:instrText>
    </w:r>
    <w:r>
      <w:rPr>
        <w:b/>
        <w:color w:val="0000FF"/>
        <w:sz w:val="20"/>
        <w:szCs w:val="20"/>
      </w:rPr>
      <w:fldChar w:fldCharType="separate"/>
    </w:r>
    <w:r>
      <w:rPr>
        <w:b/>
        <w:noProof/>
        <w:color w:val="0000FF"/>
        <w:sz w:val="20"/>
        <w:szCs w:val="20"/>
      </w:rPr>
      <w:t>PGECOLTG114 R5 Linear Fluorescent Int Fixture.docx</w:t>
    </w:r>
    <w:r>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2D9F7" w14:textId="009143EA" w:rsidR="00DB53A2" w:rsidRDefault="00DB53A2">
    <w:pPr>
      <w:pStyle w:val="Footer"/>
      <w:jc w:val="right"/>
      <w:rPr>
        <w:rFonts w:ascii="Arial" w:hAnsi="Arial" w:cs="Arial"/>
        <w:b/>
        <w:sz w:val="36"/>
        <w:szCs w:val="36"/>
      </w:rPr>
    </w:pPr>
    <w:r>
      <w:rPr>
        <w:rFonts w:ascii="Arial" w:hAnsi="Arial" w:cs="Arial"/>
        <w:b/>
        <w:sz w:val="36"/>
        <w:szCs w:val="36"/>
      </w:rPr>
      <w:t>1/1/2016</w:t>
    </w:r>
  </w:p>
  <w:p w14:paraId="4BF2D9F8" w14:textId="77777777" w:rsidR="00DB53A2" w:rsidRDefault="00DB53A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2D9FC" w14:textId="77777777" w:rsidR="00DB53A2" w:rsidRDefault="00DB53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F2D9FD" w14:textId="77777777" w:rsidR="00DB53A2" w:rsidRDefault="00DB53A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2D9FE" w14:textId="77777777" w:rsidR="00DB53A2" w:rsidRDefault="00DB53A2">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sidR="00D227BC">
      <w:rPr>
        <w:rStyle w:val="PageNumber"/>
        <w:b/>
        <w:noProof/>
        <w:sz w:val="20"/>
        <w:szCs w:val="20"/>
      </w:rPr>
      <w:t>10</w:t>
    </w:r>
    <w:r>
      <w:rPr>
        <w:rStyle w:val="PageNumber"/>
        <w:b/>
        <w:sz w:val="20"/>
        <w:szCs w:val="20"/>
      </w:rPr>
      <w:fldChar w:fldCharType="end"/>
    </w:r>
  </w:p>
  <w:p w14:paraId="4BF2D9FF" w14:textId="3B30F60F" w:rsidR="00DB53A2" w:rsidRPr="0003076C" w:rsidRDefault="00DB53A2">
    <w:pPr>
      <w:pStyle w:val="Footer"/>
      <w:pBdr>
        <w:top w:val="single" w:sz="4" w:space="1" w:color="auto"/>
      </w:pBdr>
      <w:tabs>
        <w:tab w:val="clear" w:pos="8640"/>
        <w:tab w:val="right" w:pos="9360"/>
      </w:tabs>
      <w:rPr>
        <w:b/>
        <w:sz w:val="20"/>
        <w:szCs w:val="20"/>
      </w:rPr>
    </w:pPr>
    <w:r w:rsidRPr="0003076C">
      <w:rPr>
        <w:b/>
        <w:sz w:val="20"/>
        <w:szCs w:val="20"/>
      </w:rPr>
      <w:t>W</w:t>
    </w:r>
    <w:r>
      <w:rPr>
        <w:b/>
        <w:sz w:val="20"/>
        <w:szCs w:val="20"/>
      </w:rPr>
      <w:t>ork Paper PGECOLTG114 Revision 7</w:t>
    </w:r>
    <w:r w:rsidRPr="0003076C">
      <w:rPr>
        <w:b/>
        <w:sz w:val="20"/>
        <w:szCs w:val="20"/>
      </w:rPr>
      <w:tab/>
    </w:r>
    <w:r w:rsidRPr="0003076C">
      <w:rPr>
        <w:b/>
        <w:sz w:val="20"/>
        <w:szCs w:val="20"/>
      </w:rPr>
      <w:tab/>
    </w:r>
    <w:r>
      <w:rPr>
        <w:b/>
        <w:sz w:val="20"/>
        <w:szCs w:val="20"/>
      </w:rPr>
      <w:t xml:space="preserve">1/1/2016         </w:t>
    </w:r>
  </w:p>
  <w:p w14:paraId="4BF2DA00" w14:textId="77777777" w:rsidR="00DB53A2" w:rsidRPr="0003076C" w:rsidRDefault="00DB53A2">
    <w:pPr>
      <w:pStyle w:val="Footer"/>
      <w:rPr>
        <w:b/>
        <w:sz w:val="20"/>
        <w:szCs w:val="20"/>
      </w:rPr>
    </w:pPr>
    <w:r w:rsidRPr="0003076C">
      <w:rPr>
        <w:b/>
        <w:sz w:val="20"/>
        <w:szCs w:val="20"/>
      </w:rPr>
      <w:t>Pacific Gas &amp; Electric Company</w:t>
    </w:r>
  </w:p>
  <w:p w14:paraId="4BF2DA01" w14:textId="77777777" w:rsidR="00DB53A2" w:rsidRDefault="00DB53A2">
    <w:pPr>
      <w:pStyle w:val="Footer"/>
      <w:rPr>
        <w:b/>
        <w:color w:val="0000FF"/>
        <w:sz w:val="20"/>
        <w:szCs w:val="20"/>
      </w:rPr>
    </w:pPr>
    <w:r w:rsidRPr="0003076C">
      <w:rPr>
        <w:b/>
        <w:sz w:val="20"/>
        <w:szCs w:val="20"/>
      </w:rPr>
      <w:fldChar w:fldCharType="begin"/>
    </w:r>
    <w:r w:rsidRPr="0003076C">
      <w:rPr>
        <w:b/>
        <w:sz w:val="20"/>
        <w:szCs w:val="20"/>
      </w:rPr>
      <w:instrText xml:space="preserve"> FILENAME </w:instrText>
    </w:r>
    <w:r w:rsidRPr="0003076C">
      <w:rPr>
        <w:b/>
        <w:sz w:val="20"/>
        <w:szCs w:val="20"/>
      </w:rPr>
      <w:fldChar w:fldCharType="separate"/>
    </w:r>
    <w:r>
      <w:rPr>
        <w:b/>
        <w:noProof/>
        <w:sz w:val="20"/>
        <w:szCs w:val="20"/>
      </w:rPr>
      <w:t>PGECOLTG114 R7 Linear Fluorescent Int Fixture.docx</w:t>
    </w:r>
    <w:r w:rsidRPr="0003076C">
      <w:rPr>
        <w:b/>
        <w:sz w:val="20"/>
        <w:szCs w:val="20"/>
      </w:rPr>
      <w:fldChar w:fldCharType="end"/>
    </w:r>
    <w:r>
      <w:rPr>
        <w:b/>
        <w:color w:val="0000FF"/>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2DA03" w14:textId="77777777" w:rsidR="00DB53A2" w:rsidRDefault="00DB53A2">
    <w:pPr>
      <w:pStyle w:val="Footer"/>
      <w:jc w:val="right"/>
      <w:rPr>
        <w:rFonts w:ascii="Arial" w:hAnsi="Arial" w:cs="Arial"/>
        <w:b/>
        <w:sz w:val="36"/>
        <w:szCs w:val="36"/>
      </w:rPr>
    </w:pPr>
    <w:r>
      <w:rPr>
        <w:rFonts w:ascii="Arial" w:hAnsi="Arial" w:cs="Arial"/>
        <w:b/>
        <w:sz w:val="36"/>
        <w:szCs w:val="36"/>
      </w:rPr>
      <w:t>Date of Last Revision</w:t>
    </w:r>
  </w:p>
  <w:p w14:paraId="4BF2DA04" w14:textId="77777777" w:rsidR="00DB53A2" w:rsidRDefault="00DB53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894775" w14:textId="77777777" w:rsidR="00DB53A2" w:rsidRDefault="00DB53A2">
      <w:r>
        <w:separator/>
      </w:r>
    </w:p>
  </w:footnote>
  <w:footnote w:type="continuationSeparator" w:id="0">
    <w:p w14:paraId="3CDD6F64" w14:textId="77777777" w:rsidR="00DB53A2" w:rsidRDefault="00DB53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2D9EE" w14:textId="77777777" w:rsidR="00DB53A2" w:rsidRDefault="00D227BC">
    <w:pPr>
      <w:pStyle w:val="Header"/>
    </w:pPr>
    <w:r>
      <w:rPr>
        <w:noProof/>
      </w:rPr>
      <w:pict w14:anchorId="4BF2DA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72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2D9EF" w14:textId="77777777" w:rsidR="00DB53A2" w:rsidRDefault="00DB53A2">
    <w:pPr>
      <w:pStyle w:val="Header"/>
      <w:jc w:val="right"/>
    </w:pPr>
  </w:p>
  <w:p w14:paraId="4BF2D9F0" w14:textId="77777777" w:rsidR="00DB53A2" w:rsidRDefault="00DB53A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2D9F9" w14:textId="77777777" w:rsidR="00DB53A2" w:rsidRDefault="00D227BC">
    <w:pPr>
      <w:pStyle w:val="Header"/>
    </w:pPr>
    <w:r>
      <w:rPr>
        <w:noProof/>
      </w:rPr>
      <w:pict w14:anchorId="4BF2DA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2D9FA" w14:textId="77777777" w:rsidR="00DB53A2" w:rsidRPr="00FF7DDB" w:rsidRDefault="00DB53A2" w:rsidP="00FF7DD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2DA02" w14:textId="77777777" w:rsidR="00DB53A2" w:rsidRDefault="00D227BC">
    <w:pPr>
      <w:pStyle w:val="Header"/>
    </w:pPr>
    <w:r>
      <w:rPr>
        <w:noProof/>
      </w:rPr>
      <w:pict w14:anchorId="4BF2DA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77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A6E783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149856E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2115AD"/>
    <w:multiLevelType w:val="hybridMultilevel"/>
    <w:tmpl w:val="6E4CB9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603379"/>
    <w:multiLevelType w:val="hybridMultilevel"/>
    <w:tmpl w:val="BC049B68"/>
    <w:lvl w:ilvl="0" w:tplc="E0B88EE8">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794719C"/>
    <w:multiLevelType w:val="hybridMultilevel"/>
    <w:tmpl w:val="66368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CB4572"/>
    <w:multiLevelType w:val="hybridMultilevel"/>
    <w:tmpl w:val="71928964"/>
    <w:lvl w:ilvl="0" w:tplc="04090001">
      <w:start w:val="1"/>
      <w:numFmt w:val="bullet"/>
      <w:lvlText w:val=""/>
      <w:lvlJc w:val="left"/>
      <w:pPr>
        <w:ind w:left="720" w:hanging="360"/>
      </w:pPr>
      <w:rPr>
        <w:rFonts w:ascii="Symbol" w:hAnsi="Symbol" w:hint="default"/>
      </w:rPr>
    </w:lvl>
    <w:lvl w:ilvl="1" w:tplc="61F6A25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F9093B"/>
    <w:multiLevelType w:val="hybridMultilevel"/>
    <w:tmpl w:val="095C71E0"/>
    <w:lvl w:ilvl="0" w:tplc="2BB2DB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1002C4F"/>
    <w:multiLevelType w:val="multilevel"/>
    <w:tmpl w:val="9728792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23FD58A6"/>
    <w:multiLevelType w:val="hybridMultilevel"/>
    <w:tmpl w:val="DFBCDE76"/>
    <w:lvl w:ilvl="0" w:tplc="9CBC8716">
      <w:start w:val="1"/>
      <w:numFmt w:val="decimal"/>
      <w:lvlText w:val="%1."/>
      <w:lvlJc w:val="left"/>
      <w:pPr>
        <w:ind w:left="720" w:hanging="360"/>
      </w:pPr>
      <w:rPr>
        <w:rFonts w:ascii="Times New Roman" w:hAnsi="Times New Roman" w:cs="Times New Roman" w:hint="default"/>
        <w:color w:val="FF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CF16E7"/>
    <w:multiLevelType w:val="multilevel"/>
    <w:tmpl w:val="AE8EF7AE"/>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2BD4269"/>
    <w:multiLevelType w:val="hybridMultilevel"/>
    <w:tmpl w:val="11765F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A4F2ACA"/>
    <w:multiLevelType w:val="hybridMultilevel"/>
    <w:tmpl w:val="310049F4"/>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1E3D5F"/>
    <w:multiLevelType w:val="hybridMultilevel"/>
    <w:tmpl w:val="2BF01DEA"/>
    <w:lvl w:ilvl="0" w:tplc="791CB578">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EA44C60"/>
    <w:multiLevelType w:val="multilevel"/>
    <w:tmpl w:val="97204C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85A648A"/>
    <w:multiLevelType w:val="hybridMultilevel"/>
    <w:tmpl w:val="D23CC83E"/>
    <w:lvl w:ilvl="0" w:tplc="1A2A098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E5128A"/>
    <w:multiLevelType w:val="hybridMultilevel"/>
    <w:tmpl w:val="E6D895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C25755"/>
    <w:multiLevelType w:val="hybridMultilevel"/>
    <w:tmpl w:val="48E6EF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A114A1D"/>
    <w:multiLevelType w:val="hybridMultilevel"/>
    <w:tmpl w:val="0854D070"/>
    <w:lvl w:ilvl="0" w:tplc="2BB2DB7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04310C0"/>
    <w:multiLevelType w:val="hybridMultilevel"/>
    <w:tmpl w:val="915A8FE0"/>
    <w:lvl w:ilvl="0" w:tplc="02B2C9FE">
      <w:start w:val="1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820856"/>
    <w:multiLevelType w:val="singleLevel"/>
    <w:tmpl w:val="6C78A414"/>
    <w:lvl w:ilvl="0">
      <w:start w:val="1"/>
      <w:numFmt w:val="decimal"/>
      <w:lvlText w:val="%1."/>
      <w:legacy w:legacy="1" w:legacySpace="0" w:legacyIndent="0"/>
      <w:lvlJc w:val="left"/>
    </w:lvl>
  </w:abstractNum>
  <w:abstractNum w:abstractNumId="24">
    <w:nsid w:val="7CAF27DD"/>
    <w:multiLevelType w:val="hybridMultilevel"/>
    <w:tmpl w:val="466E7650"/>
    <w:lvl w:ilvl="0" w:tplc="343A20B0">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num w:numId="1">
    <w:abstractNumId w:val="6"/>
  </w:num>
  <w:num w:numId="2">
    <w:abstractNumId w:val="14"/>
  </w:num>
  <w:num w:numId="3">
    <w:abstractNumId w:val="7"/>
  </w:num>
  <w:num w:numId="4">
    <w:abstractNumId w:val="9"/>
  </w:num>
  <w:num w:numId="5">
    <w:abstractNumId w:val="23"/>
  </w:num>
  <w:num w:numId="6">
    <w:abstractNumId w:val="17"/>
  </w:num>
  <w:num w:numId="7">
    <w:abstractNumId w:val="13"/>
  </w:num>
  <w:num w:numId="8">
    <w:abstractNumId w:val="10"/>
  </w:num>
  <w:num w:numId="9">
    <w:abstractNumId w:val="1"/>
  </w:num>
  <w:num w:numId="10">
    <w:abstractNumId w:val="0"/>
  </w:num>
  <w:num w:numId="11">
    <w:abstractNumId w:val="16"/>
  </w:num>
  <w:num w:numId="12">
    <w:abstractNumId w:val="24"/>
  </w:num>
  <w:num w:numId="13">
    <w:abstractNumId w:val="8"/>
  </w:num>
  <w:num w:numId="14">
    <w:abstractNumId w:val="2"/>
  </w:num>
  <w:num w:numId="15">
    <w:abstractNumId w:val="21"/>
  </w:num>
  <w:num w:numId="16">
    <w:abstractNumId w:val="20"/>
  </w:num>
  <w:num w:numId="17">
    <w:abstractNumId w:val="18"/>
  </w:num>
  <w:num w:numId="18">
    <w:abstractNumId w:val="22"/>
  </w:num>
  <w:num w:numId="19">
    <w:abstractNumId w:val="12"/>
  </w:num>
  <w:num w:numId="20">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1"/>
  </w:num>
  <w:num w:numId="23">
    <w:abstractNumId w:val="19"/>
  </w:num>
  <w:num w:numId="24">
    <w:abstractNumId w:val="3"/>
  </w:num>
  <w:num w:numId="25">
    <w:abstractNumId w:val="4"/>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C77"/>
    <w:rsid w:val="00001CC9"/>
    <w:rsid w:val="00001ECA"/>
    <w:rsid w:val="00004E7A"/>
    <w:rsid w:val="00004EF3"/>
    <w:rsid w:val="00005217"/>
    <w:rsid w:val="00010428"/>
    <w:rsid w:val="000114C1"/>
    <w:rsid w:val="00013640"/>
    <w:rsid w:val="000146C9"/>
    <w:rsid w:val="00014D82"/>
    <w:rsid w:val="000163B1"/>
    <w:rsid w:val="000176B5"/>
    <w:rsid w:val="00022A77"/>
    <w:rsid w:val="0002435E"/>
    <w:rsid w:val="00030144"/>
    <w:rsid w:val="0003076C"/>
    <w:rsid w:val="00032606"/>
    <w:rsid w:val="0003263B"/>
    <w:rsid w:val="000406CE"/>
    <w:rsid w:val="0004103B"/>
    <w:rsid w:val="00042D11"/>
    <w:rsid w:val="00044274"/>
    <w:rsid w:val="000444C9"/>
    <w:rsid w:val="0005099A"/>
    <w:rsid w:val="0005298D"/>
    <w:rsid w:val="000538DA"/>
    <w:rsid w:val="00057576"/>
    <w:rsid w:val="00062C0B"/>
    <w:rsid w:val="00063D98"/>
    <w:rsid w:val="00064F6A"/>
    <w:rsid w:val="00065422"/>
    <w:rsid w:val="00066419"/>
    <w:rsid w:val="00071D1D"/>
    <w:rsid w:val="00072795"/>
    <w:rsid w:val="00074402"/>
    <w:rsid w:val="000753F1"/>
    <w:rsid w:val="00076A93"/>
    <w:rsid w:val="0007720B"/>
    <w:rsid w:val="00080012"/>
    <w:rsid w:val="0008011E"/>
    <w:rsid w:val="00082E92"/>
    <w:rsid w:val="000839B8"/>
    <w:rsid w:val="00085ED0"/>
    <w:rsid w:val="000863B5"/>
    <w:rsid w:val="00087A80"/>
    <w:rsid w:val="00091A9D"/>
    <w:rsid w:val="00092BA5"/>
    <w:rsid w:val="0009443D"/>
    <w:rsid w:val="00095A5D"/>
    <w:rsid w:val="000A262A"/>
    <w:rsid w:val="000B0F6F"/>
    <w:rsid w:val="000B2622"/>
    <w:rsid w:val="000B3F6C"/>
    <w:rsid w:val="000B78D5"/>
    <w:rsid w:val="000B7998"/>
    <w:rsid w:val="000C1227"/>
    <w:rsid w:val="000C3ECB"/>
    <w:rsid w:val="000C4C1E"/>
    <w:rsid w:val="000C6527"/>
    <w:rsid w:val="000C7CDD"/>
    <w:rsid w:val="000D1473"/>
    <w:rsid w:val="000D1CDD"/>
    <w:rsid w:val="000D3843"/>
    <w:rsid w:val="000D560A"/>
    <w:rsid w:val="000D590F"/>
    <w:rsid w:val="000D5AC9"/>
    <w:rsid w:val="000D6884"/>
    <w:rsid w:val="000D73EA"/>
    <w:rsid w:val="000E1EC5"/>
    <w:rsid w:val="000E6770"/>
    <w:rsid w:val="000F13C0"/>
    <w:rsid w:val="000F1D5B"/>
    <w:rsid w:val="000F2648"/>
    <w:rsid w:val="000F40DC"/>
    <w:rsid w:val="000F6271"/>
    <w:rsid w:val="000F6416"/>
    <w:rsid w:val="000F7784"/>
    <w:rsid w:val="001023D4"/>
    <w:rsid w:val="00103A87"/>
    <w:rsid w:val="001061B9"/>
    <w:rsid w:val="00110B9E"/>
    <w:rsid w:val="00114382"/>
    <w:rsid w:val="0011440F"/>
    <w:rsid w:val="0011719D"/>
    <w:rsid w:val="00122141"/>
    <w:rsid w:val="001229AB"/>
    <w:rsid w:val="001236DF"/>
    <w:rsid w:val="00124B90"/>
    <w:rsid w:val="00126605"/>
    <w:rsid w:val="00133F58"/>
    <w:rsid w:val="001351CD"/>
    <w:rsid w:val="0013706E"/>
    <w:rsid w:val="00140675"/>
    <w:rsid w:val="0014082C"/>
    <w:rsid w:val="001411A3"/>
    <w:rsid w:val="00147B77"/>
    <w:rsid w:val="00151EE6"/>
    <w:rsid w:val="00160722"/>
    <w:rsid w:val="00161F09"/>
    <w:rsid w:val="00162BC1"/>
    <w:rsid w:val="00163040"/>
    <w:rsid w:val="001631E5"/>
    <w:rsid w:val="001642D0"/>
    <w:rsid w:val="00164824"/>
    <w:rsid w:val="00165437"/>
    <w:rsid w:val="00177A36"/>
    <w:rsid w:val="00177D1B"/>
    <w:rsid w:val="001820E2"/>
    <w:rsid w:val="00184C65"/>
    <w:rsid w:val="0018684B"/>
    <w:rsid w:val="00187355"/>
    <w:rsid w:val="00187AA4"/>
    <w:rsid w:val="0019077F"/>
    <w:rsid w:val="00190BD5"/>
    <w:rsid w:val="00191A14"/>
    <w:rsid w:val="0019203D"/>
    <w:rsid w:val="00192293"/>
    <w:rsid w:val="001A1D1B"/>
    <w:rsid w:val="001A3A91"/>
    <w:rsid w:val="001A434A"/>
    <w:rsid w:val="001A4A99"/>
    <w:rsid w:val="001B1DB4"/>
    <w:rsid w:val="001B25A2"/>
    <w:rsid w:val="001B2D24"/>
    <w:rsid w:val="001B3113"/>
    <w:rsid w:val="001B399E"/>
    <w:rsid w:val="001B5A08"/>
    <w:rsid w:val="001C1976"/>
    <w:rsid w:val="001C405D"/>
    <w:rsid w:val="001D41EC"/>
    <w:rsid w:val="001D47C5"/>
    <w:rsid w:val="001D5162"/>
    <w:rsid w:val="001D6763"/>
    <w:rsid w:val="001D7272"/>
    <w:rsid w:val="001E2BAC"/>
    <w:rsid w:val="001E3D88"/>
    <w:rsid w:val="001E3DAD"/>
    <w:rsid w:val="001E4F40"/>
    <w:rsid w:val="001E5639"/>
    <w:rsid w:val="001F2DD7"/>
    <w:rsid w:val="001F31A7"/>
    <w:rsid w:val="001F35A9"/>
    <w:rsid w:val="001F4B4E"/>
    <w:rsid w:val="001F6739"/>
    <w:rsid w:val="001F7A8B"/>
    <w:rsid w:val="00200022"/>
    <w:rsid w:val="00200A3B"/>
    <w:rsid w:val="00200D19"/>
    <w:rsid w:val="00202841"/>
    <w:rsid w:val="00203AB6"/>
    <w:rsid w:val="00203FF4"/>
    <w:rsid w:val="00205EF2"/>
    <w:rsid w:val="002158E2"/>
    <w:rsid w:val="0022385C"/>
    <w:rsid w:val="002243BB"/>
    <w:rsid w:val="00225A7A"/>
    <w:rsid w:val="00225FCC"/>
    <w:rsid w:val="00233AA3"/>
    <w:rsid w:val="0023487D"/>
    <w:rsid w:val="002362C2"/>
    <w:rsid w:val="00240696"/>
    <w:rsid w:val="00240FD4"/>
    <w:rsid w:val="00243C88"/>
    <w:rsid w:val="00243D7E"/>
    <w:rsid w:val="002458EB"/>
    <w:rsid w:val="00251F96"/>
    <w:rsid w:val="002528C0"/>
    <w:rsid w:val="00253B3D"/>
    <w:rsid w:val="00256FBC"/>
    <w:rsid w:val="00257B11"/>
    <w:rsid w:val="002615F2"/>
    <w:rsid w:val="0026232E"/>
    <w:rsid w:val="0026440B"/>
    <w:rsid w:val="002660D7"/>
    <w:rsid w:val="002730D6"/>
    <w:rsid w:val="0027451C"/>
    <w:rsid w:val="00274837"/>
    <w:rsid w:val="00274916"/>
    <w:rsid w:val="0027680C"/>
    <w:rsid w:val="00287DAE"/>
    <w:rsid w:val="00290950"/>
    <w:rsid w:val="00292FF3"/>
    <w:rsid w:val="002940AC"/>
    <w:rsid w:val="00294B9A"/>
    <w:rsid w:val="002A079F"/>
    <w:rsid w:val="002A0FB8"/>
    <w:rsid w:val="002A128E"/>
    <w:rsid w:val="002A1327"/>
    <w:rsid w:val="002A2DE3"/>
    <w:rsid w:val="002A4E5F"/>
    <w:rsid w:val="002B2E25"/>
    <w:rsid w:val="002B2E78"/>
    <w:rsid w:val="002C0512"/>
    <w:rsid w:val="002C0E32"/>
    <w:rsid w:val="002C1B02"/>
    <w:rsid w:val="002C262D"/>
    <w:rsid w:val="002D1FE1"/>
    <w:rsid w:val="002D2534"/>
    <w:rsid w:val="002D3289"/>
    <w:rsid w:val="002D4DEC"/>
    <w:rsid w:val="002D63EE"/>
    <w:rsid w:val="002D696E"/>
    <w:rsid w:val="002E0E0E"/>
    <w:rsid w:val="002E2949"/>
    <w:rsid w:val="002E4A9E"/>
    <w:rsid w:val="002E69C3"/>
    <w:rsid w:val="002F2490"/>
    <w:rsid w:val="002F5CF6"/>
    <w:rsid w:val="002F653A"/>
    <w:rsid w:val="002F701F"/>
    <w:rsid w:val="00301912"/>
    <w:rsid w:val="0030245C"/>
    <w:rsid w:val="00303E65"/>
    <w:rsid w:val="00305556"/>
    <w:rsid w:val="0030676E"/>
    <w:rsid w:val="003079E8"/>
    <w:rsid w:val="00312CAA"/>
    <w:rsid w:val="0031315A"/>
    <w:rsid w:val="00313B0D"/>
    <w:rsid w:val="00320322"/>
    <w:rsid w:val="003234BF"/>
    <w:rsid w:val="00325EAA"/>
    <w:rsid w:val="003269FB"/>
    <w:rsid w:val="003326CB"/>
    <w:rsid w:val="00332E49"/>
    <w:rsid w:val="003341CE"/>
    <w:rsid w:val="003346A4"/>
    <w:rsid w:val="00334A9A"/>
    <w:rsid w:val="00343388"/>
    <w:rsid w:val="003433B9"/>
    <w:rsid w:val="00347682"/>
    <w:rsid w:val="00347CAA"/>
    <w:rsid w:val="003567AE"/>
    <w:rsid w:val="0035718F"/>
    <w:rsid w:val="003600EA"/>
    <w:rsid w:val="00360E14"/>
    <w:rsid w:val="00362797"/>
    <w:rsid w:val="003652A6"/>
    <w:rsid w:val="00370650"/>
    <w:rsid w:val="00372513"/>
    <w:rsid w:val="00372BBC"/>
    <w:rsid w:val="0037329B"/>
    <w:rsid w:val="003732E7"/>
    <w:rsid w:val="00374DA2"/>
    <w:rsid w:val="00380309"/>
    <w:rsid w:val="00380594"/>
    <w:rsid w:val="003854A7"/>
    <w:rsid w:val="00387984"/>
    <w:rsid w:val="0039099B"/>
    <w:rsid w:val="00397D63"/>
    <w:rsid w:val="003A21AF"/>
    <w:rsid w:val="003A3998"/>
    <w:rsid w:val="003A449D"/>
    <w:rsid w:val="003A4D26"/>
    <w:rsid w:val="003A5697"/>
    <w:rsid w:val="003A67D3"/>
    <w:rsid w:val="003B1AE9"/>
    <w:rsid w:val="003B2BC5"/>
    <w:rsid w:val="003B5064"/>
    <w:rsid w:val="003B5EDC"/>
    <w:rsid w:val="003C10DF"/>
    <w:rsid w:val="003C1D22"/>
    <w:rsid w:val="003C2635"/>
    <w:rsid w:val="003C2E03"/>
    <w:rsid w:val="003C3BF1"/>
    <w:rsid w:val="003C50B2"/>
    <w:rsid w:val="003C5A79"/>
    <w:rsid w:val="003C6D3E"/>
    <w:rsid w:val="003D6779"/>
    <w:rsid w:val="003E0EF4"/>
    <w:rsid w:val="003E1C9E"/>
    <w:rsid w:val="003E1CBA"/>
    <w:rsid w:val="003E248A"/>
    <w:rsid w:val="003E449C"/>
    <w:rsid w:val="003E59C2"/>
    <w:rsid w:val="003E768B"/>
    <w:rsid w:val="003F1357"/>
    <w:rsid w:val="003F22F3"/>
    <w:rsid w:val="003F3AF2"/>
    <w:rsid w:val="003F43D6"/>
    <w:rsid w:val="003F655C"/>
    <w:rsid w:val="003F6BB3"/>
    <w:rsid w:val="004002D6"/>
    <w:rsid w:val="004017D5"/>
    <w:rsid w:val="00401B5A"/>
    <w:rsid w:val="00401BBF"/>
    <w:rsid w:val="00401F34"/>
    <w:rsid w:val="00411398"/>
    <w:rsid w:val="00411C39"/>
    <w:rsid w:val="0041595A"/>
    <w:rsid w:val="00416B13"/>
    <w:rsid w:val="004171CF"/>
    <w:rsid w:val="004173F1"/>
    <w:rsid w:val="00417F24"/>
    <w:rsid w:val="004206A1"/>
    <w:rsid w:val="00424B9D"/>
    <w:rsid w:val="00425407"/>
    <w:rsid w:val="00426AFF"/>
    <w:rsid w:val="00426DB1"/>
    <w:rsid w:val="004274BD"/>
    <w:rsid w:val="004309DA"/>
    <w:rsid w:val="0043294F"/>
    <w:rsid w:val="00432C2D"/>
    <w:rsid w:val="00434763"/>
    <w:rsid w:val="00435175"/>
    <w:rsid w:val="00435317"/>
    <w:rsid w:val="00442578"/>
    <w:rsid w:val="00444714"/>
    <w:rsid w:val="0044485B"/>
    <w:rsid w:val="00447382"/>
    <w:rsid w:val="0045296F"/>
    <w:rsid w:val="00453C5A"/>
    <w:rsid w:val="00454C2E"/>
    <w:rsid w:val="00455FD7"/>
    <w:rsid w:val="00457D5E"/>
    <w:rsid w:val="004654F9"/>
    <w:rsid w:val="00467333"/>
    <w:rsid w:val="00470FD2"/>
    <w:rsid w:val="004710ED"/>
    <w:rsid w:val="0047553F"/>
    <w:rsid w:val="00477869"/>
    <w:rsid w:val="00477F89"/>
    <w:rsid w:val="00481F22"/>
    <w:rsid w:val="004842B5"/>
    <w:rsid w:val="004849FE"/>
    <w:rsid w:val="0048500D"/>
    <w:rsid w:val="00486BDE"/>
    <w:rsid w:val="0048762B"/>
    <w:rsid w:val="00490542"/>
    <w:rsid w:val="004937EB"/>
    <w:rsid w:val="004941B4"/>
    <w:rsid w:val="00496200"/>
    <w:rsid w:val="004976F8"/>
    <w:rsid w:val="004A1169"/>
    <w:rsid w:val="004A33DD"/>
    <w:rsid w:val="004A363C"/>
    <w:rsid w:val="004A3C70"/>
    <w:rsid w:val="004A5C43"/>
    <w:rsid w:val="004A5D2E"/>
    <w:rsid w:val="004B3B33"/>
    <w:rsid w:val="004B3DFF"/>
    <w:rsid w:val="004B463C"/>
    <w:rsid w:val="004B59A5"/>
    <w:rsid w:val="004D0022"/>
    <w:rsid w:val="004D6AA1"/>
    <w:rsid w:val="004E21CD"/>
    <w:rsid w:val="004E2E85"/>
    <w:rsid w:val="004E381A"/>
    <w:rsid w:val="004E41DC"/>
    <w:rsid w:val="004E75CE"/>
    <w:rsid w:val="004F0C35"/>
    <w:rsid w:val="004F3116"/>
    <w:rsid w:val="004F4565"/>
    <w:rsid w:val="004F4EEC"/>
    <w:rsid w:val="004F5AB0"/>
    <w:rsid w:val="004F6101"/>
    <w:rsid w:val="004F7F34"/>
    <w:rsid w:val="00504414"/>
    <w:rsid w:val="0050555D"/>
    <w:rsid w:val="00510295"/>
    <w:rsid w:val="00510C8F"/>
    <w:rsid w:val="00511D24"/>
    <w:rsid w:val="0051200F"/>
    <w:rsid w:val="00513BBA"/>
    <w:rsid w:val="0051630E"/>
    <w:rsid w:val="00522E9C"/>
    <w:rsid w:val="00523AF2"/>
    <w:rsid w:val="00527997"/>
    <w:rsid w:val="005311AC"/>
    <w:rsid w:val="00531F81"/>
    <w:rsid w:val="005329B4"/>
    <w:rsid w:val="00532AEF"/>
    <w:rsid w:val="0053318E"/>
    <w:rsid w:val="00533347"/>
    <w:rsid w:val="00534352"/>
    <w:rsid w:val="005360E4"/>
    <w:rsid w:val="00537326"/>
    <w:rsid w:val="00540C05"/>
    <w:rsid w:val="00541284"/>
    <w:rsid w:val="005432FC"/>
    <w:rsid w:val="00546213"/>
    <w:rsid w:val="00547613"/>
    <w:rsid w:val="005478D4"/>
    <w:rsid w:val="0054798F"/>
    <w:rsid w:val="00547A45"/>
    <w:rsid w:val="00551A31"/>
    <w:rsid w:val="00551BF0"/>
    <w:rsid w:val="0055324E"/>
    <w:rsid w:val="00553CD8"/>
    <w:rsid w:val="00561BAE"/>
    <w:rsid w:val="00561E70"/>
    <w:rsid w:val="005669D1"/>
    <w:rsid w:val="00567714"/>
    <w:rsid w:val="00567903"/>
    <w:rsid w:val="00571F3A"/>
    <w:rsid w:val="005727CE"/>
    <w:rsid w:val="00574605"/>
    <w:rsid w:val="00574B58"/>
    <w:rsid w:val="0057536E"/>
    <w:rsid w:val="005762DE"/>
    <w:rsid w:val="005833F9"/>
    <w:rsid w:val="00583933"/>
    <w:rsid w:val="00583C47"/>
    <w:rsid w:val="00584F6A"/>
    <w:rsid w:val="005860EE"/>
    <w:rsid w:val="0058652C"/>
    <w:rsid w:val="0058783F"/>
    <w:rsid w:val="0059198E"/>
    <w:rsid w:val="00592D9C"/>
    <w:rsid w:val="00593B7B"/>
    <w:rsid w:val="0059670A"/>
    <w:rsid w:val="005A23BF"/>
    <w:rsid w:val="005A5AF9"/>
    <w:rsid w:val="005B4E2C"/>
    <w:rsid w:val="005B57CA"/>
    <w:rsid w:val="005B6FC0"/>
    <w:rsid w:val="005B7B8A"/>
    <w:rsid w:val="005C06CE"/>
    <w:rsid w:val="005C2F33"/>
    <w:rsid w:val="005C3433"/>
    <w:rsid w:val="005C3EE2"/>
    <w:rsid w:val="005C568E"/>
    <w:rsid w:val="005C68F8"/>
    <w:rsid w:val="005D01A0"/>
    <w:rsid w:val="005D2E82"/>
    <w:rsid w:val="005D2E97"/>
    <w:rsid w:val="005D2FCA"/>
    <w:rsid w:val="005D41E8"/>
    <w:rsid w:val="005D5C8C"/>
    <w:rsid w:val="005D62C2"/>
    <w:rsid w:val="005D6990"/>
    <w:rsid w:val="005D6B6F"/>
    <w:rsid w:val="005D6E88"/>
    <w:rsid w:val="005E13B0"/>
    <w:rsid w:val="005E454D"/>
    <w:rsid w:val="005E53F6"/>
    <w:rsid w:val="005E7664"/>
    <w:rsid w:val="005F0BB1"/>
    <w:rsid w:val="005F0BCE"/>
    <w:rsid w:val="005F3983"/>
    <w:rsid w:val="005F5C66"/>
    <w:rsid w:val="00605DE9"/>
    <w:rsid w:val="006064D9"/>
    <w:rsid w:val="006124BA"/>
    <w:rsid w:val="00612CBE"/>
    <w:rsid w:val="006146A2"/>
    <w:rsid w:val="006155D7"/>
    <w:rsid w:val="00621EF8"/>
    <w:rsid w:val="00622E35"/>
    <w:rsid w:val="00623C50"/>
    <w:rsid w:val="00625223"/>
    <w:rsid w:val="006258E0"/>
    <w:rsid w:val="00626489"/>
    <w:rsid w:val="00626B80"/>
    <w:rsid w:val="00626E0E"/>
    <w:rsid w:val="0063046A"/>
    <w:rsid w:val="00630E14"/>
    <w:rsid w:val="00631D2A"/>
    <w:rsid w:val="00634CD4"/>
    <w:rsid w:val="00640120"/>
    <w:rsid w:val="00640F3F"/>
    <w:rsid w:val="0064531F"/>
    <w:rsid w:val="006510A6"/>
    <w:rsid w:val="006521AB"/>
    <w:rsid w:val="006550C7"/>
    <w:rsid w:val="0065640A"/>
    <w:rsid w:val="006604DD"/>
    <w:rsid w:val="006643DF"/>
    <w:rsid w:val="0067137B"/>
    <w:rsid w:val="00671AE1"/>
    <w:rsid w:val="006722F9"/>
    <w:rsid w:val="00674B95"/>
    <w:rsid w:val="00676E2D"/>
    <w:rsid w:val="0068015E"/>
    <w:rsid w:val="006806C6"/>
    <w:rsid w:val="006850E3"/>
    <w:rsid w:val="00686F2D"/>
    <w:rsid w:val="00687CA6"/>
    <w:rsid w:val="0069051E"/>
    <w:rsid w:val="00692598"/>
    <w:rsid w:val="00692B05"/>
    <w:rsid w:val="006947DF"/>
    <w:rsid w:val="00694DED"/>
    <w:rsid w:val="00695138"/>
    <w:rsid w:val="00695CE2"/>
    <w:rsid w:val="00696036"/>
    <w:rsid w:val="00696110"/>
    <w:rsid w:val="00696C16"/>
    <w:rsid w:val="006A011D"/>
    <w:rsid w:val="006A091F"/>
    <w:rsid w:val="006A54A8"/>
    <w:rsid w:val="006B207F"/>
    <w:rsid w:val="006B222A"/>
    <w:rsid w:val="006B3258"/>
    <w:rsid w:val="006B673B"/>
    <w:rsid w:val="006B7075"/>
    <w:rsid w:val="006C3467"/>
    <w:rsid w:val="006C5CC5"/>
    <w:rsid w:val="006C6293"/>
    <w:rsid w:val="006C6606"/>
    <w:rsid w:val="006C665C"/>
    <w:rsid w:val="006C6CAF"/>
    <w:rsid w:val="006E03BD"/>
    <w:rsid w:val="006E0732"/>
    <w:rsid w:val="006E0DF7"/>
    <w:rsid w:val="006E182D"/>
    <w:rsid w:val="006E2D7F"/>
    <w:rsid w:val="006E2E69"/>
    <w:rsid w:val="006E473E"/>
    <w:rsid w:val="006F137E"/>
    <w:rsid w:val="006F2672"/>
    <w:rsid w:val="006F594E"/>
    <w:rsid w:val="006F65CD"/>
    <w:rsid w:val="006F6870"/>
    <w:rsid w:val="006F687F"/>
    <w:rsid w:val="006F7723"/>
    <w:rsid w:val="007011CF"/>
    <w:rsid w:val="00702D99"/>
    <w:rsid w:val="00702DC6"/>
    <w:rsid w:val="00703EBB"/>
    <w:rsid w:val="0070439C"/>
    <w:rsid w:val="00704601"/>
    <w:rsid w:val="00704DA4"/>
    <w:rsid w:val="00707EBA"/>
    <w:rsid w:val="00713557"/>
    <w:rsid w:val="007135D5"/>
    <w:rsid w:val="00713630"/>
    <w:rsid w:val="00716AE2"/>
    <w:rsid w:val="00721359"/>
    <w:rsid w:val="007214F1"/>
    <w:rsid w:val="00721D89"/>
    <w:rsid w:val="007244A2"/>
    <w:rsid w:val="00725252"/>
    <w:rsid w:val="00727488"/>
    <w:rsid w:val="00730714"/>
    <w:rsid w:val="007309D6"/>
    <w:rsid w:val="007323FF"/>
    <w:rsid w:val="007339CA"/>
    <w:rsid w:val="00735A8F"/>
    <w:rsid w:val="007418B9"/>
    <w:rsid w:val="00741D13"/>
    <w:rsid w:val="0074220A"/>
    <w:rsid w:val="0074274D"/>
    <w:rsid w:val="00746CC8"/>
    <w:rsid w:val="00753B79"/>
    <w:rsid w:val="007552BA"/>
    <w:rsid w:val="0075569A"/>
    <w:rsid w:val="00756A4F"/>
    <w:rsid w:val="00760F3F"/>
    <w:rsid w:val="00761BC3"/>
    <w:rsid w:val="007627C0"/>
    <w:rsid w:val="00771689"/>
    <w:rsid w:val="007744F7"/>
    <w:rsid w:val="00775A66"/>
    <w:rsid w:val="007760B0"/>
    <w:rsid w:val="00777A02"/>
    <w:rsid w:val="00777BCD"/>
    <w:rsid w:val="0078608B"/>
    <w:rsid w:val="00795F78"/>
    <w:rsid w:val="00796C18"/>
    <w:rsid w:val="00797DCA"/>
    <w:rsid w:val="007A0988"/>
    <w:rsid w:val="007A3050"/>
    <w:rsid w:val="007A5633"/>
    <w:rsid w:val="007B1AC8"/>
    <w:rsid w:val="007B2338"/>
    <w:rsid w:val="007B41F9"/>
    <w:rsid w:val="007B6B20"/>
    <w:rsid w:val="007C0CAA"/>
    <w:rsid w:val="007C1D1D"/>
    <w:rsid w:val="007C2112"/>
    <w:rsid w:val="007C2958"/>
    <w:rsid w:val="007C360A"/>
    <w:rsid w:val="007C6581"/>
    <w:rsid w:val="007C6835"/>
    <w:rsid w:val="007C6AFE"/>
    <w:rsid w:val="007D2EF1"/>
    <w:rsid w:val="007D3002"/>
    <w:rsid w:val="007D70B1"/>
    <w:rsid w:val="007D711C"/>
    <w:rsid w:val="007E7276"/>
    <w:rsid w:val="007E73B0"/>
    <w:rsid w:val="007E74E6"/>
    <w:rsid w:val="007F0919"/>
    <w:rsid w:val="007F12AB"/>
    <w:rsid w:val="007F1D15"/>
    <w:rsid w:val="007F20F9"/>
    <w:rsid w:val="007F51AA"/>
    <w:rsid w:val="007F619F"/>
    <w:rsid w:val="00801224"/>
    <w:rsid w:val="008144A2"/>
    <w:rsid w:val="0082521A"/>
    <w:rsid w:val="00826386"/>
    <w:rsid w:val="0082697F"/>
    <w:rsid w:val="00830B1E"/>
    <w:rsid w:val="00830EC4"/>
    <w:rsid w:val="00831F48"/>
    <w:rsid w:val="00832293"/>
    <w:rsid w:val="00836CEC"/>
    <w:rsid w:val="00844157"/>
    <w:rsid w:val="008446EC"/>
    <w:rsid w:val="008459CD"/>
    <w:rsid w:val="0085359F"/>
    <w:rsid w:val="008545C2"/>
    <w:rsid w:val="008574C7"/>
    <w:rsid w:val="008576D1"/>
    <w:rsid w:val="0086554A"/>
    <w:rsid w:val="0086590B"/>
    <w:rsid w:val="00870618"/>
    <w:rsid w:val="0087503B"/>
    <w:rsid w:val="00876395"/>
    <w:rsid w:val="0087771F"/>
    <w:rsid w:val="00881216"/>
    <w:rsid w:val="00884121"/>
    <w:rsid w:val="008859B4"/>
    <w:rsid w:val="00885BC6"/>
    <w:rsid w:val="008861BC"/>
    <w:rsid w:val="00886F42"/>
    <w:rsid w:val="00887FA5"/>
    <w:rsid w:val="00890587"/>
    <w:rsid w:val="00891EB2"/>
    <w:rsid w:val="0089245F"/>
    <w:rsid w:val="00893A99"/>
    <w:rsid w:val="008949C8"/>
    <w:rsid w:val="00895794"/>
    <w:rsid w:val="00896A9A"/>
    <w:rsid w:val="008A1668"/>
    <w:rsid w:val="008A1EC4"/>
    <w:rsid w:val="008A3BFC"/>
    <w:rsid w:val="008A4298"/>
    <w:rsid w:val="008A7485"/>
    <w:rsid w:val="008B0444"/>
    <w:rsid w:val="008B0BB4"/>
    <w:rsid w:val="008B1435"/>
    <w:rsid w:val="008B231F"/>
    <w:rsid w:val="008B39E8"/>
    <w:rsid w:val="008B5585"/>
    <w:rsid w:val="008B6EE3"/>
    <w:rsid w:val="008B7FAA"/>
    <w:rsid w:val="008C1D90"/>
    <w:rsid w:val="008C1E57"/>
    <w:rsid w:val="008C310C"/>
    <w:rsid w:val="008C3235"/>
    <w:rsid w:val="008D0266"/>
    <w:rsid w:val="008D242F"/>
    <w:rsid w:val="008D43ED"/>
    <w:rsid w:val="008D4965"/>
    <w:rsid w:val="008D4B1C"/>
    <w:rsid w:val="008D4D0E"/>
    <w:rsid w:val="008D5B6A"/>
    <w:rsid w:val="008D7C56"/>
    <w:rsid w:val="008E2209"/>
    <w:rsid w:val="008E521E"/>
    <w:rsid w:val="00900F7F"/>
    <w:rsid w:val="0090169B"/>
    <w:rsid w:val="0090176D"/>
    <w:rsid w:val="00902871"/>
    <w:rsid w:val="00904539"/>
    <w:rsid w:val="00905F3F"/>
    <w:rsid w:val="0090666D"/>
    <w:rsid w:val="00906754"/>
    <w:rsid w:val="0090684D"/>
    <w:rsid w:val="009070C4"/>
    <w:rsid w:val="00912CFF"/>
    <w:rsid w:val="00912FAA"/>
    <w:rsid w:val="00916CF4"/>
    <w:rsid w:val="009170EB"/>
    <w:rsid w:val="009256E8"/>
    <w:rsid w:val="00925A19"/>
    <w:rsid w:val="0092732B"/>
    <w:rsid w:val="00930AF5"/>
    <w:rsid w:val="0093397A"/>
    <w:rsid w:val="009373E1"/>
    <w:rsid w:val="009405DF"/>
    <w:rsid w:val="009405F3"/>
    <w:rsid w:val="009428A1"/>
    <w:rsid w:val="009435F7"/>
    <w:rsid w:val="00947129"/>
    <w:rsid w:val="00947D9C"/>
    <w:rsid w:val="009500FA"/>
    <w:rsid w:val="00951330"/>
    <w:rsid w:val="00951467"/>
    <w:rsid w:val="00953CEE"/>
    <w:rsid w:val="00954F97"/>
    <w:rsid w:val="009575C8"/>
    <w:rsid w:val="00957676"/>
    <w:rsid w:val="00957F7D"/>
    <w:rsid w:val="0096487C"/>
    <w:rsid w:val="00965A1F"/>
    <w:rsid w:val="00966BB4"/>
    <w:rsid w:val="0096726A"/>
    <w:rsid w:val="0097354E"/>
    <w:rsid w:val="00973F4B"/>
    <w:rsid w:val="00975C47"/>
    <w:rsid w:val="009776DA"/>
    <w:rsid w:val="00980C13"/>
    <w:rsid w:val="009815D1"/>
    <w:rsid w:val="009817BB"/>
    <w:rsid w:val="00990E84"/>
    <w:rsid w:val="00997625"/>
    <w:rsid w:val="00997F4C"/>
    <w:rsid w:val="009A3ADB"/>
    <w:rsid w:val="009A5A87"/>
    <w:rsid w:val="009A68C3"/>
    <w:rsid w:val="009A76F7"/>
    <w:rsid w:val="009B0EBA"/>
    <w:rsid w:val="009B3646"/>
    <w:rsid w:val="009B44D5"/>
    <w:rsid w:val="009B46DE"/>
    <w:rsid w:val="009B4980"/>
    <w:rsid w:val="009B4FE7"/>
    <w:rsid w:val="009B6519"/>
    <w:rsid w:val="009B660F"/>
    <w:rsid w:val="009B79A7"/>
    <w:rsid w:val="009C01D1"/>
    <w:rsid w:val="009D131E"/>
    <w:rsid w:val="009D1CE2"/>
    <w:rsid w:val="009D3C60"/>
    <w:rsid w:val="009E1E2E"/>
    <w:rsid w:val="009E3494"/>
    <w:rsid w:val="009E4BAB"/>
    <w:rsid w:val="009E557E"/>
    <w:rsid w:val="009E671A"/>
    <w:rsid w:val="009F6AFD"/>
    <w:rsid w:val="00A00968"/>
    <w:rsid w:val="00A021E1"/>
    <w:rsid w:val="00A03B28"/>
    <w:rsid w:val="00A04A78"/>
    <w:rsid w:val="00A05930"/>
    <w:rsid w:val="00A11B55"/>
    <w:rsid w:val="00A131A1"/>
    <w:rsid w:val="00A137D5"/>
    <w:rsid w:val="00A14657"/>
    <w:rsid w:val="00A15FAF"/>
    <w:rsid w:val="00A1652F"/>
    <w:rsid w:val="00A17A87"/>
    <w:rsid w:val="00A17A8A"/>
    <w:rsid w:val="00A21B4C"/>
    <w:rsid w:val="00A27998"/>
    <w:rsid w:val="00A347A9"/>
    <w:rsid w:val="00A40598"/>
    <w:rsid w:val="00A436CA"/>
    <w:rsid w:val="00A469EF"/>
    <w:rsid w:val="00A476C2"/>
    <w:rsid w:val="00A47FEF"/>
    <w:rsid w:val="00A52F2F"/>
    <w:rsid w:val="00A57626"/>
    <w:rsid w:val="00A60569"/>
    <w:rsid w:val="00A6224A"/>
    <w:rsid w:val="00A62AF3"/>
    <w:rsid w:val="00A643B9"/>
    <w:rsid w:val="00A658F8"/>
    <w:rsid w:val="00A65DE6"/>
    <w:rsid w:val="00A6727C"/>
    <w:rsid w:val="00A71303"/>
    <w:rsid w:val="00A73154"/>
    <w:rsid w:val="00A73630"/>
    <w:rsid w:val="00A73C4B"/>
    <w:rsid w:val="00A7406F"/>
    <w:rsid w:val="00A75A29"/>
    <w:rsid w:val="00A8205B"/>
    <w:rsid w:val="00A825C2"/>
    <w:rsid w:val="00A830A2"/>
    <w:rsid w:val="00A848D5"/>
    <w:rsid w:val="00A84BF1"/>
    <w:rsid w:val="00A8519F"/>
    <w:rsid w:val="00A85375"/>
    <w:rsid w:val="00A87B47"/>
    <w:rsid w:val="00A9196D"/>
    <w:rsid w:val="00A91A5B"/>
    <w:rsid w:val="00A92141"/>
    <w:rsid w:val="00A93BC7"/>
    <w:rsid w:val="00A9565D"/>
    <w:rsid w:val="00A97101"/>
    <w:rsid w:val="00A9796C"/>
    <w:rsid w:val="00AA1F24"/>
    <w:rsid w:val="00AA2134"/>
    <w:rsid w:val="00AA45C6"/>
    <w:rsid w:val="00AA56B0"/>
    <w:rsid w:val="00AA5F34"/>
    <w:rsid w:val="00AA6DC8"/>
    <w:rsid w:val="00AB0755"/>
    <w:rsid w:val="00AB375E"/>
    <w:rsid w:val="00AC0A55"/>
    <w:rsid w:val="00AC0EC8"/>
    <w:rsid w:val="00AC2E23"/>
    <w:rsid w:val="00AC3BBD"/>
    <w:rsid w:val="00AC56D1"/>
    <w:rsid w:val="00AC5851"/>
    <w:rsid w:val="00AD5402"/>
    <w:rsid w:val="00AD66D7"/>
    <w:rsid w:val="00AE06A9"/>
    <w:rsid w:val="00AE1732"/>
    <w:rsid w:val="00AE2078"/>
    <w:rsid w:val="00AE3704"/>
    <w:rsid w:val="00AE623E"/>
    <w:rsid w:val="00AF41D4"/>
    <w:rsid w:val="00AF48E6"/>
    <w:rsid w:val="00AF7835"/>
    <w:rsid w:val="00B021EA"/>
    <w:rsid w:val="00B02E1F"/>
    <w:rsid w:val="00B035BD"/>
    <w:rsid w:val="00B0384C"/>
    <w:rsid w:val="00B04BEE"/>
    <w:rsid w:val="00B069C9"/>
    <w:rsid w:val="00B14DA5"/>
    <w:rsid w:val="00B215E4"/>
    <w:rsid w:val="00B21928"/>
    <w:rsid w:val="00B26E8C"/>
    <w:rsid w:val="00B31801"/>
    <w:rsid w:val="00B318F9"/>
    <w:rsid w:val="00B31D50"/>
    <w:rsid w:val="00B349DE"/>
    <w:rsid w:val="00B37D06"/>
    <w:rsid w:val="00B431F7"/>
    <w:rsid w:val="00B44CF7"/>
    <w:rsid w:val="00B5097E"/>
    <w:rsid w:val="00B50BF3"/>
    <w:rsid w:val="00B5323A"/>
    <w:rsid w:val="00B54F7E"/>
    <w:rsid w:val="00B56069"/>
    <w:rsid w:val="00B57D26"/>
    <w:rsid w:val="00B61500"/>
    <w:rsid w:val="00B63B60"/>
    <w:rsid w:val="00B65124"/>
    <w:rsid w:val="00B65224"/>
    <w:rsid w:val="00B65F4E"/>
    <w:rsid w:val="00B67072"/>
    <w:rsid w:val="00B676F3"/>
    <w:rsid w:val="00B7517A"/>
    <w:rsid w:val="00B84D09"/>
    <w:rsid w:val="00B84F2B"/>
    <w:rsid w:val="00B9196F"/>
    <w:rsid w:val="00B94AD5"/>
    <w:rsid w:val="00B9771F"/>
    <w:rsid w:val="00BA09DE"/>
    <w:rsid w:val="00BA0C61"/>
    <w:rsid w:val="00BA191E"/>
    <w:rsid w:val="00BA1A6C"/>
    <w:rsid w:val="00BA24E7"/>
    <w:rsid w:val="00BA52EB"/>
    <w:rsid w:val="00BA57FC"/>
    <w:rsid w:val="00BA6263"/>
    <w:rsid w:val="00BA696D"/>
    <w:rsid w:val="00BB0058"/>
    <w:rsid w:val="00BB2FA8"/>
    <w:rsid w:val="00BB3DB7"/>
    <w:rsid w:val="00BB6D65"/>
    <w:rsid w:val="00BC0BCD"/>
    <w:rsid w:val="00BC1F09"/>
    <w:rsid w:val="00BC78BE"/>
    <w:rsid w:val="00BC7A6A"/>
    <w:rsid w:val="00BD5C99"/>
    <w:rsid w:val="00BD63C9"/>
    <w:rsid w:val="00BE24C5"/>
    <w:rsid w:val="00BE2EC0"/>
    <w:rsid w:val="00BE5216"/>
    <w:rsid w:val="00BE537B"/>
    <w:rsid w:val="00BF270B"/>
    <w:rsid w:val="00BF2D9A"/>
    <w:rsid w:val="00BF3DA6"/>
    <w:rsid w:val="00BF7806"/>
    <w:rsid w:val="00C00E75"/>
    <w:rsid w:val="00C01A21"/>
    <w:rsid w:val="00C06CC1"/>
    <w:rsid w:val="00C1141F"/>
    <w:rsid w:val="00C13513"/>
    <w:rsid w:val="00C15DFF"/>
    <w:rsid w:val="00C17D38"/>
    <w:rsid w:val="00C22B85"/>
    <w:rsid w:val="00C24BC9"/>
    <w:rsid w:val="00C25A1E"/>
    <w:rsid w:val="00C304DF"/>
    <w:rsid w:val="00C31805"/>
    <w:rsid w:val="00C36680"/>
    <w:rsid w:val="00C401A0"/>
    <w:rsid w:val="00C410C2"/>
    <w:rsid w:val="00C41710"/>
    <w:rsid w:val="00C41C15"/>
    <w:rsid w:val="00C443AA"/>
    <w:rsid w:val="00C469AB"/>
    <w:rsid w:val="00C50C50"/>
    <w:rsid w:val="00C51238"/>
    <w:rsid w:val="00C53131"/>
    <w:rsid w:val="00C531D7"/>
    <w:rsid w:val="00C54D3C"/>
    <w:rsid w:val="00C61DD8"/>
    <w:rsid w:val="00C63562"/>
    <w:rsid w:val="00C64BB5"/>
    <w:rsid w:val="00C64D06"/>
    <w:rsid w:val="00C65D66"/>
    <w:rsid w:val="00C70C9C"/>
    <w:rsid w:val="00C75C35"/>
    <w:rsid w:val="00C76D27"/>
    <w:rsid w:val="00C76DD3"/>
    <w:rsid w:val="00C818AB"/>
    <w:rsid w:val="00C85928"/>
    <w:rsid w:val="00C85B24"/>
    <w:rsid w:val="00C87A50"/>
    <w:rsid w:val="00C948C8"/>
    <w:rsid w:val="00C95697"/>
    <w:rsid w:val="00CA00CA"/>
    <w:rsid w:val="00CA0140"/>
    <w:rsid w:val="00CA106B"/>
    <w:rsid w:val="00CA3B09"/>
    <w:rsid w:val="00CA3DAF"/>
    <w:rsid w:val="00CA4D90"/>
    <w:rsid w:val="00CA7833"/>
    <w:rsid w:val="00CB1AE9"/>
    <w:rsid w:val="00CB1D9C"/>
    <w:rsid w:val="00CB3462"/>
    <w:rsid w:val="00CB7C37"/>
    <w:rsid w:val="00CC07E9"/>
    <w:rsid w:val="00CC1905"/>
    <w:rsid w:val="00CC1D2E"/>
    <w:rsid w:val="00CC3D94"/>
    <w:rsid w:val="00CC3ECD"/>
    <w:rsid w:val="00CC4725"/>
    <w:rsid w:val="00CC4D72"/>
    <w:rsid w:val="00CC52E5"/>
    <w:rsid w:val="00CC5A27"/>
    <w:rsid w:val="00CD0F4B"/>
    <w:rsid w:val="00CD1E6E"/>
    <w:rsid w:val="00CD2889"/>
    <w:rsid w:val="00CD3C78"/>
    <w:rsid w:val="00CD7661"/>
    <w:rsid w:val="00CE3AE0"/>
    <w:rsid w:val="00CE42C4"/>
    <w:rsid w:val="00CE5DA2"/>
    <w:rsid w:val="00CE6ED4"/>
    <w:rsid w:val="00CF0543"/>
    <w:rsid w:val="00CF13E8"/>
    <w:rsid w:val="00CF1AB6"/>
    <w:rsid w:val="00CF5A7E"/>
    <w:rsid w:val="00CF6CB6"/>
    <w:rsid w:val="00D000DF"/>
    <w:rsid w:val="00D0292B"/>
    <w:rsid w:val="00D02E3B"/>
    <w:rsid w:val="00D03C69"/>
    <w:rsid w:val="00D058BA"/>
    <w:rsid w:val="00D1054F"/>
    <w:rsid w:val="00D2001C"/>
    <w:rsid w:val="00D21784"/>
    <w:rsid w:val="00D21F04"/>
    <w:rsid w:val="00D227BC"/>
    <w:rsid w:val="00D22FD8"/>
    <w:rsid w:val="00D24BAE"/>
    <w:rsid w:val="00D268CA"/>
    <w:rsid w:val="00D31A98"/>
    <w:rsid w:val="00D33072"/>
    <w:rsid w:val="00D35F2F"/>
    <w:rsid w:val="00D37420"/>
    <w:rsid w:val="00D40AB7"/>
    <w:rsid w:val="00D41E1C"/>
    <w:rsid w:val="00D43BD5"/>
    <w:rsid w:val="00D4458E"/>
    <w:rsid w:val="00D46264"/>
    <w:rsid w:val="00D52163"/>
    <w:rsid w:val="00D52B76"/>
    <w:rsid w:val="00D55775"/>
    <w:rsid w:val="00D576A8"/>
    <w:rsid w:val="00D62364"/>
    <w:rsid w:val="00D646E3"/>
    <w:rsid w:val="00D653DC"/>
    <w:rsid w:val="00D67410"/>
    <w:rsid w:val="00D70218"/>
    <w:rsid w:val="00D71E72"/>
    <w:rsid w:val="00D73085"/>
    <w:rsid w:val="00D73B8B"/>
    <w:rsid w:val="00D74393"/>
    <w:rsid w:val="00D74847"/>
    <w:rsid w:val="00D76BEB"/>
    <w:rsid w:val="00D7759D"/>
    <w:rsid w:val="00D80ECC"/>
    <w:rsid w:val="00D8324A"/>
    <w:rsid w:val="00D8707B"/>
    <w:rsid w:val="00D92EEA"/>
    <w:rsid w:val="00D942FA"/>
    <w:rsid w:val="00D9453F"/>
    <w:rsid w:val="00DA1376"/>
    <w:rsid w:val="00DA3BF6"/>
    <w:rsid w:val="00DA50CB"/>
    <w:rsid w:val="00DA5B97"/>
    <w:rsid w:val="00DB2362"/>
    <w:rsid w:val="00DB2A6A"/>
    <w:rsid w:val="00DB4D1E"/>
    <w:rsid w:val="00DB53A2"/>
    <w:rsid w:val="00DB6A92"/>
    <w:rsid w:val="00DB7820"/>
    <w:rsid w:val="00DC06DD"/>
    <w:rsid w:val="00DC529A"/>
    <w:rsid w:val="00DD2536"/>
    <w:rsid w:val="00DD49EA"/>
    <w:rsid w:val="00DD5115"/>
    <w:rsid w:val="00DE30C1"/>
    <w:rsid w:val="00DE3BF6"/>
    <w:rsid w:val="00DE4E73"/>
    <w:rsid w:val="00DE64F1"/>
    <w:rsid w:val="00DE736F"/>
    <w:rsid w:val="00DE76C3"/>
    <w:rsid w:val="00DF0ED8"/>
    <w:rsid w:val="00DF1B5D"/>
    <w:rsid w:val="00DF5848"/>
    <w:rsid w:val="00E01481"/>
    <w:rsid w:val="00E02DEF"/>
    <w:rsid w:val="00E04C28"/>
    <w:rsid w:val="00E05E8C"/>
    <w:rsid w:val="00E06EAA"/>
    <w:rsid w:val="00E06FED"/>
    <w:rsid w:val="00E10539"/>
    <w:rsid w:val="00E15AC3"/>
    <w:rsid w:val="00E161F9"/>
    <w:rsid w:val="00E16F55"/>
    <w:rsid w:val="00E17805"/>
    <w:rsid w:val="00E2025F"/>
    <w:rsid w:val="00E20DE0"/>
    <w:rsid w:val="00E23FE0"/>
    <w:rsid w:val="00E26A4C"/>
    <w:rsid w:val="00E3146B"/>
    <w:rsid w:val="00E33B9C"/>
    <w:rsid w:val="00E37D98"/>
    <w:rsid w:val="00E47828"/>
    <w:rsid w:val="00E51556"/>
    <w:rsid w:val="00E5371A"/>
    <w:rsid w:val="00E53AE8"/>
    <w:rsid w:val="00E54088"/>
    <w:rsid w:val="00E54BC3"/>
    <w:rsid w:val="00E60281"/>
    <w:rsid w:val="00E61891"/>
    <w:rsid w:val="00E643FB"/>
    <w:rsid w:val="00E6570A"/>
    <w:rsid w:val="00E66773"/>
    <w:rsid w:val="00E70356"/>
    <w:rsid w:val="00E70E0A"/>
    <w:rsid w:val="00E72B94"/>
    <w:rsid w:val="00E73255"/>
    <w:rsid w:val="00E73C40"/>
    <w:rsid w:val="00E74614"/>
    <w:rsid w:val="00E75496"/>
    <w:rsid w:val="00E76898"/>
    <w:rsid w:val="00E8282D"/>
    <w:rsid w:val="00E85C9C"/>
    <w:rsid w:val="00E86321"/>
    <w:rsid w:val="00E86B6B"/>
    <w:rsid w:val="00E9048F"/>
    <w:rsid w:val="00E90A6F"/>
    <w:rsid w:val="00E9523D"/>
    <w:rsid w:val="00E967FE"/>
    <w:rsid w:val="00E96A10"/>
    <w:rsid w:val="00E97A21"/>
    <w:rsid w:val="00EA0AD1"/>
    <w:rsid w:val="00EA16E1"/>
    <w:rsid w:val="00EA19F4"/>
    <w:rsid w:val="00EA1FEB"/>
    <w:rsid w:val="00EA2592"/>
    <w:rsid w:val="00EA4751"/>
    <w:rsid w:val="00EA4F2A"/>
    <w:rsid w:val="00EA60CA"/>
    <w:rsid w:val="00EA6BB8"/>
    <w:rsid w:val="00EA6C7A"/>
    <w:rsid w:val="00EA6D65"/>
    <w:rsid w:val="00EB4E39"/>
    <w:rsid w:val="00EB61D6"/>
    <w:rsid w:val="00EB6943"/>
    <w:rsid w:val="00EC636E"/>
    <w:rsid w:val="00EC7EA7"/>
    <w:rsid w:val="00ED29F2"/>
    <w:rsid w:val="00ED39F4"/>
    <w:rsid w:val="00ED56F0"/>
    <w:rsid w:val="00ED7574"/>
    <w:rsid w:val="00EE4681"/>
    <w:rsid w:val="00EE7389"/>
    <w:rsid w:val="00EF02B7"/>
    <w:rsid w:val="00EF1366"/>
    <w:rsid w:val="00EF454F"/>
    <w:rsid w:val="00EF4695"/>
    <w:rsid w:val="00EF718E"/>
    <w:rsid w:val="00F01514"/>
    <w:rsid w:val="00F0254B"/>
    <w:rsid w:val="00F02EC6"/>
    <w:rsid w:val="00F031CB"/>
    <w:rsid w:val="00F03DEA"/>
    <w:rsid w:val="00F13150"/>
    <w:rsid w:val="00F141AF"/>
    <w:rsid w:val="00F14837"/>
    <w:rsid w:val="00F1714F"/>
    <w:rsid w:val="00F2174B"/>
    <w:rsid w:val="00F238FA"/>
    <w:rsid w:val="00F278A7"/>
    <w:rsid w:val="00F278CD"/>
    <w:rsid w:val="00F3023F"/>
    <w:rsid w:val="00F339A8"/>
    <w:rsid w:val="00F34BDA"/>
    <w:rsid w:val="00F356BE"/>
    <w:rsid w:val="00F36DCD"/>
    <w:rsid w:val="00F43575"/>
    <w:rsid w:val="00F43CDE"/>
    <w:rsid w:val="00F4675A"/>
    <w:rsid w:val="00F51385"/>
    <w:rsid w:val="00F51910"/>
    <w:rsid w:val="00F534E0"/>
    <w:rsid w:val="00F6380B"/>
    <w:rsid w:val="00F643DA"/>
    <w:rsid w:val="00F65A7E"/>
    <w:rsid w:val="00F65EF4"/>
    <w:rsid w:val="00F72C77"/>
    <w:rsid w:val="00F73550"/>
    <w:rsid w:val="00F7550B"/>
    <w:rsid w:val="00F7631C"/>
    <w:rsid w:val="00F767E9"/>
    <w:rsid w:val="00F77F68"/>
    <w:rsid w:val="00F81753"/>
    <w:rsid w:val="00F8187D"/>
    <w:rsid w:val="00F844C9"/>
    <w:rsid w:val="00F853DC"/>
    <w:rsid w:val="00F87B70"/>
    <w:rsid w:val="00F90893"/>
    <w:rsid w:val="00F90D19"/>
    <w:rsid w:val="00F90E99"/>
    <w:rsid w:val="00F91184"/>
    <w:rsid w:val="00F94AA6"/>
    <w:rsid w:val="00F9687D"/>
    <w:rsid w:val="00FA6896"/>
    <w:rsid w:val="00FA69BB"/>
    <w:rsid w:val="00FB37D7"/>
    <w:rsid w:val="00FB75DC"/>
    <w:rsid w:val="00FC2C46"/>
    <w:rsid w:val="00FC3500"/>
    <w:rsid w:val="00FC475C"/>
    <w:rsid w:val="00FC64B6"/>
    <w:rsid w:val="00FC6661"/>
    <w:rsid w:val="00FD5B88"/>
    <w:rsid w:val="00FD5F01"/>
    <w:rsid w:val="00FE087B"/>
    <w:rsid w:val="00FE1B72"/>
    <w:rsid w:val="00FE4D04"/>
    <w:rsid w:val="00FE6A08"/>
    <w:rsid w:val="00FE6D4E"/>
    <w:rsid w:val="00FF08D7"/>
    <w:rsid w:val="00FF0C7D"/>
    <w:rsid w:val="00FF5618"/>
    <w:rsid w:val="00FF6CDA"/>
    <w:rsid w:val="00FF7560"/>
    <w:rsid w:val="00FF7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4BF2D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78BE"/>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rsid w:val="006064D9"/>
    <w:pPr>
      <w:keepNext/>
      <w:spacing w:before="240" w:after="60"/>
      <w:outlineLvl w:val="3"/>
    </w:pPr>
    <w:rPr>
      <w:b/>
      <w:bCs/>
      <w:sz w:val="28"/>
      <w:szCs w:val="28"/>
    </w:rPr>
  </w:style>
  <w:style w:type="paragraph" w:styleId="Heading5">
    <w:name w:val="heading 5"/>
    <w:basedOn w:val="Normal"/>
    <w:next w:val="Normal"/>
    <w:qFormat/>
    <w:rsid w:val="006064D9"/>
    <w:pPr>
      <w:spacing w:before="240" w:after="60"/>
      <w:outlineLvl w:val="4"/>
    </w:pPr>
    <w:rPr>
      <w:b/>
      <w:bCs/>
      <w:i/>
      <w:iCs/>
      <w:sz w:val="26"/>
      <w:szCs w:val="26"/>
    </w:rPr>
  </w:style>
  <w:style w:type="paragraph" w:styleId="Heading6">
    <w:name w:val="heading 6"/>
    <w:basedOn w:val="Normal"/>
    <w:next w:val="Normal"/>
    <w:qFormat/>
    <w:rsid w:val="006064D9"/>
    <w:pPr>
      <w:spacing w:before="240" w:after="60"/>
      <w:outlineLvl w:val="5"/>
    </w:pPr>
    <w:rPr>
      <w:b/>
      <w:bCs/>
      <w:sz w:val="22"/>
      <w:szCs w:val="22"/>
    </w:rPr>
  </w:style>
  <w:style w:type="paragraph" w:styleId="Heading7">
    <w:name w:val="heading 7"/>
    <w:basedOn w:val="Normal"/>
    <w:next w:val="Normal"/>
    <w:qFormat/>
    <w:rsid w:val="006064D9"/>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rsid w:val="002660D7"/>
    <w:pPr>
      <w:tabs>
        <w:tab w:val="right" w:leader="dot" w:pos="4310"/>
      </w:tabs>
      <w:ind w:left="240" w:hanging="240"/>
    </w:pPr>
    <w:rPr>
      <w:rFonts w:ascii="Arial" w:hAnsi="Arial" w:cs="Arial"/>
      <w:noProof/>
    </w:rPr>
  </w:style>
  <w:style w:type="paragraph" w:customStyle="1" w:styleId="BasicText">
    <w:name w:val="Basic Text"/>
    <w:basedOn w:val="Normal"/>
    <w:pPr>
      <w:spacing w:before="40" w:after="40"/>
      <w:ind w:left="720"/>
    </w:pPr>
    <w:rPr>
      <w:color w:val="000000"/>
      <w:szCs w:val="20"/>
    </w:rPr>
  </w:style>
  <w:style w:type="table" w:styleId="TableGrid">
    <w:name w:val="Table Grid"/>
    <w:basedOn w:val="TableNormal"/>
    <w:uiPriority w:val="59"/>
    <w:rsid w:val="0034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List6">
    <w:name w:val="Table List 6"/>
    <w:basedOn w:val="TableNormal"/>
    <w:rsid w:val="00FF08D7"/>
    <w:tblPr>
      <w:tblStyleRowBandSize w:val="1"/>
      <w:tblBorders>
        <w:top w:val="single" w:sz="6" w:space="0" w:color="000000"/>
        <w:left w:val="single" w:sz="6" w:space="0" w:color="000000"/>
        <w:bottom w:val="single" w:sz="6" w:space="0" w:color="000000"/>
        <w:right w:val="single" w:sz="6" w:space="0" w:color="000000"/>
      </w:tblBorders>
    </w:tblPr>
    <w:tcPr>
      <w:shd w:val="clear" w:color="auto" w:fill="E0E0E0"/>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List">
    <w:name w:val="List"/>
    <w:basedOn w:val="Normal"/>
    <w:rsid w:val="006064D9"/>
    <w:pPr>
      <w:ind w:left="360" w:hanging="360"/>
    </w:pPr>
  </w:style>
  <w:style w:type="paragraph" w:styleId="List2">
    <w:name w:val="List 2"/>
    <w:basedOn w:val="Normal"/>
    <w:rsid w:val="006064D9"/>
    <w:pPr>
      <w:ind w:left="720" w:hanging="360"/>
    </w:pPr>
  </w:style>
  <w:style w:type="paragraph" w:styleId="ListBullet">
    <w:name w:val="List Bullet"/>
    <w:basedOn w:val="Normal"/>
    <w:rsid w:val="006064D9"/>
    <w:pPr>
      <w:numPr>
        <w:numId w:val="9"/>
      </w:numPr>
    </w:pPr>
  </w:style>
  <w:style w:type="paragraph" w:styleId="ListBullet2">
    <w:name w:val="List Bullet 2"/>
    <w:basedOn w:val="Normal"/>
    <w:rsid w:val="006064D9"/>
    <w:pPr>
      <w:numPr>
        <w:numId w:val="10"/>
      </w:numPr>
    </w:pPr>
  </w:style>
  <w:style w:type="paragraph" w:styleId="BodyText">
    <w:name w:val="Body Text"/>
    <w:basedOn w:val="Normal"/>
    <w:rsid w:val="006064D9"/>
    <w:pPr>
      <w:spacing w:after="120"/>
    </w:pPr>
  </w:style>
  <w:style w:type="paragraph" w:styleId="BodyTextFirstIndent">
    <w:name w:val="Body Text First Indent"/>
    <w:basedOn w:val="BodyText"/>
    <w:rsid w:val="006064D9"/>
    <w:pPr>
      <w:ind w:firstLine="210"/>
    </w:pPr>
  </w:style>
  <w:style w:type="paragraph" w:styleId="BodyTextIndent">
    <w:name w:val="Body Text Indent"/>
    <w:basedOn w:val="Normal"/>
    <w:rsid w:val="006064D9"/>
    <w:pPr>
      <w:spacing w:after="120"/>
      <w:ind w:left="360"/>
    </w:pPr>
  </w:style>
  <w:style w:type="paragraph" w:styleId="BodyTextFirstIndent2">
    <w:name w:val="Body Text First Indent 2"/>
    <w:basedOn w:val="BodyTextIndent"/>
    <w:rsid w:val="006064D9"/>
    <w:pPr>
      <w:ind w:firstLine="210"/>
    </w:pPr>
  </w:style>
  <w:style w:type="character" w:customStyle="1" w:styleId="apple-converted-space">
    <w:name w:val="apple-converted-space"/>
    <w:basedOn w:val="DefaultParagraphFont"/>
    <w:rsid w:val="00925A19"/>
  </w:style>
  <w:style w:type="character" w:styleId="Emphasis">
    <w:name w:val="Emphasis"/>
    <w:uiPriority w:val="20"/>
    <w:qFormat/>
    <w:rsid w:val="00925A19"/>
    <w:rPr>
      <w:i/>
      <w:iCs/>
    </w:rPr>
  </w:style>
  <w:style w:type="paragraph" w:styleId="Revision">
    <w:name w:val="Revision"/>
    <w:hidden/>
    <w:uiPriority w:val="99"/>
    <w:semiHidden/>
    <w:rsid w:val="00187355"/>
    <w:rPr>
      <w:sz w:val="24"/>
      <w:szCs w:val="24"/>
    </w:rPr>
  </w:style>
  <w:style w:type="character" w:customStyle="1" w:styleId="breadcrumbs">
    <w:name w:val="breadcrumbs"/>
    <w:rsid w:val="005B57CA"/>
  </w:style>
  <w:style w:type="paragraph" w:styleId="ListParagraph">
    <w:name w:val="List Paragraph"/>
    <w:basedOn w:val="Normal"/>
    <w:uiPriority w:val="34"/>
    <w:qFormat/>
    <w:rsid w:val="00523AF2"/>
    <w:pPr>
      <w:ind w:left="720"/>
    </w:pPr>
  </w:style>
  <w:style w:type="character" w:customStyle="1" w:styleId="Heading2Char">
    <w:name w:val="Heading 2 Char"/>
    <w:basedOn w:val="DefaultParagraphFont"/>
    <w:link w:val="Heading2"/>
    <w:rsid w:val="00BB0058"/>
    <w:rPr>
      <w:rFonts w:ascii="Arial" w:hAnsi="Arial" w:cs="Arial"/>
      <w:b/>
      <w:bCs/>
      <w:i/>
      <w:iCs/>
      <w:sz w:val="28"/>
      <w:szCs w:val="28"/>
    </w:rPr>
  </w:style>
  <w:style w:type="character" w:customStyle="1" w:styleId="CaptionChar">
    <w:name w:val="Caption Char"/>
    <w:link w:val="Caption"/>
    <w:locked/>
    <w:rsid w:val="00BB0058"/>
    <w:rPr>
      <w:b/>
      <w:bCs/>
    </w:rPr>
  </w:style>
  <w:style w:type="character" w:customStyle="1" w:styleId="EndnoteTextChar">
    <w:name w:val="Endnote Text Char"/>
    <w:basedOn w:val="DefaultParagraphFont"/>
    <w:link w:val="EndnoteText"/>
    <w:semiHidden/>
    <w:rsid w:val="00BB0058"/>
  </w:style>
  <w:style w:type="table" w:customStyle="1" w:styleId="TableGrid1">
    <w:name w:val="Table Grid1"/>
    <w:basedOn w:val="TableNormal"/>
    <w:next w:val="TableGrid"/>
    <w:rsid w:val="005833F9"/>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E161F9"/>
    <w:pPr>
      <w:spacing w:before="40" w:after="40"/>
    </w:pPr>
    <w:rPr>
      <w:rFonts w:ascii="Trebuchet MS" w:hAnsi="Trebuchet MS"/>
      <w:i/>
      <w:color w:val="FF0000"/>
      <w:sz w:val="22"/>
    </w:rPr>
  </w:style>
  <w:style w:type="character" w:customStyle="1" w:styleId="RemindersChar">
    <w:name w:val="Reminders Char"/>
    <w:basedOn w:val="DefaultParagraphFont"/>
    <w:link w:val="Reminders"/>
    <w:rsid w:val="00E161F9"/>
    <w:rPr>
      <w:rFonts w:ascii="Trebuchet MS" w:hAnsi="Trebuchet MS"/>
      <w:i/>
      <w:color w:val="FF0000"/>
      <w:sz w:val="22"/>
      <w:szCs w:val="24"/>
    </w:rPr>
  </w:style>
  <w:style w:type="paragraph" w:styleId="NoSpacing">
    <w:name w:val="No Spacing"/>
    <w:uiPriority w:val="1"/>
    <w:qFormat/>
    <w:rsid w:val="00E161F9"/>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78BE"/>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rsid w:val="006064D9"/>
    <w:pPr>
      <w:keepNext/>
      <w:spacing w:before="240" w:after="60"/>
      <w:outlineLvl w:val="3"/>
    </w:pPr>
    <w:rPr>
      <w:b/>
      <w:bCs/>
      <w:sz w:val="28"/>
      <w:szCs w:val="28"/>
    </w:rPr>
  </w:style>
  <w:style w:type="paragraph" w:styleId="Heading5">
    <w:name w:val="heading 5"/>
    <w:basedOn w:val="Normal"/>
    <w:next w:val="Normal"/>
    <w:qFormat/>
    <w:rsid w:val="006064D9"/>
    <w:pPr>
      <w:spacing w:before="240" w:after="60"/>
      <w:outlineLvl w:val="4"/>
    </w:pPr>
    <w:rPr>
      <w:b/>
      <w:bCs/>
      <w:i/>
      <w:iCs/>
      <w:sz w:val="26"/>
      <w:szCs w:val="26"/>
    </w:rPr>
  </w:style>
  <w:style w:type="paragraph" w:styleId="Heading6">
    <w:name w:val="heading 6"/>
    <w:basedOn w:val="Normal"/>
    <w:next w:val="Normal"/>
    <w:qFormat/>
    <w:rsid w:val="006064D9"/>
    <w:pPr>
      <w:spacing w:before="240" w:after="60"/>
      <w:outlineLvl w:val="5"/>
    </w:pPr>
    <w:rPr>
      <w:b/>
      <w:bCs/>
      <w:sz w:val="22"/>
      <w:szCs w:val="22"/>
    </w:rPr>
  </w:style>
  <w:style w:type="paragraph" w:styleId="Heading7">
    <w:name w:val="heading 7"/>
    <w:basedOn w:val="Normal"/>
    <w:next w:val="Normal"/>
    <w:qFormat/>
    <w:rsid w:val="006064D9"/>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rsid w:val="002660D7"/>
    <w:pPr>
      <w:tabs>
        <w:tab w:val="right" w:leader="dot" w:pos="4310"/>
      </w:tabs>
      <w:ind w:left="240" w:hanging="240"/>
    </w:pPr>
    <w:rPr>
      <w:rFonts w:ascii="Arial" w:hAnsi="Arial" w:cs="Arial"/>
      <w:noProof/>
    </w:rPr>
  </w:style>
  <w:style w:type="paragraph" w:customStyle="1" w:styleId="BasicText">
    <w:name w:val="Basic Text"/>
    <w:basedOn w:val="Normal"/>
    <w:pPr>
      <w:spacing w:before="40" w:after="40"/>
      <w:ind w:left="720"/>
    </w:pPr>
    <w:rPr>
      <w:color w:val="000000"/>
      <w:szCs w:val="20"/>
    </w:rPr>
  </w:style>
  <w:style w:type="table" w:styleId="TableGrid">
    <w:name w:val="Table Grid"/>
    <w:basedOn w:val="TableNormal"/>
    <w:uiPriority w:val="59"/>
    <w:rsid w:val="0034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List6">
    <w:name w:val="Table List 6"/>
    <w:basedOn w:val="TableNormal"/>
    <w:rsid w:val="00FF08D7"/>
    <w:tblPr>
      <w:tblStyleRowBandSize w:val="1"/>
      <w:tblBorders>
        <w:top w:val="single" w:sz="6" w:space="0" w:color="000000"/>
        <w:left w:val="single" w:sz="6" w:space="0" w:color="000000"/>
        <w:bottom w:val="single" w:sz="6" w:space="0" w:color="000000"/>
        <w:right w:val="single" w:sz="6" w:space="0" w:color="000000"/>
      </w:tblBorders>
    </w:tblPr>
    <w:tcPr>
      <w:shd w:val="clear" w:color="auto" w:fill="E0E0E0"/>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List">
    <w:name w:val="List"/>
    <w:basedOn w:val="Normal"/>
    <w:rsid w:val="006064D9"/>
    <w:pPr>
      <w:ind w:left="360" w:hanging="360"/>
    </w:pPr>
  </w:style>
  <w:style w:type="paragraph" w:styleId="List2">
    <w:name w:val="List 2"/>
    <w:basedOn w:val="Normal"/>
    <w:rsid w:val="006064D9"/>
    <w:pPr>
      <w:ind w:left="720" w:hanging="360"/>
    </w:pPr>
  </w:style>
  <w:style w:type="paragraph" w:styleId="ListBullet">
    <w:name w:val="List Bullet"/>
    <w:basedOn w:val="Normal"/>
    <w:rsid w:val="006064D9"/>
    <w:pPr>
      <w:numPr>
        <w:numId w:val="9"/>
      </w:numPr>
    </w:pPr>
  </w:style>
  <w:style w:type="paragraph" w:styleId="ListBullet2">
    <w:name w:val="List Bullet 2"/>
    <w:basedOn w:val="Normal"/>
    <w:rsid w:val="006064D9"/>
    <w:pPr>
      <w:numPr>
        <w:numId w:val="10"/>
      </w:numPr>
    </w:pPr>
  </w:style>
  <w:style w:type="paragraph" w:styleId="BodyText">
    <w:name w:val="Body Text"/>
    <w:basedOn w:val="Normal"/>
    <w:rsid w:val="006064D9"/>
    <w:pPr>
      <w:spacing w:after="120"/>
    </w:pPr>
  </w:style>
  <w:style w:type="paragraph" w:styleId="BodyTextFirstIndent">
    <w:name w:val="Body Text First Indent"/>
    <w:basedOn w:val="BodyText"/>
    <w:rsid w:val="006064D9"/>
    <w:pPr>
      <w:ind w:firstLine="210"/>
    </w:pPr>
  </w:style>
  <w:style w:type="paragraph" w:styleId="BodyTextIndent">
    <w:name w:val="Body Text Indent"/>
    <w:basedOn w:val="Normal"/>
    <w:rsid w:val="006064D9"/>
    <w:pPr>
      <w:spacing w:after="120"/>
      <w:ind w:left="360"/>
    </w:pPr>
  </w:style>
  <w:style w:type="paragraph" w:styleId="BodyTextFirstIndent2">
    <w:name w:val="Body Text First Indent 2"/>
    <w:basedOn w:val="BodyTextIndent"/>
    <w:rsid w:val="006064D9"/>
    <w:pPr>
      <w:ind w:firstLine="210"/>
    </w:pPr>
  </w:style>
  <w:style w:type="character" w:customStyle="1" w:styleId="apple-converted-space">
    <w:name w:val="apple-converted-space"/>
    <w:basedOn w:val="DefaultParagraphFont"/>
    <w:rsid w:val="00925A19"/>
  </w:style>
  <w:style w:type="character" w:styleId="Emphasis">
    <w:name w:val="Emphasis"/>
    <w:uiPriority w:val="20"/>
    <w:qFormat/>
    <w:rsid w:val="00925A19"/>
    <w:rPr>
      <w:i/>
      <w:iCs/>
    </w:rPr>
  </w:style>
  <w:style w:type="paragraph" w:styleId="Revision">
    <w:name w:val="Revision"/>
    <w:hidden/>
    <w:uiPriority w:val="99"/>
    <w:semiHidden/>
    <w:rsid w:val="00187355"/>
    <w:rPr>
      <w:sz w:val="24"/>
      <w:szCs w:val="24"/>
    </w:rPr>
  </w:style>
  <w:style w:type="character" w:customStyle="1" w:styleId="breadcrumbs">
    <w:name w:val="breadcrumbs"/>
    <w:rsid w:val="005B57CA"/>
  </w:style>
  <w:style w:type="paragraph" w:styleId="ListParagraph">
    <w:name w:val="List Paragraph"/>
    <w:basedOn w:val="Normal"/>
    <w:uiPriority w:val="34"/>
    <w:qFormat/>
    <w:rsid w:val="00523AF2"/>
    <w:pPr>
      <w:ind w:left="720"/>
    </w:pPr>
  </w:style>
  <w:style w:type="character" w:customStyle="1" w:styleId="Heading2Char">
    <w:name w:val="Heading 2 Char"/>
    <w:basedOn w:val="DefaultParagraphFont"/>
    <w:link w:val="Heading2"/>
    <w:rsid w:val="00BB0058"/>
    <w:rPr>
      <w:rFonts w:ascii="Arial" w:hAnsi="Arial" w:cs="Arial"/>
      <w:b/>
      <w:bCs/>
      <w:i/>
      <w:iCs/>
      <w:sz w:val="28"/>
      <w:szCs w:val="28"/>
    </w:rPr>
  </w:style>
  <w:style w:type="character" w:customStyle="1" w:styleId="CaptionChar">
    <w:name w:val="Caption Char"/>
    <w:link w:val="Caption"/>
    <w:locked/>
    <w:rsid w:val="00BB0058"/>
    <w:rPr>
      <w:b/>
      <w:bCs/>
    </w:rPr>
  </w:style>
  <w:style w:type="character" w:customStyle="1" w:styleId="EndnoteTextChar">
    <w:name w:val="Endnote Text Char"/>
    <w:basedOn w:val="DefaultParagraphFont"/>
    <w:link w:val="EndnoteText"/>
    <w:semiHidden/>
    <w:rsid w:val="00BB0058"/>
  </w:style>
  <w:style w:type="table" w:customStyle="1" w:styleId="TableGrid1">
    <w:name w:val="Table Grid1"/>
    <w:basedOn w:val="TableNormal"/>
    <w:next w:val="TableGrid"/>
    <w:rsid w:val="005833F9"/>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E161F9"/>
    <w:pPr>
      <w:spacing w:before="40" w:after="40"/>
    </w:pPr>
    <w:rPr>
      <w:rFonts w:ascii="Trebuchet MS" w:hAnsi="Trebuchet MS"/>
      <w:i/>
      <w:color w:val="FF0000"/>
      <w:sz w:val="22"/>
    </w:rPr>
  </w:style>
  <w:style w:type="character" w:customStyle="1" w:styleId="RemindersChar">
    <w:name w:val="Reminders Char"/>
    <w:basedOn w:val="DefaultParagraphFont"/>
    <w:link w:val="Reminders"/>
    <w:rsid w:val="00E161F9"/>
    <w:rPr>
      <w:rFonts w:ascii="Trebuchet MS" w:hAnsi="Trebuchet MS"/>
      <w:i/>
      <w:color w:val="FF0000"/>
      <w:sz w:val="22"/>
      <w:szCs w:val="24"/>
    </w:rPr>
  </w:style>
  <w:style w:type="paragraph" w:styleId="NoSpacing">
    <w:name w:val="No Spacing"/>
    <w:uiPriority w:val="1"/>
    <w:qFormat/>
    <w:rsid w:val="00E161F9"/>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5295">
      <w:bodyDiv w:val="1"/>
      <w:marLeft w:val="0"/>
      <w:marRight w:val="0"/>
      <w:marTop w:val="0"/>
      <w:marBottom w:val="0"/>
      <w:divBdr>
        <w:top w:val="none" w:sz="0" w:space="0" w:color="auto"/>
        <w:left w:val="none" w:sz="0" w:space="0" w:color="auto"/>
        <w:bottom w:val="none" w:sz="0" w:space="0" w:color="auto"/>
        <w:right w:val="none" w:sz="0" w:space="0" w:color="auto"/>
      </w:divBdr>
    </w:div>
    <w:div w:id="44261984">
      <w:bodyDiv w:val="1"/>
      <w:marLeft w:val="0"/>
      <w:marRight w:val="0"/>
      <w:marTop w:val="0"/>
      <w:marBottom w:val="0"/>
      <w:divBdr>
        <w:top w:val="none" w:sz="0" w:space="0" w:color="auto"/>
        <w:left w:val="none" w:sz="0" w:space="0" w:color="auto"/>
        <w:bottom w:val="none" w:sz="0" w:space="0" w:color="auto"/>
        <w:right w:val="none" w:sz="0" w:space="0" w:color="auto"/>
      </w:divBdr>
    </w:div>
    <w:div w:id="44448994">
      <w:bodyDiv w:val="1"/>
      <w:marLeft w:val="0"/>
      <w:marRight w:val="0"/>
      <w:marTop w:val="0"/>
      <w:marBottom w:val="0"/>
      <w:divBdr>
        <w:top w:val="none" w:sz="0" w:space="0" w:color="auto"/>
        <w:left w:val="none" w:sz="0" w:space="0" w:color="auto"/>
        <w:bottom w:val="none" w:sz="0" w:space="0" w:color="auto"/>
        <w:right w:val="none" w:sz="0" w:space="0" w:color="auto"/>
      </w:divBdr>
    </w:div>
    <w:div w:id="54671808">
      <w:bodyDiv w:val="1"/>
      <w:marLeft w:val="0"/>
      <w:marRight w:val="0"/>
      <w:marTop w:val="0"/>
      <w:marBottom w:val="0"/>
      <w:divBdr>
        <w:top w:val="none" w:sz="0" w:space="0" w:color="auto"/>
        <w:left w:val="none" w:sz="0" w:space="0" w:color="auto"/>
        <w:bottom w:val="none" w:sz="0" w:space="0" w:color="auto"/>
        <w:right w:val="none" w:sz="0" w:space="0" w:color="auto"/>
      </w:divBdr>
    </w:div>
    <w:div w:id="58747545">
      <w:bodyDiv w:val="1"/>
      <w:marLeft w:val="0"/>
      <w:marRight w:val="0"/>
      <w:marTop w:val="0"/>
      <w:marBottom w:val="0"/>
      <w:divBdr>
        <w:top w:val="none" w:sz="0" w:space="0" w:color="auto"/>
        <w:left w:val="none" w:sz="0" w:space="0" w:color="auto"/>
        <w:bottom w:val="none" w:sz="0" w:space="0" w:color="auto"/>
        <w:right w:val="none" w:sz="0" w:space="0" w:color="auto"/>
      </w:divBdr>
    </w:div>
    <w:div w:id="64955312">
      <w:bodyDiv w:val="1"/>
      <w:marLeft w:val="0"/>
      <w:marRight w:val="0"/>
      <w:marTop w:val="0"/>
      <w:marBottom w:val="0"/>
      <w:divBdr>
        <w:top w:val="none" w:sz="0" w:space="0" w:color="auto"/>
        <w:left w:val="none" w:sz="0" w:space="0" w:color="auto"/>
        <w:bottom w:val="none" w:sz="0" w:space="0" w:color="auto"/>
        <w:right w:val="none" w:sz="0" w:space="0" w:color="auto"/>
      </w:divBdr>
    </w:div>
    <w:div w:id="87847680">
      <w:bodyDiv w:val="1"/>
      <w:marLeft w:val="0"/>
      <w:marRight w:val="0"/>
      <w:marTop w:val="0"/>
      <w:marBottom w:val="0"/>
      <w:divBdr>
        <w:top w:val="none" w:sz="0" w:space="0" w:color="auto"/>
        <w:left w:val="none" w:sz="0" w:space="0" w:color="auto"/>
        <w:bottom w:val="none" w:sz="0" w:space="0" w:color="auto"/>
        <w:right w:val="none" w:sz="0" w:space="0" w:color="auto"/>
      </w:divBdr>
    </w:div>
    <w:div w:id="160778417">
      <w:bodyDiv w:val="1"/>
      <w:marLeft w:val="0"/>
      <w:marRight w:val="0"/>
      <w:marTop w:val="0"/>
      <w:marBottom w:val="0"/>
      <w:divBdr>
        <w:top w:val="none" w:sz="0" w:space="0" w:color="auto"/>
        <w:left w:val="none" w:sz="0" w:space="0" w:color="auto"/>
        <w:bottom w:val="none" w:sz="0" w:space="0" w:color="auto"/>
        <w:right w:val="none" w:sz="0" w:space="0" w:color="auto"/>
      </w:divBdr>
    </w:div>
    <w:div w:id="223836783">
      <w:bodyDiv w:val="1"/>
      <w:marLeft w:val="0"/>
      <w:marRight w:val="0"/>
      <w:marTop w:val="0"/>
      <w:marBottom w:val="0"/>
      <w:divBdr>
        <w:top w:val="none" w:sz="0" w:space="0" w:color="auto"/>
        <w:left w:val="none" w:sz="0" w:space="0" w:color="auto"/>
        <w:bottom w:val="none" w:sz="0" w:space="0" w:color="auto"/>
        <w:right w:val="none" w:sz="0" w:space="0" w:color="auto"/>
      </w:divBdr>
    </w:div>
    <w:div w:id="288436523">
      <w:bodyDiv w:val="1"/>
      <w:marLeft w:val="0"/>
      <w:marRight w:val="0"/>
      <w:marTop w:val="0"/>
      <w:marBottom w:val="0"/>
      <w:divBdr>
        <w:top w:val="none" w:sz="0" w:space="0" w:color="auto"/>
        <w:left w:val="none" w:sz="0" w:space="0" w:color="auto"/>
        <w:bottom w:val="none" w:sz="0" w:space="0" w:color="auto"/>
        <w:right w:val="none" w:sz="0" w:space="0" w:color="auto"/>
      </w:divBdr>
    </w:div>
    <w:div w:id="325323786">
      <w:bodyDiv w:val="1"/>
      <w:marLeft w:val="0"/>
      <w:marRight w:val="0"/>
      <w:marTop w:val="0"/>
      <w:marBottom w:val="0"/>
      <w:divBdr>
        <w:top w:val="none" w:sz="0" w:space="0" w:color="auto"/>
        <w:left w:val="none" w:sz="0" w:space="0" w:color="auto"/>
        <w:bottom w:val="none" w:sz="0" w:space="0" w:color="auto"/>
        <w:right w:val="none" w:sz="0" w:space="0" w:color="auto"/>
      </w:divBdr>
    </w:div>
    <w:div w:id="343749940">
      <w:bodyDiv w:val="1"/>
      <w:marLeft w:val="0"/>
      <w:marRight w:val="0"/>
      <w:marTop w:val="0"/>
      <w:marBottom w:val="0"/>
      <w:divBdr>
        <w:top w:val="none" w:sz="0" w:space="0" w:color="auto"/>
        <w:left w:val="none" w:sz="0" w:space="0" w:color="auto"/>
        <w:bottom w:val="none" w:sz="0" w:space="0" w:color="auto"/>
        <w:right w:val="none" w:sz="0" w:space="0" w:color="auto"/>
      </w:divBdr>
    </w:div>
    <w:div w:id="346639754">
      <w:bodyDiv w:val="1"/>
      <w:marLeft w:val="0"/>
      <w:marRight w:val="0"/>
      <w:marTop w:val="0"/>
      <w:marBottom w:val="0"/>
      <w:divBdr>
        <w:top w:val="none" w:sz="0" w:space="0" w:color="auto"/>
        <w:left w:val="none" w:sz="0" w:space="0" w:color="auto"/>
        <w:bottom w:val="none" w:sz="0" w:space="0" w:color="auto"/>
        <w:right w:val="none" w:sz="0" w:space="0" w:color="auto"/>
      </w:divBdr>
    </w:div>
    <w:div w:id="355468210">
      <w:bodyDiv w:val="1"/>
      <w:marLeft w:val="0"/>
      <w:marRight w:val="0"/>
      <w:marTop w:val="0"/>
      <w:marBottom w:val="0"/>
      <w:divBdr>
        <w:top w:val="none" w:sz="0" w:space="0" w:color="auto"/>
        <w:left w:val="none" w:sz="0" w:space="0" w:color="auto"/>
        <w:bottom w:val="none" w:sz="0" w:space="0" w:color="auto"/>
        <w:right w:val="none" w:sz="0" w:space="0" w:color="auto"/>
      </w:divBdr>
    </w:div>
    <w:div w:id="380594584">
      <w:bodyDiv w:val="1"/>
      <w:marLeft w:val="0"/>
      <w:marRight w:val="0"/>
      <w:marTop w:val="0"/>
      <w:marBottom w:val="0"/>
      <w:divBdr>
        <w:top w:val="none" w:sz="0" w:space="0" w:color="auto"/>
        <w:left w:val="none" w:sz="0" w:space="0" w:color="auto"/>
        <w:bottom w:val="none" w:sz="0" w:space="0" w:color="auto"/>
        <w:right w:val="none" w:sz="0" w:space="0" w:color="auto"/>
      </w:divBdr>
    </w:div>
    <w:div w:id="389155805">
      <w:bodyDiv w:val="1"/>
      <w:marLeft w:val="0"/>
      <w:marRight w:val="0"/>
      <w:marTop w:val="0"/>
      <w:marBottom w:val="0"/>
      <w:divBdr>
        <w:top w:val="none" w:sz="0" w:space="0" w:color="auto"/>
        <w:left w:val="none" w:sz="0" w:space="0" w:color="auto"/>
        <w:bottom w:val="none" w:sz="0" w:space="0" w:color="auto"/>
        <w:right w:val="none" w:sz="0" w:space="0" w:color="auto"/>
      </w:divBdr>
    </w:div>
    <w:div w:id="444618452">
      <w:bodyDiv w:val="1"/>
      <w:marLeft w:val="0"/>
      <w:marRight w:val="0"/>
      <w:marTop w:val="0"/>
      <w:marBottom w:val="0"/>
      <w:divBdr>
        <w:top w:val="none" w:sz="0" w:space="0" w:color="auto"/>
        <w:left w:val="none" w:sz="0" w:space="0" w:color="auto"/>
        <w:bottom w:val="none" w:sz="0" w:space="0" w:color="auto"/>
        <w:right w:val="none" w:sz="0" w:space="0" w:color="auto"/>
      </w:divBdr>
    </w:div>
    <w:div w:id="449323992">
      <w:bodyDiv w:val="1"/>
      <w:marLeft w:val="0"/>
      <w:marRight w:val="0"/>
      <w:marTop w:val="0"/>
      <w:marBottom w:val="0"/>
      <w:divBdr>
        <w:top w:val="none" w:sz="0" w:space="0" w:color="auto"/>
        <w:left w:val="none" w:sz="0" w:space="0" w:color="auto"/>
        <w:bottom w:val="none" w:sz="0" w:space="0" w:color="auto"/>
        <w:right w:val="none" w:sz="0" w:space="0" w:color="auto"/>
      </w:divBdr>
    </w:div>
    <w:div w:id="575436116">
      <w:bodyDiv w:val="1"/>
      <w:marLeft w:val="0"/>
      <w:marRight w:val="0"/>
      <w:marTop w:val="0"/>
      <w:marBottom w:val="0"/>
      <w:divBdr>
        <w:top w:val="none" w:sz="0" w:space="0" w:color="auto"/>
        <w:left w:val="none" w:sz="0" w:space="0" w:color="auto"/>
        <w:bottom w:val="none" w:sz="0" w:space="0" w:color="auto"/>
        <w:right w:val="none" w:sz="0" w:space="0" w:color="auto"/>
      </w:divBdr>
    </w:div>
    <w:div w:id="582952872">
      <w:bodyDiv w:val="1"/>
      <w:marLeft w:val="0"/>
      <w:marRight w:val="0"/>
      <w:marTop w:val="0"/>
      <w:marBottom w:val="0"/>
      <w:divBdr>
        <w:top w:val="none" w:sz="0" w:space="0" w:color="auto"/>
        <w:left w:val="none" w:sz="0" w:space="0" w:color="auto"/>
        <w:bottom w:val="none" w:sz="0" w:space="0" w:color="auto"/>
        <w:right w:val="none" w:sz="0" w:space="0" w:color="auto"/>
      </w:divBdr>
    </w:div>
    <w:div w:id="583497546">
      <w:bodyDiv w:val="1"/>
      <w:marLeft w:val="0"/>
      <w:marRight w:val="0"/>
      <w:marTop w:val="0"/>
      <w:marBottom w:val="0"/>
      <w:divBdr>
        <w:top w:val="none" w:sz="0" w:space="0" w:color="auto"/>
        <w:left w:val="none" w:sz="0" w:space="0" w:color="auto"/>
        <w:bottom w:val="none" w:sz="0" w:space="0" w:color="auto"/>
        <w:right w:val="none" w:sz="0" w:space="0" w:color="auto"/>
      </w:divBdr>
    </w:div>
    <w:div w:id="592787226">
      <w:bodyDiv w:val="1"/>
      <w:marLeft w:val="0"/>
      <w:marRight w:val="0"/>
      <w:marTop w:val="0"/>
      <w:marBottom w:val="0"/>
      <w:divBdr>
        <w:top w:val="none" w:sz="0" w:space="0" w:color="auto"/>
        <w:left w:val="none" w:sz="0" w:space="0" w:color="auto"/>
        <w:bottom w:val="none" w:sz="0" w:space="0" w:color="auto"/>
        <w:right w:val="none" w:sz="0" w:space="0" w:color="auto"/>
      </w:divBdr>
    </w:div>
    <w:div w:id="664822220">
      <w:bodyDiv w:val="1"/>
      <w:marLeft w:val="0"/>
      <w:marRight w:val="0"/>
      <w:marTop w:val="0"/>
      <w:marBottom w:val="0"/>
      <w:divBdr>
        <w:top w:val="none" w:sz="0" w:space="0" w:color="auto"/>
        <w:left w:val="none" w:sz="0" w:space="0" w:color="auto"/>
        <w:bottom w:val="none" w:sz="0" w:space="0" w:color="auto"/>
        <w:right w:val="none" w:sz="0" w:space="0" w:color="auto"/>
      </w:divBdr>
    </w:div>
    <w:div w:id="672025512">
      <w:bodyDiv w:val="1"/>
      <w:marLeft w:val="0"/>
      <w:marRight w:val="0"/>
      <w:marTop w:val="0"/>
      <w:marBottom w:val="0"/>
      <w:divBdr>
        <w:top w:val="none" w:sz="0" w:space="0" w:color="auto"/>
        <w:left w:val="none" w:sz="0" w:space="0" w:color="auto"/>
        <w:bottom w:val="none" w:sz="0" w:space="0" w:color="auto"/>
        <w:right w:val="none" w:sz="0" w:space="0" w:color="auto"/>
      </w:divBdr>
    </w:div>
    <w:div w:id="704211480">
      <w:bodyDiv w:val="1"/>
      <w:marLeft w:val="0"/>
      <w:marRight w:val="0"/>
      <w:marTop w:val="0"/>
      <w:marBottom w:val="0"/>
      <w:divBdr>
        <w:top w:val="none" w:sz="0" w:space="0" w:color="auto"/>
        <w:left w:val="none" w:sz="0" w:space="0" w:color="auto"/>
        <w:bottom w:val="none" w:sz="0" w:space="0" w:color="auto"/>
        <w:right w:val="none" w:sz="0" w:space="0" w:color="auto"/>
      </w:divBdr>
    </w:div>
    <w:div w:id="709570750">
      <w:bodyDiv w:val="1"/>
      <w:marLeft w:val="0"/>
      <w:marRight w:val="0"/>
      <w:marTop w:val="0"/>
      <w:marBottom w:val="0"/>
      <w:divBdr>
        <w:top w:val="none" w:sz="0" w:space="0" w:color="auto"/>
        <w:left w:val="none" w:sz="0" w:space="0" w:color="auto"/>
        <w:bottom w:val="none" w:sz="0" w:space="0" w:color="auto"/>
        <w:right w:val="none" w:sz="0" w:space="0" w:color="auto"/>
      </w:divBdr>
    </w:div>
    <w:div w:id="712923673">
      <w:bodyDiv w:val="1"/>
      <w:marLeft w:val="0"/>
      <w:marRight w:val="0"/>
      <w:marTop w:val="0"/>
      <w:marBottom w:val="0"/>
      <w:divBdr>
        <w:top w:val="none" w:sz="0" w:space="0" w:color="auto"/>
        <w:left w:val="none" w:sz="0" w:space="0" w:color="auto"/>
        <w:bottom w:val="none" w:sz="0" w:space="0" w:color="auto"/>
        <w:right w:val="none" w:sz="0" w:space="0" w:color="auto"/>
      </w:divBdr>
    </w:div>
    <w:div w:id="742221962">
      <w:bodyDiv w:val="1"/>
      <w:marLeft w:val="0"/>
      <w:marRight w:val="0"/>
      <w:marTop w:val="0"/>
      <w:marBottom w:val="0"/>
      <w:divBdr>
        <w:top w:val="none" w:sz="0" w:space="0" w:color="auto"/>
        <w:left w:val="none" w:sz="0" w:space="0" w:color="auto"/>
        <w:bottom w:val="none" w:sz="0" w:space="0" w:color="auto"/>
        <w:right w:val="none" w:sz="0" w:space="0" w:color="auto"/>
      </w:divBdr>
    </w:div>
    <w:div w:id="762804654">
      <w:bodyDiv w:val="1"/>
      <w:marLeft w:val="0"/>
      <w:marRight w:val="0"/>
      <w:marTop w:val="0"/>
      <w:marBottom w:val="0"/>
      <w:divBdr>
        <w:top w:val="none" w:sz="0" w:space="0" w:color="auto"/>
        <w:left w:val="none" w:sz="0" w:space="0" w:color="auto"/>
        <w:bottom w:val="none" w:sz="0" w:space="0" w:color="auto"/>
        <w:right w:val="none" w:sz="0" w:space="0" w:color="auto"/>
      </w:divBdr>
    </w:div>
    <w:div w:id="852843389">
      <w:bodyDiv w:val="1"/>
      <w:marLeft w:val="0"/>
      <w:marRight w:val="0"/>
      <w:marTop w:val="0"/>
      <w:marBottom w:val="0"/>
      <w:divBdr>
        <w:top w:val="none" w:sz="0" w:space="0" w:color="auto"/>
        <w:left w:val="none" w:sz="0" w:space="0" w:color="auto"/>
        <w:bottom w:val="none" w:sz="0" w:space="0" w:color="auto"/>
        <w:right w:val="none" w:sz="0" w:space="0" w:color="auto"/>
      </w:divBdr>
    </w:div>
    <w:div w:id="862862960">
      <w:bodyDiv w:val="1"/>
      <w:marLeft w:val="0"/>
      <w:marRight w:val="0"/>
      <w:marTop w:val="0"/>
      <w:marBottom w:val="0"/>
      <w:divBdr>
        <w:top w:val="none" w:sz="0" w:space="0" w:color="auto"/>
        <w:left w:val="none" w:sz="0" w:space="0" w:color="auto"/>
        <w:bottom w:val="none" w:sz="0" w:space="0" w:color="auto"/>
        <w:right w:val="none" w:sz="0" w:space="0" w:color="auto"/>
      </w:divBdr>
    </w:div>
    <w:div w:id="863982533">
      <w:bodyDiv w:val="1"/>
      <w:marLeft w:val="0"/>
      <w:marRight w:val="0"/>
      <w:marTop w:val="0"/>
      <w:marBottom w:val="0"/>
      <w:divBdr>
        <w:top w:val="none" w:sz="0" w:space="0" w:color="auto"/>
        <w:left w:val="none" w:sz="0" w:space="0" w:color="auto"/>
        <w:bottom w:val="none" w:sz="0" w:space="0" w:color="auto"/>
        <w:right w:val="none" w:sz="0" w:space="0" w:color="auto"/>
      </w:divBdr>
    </w:div>
    <w:div w:id="875628190">
      <w:bodyDiv w:val="1"/>
      <w:marLeft w:val="0"/>
      <w:marRight w:val="0"/>
      <w:marTop w:val="0"/>
      <w:marBottom w:val="0"/>
      <w:divBdr>
        <w:top w:val="none" w:sz="0" w:space="0" w:color="auto"/>
        <w:left w:val="none" w:sz="0" w:space="0" w:color="auto"/>
        <w:bottom w:val="none" w:sz="0" w:space="0" w:color="auto"/>
        <w:right w:val="none" w:sz="0" w:space="0" w:color="auto"/>
      </w:divBdr>
    </w:div>
    <w:div w:id="906766507">
      <w:bodyDiv w:val="1"/>
      <w:marLeft w:val="0"/>
      <w:marRight w:val="0"/>
      <w:marTop w:val="0"/>
      <w:marBottom w:val="0"/>
      <w:divBdr>
        <w:top w:val="none" w:sz="0" w:space="0" w:color="auto"/>
        <w:left w:val="none" w:sz="0" w:space="0" w:color="auto"/>
        <w:bottom w:val="none" w:sz="0" w:space="0" w:color="auto"/>
        <w:right w:val="none" w:sz="0" w:space="0" w:color="auto"/>
      </w:divBdr>
    </w:div>
    <w:div w:id="962811348">
      <w:bodyDiv w:val="1"/>
      <w:marLeft w:val="0"/>
      <w:marRight w:val="0"/>
      <w:marTop w:val="0"/>
      <w:marBottom w:val="0"/>
      <w:divBdr>
        <w:top w:val="none" w:sz="0" w:space="0" w:color="auto"/>
        <w:left w:val="none" w:sz="0" w:space="0" w:color="auto"/>
        <w:bottom w:val="none" w:sz="0" w:space="0" w:color="auto"/>
        <w:right w:val="none" w:sz="0" w:space="0" w:color="auto"/>
      </w:divBdr>
    </w:div>
    <w:div w:id="1024018269">
      <w:bodyDiv w:val="1"/>
      <w:marLeft w:val="0"/>
      <w:marRight w:val="0"/>
      <w:marTop w:val="0"/>
      <w:marBottom w:val="0"/>
      <w:divBdr>
        <w:top w:val="none" w:sz="0" w:space="0" w:color="auto"/>
        <w:left w:val="none" w:sz="0" w:space="0" w:color="auto"/>
        <w:bottom w:val="none" w:sz="0" w:space="0" w:color="auto"/>
        <w:right w:val="none" w:sz="0" w:space="0" w:color="auto"/>
      </w:divBdr>
    </w:div>
    <w:div w:id="1117944384">
      <w:bodyDiv w:val="1"/>
      <w:marLeft w:val="0"/>
      <w:marRight w:val="0"/>
      <w:marTop w:val="0"/>
      <w:marBottom w:val="0"/>
      <w:divBdr>
        <w:top w:val="none" w:sz="0" w:space="0" w:color="auto"/>
        <w:left w:val="none" w:sz="0" w:space="0" w:color="auto"/>
        <w:bottom w:val="none" w:sz="0" w:space="0" w:color="auto"/>
        <w:right w:val="none" w:sz="0" w:space="0" w:color="auto"/>
      </w:divBdr>
    </w:div>
    <w:div w:id="1178736595">
      <w:bodyDiv w:val="1"/>
      <w:marLeft w:val="0"/>
      <w:marRight w:val="0"/>
      <w:marTop w:val="0"/>
      <w:marBottom w:val="0"/>
      <w:divBdr>
        <w:top w:val="none" w:sz="0" w:space="0" w:color="auto"/>
        <w:left w:val="none" w:sz="0" w:space="0" w:color="auto"/>
        <w:bottom w:val="none" w:sz="0" w:space="0" w:color="auto"/>
        <w:right w:val="none" w:sz="0" w:space="0" w:color="auto"/>
      </w:divBdr>
    </w:div>
    <w:div w:id="1220289516">
      <w:bodyDiv w:val="1"/>
      <w:marLeft w:val="0"/>
      <w:marRight w:val="0"/>
      <w:marTop w:val="0"/>
      <w:marBottom w:val="0"/>
      <w:divBdr>
        <w:top w:val="none" w:sz="0" w:space="0" w:color="auto"/>
        <w:left w:val="none" w:sz="0" w:space="0" w:color="auto"/>
        <w:bottom w:val="none" w:sz="0" w:space="0" w:color="auto"/>
        <w:right w:val="none" w:sz="0" w:space="0" w:color="auto"/>
      </w:divBdr>
    </w:div>
    <w:div w:id="1233194646">
      <w:bodyDiv w:val="1"/>
      <w:marLeft w:val="0"/>
      <w:marRight w:val="0"/>
      <w:marTop w:val="0"/>
      <w:marBottom w:val="0"/>
      <w:divBdr>
        <w:top w:val="none" w:sz="0" w:space="0" w:color="auto"/>
        <w:left w:val="none" w:sz="0" w:space="0" w:color="auto"/>
        <w:bottom w:val="none" w:sz="0" w:space="0" w:color="auto"/>
        <w:right w:val="none" w:sz="0" w:space="0" w:color="auto"/>
      </w:divBdr>
    </w:div>
    <w:div w:id="1271202156">
      <w:bodyDiv w:val="1"/>
      <w:marLeft w:val="0"/>
      <w:marRight w:val="0"/>
      <w:marTop w:val="0"/>
      <w:marBottom w:val="0"/>
      <w:divBdr>
        <w:top w:val="none" w:sz="0" w:space="0" w:color="auto"/>
        <w:left w:val="none" w:sz="0" w:space="0" w:color="auto"/>
        <w:bottom w:val="none" w:sz="0" w:space="0" w:color="auto"/>
        <w:right w:val="none" w:sz="0" w:space="0" w:color="auto"/>
      </w:divBdr>
    </w:div>
    <w:div w:id="1339457343">
      <w:bodyDiv w:val="1"/>
      <w:marLeft w:val="0"/>
      <w:marRight w:val="0"/>
      <w:marTop w:val="0"/>
      <w:marBottom w:val="0"/>
      <w:divBdr>
        <w:top w:val="none" w:sz="0" w:space="0" w:color="auto"/>
        <w:left w:val="none" w:sz="0" w:space="0" w:color="auto"/>
        <w:bottom w:val="none" w:sz="0" w:space="0" w:color="auto"/>
        <w:right w:val="none" w:sz="0" w:space="0" w:color="auto"/>
      </w:divBdr>
    </w:div>
    <w:div w:id="1380591834">
      <w:bodyDiv w:val="1"/>
      <w:marLeft w:val="0"/>
      <w:marRight w:val="0"/>
      <w:marTop w:val="0"/>
      <w:marBottom w:val="0"/>
      <w:divBdr>
        <w:top w:val="none" w:sz="0" w:space="0" w:color="auto"/>
        <w:left w:val="none" w:sz="0" w:space="0" w:color="auto"/>
        <w:bottom w:val="none" w:sz="0" w:space="0" w:color="auto"/>
        <w:right w:val="none" w:sz="0" w:space="0" w:color="auto"/>
      </w:divBdr>
    </w:div>
    <w:div w:id="1406033081">
      <w:bodyDiv w:val="1"/>
      <w:marLeft w:val="0"/>
      <w:marRight w:val="0"/>
      <w:marTop w:val="0"/>
      <w:marBottom w:val="0"/>
      <w:divBdr>
        <w:top w:val="none" w:sz="0" w:space="0" w:color="auto"/>
        <w:left w:val="none" w:sz="0" w:space="0" w:color="auto"/>
        <w:bottom w:val="none" w:sz="0" w:space="0" w:color="auto"/>
        <w:right w:val="none" w:sz="0" w:space="0" w:color="auto"/>
      </w:divBdr>
    </w:div>
    <w:div w:id="1408959337">
      <w:bodyDiv w:val="1"/>
      <w:marLeft w:val="0"/>
      <w:marRight w:val="0"/>
      <w:marTop w:val="0"/>
      <w:marBottom w:val="0"/>
      <w:divBdr>
        <w:top w:val="none" w:sz="0" w:space="0" w:color="auto"/>
        <w:left w:val="none" w:sz="0" w:space="0" w:color="auto"/>
        <w:bottom w:val="none" w:sz="0" w:space="0" w:color="auto"/>
        <w:right w:val="none" w:sz="0" w:space="0" w:color="auto"/>
      </w:divBdr>
    </w:div>
    <w:div w:id="1430660270">
      <w:bodyDiv w:val="1"/>
      <w:marLeft w:val="0"/>
      <w:marRight w:val="0"/>
      <w:marTop w:val="0"/>
      <w:marBottom w:val="0"/>
      <w:divBdr>
        <w:top w:val="none" w:sz="0" w:space="0" w:color="auto"/>
        <w:left w:val="none" w:sz="0" w:space="0" w:color="auto"/>
        <w:bottom w:val="none" w:sz="0" w:space="0" w:color="auto"/>
        <w:right w:val="none" w:sz="0" w:space="0" w:color="auto"/>
      </w:divBdr>
    </w:div>
    <w:div w:id="1434396634">
      <w:bodyDiv w:val="1"/>
      <w:marLeft w:val="0"/>
      <w:marRight w:val="0"/>
      <w:marTop w:val="0"/>
      <w:marBottom w:val="0"/>
      <w:divBdr>
        <w:top w:val="none" w:sz="0" w:space="0" w:color="auto"/>
        <w:left w:val="none" w:sz="0" w:space="0" w:color="auto"/>
        <w:bottom w:val="none" w:sz="0" w:space="0" w:color="auto"/>
        <w:right w:val="none" w:sz="0" w:space="0" w:color="auto"/>
      </w:divBdr>
    </w:div>
    <w:div w:id="1450930375">
      <w:bodyDiv w:val="1"/>
      <w:marLeft w:val="0"/>
      <w:marRight w:val="0"/>
      <w:marTop w:val="0"/>
      <w:marBottom w:val="0"/>
      <w:divBdr>
        <w:top w:val="none" w:sz="0" w:space="0" w:color="auto"/>
        <w:left w:val="none" w:sz="0" w:space="0" w:color="auto"/>
        <w:bottom w:val="none" w:sz="0" w:space="0" w:color="auto"/>
        <w:right w:val="none" w:sz="0" w:space="0" w:color="auto"/>
      </w:divBdr>
    </w:div>
    <w:div w:id="1489058283">
      <w:bodyDiv w:val="1"/>
      <w:marLeft w:val="0"/>
      <w:marRight w:val="0"/>
      <w:marTop w:val="0"/>
      <w:marBottom w:val="0"/>
      <w:divBdr>
        <w:top w:val="none" w:sz="0" w:space="0" w:color="auto"/>
        <w:left w:val="none" w:sz="0" w:space="0" w:color="auto"/>
        <w:bottom w:val="none" w:sz="0" w:space="0" w:color="auto"/>
        <w:right w:val="none" w:sz="0" w:space="0" w:color="auto"/>
      </w:divBdr>
    </w:div>
    <w:div w:id="1539851716">
      <w:bodyDiv w:val="1"/>
      <w:marLeft w:val="0"/>
      <w:marRight w:val="0"/>
      <w:marTop w:val="0"/>
      <w:marBottom w:val="0"/>
      <w:divBdr>
        <w:top w:val="none" w:sz="0" w:space="0" w:color="auto"/>
        <w:left w:val="none" w:sz="0" w:space="0" w:color="auto"/>
        <w:bottom w:val="none" w:sz="0" w:space="0" w:color="auto"/>
        <w:right w:val="none" w:sz="0" w:space="0" w:color="auto"/>
      </w:divBdr>
    </w:div>
    <w:div w:id="1579250486">
      <w:bodyDiv w:val="1"/>
      <w:marLeft w:val="0"/>
      <w:marRight w:val="0"/>
      <w:marTop w:val="0"/>
      <w:marBottom w:val="0"/>
      <w:divBdr>
        <w:top w:val="none" w:sz="0" w:space="0" w:color="auto"/>
        <w:left w:val="none" w:sz="0" w:space="0" w:color="auto"/>
        <w:bottom w:val="none" w:sz="0" w:space="0" w:color="auto"/>
        <w:right w:val="none" w:sz="0" w:space="0" w:color="auto"/>
      </w:divBdr>
    </w:div>
    <w:div w:id="1593970223">
      <w:bodyDiv w:val="1"/>
      <w:marLeft w:val="0"/>
      <w:marRight w:val="0"/>
      <w:marTop w:val="0"/>
      <w:marBottom w:val="0"/>
      <w:divBdr>
        <w:top w:val="none" w:sz="0" w:space="0" w:color="auto"/>
        <w:left w:val="none" w:sz="0" w:space="0" w:color="auto"/>
        <w:bottom w:val="none" w:sz="0" w:space="0" w:color="auto"/>
        <w:right w:val="none" w:sz="0" w:space="0" w:color="auto"/>
      </w:divBdr>
    </w:div>
    <w:div w:id="1691103270">
      <w:bodyDiv w:val="1"/>
      <w:marLeft w:val="0"/>
      <w:marRight w:val="0"/>
      <w:marTop w:val="0"/>
      <w:marBottom w:val="0"/>
      <w:divBdr>
        <w:top w:val="none" w:sz="0" w:space="0" w:color="auto"/>
        <w:left w:val="none" w:sz="0" w:space="0" w:color="auto"/>
        <w:bottom w:val="none" w:sz="0" w:space="0" w:color="auto"/>
        <w:right w:val="none" w:sz="0" w:space="0" w:color="auto"/>
      </w:divBdr>
    </w:div>
    <w:div w:id="1695302627">
      <w:bodyDiv w:val="1"/>
      <w:marLeft w:val="0"/>
      <w:marRight w:val="0"/>
      <w:marTop w:val="0"/>
      <w:marBottom w:val="0"/>
      <w:divBdr>
        <w:top w:val="none" w:sz="0" w:space="0" w:color="auto"/>
        <w:left w:val="none" w:sz="0" w:space="0" w:color="auto"/>
        <w:bottom w:val="none" w:sz="0" w:space="0" w:color="auto"/>
        <w:right w:val="none" w:sz="0" w:space="0" w:color="auto"/>
      </w:divBdr>
    </w:div>
    <w:div w:id="1767309593">
      <w:bodyDiv w:val="1"/>
      <w:marLeft w:val="0"/>
      <w:marRight w:val="0"/>
      <w:marTop w:val="0"/>
      <w:marBottom w:val="0"/>
      <w:divBdr>
        <w:top w:val="none" w:sz="0" w:space="0" w:color="auto"/>
        <w:left w:val="none" w:sz="0" w:space="0" w:color="auto"/>
        <w:bottom w:val="none" w:sz="0" w:space="0" w:color="auto"/>
        <w:right w:val="none" w:sz="0" w:space="0" w:color="auto"/>
      </w:divBdr>
    </w:div>
    <w:div w:id="1769932600">
      <w:bodyDiv w:val="1"/>
      <w:marLeft w:val="0"/>
      <w:marRight w:val="0"/>
      <w:marTop w:val="0"/>
      <w:marBottom w:val="0"/>
      <w:divBdr>
        <w:top w:val="none" w:sz="0" w:space="0" w:color="auto"/>
        <w:left w:val="none" w:sz="0" w:space="0" w:color="auto"/>
        <w:bottom w:val="none" w:sz="0" w:space="0" w:color="auto"/>
        <w:right w:val="none" w:sz="0" w:space="0" w:color="auto"/>
      </w:divBdr>
    </w:div>
    <w:div w:id="1814366923">
      <w:bodyDiv w:val="1"/>
      <w:marLeft w:val="0"/>
      <w:marRight w:val="0"/>
      <w:marTop w:val="0"/>
      <w:marBottom w:val="0"/>
      <w:divBdr>
        <w:top w:val="none" w:sz="0" w:space="0" w:color="auto"/>
        <w:left w:val="none" w:sz="0" w:space="0" w:color="auto"/>
        <w:bottom w:val="none" w:sz="0" w:space="0" w:color="auto"/>
        <w:right w:val="none" w:sz="0" w:space="0" w:color="auto"/>
      </w:divBdr>
    </w:div>
    <w:div w:id="1822428298">
      <w:bodyDiv w:val="1"/>
      <w:marLeft w:val="0"/>
      <w:marRight w:val="0"/>
      <w:marTop w:val="0"/>
      <w:marBottom w:val="0"/>
      <w:divBdr>
        <w:top w:val="none" w:sz="0" w:space="0" w:color="auto"/>
        <w:left w:val="none" w:sz="0" w:space="0" w:color="auto"/>
        <w:bottom w:val="none" w:sz="0" w:space="0" w:color="auto"/>
        <w:right w:val="none" w:sz="0" w:space="0" w:color="auto"/>
      </w:divBdr>
    </w:div>
    <w:div w:id="1830750739">
      <w:bodyDiv w:val="1"/>
      <w:marLeft w:val="0"/>
      <w:marRight w:val="0"/>
      <w:marTop w:val="0"/>
      <w:marBottom w:val="0"/>
      <w:divBdr>
        <w:top w:val="none" w:sz="0" w:space="0" w:color="auto"/>
        <w:left w:val="none" w:sz="0" w:space="0" w:color="auto"/>
        <w:bottom w:val="none" w:sz="0" w:space="0" w:color="auto"/>
        <w:right w:val="none" w:sz="0" w:space="0" w:color="auto"/>
      </w:divBdr>
    </w:div>
    <w:div w:id="1862814252">
      <w:bodyDiv w:val="1"/>
      <w:marLeft w:val="0"/>
      <w:marRight w:val="0"/>
      <w:marTop w:val="0"/>
      <w:marBottom w:val="0"/>
      <w:divBdr>
        <w:top w:val="none" w:sz="0" w:space="0" w:color="auto"/>
        <w:left w:val="none" w:sz="0" w:space="0" w:color="auto"/>
        <w:bottom w:val="none" w:sz="0" w:space="0" w:color="auto"/>
        <w:right w:val="none" w:sz="0" w:space="0" w:color="auto"/>
      </w:divBdr>
    </w:div>
    <w:div w:id="1864709805">
      <w:bodyDiv w:val="1"/>
      <w:marLeft w:val="0"/>
      <w:marRight w:val="0"/>
      <w:marTop w:val="0"/>
      <w:marBottom w:val="0"/>
      <w:divBdr>
        <w:top w:val="none" w:sz="0" w:space="0" w:color="auto"/>
        <w:left w:val="none" w:sz="0" w:space="0" w:color="auto"/>
        <w:bottom w:val="none" w:sz="0" w:space="0" w:color="auto"/>
        <w:right w:val="none" w:sz="0" w:space="0" w:color="auto"/>
      </w:divBdr>
    </w:div>
    <w:div w:id="1885096883">
      <w:bodyDiv w:val="1"/>
      <w:marLeft w:val="0"/>
      <w:marRight w:val="0"/>
      <w:marTop w:val="0"/>
      <w:marBottom w:val="0"/>
      <w:divBdr>
        <w:top w:val="none" w:sz="0" w:space="0" w:color="auto"/>
        <w:left w:val="none" w:sz="0" w:space="0" w:color="auto"/>
        <w:bottom w:val="none" w:sz="0" w:space="0" w:color="auto"/>
        <w:right w:val="none" w:sz="0" w:space="0" w:color="auto"/>
      </w:divBdr>
    </w:div>
    <w:div w:id="1896089452">
      <w:bodyDiv w:val="1"/>
      <w:marLeft w:val="0"/>
      <w:marRight w:val="0"/>
      <w:marTop w:val="0"/>
      <w:marBottom w:val="0"/>
      <w:divBdr>
        <w:top w:val="none" w:sz="0" w:space="0" w:color="auto"/>
        <w:left w:val="none" w:sz="0" w:space="0" w:color="auto"/>
        <w:bottom w:val="none" w:sz="0" w:space="0" w:color="auto"/>
        <w:right w:val="none" w:sz="0" w:space="0" w:color="auto"/>
      </w:divBdr>
    </w:div>
    <w:div w:id="1909724637">
      <w:bodyDiv w:val="1"/>
      <w:marLeft w:val="0"/>
      <w:marRight w:val="0"/>
      <w:marTop w:val="0"/>
      <w:marBottom w:val="0"/>
      <w:divBdr>
        <w:top w:val="none" w:sz="0" w:space="0" w:color="auto"/>
        <w:left w:val="none" w:sz="0" w:space="0" w:color="auto"/>
        <w:bottom w:val="none" w:sz="0" w:space="0" w:color="auto"/>
        <w:right w:val="none" w:sz="0" w:space="0" w:color="auto"/>
      </w:divBdr>
    </w:div>
    <w:div w:id="1918318471">
      <w:bodyDiv w:val="1"/>
      <w:marLeft w:val="0"/>
      <w:marRight w:val="0"/>
      <w:marTop w:val="0"/>
      <w:marBottom w:val="0"/>
      <w:divBdr>
        <w:top w:val="none" w:sz="0" w:space="0" w:color="auto"/>
        <w:left w:val="none" w:sz="0" w:space="0" w:color="auto"/>
        <w:bottom w:val="none" w:sz="0" w:space="0" w:color="auto"/>
        <w:right w:val="none" w:sz="0" w:space="0" w:color="auto"/>
      </w:divBdr>
    </w:div>
    <w:div w:id="1985154349">
      <w:bodyDiv w:val="1"/>
      <w:marLeft w:val="0"/>
      <w:marRight w:val="0"/>
      <w:marTop w:val="0"/>
      <w:marBottom w:val="0"/>
      <w:divBdr>
        <w:top w:val="none" w:sz="0" w:space="0" w:color="auto"/>
        <w:left w:val="none" w:sz="0" w:space="0" w:color="auto"/>
        <w:bottom w:val="none" w:sz="0" w:space="0" w:color="auto"/>
        <w:right w:val="none" w:sz="0" w:space="0" w:color="auto"/>
      </w:divBdr>
    </w:div>
    <w:div w:id="1986424851">
      <w:bodyDiv w:val="1"/>
      <w:marLeft w:val="0"/>
      <w:marRight w:val="0"/>
      <w:marTop w:val="0"/>
      <w:marBottom w:val="0"/>
      <w:divBdr>
        <w:top w:val="none" w:sz="0" w:space="0" w:color="auto"/>
        <w:left w:val="none" w:sz="0" w:space="0" w:color="auto"/>
        <w:bottom w:val="none" w:sz="0" w:space="0" w:color="auto"/>
        <w:right w:val="none" w:sz="0" w:space="0" w:color="auto"/>
      </w:divBdr>
    </w:div>
    <w:div w:id="1994797965">
      <w:bodyDiv w:val="1"/>
      <w:marLeft w:val="0"/>
      <w:marRight w:val="0"/>
      <w:marTop w:val="0"/>
      <w:marBottom w:val="0"/>
      <w:divBdr>
        <w:top w:val="none" w:sz="0" w:space="0" w:color="auto"/>
        <w:left w:val="none" w:sz="0" w:space="0" w:color="auto"/>
        <w:bottom w:val="none" w:sz="0" w:space="0" w:color="auto"/>
        <w:right w:val="none" w:sz="0" w:space="0" w:color="auto"/>
      </w:divBdr>
    </w:div>
    <w:div w:id="2023698289">
      <w:bodyDiv w:val="1"/>
      <w:marLeft w:val="0"/>
      <w:marRight w:val="0"/>
      <w:marTop w:val="0"/>
      <w:marBottom w:val="0"/>
      <w:divBdr>
        <w:top w:val="none" w:sz="0" w:space="0" w:color="auto"/>
        <w:left w:val="none" w:sz="0" w:space="0" w:color="auto"/>
        <w:bottom w:val="none" w:sz="0" w:space="0" w:color="auto"/>
        <w:right w:val="none" w:sz="0" w:space="0" w:color="auto"/>
      </w:divBdr>
    </w:div>
    <w:div w:id="2038581512">
      <w:bodyDiv w:val="1"/>
      <w:marLeft w:val="0"/>
      <w:marRight w:val="0"/>
      <w:marTop w:val="0"/>
      <w:marBottom w:val="0"/>
      <w:divBdr>
        <w:top w:val="none" w:sz="0" w:space="0" w:color="auto"/>
        <w:left w:val="none" w:sz="0" w:space="0" w:color="auto"/>
        <w:bottom w:val="none" w:sz="0" w:space="0" w:color="auto"/>
        <w:right w:val="none" w:sz="0" w:space="0" w:color="auto"/>
      </w:divBdr>
    </w:div>
    <w:div w:id="2073887921">
      <w:bodyDiv w:val="1"/>
      <w:marLeft w:val="0"/>
      <w:marRight w:val="0"/>
      <w:marTop w:val="0"/>
      <w:marBottom w:val="0"/>
      <w:divBdr>
        <w:top w:val="none" w:sz="0" w:space="0" w:color="auto"/>
        <w:left w:val="none" w:sz="0" w:space="0" w:color="auto"/>
        <w:bottom w:val="none" w:sz="0" w:space="0" w:color="auto"/>
        <w:right w:val="none" w:sz="0" w:space="0" w:color="auto"/>
      </w:divBdr>
    </w:div>
    <w:div w:id="2078436543">
      <w:bodyDiv w:val="1"/>
      <w:marLeft w:val="0"/>
      <w:marRight w:val="0"/>
      <w:marTop w:val="0"/>
      <w:marBottom w:val="0"/>
      <w:divBdr>
        <w:top w:val="none" w:sz="0" w:space="0" w:color="auto"/>
        <w:left w:val="none" w:sz="0" w:space="0" w:color="auto"/>
        <w:bottom w:val="none" w:sz="0" w:space="0" w:color="auto"/>
        <w:right w:val="none" w:sz="0" w:space="0" w:color="auto"/>
      </w:divBdr>
    </w:div>
    <w:div w:id="2100057859">
      <w:bodyDiv w:val="1"/>
      <w:marLeft w:val="0"/>
      <w:marRight w:val="0"/>
      <w:marTop w:val="0"/>
      <w:marBottom w:val="0"/>
      <w:divBdr>
        <w:top w:val="none" w:sz="0" w:space="0" w:color="auto"/>
        <w:left w:val="none" w:sz="0" w:space="0" w:color="auto"/>
        <w:bottom w:val="none" w:sz="0" w:space="0" w:color="auto"/>
        <w:right w:val="none" w:sz="0" w:space="0" w:color="auto"/>
      </w:divBdr>
    </w:div>
    <w:div w:id="2102530347">
      <w:bodyDiv w:val="1"/>
      <w:marLeft w:val="0"/>
      <w:marRight w:val="0"/>
      <w:marTop w:val="0"/>
      <w:marBottom w:val="0"/>
      <w:divBdr>
        <w:top w:val="none" w:sz="0" w:space="0" w:color="auto"/>
        <w:left w:val="none" w:sz="0" w:space="0" w:color="auto"/>
        <w:bottom w:val="none" w:sz="0" w:space="0" w:color="auto"/>
        <w:right w:val="none" w:sz="0" w:space="0" w:color="auto"/>
      </w:divBdr>
    </w:div>
    <w:div w:id="2125922892">
      <w:bodyDiv w:val="1"/>
      <w:marLeft w:val="0"/>
      <w:marRight w:val="0"/>
      <w:marTop w:val="0"/>
      <w:marBottom w:val="0"/>
      <w:divBdr>
        <w:top w:val="none" w:sz="0" w:space="0" w:color="auto"/>
        <w:left w:val="none" w:sz="0" w:space="0" w:color="auto"/>
        <w:bottom w:val="none" w:sz="0" w:space="0" w:color="auto"/>
        <w:right w:val="none" w:sz="0" w:space="0" w:color="auto"/>
      </w:divBdr>
    </w:div>
    <w:div w:id="213516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image" Target="media/image6.wmf"/><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oleObject" Target="embeddings/oleObject1.bin"/><Relationship Id="rId33" Type="http://schemas.openxmlformats.org/officeDocument/2006/relationships/oleObject" Target="embeddings/oleObject5.bin"/><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wmf"/><Relationship Id="rId32" Type="http://schemas.openxmlformats.org/officeDocument/2006/relationships/image" Target="media/image5.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image" Target="media/image3.wmf"/><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oleObject" Target="embeddings/oleObject2.bin"/><Relationship Id="rId30" Type="http://schemas.openxmlformats.org/officeDocument/2006/relationships/image" Target="media/image4.wmf"/><Relationship Id="rId35" Type="http://schemas.openxmlformats.org/officeDocument/2006/relationships/oleObject" Target="embeddings/oleObject6.bin"/></Relationships>
</file>

<file path=word/_rels/endnotes.xml.rels><?xml version="1.0" encoding="UTF-8" standalone="yes"?>
<Relationships xmlns="http://schemas.openxmlformats.org/package/2006/relationships"><Relationship Id="rId3" Type="http://schemas.openxmlformats.org/officeDocument/2006/relationships/hyperlink" Target="http://www1.eere.energy.gov/buildings/appliance_standards/residential/incandescent_lamps_standards_final_rule.html" TargetMode="External"/><Relationship Id="rId2" Type="http://schemas.openxmlformats.org/officeDocument/2006/relationships/hyperlink" Target="http://deeresources.com/index.php?option=com_content&amp;view=article&amp;id=68&amp;Itemid=60" TargetMode="External"/><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F3686D-DEC9-4CC8-8DB2-8BDE1A4B6D1D}"/>
</file>

<file path=customXml/itemProps2.xml><?xml version="1.0" encoding="utf-8"?>
<ds:datastoreItem xmlns:ds="http://schemas.openxmlformats.org/officeDocument/2006/customXml" ds:itemID="{BA0FE721-7803-423F-AB50-D6D23683DF1E}"/>
</file>

<file path=customXml/itemProps3.xml><?xml version="1.0" encoding="utf-8"?>
<ds:datastoreItem xmlns:ds="http://schemas.openxmlformats.org/officeDocument/2006/customXml" ds:itemID="{87D20F2D-607E-4774-A5E7-0B2D3642A54A}"/>
</file>

<file path=customXml/itemProps4.xml><?xml version="1.0" encoding="utf-8"?>
<ds:datastoreItem xmlns:ds="http://schemas.openxmlformats.org/officeDocument/2006/customXml" ds:itemID="{654618BB-5DCB-4467-82BC-3877CF076D03}"/>
</file>

<file path=docProps/app.xml><?xml version="1.0" encoding="utf-8"?>
<Properties xmlns="http://schemas.openxmlformats.org/officeDocument/2006/extended-properties" xmlns:vt="http://schemas.openxmlformats.org/officeDocument/2006/docPropsVTypes">
  <Template>SCE Work Paper Template - Final.dot</Template>
  <TotalTime>6</TotalTime>
  <Pages>13</Pages>
  <Words>3051</Words>
  <Characters>19592</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22598</CharactersWithSpaces>
  <SharedDoc>false</SharedDoc>
  <HLinks>
    <vt:vector size="240" baseType="variant">
      <vt:variant>
        <vt:i4>1572913</vt:i4>
      </vt:variant>
      <vt:variant>
        <vt:i4>209</vt:i4>
      </vt:variant>
      <vt:variant>
        <vt:i4>0</vt:i4>
      </vt:variant>
      <vt:variant>
        <vt:i4>5</vt:i4>
      </vt:variant>
      <vt:variant>
        <vt:lpwstr/>
      </vt:variant>
      <vt:variant>
        <vt:lpwstr>_Toc333927325</vt:lpwstr>
      </vt:variant>
      <vt:variant>
        <vt:i4>1572913</vt:i4>
      </vt:variant>
      <vt:variant>
        <vt:i4>203</vt:i4>
      </vt:variant>
      <vt:variant>
        <vt:i4>0</vt:i4>
      </vt:variant>
      <vt:variant>
        <vt:i4>5</vt:i4>
      </vt:variant>
      <vt:variant>
        <vt:lpwstr/>
      </vt:variant>
      <vt:variant>
        <vt:lpwstr>_Toc333927324</vt:lpwstr>
      </vt:variant>
      <vt:variant>
        <vt:i4>1572913</vt:i4>
      </vt:variant>
      <vt:variant>
        <vt:i4>197</vt:i4>
      </vt:variant>
      <vt:variant>
        <vt:i4>0</vt:i4>
      </vt:variant>
      <vt:variant>
        <vt:i4>5</vt:i4>
      </vt:variant>
      <vt:variant>
        <vt:lpwstr/>
      </vt:variant>
      <vt:variant>
        <vt:lpwstr>_Toc333927323</vt:lpwstr>
      </vt:variant>
      <vt:variant>
        <vt:i4>1572913</vt:i4>
      </vt:variant>
      <vt:variant>
        <vt:i4>191</vt:i4>
      </vt:variant>
      <vt:variant>
        <vt:i4>0</vt:i4>
      </vt:variant>
      <vt:variant>
        <vt:i4>5</vt:i4>
      </vt:variant>
      <vt:variant>
        <vt:lpwstr/>
      </vt:variant>
      <vt:variant>
        <vt:lpwstr>_Toc333927322</vt:lpwstr>
      </vt:variant>
      <vt:variant>
        <vt:i4>1572913</vt:i4>
      </vt:variant>
      <vt:variant>
        <vt:i4>185</vt:i4>
      </vt:variant>
      <vt:variant>
        <vt:i4>0</vt:i4>
      </vt:variant>
      <vt:variant>
        <vt:i4>5</vt:i4>
      </vt:variant>
      <vt:variant>
        <vt:lpwstr/>
      </vt:variant>
      <vt:variant>
        <vt:lpwstr>_Toc333927321</vt:lpwstr>
      </vt:variant>
      <vt:variant>
        <vt:i4>1572913</vt:i4>
      </vt:variant>
      <vt:variant>
        <vt:i4>179</vt:i4>
      </vt:variant>
      <vt:variant>
        <vt:i4>0</vt:i4>
      </vt:variant>
      <vt:variant>
        <vt:i4>5</vt:i4>
      </vt:variant>
      <vt:variant>
        <vt:lpwstr/>
      </vt:variant>
      <vt:variant>
        <vt:lpwstr>_Toc333927320</vt:lpwstr>
      </vt:variant>
      <vt:variant>
        <vt:i4>1769521</vt:i4>
      </vt:variant>
      <vt:variant>
        <vt:i4>173</vt:i4>
      </vt:variant>
      <vt:variant>
        <vt:i4>0</vt:i4>
      </vt:variant>
      <vt:variant>
        <vt:i4>5</vt:i4>
      </vt:variant>
      <vt:variant>
        <vt:lpwstr/>
      </vt:variant>
      <vt:variant>
        <vt:lpwstr>_Toc333927319</vt:lpwstr>
      </vt:variant>
      <vt:variant>
        <vt:i4>1769521</vt:i4>
      </vt:variant>
      <vt:variant>
        <vt:i4>167</vt:i4>
      </vt:variant>
      <vt:variant>
        <vt:i4>0</vt:i4>
      </vt:variant>
      <vt:variant>
        <vt:i4>5</vt:i4>
      </vt:variant>
      <vt:variant>
        <vt:lpwstr/>
      </vt:variant>
      <vt:variant>
        <vt:lpwstr>_Toc333927318</vt:lpwstr>
      </vt:variant>
      <vt:variant>
        <vt:i4>1769521</vt:i4>
      </vt:variant>
      <vt:variant>
        <vt:i4>161</vt:i4>
      </vt:variant>
      <vt:variant>
        <vt:i4>0</vt:i4>
      </vt:variant>
      <vt:variant>
        <vt:i4>5</vt:i4>
      </vt:variant>
      <vt:variant>
        <vt:lpwstr/>
      </vt:variant>
      <vt:variant>
        <vt:lpwstr>_Toc333927317</vt:lpwstr>
      </vt:variant>
      <vt:variant>
        <vt:i4>1769521</vt:i4>
      </vt:variant>
      <vt:variant>
        <vt:i4>152</vt:i4>
      </vt:variant>
      <vt:variant>
        <vt:i4>0</vt:i4>
      </vt:variant>
      <vt:variant>
        <vt:i4>5</vt:i4>
      </vt:variant>
      <vt:variant>
        <vt:lpwstr/>
      </vt:variant>
      <vt:variant>
        <vt:lpwstr>_Toc333927316</vt:lpwstr>
      </vt:variant>
      <vt:variant>
        <vt:i4>1769521</vt:i4>
      </vt:variant>
      <vt:variant>
        <vt:i4>146</vt:i4>
      </vt:variant>
      <vt:variant>
        <vt:i4>0</vt:i4>
      </vt:variant>
      <vt:variant>
        <vt:i4>5</vt:i4>
      </vt:variant>
      <vt:variant>
        <vt:lpwstr/>
      </vt:variant>
      <vt:variant>
        <vt:lpwstr>_Toc333927315</vt:lpwstr>
      </vt:variant>
      <vt:variant>
        <vt:i4>1769521</vt:i4>
      </vt:variant>
      <vt:variant>
        <vt:i4>140</vt:i4>
      </vt:variant>
      <vt:variant>
        <vt:i4>0</vt:i4>
      </vt:variant>
      <vt:variant>
        <vt:i4>5</vt:i4>
      </vt:variant>
      <vt:variant>
        <vt:lpwstr/>
      </vt:variant>
      <vt:variant>
        <vt:lpwstr>_Toc333927314</vt:lpwstr>
      </vt:variant>
      <vt:variant>
        <vt:i4>1769521</vt:i4>
      </vt:variant>
      <vt:variant>
        <vt:i4>134</vt:i4>
      </vt:variant>
      <vt:variant>
        <vt:i4>0</vt:i4>
      </vt:variant>
      <vt:variant>
        <vt:i4>5</vt:i4>
      </vt:variant>
      <vt:variant>
        <vt:lpwstr/>
      </vt:variant>
      <vt:variant>
        <vt:lpwstr>_Toc333927313</vt:lpwstr>
      </vt:variant>
      <vt:variant>
        <vt:i4>1769521</vt:i4>
      </vt:variant>
      <vt:variant>
        <vt:i4>128</vt:i4>
      </vt:variant>
      <vt:variant>
        <vt:i4>0</vt:i4>
      </vt:variant>
      <vt:variant>
        <vt:i4>5</vt:i4>
      </vt:variant>
      <vt:variant>
        <vt:lpwstr/>
      </vt:variant>
      <vt:variant>
        <vt:lpwstr>_Toc333927312</vt:lpwstr>
      </vt:variant>
      <vt:variant>
        <vt:i4>1769521</vt:i4>
      </vt:variant>
      <vt:variant>
        <vt:i4>122</vt:i4>
      </vt:variant>
      <vt:variant>
        <vt:i4>0</vt:i4>
      </vt:variant>
      <vt:variant>
        <vt:i4>5</vt:i4>
      </vt:variant>
      <vt:variant>
        <vt:lpwstr/>
      </vt:variant>
      <vt:variant>
        <vt:lpwstr>_Toc333927311</vt:lpwstr>
      </vt:variant>
      <vt:variant>
        <vt:i4>1769521</vt:i4>
      </vt:variant>
      <vt:variant>
        <vt:i4>116</vt:i4>
      </vt:variant>
      <vt:variant>
        <vt:i4>0</vt:i4>
      </vt:variant>
      <vt:variant>
        <vt:i4>5</vt:i4>
      </vt:variant>
      <vt:variant>
        <vt:lpwstr/>
      </vt:variant>
      <vt:variant>
        <vt:lpwstr>_Toc333927310</vt:lpwstr>
      </vt:variant>
      <vt:variant>
        <vt:i4>1703985</vt:i4>
      </vt:variant>
      <vt:variant>
        <vt:i4>110</vt:i4>
      </vt:variant>
      <vt:variant>
        <vt:i4>0</vt:i4>
      </vt:variant>
      <vt:variant>
        <vt:i4>5</vt:i4>
      </vt:variant>
      <vt:variant>
        <vt:lpwstr/>
      </vt:variant>
      <vt:variant>
        <vt:lpwstr>_Toc333927309</vt:lpwstr>
      </vt:variant>
      <vt:variant>
        <vt:i4>1703985</vt:i4>
      </vt:variant>
      <vt:variant>
        <vt:i4>104</vt:i4>
      </vt:variant>
      <vt:variant>
        <vt:i4>0</vt:i4>
      </vt:variant>
      <vt:variant>
        <vt:i4>5</vt:i4>
      </vt:variant>
      <vt:variant>
        <vt:lpwstr/>
      </vt:variant>
      <vt:variant>
        <vt:lpwstr>_Toc333927308</vt:lpwstr>
      </vt:variant>
      <vt:variant>
        <vt:i4>1703985</vt:i4>
      </vt:variant>
      <vt:variant>
        <vt:i4>98</vt:i4>
      </vt:variant>
      <vt:variant>
        <vt:i4>0</vt:i4>
      </vt:variant>
      <vt:variant>
        <vt:i4>5</vt:i4>
      </vt:variant>
      <vt:variant>
        <vt:lpwstr/>
      </vt:variant>
      <vt:variant>
        <vt:lpwstr>_Toc333927307</vt:lpwstr>
      </vt:variant>
      <vt:variant>
        <vt:i4>1703985</vt:i4>
      </vt:variant>
      <vt:variant>
        <vt:i4>92</vt:i4>
      </vt:variant>
      <vt:variant>
        <vt:i4>0</vt:i4>
      </vt:variant>
      <vt:variant>
        <vt:i4>5</vt:i4>
      </vt:variant>
      <vt:variant>
        <vt:lpwstr/>
      </vt:variant>
      <vt:variant>
        <vt:lpwstr>_Toc333927306</vt:lpwstr>
      </vt:variant>
      <vt:variant>
        <vt:i4>1703985</vt:i4>
      </vt:variant>
      <vt:variant>
        <vt:i4>86</vt:i4>
      </vt:variant>
      <vt:variant>
        <vt:i4>0</vt:i4>
      </vt:variant>
      <vt:variant>
        <vt:i4>5</vt:i4>
      </vt:variant>
      <vt:variant>
        <vt:lpwstr/>
      </vt:variant>
      <vt:variant>
        <vt:lpwstr>_Toc333927305</vt:lpwstr>
      </vt:variant>
      <vt:variant>
        <vt:i4>1703985</vt:i4>
      </vt:variant>
      <vt:variant>
        <vt:i4>80</vt:i4>
      </vt:variant>
      <vt:variant>
        <vt:i4>0</vt:i4>
      </vt:variant>
      <vt:variant>
        <vt:i4>5</vt:i4>
      </vt:variant>
      <vt:variant>
        <vt:lpwstr/>
      </vt:variant>
      <vt:variant>
        <vt:lpwstr>_Toc333927304</vt:lpwstr>
      </vt:variant>
      <vt:variant>
        <vt:i4>1703985</vt:i4>
      </vt:variant>
      <vt:variant>
        <vt:i4>74</vt:i4>
      </vt:variant>
      <vt:variant>
        <vt:i4>0</vt:i4>
      </vt:variant>
      <vt:variant>
        <vt:i4>5</vt:i4>
      </vt:variant>
      <vt:variant>
        <vt:lpwstr/>
      </vt:variant>
      <vt:variant>
        <vt:lpwstr>_Toc333927303</vt:lpwstr>
      </vt:variant>
      <vt:variant>
        <vt:i4>1703985</vt:i4>
      </vt:variant>
      <vt:variant>
        <vt:i4>68</vt:i4>
      </vt:variant>
      <vt:variant>
        <vt:i4>0</vt:i4>
      </vt:variant>
      <vt:variant>
        <vt:i4>5</vt:i4>
      </vt:variant>
      <vt:variant>
        <vt:lpwstr/>
      </vt:variant>
      <vt:variant>
        <vt:lpwstr>_Toc333927302</vt:lpwstr>
      </vt:variant>
      <vt:variant>
        <vt:i4>1703985</vt:i4>
      </vt:variant>
      <vt:variant>
        <vt:i4>62</vt:i4>
      </vt:variant>
      <vt:variant>
        <vt:i4>0</vt:i4>
      </vt:variant>
      <vt:variant>
        <vt:i4>5</vt:i4>
      </vt:variant>
      <vt:variant>
        <vt:lpwstr/>
      </vt:variant>
      <vt:variant>
        <vt:lpwstr>_Toc333927301</vt:lpwstr>
      </vt:variant>
      <vt:variant>
        <vt:i4>1703985</vt:i4>
      </vt:variant>
      <vt:variant>
        <vt:i4>56</vt:i4>
      </vt:variant>
      <vt:variant>
        <vt:i4>0</vt:i4>
      </vt:variant>
      <vt:variant>
        <vt:i4>5</vt:i4>
      </vt:variant>
      <vt:variant>
        <vt:lpwstr/>
      </vt:variant>
      <vt:variant>
        <vt:lpwstr>_Toc333927300</vt:lpwstr>
      </vt:variant>
      <vt:variant>
        <vt:i4>1245232</vt:i4>
      </vt:variant>
      <vt:variant>
        <vt:i4>50</vt:i4>
      </vt:variant>
      <vt:variant>
        <vt:i4>0</vt:i4>
      </vt:variant>
      <vt:variant>
        <vt:i4>5</vt:i4>
      </vt:variant>
      <vt:variant>
        <vt:lpwstr/>
      </vt:variant>
      <vt:variant>
        <vt:lpwstr>_Toc333927299</vt:lpwstr>
      </vt:variant>
      <vt:variant>
        <vt:i4>1245232</vt:i4>
      </vt:variant>
      <vt:variant>
        <vt:i4>44</vt:i4>
      </vt:variant>
      <vt:variant>
        <vt:i4>0</vt:i4>
      </vt:variant>
      <vt:variant>
        <vt:i4>5</vt:i4>
      </vt:variant>
      <vt:variant>
        <vt:lpwstr/>
      </vt:variant>
      <vt:variant>
        <vt:lpwstr>_Toc333927298</vt:lpwstr>
      </vt:variant>
      <vt:variant>
        <vt:i4>1245232</vt:i4>
      </vt:variant>
      <vt:variant>
        <vt:i4>38</vt:i4>
      </vt:variant>
      <vt:variant>
        <vt:i4>0</vt:i4>
      </vt:variant>
      <vt:variant>
        <vt:i4>5</vt:i4>
      </vt:variant>
      <vt:variant>
        <vt:lpwstr/>
      </vt:variant>
      <vt:variant>
        <vt:lpwstr>_Toc333927297</vt:lpwstr>
      </vt:variant>
      <vt:variant>
        <vt:i4>1245232</vt:i4>
      </vt:variant>
      <vt:variant>
        <vt:i4>32</vt:i4>
      </vt:variant>
      <vt:variant>
        <vt:i4>0</vt:i4>
      </vt:variant>
      <vt:variant>
        <vt:i4>5</vt:i4>
      </vt:variant>
      <vt:variant>
        <vt:lpwstr/>
      </vt:variant>
      <vt:variant>
        <vt:lpwstr>_Toc333927296</vt:lpwstr>
      </vt:variant>
      <vt:variant>
        <vt:i4>1245232</vt:i4>
      </vt:variant>
      <vt:variant>
        <vt:i4>26</vt:i4>
      </vt:variant>
      <vt:variant>
        <vt:i4>0</vt:i4>
      </vt:variant>
      <vt:variant>
        <vt:i4>5</vt:i4>
      </vt:variant>
      <vt:variant>
        <vt:lpwstr/>
      </vt:variant>
      <vt:variant>
        <vt:lpwstr>_Toc333927295</vt:lpwstr>
      </vt:variant>
      <vt:variant>
        <vt:i4>1245232</vt:i4>
      </vt:variant>
      <vt:variant>
        <vt:i4>20</vt:i4>
      </vt:variant>
      <vt:variant>
        <vt:i4>0</vt:i4>
      </vt:variant>
      <vt:variant>
        <vt:i4>5</vt:i4>
      </vt:variant>
      <vt:variant>
        <vt:lpwstr/>
      </vt:variant>
      <vt:variant>
        <vt:lpwstr>_Toc333927294</vt:lpwstr>
      </vt:variant>
      <vt:variant>
        <vt:i4>1245232</vt:i4>
      </vt:variant>
      <vt:variant>
        <vt:i4>14</vt:i4>
      </vt:variant>
      <vt:variant>
        <vt:i4>0</vt:i4>
      </vt:variant>
      <vt:variant>
        <vt:i4>5</vt:i4>
      </vt:variant>
      <vt:variant>
        <vt:lpwstr/>
      </vt:variant>
      <vt:variant>
        <vt:lpwstr>_Toc333927293</vt:lpwstr>
      </vt:variant>
      <vt:variant>
        <vt:i4>1245232</vt:i4>
      </vt:variant>
      <vt:variant>
        <vt:i4>8</vt:i4>
      </vt:variant>
      <vt:variant>
        <vt:i4>0</vt:i4>
      </vt:variant>
      <vt:variant>
        <vt:i4>5</vt:i4>
      </vt:variant>
      <vt:variant>
        <vt:lpwstr/>
      </vt:variant>
      <vt:variant>
        <vt:lpwstr>_Toc333927292</vt:lpwstr>
      </vt:variant>
      <vt:variant>
        <vt:i4>1245232</vt:i4>
      </vt:variant>
      <vt:variant>
        <vt:i4>2</vt:i4>
      </vt:variant>
      <vt:variant>
        <vt:i4>0</vt:i4>
      </vt:variant>
      <vt:variant>
        <vt:i4>5</vt:i4>
      </vt:variant>
      <vt:variant>
        <vt:lpwstr/>
      </vt:variant>
      <vt:variant>
        <vt:lpwstr>_Toc333927291</vt:lpwstr>
      </vt:variant>
      <vt:variant>
        <vt:i4>852077</vt:i4>
      </vt:variant>
      <vt:variant>
        <vt:i4>15</vt:i4>
      </vt:variant>
      <vt:variant>
        <vt:i4>0</vt:i4>
      </vt:variant>
      <vt:variant>
        <vt:i4>5</vt:i4>
      </vt:variant>
      <vt:variant>
        <vt:lpwstr>http://deeresources.com/index.php?option=com_content&amp;view=article&amp;id=65&amp;Itemid=57</vt:lpwstr>
      </vt:variant>
      <vt:variant>
        <vt:lpwstr/>
      </vt:variant>
      <vt:variant>
        <vt:i4>917600</vt:i4>
      </vt:variant>
      <vt:variant>
        <vt:i4>12</vt:i4>
      </vt:variant>
      <vt:variant>
        <vt:i4>0</vt:i4>
      </vt:variant>
      <vt:variant>
        <vt:i4>5</vt:i4>
      </vt:variant>
      <vt:variant>
        <vt:lpwstr>http://deeresources.com/index.php?option=com_content&amp;view=article&amp;id=68&amp;Itemid=60</vt:lpwstr>
      </vt:variant>
      <vt:variant>
        <vt:lpwstr/>
      </vt:variant>
      <vt:variant>
        <vt:i4>917600</vt:i4>
      </vt:variant>
      <vt:variant>
        <vt:i4>9</vt:i4>
      </vt:variant>
      <vt:variant>
        <vt:i4>0</vt:i4>
      </vt:variant>
      <vt:variant>
        <vt:i4>5</vt:i4>
      </vt:variant>
      <vt:variant>
        <vt:lpwstr>http://deeresources.com/index.php?option=com_content&amp;view=article&amp;id=68&amp;Itemid=60</vt:lpwstr>
      </vt:variant>
      <vt:variant>
        <vt:lpwstr/>
      </vt:variant>
      <vt:variant>
        <vt:i4>917600</vt:i4>
      </vt:variant>
      <vt:variant>
        <vt:i4>6</vt:i4>
      </vt:variant>
      <vt:variant>
        <vt:i4>0</vt:i4>
      </vt:variant>
      <vt:variant>
        <vt:i4>5</vt:i4>
      </vt:variant>
      <vt:variant>
        <vt:lpwstr>http://deeresources.com/index.php?option=com_content&amp;view=article&amp;id=68&amp;Itemid=60</vt:lpwstr>
      </vt:variant>
      <vt:variant>
        <vt:lpwstr/>
      </vt:variant>
      <vt:variant>
        <vt:i4>5636197</vt:i4>
      </vt:variant>
      <vt:variant>
        <vt:i4>3</vt:i4>
      </vt:variant>
      <vt:variant>
        <vt:i4>0</vt:i4>
      </vt:variant>
      <vt:variant>
        <vt:i4>5</vt:i4>
      </vt:variant>
      <vt:variant>
        <vt:lpwstr>http://www1.eere.energy.gov/buildings/appliance_standards/residential/incandescent_lamps_standards_final_rule.html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Wan, Linda</cp:lastModifiedBy>
  <cp:revision>3</cp:revision>
  <cp:lastPrinted>2014-03-17T21:53:00Z</cp:lastPrinted>
  <dcterms:created xsi:type="dcterms:W3CDTF">2015-12-23T18:35:00Z</dcterms:created>
  <dcterms:modified xsi:type="dcterms:W3CDTF">2015-12-23T18:41:00Z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