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cs="Arial"/>
          <w:b/>
          <w:color w:val="FF0000"/>
          <w:sz w:val="48"/>
          <w:szCs w:val="48"/>
        </w:rPr>
      </w:pPr>
      <w:bookmarkStart w:id="0" w:name="_Toc153189646"/>
      <w:r w:rsidRPr="00AC6C3F">
        <w:rPr>
          <w:rFonts w:cs="Arial"/>
          <w:b/>
          <w:sz w:val="48"/>
          <w:szCs w:val="48"/>
        </w:rPr>
        <w:t>Work Paper</w:t>
      </w:r>
      <w:bookmarkEnd w:id="0"/>
      <w:r w:rsidR="00E44FC8">
        <w:rPr>
          <w:rFonts w:cs="Arial"/>
          <w:b/>
          <w:color w:val="FF0000"/>
          <w:sz w:val="48"/>
          <w:szCs w:val="48"/>
        </w:rPr>
        <w:t xml:space="preserve"> </w:t>
      </w:r>
      <w:r w:rsidR="00E44FC8" w:rsidRPr="00E44FC8">
        <w:rPr>
          <w:rFonts w:cs="Arial"/>
          <w:b/>
          <w:sz w:val="48"/>
          <w:szCs w:val="48"/>
        </w:rPr>
        <w:t>PGECOLTG113</w:t>
      </w:r>
    </w:p>
    <w:p w:rsidR="00A167EC" w:rsidRPr="00E44FC8" w:rsidRDefault="00E44FC8" w:rsidP="00A167EC">
      <w:pPr>
        <w:jc w:val="right"/>
        <w:rPr>
          <w:rFonts w:cs="Arial"/>
          <w:b/>
          <w:sz w:val="48"/>
          <w:szCs w:val="48"/>
        </w:rPr>
      </w:pPr>
      <w:r w:rsidRPr="00E44FC8">
        <w:rPr>
          <w:rFonts w:cs="Arial"/>
          <w:b/>
          <w:sz w:val="48"/>
          <w:szCs w:val="48"/>
        </w:rPr>
        <w:t>Interior Induction Fixtures</w:t>
      </w:r>
    </w:p>
    <w:p w:rsidR="003129E8" w:rsidRDefault="003129E8" w:rsidP="002E0043">
      <w:pPr>
        <w:jc w:val="right"/>
        <w:rPr>
          <w:rFonts w:cs="Arial"/>
          <w:b/>
          <w:sz w:val="48"/>
          <w:szCs w:val="48"/>
        </w:rPr>
      </w:pPr>
      <w:bookmarkStart w:id="1" w:name="_Toc153189647"/>
      <w:r w:rsidRPr="00E44FC8">
        <w:rPr>
          <w:rFonts w:cs="Arial"/>
          <w:b/>
          <w:sz w:val="48"/>
          <w:szCs w:val="48"/>
        </w:rPr>
        <w:t xml:space="preserve">Revision </w:t>
      </w:r>
      <w:bookmarkEnd w:id="1"/>
      <w:r w:rsidR="00FB59B6">
        <w:rPr>
          <w:rFonts w:cs="Arial"/>
          <w:b/>
          <w:sz w:val="48"/>
          <w:szCs w:val="48"/>
        </w:rPr>
        <w:t>6</w:t>
      </w:r>
    </w:p>
    <w:p w:rsidR="00FB59B6" w:rsidRPr="00E44FC8" w:rsidRDefault="00FB59B6" w:rsidP="002E0043">
      <w:pPr>
        <w:jc w:val="right"/>
        <w:rPr>
          <w:rFonts w:cs="Arial"/>
          <w:b/>
          <w:sz w:val="48"/>
          <w:szCs w:val="48"/>
        </w:rPr>
      </w:pPr>
    </w:p>
    <w:p w:rsidR="003129E8" w:rsidRDefault="003129E8" w:rsidP="003129E8"/>
    <w:p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rsidR="00D7047A" w:rsidRPr="002E0043" w:rsidRDefault="00661864" w:rsidP="00D7047A">
      <w:pPr>
        <w:rPr>
          <w:rFonts w:cs="Arial"/>
          <w:b/>
          <w:sz w:val="32"/>
          <w:szCs w:val="32"/>
        </w:rPr>
      </w:pPr>
      <w:r>
        <w:rPr>
          <w:rFonts w:cs="Arial"/>
          <w:b/>
          <w:sz w:val="32"/>
          <w:szCs w:val="32"/>
        </w:rPr>
        <w:t xml:space="preserve">Customer Energy Solutions </w:t>
      </w:r>
    </w:p>
    <w:p w:rsidR="00E34E73" w:rsidRDefault="00E34E73" w:rsidP="00324D0F">
      <w:pPr>
        <w:rPr>
          <w:rFonts w:cs="Arial"/>
          <w:b/>
          <w:highlight w:val="cyan"/>
        </w:rPr>
      </w:pPr>
    </w:p>
    <w:p w:rsidR="00C274E0" w:rsidRDefault="00C274E0" w:rsidP="00324D0F">
      <w:pPr>
        <w:rPr>
          <w:rFonts w:cs="Arial"/>
          <w:b/>
          <w:highlight w:val="cyan"/>
        </w:rPr>
      </w:pPr>
    </w:p>
    <w:p w:rsidR="00C274E0" w:rsidRDefault="00C274E0" w:rsidP="00324D0F">
      <w:pPr>
        <w:rPr>
          <w:rFonts w:cs="Arial"/>
          <w:b/>
          <w:highlight w:val="cyan"/>
        </w:rPr>
      </w:pPr>
    </w:p>
    <w:p w:rsidR="00324D0F" w:rsidRPr="00C274E0" w:rsidRDefault="00324D0F" w:rsidP="00324D0F">
      <w:pPr>
        <w:rPr>
          <w:rFonts w:cs="Arial"/>
          <w:b/>
          <w:bCs/>
          <w:i/>
        </w:rPr>
      </w:pPr>
    </w:p>
    <w:p w:rsidR="00324D0F" w:rsidRPr="00E44FC8" w:rsidRDefault="00E44FC8" w:rsidP="00A167EC">
      <w:pPr>
        <w:ind w:right="-720"/>
        <w:rPr>
          <w:rFonts w:cs="Arial"/>
          <w:b/>
          <w:sz w:val="72"/>
          <w:szCs w:val="72"/>
        </w:rPr>
      </w:pPr>
      <w:r w:rsidRPr="00E44FC8">
        <w:rPr>
          <w:rFonts w:cs="Arial"/>
          <w:b/>
          <w:sz w:val="72"/>
          <w:szCs w:val="72"/>
        </w:rPr>
        <w:t>Interior Induction Fixtures</w:t>
      </w:r>
    </w:p>
    <w:p w:rsidR="00B421F2" w:rsidRPr="00E44FC8" w:rsidRDefault="00A167EC" w:rsidP="002D4621">
      <w:pPr>
        <w:ind w:right="-720"/>
        <w:rPr>
          <w:rFonts w:cs="Arial"/>
          <w:b/>
        </w:rPr>
      </w:pPr>
      <w:r w:rsidRPr="00E44FC8">
        <w:rPr>
          <w:rFonts w:cs="Arial"/>
          <w:b/>
        </w:rPr>
        <w:t xml:space="preserve">Measure Codes </w:t>
      </w:r>
      <w:r w:rsidR="00E44FC8" w:rsidRPr="00E44FC8">
        <w:rPr>
          <w:rFonts w:cs="Arial"/>
          <w:b/>
        </w:rPr>
        <w:t>L1023, L1024, L1025, L0270</w:t>
      </w:r>
    </w:p>
    <w:p w:rsidR="00CB3583" w:rsidRPr="00C274E0" w:rsidRDefault="00CB3583" w:rsidP="002E0043">
      <w:pPr>
        <w:rPr>
          <w:rFonts w:cs="Arial"/>
          <w:b/>
          <w:i/>
          <w:highlight w:val="cyan"/>
        </w:rPr>
      </w:pPr>
    </w:p>
    <w:p w:rsidR="003D3F36" w:rsidRPr="00C274E0" w:rsidRDefault="003D3F36" w:rsidP="00844B27">
      <w:pPr>
        <w:rPr>
          <w:rFonts w:cs="Arial"/>
          <w:b/>
          <w:i/>
          <w:highlight w:val="cyan"/>
        </w:rPr>
      </w:pPr>
    </w:p>
    <w:p w:rsidR="00E84DBD" w:rsidRDefault="00E84DBD"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2" w:name="_Toc304800192"/>
      <w:bookmarkStart w:id="3" w:name="_Toc324318330"/>
      <w:bookmarkStart w:id="4" w:name="_Toc324340474"/>
      <w:bookmarkStart w:id="5" w:name="_Toc438469311"/>
      <w:r>
        <w:lastRenderedPageBreak/>
        <w:t>At-</w:t>
      </w:r>
      <w:r w:rsidR="00E71EF1">
        <w:t>a</w:t>
      </w:r>
      <w:r>
        <w:t>-</w:t>
      </w:r>
      <w:r w:rsidR="00E71EF1">
        <w:t>Glance Summary</w:t>
      </w:r>
      <w:bookmarkEnd w:id="2"/>
      <w:bookmarkEnd w:id="3"/>
      <w:bookmarkEnd w:id="4"/>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3338"/>
        <w:gridCol w:w="1262"/>
        <w:gridCol w:w="315"/>
        <w:gridCol w:w="947"/>
        <w:gridCol w:w="631"/>
        <w:gridCol w:w="631"/>
        <w:gridCol w:w="946"/>
        <w:gridCol w:w="1578"/>
      </w:tblGrid>
      <w:tr w:rsidR="0022354B" w:rsidRPr="00A55DD1" w:rsidTr="008B1F6B">
        <w:trPr>
          <w:trHeight w:val="465"/>
        </w:trPr>
        <w:tc>
          <w:tcPr>
            <w:tcW w:w="3338" w:type="dxa"/>
            <w:shd w:val="pct20" w:color="000000" w:fill="FFFFFF"/>
          </w:tcPr>
          <w:p w:rsidR="0022354B" w:rsidRPr="00610FC6" w:rsidRDefault="0022354B" w:rsidP="0028709C">
            <w:pPr>
              <w:rPr>
                <w:rStyle w:val="Strong"/>
              </w:rPr>
            </w:pPr>
            <w:r w:rsidRPr="00610FC6">
              <w:rPr>
                <w:rStyle w:val="Strong"/>
              </w:rPr>
              <w:t>Applicable Measure Codes:</w:t>
            </w:r>
          </w:p>
        </w:tc>
        <w:tc>
          <w:tcPr>
            <w:tcW w:w="1577" w:type="dxa"/>
            <w:gridSpan w:val="2"/>
            <w:shd w:val="pct20" w:color="000000" w:fill="FFFFFF"/>
            <w:vAlign w:val="center"/>
          </w:tcPr>
          <w:p w:rsidR="0022354B" w:rsidRPr="000E22C9" w:rsidRDefault="0022354B" w:rsidP="008B1F6B">
            <w:pPr>
              <w:jc w:val="center"/>
              <w:rPr>
                <w:rFonts w:cs="Arial"/>
                <w:b/>
                <w:bCs/>
                <w:sz w:val="20"/>
                <w:szCs w:val="20"/>
              </w:rPr>
            </w:pPr>
            <w:r>
              <w:rPr>
                <w:b/>
                <w:bCs/>
                <w:sz w:val="20"/>
                <w:szCs w:val="20"/>
              </w:rPr>
              <w:t>L1023</w:t>
            </w:r>
          </w:p>
        </w:tc>
        <w:tc>
          <w:tcPr>
            <w:tcW w:w="1578" w:type="dxa"/>
            <w:gridSpan w:val="2"/>
            <w:shd w:val="pct20" w:color="000000" w:fill="FFFFFF"/>
            <w:vAlign w:val="center"/>
          </w:tcPr>
          <w:p w:rsidR="0022354B" w:rsidRPr="000E22C9" w:rsidRDefault="0022354B" w:rsidP="008B1F6B">
            <w:pPr>
              <w:jc w:val="center"/>
              <w:rPr>
                <w:rFonts w:cs="Arial"/>
                <w:b/>
                <w:bCs/>
                <w:sz w:val="20"/>
                <w:szCs w:val="20"/>
              </w:rPr>
            </w:pPr>
            <w:r>
              <w:rPr>
                <w:b/>
                <w:bCs/>
                <w:sz w:val="20"/>
                <w:szCs w:val="20"/>
              </w:rPr>
              <w:t>L1024</w:t>
            </w:r>
          </w:p>
        </w:tc>
        <w:tc>
          <w:tcPr>
            <w:tcW w:w="1577" w:type="dxa"/>
            <w:gridSpan w:val="2"/>
            <w:shd w:val="pct20" w:color="000000" w:fill="FFFFFF"/>
            <w:vAlign w:val="center"/>
          </w:tcPr>
          <w:p w:rsidR="0022354B" w:rsidRPr="000E22C9" w:rsidRDefault="0022354B" w:rsidP="008B1F6B">
            <w:pPr>
              <w:jc w:val="center"/>
              <w:rPr>
                <w:rFonts w:cs="Arial"/>
                <w:b/>
                <w:bCs/>
                <w:sz w:val="20"/>
                <w:szCs w:val="20"/>
              </w:rPr>
            </w:pPr>
            <w:r>
              <w:rPr>
                <w:b/>
                <w:bCs/>
                <w:sz w:val="20"/>
                <w:szCs w:val="20"/>
              </w:rPr>
              <w:t>L1025</w:t>
            </w:r>
          </w:p>
        </w:tc>
        <w:tc>
          <w:tcPr>
            <w:tcW w:w="1578" w:type="dxa"/>
            <w:shd w:val="pct20" w:color="000000" w:fill="FFFFFF"/>
            <w:vAlign w:val="center"/>
          </w:tcPr>
          <w:p w:rsidR="0022354B" w:rsidRPr="000E22C9" w:rsidRDefault="0022354B" w:rsidP="008B1F6B">
            <w:pPr>
              <w:jc w:val="center"/>
              <w:rPr>
                <w:rFonts w:cs="Arial"/>
                <w:b/>
                <w:bCs/>
                <w:sz w:val="20"/>
                <w:szCs w:val="20"/>
              </w:rPr>
            </w:pPr>
            <w:r>
              <w:rPr>
                <w:b/>
                <w:bCs/>
                <w:sz w:val="20"/>
                <w:szCs w:val="20"/>
              </w:rPr>
              <w:t>L0270</w:t>
            </w:r>
          </w:p>
        </w:tc>
      </w:tr>
      <w:tr w:rsidR="00E44FC8" w:rsidRPr="00A55DD1" w:rsidTr="00E44FC8">
        <w:trPr>
          <w:trHeight w:val="465"/>
        </w:trPr>
        <w:tc>
          <w:tcPr>
            <w:tcW w:w="3338" w:type="dxa"/>
            <w:shd w:val="pct5" w:color="000000" w:fill="FFFFFF"/>
          </w:tcPr>
          <w:p w:rsidR="00E44FC8" w:rsidRPr="00610FC6" w:rsidRDefault="00E44FC8" w:rsidP="0028709C">
            <w:pPr>
              <w:rPr>
                <w:rStyle w:val="Strong"/>
              </w:rPr>
            </w:pPr>
            <w:r w:rsidRPr="00610FC6">
              <w:rPr>
                <w:rStyle w:val="Strong"/>
              </w:rPr>
              <w:t xml:space="preserve">Measure Description: </w:t>
            </w:r>
          </w:p>
        </w:tc>
        <w:tc>
          <w:tcPr>
            <w:tcW w:w="6310" w:type="dxa"/>
            <w:gridSpan w:val="7"/>
            <w:shd w:val="pct5" w:color="000000" w:fill="FFFFFF"/>
            <w:vAlign w:val="center"/>
          </w:tcPr>
          <w:p w:rsidR="00E44FC8" w:rsidRPr="000E22C9" w:rsidRDefault="00E44FC8" w:rsidP="0028709C">
            <w:pPr>
              <w:rPr>
                <w:rFonts w:cs="Arial"/>
                <w:sz w:val="20"/>
                <w:szCs w:val="20"/>
              </w:rPr>
            </w:pPr>
            <w:r>
              <w:rPr>
                <w:sz w:val="20"/>
                <w:szCs w:val="20"/>
              </w:rPr>
              <w:t>Interior Induction</w:t>
            </w:r>
            <w:r w:rsidRPr="00D05CA7">
              <w:rPr>
                <w:sz w:val="20"/>
                <w:szCs w:val="20"/>
              </w:rPr>
              <w:t xml:space="preserve"> Fixtures</w:t>
            </w:r>
          </w:p>
        </w:tc>
      </w:tr>
      <w:tr w:rsidR="00E44FC8" w:rsidRPr="00A55DD1" w:rsidTr="00E44FC8">
        <w:trPr>
          <w:trHeight w:val="465"/>
        </w:trPr>
        <w:tc>
          <w:tcPr>
            <w:tcW w:w="3338" w:type="dxa"/>
            <w:shd w:val="pct20" w:color="000000" w:fill="FFFFFF"/>
          </w:tcPr>
          <w:p w:rsidR="00E44FC8" w:rsidRPr="00610FC6" w:rsidRDefault="00E44FC8" w:rsidP="0028709C">
            <w:pPr>
              <w:rPr>
                <w:rStyle w:val="Strong"/>
              </w:rPr>
            </w:pPr>
            <w:r w:rsidRPr="00610FC6">
              <w:rPr>
                <w:rStyle w:val="Strong"/>
              </w:rPr>
              <w:t xml:space="preserve">Energy Impact Common Units: </w:t>
            </w:r>
          </w:p>
        </w:tc>
        <w:tc>
          <w:tcPr>
            <w:tcW w:w="6310" w:type="dxa"/>
            <w:gridSpan w:val="7"/>
            <w:shd w:val="pct20" w:color="000000" w:fill="FFFFFF"/>
            <w:vAlign w:val="center"/>
          </w:tcPr>
          <w:p w:rsidR="00E44FC8" w:rsidRPr="000E22C9" w:rsidRDefault="00E44FC8" w:rsidP="000A2ABA">
            <w:pPr>
              <w:rPr>
                <w:rFonts w:cs="Arial"/>
                <w:sz w:val="20"/>
                <w:szCs w:val="20"/>
              </w:rPr>
            </w:pPr>
            <w:r w:rsidRPr="00D05CA7">
              <w:rPr>
                <w:sz w:val="20"/>
                <w:szCs w:val="20"/>
              </w:rPr>
              <w:t>Per Fixture</w:t>
            </w:r>
          </w:p>
        </w:tc>
      </w:tr>
      <w:tr w:rsidR="00E44FC8" w:rsidRPr="00A55DD1" w:rsidTr="00E44FC8">
        <w:trPr>
          <w:trHeight w:val="465"/>
        </w:trPr>
        <w:tc>
          <w:tcPr>
            <w:tcW w:w="3338" w:type="dxa"/>
            <w:shd w:val="pct5" w:color="000000" w:fill="FFFFFF"/>
          </w:tcPr>
          <w:p w:rsidR="00E44FC8" w:rsidRPr="00610FC6" w:rsidRDefault="00E44FC8" w:rsidP="0028709C">
            <w:pPr>
              <w:rPr>
                <w:rStyle w:val="Strong"/>
              </w:rPr>
            </w:pPr>
            <w:r w:rsidRPr="00610FC6">
              <w:rPr>
                <w:rStyle w:val="Strong"/>
              </w:rPr>
              <w:t>Base Case Description:</w:t>
            </w:r>
          </w:p>
        </w:tc>
        <w:tc>
          <w:tcPr>
            <w:tcW w:w="6310" w:type="dxa"/>
            <w:gridSpan w:val="7"/>
            <w:shd w:val="pct5" w:color="000000" w:fill="FFFFFF"/>
            <w:vAlign w:val="center"/>
          </w:tcPr>
          <w:p w:rsidR="00E44FC8" w:rsidRPr="000E22C9" w:rsidRDefault="00E44FC8" w:rsidP="003B4730">
            <w:pPr>
              <w:rPr>
                <w:rFonts w:cs="Arial"/>
                <w:sz w:val="20"/>
                <w:szCs w:val="20"/>
              </w:rPr>
            </w:pPr>
            <w:r>
              <w:rPr>
                <w:sz w:val="20"/>
                <w:szCs w:val="20"/>
              </w:rPr>
              <w:t xml:space="preserve">Complete </w:t>
            </w:r>
            <w:r w:rsidRPr="00D05CA7">
              <w:rPr>
                <w:sz w:val="20"/>
                <w:szCs w:val="20"/>
              </w:rPr>
              <w:t>new</w:t>
            </w:r>
            <w:r>
              <w:rPr>
                <w:sz w:val="20"/>
                <w:szCs w:val="20"/>
              </w:rPr>
              <w:t xml:space="preserve"> fixture or retrofit of </w:t>
            </w:r>
            <w:r w:rsidRPr="00D05CA7">
              <w:rPr>
                <w:sz w:val="20"/>
                <w:szCs w:val="20"/>
              </w:rPr>
              <w:t>existing Mercury Vapor, High Pressure Sodium</w:t>
            </w:r>
            <w:r>
              <w:rPr>
                <w:sz w:val="20"/>
                <w:szCs w:val="20"/>
              </w:rPr>
              <w:t>,</w:t>
            </w:r>
            <w:r w:rsidRPr="00D05CA7">
              <w:rPr>
                <w:sz w:val="20"/>
                <w:szCs w:val="20"/>
              </w:rPr>
              <w:t xml:space="preserve"> Standard </w:t>
            </w:r>
            <w:r>
              <w:rPr>
                <w:sz w:val="20"/>
                <w:szCs w:val="20"/>
              </w:rPr>
              <w:t xml:space="preserve">and </w:t>
            </w:r>
            <w:r w:rsidR="003B4730">
              <w:rPr>
                <w:sz w:val="20"/>
                <w:szCs w:val="20"/>
              </w:rPr>
              <w:t>Pulse-S</w:t>
            </w:r>
            <w:r>
              <w:rPr>
                <w:sz w:val="20"/>
                <w:szCs w:val="20"/>
              </w:rPr>
              <w:t xml:space="preserve">tart </w:t>
            </w:r>
            <w:r w:rsidRPr="00D05CA7">
              <w:rPr>
                <w:sz w:val="20"/>
                <w:szCs w:val="20"/>
              </w:rPr>
              <w:t xml:space="preserve">Metal Halide, </w:t>
            </w:r>
            <w:r>
              <w:rPr>
                <w:sz w:val="20"/>
                <w:szCs w:val="20"/>
              </w:rPr>
              <w:t xml:space="preserve">or </w:t>
            </w:r>
            <w:r w:rsidR="003B4730">
              <w:rPr>
                <w:sz w:val="20"/>
                <w:szCs w:val="20"/>
              </w:rPr>
              <w:t>I</w:t>
            </w:r>
            <w:r>
              <w:rPr>
                <w:sz w:val="20"/>
                <w:szCs w:val="20"/>
              </w:rPr>
              <w:t xml:space="preserve">ncandescent fixture &gt;60W in </w:t>
            </w:r>
            <w:r w:rsidRPr="00D05CA7">
              <w:rPr>
                <w:sz w:val="20"/>
                <w:szCs w:val="20"/>
              </w:rPr>
              <w:t xml:space="preserve">interior installations. </w:t>
            </w:r>
          </w:p>
        </w:tc>
      </w:tr>
      <w:tr w:rsidR="00E44FC8" w:rsidRPr="00A55DD1" w:rsidTr="00E44FC8">
        <w:trPr>
          <w:trHeight w:val="465"/>
        </w:trPr>
        <w:tc>
          <w:tcPr>
            <w:tcW w:w="3338" w:type="dxa"/>
            <w:shd w:val="pct20" w:color="000000" w:fill="FFFFFF"/>
          </w:tcPr>
          <w:p w:rsidR="00E44FC8" w:rsidRPr="00610FC6" w:rsidRDefault="00E44FC8" w:rsidP="0028709C">
            <w:pPr>
              <w:rPr>
                <w:rStyle w:val="Strong"/>
              </w:rPr>
            </w:pPr>
            <w:r w:rsidRPr="00610FC6">
              <w:rPr>
                <w:rStyle w:val="Strong"/>
              </w:rPr>
              <w:t xml:space="preserve">Base Case Energy Consumption: </w:t>
            </w:r>
          </w:p>
        </w:tc>
        <w:tc>
          <w:tcPr>
            <w:tcW w:w="6310" w:type="dxa"/>
            <w:gridSpan w:val="7"/>
            <w:shd w:val="pct20" w:color="000000" w:fill="FFFFFF"/>
            <w:vAlign w:val="center"/>
          </w:tcPr>
          <w:p w:rsidR="00E44FC8" w:rsidRPr="00A0329E" w:rsidRDefault="00E44FC8" w:rsidP="00E1446E">
            <w:pPr>
              <w:rPr>
                <w:sz w:val="20"/>
                <w:szCs w:val="20"/>
              </w:rPr>
            </w:pPr>
            <w:r w:rsidRPr="00A0329E">
              <w:rPr>
                <w:sz w:val="20"/>
                <w:szCs w:val="20"/>
              </w:rPr>
              <w:t xml:space="preserve">Source: PG&amp;E Calculations.  </w:t>
            </w:r>
            <w:r>
              <w:rPr>
                <w:sz w:val="20"/>
                <w:szCs w:val="20"/>
              </w:rPr>
              <w:t>Base case is assumed to be a metal halide fixture.</w:t>
            </w:r>
          </w:p>
          <w:p w:rsidR="00E44FC8" w:rsidRPr="000E22C9" w:rsidRDefault="00E44FC8" w:rsidP="000A2ABA">
            <w:pPr>
              <w:rPr>
                <w:rFonts w:cs="Arial"/>
                <w:sz w:val="20"/>
                <w:szCs w:val="20"/>
              </w:rPr>
            </w:pPr>
          </w:p>
        </w:tc>
      </w:tr>
      <w:tr w:rsidR="00E44FC8" w:rsidRPr="00A55DD1" w:rsidTr="00E44FC8">
        <w:trPr>
          <w:trHeight w:val="465"/>
        </w:trPr>
        <w:tc>
          <w:tcPr>
            <w:tcW w:w="3338" w:type="dxa"/>
            <w:shd w:val="pct5" w:color="000000" w:fill="FFFFFF"/>
          </w:tcPr>
          <w:p w:rsidR="00E44FC8" w:rsidRPr="00610FC6" w:rsidRDefault="00E44FC8" w:rsidP="0028709C">
            <w:pPr>
              <w:rPr>
                <w:rStyle w:val="Strong"/>
              </w:rPr>
            </w:pPr>
            <w:r w:rsidRPr="00610FC6">
              <w:rPr>
                <w:rStyle w:val="Strong"/>
              </w:rPr>
              <w:t>Measure Energy Consumption:</w:t>
            </w:r>
          </w:p>
          <w:p w:rsidR="00E44FC8" w:rsidRPr="000E22C9" w:rsidRDefault="00E44FC8" w:rsidP="0028709C">
            <w:pPr>
              <w:rPr>
                <w:rFonts w:cs="Arial"/>
                <w:b/>
                <w:sz w:val="20"/>
                <w:szCs w:val="20"/>
              </w:rPr>
            </w:pPr>
          </w:p>
        </w:tc>
        <w:tc>
          <w:tcPr>
            <w:tcW w:w="6310" w:type="dxa"/>
            <w:gridSpan w:val="7"/>
            <w:shd w:val="pct5" w:color="000000" w:fill="FFFFFF"/>
            <w:vAlign w:val="center"/>
          </w:tcPr>
          <w:p w:rsidR="00E44FC8" w:rsidRPr="00A0329E" w:rsidRDefault="00E44FC8" w:rsidP="00E1446E">
            <w:pPr>
              <w:rPr>
                <w:sz w:val="20"/>
                <w:szCs w:val="20"/>
              </w:rPr>
            </w:pPr>
            <w:r w:rsidRPr="00A0329E">
              <w:rPr>
                <w:sz w:val="20"/>
                <w:szCs w:val="20"/>
              </w:rPr>
              <w:t xml:space="preserve">Source: PG&amp;E Calculations.  </w:t>
            </w:r>
          </w:p>
          <w:p w:rsidR="00E44FC8" w:rsidRPr="000E22C9" w:rsidRDefault="00E44FC8" w:rsidP="00EB4429">
            <w:pPr>
              <w:rPr>
                <w:rFonts w:cs="Arial"/>
                <w:sz w:val="20"/>
                <w:szCs w:val="20"/>
              </w:rPr>
            </w:pPr>
          </w:p>
        </w:tc>
      </w:tr>
      <w:tr w:rsidR="00E44FC8" w:rsidRPr="00A55DD1" w:rsidTr="00E44FC8">
        <w:trPr>
          <w:trHeight w:val="465"/>
        </w:trPr>
        <w:tc>
          <w:tcPr>
            <w:tcW w:w="3338" w:type="dxa"/>
            <w:shd w:val="pct20" w:color="000000" w:fill="FFFFFF"/>
          </w:tcPr>
          <w:p w:rsidR="00E44FC8" w:rsidRPr="00610FC6" w:rsidRDefault="00E44FC8" w:rsidP="00A55DD1">
            <w:pPr>
              <w:rPr>
                <w:rStyle w:val="Strong"/>
              </w:rPr>
            </w:pPr>
            <w:r w:rsidRPr="00610FC6">
              <w:rPr>
                <w:rStyle w:val="Strong"/>
              </w:rPr>
              <w:t xml:space="preserve">Energy Savings </w:t>
            </w:r>
          </w:p>
          <w:p w:rsidR="00E44FC8" w:rsidRPr="00644D17" w:rsidRDefault="00E44FC8" w:rsidP="00A55DD1">
            <w:pPr>
              <w:rPr>
                <w:rStyle w:val="Strong1"/>
                <w:b w:val="0"/>
              </w:rPr>
            </w:pPr>
            <w:r w:rsidRPr="00610FC6">
              <w:rPr>
                <w:rStyle w:val="Strong"/>
              </w:rPr>
              <w:t>(Base Case – Measure):</w:t>
            </w:r>
          </w:p>
        </w:tc>
        <w:tc>
          <w:tcPr>
            <w:tcW w:w="6310" w:type="dxa"/>
            <w:gridSpan w:val="7"/>
            <w:shd w:val="pct20" w:color="000000" w:fill="FFFFFF"/>
            <w:vAlign w:val="center"/>
          </w:tcPr>
          <w:p w:rsidR="00E44FC8" w:rsidRPr="00A0329E" w:rsidRDefault="00E44FC8" w:rsidP="00E1446E">
            <w:pPr>
              <w:rPr>
                <w:sz w:val="20"/>
                <w:szCs w:val="20"/>
              </w:rPr>
            </w:pPr>
            <w:r w:rsidRPr="00A0329E">
              <w:rPr>
                <w:sz w:val="20"/>
                <w:szCs w:val="20"/>
              </w:rPr>
              <w:t xml:space="preserve">Source: PG&amp;E Calculations.  </w:t>
            </w:r>
          </w:p>
          <w:p w:rsidR="00E44FC8" w:rsidRPr="000E22C9" w:rsidRDefault="00E44FC8" w:rsidP="00EB4429">
            <w:pPr>
              <w:rPr>
                <w:rFonts w:cs="Arial"/>
                <w:sz w:val="20"/>
                <w:szCs w:val="20"/>
              </w:rPr>
            </w:pPr>
          </w:p>
        </w:tc>
      </w:tr>
      <w:tr w:rsidR="00E44FC8" w:rsidRPr="00A55DD1" w:rsidTr="003B4730">
        <w:trPr>
          <w:trHeight w:val="465"/>
        </w:trPr>
        <w:tc>
          <w:tcPr>
            <w:tcW w:w="3338" w:type="dxa"/>
            <w:shd w:val="pct5" w:color="000000" w:fill="FFFFFF"/>
          </w:tcPr>
          <w:p w:rsidR="00E44FC8" w:rsidRPr="00610FC6" w:rsidRDefault="00E44FC8" w:rsidP="0028709C">
            <w:pPr>
              <w:rPr>
                <w:rStyle w:val="Strong"/>
              </w:rPr>
            </w:pPr>
            <w:r w:rsidRPr="00610FC6">
              <w:rPr>
                <w:rStyle w:val="Strong"/>
              </w:rPr>
              <w:t xml:space="preserve">Costs Common Units: </w:t>
            </w:r>
          </w:p>
        </w:tc>
        <w:tc>
          <w:tcPr>
            <w:tcW w:w="6310" w:type="dxa"/>
            <w:gridSpan w:val="7"/>
            <w:shd w:val="pct5" w:color="000000" w:fill="FFFFFF"/>
          </w:tcPr>
          <w:p w:rsidR="00E44FC8" w:rsidRPr="000E22C9" w:rsidRDefault="00E44FC8" w:rsidP="003B4730">
            <w:pPr>
              <w:rPr>
                <w:rFonts w:cs="Arial"/>
                <w:sz w:val="20"/>
                <w:szCs w:val="20"/>
              </w:rPr>
            </w:pPr>
            <w:r w:rsidRPr="00CD573A">
              <w:rPr>
                <w:sz w:val="20"/>
                <w:szCs w:val="20"/>
              </w:rPr>
              <w:t>$ per fixture</w:t>
            </w:r>
          </w:p>
        </w:tc>
      </w:tr>
      <w:tr w:rsidR="0022354B" w:rsidRPr="00A55DD1" w:rsidTr="003B4730">
        <w:trPr>
          <w:trHeight w:val="387"/>
        </w:trPr>
        <w:tc>
          <w:tcPr>
            <w:tcW w:w="3338" w:type="dxa"/>
            <w:shd w:val="pct20" w:color="000000" w:fill="FFFFFF"/>
          </w:tcPr>
          <w:p w:rsidR="0022354B" w:rsidRPr="003B4730" w:rsidRDefault="0022354B" w:rsidP="000E22C9">
            <w:pPr>
              <w:rPr>
                <w:b/>
                <w:bCs/>
                <w:highlight w:val="cyan"/>
              </w:rPr>
            </w:pPr>
            <w:r w:rsidRPr="00610FC6">
              <w:rPr>
                <w:rStyle w:val="Strong"/>
              </w:rPr>
              <w:t>Base Case Equipment Cost ($/unit):</w:t>
            </w:r>
          </w:p>
        </w:tc>
        <w:tc>
          <w:tcPr>
            <w:tcW w:w="1262" w:type="dxa"/>
            <w:shd w:val="pct20" w:color="000000" w:fill="FFFFFF"/>
            <w:vAlign w:val="center"/>
          </w:tcPr>
          <w:p w:rsidR="0022354B" w:rsidRPr="000E22C9" w:rsidRDefault="0022354B" w:rsidP="003B4730">
            <w:pPr>
              <w:jc w:val="center"/>
              <w:rPr>
                <w:rFonts w:cs="Arial"/>
                <w:sz w:val="20"/>
                <w:szCs w:val="20"/>
              </w:rPr>
            </w:pPr>
            <w:r>
              <w:rPr>
                <w:sz w:val="20"/>
                <w:szCs w:val="20"/>
              </w:rPr>
              <w:t>Varies</w:t>
            </w:r>
          </w:p>
        </w:tc>
        <w:tc>
          <w:tcPr>
            <w:tcW w:w="1262" w:type="dxa"/>
            <w:gridSpan w:val="2"/>
            <w:shd w:val="pct20" w:color="000000" w:fill="FFFFFF"/>
            <w:vAlign w:val="center"/>
          </w:tcPr>
          <w:p w:rsidR="0022354B" w:rsidRPr="000E22C9" w:rsidRDefault="0022354B" w:rsidP="003B4730">
            <w:pPr>
              <w:jc w:val="center"/>
              <w:rPr>
                <w:rFonts w:cs="Arial"/>
                <w:sz w:val="20"/>
                <w:szCs w:val="20"/>
              </w:rPr>
            </w:pPr>
            <w:r>
              <w:rPr>
                <w:sz w:val="20"/>
                <w:szCs w:val="20"/>
              </w:rPr>
              <w:t>Varies</w:t>
            </w:r>
          </w:p>
        </w:tc>
        <w:tc>
          <w:tcPr>
            <w:tcW w:w="1262" w:type="dxa"/>
            <w:gridSpan w:val="2"/>
            <w:shd w:val="pct20" w:color="000000" w:fill="FFFFFF"/>
            <w:vAlign w:val="center"/>
          </w:tcPr>
          <w:p w:rsidR="0022354B" w:rsidRPr="000E22C9" w:rsidRDefault="0022354B" w:rsidP="003B4730">
            <w:pPr>
              <w:jc w:val="center"/>
              <w:rPr>
                <w:rFonts w:cs="Arial"/>
                <w:sz w:val="20"/>
                <w:szCs w:val="20"/>
              </w:rPr>
            </w:pPr>
            <w:r>
              <w:rPr>
                <w:sz w:val="20"/>
                <w:szCs w:val="20"/>
              </w:rPr>
              <w:t>Varies</w:t>
            </w:r>
          </w:p>
        </w:tc>
        <w:tc>
          <w:tcPr>
            <w:tcW w:w="2524" w:type="dxa"/>
            <w:gridSpan w:val="2"/>
            <w:shd w:val="pct20" w:color="000000" w:fill="FFFFFF"/>
            <w:vAlign w:val="center"/>
          </w:tcPr>
          <w:p w:rsidR="0022354B" w:rsidRPr="000E22C9" w:rsidRDefault="0022354B" w:rsidP="003B4730">
            <w:pPr>
              <w:jc w:val="center"/>
              <w:rPr>
                <w:rFonts w:cs="Arial"/>
                <w:sz w:val="20"/>
                <w:szCs w:val="20"/>
              </w:rPr>
            </w:pPr>
            <w:r>
              <w:rPr>
                <w:sz w:val="20"/>
                <w:szCs w:val="20"/>
              </w:rPr>
              <w:t>Varies</w:t>
            </w:r>
          </w:p>
        </w:tc>
      </w:tr>
      <w:tr w:rsidR="0022354B" w:rsidRPr="00A55DD1" w:rsidTr="003B4730">
        <w:trPr>
          <w:trHeight w:val="465"/>
        </w:trPr>
        <w:tc>
          <w:tcPr>
            <w:tcW w:w="3338" w:type="dxa"/>
            <w:shd w:val="pct5" w:color="000000" w:fill="FFFFFF"/>
          </w:tcPr>
          <w:p w:rsidR="0022354B" w:rsidRPr="00610FC6" w:rsidRDefault="0022354B" w:rsidP="0028709C">
            <w:pPr>
              <w:rPr>
                <w:rStyle w:val="Strong"/>
              </w:rPr>
            </w:pPr>
            <w:r w:rsidRPr="00610FC6">
              <w:rPr>
                <w:rStyle w:val="Strong"/>
              </w:rPr>
              <w:t xml:space="preserve">Measure Equipment Cost ($/unit): </w:t>
            </w:r>
          </w:p>
        </w:tc>
        <w:tc>
          <w:tcPr>
            <w:tcW w:w="1262" w:type="dxa"/>
            <w:shd w:val="pct5" w:color="000000" w:fill="FFFFFF"/>
            <w:vAlign w:val="center"/>
          </w:tcPr>
          <w:p w:rsidR="0022354B" w:rsidRPr="00A55DD1" w:rsidRDefault="0022354B" w:rsidP="003B4730">
            <w:pPr>
              <w:jc w:val="center"/>
              <w:rPr>
                <w:rFonts w:cs="Arial"/>
                <w:sz w:val="20"/>
                <w:szCs w:val="20"/>
              </w:rPr>
            </w:pPr>
            <w:r>
              <w:rPr>
                <w:sz w:val="20"/>
                <w:szCs w:val="20"/>
              </w:rPr>
              <w:t>Varies</w:t>
            </w:r>
          </w:p>
        </w:tc>
        <w:tc>
          <w:tcPr>
            <w:tcW w:w="1262" w:type="dxa"/>
            <w:gridSpan w:val="2"/>
            <w:shd w:val="pct5" w:color="000000" w:fill="FFFFFF"/>
            <w:vAlign w:val="center"/>
          </w:tcPr>
          <w:p w:rsidR="0022354B" w:rsidRPr="00A55DD1" w:rsidRDefault="0022354B" w:rsidP="003B4730">
            <w:pPr>
              <w:jc w:val="center"/>
              <w:rPr>
                <w:rFonts w:cs="Arial"/>
                <w:sz w:val="20"/>
                <w:szCs w:val="20"/>
              </w:rPr>
            </w:pPr>
            <w:r>
              <w:rPr>
                <w:sz w:val="20"/>
                <w:szCs w:val="20"/>
              </w:rPr>
              <w:t>Varies</w:t>
            </w:r>
          </w:p>
        </w:tc>
        <w:tc>
          <w:tcPr>
            <w:tcW w:w="1262" w:type="dxa"/>
            <w:gridSpan w:val="2"/>
            <w:shd w:val="pct5" w:color="000000" w:fill="FFFFFF"/>
            <w:vAlign w:val="center"/>
          </w:tcPr>
          <w:p w:rsidR="0022354B" w:rsidRPr="00A55DD1" w:rsidRDefault="0022354B" w:rsidP="003B4730">
            <w:pPr>
              <w:jc w:val="center"/>
              <w:rPr>
                <w:rFonts w:cs="Arial"/>
                <w:sz w:val="20"/>
                <w:szCs w:val="20"/>
              </w:rPr>
            </w:pPr>
            <w:r>
              <w:rPr>
                <w:sz w:val="20"/>
                <w:szCs w:val="20"/>
              </w:rPr>
              <w:t>Varies</w:t>
            </w:r>
          </w:p>
        </w:tc>
        <w:tc>
          <w:tcPr>
            <w:tcW w:w="2524" w:type="dxa"/>
            <w:gridSpan w:val="2"/>
            <w:shd w:val="pct5" w:color="000000" w:fill="FFFFFF"/>
            <w:vAlign w:val="center"/>
          </w:tcPr>
          <w:p w:rsidR="0022354B" w:rsidRPr="00A55DD1" w:rsidRDefault="0022354B" w:rsidP="003B4730">
            <w:pPr>
              <w:jc w:val="center"/>
              <w:rPr>
                <w:rFonts w:cs="Arial"/>
                <w:sz w:val="20"/>
                <w:szCs w:val="20"/>
              </w:rPr>
            </w:pPr>
            <w:r>
              <w:rPr>
                <w:sz w:val="20"/>
                <w:szCs w:val="20"/>
              </w:rPr>
              <w:t>Varies</w:t>
            </w:r>
          </w:p>
        </w:tc>
      </w:tr>
      <w:tr w:rsidR="0022354B" w:rsidRPr="00A55DD1" w:rsidTr="003B4730">
        <w:trPr>
          <w:trHeight w:val="465"/>
        </w:trPr>
        <w:tc>
          <w:tcPr>
            <w:tcW w:w="3338" w:type="dxa"/>
            <w:shd w:val="pct20" w:color="000000" w:fill="FFFFFF"/>
          </w:tcPr>
          <w:p w:rsidR="0022354B" w:rsidRPr="00610FC6" w:rsidRDefault="009C1951" w:rsidP="0028709C">
            <w:pPr>
              <w:rPr>
                <w:rStyle w:val="Strong"/>
              </w:rPr>
            </w:pPr>
            <w:r>
              <w:rPr>
                <w:rStyle w:val="Strong"/>
              </w:rPr>
              <w:t>Full</w:t>
            </w:r>
            <w:r w:rsidRPr="00610FC6">
              <w:rPr>
                <w:rStyle w:val="Strong"/>
              </w:rPr>
              <w:t xml:space="preserve"> </w:t>
            </w:r>
            <w:r w:rsidR="0022354B" w:rsidRPr="00610FC6">
              <w:rPr>
                <w:rStyle w:val="Strong"/>
              </w:rPr>
              <w:t>Measure Cost ($/unit)</w:t>
            </w:r>
          </w:p>
        </w:tc>
        <w:tc>
          <w:tcPr>
            <w:tcW w:w="1262" w:type="dxa"/>
            <w:shd w:val="pct20" w:color="000000" w:fill="FFFFFF"/>
            <w:vAlign w:val="center"/>
          </w:tcPr>
          <w:p w:rsidR="0022354B" w:rsidRPr="00A55DD1" w:rsidRDefault="0022354B" w:rsidP="003B4730">
            <w:pPr>
              <w:jc w:val="center"/>
              <w:rPr>
                <w:rFonts w:cs="Arial"/>
                <w:sz w:val="20"/>
                <w:szCs w:val="20"/>
              </w:rPr>
            </w:pPr>
            <w:r>
              <w:rPr>
                <w:sz w:val="20"/>
                <w:szCs w:val="20"/>
              </w:rPr>
              <w:t>Varies</w:t>
            </w:r>
          </w:p>
        </w:tc>
        <w:tc>
          <w:tcPr>
            <w:tcW w:w="1262" w:type="dxa"/>
            <w:gridSpan w:val="2"/>
            <w:shd w:val="pct20" w:color="000000" w:fill="FFFFFF"/>
            <w:vAlign w:val="center"/>
          </w:tcPr>
          <w:p w:rsidR="0022354B" w:rsidRPr="00A55DD1" w:rsidRDefault="0022354B" w:rsidP="003B4730">
            <w:pPr>
              <w:jc w:val="center"/>
              <w:rPr>
                <w:rFonts w:cs="Arial"/>
                <w:sz w:val="20"/>
                <w:szCs w:val="20"/>
              </w:rPr>
            </w:pPr>
            <w:r>
              <w:rPr>
                <w:sz w:val="20"/>
                <w:szCs w:val="20"/>
              </w:rPr>
              <w:t>Varies</w:t>
            </w:r>
          </w:p>
        </w:tc>
        <w:tc>
          <w:tcPr>
            <w:tcW w:w="1262" w:type="dxa"/>
            <w:gridSpan w:val="2"/>
            <w:shd w:val="pct20" w:color="000000" w:fill="FFFFFF"/>
            <w:vAlign w:val="center"/>
          </w:tcPr>
          <w:p w:rsidR="0022354B" w:rsidRPr="00A55DD1" w:rsidRDefault="0022354B" w:rsidP="003B4730">
            <w:pPr>
              <w:jc w:val="center"/>
              <w:rPr>
                <w:rFonts w:cs="Arial"/>
                <w:sz w:val="20"/>
                <w:szCs w:val="20"/>
              </w:rPr>
            </w:pPr>
            <w:r>
              <w:rPr>
                <w:sz w:val="20"/>
                <w:szCs w:val="20"/>
              </w:rPr>
              <w:t>Varies</w:t>
            </w:r>
          </w:p>
        </w:tc>
        <w:tc>
          <w:tcPr>
            <w:tcW w:w="2524" w:type="dxa"/>
            <w:gridSpan w:val="2"/>
            <w:shd w:val="pct20" w:color="000000" w:fill="FFFFFF"/>
            <w:vAlign w:val="center"/>
          </w:tcPr>
          <w:p w:rsidR="0022354B" w:rsidRPr="00A55DD1" w:rsidRDefault="0022354B" w:rsidP="003B4730">
            <w:pPr>
              <w:jc w:val="center"/>
              <w:rPr>
                <w:rFonts w:cs="Arial"/>
                <w:sz w:val="20"/>
                <w:szCs w:val="20"/>
              </w:rPr>
            </w:pPr>
            <w:r>
              <w:rPr>
                <w:sz w:val="20"/>
                <w:szCs w:val="20"/>
              </w:rPr>
              <w:t>Varies</w:t>
            </w:r>
          </w:p>
        </w:tc>
      </w:tr>
      <w:tr w:rsidR="0022354B" w:rsidRPr="00A55DD1" w:rsidTr="003B4730">
        <w:trPr>
          <w:trHeight w:val="465"/>
        </w:trPr>
        <w:tc>
          <w:tcPr>
            <w:tcW w:w="3338" w:type="dxa"/>
            <w:shd w:val="pct20" w:color="000000" w:fill="FFFFFF"/>
          </w:tcPr>
          <w:p w:rsidR="0022354B" w:rsidRPr="00610FC6" w:rsidRDefault="0022354B" w:rsidP="0028709C">
            <w:pPr>
              <w:rPr>
                <w:rStyle w:val="Strong"/>
              </w:rPr>
            </w:pPr>
            <w:r w:rsidRPr="00610FC6">
              <w:rPr>
                <w:rStyle w:val="Strong"/>
              </w:rPr>
              <w:t xml:space="preserve">Measure Incremental Cost ($/unit): </w:t>
            </w:r>
          </w:p>
        </w:tc>
        <w:tc>
          <w:tcPr>
            <w:tcW w:w="1262" w:type="dxa"/>
            <w:shd w:val="pct20" w:color="000000" w:fill="FFFFFF"/>
            <w:vAlign w:val="center"/>
          </w:tcPr>
          <w:p w:rsidR="0022354B" w:rsidRPr="00A55DD1" w:rsidRDefault="0022354B" w:rsidP="003B4730">
            <w:pPr>
              <w:jc w:val="center"/>
              <w:rPr>
                <w:rFonts w:cs="Arial"/>
                <w:sz w:val="20"/>
                <w:szCs w:val="20"/>
              </w:rPr>
            </w:pPr>
            <w:r>
              <w:rPr>
                <w:sz w:val="20"/>
                <w:szCs w:val="20"/>
              </w:rPr>
              <w:t>Varies</w:t>
            </w:r>
          </w:p>
        </w:tc>
        <w:tc>
          <w:tcPr>
            <w:tcW w:w="1262" w:type="dxa"/>
            <w:gridSpan w:val="2"/>
            <w:shd w:val="pct20" w:color="000000" w:fill="FFFFFF"/>
            <w:vAlign w:val="center"/>
          </w:tcPr>
          <w:p w:rsidR="0022354B" w:rsidRPr="00A55DD1" w:rsidRDefault="0022354B" w:rsidP="003B4730">
            <w:pPr>
              <w:jc w:val="center"/>
              <w:rPr>
                <w:rFonts w:cs="Arial"/>
                <w:sz w:val="20"/>
                <w:szCs w:val="20"/>
              </w:rPr>
            </w:pPr>
            <w:r>
              <w:rPr>
                <w:sz w:val="20"/>
                <w:szCs w:val="20"/>
              </w:rPr>
              <w:t>Varies</w:t>
            </w:r>
          </w:p>
        </w:tc>
        <w:tc>
          <w:tcPr>
            <w:tcW w:w="1262" w:type="dxa"/>
            <w:gridSpan w:val="2"/>
            <w:shd w:val="pct20" w:color="000000" w:fill="FFFFFF"/>
            <w:vAlign w:val="center"/>
          </w:tcPr>
          <w:p w:rsidR="0022354B" w:rsidRPr="00A55DD1" w:rsidRDefault="0022354B" w:rsidP="003B4730">
            <w:pPr>
              <w:jc w:val="center"/>
              <w:rPr>
                <w:rFonts w:cs="Arial"/>
                <w:sz w:val="20"/>
                <w:szCs w:val="20"/>
              </w:rPr>
            </w:pPr>
            <w:r>
              <w:rPr>
                <w:sz w:val="20"/>
                <w:szCs w:val="20"/>
              </w:rPr>
              <w:t>Varies</w:t>
            </w:r>
          </w:p>
        </w:tc>
        <w:tc>
          <w:tcPr>
            <w:tcW w:w="2524" w:type="dxa"/>
            <w:gridSpan w:val="2"/>
            <w:shd w:val="pct20" w:color="000000" w:fill="FFFFFF"/>
            <w:vAlign w:val="center"/>
          </w:tcPr>
          <w:p w:rsidR="0022354B" w:rsidRPr="00A55DD1" w:rsidRDefault="0022354B" w:rsidP="003B4730">
            <w:pPr>
              <w:jc w:val="center"/>
              <w:rPr>
                <w:rFonts w:cs="Arial"/>
                <w:sz w:val="20"/>
                <w:szCs w:val="20"/>
              </w:rPr>
            </w:pPr>
            <w:r>
              <w:rPr>
                <w:sz w:val="20"/>
                <w:szCs w:val="20"/>
              </w:rPr>
              <w:t>Varies</w:t>
            </w:r>
          </w:p>
        </w:tc>
      </w:tr>
      <w:tr w:rsidR="00E44FC8" w:rsidRPr="00A55DD1" w:rsidTr="00E1446E">
        <w:trPr>
          <w:trHeight w:val="465"/>
        </w:trPr>
        <w:tc>
          <w:tcPr>
            <w:tcW w:w="3338" w:type="dxa"/>
            <w:shd w:val="pct5" w:color="000000" w:fill="FFFFFF"/>
          </w:tcPr>
          <w:p w:rsidR="00E44FC8" w:rsidRPr="00610FC6" w:rsidRDefault="00E44FC8" w:rsidP="0028709C">
            <w:pPr>
              <w:rPr>
                <w:rStyle w:val="Strong"/>
              </w:rPr>
            </w:pPr>
            <w:r w:rsidRPr="00610FC6">
              <w:rPr>
                <w:rStyle w:val="Strong"/>
              </w:rPr>
              <w:t xml:space="preserve">Effective Useful Life (years): </w:t>
            </w:r>
          </w:p>
        </w:tc>
        <w:tc>
          <w:tcPr>
            <w:tcW w:w="6310" w:type="dxa"/>
            <w:gridSpan w:val="7"/>
            <w:shd w:val="pct5" w:color="000000" w:fill="FFFFFF"/>
            <w:vAlign w:val="center"/>
          </w:tcPr>
          <w:p w:rsidR="00E44FC8" w:rsidRDefault="00E44FC8" w:rsidP="00E1446E">
            <w:pPr>
              <w:rPr>
                <w:sz w:val="20"/>
                <w:szCs w:val="20"/>
              </w:rPr>
            </w:pPr>
            <w:r>
              <w:rPr>
                <w:sz w:val="20"/>
                <w:szCs w:val="20"/>
              </w:rPr>
              <w:t>15</w:t>
            </w:r>
            <w:r w:rsidRPr="00CD573A">
              <w:rPr>
                <w:sz w:val="20"/>
                <w:szCs w:val="20"/>
              </w:rPr>
              <w:t xml:space="preserve"> years</w:t>
            </w:r>
            <w:r w:rsidR="000700C5">
              <w:rPr>
                <w:sz w:val="20"/>
                <w:szCs w:val="20"/>
              </w:rPr>
              <w:t xml:space="preserve">, </w:t>
            </w:r>
            <w:proofErr w:type="spellStart"/>
            <w:r w:rsidR="000700C5" w:rsidRPr="009C25E1">
              <w:rPr>
                <w:rFonts w:cs="Arial"/>
                <w:sz w:val="20"/>
                <w:szCs w:val="20"/>
              </w:rPr>
              <w:t>ILtg</w:t>
            </w:r>
            <w:proofErr w:type="spellEnd"/>
            <w:r w:rsidR="000700C5" w:rsidRPr="009C25E1">
              <w:rPr>
                <w:rFonts w:cs="Arial"/>
                <w:sz w:val="20"/>
                <w:szCs w:val="20"/>
              </w:rPr>
              <w:t>-MH</w:t>
            </w:r>
          </w:p>
          <w:p w:rsidR="00E44FC8" w:rsidRPr="00A55DD1" w:rsidRDefault="00E44FC8" w:rsidP="000700C5">
            <w:pPr>
              <w:rPr>
                <w:rFonts w:cs="Arial"/>
                <w:sz w:val="20"/>
                <w:szCs w:val="20"/>
              </w:rPr>
            </w:pPr>
            <w:r w:rsidRPr="00A0329E">
              <w:rPr>
                <w:sz w:val="20"/>
                <w:szCs w:val="20"/>
              </w:rPr>
              <w:t xml:space="preserve"> Source:  DEER </w:t>
            </w:r>
            <w:r>
              <w:rPr>
                <w:sz w:val="20"/>
                <w:szCs w:val="20"/>
              </w:rPr>
              <w:t>201</w:t>
            </w:r>
            <w:r w:rsidR="003B4730">
              <w:rPr>
                <w:sz w:val="20"/>
                <w:szCs w:val="20"/>
              </w:rPr>
              <w:t>6</w:t>
            </w:r>
          </w:p>
        </w:tc>
      </w:tr>
      <w:tr w:rsidR="00E44FC8" w:rsidRPr="00A55DD1" w:rsidTr="00E44FC8">
        <w:trPr>
          <w:trHeight w:val="465"/>
        </w:trPr>
        <w:tc>
          <w:tcPr>
            <w:tcW w:w="3338" w:type="dxa"/>
            <w:shd w:val="pct20" w:color="000000" w:fill="FFFFFF"/>
          </w:tcPr>
          <w:p w:rsidR="00E44FC8" w:rsidRPr="00610FC6" w:rsidRDefault="00E44FC8" w:rsidP="0028709C">
            <w:pPr>
              <w:rPr>
                <w:rStyle w:val="Strong"/>
              </w:rPr>
            </w:pPr>
            <w:r>
              <w:rPr>
                <w:rStyle w:val="Strong"/>
              </w:rPr>
              <w:t>Measure Application Type</w:t>
            </w:r>
            <w:r w:rsidRPr="00610FC6">
              <w:rPr>
                <w:rStyle w:val="Strong"/>
              </w:rPr>
              <w:t>:</w:t>
            </w:r>
          </w:p>
        </w:tc>
        <w:tc>
          <w:tcPr>
            <w:tcW w:w="6310" w:type="dxa"/>
            <w:gridSpan w:val="7"/>
            <w:shd w:val="pct20" w:color="000000" w:fill="FFFFFF"/>
          </w:tcPr>
          <w:p w:rsidR="00E44FC8" w:rsidRPr="00A55DD1" w:rsidRDefault="00E44FC8" w:rsidP="006C44B4">
            <w:pPr>
              <w:rPr>
                <w:rFonts w:cs="Arial"/>
                <w:sz w:val="20"/>
                <w:szCs w:val="20"/>
              </w:rPr>
            </w:pPr>
            <w:r>
              <w:rPr>
                <w:rFonts w:cs="Arial"/>
                <w:sz w:val="20"/>
                <w:szCs w:val="20"/>
              </w:rPr>
              <w:t>ROB</w:t>
            </w:r>
          </w:p>
        </w:tc>
      </w:tr>
      <w:tr w:rsidR="00E44FC8" w:rsidRPr="00A55DD1" w:rsidTr="00E1446E">
        <w:trPr>
          <w:trHeight w:val="465"/>
        </w:trPr>
        <w:tc>
          <w:tcPr>
            <w:tcW w:w="3338" w:type="dxa"/>
            <w:shd w:val="pct5" w:color="000000" w:fill="FFFFFF"/>
          </w:tcPr>
          <w:p w:rsidR="00E44FC8" w:rsidRPr="00610FC6" w:rsidRDefault="00E44FC8" w:rsidP="0028709C">
            <w:pPr>
              <w:rPr>
                <w:rStyle w:val="Strong"/>
              </w:rPr>
            </w:pPr>
            <w:r w:rsidRPr="00610FC6">
              <w:rPr>
                <w:rStyle w:val="Strong"/>
              </w:rPr>
              <w:t xml:space="preserve">Net-to-Gross Ratios: </w:t>
            </w:r>
          </w:p>
        </w:tc>
        <w:tc>
          <w:tcPr>
            <w:tcW w:w="6310" w:type="dxa"/>
            <w:gridSpan w:val="7"/>
            <w:shd w:val="pct5" w:color="000000" w:fill="FFFFFF"/>
            <w:vAlign w:val="center"/>
          </w:tcPr>
          <w:p w:rsidR="007C44E4" w:rsidRPr="00B67F63" w:rsidRDefault="00E44FC8" w:rsidP="00E1446E">
            <w:pPr>
              <w:rPr>
                <w:sz w:val="20"/>
                <w:szCs w:val="20"/>
              </w:rPr>
            </w:pPr>
            <w:r w:rsidRPr="00B67F63">
              <w:rPr>
                <w:sz w:val="20"/>
                <w:szCs w:val="20"/>
              </w:rPr>
              <w:t>NTG =  0.</w:t>
            </w:r>
            <w:bookmarkStart w:id="6" w:name="_Ref257189814"/>
            <w:r w:rsidRPr="00B67F63">
              <w:rPr>
                <w:sz w:val="20"/>
                <w:szCs w:val="20"/>
              </w:rPr>
              <w:t>60</w:t>
            </w:r>
            <w:bookmarkEnd w:id="6"/>
            <w:r w:rsidR="003B4730">
              <w:rPr>
                <w:sz w:val="20"/>
                <w:szCs w:val="20"/>
              </w:rPr>
              <w:t xml:space="preserve"> </w:t>
            </w:r>
            <w:r w:rsidRPr="00B67F63">
              <w:rPr>
                <w:sz w:val="20"/>
                <w:szCs w:val="20"/>
              </w:rPr>
              <w:t xml:space="preserve"> Com-Default&gt;2yrs </w:t>
            </w:r>
          </w:p>
          <w:p w:rsidR="00E44FC8" w:rsidRPr="00A55DD1" w:rsidRDefault="00E44FC8" w:rsidP="000700C5">
            <w:pPr>
              <w:rPr>
                <w:rFonts w:cs="Arial"/>
                <w:sz w:val="20"/>
                <w:szCs w:val="20"/>
              </w:rPr>
            </w:pPr>
            <w:r w:rsidRPr="00B67F63">
              <w:rPr>
                <w:sz w:val="20"/>
                <w:szCs w:val="20"/>
              </w:rPr>
              <w:t>Source:  DEER 201</w:t>
            </w:r>
            <w:r w:rsidR="003B4730">
              <w:rPr>
                <w:sz w:val="20"/>
                <w:szCs w:val="20"/>
              </w:rPr>
              <w:t>6</w:t>
            </w:r>
            <w:r>
              <w:rPr>
                <w:sz w:val="20"/>
                <w:szCs w:val="20"/>
              </w:rPr>
              <w:t xml:space="preserve">          </w:t>
            </w:r>
          </w:p>
        </w:tc>
      </w:tr>
      <w:tr w:rsidR="00E44FC8" w:rsidRPr="00A55DD1" w:rsidTr="00E44FC8">
        <w:trPr>
          <w:trHeight w:val="465"/>
        </w:trPr>
        <w:tc>
          <w:tcPr>
            <w:tcW w:w="3338" w:type="dxa"/>
            <w:shd w:val="pct20" w:color="000000" w:fill="FFFFFF"/>
          </w:tcPr>
          <w:p w:rsidR="00E44FC8" w:rsidRPr="00610FC6" w:rsidRDefault="00E44FC8" w:rsidP="0028709C">
            <w:pPr>
              <w:rPr>
                <w:rStyle w:val="Strong"/>
              </w:rPr>
            </w:pPr>
            <w:r w:rsidRPr="00610FC6">
              <w:rPr>
                <w:rStyle w:val="Strong"/>
              </w:rPr>
              <w:t>Important Comments:</w:t>
            </w:r>
          </w:p>
        </w:tc>
        <w:tc>
          <w:tcPr>
            <w:tcW w:w="6310" w:type="dxa"/>
            <w:gridSpan w:val="7"/>
            <w:shd w:val="pct20" w:color="000000" w:fill="FFFFFF"/>
          </w:tcPr>
          <w:p w:rsidR="00E44FC8" w:rsidRPr="00C324A9" w:rsidRDefault="00E44FC8" w:rsidP="00E44FC8">
            <w:pPr>
              <w:rPr>
                <w:sz w:val="20"/>
                <w:szCs w:val="20"/>
              </w:rPr>
            </w:pPr>
          </w:p>
        </w:tc>
      </w:tr>
    </w:tbl>
    <w:p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rsidR="00E71EF1" w:rsidRDefault="00E71EF1" w:rsidP="00E71EF1">
      <w:pPr>
        <w:pStyle w:val="Heading1"/>
      </w:pPr>
      <w:bookmarkStart w:id="7" w:name="_Toc304800196"/>
      <w:bookmarkStart w:id="8" w:name="_Toc324318333"/>
      <w:bookmarkStart w:id="9" w:name="_Toc324340477"/>
      <w:bookmarkStart w:id="10" w:name="_Toc438469312"/>
      <w:r>
        <w:lastRenderedPageBreak/>
        <w:t>Document Revision History</w:t>
      </w:r>
      <w:bookmarkEnd w:id="7"/>
      <w:bookmarkEnd w:id="8"/>
      <w:bookmarkEnd w:id="9"/>
      <w:bookmarkEnd w:id="10"/>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440"/>
        <w:gridCol w:w="1350"/>
        <w:gridCol w:w="3691"/>
        <w:gridCol w:w="2988"/>
      </w:tblGrid>
      <w:tr w:rsidR="000374A5" w:rsidRPr="002B4FEF" w:rsidTr="00D14033">
        <w:trPr>
          <w:trHeight w:val="464"/>
        </w:trPr>
        <w:tc>
          <w:tcPr>
            <w:tcW w:w="760"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713" w:type="pct"/>
            <w:tcBorders>
              <w:top w:val="nil"/>
              <w:bottom w:val="single" w:sz="18" w:space="0" w:color="FFFFFF"/>
            </w:tcBorders>
            <w:shd w:val="pct20" w:color="000000" w:fill="FFFFFF"/>
          </w:tcPr>
          <w:p w:rsidR="000374A5" w:rsidRPr="002B4FEF" w:rsidRDefault="005B00A6" w:rsidP="000374A5">
            <w:pPr>
              <w:jc w:val="center"/>
              <w:rPr>
                <w:b/>
                <w:bCs/>
                <w:sz w:val="20"/>
                <w:szCs w:val="20"/>
              </w:rPr>
            </w:pPr>
            <w:r>
              <w:rPr>
                <w:b/>
              </w:rPr>
              <w:t>Revision Date</w:t>
            </w:r>
            <w:r w:rsidR="000374A5" w:rsidRPr="002B4FEF">
              <w:rPr>
                <w:b/>
              </w:rPr>
              <w:tab/>
            </w:r>
          </w:p>
        </w:tc>
        <w:tc>
          <w:tcPr>
            <w:tcW w:w="1949"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578"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E1446E" w:rsidRPr="00783DAC" w:rsidTr="00D14033">
        <w:trPr>
          <w:trHeight w:val="464"/>
        </w:trPr>
        <w:tc>
          <w:tcPr>
            <w:tcW w:w="760" w:type="pct"/>
            <w:tcBorders>
              <w:top w:val="single" w:sz="18" w:space="0" w:color="FFFFFF"/>
            </w:tcBorders>
            <w:shd w:val="clear" w:color="auto" w:fill="auto"/>
          </w:tcPr>
          <w:p w:rsidR="00E1446E" w:rsidRPr="00FB59B6" w:rsidRDefault="00E1446E" w:rsidP="008948E0">
            <w:pPr>
              <w:rPr>
                <w:bCs/>
                <w:sz w:val="20"/>
                <w:szCs w:val="20"/>
              </w:rPr>
            </w:pPr>
            <w:r w:rsidRPr="00FB59B6">
              <w:rPr>
                <w:bCs/>
                <w:sz w:val="20"/>
                <w:szCs w:val="20"/>
              </w:rPr>
              <w:t>Revision 0 draft</w:t>
            </w:r>
          </w:p>
        </w:tc>
        <w:tc>
          <w:tcPr>
            <w:tcW w:w="713" w:type="pct"/>
            <w:tcBorders>
              <w:top w:val="single" w:sz="18" w:space="0" w:color="FFFFFF"/>
            </w:tcBorders>
            <w:shd w:val="clear" w:color="auto" w:fill="auto"/>
          </w:tcPr>
          <w:p w:rsidR="00E1446E" w:rsidRPr="00FB59B6" w:rsidRDefault="00E1446E" w:rsidP="008948E0">
            <w:pPr>
              <w:rPr>
                <w:bCs/>
                <w:sz w:val="20"/>
                <w:szCs w:val="20"/>
                <w:highlight w:val="yellow"/>
              </w:rPr>
            </w:pPr>
            <w:r w:rsidRPr="00FB59B6">
              <w:rPr>
                <w:bCs/>
                <w:sz w:val="20"/>
                <w:szCs w:val="20"/>
              </w:rPr>
              <w:t>03/27/2008</w:t>
            </w:r>
          </w:p>
        </w:tc>
        <w:tc>
          <w:tcPr>
            <w:tcW w:w="1949" w:type="pct"/>
            <w:tcBorders>
              <w:top w:val="single" w:sz="18" w:space="0" w:color="FFFFFF"/>
            </w:tcBorders>
            <w:shd w:val="clear" w:color="auto" w:fill="auto"/>
          </w:tcPr>
          <w:p w:rsidR="00E1446E" w:rsidRPr="00FB59B6" w:rsidRDefault="00E1446E" w:rsidP="00E1446E">
            <w:pPr>
              <w:rPr>
                <w:bCs/>
                <w:sz w:val="20"/>
                <w:szCs w:val="20"/>
              </w:rPr>
            </w:pPr>
            <w:r w:rsidRPr="00FB59B6">
              <w:rPr>
                <w:bCs/>
                <w:sz w:val="20"/>
                <w:szCs w:val="20"/>
              </w:rPr>
              <w:t>Interior Induction Fixtures</w:t>
            </w:r>
          </w:p>
          <w:p w:rsidR="00E1446E" w:rsidRPr="00FB59B6" w:rsidRDefault="00E1446E" w:rsidP="008948E0">
            <w:pPr>
              <w:rPr>
                <w:bCs/>
                <w:sz w:val="20"/>
                <w:szCs w:val="20"/>
              </w:rPr>
            </w:pPr>
            <w:r w:rsidRPr="00FB59B6">
              <w:rPr>
                <w:sz w:val="20"/>
                <w:szCs w:val="20"/>
              </w:rPr>
              <w:t>PGECOLTG113R0.doc</w:t>
            </w:r>
          </w:p>
        </w:tc>
        <w:tc>
          <w:tcPr>
            <w:tcW w:w="1578" w:type="pct"/>
            <w:tcBorders>
              <w:top w:val="single" w:sz="18" w:space="0" w:color="FFFFFF"/>
            </w:tcBorders>
            <w:shd w:val="clear" w:color="auto" w:fill="auto"/>
          </w:tcPr>
          <w:p w:rsidR="00E1446E" w:rsidRPr="00FB59B6" w:rsidRDefault="00E1446E" w:rsidP="008948E0">
            <w:pPr>
              <w:rPr>
                <w:bCs/>
                <w:sz w:val="20"/>
                <w:szCs w:val="20"/>
              </w:rPr>
            </w:pPr>
            <w:proofErr w:type="spellStart"/>
            <w:r w:rsidRPr="00FB59B6">
              <w:rPr>
                <w:bCs/>
                <w:sz w:val="20"/>
                <w:szCs w:val="20"/>
              </w:rPr>
              <w:t>Sabarish</w:t>
            </w:r>
            <w:proofErr w:type="spellEnd"/>
            <w:r w:rsidRPr="00FB59B6">
              <w:rPr>
                <w:bCs/>
                <w:sz w:val="20"/>
                <w:szCs w:val="20"/>
              </w:rPr>
              <w:t xml:space="preserve"> Vinod, </w:t>
            </w:r>
            <w:proofErr w:type="spellStart"/>
            <w:r w:rsidRPr="00FB59B6">
              <w:rPr>
                <w:bCs/>
                <w:sz w:val="20"/>
                <w:szCs w:val="20"/>
              </w:rPr>
              <w:t>Lincus</w:t>
            </w:r>
            <w:proofErr w:type="spellEnd"/>
            <w:r w:rsidRPr="00FB59B6">
              <w:rPr>
                <w:bCs/>
                <w:sz w:val="20"/>
                <w:szCs w:val="20"/>
              </w:rPr>
              <w:t xml:space="preserve"> Energy</w:t>
            </w:r>
          </w:p>
        </w:tc>
      </w:tr>
      <w:tr w:rsidR="00E1446E" w:rsidRPr="00DE21B1" w:rsidTr="00D14033">
        <w:trPr>
          <w:trHeight w:val="464"/>
        </w:trPr>
        <w:tc>
          <w:tcPr>
            <w:tcW w:w="760" w:type="pct"/>
            <w:shd w:val="clear" w:color="auto" w:fill="BFBFBF" w:themeFill="background1" w:themeFillShade="BF"/>
          </w:tcPr>
          <w:p w:rsidR="00E1446E" w:rsidRPr="00FB59B6" w:rsidRDefault="00E1446E" w:rsidP="008948E0">
            <w:pPr>
              <w:rPr>
                <w:sz w:val="20"/>
                <w:szCs w:val="20"/>
              </w:rPr>
            </w:pPr>
            <w:r w:rsidRPr="00FB59B6">
              <w:rPr>
                <w:sz w:val="20"/>
                <w:szCs w:val="20"/>
              </w:rPr>
              <w:t xml:space="preserve">Revision 1 </w:t>
            </w:r>
          </w:p>
        </w:tc>
        <w:tc>
          <w:tcPr>
            <w:tcW w:w="713" w:type="pct"/>
            <w:shd w:val="clear" w:color="auto" w:fill="BFBFBF" w:themeFill="background1" w:themeFillShade="BF"/>
          </w:tcPr>
          <w:p w:rsidR="00E1446E" w:rsidRPr="00FB59B6" w:rsidRDefault="00E1446E" w:rsidP="005B00A6">
            <w:pPr>
              <w:autoSpaceDE w:val="0"/>
              <w:autoSpaceDN w:val="0"/>
              <w:adjustRightInd w:val="0"/>
              <w:rPr>
                <w:sz w:val="20"/>
                <w:szCs w:val="20"/>
                <w:highlight w:val="yellow"/>
              </w:rPr>
            </w:pPr>
            <w:r w:rsidRPr="00FB59B6">
              <w:rPr>
                <w:sz w:val="20"/>
                <w:szCs w:val="20"/>
              </w:rPr>
              <w:t>5/18/2009</w:t>
            </w:r>
          </w:p>
        </w:tc>
        <w:tc>
          <w:tcPr>
            <w:tcW w:w="1949" w:type="pct"/>
            <w:shd w:val="clear" w:color="auto" w:fill="BFBFBF" w:themeFill="background1" w:themeFillShade="BF"/>
          </w:tcPr>
          <w:p w:rsidR="00E1446E" w:rsidRPr="00FB59B6" w:rsidRDefault="00E1446E" w:rsidP="00E1446E">
            <w:pPr>
              <w:rPr>
                <w:bCs/>
                <w:sz w:val="20"/>
                <w:szCs w:val="20"/>
              </w:rPr>
            </w:pPr>
            <w:r w:rsidRPr="00FB59B6">
              <w:rPr>
                <w:bCs/>
                <w:sz w:val="20"/>
                <w:szCs w:val="20"/>
              </w:rPr>
              <w:t>Interior Induction Fixtures</w:t>
            </w:r>
          </w:p>
          <w:p w:rsidR="00E1446E" w:rsidRPr="00FB59B6" w:rsidRDefault="00E1446E" w:rsidP="00E1446E">
            <w:pPr>
              <w:rPr>
                <w:sz w:val="20"/>
                <w:szCs w:val="20"/>
              </w:rPr>
            </w:pPr>
            <w:r w:rsidRPr="00FB59B6">
              <w:rPr>
                <w:sz w:val="20"/>
                <w:szCs w:val="20"/>
              </w:rPr>
              <w:t>PGECOLTG113R1.doc</w:t>
            </w:r>
          </w:p>
          <w:p w:rsidR="00E1446E" w:rsidRPr="00FB59B6" w:rsidRDefault="00E1446E" w:rsidP="008948E0">
            <w:pPr>
              <w:rPr>
                <w:sz w:val="20"/>
                <w:szCs w:val="20"/>
              </w:rPr>
            </w:pPr>
            <w:r w:rsidRPr="00FB59B6">
              <w:rPr>
                <w:sz w:val="20"/>
                <w:szCs w:val="20"/>
              </w:rPr>
              <w:t>Text edits, reformatting.</w:t>
            </w:r>
          </w:p>
        </w:tc>
        <w:tc>
          <w:tcPr>
            <w:tcW w:w="1578" w:type="pct"/>
            <w:shd w:val="clear" w:color="auto" w:fill="BFBFBF" w:themeFill="background1" w:themeFillShade="BF"/>
          </w:tcPr>
          <w:p w:rsidR="00E1446E" w:rsidRPr="00FB59B6" w:rsidRDefault="00E1446E" w:rsidP="00746DDC">
            <w:pPr>
              <w:rPr>
                <w:bCs/>
                <w:sz w:val="20"/>
                <w:szCs w:val="20"/>
              </w:rPr>
            </w:pPr>
            <w:r w:rsidRPr="00FB59B6">
              <w:rPr>
                <w:bCs/>
                <w:sz w:val="20"/>
                <w:szCs w:val="20"/>
              </w:rPr>
              <w:t>Judith Jennings, PG&amp;E</w:t>
            </w:r>
          </w:p>
        </w:tc>
      </w:tr>
      <w:tr w:rsidR="00E1446E" w:rsidRPr="00DE21B1" w:rsidTr="00D14033">
        <w:trPr>
          <w:trHeight w:val="464"/>
        </w:trPr>
        <w:tc>
          <w:tcPr>
            <w:tcW w:w="760" w:type="pct"/>
            <w:shd w:val="pct5" w:color="000000" w:fill="FFFFFF"/>
          </w:tcPr>
          <w:p w:rsidR="00E1446E" w:rsidRPr="00FB59B6" w:rsidRDefault="00E1446E" w:rsidP="008948E0">
            <w:pPr>
              <w:rPr>
                <w:sz w:val="20"/>
                <w:szCs w:val="20"/>
              </w:rPr>
            </w:pPr>
            <w:r w:rsidRPr="00FB59B6">
              <w:rPr>
                <w:sz w:val="20"/>
                <w:szCs w:val="20"/>
              </w:rPr>
              <w:t>Revision 2</w:t>
            </w:r>
          </w:p>
        </w:tc>
        <w:tc>
          <w:tcPr>
            <w:tcW w:w="713" w:type="pct"/>
            <w:shd w:val="pct5" w:color="000000" w:fill="FFFFFF"/>
          </w:tcPr>
          <w:p w:rsidR="00E1446E" w:rsidRPr="00FB59B6" w:rsidRDefault="00E1446E" w:rsidP="005B00A6">
            <w:pPr>
              <w:autoSpaceDE w:val="0"/>
              <w:autoSpaceDN w:val="0"/>
              <w:adjustRightInd w:val="0"/>
              <w:rPr>
                <w:sz w:val="20"/>
                <w:szCs w:val="20"/>
                <w:highlight w:val="yellow"/>
              </w:rPr>
            </w:pPr>
            <w:r w:rsidRPr="00FB59B6">
              <w:rPr>
                <w:sz w:val="20"/>
                <w:szCs w:val="20"/>
              </w:rPr>
              <w:t>2/5/2010</w:t>
            </w:r>
          </w:p>
        </w:tc>
        <w:tc>
          <w:tcPr>
            <w:tcW w:w="1949" w:type="pct"/>
            <w:shd w:val="pct5" w:color="000000" w:fill="FFFFFF"/>
          </w:tcPr>
          <w:p w:rsidR="00E1446E" w:rsidRPr="00FB59B6" w:rsidRDefault="00E1446E" w:rsidP="00E1446E">
            <w:pPr>
              <w:rPr>
                <w:bCs/>
                <w:sz w:val="20"/>
                <w:szCs w:val="20"/>
              </w:rPr>
            </w:pPr>
            <w:r w:rsidRPr="00FB59B6">
              <w:rPr>
                <w:bCs/>
                <w:sz w:val="20"/>
                <w:szCs w:val="20"/>
              </w:rPr>
              <w:t>Interior Induction Fixtures</w:t>
            </w:r>
          </w:p>
          <w:p w:rsidR="00E1446E" w:rsidRPr="00FB59B6" w:rsidRDefault="00E1446E" w:rsidP="00E1446E">
            <w:pPr>
              <w:rPr>
                <w:sz w:val="20"/>
                <w:szCs w:val="20"/>
              </w:rPr>
            </w:pPr>
            <w:r w:rsidRPr="00FB59B6">
              <w:rPr>
                <w:sz w:val="20"/>
                <w:szCs w:val="20"/>
              </w:rPr>
              <w:t>PGECOLTG113 R2.doc</w:t>
            </w:r>
          </w:p>
          <w:p w:rsidR="00E1446E" w:rsidRPr="00FB59B6" w:rsidRDefault="00E1446E" w:rsidP="00E1446E">
            <w:pPr>
              <w:rPr>
                <w:sz w:val="20"/>
                <w:szCs w:val="20"/>
              </w:rPr>
            </w:pPr>
            <w:r w:rsidRPr="00FB59B6">
              <w:rPr>
                <w:sz w:val="20"/>
                <w:szCs w:val="20"/>
              </w:rPr>
              <w:t xml:space="preserve">Added negative </w:t>
            </w:r>
            <w:proofErr w:type="spellStart"/>
            <w:r w:rsidRPr="00FB59B6">
              <w:rPr>
                <w:sz w:val="20"/>
                <w:szCs w:val="20"/>
              </w:rPr>
              <w:t>therm</w:t>
            </w:r>
            <w:proofErr w:type="spellEnd"/>
            <w:r w:rsidRPr="00FB59B6">
              <w:rPr>
                <w:sz w:val="20"/>
                <w:szCs w:val="20"/>
              </w:rPr>
              <w:t xml:space="preserve"> interactions to At-A-Glance Measure List.</w:t>
            </w:r>
          </w:p>
          <w:p w:rsidR="00E1446E" w:rsidRPr="00FB59B6" w:rsidRDefault="00E1446E" w:rsidP="008948E0">
            <w:pPr>
              <w:rPr>
                <w:sz w:val="20"/>
                <w:szCs w:val="20"/>
              </w:rPr>
            </w:pPr>
            <w:r w:rsidRPr="00FB59B6">
              <w:rPr>
                <w:sz w:val="20"/>
                <w:szCs w:val="20"/>
              </w:rPr>
              <w:t>Revised building hours of operation. Added measure code for 250W Induction fixture; expanded At-A-Glance Table by building type. Updated text and references.</w:t>
            </w:r>
          </w:p>
        </w:tc>
        <w:tc>
          <w:tcPr>
            <w:tcW w:w="1578" w:type="pct"/>
            <w:shd w:val="pct5" w:color="000000" w:fill="FFFFFF"/>
          </w:tcPr>
          <w:p w:rsidR="00E1446E" w:rsidRPr="00FB59B6" w:rsidRDefault="00E1446E" w:rsidP="00746DDC">
            <w:pPr>
              <w:rPr>
                <w:bCs/>
                <w:sz w:val="20"/>
                <w:szCs w:val="20"/>
              </w:rPr>
            </w:pPr>
            <w:r w:rsidRPr="00FB59B6">
              <w:rPr>
                <w:bCs/>
                <w:sz w:val="20"/>
                <w:szCs w:val="20"/>
              </w:rPr>
              <w:t>Judith Jennings, PG&amp;E</w:t>
            </w:r>
          </w:p>
        </w:tc>
      </w:tr>
      <w:tr w:rsidR="00E1446E" w:rsidRPr="00DE21B1" w:rsidTr="00D14033">
        <w:trPr>
          <w:trHeight w:val="464"/>
        </w:trPr>
        <w:tc>
          <w:tcPr>
            <w:tcW w:w="760" w:type="pct"/>
            <w:shd w:val="clear" w:color="auto" w:fill="BFBFBF" w:themeFill="background1" w:themeFillShade="BF"/>
          </w:tcPr>
          <w:p w:rsidR="00E1446E" w:rsidRPr="00FB59B6" w:rsidRDefault="00E1446E" w:rsidP="008948E0">
            <w:pPr>
              <w:rPr>
                <w:sz w:val="20"/>
                <w:szCs w:val="20"/>
              </w:rPr>
            </w:pPr>
            <w:r w:rsidRPr="00FB59B6">
              <w:rPr>
                <w:sz w:val="20"/>
                <w:szCs w:val="20"/>
              </w:rPr>
              <w:t>Revision 3</w:t>
            </w:r>
          </w:p>
        </w:tc>
        <w:tc>
          <w:tcPr>
            <w:tcW w:w="713" w:type="pct"/>
            <w:shd w:val="clear" w:color="auto" w:fill="BFBFBF" w:themeFill="background1" w:themeFillShade="BF"/>
          </w:tcPr>
          <w:p w:rsidR="00E1446E" w:rsidRPr="00FB59B6" w:rsidRDefault="00E1446E" w:rsidP="005B00A6">
            <w:pPr>
              <w:autoSpaceDE w:val="0"/>
              <w:autoSpaceDN w:val="0"/>
              <w:adjustRightInd w:val="0"/>
              <w:rPr>
                <w:sz w:val="20"/>
                <w:szCs w:val="20"/>
                <w:highlight w:val="yellow"/>
              </w:rPr>
            </w:pPr>
            <w:r w:rsidRPr="00FB59B6">
              <w:rPr>
                <w:sz w:val="20"/>
                <w:szCs w:val="20"/>
              </w:rPr>
              <w:t>6/14/2012</w:t>
            </w:r>
          </w:p>
        </w:tc>
        <w:tc>
          <w:tcPr>
            <w:tcW w:w="1949" w:type="pct"/>
            <w:shd w:val="clear" w:color="auto" w:fill="BFBFBF" w:themeFill="background1" w:themeFillShade="BF"/>
          </w:tcPr>
          <w:p w:rsidR="00E1446E" w:rsidRPr="00FB59B6" w:rsidRDefault="00E1446E" w:rsidP="00E1446E">
            <w:pPr>
              <w:rPr>
                <w:bCs/>
                <w:sz w:val="20"/>
                <w:szCs w:val="20"/>
              </w:rPr>
            </w:pPr>
            <w:r w:rsidRPr="00FB59B6">
              <w:rPr>
                <w:bCs/>
                <w:sz w:val="20"/>
                <w:szCs w:val="20"/>
              </w:rPr>
              <w:t>Interior Induction Fixtures</w:t>
            </w:r>
          </w:p>
          <w:p w:rsidR="00E1446E" w:rsidRPr="00FB59B6" w:rsidRDefault="00E1446E" w:rsidP="00E1446E">
            <w:pPr>
              <w:rPr>
                <w:sz w:val="20"/>
                <w:szCs w:val="20"/>
              </w:rPr>
            </w:pPr>
            <w:r w:rsidRPr="00FB59B6">
              <w:rPr>
                <w:sz w:val="20"/>
                <w:szCs w:val="20"/>
              </w:rPr>
              <w:t>PGECOLTG113 R3.doc</w:t>
            </w:r>
          </w:p>
          <w:p w:rsidR="00E1446E" w:rsidRPr="00FB59B6" w:rsidRDefault="00E1446E" w:rsidP="008948E0">
            <w:pPr>
              <w:rPr>
                <w:sz w:val="20"/>
                <w:szCs w:val="20"/>
              </w:rPr>
            </w:pPr>
            <w:r w:rsidRPr="00FB59B6">
              <w:rPr>
                <w:sz w:val="20"/>
                <w:szCs w:val="20"/>
              </w:rPr>
              <w:t>Changed NTG and EUL. Recalculated all savings in new lighting work book by Zohrabian; updated cost figures with new distributor estimates, added base case cost for ROB measure.</w:t>
            </w:r>
          </w:p>
        </w:tc>
        <w:tc>
          <w:tcPr>
            <w:tcW w:w="1578" w:type="pct"/>
            <w:shd w:val="clear" w:color="auto" w:fill="BFBFBF" w:themeFill="background1" w:themeFillShade="BF"/>
          </w:tcPr>
          <w:p w:rsidR="00E1446E" w:rsidRPr="00FB59B6" w:rsidRDefault="00E1446E" w:rsidP="00746DDC">
            <w:pPr>
              <w:rPr>
                <w:bCs/>
                <w:sz w:val="20"/>
                <w:szCs w:val="20"/>
              </w:rPr>
            </w:pPr>
            <w:r w:rsidRPr="00FB59B6">
              <w:rPr>
                <w:bCs/>
                <w:sz w:val="20"/>
                <w:szCs w:val="20"/>
              </w:rPr>
              <w:t>Judith Jennings, PG&amp;E</w:t>
            </w:r>
          </w:p>
        </w:tc>
      </w:tr>
      <w:tr w:rsidR="00E1446E" w:rsidRPr="00DE21B1" w:rsidTr="00D14033">
        <w:trPr>
          <w:trHeight w:val="464"/>
        </w:trPr>
        <w:tc>
          <w:tcPr>
            <w:tcW w:w="760" w:type="pct"/>
            <w:shd w:val="pct5" w:color="000000" w:fill="FFFFFF"/>
          </w:tcPr>
          <w:p w:rsidR="00E1446E" w:rsidRPr="00FB59B6" w:rsidRDefault="00E1446E" w:rsidP="008948E0">
            <w:pPr>
              <w:rPr>
                <w:sz w:val="20"/>
                <w:szCs w:val="20"/>
              </w:rPr>
            </w:pPr>
            <w:r w:rsidRPr="00FB59B6">
              <w:rPr>
                <w:sz w:val="20"/>
                <w:szCs w:val="20"/>
              </w:rPr>
              <w:t>Revision 3</w:t>
            </w:r>
          </w:p>
        </w:tc>
        <w:tc>
          <w:tcPr>
            <w:tcW w:w="713" w:type="pct"/>
            <w:shd w:val="pct5" w:color="000000" w:fill="FFFFFF"/>
          </w:tcPr>
          <w:p w:rsidR="00E1446E" w:rsidRPr="00FB59B6" w:rsidRDefault="00E1446E" w:rsidP="005B00A6">
            <w:pPr>
              <w:autoSpaceDE w:val="0"/>
              <w:autoSpaceDN w:val="0"/>
              <w:adjustRightInd w:val="0"/>
              <w:rPr>
                <w:sz w:val="20"/>
                <w:szCs w:val="20"/>
                <w:highlight w:val="yellow"/>
              </w:rPr>
            </w:pPr>
            <w:r w:rsidRPr="00FB59B6">
              <w:rPr>
                <w:sz w:val="20"/>
                <w:szCs w:val="20"/>
              </w:rPr>
              <w:t>8/28/12</w:t>
            </w:r>
          </w:p>
        </w:tc>
        <w:tc>
          <w:tcPr>
            <w:tcW w:w="1949" w:type="pct"/>
            <w:shd w:val="pct5" w:color="000000" w:fill="FFFFFF"/>
          </w:tcPr>
          <w:p w:rsidR="00E1446E" w:rsidRPr="00FB59B6" w:rsidRDefault="00E1446E" w:rsidP="008948E0">
            <w:pPr>
              <w:rPr>
                <w:sz w:val="20"/>
                <w:szCs w:val="20"/>
              </w:rPr>
            </w:pPr>
            <w:r w:rsidRPr="00FB59B6">
              <w:rPr>
                <w:sz w:val="20"/>
                <w:szCs w:val="20"/>
              </w:rPr>
              <w:t xml:space="preserve">OTR explanation is added in the </w:t>
            </w:r>
            <w:proofErr w:type="spellStart"/>
            <w:r w:rsidRPr="00FB59B6">
              <w:rPr>
                <w:sz w:val="20"/>
                <w:szCs w:val="20"/>
              </w:rPr>
              <w:t>workpaper</w:t>
            </w:r>
            <w:proofErr w:type="spellEnd"/>
            <w:r w:rsidRPr="00FB59B6">
              <w:rPr>
                <w:sz w:val="20"/>
                <w:szCs w:val="20"/>
              </w:rPr>
              <w:t>,  For Vintage AV is changed to EX and For Climate Zone All is changed to IOU</w:t>
            </w:r>
          </w:p>
        </w:tc>
        <w:tc>
          <w:tcPr>
            <w:tcW w:w="1578" w:type="pct"/>
            <w:shd w:val="pct5" w:color="000000" w:fill="FFFFFF"/>
          </w:tcPr>
          <w:p w:rsidR="00E1446E" w:rsidRPr="00FB59B6" w:rsidRDefault="00E1446E" w:rsidP="00746DDC">
            <w:pPr>
              <w:rPr>
                <w:bCs/>
                <w:sz w:val="20"/>
                <w:szCs w:val="20"/>
              </w:rPr>
            </w:pPr>
            <w:r w:rsidRPr="00FB59B6">
              <w:rPr>
                <w:bCs/>
                <w:sz w:val="20"/>
                <w:szCs w:val="20"/>
              </w:rPr>
              <w:t>Alina Zohrabian (PG&amp;E)</w:t>
            </w:r>
          </w:p>
        </w:tc>
      </w:tr>
      <w:tr w:rsidR="00E1446E" w:rsidRPr="00DE21B1" w:rsidTr="00D14033">
        <w:trPr>
          <w:trHeight w:val="464"/>
        </w:trPr>
        <w:tc>
          <w:tcPr>
            <w:tcW w:w="760" w:type="pct"/>
            <w:shd w:val="clear" w:color="auto" w:fill="BFBFBF" w:themeFill="background1" w:themeFillShade="BF"/>
          </w:tcPr>
          <w:p w:rsidR="00E1446E" w:rsidRPr="00FB59B6" w:rsidRDefault="00E1446E" w:rsidP="008948E0">
            <w:pPr>
              <w:rPr>
                <w:sz w:val="20"/>
                <w:szCs w:val="20"/>
              </w:rPr>
            </w:pPr>
            <w:r w:rsidRPr="00FB59B6">
              <w:rPr>
                <w:sz w:val="20"/>
                <w:szCs w:val="20"/>
              </w:rPr>
              <w:t>Revision 4</w:t>
            </w:r>
          </w:p>
        </w:tc>
        <w:tc>
          <w:tcPr>
            <w:tcW w:w="713" w:type="pct"/>
            <w:shd w:val="clear" w:color="auto" w:fill="BFBFBF" w:themeFill="background1" w:themeFillShade="BF"/>
          </w:tcPr>
          <w:p w:rsidR="00E1446E" w:rsidRPr="00FB59B6" w:rsidRDefault="00E1446E" w:rsidP="005B00A6">
            <w:pPr>
              <w:autoSpaceDE w:val="0"/>
              <w:autoSpaceDN w:val="0"/>
              <w:adjustRightInd w:val="0"/>
              <w:rPr>
                <w:sz w:val="20"/>
                <w:szCs w:val="20"/>
              </w:rPr>
            </w:pPr>
            <w:r w:rsidRPr="00FB59B6">
              <w:rPr>
                <w:sz w:val="20"/>
                <w:szCs w:val="20"/>
              </w:rPr>
              <w:t>7/15/13</w:t>
            </w:r>
          </w:p>
        </w:tc>
        <w:tc>
          <w:tcPr>
            <w:tcW w:w="1949" w:type="pct"/>
            <w:shd w:val="clear" w:color="auto" w:fill="BFBFBF" w:themeFill="background1" w:themeFillShade="BF"/>
          </w:tcPr>
          <w:p w:rsidR="00E1446E" w:rsidRPr="00FB59B6" w:rsidRDefault="00E1446E" w:rsidP="00E1446E">
            <w:pPr>
              <w:rPr>
                <w:bCs/>
                <w:sz w:val="20"/>
                <w:szCs w:val="20"/>
              </w:rPr>
            </w:pPr>
            <w:r w:rsidRPr="00FB59B6">
              <w:rPr>
                <w:bCs/>
                <w:sz w:val="20"/>
                <w:szCs w:val="20"/>
              </w:rPr>
              <w:t xml:space="preserve">Revised Savings values per ED </w:t>
            </w:r>
            <w:proofErr w:type="spellStart"/>
            <w:r w:rsidRPr="00FB59B6">
              <w:rPr>
                <w:bCs/>
                <w:sz w:val="20"/>
                <w:szCs w:val="20"/>
              </w:rPr>
              <w:t>Workpaper</w:t>
            </w:r>
            <w:proofErr w:type="spellEnd"/>
            <w:r w:rsidRPr="00FB59B6">
              <w:rPr>
                <w:bCs/>
                <w:sz w:val="20"/>
                <w:szCs w:val="20"/>
              </w:rPr>
              <w:t xml:space="preserve"> Disposition for Lighting Retrofit, issue March, 2013. For updated savings values, see file PGECOLTG113 R4-Calcs.xlsx</w:t>
            </w:r>
          </w:p>
          <w:p w:rsidR="00E1446E" w:rsidRPr="00FB59B6" w:rsidRDefault="00E1446E" w:rsidP="00E1446E">
            <w:pPr>
              <w:rPr>
                <w:bCs/>
                <w:sz w:val="20"/>
                <w:szCs w:val="20"/>
              </w:rPr>
            </w:pPr>
            <w:r w:rsidRPr="00FB59B6">
              <w:rPr>
                <w:bCs/>
                <w:sz w:val="20"/>
                <w:szCs w:val="20"/>
              </w:rPr>
              <w:t>Base wattage adjustments. Measure L1025 changed from 297 to 295 watts. Measure L1024 changed from 224 to 215 watts. Measure L1023 changed from 130 to 128 watts</w:t>
            </w:r>
          </w:p>
        </w:tc>
        <w:tc>
          <w:tcPr>
            <w:tcW w:w="1578" w:type="pct"/>
            <w:shd w:val="clear" w:color="auto" w:fill="BFBFBF" w:themeFill="background1" w:themeFillShade="BF"/>
          </w:tcPr>
          <w:p w:rsidR="00E1446E" w:rsidRPr="00FB59B6" w:rsidRDefault="00E1446E" w:rsidP="00746DDC">
            <w:pPr>
              <w:rPr>
                <w:bCs/>
                <w:sz w:val="20"/>
                <w:szCs w:val="20"/>
              </w:rPr>
            </w:pPr>
            <w:r w:rsidRPr="00FB59B6">
              <w:rPr>
                <w:bCs/>
                <w:sz w:val="20"/>
                <w:szCs w:val="20"/>
              </w:rPr>
              <w:t>Alina Zohrabian (PG&amp;E)</w:t>
            </w:r>
          </w:p>
        </w:tc>
      </w:tr>
      <w:tr w:rsidR="00EA0CBA" w:rsidRPr="00DE21B1" w:rsidTr="008B1F6B">
        <w:trPr>
          <w:trHeight w:val="464"/>
        </w:trPr>
        <w:tc>
          <w:tcPr>
            <w:tcW w:w="760" w:type="pct"/>
            <w:shd w:val="clear" w:color="auto" w:fill="F2F2F2" w:themeFill="background1" w:themeFillShade="F2"/>
          </w:tcPr>
          <w:p w:rsidR="00EA0CBA" w:rsidRPr="00FB59B6" w:rsidRDefault="00EA0CBA" w:rsidP="008948E0">
            <w:pPr>
              <w:rPr>
                <w:sz w:val="20"/>
                <w:szCs w:val="20"/>
              </w:rPr>
            </w:pPr>
            <w:r w:rsidRPr="00FB59B6">
              <w:rPr>
                <w:sz w:val="20"/>
                <w:szCs w:val="20"/>
              </w:rPr>
              <w:t>Revision 5</w:t>
            </w:r>
          </w:p>
        </w:tc>
        <w:tc>
          <w:tcPr>
            <w:tcW w:w="713" w:type="pct"/>
            <w:shd w:val="clear" w:color="auto" w:fill="F2F2F2" w:themeFill="background1" w:themeFillShade="F2"/>
          </w:tcPr>
          <w:p w:rsidR="00EA0CBA" w:rsidRPr="00FB59B6" w:rsidRDefault="00D14033" w:rsidP="00D14033">
            <w:pPr>
              <w:autoSpaceDE w:val="0"/>
              <w:autoSpaceDN w:val="0"/>
              <w:adjustRightInd w:val="0"/>
              <w:rPr>
                <w:sz w:val="20"/>
                <w:szCs w:val="20"/>
              </w:rPr>
            </w:pPr>
            <w:r w:rsidRPr="00FB59B6">
              <w:rPr>
                <w:sz w:val="20"/>
                <w:szCs w:val="20"/>
              </w:rPr>
              <w:t>4</w:t>
            </w:r>
            <w:r w:rsidR="00EA0CBA" w:rsidRPr="00FB59B6">
              <w:rPr>
                <w:sz w:val="20"/>
                <w:szCs w:val="20"/>
              </w:rPr>
              <w:t>/</w:t>
            </w:r>
            <w:r w:rsidRPr="00FB59B6">
              <w:rPr>
                <w:sz w:val="20"/>
                <w:szCs w:val="20"/>
              </w:rPr>
              <w:t>29</w:t>
            </w:r>
            <w:r w:rsidR="00EA0CBA" w:rsidRPr="00FB59B6">
              <w:rPr>
                <w:sz w:val="20"/>
                <w:szCs w:val="20"/>
              </w:rPr>
              <w:t>/14</w:t>
            </w:r>
          </w:p>
        </w:tc>
        <w:tc>
          <w:tcPr>
            <w:tcW w:w="1949" w:type="pct"/>
            <w:shd w:val="clear" w:color="auto" w:fill="F2F2F2" w:themeFill="background1" w:themeFillShade="F2"/>
          </w:tcPr>
          <w:p w:rsidR="002D6877" w:rsidRPr="00FB59B6" w:rsidRDefault="002D6877" w:rsidP="002D6877">
            <w:pPr>
              <w:rPr>
                <w:sz w:val="20"/>
                <w:szCs w:val="20"/>
              </w:rPr>
            </w:pPr>
            <w:r w:rsidRPr="00FB59B6">
              <w:rPr>
                <w:sz w:val="20"/>
                <w:szCs w:val="20"/>
              </w:rPr>
              <w:t xml:space="preserve">Added DI values from (PGE3PLTG182) and applied the 2014 IE and Hours from DEER (posted 2/20/14). For updated savings values, see file </w:t>
            </w:r>
            <w:r w:rsidR="00CD5969" w:rsidRPr="00FB59B6">
              <w:rPr>
                <w:sz w:val="20"/>
                <w:szCs w:val="20"/>
              </w:rPr>
              <w:t>PGECOLTG113 R5</w:t>
            </w:r>
            <w:r w:rsidRPr="00FB59B6">
              <w:rPr>
                <w:sz w:val="20"/>
                <w:szCs w:val="20"/>
              </w:rPr>
              <w:t>.xlsx</w:t>
            </w:r>
            <w:r w:rsidR="000F00D4" w:rsidRPr="00FB59B6">
              <w:rPr>
                <w:sz w:val="20"/>
                <w:szCs w:val="20"/>
              </w:rPr>
              <w:t>.</w:t>
            </w:r>
          </w:p>
          <w:p w:rsidR="00EA0CBA" w:rsidRPr="00FB59B6" w:rsidRDefault="000F00D4" w:rsidP="00E1446E">
            <w:pPr>
              <w:rPr>
                <w:sz w:val="20"/>
                <w:szCs w:val="20"/>
              </w:rPr>
            </w:pPr>
            <w:r w:rsidRPr="00FB59B6">
              <w:rPr>
                <w:sz w:val="20"/>
                <w:szCs w:val="20"/>
              </w:rPr>
              <w:t>Updated labor costs with 2014 RS Means Building Construction Cost Data.</w:t>
            </w:r>
          </w:p>
        </w:tc>
        <w:tc>
          <w:tcPr>
            <w:tcW w:w="1578" w:type="pct"/>
            <w:shd w:val="clear" w:color="auto" w:fill="F2F2F2" w:themeFill="background1" w:themeFillShade="F2"/>
          </w:tcPr>
          <w:p w:rsidR="00EA0CBA" w:rsidRPr="00FB59B6" w:rsidRDefault="00EA0CBA" w:rsidP="00746DDC">
            <w:pPr>
              <w:rPr>
                <w:bCs/>
                <w:sz w:val="20"/>
                <w:szCs w:val="20"/>
              </w:rPr>
            </w:pPr>
            <w:r w:rsidRPr="00FB59B6">
              <w:rPr>
                <w:bCs/>
                <w:sz w:val="20"/>
                <w:szCs w:val="20"/>
              </w:rPr>
              <w:t>Jia Huang (PG&amp;E)</w:t>
            </w:r>
          </w:p>
          <w:p w:rsidR="00D14033" w:rsidRPr="00FB59B6" w:rsidRDefault="00D14033" w:rsidP="00746DDC">
            <w:pPr>
              <w:rPr>
                <w:bCs/>
                <w:sz w:val="20"/>
                <w:szCs w:val="20"/>
              </w:rPr>
            </w:pPr>
            <w:r w:rsidRPr="00FB59B6">
              <w:rPr>
                <w:bCs/>
                <w:sz w:val="20"/>
                <w:szCs w:val="20"/>
              </w:rPr>
              <w:t>Tai Voong (PG&amp;E)</w:t>
            </w:r>
          </w:p>
        </w:tc>
      </w:tr>
      <w:tr w:rsidR="00FB59B6" w:rsidRPr="00DE21B1" w:rsidTr="00FB59B6">
        <w:trPr>
          <w:trHeight w:val="464"/>
        </w:trPr>
        <w:tc>
          <w:tcPr>
            <w:tcW w:w="760" w:type="pct"/>
            <w:shd w:val="clear" w:color="auto" w:fill="BFBFBF" w:themeFill="background1" w:themeFillShade="BF"/>
          </w:tcPr>
          <w:p w:rsidR="00FB59B6" w:rsidRPr="00FB59B6" w:rsidRDefault="00FB59B6" w:rsidP="008948E0">
            <w:pPr>
              <w:rPr>
                <w:sz w:val="20"/>
                <w:szCs w:val="20"/>
              </w:rPr>
            </w:pPr>
            <w:r>
              <w:rPr>
                <w:sz w:val="20"/>
                <w:szCs w:val="20"/>
              </w:rPr>
              <w:t>Revision 6</w:t>
            </w:r>
          </w:p>
        </w:tc>
        <w:tc>
          <w:tcPr>
            <w:tcW w:w="713" w:type="pct"/>
            <w:shd w:val="clear" w:color="auto" w:fill="BFBFBF" w:themeFill="background1" w:themeFillShade="BF"/>
          </w:tcPr>
          <w:p w:rsidR="00FB59B6" w:rsidRPr="00FB59B6" w:rsidRDefault="00FB59B6" w:rsidP="00D14033">
            <w:pPr>
              <w:autoSpaceDE w:val="0"/>
              <w:autoSpaceDN w:val="0"/>
              <w:adjustRightInd w:val="0"/>
              <w:rPr>
                <w:sz w:val="20"/>
                <w:szCs w:val="20"/>
              </w:rPr>
            </w:pPr>
            <w:r>
              <w:rPr>
                <w:sz w:val="20"/>
                <w:szCs w:val="20"/>
              </w:rPr>
              <w:t>1/1/2016</w:t>
            </w:r>
          </w:p>
        </w:tc>
        <w:tc>
          <w:tcPr>
            <w:tcW w:w="1949" w:type="pct"/>
            <w:shd w:val="clear" w:color="auto" w:fill="BFBFBF" w:themeFill="background1" w:themeFillShade="BF"/>
          </w:tcPr>
          <w:p w:rsidR="00FB59B6" w:rsidRPr="00FB59B6" w:rsidRDefault="003B4730" w:rsidP="002D6877">
            <w:pPr>
              <w:rPr>
                <w:sz w:val="20"/>
                <w:szCs w:val="20"/>
              </w:rPr>
            </w:pPr>
            <w:r>
              <w:rPr>
                <w:sz w:val="20"/>
                <w:szCs w:val="20"/>
              </w:rPr>
              <w:t>Updated Section 1.4.2, EUL ID, base case ID, standard case ID per DEER 2016.  Costs have also been updated.</w:t>
            </w:r>
          </w:p>
        </w:tc>
        <w:tc>
          <w:tcPr>
            <w:tcW w:w="1578" w:type="pct"/>
            <w:shd w:val="clear" w:color="auto" w:fill="BFBFBF" w:themeFill="background1" w:themeFillShade="BF"/>
          </w:tcPr>
          <w:p w:rsidR="00FB59B6" w:rsidRPr="00FB59B6" w:rsidRDefault="00FB59B6" w:rsidP="00746DDC">
            <w:pPr>
              <w:rPr>
                <w:bCs/>
                <w:sz w:val="20"/>
                <w:szCs w:val="20"/>
              </w:rPr>
            </w:pPr>
            <w:r>
              <w:rPr>
                <w:bCs/>
                <w:sz w:val="20"/>
                <w:szCs w:val="20"/>
              </w:rPr>
              <w:t>Linda Wan (PG&amp;E)</w:t>
            </w:r>
            <w:r w:rsidR="003B4730">
              <w:rPr>
                <w:bCs/>
                <w:sz w:val="20"/>
                <w:szCs w:val="20"/>
              </w:rPr>
              <w:t>/</w:t>
            </w:r>
            <w:r w:rsidR="003B4730" w:rsidRPr="00FB59B6">
              <w:rPr>
                <w:bCs/>
                <w:sz w:val="20"/>
                <w:szCs w:val="20"/>
              </w:rPr>
              <w:t>Alina Zohrabian (PG&amp;E)</w:t>
            </w:r>
          </w:p>
        </w:tc>
      </w:tr>
    </w:tbl>
    <w:p w:rsidR="00E71EF1" w:rsidRDefault="001248A3" w:rsidP="00F55847">
      <w:pPr>
        <w:pStyle w:val="Heading1"/>
      </w:pPr>
      <w:bookmarkStart w:id="11" w:name="_Toc186621650"/>
      <w:bookmarkStart w:id="12" w:name="_Toc304800197"/>
      <w:bookmarkStart w:id="13" w:name="_Toc324318334"/>
      <w:bookmarkStart w:id="14" w:name="_Toc304800198"/>
      <w:bookmarkStart w:id="15" w:name="_Toc324340478"/>
      <w:bookmarkStart w:id="16" w:name="_Toc438469313"/>
      <w:r>
        <w:lastRenderedPageBreak/>
        <w:t>Table</w:t>
      </w:r>
      <w:r w:rsidR="006559C8">
        <w:t xml:space="preserve"> of Contents</w:t>
      </w:r>
      <w:bookmarkEnd w:id="11"/>
      <w:bookmarkEnd w:id="12"/>
      <w:bookmarkEnd w:id="13"/>
      <w:bookmarkEnd w:id="14"/>
      <w:bookmarkEnd w:id="15"/>
      <w:bookmarkEnd w:id="16"/>
    </w:p>
    <w:p w:rsidR="000700C5"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38469311" w:history="1">
        <w:r w:rsidR="000700C5" w:rsidRPr="00357F7C">
          <w:rPr>
            <w:rStyle w:val="Hyperlink"/>
            <w:noProof/>
          </w:rPr>
          <w:t>At-a-Glance Summary</w:t>
        </w:r>
        <w:r w:rsidR="000700C5">
          <w:rPr>
            <w:noProof/>
            <w:webHidden/>
          </w:rPr>
          <w:tab/>
        </w:r>
        <w:r w:rsidR="000700C5">
          <w:rPr>
            <w:noProof/>
            <w:webHidden/>
          </w:rPr>
          <w:fldChar w:fldCharType="begin"/>
        </w:r>
        <w:r w:rsidR="000700C5">
          <w:rPr>
            <w:noProof/>
            <w:webHidden/>
          </w:rPr>
          <w:instrText xml:space="preserve"> PAGEREF _Toc438469311 \h </w:instrText>
        </w:r>
        <w:r w:rsidR="000700C5">
          <w:rPr>
            <w:noProof/>
            <w:webHidden/>
          </w:rPr>
        </w:r>
        <w:r w:rsidR="000700C5">
          <w:rPr>
            <w:noProof/>
            <w:webHidden/>
          </w:rPr>
          <w:fldChar w:fldCharType="separate"/>
        </w:r>
        <w:r w:rsidR="000700C5">
          <w:rPr>
            <w:noProof/>
            <w:webHidden/>
          </w:rPr>
          <w:t>ii</w:t>
        </w:r>
        <w:r w:rsidR="000700C5">
          <w:rPr>
            <w:noProof/>
            <w:webHidden/>
          </w:rPr>
          <w:fldChar w:fldCharType="end"/>
        </w:r>
      </w:hyperlink>
    </w:p>
    <w:p w:rsidR="000700C5" w:rsidRDefault="000700C5">
      <w:pPr>
        <w:pStyle w:val="TOC1"/>
        <w:tabs>
          <w:tab w:val="right" w:leader="dot" w:pos="9350"/>
        </w:tabs>
        <w:rPr>
          <w:rFonts w:asciiTheme="minorHAnsi" w:eastAsiaTheme="minorEastAsia" w:hAnsiTheme="minorHAnsi" w:cstheme="minorBidi"/>
          <w:noProof/>
          <w:szCs w:val="22"/>
        </w:rPr>
      </w:pPr>
      <w:hyperlink w:anchor="_Toc438469312" w:history="1">
        <w:r w:rsidRPr="00357F7C">
          <w:rPr>
            <w:rStyle w:val="Hyperlink"/>
            <w:noProof/>
          </w:rPr>
          <w:t>Document Revision History</w:t>
        </w:r>
        <w:r>
          <w:rPr>
            <w:noProof/>
            <w:webHidden/>
          </w:rPr>
          <w:tab/>
        </w:r>
        <w:r>
          <w:rPr>
            <w:noProof/>
            <w:webHidden/>
          </w:rPr>
          <w:fldChar w:fldCharType="begin"/>
        </w:r>
        <w:r>
          <w:rPr>
            <w:noProof/>
            <w:webHidden/>
          </w:rPr>
          <w:instrText xml:space="preserve"> PAGEREF _Toc438469312 \h </w:instrText>
        </w:r>
        <w:r>
          <w:rPr>
            <w:noProof/>
            <w:webHidden/>
          </w:rPr>
        </w:r>
        <w:r>
          <w:rPr>
            <w:noProof/>
            <w:webHidden/>
          </w:rPr>
          <w:fldChar w:fldCharType="separate"/>
        </w:r>
        <w:r>
          <w:rPr>
            <w:noProof/>
            <w:webHidden/>
          </w:rPr>
          <w:t>iii</w:t>
        </w:r>
        <w:r>
          <w:rPr>
            <w:noProof/>
            <w:webHidden/>
          </w:rPr>
          <w:fldChar w:fldCharType="end"/>
        </w:r>
      </w:hyperlink>
    </w:p>
    <w:p w:rsidR="000700C5" w:rsidRDefault="000700C5">
      <w:pPr>
        <w:pStyle w:val="TOC1"/>
        <w:tabs>
          <w:tab w:val="right" w:leader="dot" w:pos="9350"/>
        </w:tabs>
        <w:rPr>
          <w:rFonts w:asciiTheme="minorHAnsi" w:eastAsiaTheme="minorEastAsia" w:hAnsiTheme="minorHAnsi" w:cstheme="minorBidi"/>
          <w:noProof/>
          <w:szCs w:val="22"/>
        </w:rPr>
      </w:pPr>
      <w:hyperlink w:anchor="_Toc438469313" w:history="1">
        <w:r w:rsidRPr="00357F7C">
          <w:rPr>
            <w:rStyle w:val="Hyperlink"/>
            <w:noProof/>
          </w:rPr>
          <w:t>Table of Contents</w:t>
        </w:r>
        <w:r>
          <w:rPr>
            <w:noProof/>
            <w:webHidden/>
          </w:rPr>
          <w:tab/>
        </w:r>
        <w:r>
          <w:rPr>
            <w:noProof/>
            <w:webHidden/>
          </w:rPr>
          <w:fldChar w:fldCharType="begin"/>
        </w:r>
        <w:r>
          <w:rPr>
            <w:noProof/>
            <w:webHidden/>
          </w:rPr>
          <w:instrText xml:space="preserve"> PAGEREF _Toc438469313 \h </w:instrText>
        </w:r>
        <w:r>
          <w:rPr>
            <w:noProof/>
            <w:webHidden/>
          </w:rPr>
        </w:r>
        <w:r>
          <w:rPr>
            <w:noProof/>
            <w:webHidden/>
          </w:rPr>
          <w:fldChar w:fldCharType="separate"/>
        </w:r>
        <w:r>
          <w:rPr>
            <w:noProof/>
            <w:webHidden/>
          </w:rPr>
          <w:t>iv</w:t>
        </w:r>
        <w:r>
          <w:rPr>
            <w:noProof/>
            <w:webHidden/>
          </w:rPr>
          <w:fldChar w:fldCharType="end"/>
        </w:r>
      </w:hyperlink>
    </w:p>
    <w:p w:rsidR="000700C5" w:rsidRDefault="000700C5">
      <w:pPr>
        <w:pStyle w:val="TOC1"/>
        <w:tabs>
          <w:tab w:val="right" w:leader="dot" w:pos="9350"/>
        </w:tabs>
        <w:rPr>
          <w:rFonts w:asciiTheme="minorHAnsi" w:eastAsiaTheme="minorEastAsia" w:hAnsiTheme="minorHAnsi" w:cstheme="minorBidi"/>
          <w:noProof/>
          <w:szCs w:val="22"/>
        </w:rPr>
      </w:pPr>
      <w:hyperlink w:anchor="_Toc438469314" w:history="1">
        <w:r w:rsidRPr="00357F7C">
          <w:rPr>
            <w:rStyle w:val="Hyperlink"/>
            <w:noProof/>
          </w:rPr>
          <w:t>List of Tables</w:t>
        </w:r>
        <w:r>
          <w:rPr>
            <w:noProof/>
            <w:webHidden/>
          </w:rPr>
          <w:tab/>
        </w:r>
        <w:r>
          <w:rPr>
            <w:noProof/>
            <w:webHidden/>
          </w:rPr>
          <w:fldChar w:fldCharType="begin"/>
        </w:r>
        <w:r>
          <w:rPr>
            <w:noProof/>
            <w:webHidden/>
          </w:rPr>
          <w:instrText xml:space="preserve"> PAGEREF _Toc438469314 \h </w:instrText>
        </w:r>
        <w:r>
          <w:rPr>
            <w:noProof/>
            <w:webHidden/>
          </w:rPr>
        </w:r>
        <w:r>
          <w:rPr>
            <w:noProof/>
            <w:webHidden/>
          </w:rPr>
          <w:fldChar w:fldCharType="separate"/>
        </w:r>
        <w:r>
          <w:rPr>
            <w:noProof/>
            <w:webHidden/>
          </w:rPr>
          <w:t>iv</w:t>
        </w:r>
        <w:r>
          <w:rPr>
            <w:noProof/>
            <w:webHidden/>
          </w:rPr>
          <w:fldChar w:fldCharType="end"/>
        </w:r>
      </w:hyperlink>
    </w:p>
    <w:p w:rsidR="000700C5" w:rsidRDefault="000700C5">
      <w:pPr>
        <w:pStyle w:val="TOC1"/>
        <w:tabs>
          <w:tab w:val="right" w:leader="dot" w:pos="9350"/>
        </w:tabs>
        <w:rPr>
          <w:rFonts w:asciiTheme="minorHAnsi" w:eastAsiaTheme="minorEastAsia" w:hAnsiTheme="minorHAnsi" w:cstheme="minorBidi"/>
          <w:noProof/>
          <w:szCs w:val="22"/>
        </w:rPr>
      </w:pPr>
      <w:hyperlink w:anchor="_Toc438469315" w:history="1">
        <w:r w:rsidRPr="00357F7C">
          <w:rPr>
            <w:rStyle w:val="Hyperlink"/>
            <w:noProof/>
          </w:rPr>
          <w:t>Section 1. General Measure &amp; Baseline Data</w:t>
        </w:r>
        <w:r>
          <w:rPr>
            <w:noProof/>
            <w:webHidden/>
          </w:rPr>
          <w:tab/>
        </w:r>
        <w:r>
          <w:rPr>
            <w:noProof/>
            <w:webHidden/>
          </w:rPr>
          <w:fldChar w:fldCharType="begin"/>
        </w:r>
        <w:r>
          <w:rPr>
            <w:noProof/>
            <w:webHidden/>
          </w:rPr>
          <w:instrText xml:space="preserve"> PAGEREF _Toc438469315 \h </w:instrText>
        </w:r>
        <w:r>
          <w:rPr>
            <w:noProof/>
            <w:webHidden/>
          </w:rPr>
        </w:r>
        <w:r>
          <w:rPr>
            <w:noProof/>
            <w:webHidden/>
          </w:rPr>
          <w:fldChar w:fldCharType="separate"/>
        </w:r>
        <w:r>
          <w:rPr>
            <w:noProof/>
            <w:webHidden/>
          </w:rPr>
          <w:t>5</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16" w:history="1">
        <w:r w:rsidRPr="00357F7C">
          <w:rPr>
            <w:rStyle w:val="Hyperlink"/>
            <w:noProof/>
          </w:rPr>
          <w:t>1.1 Product Measure Description &amp; Background</w:t>
        </w:r>
        <w:r>
          <w:rPr>
            <w:noProof/>
            <w:webHidden/>
          </w:rPr>
          <w:tab/>
        </w:r>
        <w:r>
          <w:rPr>
            <w:noProof/>
            <w:webHidden/>
          </w:rPr>
          <w:fldChar w:fldCharType="begin"/>
        </w:r>
        <w:r>
          <w:rPr>
            <w:noProof/>
            <w:webHidden/>
          </w:rPr>
          <w:instrText xml:space="preserve"> PAGEREF _Toc438469316 \h </w:instrText>
        </w:r>
        <w:r>
          <w:rPr>
            <w:noProof/>
            <w:webHidden/>
          </w:rPr>
        </w:r>
        <w:r>
          <w:rPr>
            <w:noProof/>
            <w:webHidden/>
          </w:rPr>
          <w:fldChar w:fldCharType="separate"/>
        </w:r>
        <w:r>
          <w:rPr>
            <w:noProof/>
            <w:webHidden/>
          </w:rPr>
          <w:t>5</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17" w:history="1">
        <w:r w:rsidRPr="00357F7C">
          <w:rPr>
            <w:rStyle w:val="Hyperlink"/>
            <w:noProof/>
          </w:rPr>
          <w:t>1.3 Measure Application Type</w:t>
        </w:r>
        <w:r>
          <w:rPr>
            <w:noProof/>
            <w:webHidden/>
          </w:rPr>
          <w:tab/>
        </w:r>
        <w:r>
          <w:rPr>
            <w:noProof/>
            <w:webHidden/>
          </w:rPr>
          <w:fldChar w:fldCharType="begin"/>
        </w:r>
        <w:r>
          <w:rPr>
            <w:noProof/>
            <w:webHidden/>
          </w:rPr>
          <w:instrText xml:space="preserve"> PAGEREF _Toc438469317 \h </w:instrText>
        </w:r>
        <w:r>
          <w:rPr>
            <w:noProof/>
            <w:webHidden/>
          </w:rPr>
        </w:r>
        <w:r>
          <w:rPr>
            <w:noProof/>
            <w:webHidden/>
          </w:rPr>
          <w:fldChar w:fldCharType="separate"/>
        </w:r>
        <w:r>
          <w:rPr>
            <w:noProof/>
            <w:webHidden/>
          </w:rPr>
          <w:t>6</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18" w:history="1">
        <w:r w:rsidRPr="00357F7C">
          <w:rPr>
            <w:rStyle w:val="Hyperlink"/>
            <w:noProof/>
          </w:rPr>
          <w:t>1.4 Product Base Case and Measure Case Data</w:t>
        </w:r>
        <w:r>
          <w:rPr>
            <w:noProof/>
            <w:webHidden/>
          </w:rPr>
          <w:tab/>
        </w:r>
        <w:r>
          <w:rPr>
            <w:noProof/>
            <w:webHidden/>
          </w:rPr>
          <w:fldChar w:fldCharType="begin"/>
        </w:r>
        <w:r>
          <w:rPr>
            <w:noProof/>
            <w:webHidden/>
          </w:rPr>
          <w:instrText xml:space="preserve"> PAGEREF _Toc438469318 \h </w:instrText>
        </w:r>
        <w:r>
          <w:rPr>
            <w:noProof/>
            <w:webHidden/>
          </w:rPr>
        </w:r>
        <w:r>
          <w:rPr>
            <w:noProof/>
            <w:webHidden/>
          </w:rPr>
          <w:fldChar w:fldCharType="separate"/>
        </w:r>
        <w:r>
          <w:rPr>
            <w:noProof/>
            <w:webHidden/>
          </w:rPr>
          <w:t>6</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19" w:history="1">
        <w:r w:rsidRPr="00357F7C">
          <w:rPr>
            <w:rStyle w:val="Hyperlink"/>
            <w:noProof/>
          </w:rPr>
          <w:t>1.4.1 DEER Base Case and Measure Case Information</w:t>
        </w:r>
        <w:r>
          <w:rPr>
            <w:noProof/>
            <w:webHidden/>
          </w:rPr>
          <w:tab/>
        </w:r>
        <w:r>
          <w:rPr>
            <w:noProof/>
            <w:webHidden/>
          </w:rPr>
          <w:fldChar w:fldCharType="begin"/>
        </w:r>
        <w:r>
          <w:rPr>
            <w:noProof/>
            <w:webHidden/>
          </w:rPr>
          <w:instrText xml:space="preserve"> PAGEREF _Toc438469319 \h </w:instrText>
        </w:r>
        <w:r>
          <w:rPr>
            <w:noProof/>
            <w:webHidden/>
          </w:rPr>
        </w:r>
        <w:r>
          <w:rPr>
            <w:noProof/>
            <w:webHidden/>
          </w:rPr>
          <w:fldChar w:fldCharType="separate"/>
        </w:r>
        <w:r>
          <w:rPr>
            <w:noProof/>
            <w:webHidden/>
          </w:rPr>
          <w:t>6</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20" w:history="1">
        <w:r w:rsidRPr="00357F7C">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_Toc438469320 \h </w:instrText>
        </w:r>
        <w:r>
          <w:rPr>
            <w:noProof/>
            <w:webHidden/>
          </w:rPr>
        </w:r>
        <w:r>
          <w:rPr>
            <w:noProof/>
            <w:webHidden/>
          </w:rPr>
          <w:fldChar w:fldCharType="separate"/>
        </w:r>
        <w:r>
          <w:rPr>
            <w:noProof/>
            <w:webHidden/>
          </w:rPr>
          <w:t>8</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21" w:history="1">
        <w:r w:rsidRPr="00357F7C">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_Toc438469321 \h </w:instrText>
        </w:r>
        <w:r>
          <w:rPr>
            <w:noProof/>
            <w:webHidden/>
          </w:rPr>
        </w:r>
        <w:r>
          <w:rPr>
            <w:noProof/>
            <w:webHidden/>
          </w:rPr>
          <w:fldChar w:fldCharType="separate"/>
        </w:r>
        <w:r>
          <w:rPr>
            <w:noProof/>
            <w:webHidden/>
          </w:rPr>
          <w:t>8</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22" w:history="1">
        <w:r w:rsidRPr="00357F7C">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_Toc438469322 \h </w:instrText>
        </w:r>
        <w:r>
          <w:rPr>
            <w:noProof/>
            <w:webHidden/>
          </w:rPr>
        </w:r>
        <w:r>
          <w:rPr>
            <w:noProof/>
            <w:webHidden/>
          </w:rPr>
          <w:fldChar w:fldCharType="separate"/>
        </w:r>
        <w:r>
          <w:rPr>
            <w:noProof/>
            <w:webHidden/>
          </w:rPr>
          <w:t>8</w:t>
        </w:r>
        <w:r>
          <w:rPr>
            <w:noProof/>
            <w:webHidden/>
          </w:rPr>
          <w:fldChar w:fldCharType="end"/>
        </w:r>
      </w:hyperlink>
    </w:p>
    <w:p w:rsidR="000700C5" w:rsidRDefault="000700C5">
      <w:pPr>
        <w:pStyle w:val="TOC1"/>
        <w:tabs>
          <w:tab w:val="right" w:leader="dot" w:pos="9350"/>
        </w:tabs>
        <w:rPr>
          <w:rFonts w:asciiTheme="minorHAnsi" w:eastAsiaTheme="minorEastAsia" w:hAnsiTheme="minorHAnsi" w:cstheme="minorBidi"/>
          <w:noProof/>
          <w:szCs w:val="22"/>
        </w:rPr>
      </w:pPr>
      <w:hyperlink w:anchor="_Toc438469323" w:history="1">
        <w:r w:rsidRPr="00357F7C">
          <w:rPr>
            <w:rStyle w:val="Hyperlink"/>
            <w:noProof/>
          </w:rPr>
          <w:t>Section 2. Calculation Methods</w:t>
        </w:r>
        <w:r>
          <w:rPr>
            <w:noProof/>
            <w:webHidden/>
          </w:rPr>
          <w:tab/>
        </w:r>
        <w:r>
          <w:rPr>
            <w:noProof/>
            <w:webHidden/>
          </w:rPr>
          <w:fldChar w:fldCharType="begin"/>
        </w:r>
        <w:r>
          <w:rPr>
            <w:noProof/>
            <w:webHidden/>
          </w:rPr>
          <w:instrText xml:space="preserve"> PAGEREF _Toc438469323 \h </w:instrText>
        </w:r>
        <w:r>
          <w:rPr>
            <w:noProof/>
            <w:webHidden/>
          </w:rPr>
        </w:r>
        <w:r>
          <w:rPr>
            <w:noProof/>
            <w:webHidden/>
          </w:rPr>
          <w:fldChar w:fldCharType="separate"/>
        </w:r>
        <w:r>
          <w:rPr>
            <w:noProof/>
            <w:webHidden/>
          </w:rPr>
          <w:t>9</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24" w:history="1">
        <w:r w:rsidRPr="00357F7C">
          <w:rPr>
            <w:rStyle w:val="Hyperlink"/>
            <w:noProof/>
          </w:rPr>
          <w:t>2.1 Electric Energy Savings Estimation Methodologies</w:t>
        </w:r>
        <w:r>
          <w:rPr>
            <w:noProof/>
            <w:webHidden/>
          </w:rPr>
          <w:tab/>
        </w:r>
        <w:r>
          <w:rPr>
            <w:noProof/>
            <w:webHidden/>
          </w:rPr>
          <w:fldChar w:fldCharType="begin"/>
        </w:r>
        <w:r>
          <w:rPr>
            <w:noProof/>
            <w:webHidden/>
          </w:rPr>
          <w:instrText xml:space="preserve"> PAGEREF _Toc438469324 \h </w:instrText>
        </w:r>
        <w:r>
          <w:rPr>
            <w:noProof/>
            <w:webHidden/>
          </w:rPr>
        </w:r>
        <w:r>
          <w:rPr>
            <w:noProof/>
            <w:webHidden/>
          </w:rPr>
          <w:fldChar w:fldCharType="separate"/>
        </w:r>
        <w:r>
          <w:rPr>
            <w:noProof/>
            <w:webHidden/>
          </w:rPr>
          <w:t>9</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25" w:history="1">
        <w:r w:rsidRPr="00357F7C">
          <w:rPr>
            <w:rStyle w:val="Hyperlink"/>
            <w:noProof/>
          </w:rPr>
          <w:t>2.2. Demand Reduction Estimation Methodologies</w:t>
        </w:r>
        <w:r>
          <w:rPr>
            <w:noProof/>
            <w:webHidden/>
          </w:rPr>
          <w:tab/>
        </w:r>
        <w:r>
          <w:rPr>
            <w:noProof/>
            <w:webHidden/>
          </w:rPr>
          <w:fldChar w:fldCharType="begin"/>
        </w:r>
        <w:r>
          <w:rPr>
            <w:noProof/>
            <w:webHidden/>
          </w:rPr>
          <w:instrText xml:space="preserve"> PAGEREF _Toc438469325 \h </w:instrText>
        </w:r>
        <w:r>
          <w:rPr>
            <w:noProof/>
            <w:webHidden/>
          </w:rPr>
        </w:r>
        <w:r>
          <w:rPr>
            <w:noProof/>
            <w:webHidden/>
          </w:rPr>
          <w:fldChar w:fldCharType="separate"/>
        </w:r>
        <w:r>
          <w:rPr>
            <w:noProof/>
            <w:webHidden/>
          </w:rPr>
          <w:t>9</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26" w:history="1">
        <w:r w:rsidRPr="00357F7C">
          <w:rPr>
            <w:rStyle w:val="Hyperlink"/>
            <w:noProof/>
          </w:rPr>
          <w:t>2.3. Gas Energy Savings Estimation Methodologies</w:t>
        </w:r>
        <w:r>
          <w:rPr>
            <w:noProof/>
            <w:webHidden/>
          </w:rPr>
          <w:tab/>
        </w:r>
        <w:r>
          <w:rPr>
            <w:noProof/>
            <w:webHidden/>
          </w:rPr>
          <w:fldChar w:fldCharType="begin"/>
        </w:r>
        <w:r>
          <w:rPr>
            <w:noProof/>
            <w:webHidden/>
          </w:rPr>
          <w:instrText xml:space="preserve"> PAGEREF _Toc438469326 \h </w:instrText>
        </w:r>
        <w:r>
          <w:rPr>
            <w:noProof/>
            <w:webHidden/>
          </w:rPr>
        </w:r>
        <w:r>
          <w:rPr>
            <w:noProof/>
            <w:webHidden/>
          </w:rPr>
          <w:fldChar w:fldCharType="separate"/>
        </w:r>
        <w:r>
          <w:rPr>
            <w:noProof/>
            <w:webHidden/>
          </w:rPr>
          <w:t>9</w:t>
        </w:r>
        <w:r>
          <w:rPr>
            <w:noProof/>
            <w:webHidden/>
          </w:rPr>
          <w:fldChar w:fldCharType="end"/>
        </w:r>
      </w:hyperlink>
    </w:p>
    <w:p w:rsidR="000700C5" w:rsidRDefault="000700C5">
      <w:pPr>
        <w:pStyle w:val="TOC1"/>
        <w:tabs>
          <w:tab w:val="right" w:leader="dot" w:pos="9350"/>
        </w:tabs>
        <w:rPr>
          <w:rFonts w:asciiTheme="minorHAnsi" w:eastAsiaTheme="minorEastAsia" w:hAnsiTheme="minorHAnsi" w:cstheme="minorBidi"/>
          <w:noProof/>
          <w:szCs w:val="22"/>
        </w:rPr>
      </w:pPr>
      <w:hyperlink w:anchor="_Toc438469327" w:history="1">
        <w:r w:rsidRPr="00357F7C">
          <w:rPr>
            <w:rStyle w:val="Hyperlink"/>
            <w:noProof/>
          </w:rPr>
          <w:t>Section 3. Load Shapes</w:t>
        </w:r>
        <w:r>
          <w:rPr>
            <w:noProof/>
            <w:webHidden/>
          </w:rPr>
          <w:tab/>
        </w:r>
        <w:r>
          <w:rPr>
            <w:noProof/>
            <w:webHidden/>
          </w:rPr>
          <w:fldChar w:fldCharType="begin"/>
        </w:r>
        <w:r>
          <w:rPr>
            <w:noProof/>
            <w:webHidden/>
          </w:rPr>
          <w:instrText xml:space="preserve"> PAGEREF _Toc438469327 \h </w:instrText>
        </w:r>
        <w:r>
          <w:rPr>
            <w:noProof/>
            <w:webHidden/>
          </w:rPr>
        </w:r>
        <w:r>
          <w:rPr>
            <w:noProof/>
            <w:webHidden/>
          </w:rPr>
          <w:fldChar w:fldCharType="separate"/>
        </w:r>
        <w:r>
          <w:rPr>
            <w:noProof/>
            <w:webHidden/>
          </w:rPr>
          <w:t>10</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28" w:history="1">
        <w:r w:rsidRPr="00357F7C">
          <w:rPr>
            <w:rStyle w:val="Hyperlink"/>
            <w:noProof/>
          </w:rPr>
          <w:t>3.1 Base Case Load Shapes</w:t>
        </w:r>
        <w:r>
          <w:rPr>
            <w:noProof/>
            <w:webHidden/>
          </w:rPr>
          <w:tab/>
        </w:r>
        <w:r>
          <w:rPr>
            <w:noProof/>
            <w:webHidden/>
          </w:rPr>
          <w:fldChar w:fldCharType="begin"/>
        </w:r>
        <w:r>
          <w:rPr>
            <w:noProof/>
            <w:webHidden/>
          </w:rPr>
          <w:instrText xml:space="preserve"> PAGEREF _Toc438469328 \h </w:instrText>
        </w:r>
        <w:r>
          <w:rPr>
            <w:noProof/>
            <w:webHidden/>
          </w:rPr>
        </w:r>
        <w:r>
          <w:rPr>
            <w:noProof/>
            <w:webHidden/>
          </w:rPr>
          <w:fldChar w:fldCharType="separate"/>
        </w:r>
        <w:r>
          <w:rPr>
            <w:noProof/>
            <w:webHidden/>
          </w:rPr>
          <w:t>10</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29" w:history="1">
        <w:r w:rsidRPr="00357F7C">
          <w:rPr>
            <w:rStyle w:val="Hyperlink"/>
            <w:noProof/>
          </w:rPr>
          <w:t>3.2 Measure Load Shapes</w:t>
        </w:r>
        <w:r>
          <w:rPr>
            <w:noProof/>
            <w:webHidden/>
          </w:rPr>
          <w:tab/>
        </w:r>
        <w:r>
          <w:rPr>
            <w:noProof/>
            <w:webHidden/>
          </w:rPr>
          <w:fldChar w:fldCharType="begin"/>
        </w:r>
        <w:r>
          <w:rPr>
            <w:noProof/>
            <w:webHidden/>
          </w:rPr>
          <w:instrText xml:space="preserve"> PAGEREF _Toc438469329 \h </w:instrText>
        </w:r>
        <w:r>
          <w:rPr>
            <w:noProof/>
            <w:webHidden/>
          </w:rPr>
        </w:r>
        <w:r>
          <w:rPr>
            <w:noProof/>
            <w:webHidden/>
          </w:rPr>
          <w:fldChar w:fldCharType="separate"/>
        </w:r>
        <w:r>
          <w:rPr>
            <w:noProof/>
            <w:webHidden/>
          </w:rPr>
          <w:t>10</w:t>
        </w:r>
        <w:r>
          <w:rPr>
            <w:noProof/>
            <w:webHidden/>
          </w:rPr>
          <w:fldChar w:fldCharType="end"/>
        </w:r>
      </w:hyperlink>
    </w:p>
    <w:p w:rsidR="000700C5" w:rsidRDefault="000700C5">
      <w:pPr>
        <w:pStyle w:val="TOC1"/>
        <w:tabs>
          <w:tab w:val="right" w:leader="dot" w:pos="9350"/>
        </w:tabs>
        <w:rPr>
          <w:rFonts w:asciiTheme="minorHAnsi" w:eastAsiaTheme="minorEastAsia" w:hAnsiTheme="minorHAnsi" w:cstheme="minorBidi"/>
          <w:noProof/>
          <w:szCs w:val="22"/>
        </w:rPr>
      </w:pPr>
      <w:hyperlink w:anchor="_Toc438469330" w:history="1">
        <w:r w:rsidRPr="00357F7C">
          <w:rPr>
            <w:rStyle w:val="Hyperlink"/>
            <w:noProof/>
          </w:rPr>
          <w:t>Section 4. Base Case &amp; Measure Costs</w:t>
        </w:r>
        <w:r>
          <w:rPr>
            <w:noProof/>
            <w:webHidden/>
          </w:rPr>
          <w:tab/>
        </w:r>
        <w:r>
          <w:rPr>
            <w:noProof/>
            <w:webHidden/>
          </w:rPr>
          <w:fldChar w:fldCharType="begin"/>
        </w:r>
        <w:r>
          <w:rPr>
            <w:noProof/>
            <w:webHidden/>
          </w:rPr>
          <w:instrText xml:space="preserve"> PAGEREF _Toc438469330 \h </w:instrText>
        </w:r>
        <w:r>
          <w:rPr>
            <w:noProof/>
            <w:webHidden/>
          </w:rPr>
        </w:r>
        <w:r>
          <w:rPr>
            <w:noProof/>
            <w:webHidden/>
          </w:rPr>
          <w:fldChar w:fldCharType="separate"/>
        </w:r>
        <w:r>
          <w:rPr>
            <w:noProof/>
            <w:webHidden/>
          </w:rPr>
          <w:t>11</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31" w:history="1">
        <w:r w:rsidRPr="00357F7C">
          <w:rPr>
            <w:rStyle w:val="Hyperlink"/>
            <w:noProof/>
          </w:rPr>
          <w:t>4.1 Base Case(s) Costs</w:t>
        </w:r>
        <w:r>
          <w:rPr>
            <w:noProof/>
            <w:webHidden/>
          </w:rPr>
          <w:tab/>
        </w:r>
        <w:r>
          <w:rPr>
            <w:noProof/>
            <w:webHidden/>
          </w:rPr>
          <w:fldChar w:fldCharType="begin"/>
        </w:r>
        <w:r>
          <w:rPr>
            <w:noProof/>
            <w:webHidden/>
          </w:rPr>
          <w:instrText xml:space="preserve"> PAGEREF _Toc438469331 \h </w:instrText>
        </w:r>
        <w:r>
          <w:rPr>
            <w:noProof/>
            <w:webHidden/>
          </w:rPr>
        </w:r>
        <w:r>
          <w:rPr>
            <w:noProof/>
            <w:webHidden/>
          </w:rPr>
          <w:fldChar w:fldCharType="separate"/>
        </w:r>
        <w:r>
          <w:rPr>
            <w:noProof/>
            <w:webHidden/>
          </w:rPr>
          <w:t>11</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32" w:history="1">
        <w:r w:rsidRPr="00357F7C">
          <w:rPr>
            <w:rStyle w:val="Hyperlink"/>
            <w:noProof/>
          </w:rPr>
          <w:t>4.2 Measure Case Costs</w:t>
        </w:r>
        <w:r>
          <w:rPr>
            <w:noProof/>
            <w:webHidden/>
          </w:rPr>
          <w:tab/>
        </w:r>
        <w:r>
          <w:rPr>
            <w:noProof/>
            <w:webHidden/>
          </w:rPr>
          <w:fldChar w:fldCharType="begin"/>
        </w:r>
        <w:r>
          <w:rPr>
            <w:noProof/>
            <w:webHidden/>
          </w:rPr>
          <w:instrText xml:space="preserve"> PAGEREF _Toc438469332 \h </w:instrText>
        </w:r>
        <w:r>
          <w:rPr>
            <w:noProof/>
            <w:webHidden/>
          </w:rPr>
        </w:r>
        <w:r>
          <w:rPr>
            <w:noProof/>
            <w:webHidden/>
          </w:rPr>
          <w:fldChar w:fldCharType="separate"/>
        </w:r>
        <w:r>
          <w:rPr>
            <w:noProof/>
            <w:webHidden/>
          </w:rPr>
          <w:t>11</w:t>
        </w:r>
        <w:r>
          <w:rPr>
            <w:noProof/>
            <w:webHidden/>
          </w:rPr>
          <w:fldChar w:fldCharType="end"/>
        </w:r>
      </w:hyperlink>
    </w:p>
    <w:p w:rsidR="000700C5" w:rsidRDefault="000700C5">
      <w:pPr>
        <w:pStyle w:val="TOC2"/>
        <w:tabs>
          <w:tab w:val="right" w:leader="dot" w:pos="9350"/>
        </w:tabs>
        <w:rPr>
          <w:rFonts w:asciiTheme="minorHAnsi" w:eastAsiaTheme="minorEastAsia" w:hAnsiTheme="minorHAnsi" w:cstheme="minorBidi"/>
          <w:noProof/>
          <w:szCs w:val="22"/>
        </w:rPr>
      </w:pPr>
      <w:hyperlink w:anchor="_Toc438469333" w:history="1">
        <w:r w:rsidRPr="00357F7C">
          <w:rPr>
            <w:rStyle w:val="Hyperlink"/>
            <w:noProof/>
          </w:rPr>
          <w:t>4.3 Incremental &amp; Full Measure Costs</w:t>
        </w:r>
        <w:r>
          <w:rPr>
            <w:noProof/>
            <w:webHidden/>
          </w:rPr>
          <w:tab/>
        </w:r>
        <w:r>
          <w:rPr>
            <w:noProof/>
            <w:webHidden/>
          </w:rPr>
          <w:fldChar w:fldCharType="begin"/>
        </w:r>
        <w:r>
          <w:rPr>
            <w:noProof/>
            <w:webHidden/>
          </w:rPr>
          <w:instrText xml:space="preserve"> PAGEREF _Toc438469333 \h </w:instrText>
        </w:r>
        <w:r>
          <w:rPr>
            <w:noProof/>
            <w:webHidden/>
          </w:rPr>
        </w:r>
        <w:r>
          <w:rPr>
            <w:noProof/>
            <w:webHidden/>
          </w:rPr>
          <w:fldChar w:fldCharType="separate"/>
        </w:r>
        <w:r>
          <w:rPr>
            <w:noProof/>
            <w:webHidden/>
          </w:rPr>
          <w:t>11</w:t>
        </w:r>
        <w:r>
          <w:rPr>
            <w:noProof/>
            <w:webHidden/>
          </w:rPr>
          <w:fldChar w:fldCharType="end"/>
        </w:r>
      </w:hyperlink>
    </w:p>
    <w:p w:rsidR="000700C5" w:rsidRDefault="000700C5">
      <w:pPr>
        <w:pStyle w:val="TOC1"/>
        <w:tabs>
          <w:tab w:val="right" w:leader="dot" w:pos="9350"/>
        </w:tabs>
        <w:rPr>
          <w:rFonts w:asciiTheme="minorHAnsi" w:eastAsiaTheme="minorEastAsia" w:hAnsiTheme="minorHAnsi" w:cstheme="minorBidi"/>
          <w:noProof/>
          <w:szCs w:val="22"/>
        </w:rPr>
      </w:pPr>
      <w:hyperlink w:anchor="_Toc438469334" w:history="1">
        <w:r w:rsidRPr="00357F7C">
          <w:rPr>
            <w:rStyle w:val="Hyperlink"/>
            <w:noProof/>
          </w:rPr>
          <w:t>References</w:t>
        </w:r>
        <w:r>
          <w:rPr>
            <w:noProof/>
            <w:webHidden/>
          </w:rPr>
          <w:tab/>
        </w:r>
        <w:r>
          <w:rPr>
            <w:noProof/>
            <w:webHidden/>
          </w:rPr>
          <w:fldChar w:fldCharType="begin"/>
        </w:r>
        <w:r>
          <w:rPr>
            <w:noProof/>
            <w:webHidden/>
          </w:rPr>
          <w:instrText xml:space="preserve"> PAGEREF _Toc438469334 \h </w:instrText>
        </w:r>
        <w:r>
          <w:rPr>
            <w:noProof/>
            <w:webHidden/>
          </w:rPr>
        </w:r>
        <w:r>
          <w:rPr>
            <w:noProof/>
            <w:webHidden/>
          </w:rPr>
          <w:fldChar w:fldCharType="separate"/>
        </w:r>
        <w:r>
          <w:rPr>
            <w:noProof/>
            <w:webHidden/>
          </w:rPr>
          <w:t>12</w:t>
        </w:r>
        <w:r>
          <w:rPr>
            <w:noProof/>
            <w:webHidden/>
          </w:rPr>
          <w:fldChar w:fldCharType="end"/>
        </w:r>
      </w:hyperlink>
    </w:p>
    <w:p w:rsidR="001E4C31" w:rsidRDefault="001E4C31">
      <w:r>
        <w:rPr>
          <w:b/>
          <w:bCs/>
          <w:noProof/>
        </w:rPr>
        <w:fldChar w:fldCharType="end"/>
      </w:r>
    </w:p>
    <w:p w:rsidR="00ED21EE" w:rsidRDefault="00ED21EE" w:rsidP="00ED21EE">
      <w:pPr>
        <w:pStyle w:val="Heading1"/>
      </w:pPr>
      <w:bookmarkStart w:id="17" w:name="_Toc172205729"/>
      <w:bookmarkStart w:id="18" w:name="_Toc304800199"/>
      <w:bookmarkStart w:id="19" w:name="_Toc324318335"/>
      <w:bookmarkStart w:id="20" w:name="_Toc324340479"/>
      <w:bookmarkStart w:id="21" w:name="_Toc438469314"/>
      <w:r>
        <w:t>List of Tables</w:t>
      </w:r>
      <w:bookmarkEnd w:id="17"/>
      <w:bookmarkEnd w:id="18"/>
      <w:bookmarkEnd w:id="19"/>
      <w:bookmarkEnd w:id="20"/>
      <w:bookmarkEnd w:id="21"/>
    </w:p>
    <w:p w:rsidR="000700C5"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38469359" w:history="1">
        <w:r w:rsidR="000700C5" w:rsidRPr="007755A1">
          <w:rPr>
            <w:rStyle w:val="Hyperlink"/>
            <w:noProof/>
          </w:rPr>
          <w:t>Table 1 Ranges of maximum Lamp Wattage identified for replacement</w:t>
        </w:r>
        <w:r w:rsidR="000700C5">
          <w:rPr>
            <w:noProof/>
            <w:webHidden/>
          </w:rPr>
          <w:tab/>
        </w:r>
        <w:r w:rsidR="000700C5">
          <w:rPr>
            <w:noProof/>
            <w:webHidden/>
          </w:rPr>
          <w:fldChar w:fldCharType="begin"/>
        </w:r>
        <w:r w:rsidR="000700C5">
          <w:rPr>
            <w:noProof/>
            <w:webHidden/>
          </w:rPr>
          <w:instrText xml:space="preserve"> PAGEREF _Toc438469359 \h </w:instrText>
        </w:r>
        <w:r w:rsidR="000700C5">
          <w:rPr>
            <w:noProof/>
            <w:webHidden/>
          </w:rPr>
        </w:r>
        <w:r w:rsidR="000700C5">
          <w:rPr>
            <w:noProof/>
            <w:webHidden/>
          </w:rPr>
          <w:fldChar w:fldCharType="separate"/>
        </w:r>
        <w:r w:rsidR="000700C5">
          <w:rPr>
            <w:noProof/>
            <w:webHidden/>
          </w:rPr>
          <w:t>5</w:t>
        </w:r>
        <w:r w:rsidR="000700C5">
          <w:rPr>
            <w:noProof/>
            <w:webHidden/>
          </w:rPr>
          <w:fldChar w:fldCharType="end"/>
        </w:r>
      </w:hyperlink>
    </w:p>
    <w:p w:rsidR="000700C5" w:rsidRDefault="000700C5">
      <w:pPr>
        <w:pStyle w:val="TableofFigures"/>
        <w:tabs>
          <w:tab w:val="right" w:leader="dot" w:pos="9350"/>
        </w:tabs>
        <w:rPr>
          <w:rFonts w:asciiTheme="minorHAnsi" w:eastAsiaTheme="minorEastAsia" w:hAnsiTheme="minorHAnsi" w:cstheme="minorBidi"/>
          <w:noProof/>
          <w:szCs w:val="22"/>
        </w:rPr>
      </w:pPr>
      <w:hyperlink w:anchor="_Toc438469360" w:history="1">
        <w:r w:rsidRPr="007755A1">
          <w:rPr>
            <w:rStyle w:val="Hyperlink"/>
            <w:noProof/>
          </w:rPr>
          <w:t>Table 2 Delivery Method and Applicable Building Types</w:t>
        </w:r>
        <w:r>
          <w:rPr>
            <w:noProof/>
            <w:webHidden/>
          </w:rPr>
          <w:tab/>
        </w:r>
        <w:r>
          <w:rPr>
            <w:noProof/>
            <w:webHidden/>
          </w:rPr>
          <w:fldChar w:fldCharType="begin"/>
        </w:r>
        <w:r>
          <w:rPr>
            <w:noProof/>
            <w:webHidden/>
          </w:rPr>
          <w:instrText xml:space="preserve"> PAGEREF _Toc438469360 \h </w:instrText>
        </w:r>
        <w:r>
          <w:rPr>
            <w:noProof/>
            <w:webHidden/>
          </w:rPr>
        </w:r>
        <w:r>
          <w:rPr>
            <w:noProof/>
            <w:webHidden/>
          </w:rPr>
          <w:fldChar w:fldCharType="separate"/>
        </w:r>
        <w:r>
          <w:rPr>
            <w:noProof/>
            <w:webHidden/>
          </w:rPr>
          <w:t>6</w:t>
        </w:r>
        <w:r>
          <w:rPr>
            <w:noProof/>
            <w:webHidden/>
          </w:rPr>
          <w:fldChar w:fldCharType="end"/>
        </w:r>
      </w:hyperlink>
    </w:p>
    <w:p w:rsidR="000700C5" w:rsidRDefault="000700C5">
      <w:pPr>
        <w:pStyle w:val="TableofFigures"/>
        <w:tabs>
          <w:tab w:val="right" w:leader="dot" w:pos="9350"/>
        </w:tabs>
        <w:rPr>
          <w:rFonts w:asciiTheme="minorHAnsi" w:eastAsiaTheme="minorEastAsia" w:hAnsiTheme="minorHAnsi" w:cstheme="minorBidi"/>
          <w:noProof/>
          <w:szCs w:val="22"/>
        </w:rPr>
      </w:pPr>
      <w:hyperlink w:anchor="_Toc438469361" w:history="1">
        <w:r w:rsidRPr="007755A1">
          <w:rPr>
            <w:rStyle w:val="Hyperlink"/>
            <w:noProof/>
          </w:rPr>
          <w:t>Table 3</w:t>
        </w:r>
        <w:r w:rsidRPr="007755A1">
          <w:rPr>
            <w:rStyle w:val="Hyperlink"/>
            <w:rFonts w:ascii="Calibri" w:hAnsi="Calibri" w:cs="Calibri"/>
            <w:noProof/>
          </w:rPr>
          <w:t xml:space="preserve"> </w:t>
        </w:r>
        <w:r w:rsidRPr="007755A1">
          <w:rPr>
            <w:rStyle w:val="Hyperlink"/>
            <w:rFonts w:cs="Arial"/>
            <w:noProof/>
          </w:rPr>
          <w:t>Measure Application Type</w:t>
        </w:r>
        <w:r>
          <w:rPr>
            <w:noProof/>
            <w:webHidden/>
          </w:rPr>
          <w:tab/>
        </w:r>
        <w:r>
          <w:rPr>
            <w:noProof/>
            <w:webHidden/>
          </w:rPr>
          <w:fldChar w:fldCharType="begin"/>
        </w:r>
        <w:r>
          <w:rPr>
            <w:noProof/>
            <w:webHidden/>
          </w:rPr>
          <w:instrText xml:space="preserve"> PAGEREF _Toc438469361 \h </w:instrText>
        </w:r>
        <w:r>
          <w:rPr>
            <w:noProof/>
            <w:webHidden/>
          </w:rPr>
        </w:r>
        <w:r>
          <w:rPr>
            <w:noProof/>
            <w:webHidden/>
          </w:rPr>
          <w:fldChar w:fldCharType="separate"/>
        </w:r>
        <w:r>
          <w:rPr>
            <w:noProof/>
            <w:webHidden/>
          </w:rPr>
          <w:t>6</w:t>
        </w:r>
        <w:r>
          <w:rPr>
            <w:noProof/>
            <w:webHidden/>
          </w:rPr>
          <w:fldChar w:fldCharType="end"/>
        </w:r>
      </w:hyperlink>
    </w:p>
    <w:p w:rsidR="000700C5" w:rsidRDefault="000700C5">
      <w:pPr>
        <w:pStyle w:val="TableofFigures"/>
        <w:tabs>
          <w:tab w:val="right" w:leader="dot" w:pos="9350"/>
        </w:tabs>
        <w:rPr>
          <w:rFonts w:asciiTheme="minorHAnsi" w:eastAsiaTheme="minorEastAsia" w:hAnsiTheme="minorHAnsi" w:cstheme="minorBidi"/>
          <w:noProof/>
          <w:szCs w:val="22"/>
        </w:rPr>
      </w:pPr>
      <w:hyperlink w:anchor="_Toc438469362" w:history="1">
        <w:r w:rsidRPr="007755A1">
          <w:rPr>
            <w:rStyle w:val="Hyperlink"/>
            <w:noProof/>
          </w:rPr>
          <w:t>Table 4 DEER 2016 Base Case for Induction Lighting</w:t>
        </w:r>
        <w:r>
          <w:rPr>
            <w:noProof/>
            <w:webHidden/>
          </w:rPr>
          <w:tab/>
        </w:r>
        <w:r>
          <w:rPr>
            <w:noProof/>
            <w:webHidden/>
          </w:rPr>
          <w:fldChar w:fldCharType="begin"/>
        </w:r>
        <w:r>
          <w:rPr>
            <w:noProof/>
            <w:webHidden/>
          </w:rPr>
          <w:instrText xml:space="preserve"> PAGEREF _Toc438469362 \h </w:instrText>
        </w:r>
        <w:r>
          <w:rPr>
            <w:noProof/>
            <w:webHidden/>
          </w:rPr>
        </w:r>
        <w:r>
          <w:rPr>
            <w:noProof/>
            <w:webHidden/>
          </w:rPr>
          <w:fldChar w:fldCharType="separate"/>
        </w:r>
        <w:r>
          <w:rPr>
            <w:noProof/>
            <w:webHidden/>
          </w:rPr>
          <w:t>7</w:t>
        </w:r>
        <w:r>
          <w:rPr>
            <w:noProof/>
            <w:webHidden/>
          </w:rPr>
          <w:fldChar w:fldCharType="end"/>
        </w:r>
      </w:hyperlink>
    </w:p>
    <w:p w:rsidR="000700C5" w:rsidRDefault="000700C5">
      <w:pPr>
        <w:pStyle w:val="TableofFigures"/>
        <w:tabs>
          <w:tab w:val="right" w:leader="dot" w:pos="9350"/>
        </w:tabs>
        <w:rPr>
          <w:rFonts w:asciiTheme="minorHAnsi" w:eastAsiaTheme="minorEastAsia" w:hAnsiTheme="minorHAnsi" w:cstheme="minorBidi"/>
          <w:noProof/>
          <w:szCs w:val="22"/>
        </w:rPr>
      </w:pPr>
      <w:hyperlink w:anchor="_Toc438469363" w:history="1">
        <w:r w:rsidRPr="007755A1">
          <w:rPr>
            <w:rStyle w:val="Hyperlink"/>
            <w:rFonts w:cs="Arial"/>
            <w:noProof/>
          </w:rPr>
          <w:t>Table 5 DEER Net-to-Gross Ratios</w:t>
        </w:r>
        <w:r>
          <w:rPr>
            <w:noProof/>
            <w:webHidden/>
          </w:rPr>
          <w:tab/>
        </w:r>
        <w:r>
          <w:rPr>
            <w:noProof/>
            <w:webHidden/>
          </w:rPr>
          <w:fldChar w:fldCharType="begin"/>
        </w:r>
        <w:r>
          <w:rPr>
            <w:noProof/>
            <w:webHidden/>
          </w:rPr>
          <w:instrText xml:space="preserve"> PAGEREF _Toc438469363 \h </w:instrText>
        </w:r>
        <w:r>
          <w:rPr>
            <w:noProof/>
            <w:webHidden/>
          </w:rPr>
        </w:r>
        <w:r>
          <w:rPr>
            <w:noProof/>
            <w:webHidden/>
          </w:rPr>
          <w:fldChar w:fldCharType="separate"/>
        </w:r>
        <w:r>
          <w:rPr>
            <w:noProof/>
            <w:webHidden/>
          </w:rPr>
          <w:t>7</w:t>
        </w:r>
        <w:r>
          <w:rPr>
            <w:noProof/>
            <w:webHidden/>
          </w:rPr>
          <w:fldChar w:fldCharType="end"/>
        </w:r>
      </w:hyperlink>
    </w:p>
    <w:p w:rsidR="000700C5" w:rsidRDefault="000700C5">
      <w:pPr>
        <w:pStyle w:val="TableofFigures"/>
        <w:tabs>
          <w:tab w:val="right" w:leader="dot" w:pos="9350"/>
        </w:tabs>
        <w:rPr>
          <w:rFonts w:asciiTheme="minorHAnsi" w:eastAsiaTheme="minorEastAsia" w:hAnsiTheme="minorHAnsi" w:cstheme="minorBidi"/>
          <w:noProof/>
          <w:szCs w:val="22"/>
        </w:rPr>
      </w:pPr>
      <w:hyperlink w:anchor="_Toc438469364" w:history="1">
        <w:r w:rsidRPr="007755A1">
          <w:rPr>
            <w:rStyle w:val="Hyperlink"/>
            <w:noProof/>
          </w:rPr>
          <w:t>Table 6 Installation Rate</w:t>
        </w:r>
        <w:r>
          <w:rPr>
            <w:noProof/>
            <w:webHidden/>
          </w:rPr>
          <w:tab/>
        </w:r>
        <w:r>
          <w:rPr>
            <w:noProof/>
            <w:webHidden/>
          </w:rPr>
          <w:fldChar w:fldCharType="begin"/>
        </w:r>
        <w:r>
          <w:rPr>
            <w:noProof/>
            <w:webHidden/>
          </w:rPr>
          <w:instrText xml:space="preserve"> PAGEREF _Toc438469364 \h </w:instrText>
        </w:r>
        <w:r>
          <w:rPr>
            <w:noProof/>
            <w:webHidden/>
          </w:rPr>
        </w:r>
        <w:r>
          <w:rPr>
            <w:noProof/>
            <w:webHidden/>
          </w:rPr>
          <w:fldChar w:fldCharType="separate"/>
        </w:r>
        <w:r>
          <w:rPr>
            <w:noProof/>
            <w:webHidden/>
          </w:rPr>
          <w:t>7</w:t>
        </w:r>
        <w:r>
          <w:rPr>
            <w:noProof/>
            <w:webHidden/>
          </w:rPr>
          <w:fldChar w:fldCharType="end"/>
        </w:r>
      </w:hyperlink>
    </w:p>
    <w:p w:rsidR="000700C5" w:rsidRDefault="000700C5">
      <w:pPr>
        <w:pStyle w:val="TableofFigures"/>
        <w:tabs>
          <w:tab w:val="right" w:leader="dot" w:pos="9350"/>
        </w:tabs>
        <w:rPr>
          <w:rFonts w:asciiTheme="minorHAnsi" w:eastAsiaTheme="minorEastAsia" w:hAnsiTheme="minorHAnsi" w:cstheme="minorBidi"/>
          <w:noProof/>
          <w:szCs w:val="22"/>
        </w:rPr>
      </w:pPr>
      <w:hyperlink w:anchor="_Toc438469365" w:history="1">
        <w:r w:rsidRPr="007755A1">
          <w:rPr>
            <w:rStyle w:val="Hyperlink"/>
            <w:noProof/>
          </w:rPr>
          <w:t>Table 7 Effective and Remaining Useful Life</w:t>
        </w:r>
        <w:r>
          <w:rPr>
            <w:noProof/>
            <w:webHidden/>
          </w:rPr>
          <w:tab/>
        </w:r>
        <w:r>
          <w:rPr>
            <w:noProof/>
            <w:webHidden/>
          </w:rPr>
          <w:fldChar w:fldCharType="begin"/>
        </w:r>
        <w:r>
          <w:rPr>
            <w:noProof/>
            <w:webHidden/>
          </w:rPr>
          <w:instrText xml:space="preserve"> PAGEREF _Toc438469365 \h </w:instrText>
        </w:r>
        <w:r>
          <w:rPr>
            <w:noProof/>
            <w:webHidden/>
          </w:rPr>
        </w:r>
        <w:r>
          <w:rPr>
            <w:noProof/>
            <w:webHidden/>
          </w:rPr>
          <w:fldChar w:fldCharType="separate"/>
        </w:r>
        <w:r>
          <w:rPr>
            <w:noProof/>
            <w:webHidden/>
          </w:rPr>
          <w:t>8</w:t>
        </w:r>
        <w:r>
          <w:rPr>
            <w:noProof/>
            <w:webHidden/>
          </w:rPr>
          <w:fldChar w:fldCharType="end"/>
        </w:r>
      </w:hyperlink>
    </w:p>
    <w:p w:rsidR="000700C5" w:rsidRDefault="000700C5">
      <w:pPr>
        <w:pStyle w:val="TableofFigures"/>
        <w:tabs>
          <w:tab w:val="right" w:leader="dot" w:pos="9350"/>
        </w:tabs>
        <w:rPr>
          <w:rFonts w:asciiTheme="minorHAnsi" w:eastAsiaTheme="minorEastAsia" w:hAnsiTheme="minorHAnsi" w:cstheme="minorBidi"/>
          <w:noProof/>
          <w:szCs w:val="22"/>
        </w:rPr>
      </w:pPr>
      <w:hyperlink w:anchor="_Toc438469366" w:history="1">
        <w:r w:rsidRPr="007755A1">
          <w:rPr>
            <w:rStyle w:val="Hyperlink"/>
            <w:noProof/>
          </w:rPr>
          <w:t>Table 8 Building Types and Load Shapes</w:t>
        </w:r>
        <w:r>
          <w:rPr>
            <w:noProof/>
            <w:webHidden/>
          </w:rPr>
          <w:tab/>
        </w:r>
        <w:r>
          <w:rPr>
            <w:noProof/>
            <w:webHidden/>
          </w:rPr>
          <w:fldChar w:fldCharType="begin"/>
        </w:r>
        <w:r>
          <w:rPr>
            <w:noProof/>
            <w:webHidden/>
          </w:rPr>
          <w:instrText xml:space="preserve"> PAGEREF _Toc438469366 \h </w:instrText>
        </w:r>
        <w:r>
          <w:rPr>
            <w:noProof/>
            <w:webHidden/>
          </w:rPr>
        </w:r>
        <w:r>
          <w:rPr>
            <w:noProof/>
            <w:webHidden/>
          </w:rPr>
          <w:fldChar w:fldCharType="separate"/>
        </w:r>
        <w:r>
          <w:rPr>
            <w:noProof/>
            <w:webHidden/>
          </w:rPr>
          <w:t>10</w:t>
        </w:r>
        <w:r>
          <w:rPr>
            <w:noProof/>
            <w:webHidden/>
          </w:rPr>
          <w:fldChar w:fldCharType="end"/>
        </w:r>
      </w:hyperlink>
    </w:p>
    <w:p w:rsidR="000700C5" w:rsidRDefault="000700C5">
      <w:pPr>
        <w:pStyle w:val="TableofFigures"/>
        <w:tabs>
          <w:tab w:val="right" w:leader="dot" w:pos="9350"/>
        </w:tabs>
        <w:rPr>
          <w:rFonts w:asciiTheme="minorHAnsi" w:eastAsiaTheme="minorEastAsia" w:hAnsiTheme="minorHAnsi" w:cstheme="minorBidi"/>
          <w:noProof/>
          <w:szCs w:val="22"/>
        </w:rPr>
      </w:pPr>
      <w:hyperlink w:anchor="_Toc438469367" w:history="1">
        <w:r w:rsidRPr="007755A1">
          <w:rPr>
            <w:rStyle w:val="Hyperlink"/>
            <w:noProof/>
          </w:rPr>
          <w:t>Table 9 Full and Incremental Measure Cost Equations</w:t>
        </w:r>
        <w:r>
          <w:rPr>
            <w:noProof/>
            <w:webHidden/>
          </w:rPr>
          <w:tab/>
        </w:r>
        <w:r>
          <w:rPr>
            <w:noProof/>
            <w:webHidden/>
          </w:rPr>
          <w:fldChar w:fldCharType="begin"/>
        </w:r>
        <w:r>
          <w:rPr>
            <w:noProof/>
            <w:webHidden/>
          </w:rPr>
          <w:instrText xml:space="preserve"> PAGEREF _Toc438469367 \h </w:instrText>
        </w:r>
        <w:r>
          <w:rPr>
            <w:noProof/>
            <w:webHidden/>
          </w:rPr>
        </w:r>
        <w:r>
          <w:rPr>
            <w:noProof/>
            <w:webHidden/>
          </w:rPr>
          <w:fldChar w:fldCharType="separate"/>
        </w:r>
        <w:r>
          <w:rPr>
            <w:noProof/>
            <w:webHidden/>
          </w:rPr>
          <w:t>11</w:t>
        </w:r>
        <w:r>
          <w:rPr>
            <w:noProof/>
            <w:webHidden/>
          </w:rPr>
          <w:fldChar w:fldCharType="end"/>
        </w:r>
      </w:hyperlink>
    </w:p>
    <w:p w:rsidR="005A1F9D" w:rsidRDefault="00ED21EE" w:rsidP="005A1F9D">
      <w:r>
        <w:fldChar w:fldCharType="end"/>
      </w:r>
      <w:r w:rsidR="005A1F9D" w:rsidRPr="005A1F9D">
        <w:t xml:space="preserve"> </w:t>
      </w:r>
    </w:p>
    <w:p w:rsidR="00056348" w:rsidRDefault="00056348" w:rsidP="00D6289A">
      <w:pPr>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2" w:name="_Toc304800201"/>
      <w:bookmarkStart w:id="23" w:name="_Toc324318337"/>
      <w:bookmarkStart w:id="24" w:name="_Toc324340481"/>
      <w:bookmarkStart w:id="25" w:name="_Toc172205732"/>
    </w:p>
    <w:p w:rsidR="00ED21EE" w:rsidRDefault="00ED21EE" w:rsidP="00ED21EE">
      <w:pPr>
        <w:pStyle w:val="Heading1"/>
      </w:pPr>
      <w:bookmarkStart w:id="26" w:name="_Toc438469315"/>
      <w:proofErr w:type="gramStart"/>
      <w:r>
        <w:lastRenderedPageBreak/>
        <w:t>Section</w:t>
      </w:r>
      <w:r w:rsidR="00B53C86">
        <w:t xml:space="preserve"> </w:t>
      </w:r>
      <w:r>
        <w:t>1.</w:t>
      </w:r>
      <w:proofErr w:type="gramEnd"/>
      <w:r>
        <w:t xml:space="preserve"> General Measure &amp; Baseline Data</w:t>
      </w:r>
      <w:bookmarkEnd w:id="22"/>
      <w:bookmarkEnd w:id="23"/>
      <w:bookmarkEnd w:id="24"/>
      <w:bookmarkEnd w:id="26"/>
    </w:p>
    <w:p w:rsidR="00E71EF1" w:rsidRDefault="001248A3" w:rsidP="001248A3">
      <w:pPr>
        <w:pStyle w:val="Heading2"/>
      </w:pPr>
      <w:bookmarkStart w:id="27" w:name="_Toc304800202"/>
      <w:bookmarkStart w:id="28" w:name="_Toc324318338"/>
      <w:bookmarkStart w:id="29" w:name="_Toc324340482"/>
      <w:bookmarkStart w:id="30" w:name="_Toc438469316"/>
      <w:bookmarkEnd w:id="25"/>
      <w:r>
        <w:t xml:space="preserve">1.1 </w:t>
      </w:r>
      <w:r w:rsidR="008C6AD1">
        <w:t xml:space="preserve">Product </w:t>
      </w:r>
      <w:r w:rsidR="00E71EF1" w:rsidRPr="001248A3">
        <w:t>Measure Description &amp; Background</w:t>
      </w:r>
      <w:bookmarkEnd w:id="27"/>
      <w:bookmarkEnd w:id="28"/>
      <w:bookmarkEnd w:id="29"/>
      <w:bookmarkEnd w:id="30"/>
    </w:p>
    <w:p w:rsidR="00521920" w:rsidRDefault="00521920" w:rsidP="00B75791">
      <w:pPr>
        <w:rPr>
          <w:sz w:val="20"/>
        </w:rPr>
      </w:pPr>
      <w:r w:rsidRPr="00521920">
        <w:rPr>
          <w:rFonts w:cs="Arial"/>
          <w:b/>
          <w:i/>
        </w:rPr>
        <w:t>Catalog Description</w:t>
      </w:r>
      <w:r w:rsidR="00E840FE">
        <w:rPr>
          <w:rFonts w:cs="Arial"/>
          <w:b/>
          <w:i/>
        </w:rPr>
        <w:t xml:space="preserve"> – </w:t>
      </w:r>
      <w:r w:rsidR="00B75791" w:rsidRPr="002A5729">
        <w:rPr>
          <w:sz w:val="20"/>
        </w:rPr>
        <w:t>Energy savings can be achieved by replacing existing Standard Metal Halide, Incandescent, Mercury Vapor, or High Pressure So</w:t>
      </w:r>
      <w:r w:rsidR="003B4730">
        <w:rPr>
          <w:sz w:val="20"/>
        </w:rPr>
        <w:t>dium fixtures with appropriate i</w:t>
      </w:r>
      <w:r w:rsidR="00B75791" w:rsidRPr="002A5729">
        <w:rPr>
          <w:sz w:val="20"/>
        </w:rPr>
        <w:t xml:space="preserve">nduction fixtures.  The base case for this measure is a </w:t>
      </w:r>
      <w:r w:rsidR="003B4730">
        <w:rPr>
          <w:sz w:val="20"/>
        </w:rPr>
        <w:t>Pulse Start/</w:t>
      </w:r>
      <w:r w:rsidR="00B75791" w:rsidRPr="002A5729">
        <w:rPr>
          <w:sz w:val="20"/>
        </w:rPr>
        <w:t>Standard Metal Halide fixture. Savings for each Wattage Range listed in the table below are based on the Induction fixture that will achieve similar light output as the base case fixture. Induction fixtures must have a maximum wattage as stipulated in Table-1 and less than the fixture being replaced and must be hardwired.</w:t>
      </w:r>
    </w:p>
    <w:p w:rsidR="00F65077" w:rsidRPr="00A562A6" w:rsidRDefault="00F65077" w:rsidP="00B75791">
      <w:pPr>
        <w:rPr>
          <w:rFonts w:cs="Arial"/>
          <w:b/>
          <w:i/>
          <w:sz w:val="20"/>
          <w:szCs w:val="20"/>
        </w:rPr>
      </w:pPr>
    </w:p>
    <w:p w:rsidR="00D6289A" w:rsidRDefault="00521920" w:rsidP="00D6289A">
      <w:pPr>
        <w:rPr>
          <w:rFonts w:cs="Arial"/>
          <w:b/>
          <w:i/>
        </w:rPr>
      </w:pPr>
      <w:r>
        <w:rPr>
          <w:rFonts w:cs="Arial"/>
          <w:b/>
          <w:i/>
        </w:rPr>
        <w:t>Program Restrictions and Guidelines</w:t>
      </w:r>
    </w:p>
    <w:p w:rsidR="00D75CD4" w:rsidRPr="00D6289A" w:rsidRDefault="00D75CD4" w:rsidP="00D6289A">
      <w:pPr>
        <w:rPr>
          <w:rFonts w:cs="Arial"/>
          <w:b/>
          <w:i/>
        </w:rPr>
      </w:pPr>
      <w:r w:rsidRPr="002A5729">
        <w:rPr>
          <w:rFonts w:cs="Arial"/>
          <w:b/>
          <w:sz w:val="20"/>
        </w:rPr>
        <w:t>Requirements:</w:t>
      </w:r>
    </w:p>
    <w:p w:rsidR="00D75CD4" w:rsidRPr="002A5729" w:rsidRDefault="00D75CD4" w:rsidP="00D75CD4">
      <w:pPr>
        <w:pStyle w:val="NormalWeb"/>
        <w:spacing w:before="0" w:beforeAutospacing="0" w:after="0" w:afterAutospacing="0"/>
        <w:ind w:left="144" w:hanging="144"/>
        <w:rPr>
          <w:rFonts w:cs="Arial"/>
          <w:sz w:val="20"/>
        </w:rPr>
      </w:pPr>
      <w:r w:rsidRPr="002A5729">
        <w:rPr>
          <w:rFonts w:cs="Arial"/>
          <w:sz w:val="20"/>
        </w:rPr>
        <w:t>• Only complete, new induction fixtures or retrofit kits.</w:t>
      </w:r>
    </w:p>
    <w:p w:rsidR="00D75CD4" w:rsidRPr="002A5729" w:rsidRDefault="00D75CD4" w:rsidP="00D75CD4">
      <w:pPr>
        <w:pStyle w:val="NormalWeb"/>
        <w:spacing w:before="120" w:beforeAutospacing="0" w:after="0" w:afterAutospacing="0"/>
        <w:ind w:left="144" w:hanging="144"/>
        <w:rPr>
          <w:rFonts w:cs="Arial"/>
          <w:sz w:val="20"/>
        </w:rPr>
      </w:pPr>
      <w:r w:rsidRPr="002A5729">
        <w:rPr>
          <w:rFonts w:cs="Arial"/>
          <w:sz w:val="20"/>
        </w:rPr>
        <w:t>• New fixtures must not exceed the maximum “New Lamp Wattage” listed in Table 1 for each lamp being replaced. New lamp wattage is the total lamp only wattage.</w:t>
      </w:r>
    </w:p>
    <w:p w:rsidR="00D75CD4" w:rsidRPr="002A5729" w:rsidRDefault="00D75CD4" w:rsidP="00D75CD4">
      <w:pPr>
        <w:pStyle w:val="NormalWeb"/>
        <w:spacing w:before="120" w:beforeAutospacing="0" w:after="0" w:afterAutospacing="0"/>
        <w:ind w:left="144" w:hanging="144"/>
        <w:rPr>
          <w:rFonts w:cs="Arial"/>
          <w:sz w:val="20"/>
        </w:rPr>
      </w:pPr>
      <w:r w:rsidRPr="002A5729">
        <w:rPr>
          <w:rFonts w:cs="Arial"/>
          <w:sz w:val="20"/>
        </w:rPr>
        <w:t>• Rebates are based on a one-for-one replacement of incandescent or high intensity discharge (HID) lamps including, mercury vapor, high pressure sodium, and standard metal halide or pulse start metal halide. Existing lamp wattage is used rather than total fixture wattage (i.e. a 250 Watt high pressure sodium fixture is a 250 Watt base case and qualifies under the L1025 rebate code).</w:t>
      </w:r>
    </w:p>
    <w:p w:rsidR="00D75CD4" w:rsidRPr="002A5729" w:rsidRDefault="00D75CD4" w:rsidP="00D75CD4">
      <w:pPr>
        <w:pStyle w:val="NormalWeb"/>
        <w:spacing w:before="120" w:beforeAutospacing="0" w:after="0" w:afterAutospacing="0"/>
        <w:ind w:left="144" w:hanging="144"/>
        <w:rPr>
          <w:rFonts w:cs="Arial"/>
          <w:sz w:val="20"/>
        </w:rPr>
      </w:pPr>
      <w:r w:rsidRPr="002A5729">
        <w:rPr>
          <w:rFonts w:cs="Arial"/>
          <w:sz w:val="20"/>
        </w:rPr>
        <w:t>• Any wattage incandescent lamp ≥ 60 Watts may be replaced by complete new interior induction fixtures.</w:t>
      </w:r>
    </w:p>
    <w:p w:rsidR="00D75CD4" w:rsidRPr="002A5729" w:rsidRDefault="00D75CD4" w:rsidP="00D75CD4">
      <w:pPr>
        <w:pStyle w:val="NormalWeb"/>
        <w:spacing w:before="120" w:beforeAutospacing="0" w:after="0" w:afterAutospacing="0"/>
        <w:ind w:left="720" w:right="720" w:hanging="144"/>
        <w:rPr>
          <w:rFonts w:cs="Arial"/>
          <w:sz w:val="20"/>
        </w:rPr>
      </w:pPr>
      <w:r w:rsidRPr="002A5729">
        <w:rPr>
          <w:rFonts w:cs="Arial"/>
          <w:sz w:val="20"/>
        </w:rPr>
        <w:t>– To calculate the base case wattage for incandescent fixtures with more than one lamp, multiply number of lamps by nominal lamp wattage as listed on lamp label.</w:t>
      </w:r>
    </w:p>
    <w:p w:rsidR="00D75CD4" w:rsidRPr="002A5729" w:rsidRDefault="00D75CD4" w:rsidP="00D75CD4">
      <w:pPr>
        <w:pStyle w:val="NormalWeb"/>
        <w:spacing w:before="120" w:beforeAutospacing="0" w:after="0" w:afterAutospacing="0"/>
        <w:ind w:left="144" w:hanging="144"/>
        <w:rPr>
          <w:rFonts w:cs="Arial"/>
          <w:sz w:val="20"/>
        </w:rPr>
      </w:pPr>
      <w:r w:rsidRPr="002A5729">
        <w:rPr>
          <w:rFonts w:cs="Arial"/>
          <w:sz w:val="20"/>
        </w:rPr>
        <w:t>• In all cases, the wattage of the replacement fixture must be less than the wattage of the existing lamp.</w:t>
      </w:r>
    </w:p>
    <w:p w:rsidR="00D75CD4" w:rsidRPr="000700C5" w:rsidRDefault="00D75CD4" w:rsidP="00D75CD4">
      <w:pPr>
        <w:pStyle w:val="NormalWeb"/>
        <w:spacing w:before="120" w:beforeAutospacing="0" w:after="0" w:afterAutospacing="0"/>
        <w:ind w:left="144" w:hanging="144"/>
        <w:rPr>
          <w:rFonts w:cs="Arial"/>
          <w:sz w:val="20"/>
        </w:rPr>
      </w:pPr>
      <w:r w:rsidRPr="000700C5">
        <w:rPr>
          <w:rFonts w:cs="Arial"/>
          <w:sz w:val="20"/>
        </w:rPr>
        <w:t>• May qualify for an additional control(s) rebate through the “Occupancy Sensors” category, pr</w:t>
      </w:r>
      <w:r w:rsidR="000700C5" w:rsidRPr="000700C5">
        <w:rPr>
          <w:rFonts w:cs="Arial"/>
          <w:sz w:val="20"/>
        </w:rPr>
        <w:t>ovided all requirements are met and are not mandatory per Title 24.</w:t>
      </w:r>
    </w:p>
    <w:p w:rsidR="00D75CD4" w:rsidRPr="002A5729" w:rsidRDefault="00D75CD4" w:rsidP="00D75CD4">
      <w:pPr>
        <w:pStyle w:val="NormalWeb"/>
        <w:spacing w:before="120" w:beforeAutospacing="0" w:after="0" w:afterAutospacing="0"/>
        <w:ind w:left="720" w:hanging="144"/>
        <w:rPr>
          <w:rFonts w:cs="Arial"/>
          <w:sz w:val="20"/>
        </w:rPr>
      </w:pPr>
      <w:r w:rsidRPr="000700C5">
        <w:rPr>
          <w:rFonts w:cs="Arial"/>
          <w:sz w:val="20"/>
        </w:rPr>
        <w:t>– Example: Interior induction fixture plus integrated sensor</w:t>
      </w:r>
      <w:r w:rsidRPr="002A5729">
        <w:rPr>
          <w:rFonts w:cs="Arial"/>
          <w:sz w:val="20"/>
        </w:rPr>
        <w:t xml:space="preserve"> </w:t>
      </w:r>
    </w:p>
    <w:p w:rsidR="00D75CD4" w:rsidRPr="002A5729" w:rsidRDefault="00D75CD4" w:rsidP="00D75CD4">
      <w:pPr>
        <w:pStyle w:val="NormalWeb"/>
        <w:spacing w:before="120" w:beforeAutospacing="0" w:after="0" w:afterAutospacing="0"/>
        <w:rPr>
          <w:rFonts w:cs="Arial"/>
          <w:b/>
          <w:sz w:val="20"/>
        </w:rPr>
      </w:pPr>
      <w:r w:rsidRPr="002A5729">
        <w:rPr>
          <w:rFonts w:cs="Arial"/>
          <w:b/>
          <w:sz w:val="20"/>
        </w:rPr>
        <w:t>Exclusions:</w:t>
      </w:r>
    </w:p>
    <w:p w:rsidR="00D75CD4" w:rsidRPr="002A5729" w:rsidRDefault="00D75CD4" w:rsidP="00D75CD4">
      <w:pPr>
        <w:pStyle w:val="NormalWeb"/>
        <w:spacing w:before="0" w:beforeAutospacing="0" w:after="0" w:afterAutospacing="0"/>
        <w:ind w:left="144" w:hanging="144"/>
        <w:rPr>
          <w:rFonts w:cs="Arial"/>
          <w:sz w:val="20"/>
        </w:rPr>
      </w:pPr>
      <w:r w:rsidRPr="002A5729">
        <w:rPr>
          <w:rFonts w:cs="Arial"/>
          <w:sz w:val="20"/>
        </w:rPr>
        <w:t>• Exterior installations and applications are typically operating during non-peak hours and therefore do not qualify under this interior fixture category.</w:t>
      </w:r>
    </w:p>
    <w:p w:rsidR="00D75CD4" w:rsidRDefault="00D75CD4" w:rsidP="00D75CD4">
      <w:pPr>
        <w:pStyle w:val="NormalWeb"/>
        <w:spacing w:before="120" w:beforeAutospacing="0" w:after="0" w:afterAutospacing="0"/>
        <w:ind w:left="144" w:hanging="144"/>
        <w:rPr>
          <w:rFonts w:cs="Arial"/>
          <w:sz w:val="20"/>
        </w:rPr>
      </w:pPr>
      <w:r w:rsidRPr="002A5729">
        <w:rPr>
          <w:rFonts w:cs="Arial"/>
          <w:sz w:val="20"/>
        </w:rPr>
        <w:t>• Other fixture configurations may be considered under our Customized Retrofit Incentive Program.</w:t>
      </w:r>
    </w:p>
    <w:p w:rsidR="00BF1506" w:rsidRDefault="00BF1506" w:rsidP="00914379">
      <w:pPr>
        <w:pStyle w:val="Caption"/>
        <w:keepNext/>
        <w:jc w:val="center"/>
        <w:rPr>
          <w:szCs w:val="24"/>
        </w:rPr>
      </w:pPr>
      <w:bookmarkStart w:id="31" w:name="_Ref190080013"/>
      <w:bookmarkStart w:id="32" w:name="_Toc333927122"/>
    </w:p>
    <w:p w:rsidR="00914379" w:rsidRPr="00914379" w:rsidRDefault="00914379" w:rsidP="00914379">
      <w:pPr>
        <w:pStyle w:val="Caption"/>
        <w:keepNext/>
        <w:jc w:val="center"/>
        <w:rPr>
          <w:szCs w:val="24"/>
        </w:rPr>
      </w:pPr>
      <w:bookmarkStart w:id="33" w:name="_Toc438469359"/>
      <w:r w:rsidRPr="00914379">
        <w:rPr>
          <w:szCs w:val="24"/>
        </w:rPr>
        <w:t xml:space="preserve">Table </w:t>
      </w:r>
      <w:r w:rsidRPr="00914379">
        <w:rPr>
          <w:szCs w:val="24"/>
        </w:rPr>
        <w:fldChar w:fldCharType="begin"/>
      </w:r>
      <w:r w:rsidRPr="00914379">
        <w:rPr>
          <w:szCs w:val="24"/>
        </w:rPr>
        <w:instrText xml:space="preserve"> SEQ Table \* ARABIC </w:instrText>
      </w:r>
      <w:r w:rsidRPr="00914379">
        <w:rPr>
          <w:szCs w:val="24"/>
        </w:rPr>
        <w:fldChar w:fldCharType="separate"/>
      </w:r>
      <w:r w:rsidR="00646FD6">
        <w:rPr>
          <w:noProof/>
          <w:szCs w:val="24"/>
        </w:rPr>
        <w:t>1</w:t>
      </w:r>
      <w:r w:rsidRPr="00914379">
        <w:rPr>
          <w:szCs w:val="24"/>
        </w:rPr>
        <w:fldChar w:fldCharType="end"/>
      </w:r>
      <w:r w:rsidRPr="00914379">
        <w:rPr>
          <w:szCs w:val="24"/>
        </w:rPr>
        <w:t xml:space="preserve"> Ranges of maximum Lamp Wattage identified for replacement</w:t>
      </w:r>
      <w:bookmarkEnd w:id="31"/>
      <w:bookmarkEnd w:id="32"/>
      <w:bookmarkEnd w:id="33"/>
    </w:p>
    <w:tbl>
      <w:tblPr>
        <w:tblW w:w="9043" w:type="dxa"/>
        <w:jc w:val="center"/>
        <w:tblBorders>
          <w:insideH w:val="single" w:sz="18" w:space="0" w:color="FFFFFF"/>
          <w:insideV w:val="single" w:sz="18" w:space="0" w:color="FFFFFF"/>
        </w:tblBorders>
        <w:tblLook w:val="01E0" w:firstRow="1" w:lastRow="1" w:firstColumn="1" w:lastColumn="1" w:noHBand="0" w:noVBand="0"/>
      </w:tblPr>
      <w:tblGrid>
        <w:gridCol w:w="2293"/>
        <w:gridCol w:w="6750"/>
      </w:tblGrid>
      <w:tr w:rsidR="00914379" w:rsidRPr="00D05CA7" w:rsidTr="006F0EF6">
        <w:trPr>
          <w:trHeight w:val="541"/>
          <w:jc w:val="center"/>
        </w:trPr>
        <w:tc>
          <w:tcPr>
            <w:tcW w:w="2293" w:type="dxa"/>
            <w:tcBorders>
              <w:top w:val="nil"/>
              <w:bottom w:val="single" w:sz="18" w:space="0" w:color="FFFFFF"/>
            </w:tcBorders>
            <w:shd w:val="clear" w:color="000000" w:fill="333333"/>
            <w:vAlign w:val="center"/>
          </w:tcPr>
          <w:p w:rsidR="00914379" w:rsidRPr="00914379" w:rsidRDefault="00914379" w:rsidP="00CD5969">
            <w:pPr>
              <w:keepNext/>
              <w:keepLines/>
              <w:jc w:val="center"/>
              <w:rPr>
                <w:b/>
                <w:bCs/>
                <w:sz w:val="20"/>
              </w:rPr>
            </w:pPr>
            <w:r w:rsidRPr="00914379">
              <w:rPr>
                <w:b/>
                <w:bCs/>
                <w:sz w:val="20"/>
              </w:rPr>
              <w:t>Measure Code</w:t>
            </w:r>
            <w:r w:rsidRPr="00914379">
              <w:rPr>
                <w:rStyle w:val="FootnoteReference"/>
                <w:b/>
                <w:bCs/>
                <w:sz w:val="20"/>
              </w:rPr>
              <w:footnoteReference w:id="1"/>
            </w:r>
            <w:r w:rsidRPr="00914379">
              <w:rPr>
                <w:b/>
                <w:bCs/>
                <w:sz w:val="20"/>
              </w:rPr>
              <w:t xml:space="preserve"> </w:t>
            </w:r>
          </w:p>
        </w:tc>
        <w:tc>
          <w:tcPr>
            <w:tcW w:w="6750" w:type="dxa"/>
            <w:tcBorders>
              <w:top w:val="nil"/>
              <w:bottom w:val="single" w:sz="18" w:space="0" w:color="FFFFFF"/>
            </w:tcBorders>
            <w:shd w:val="clear" w:color="000000" w:fill="333333"/>
            <w:vAlign w:val="center"/>
          </w:tcPr>
          <w:p w:rsidR="00914379" w:rsidRPr="00914379" w:rsidRDefault="00914379" w:rsidP="00CD5969">
            <w:pPr>
              <w:keepNext/>
              <w:keepLines/>
              <w:jc w:val="center"/>
              <w:rPr>
                <w:b/>
                <w:bCs/>
                <w:sz w:val="20"/>
              </w:rPr>
            </w:pPr>
            <w:r w:rsidRPr="00914379">
              <w:rPr>
                <w:b/>
                <w:bCs/>
                <w:sz w:val="20"/>
              </w:rPr>
              <w:t>Description</w:t>
            </w:r>
          </w:p>
        </w:tc>
      </w:tr>
      <w:tr w:rsidR="00BF1506" w:rsidRPr="000F463C" w:rsidTr="006F0EF6">
        <w:trPr>
          <w:trHeight w:val="205"/>
          <w:jc w:val="center"/>
        </w:trPr>
        <w:tc>
          <w:tcPr>
            <w:tcW w:w="2293" w:type="dxa"/>
            <w:tcBorders>
              <w:top w:val="single" w:sz="18" w:space="0" w:color="FFFFFF"/>
            </w:tcBorders>
            <w:shd w:val="pct5" w:color="000000" w:fill="FFFFFF"/>
            <w:vAlign w:val="center"/>
          </w:tcPr>
          <w:p w:rsidR="00BF1506" w:rsidRPr="000F463C" w:rsidRDefault="00BF1506" w:rsidP="00CD5969">
            <w:pPr>
              <w:keepNext/>
              <w:keepLines/>
              <w:jc w:val="center"/>
              <w:rPr>
                <w:rFonts w:cs="Arial"/>
                <w:sz w:val="18"/>
                <w:szCs w:val="18"/>
              </w:rPr>
            </w:pPr>
            <w:r w:rsidRPr="000F463C">
              <w:rPr>
                <w:rFonts w:cs="Arial"/>
                <w:color w:val="000000"/>
                <w:sz w:val="18"/>
                <w:szCs w:val="18"/>
              </w:rPr>
              <w:t>L0270</w:t>
            </w:r>
          </w:p>
        </w:tc>
        <w:tc>
          <w:tcPr>
            <w:tcW w:w="6750" w:type="dxa"/>
            <w:tcBorders>
              <w:top w:val="single" w:sz="18" w:space="0" w:color="FFFFFF"/>
            </w:tcBorders>
            <w:shd w:val="pct5" w:color="000000" w:fill="FFFFFF"/>
            <w:vAlign w:val="center"/>
          </w:tcPr>
          <w:p w:rsidR="00BF1506" w:rsidRPr="000F463C" w:rsidRDefault="00BF1506" w:rsidP="00CD5969">
            <w:pPr>
              <w:keepNext/>
              <w:keepLines/>
              <w:rPr>
                <w:rFonts w:cs="Arial"/>
                <w:sz w:val="18"/>
                <w:szCs w:val="18"/>
              </w:rPr>
            </w:pPr>
            <w:bookmarkStart w:id="34" w:name="OLE_LINK4"/>
            <w:r w:rsidRPr="000F463C">
              <w:rPr>
                <w:rFonts w:cs="Arial"/>
                <w:sz w:val="18"/>
                <w:szCs w:val="18"/>
              </w:rPr>
              <w:t>FIXTURE INT INDUCTION - 400 WATTS BASE CASE - UP TO 250W (TIER 1)</w:t>
            </w:r>
            <w:bookmarkEnd w:id="34"/>
          </w:p>
        </w:tc>
      </w:tr>
      <w:tr w:rsidR="00BF1506" w:rsidRPr="000F463C" w:rsidTr="006F0EF6">
        <w:trPr>
          <w:trHeight w:val="205"/>
          <w:jc w:val="center"/>
        </w:trPr>
        <w:tc>
          <w:tcPr>
            <w:tcW w:w="2293" w:type="dxa"/>
            <w:shd w:val="pct20" w:color="000000" w:fill="FFFFFF"/>
            <w:vAlign w:val="center"/>
          </w:tcPr>
          <w:p w:rsidR="00BF1506" w:rsidRPr="000F463C" w:rsidRDefault="00BF1506" w:rsidP="00CD5969">
            <w:pPr>
              <w:jc w:val="center"/>
              <w:rPr>
                <w:rFonts w:cs="Arial"/>
                <w:sz w:val="18"/>
                <w:szCs w:val="18"/>
              </w:rPr>
            </w:pPr>
            <w:r w:rsidRPr="000F463C">
              <w:rPr>
                <w:rFonts w:cs="Arial"/>
                <w:sz w:val="18"/>
                <w:szCs w:val="18"/>
              </w:rPr>
              <w:t>L1025 (formerly L959)</w:t>
            </w:r>
          </w:p>
        </w:tc>
        <w:tc>
          <w:tcPr>
            <w:tcW w:w="6750" w:type="dxa"/>
            <w:shd w:val="pct20" w:color="000000" w:fill="FFFFFF"/>
            <w:vAlign w:val="center"/>
          </w:tcPr>
          <w:p w:rsidR="00BF1506" w:rsidRPr="000F463C" w:rsidRDefault="00BF1506" w:rsidP="00CD5969">
            <w:pPr>
              <w:rPr>
                <w:rFonts w:cs="Arial"/>
                <w:sz w:val="18"/>
                <w:szCs w:val="18"/>
              </w:rPr>
            </w:pPr>
            <w:bookmarkStart w:id="35" w:name="OLE_LINK3"/>
            <w:r w:rsidRPr="000F463C">
              <w:rPr>
                <w:rFonts w:cs="Arial"/>
                <w:sz w:val="18"/>
                <w:szCs w:val="18"/>
              </w:rPr>
              <w:t>FIXTURE INT INDUCTION: 176-399 W LAMP BASECASE; UP TO 180 W LAMP</w:t>
            </w:r>
            <w:bookmarkEnd w:id="35"/>
          </w:p>
        </w:tc>
      </w:tr>
      <w:tr w:rsidR="00BF1506" w:rsidRPr="000F463C" w:rsidTr="006F0EF6">
        <w:trPr>
          <w:trHeight w:val="205"/>
          <w:jc w:val="center"/>
        </w:trPr>
        <w:tc>
          <w:tcPr>
            <w:tcW w:w="2293" w:type="dxa"/>
            <w:shd w:val="pct5" w:color="000000" w:fill="FFFFFF"/>
            <w:vAlign w:val="center"/>
          </w:tcPr>
          <w:p w:rsidR="00BF1506" w:rsidRPr="000F463C" w:rsidRDefault="00BF1506" w:rsidP="00CD5969">
            <w:pPr>
              <w:jc w:val="center"/>
              <w:rPr>
                <w:rFonts w:cs="Arial"/>
                <w:sz w:val="18"/>
                <w:szCs w:val="18"/>
              </w:rPr>
            </w:pPr>
            <w:r w:rsidRPr="000F463C">
              <w:rPr>
                <w:rFonts w:cs="Arial"/>
                <w:color w:val="000000"/>
                <w:sz w:val="18"/>
                <w:szCs w:val="18"/>
              </w:rPr>
              <w:t>L1024 (formerly L958)</w:t>
            </w:r>
          </w:p>
        </w:tc>
        <w:tc>
          <w:tcPr>
            <w:tcW w:w="6750" w:type="dxa"/>
            <w:shd w:val="pct5" w:color="000000" w:fill="FFFFFF"/>
            <w:vAlign w:val="center"/>
          </w:tcPr>
          <w:p w:rsidR="00BF1506" w:rsidRPr="000F463C" w:rsidRDefault="00BF1506" w:rsidP="00CD5969">
            <w:pPr>
              <w:rPr>
                <w:rFonts w:cs="Arial"/>
                <w:sz w:val="18"/>
                <w:szCs w:val="18"/>
              </w:rPr>
            </w:pPr>
            <w:bookmarkStart w:id="36" w:name="OLE_LINK2"/>
            <w:r w:rsidRPr="000F463C">
              <w:rPr>
                <w:rFonts w:cs="Arial"/>
                <w:color w:val="000000"/>
                <w:sz w:val="18"/>
                <w:szCs w:val="18"/>
              </w:rPr>
              <w:t>FIXTURE INT INDUCTION: 101-175 W LAMP BASECASE; UP TO 120 WATT LAMP</w:t>
            </w:r>
            <w:bookmarkEnd w:id="36"/>
          </w:p>
        </w:tc>
      </w:tr>
      <w:tr w:rsidR="00BF1506" w:rsidRPr="000F463C" w:rsidTr="006F0EF6">
        <w:trPr>
          <w:trHeight w:val="205"/>
          <w:jc w:val="center"/>
        </w:trPr>
        <w:tc>
          <w:tcPr>
            <w:tcW w:w="2293" w:type="dxa"/>
            <w:tcBorders>
              <w:bottom w:val="single" w:sz="18" w:space="0" w:color="FFFFFF"/>
            </w:tcBorders>
            <w:shd w:val="pct20" w:color="000000" w:fill="FFFFFF"/>
            <w:vAlign w:val="center"/>
          </w:tcPr>
          <w:p w:rsidR="00BF1506" w:rsidRPr="000F463C" w:rsidRDefault="00BF1506" w:rsidP="00CD5969">
            <w:pPr>
              <w:jc w:val="center"/>
              <w:rPr>
                <w:rFonts w:cs="Arial"/>
                <w:color w:val="000000"/>
                <w:sz w:val="18"/>
                <w:szCs w:val="18"/>
              </w:rPr>
            </w:pPr>
            <w:r w:rsidRPr="000F463C">
              <w:rPr>
                <w:rFonts w:cs="Arial"/>
                <w:color w:val="000000"/>
                <w:sz w:val="18"/>
                <w:szCs w:val="18"/>
              </w:rPr>
              <w:t>L1023 (formerly L957)</w:t>
            </w:r>
          </w:p>
        </w:tc>
        <w:tc>
          <w:tcPr>
            <w:tcW w:w="6750" w:type="dxa"/>
            <w:tcBorders>
              <w:bottom w:val="single" w:sz="18" w:space="0" w:color="FFFFFF"/>
            </w:tcBorders>
            <w:shd w:val="pct20" w:color="000000" w:fill="FFFFFF"/>
            <w:vAlign w:val="center"/>
          </w:tcPr>
          <w:p w:rsidR="00BF1506" w:rsidRPr="000F463C" w:rsidRDefault="00BF1506" w:rsidP="00CD5969">
            <w:pPr>
              <w:rPr>
                <w:rFonts w:cs="Arial"/>
                <w:color w:val="000000"/>
                <w:sz w:val="18"/>
                <w:szCs w:val="18"/>
              </w:rPr>
            </w:pPr>
            <w:bookmarkStart w:id="37" w:name="OLE_LINK1"/>
            <w:r w:rsidRPr="000F463C">
              <w:rPr>
                <w:rFonts w:cs="Arial"/>
                <w:color w:val="000000"/>
                <w:sz w:val="18"/>
                <w:szCs w:val="18"/>
              </w:rPr>
              <w:t>FIXTURE INT INDUCTION: &lt;=100 W LAMP BASECASE; UP TO 70 WATT LAMP</w:t>
            </w:r>
            <w:r w:rsidRPr="000F463C">
              <w:rPr>
                <w:rFonts w:cs="Arial"/>
                <w:color w:val="FF0000"/>
                <w:sz w:val="18"/>
                <w:szCs w:val="18"/>
              </w:rPr>
              <w:t xml:space="preserve"> </w:t>
            </w:r>
            <w:bookmarkEnd w:id="37"/>
          </w:p>
        </w:tc>
      </w:tr>
    </w:tbl>
    <w:p w:rsidR="00AB24D4" w:rsidRDefault="00AB24D4" w:rsidP="00480BAD">
      <w:pPr>
        <w:ind w:left="360"/>
        <w:rPr>
          <w:rFonts w:cs="Arial"/>
          <w:b/>
          <w:i/>
          <w:sz w:val="20"/>
          <w:szCs w:val="20"/>
        </w:rPr>
      </w:pPr>
    </w:p>
    <w:p w:rsidR="009E34E2" w:rsidRDefault="00521920" w:rsidP="00480BAD">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9E34E2" w:rsidRPr="009E34E2">
        <w:rPr>
          <w:rFonts w:cs="Arial"/>
          <w:sz w:val="20"/>
          <w:szCs w:val="20"/>
        </w:rPr>
        <w:t xml:space="preserve"> </w:t>
      </w:r>
      <w:r w:rsidR="009E34E2" w:rsidRPr="00827672">
        <w:rPr>
          <w:rFonts w:cs="Arial"/>
          <w:sz w:val="20"/>
          <w:szCs w:val="20"/>
        </w:rPr>
        <w:t xml:space="preserve">The customer must be a commercial PG&amp;E electric customer. </w:t>
      </w:r>
      <w:r w:rsidR="000D648B">
        <w:rPr>
          <w:rFonts w:cs="Arial"/>
          <w:sz w:val="20"/>
          <w:szCs w:val="20"/>
        </w:rPr>
        <w:t xml:space="preserve"> </w:t>
      </w:r>
    </w:p>
    <w:p w:rsidR="003E7422" w:rsidRDefault="003E7422" w:rsidP="00480BAD">
      <w:pPr>
        <w:ind w:left="360"/>
        <w:rPr>
          <w:rFonts w:cs="Arial"/>
          <w:b/>
          <w:i/>
          <w:sz w:val="20"/>
          <w:szCs w:val="20"/>
        </w:rPr>
      </w:pPr>
    </w:p>
    <w:p w:rsidR="00507ADE" w:rsidRDefault="00AB24D4" w:rsidP="00D75CD4">
      <w:pPr>
        <w:ind w:left="360"/>
        <w:rPr>
          <w:rFonts w:cs="Arial"/>
          <w:sz w:val="20"/>
          <w:szCs w:val="20"/>
        </w:rPr>
      </w:pPr>
      <w:r>
        <w:rPr>
          <w:rFonts w:cs="Arial"/>
          <w:b/>
          <w:i/>
          <w:sz w:val="20"/>
          <w:szCs w:val="20"/>
        </w:rPr>
        <w:lastRenderedPageBreak/>
        <w:t>Market Applicabilit</w:t>
      </w:r>
      <w:r w:rsidRPr="00A562A6">
        <w:rPr>
          <w:rFonts w:cs="Arial"/>
          <w:b/>
          <w:i/>
          <w:sz w:val="20"/>
          <w:szCs w:val="20"/>
        </w:rPr>
        <w:t xml:space="preserve">y: </w:t>
      </w:r>
      <w:r>
        <w:rPr>
          <w:rFonts w:cs="Arial"/>
          <w:sz w:val="20"/>
          <w:szCs w:val="20"/>
        </w:rPr>
        <w:t>The measures discussed in this work paper are applicable to nonresidential market sectors.</w:t>
      </w:r>
      <w:r w:rsidR="000D648B">
        <w:rPr>
          <w:rFonts w:cs="Arial"/>
          <w:sz w:val="20"/>
          <w:szCs w:val="20"/>
        </w:rPr>
        <w:t xml:space="preserve"> This program is applied as a downstream rebate program as well as Direct Install for Hard to </w:t>
      </w:r>
      <w:proofErr w:type="gramStart"/>
      <w:r w:rsidR="000D648B">
        <w:rPr>
          <w:rFonts w:cs="Arial"/>
          <w:sz w:val="20"/>
          <w:szCs w:val="20"/>
        </w:rPr>
        <w:t>Reach</w:t>
      </w:r>
      <w:proofErr w:type="gramEnd"/>
      <w:r w:rsidR="000D648B">
        <w:rPr>
          <w:rFonts w:cs="Arial"/>
          <w:sz w:val="20"/>
          <w:szCs w:val="20"/>
        </w:rPr>
        <w:t xml:space="preserve"> customers in SMB sector. </w:t>
      </w:r>
    </w:p>
    <w:p w:rsidR="000315EA" w:rsidRDefault="000315EA" w:rsidP="000315EA">
      <w:pPr>
        <w:rPr>
          <w:rFonts w:cs="Arial"/>
          <w:sz w:val="20"/>
          <w:szCs w:val="20"/>
        </w:rPr>
      </w:pPr>
    </w:p>
    <w:p w:rsidR="006F0EF6" w:rsidRDefault="006F0EF6" w:rsidP="006F0EF6">
      <w:pPr>
        <w:pStyle w:val="Caption"/>
        <w:keepNext/>
        <w:jc w:val="center"/>
      </w:pPr>
      <w:bookmarkStart w:id="38" w:name="_Toc438469360"/>
      <w:r>
        <w:t xml:space="preserve">Table </w:t>
      </w:r>
      <w:r w:rsidR="000700C5">
        <w:fldChar w:fldCharType="begin"/>
      </w:r>
      <w:r w:rsidR="000700C5">
        <w:instrText xml:space="preserve"> SEQ Table \* ARABIC </w:instrText>
      </w:r>
      <w:r w:rsidR="000700C5">
        <w:fldChar w:fldCharType="separate"/>
      </w:r>
      <w:r w:rsidR="00646FD6">
        <w:rPr>
          <w:noProof/>
        </w:rPr>
        <w:t>2</w:t>
      </w:r>
      <w:r w:rsidR="000700C5">
        <w:rPr>
          <w:noProof/>
        </w:rPr>
        <w:fldChar w:fldCharType="end"/>
      </w:r>
      <w:r>
        <w:t xml:space="preserve"> Delivery Method and Applicable Building Types</w:t>
      </w:r>
      <w:bookmarkEnd w:id="38"/>
    </w:p>
    <w:tbl>
      <w:tblPr>
        <w:tblStyle w:val="TableGrid"/>
        <w:tblW w:w="9200" w:type="dxa"/>
        <w:jc w:val="center"/>
        <w:tblLook w:val="04A0" w:firstRow="1" w:lastRow="0" w:firstColumn="1" w:lastColumn="0" w:noHBand="0" w:noVBand="1"/>
      </w:tblPr>
      <w:tblGrid>
        <w:gridCol w:w="2710"/>
        <w:gridCol w:w="3952"/>
        <w:gridCol w:w="2538"/>
      </w:tblGrid>
      <w:tr w:rsidR="000315EA" w:rsidRPr="0034275C" w:rsidTr="003B4730">
        <w:trPr>
          <w:jc w:val="center"/>
        </w:trPr>
        <w:tc>
          <w:tcPr>
            <w:tcW w:w="2710" w:type="dxa"/>
            <w:shd w:val="clear" w:color="auto" w:fill="D9D9D9" w:themeFill="background1" w:themeFillShade="D9"/>
          </w:tcPr>
          <w:p w:rsidR="000315EA" w:rsidRPr="0034275C" w:rsidRDefault="000315EA" w:rsidP="003B4730">
            <w:pPr>
              <w:rPr>
                <w:rFonts w:cs="Arial"/>
                <w:b/>
                <w:sz w:val="20"/>
                <w:szCs w:val="20"/>
              </w:rPr>
            </w:pPr>
            <w:r w:rsidRPr="0034275C">
              <w:rPr>
                <w:rFonts w:cs="Arial"/>
                <w:b/>
                <w:sz w:val="20"/>
                <w:szCs w:val="20"/>
              </w:rPr>
              <w:t>Delivery Type</w:t>
            </w:r>
          </w:p>
        </w:tc>
        <w:tc>
          <w:tcPr>
            <w:tcW w:w="3952" w:type="dxa"/>
            <w:shd w:val="clear" w:color="auto" w:fill="D9D9D9" w:themeFill="background1" w:themeFillShade="D9"/>
          </w:tcPr>
          <w:p w:rsidR="000315EA" w:rsidRPr="0034275C" w:rsidRDefault="000315EA" w:rsidP="003B4730">
            <w:pPr>
              <w:rPr>
                <w:rFonts w:cs="Arial"/>
                <w:b/>
                <w:sz w:val="20"/>
                <w:szCs w:val="20"/>
              </w:rPr>
            </w:pPr>
            <w:r w:rsidRPr="0034275C">
              <w:rPr>
                <w:rFonts w:cs="Arial"/>
                <w:b/>
                <w:sz w:val="20"/>
                <w:szCs w:val="20"/>
              </w:rPr>
              <w:t>Applicable Building Types</w:t>
            </w:r>
          </w:p>
        </w:tc>
        <w:tc>
          <w:tcPr>
            <w:tcW w:w="2538" w:type="dxa"/>
            <w:shd w:val="clear" w:color="auto" w:fill="D9D9D9" w:themeFill="background1" w:themeFillShade="D9"/>
          </w:tcPr>
          <w:p w:rsidR="000315EA" w:rsidRPr="0034275C" w:rsidRDefault="000315EA" w:rsidP="003B4730">
            <w:pPr>
              <w:rPr>
                <w:rFonts w:cs="Arial"/>
                <w:b/>
                <w:sz w:val="20"/>
                <w:szCs w:val="20"/>
              </w:rPr>
            </w:pPr>
            <w:r w:rsidRPr="0034275C">
              <w:rPr>
                <w:rFonts w:cs="Arial"/>
                <w:b/>
                <w:sz w:val="20"/>
                <w:szCs w:val="20"/>
              </w:rPr>
              <w:t>Application Type</w:t>
            </w:r>
          </w:p>
        </w:tc>
      </w:tr>
      <w:tr w:rsidR="000315EA" w:rsidRPr="0034275C" w:rsidTr="003B4730">
        <w:trPr>
          <w:jc w:val="center"/>
        </w:trPr>
        <w:tc>
          <w:tcPr>
            <w:tcW w:w="2710" w:type="dxa"/>
          </w:tcPr>
          <w:p w:rsidR="000315EA" w:rsidRPr="0034275C" w:rsidRDefault="000315EA" w:rsidP="003B4730">
            <w:pPr>
              <w:rPr>
                <w:rFonts w:cs="Arial"/>
                <w:sz w:val="20"/>
                <w:szCs w:val="20"/>
              </w:rPr>
            </w:pPr>
            <w:r>
              <w:rPr>
                <w:rFonts w:cs="Arial"/>
                <w:sz w:val="20"/>
                <w:szCs w:val="20"/>
              </w:rPr>
              <w:t>Direct Install</w:t>
            </w:r>
          </w:p>
        </w:tc>
        <w:tc>
          <w:tcPr>
            <w:tcW w:w="3952" w:type="dxa"/>
          </w:tcPr>
          <w:p w:rsidR="000315EA" w:rsidRPr="0034275C" w:rsidRDefault="006914D5" w:rsidP="006914D5">
            <w:pPr>
              <w:rPr>
                <w:rFonts w:cs="Arial"/>
                <w:sz w:val="20"/>
                <w:szCs w:val="20"/>
              </w:rPr>
            </w:pPr>
            <w:r>
              <w:rPr>
                <w:rFonts w:cs="Arial"/>
                <w:sz w:val="20"/>
                <w:szCs w:val="20"/>
              </w:rPr>
              <w:t>DEER Building Types</w:t>
            </w:r>
          </w:p>
        </w:tc>
        <w:tc>
          <w:tcPr>
            <w:tcW w:w="2538" w:type="dxa"/>
          </w:tcPr>
          <w:p w:rsidR="000315EA" w:rsidRPr="0034275C" w:rsidRDefault="000315EA" w:rsidP="003B4730">
            <w:pPr>
              <w:rPr>
                <w:rFonts w:cs="Arial"/>
                <w:sz w:val="20"/>
                <w:szCs w:val="20"/>
              </w:rPr>
            </w:pPr>
            <w:r>
              <w:rPr>
                <w:rFonts w:cs="Arial"/>
                <w:sz w:val="20"/>
                <w:szCs w:val="20"/>
              </w:rPr>
              <w:t>ROB</w:t>
            </w:r>
          </w:p>
        </w:tc>
      </w:tr>
      <w:tr w:rsidR="000315EA" w:rsidRPr="0034275C" w:rsidTr="003B4730">
        <w:trPr>
          <w:jc w:val="center"/>
        </w:trPr>
        <w:tc>
          <w:tcPr>
            <w:tcW w:w="2710" w:type="dxa"/>
          </w:tcPr>
          <w:p w:rsidR="000315EA" w:rsidRPr="0034275C" w:rsidRDefault="000315EA" w:rsidP="003B4730">
            <w:pPr>
              <w:rPr>
                <w:rFonts w:cs="Arial"/>
                <w:sz w:val="20"/>
                <w:szCs w:val="20"/>
              </w:rPr>
            </w:pPr>
            <w:r w:rsidRPr="0034275C">
              <w:rPr>
                <w:rFonts w:cs="Arial"/>
                <w:sz w:val="20"/>
                <w:szCs w:val="20"/>
              </w:rPr>
              <w:t>Downstream</w:t>
            </w:r>
          </w:p>
        </w:tc>
        <w:tc>
          <w:tcPr>
            <w:tcW w:w="3952" w:type="dxa"/>
          </w:tcPr>
          <w:p w:rsidR="000315EA" w:rsidRPr="0034275C" w:rsidRDefault="006914D5" w:rsidP="000315EA">
            <w:pPr>
              <w:rPr>
                <w:rFonts w:cs="Arial"/>
                <w:sz w:val="20"/>
                <w:szCs w:val="20"/>
              </w:rPr>
            </w:pPr>
            <w:r>
              <w:rPr>
                <w:rFonts w:cs="Arial"/>
                <w:sz w:val="20"/>
                <w:szCs w:val="20"/>
              </w:rPr>
              <w:t>DEER Building Types</w:t>
            </w:r>
          </w:p>
        </w:tc>
        <w:tc>
          <w:tcPr>
            <w:tcW w:w="2538" w:type="dxa"/>
          </w:tcPr>
          <w:p w:rsidR="000315EA" w:rsidRPr="0034275C" w:rsidRDefault="000315EA" w:rsidP="003B4730">
            <w:pPr>
              <w:rPr>
                <w:rFonts w:cs="Arial"/>
                <w:sz w:val="20"/>
                <w:szCs w:val="20"/>
              </w:rPr>
            </w:pPr>
            <w:r w:rsidRPr="0034275C">
              <w:rPr>
                <w:rFonts w:cs="Arial"/>
                <w:sz w:val="20"/>
                <w:szCs w:val="20"/>
              </w:rPr>
              <w:t>ROB</w:t>
            </w:r>
          </w:p>
        </w:tc>
      </w:tr>
    </w:tbl>
    <w:p w:rsidR="000315EA" w:rsidRDefault="000315EA" w:rsidP="000315EA">
      <w:pPr>
        <w:rPr>
          <w:rFonts w:cs="Arial"/>
          <w:sz w:val="20"/>
          <w:szCs w:val="20"/>
        </w:rPr>
      </w:pPr>
    </w:p>
    <w:p w:rsidR="000315EA" w:rsidRPr="000315EA" w:rsidRDefault="000315EA" w:rsidP="000315EA">
      <w:pPr>
        <w:rPr>
          <w:rFonts w:cs="Arial"/>
          <w:sz w:val="20"/>
          <w:szCs w:val="20"/>
        </w:rPr>
      </w:pPr>
    </w:p>
    <w:p w:rsidR="00521920" w:rsidRPr="00806070" w:rsidRDefault="00806070" w:rsidP="00806070">
      <w:pPr>
        <w:rPr>
          <w:rFonts w:cs="Arial"/>
          <w:b/>
          <w:i/>
          <w:sz w:val="28"/>
          <w:szCs w:val="28"/>
        </w:rPr>
      </w:pPr>
      <w:r>
        <w:rPr>
          <w:rFonts w:cs="Arial"/>
          <w:b/>
          <w:i/>
          <w:sz w:val="28"/>
          <w:szCs w:val="28"/>
        </w:rPr>
        <w:t xml:space="preserve">1.2 Product </w:t>
      </w:r>
      <w:r w:rsidR="00521920" w:rsidRPr="00806070">
        <w:rPr>
          <w:rFonts w:cs="Arial"/>
          <w:b/>
          <w:i/>
          <w:sz w:val="28"/>
          <w:szCs w:val="28"/>
        </w:rPr>
        <w:t>Technical Description</w:t>
      </w:r>
    </w:p>
    <w:p w:rsidR="000C4018" w:rsidRDefault="000C4018" w:rsidP="000C4018">
      <w:pPr>
        <w:spacing w:after="120"/>
      </w:pPr>
      <w:r w:rsidRPr="002A5729">
        <w:rPr>
          <w:sz w:val="20"/>
        </w:rPr>
        <w:t>Induction fixtures generally offer higher efficiency than mercury vapor lamps and better light quality than either mercury vapor or sodium lamps. An Induction Lamp offers longer life and more stable operation due to the elimination of the starter probe and bimetal strip which often cause standard metal halide lamps to fail.</w:t>
      </w:r>
      <w:r w:rsidRPr="002A5729">
        <w:rPr>
          <w:rStyle w:val="EndnoteReference"/>
          <w:sz w:val="20"/>
        </w:rPr>
        <w:endnoteReference w:id="1"/>
      </w:r>
    </w:p>
    <w:p w:rsidR="000C4018" w:rsidRPr="00A57DE0" w:rsidRDefault="000C4018" w:rsidP="000C4018">
      <w:r w:rsidRPr="002A5729">
        <w:rPr>
          <w:sz w:val="20"/>
        </w:rPr>
        <w:t xml:space="preserve">To calculate the savings, a </w:t>
      </w:r>
      <w:r w:rsidR="006F0EF6">
        <w:rPr>
          <w:sz w:val="20"/>
        </w:rPr>
        <w:t>Pulse-Start</w:t>
      </w:r>
      <w:r w:rsidRPr="002A5729">
        <w:rPr>
          <w:sz w:val="20"/>
        </w:rPr>
        <w:t xml:space="preserve"> Metal Halide fixture of appropriate light output for each product code is used as the base case, because this is the most commonly used replacement technology for the qualifying existing fixture types (Incandescent, Mercury Vapor, Standard Metal Halide, or High Pressure Sodium Fixtures). Savings for each wattage range listed in this work paper are based on the most applicable induction fixture to achieve similar output as the assumed existing standard fixture. The purpose of the incentive is to encourage customers to choose a fixture that is more efficient than the most common alternative.</w:t>
      </w:r>
    </w:p>
    <w:p w:rsidR="00872913" w:rsidRPr="00A562A6" w:rsidRDefault="00872913" w:rsidP="00872913">
      <w:pPr>
        <w:rPr>
          <w:rFonts w:cs="Arial"/>
          <w:b/>
          <w:i/>
          <w:sz w:val="20"/>
          <w:szCs w:val="20"/>
        </w:rPr>
      </w:pPr>
    </w:p>
    <w:p w:rsidR="00784500" w:rsidRPr="003946E3" w:rsidRDefault="009C5CA7" w:rsidP="003946E3">
      <w:pPr>
        <w:pStyle w:val="Heading2"/>
        <w:keepNext w:val="0"/>
      </w:pPr>
      <w:bookmarkStart w:id="39" w:name="_Toc304800203"/>
      <w:bookmarkStart w:id="40" w:name="_Toc324318339"/>
      <w:bookmarkStart w:id="41" w:name="_Toc324340483"/>
      <w:bookmarkStart w:id="42" w:name="_Toc438469317"/>
      <w:r>
        <w:t>1.</w:t>
      </w:r>
      <w:r w:rsidR="00806070">
        <w:t>3</w:t>
      </w:r>
      <w:r>
        <w:t xml:space="preserve"> </w:t>
      </w:r>
      <w:r w:rsidR="002E6162">
        <w:t xml:space="preserve">Measure Application </w:t>
      </w:r>
      <w:bookmarkEnd w:id="39"/>
      <w:r w:rsidR="002E6162">
        <w:t>Type</w:t>
      </w:r>
      <w:bookmarkEnd w:id="40"/>
      <w:bookmarkEnd w:id="41"/>
      <w:bookmarkEnd w:id="42"/>
      <w:r w:rsidR="00FA595F">
        <w:t xml:space="preserve"> </w:t>
      </w:r>
    </w:p>
    <w:p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3"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rsidR="009C5CA7" w:rsidRPr="00F65942" w:rsidRDefault="009C5CA7" w:rsidP="009C5CA7">
      <w:pPr>
        <w:rPr>
          <w:i/>
        </w:rPr>
      </w:pPr>
    </w:p>
    <w:p w:rsidR="00BD02D0" w:rsidRPr="003541A6" w:rsidRDefault="00BD02D0" w:rsidP="00BD02D0">
      <w:pPr>
        <w:pStyle w:val="Caption"/>
        <w:keepNext/>
        <w:rPr>
          <w:rFonts w:ascii="Calibri" w:hAnsi="Calibri" w:cs="Calibri"/>
          <w:sz w:val="26"/>
          <w:szCs w:val="26"/>
        </w:rPr>
      </w:pPr>
      <w:bookmarkStart w:id="43" w:name="_Toc438469361"/>
      <w:r w:rsidRPr="003541A6">
        <w:t xml:space="preserve">Table </w:t>
      </w:r>
      <w:r w:rsidR="000700C5">
        <w:fldChar w:fldCharType="begin"/>
      </w:r>
      <w:r w:rsidR="000700C5">
        <w:instrText xml:space="preserve"> SEQ Table \* ARABIC </w:instrText>
      </w:r>
      <w:r w:rsidR="000700C5">
        <w:fldChar w:fldCharType="separate"/>
      </w:r>
      <w:r w:rsidR="00646FD6">
        <w:rPr>
          <w:noProof/>
        </w:rPr>
        <w:t>3</w:t>
      </w:r>
      <w:r w:rsidR="000700C5">
        <w:rPr>
          <w:noProof/>
        </w:rPr>
        <w:fldChar w:fldCharType="end"/>
      </w:r>
      <w:bookmarkStart w:id="44"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4"/>
      <w:r w:rsidR="00C87539">
        <w:rPr>
          <w:rStyle w:val="EndnoteReference"/>
          <w:rFonts w:cs="Arial"/>
        </w:rPr>
        <w:endnoteReference w:id="2"/>
      </w:r>
      <w:bookmarkEnd w:id="43"/>
    </w:p>
    <w:p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r w:rsidR="00D6289A" w:rsidRPr="00453CE7">
        <w:rPr>
          <w:rFonts w:ascii="Calibri" w:hAnsi="Calibri" w:cs="Calibri"/>
          <w:i/>
          <w:iCs/>
          <w:szCs w:val="22"/>
        </w:rPr>
        <w:t>Implementation</w:t>
      </w:r>
      <w:r w:rsidRPr="00453CE7">
        <w:rPr>
          <w:rFonts w:ascii="Calibri" w:hAnsi="Calibri" w:cs="Calibri"/>
          <w:i/>
          <w:iCs/>
          <w:szCs w:val="22"/>
        </w:rPr>
        <w:t xml:space="preserve"> table</w:t>
      </w:r>
      <w:r w:rsidR="003541A6">
        <w:rPr>
          <w:rFonts w:ascii="Calibri" w:hAnsi="Calibri" w:cs="Calibri"/>
          <w:i/>
          <w:iCs/>
          <w:szCs w:val="22"/>
        </w:rPr>
        <w:t xml:space="preserve"> in DEER2011.</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rsidR="00D73550" w:rsidRDefault="00D73550" w:rsidP="002E0043">
      <w:pPr>
        <w:rPr>
          <w:rFonts w:cs="Arial"/>
          <w:i/>
          <w:sz w:val="20"/>
          <w:szCs w:val="20"/>
        </w:rPr>
      </w:pPr>
    </w:p>
    <w:p w:rsidR="003946E3" w:rsidRPr="003946E3" w:rsidRDefault="003946E3" w:rsidP="002E0043">
      <w:r w:rsidRPr="003946E3">
        <w:rPr>
          <w:rFonts w:cs="Arial"/>
          <w:sz w:val="20"/>
          <w:szCs w:val="20"/>
        </w:rPr>
        <w:t>These measures are identified as ROB, or replace on burnout.</w:t>
      </w:r>
    </w:p>
    <w:p w:rsidR="006F0EF6" w:rsidRDefault="006F0EF6" w:rsidP="006F0EF6">
      <w:pPr>
        <w:pStyle w:val="Heading2"/>
        <w:spacing w:before="0" w:after="0"/>
      </w:pPr>
      <w:bookmarkStart w:id="45" w:name="_Toc304800204"/>
      <w:bookmarkStart w:id="46" w:name="_Toc324318340"/>
      <w:bookmarkStart w:id="47" w:name="_Toc324340484"/>
    </w:p>
    <w:p w:rsidR="009003FE" w:rsidRPr="00BC2782" w:rsidRDefault="00806070" w:rsidP="00BC2782">
      <w:pPr>
        <w:pStyle w:val="Heading2"/>
      </w:pPr>
      <w:bookmarkStart w:id="48" w:name="_Toc438469318"/>
      <w:r>
        <w:t>1.4 Product Base Case and Measure Case Data</w:t>
      </w:r>
      <w:bookmarkEnd w:id="45"/>
      <w:bookmarkEnd w:id="46"/>
      <w:bookmarkEnd w:id="47"/>
      <w:bookmarkEnd w:id="48"/>
    </w:p>
    <w:p w:rsidR="000315EA" w:rsidRPr="00EC6643" w:rsidRDefault="00EC6643" w:rsidP="00EC6643">
      <w:pPr>
        <w:rPr>
          <w:sz w:val="20"/>
        </w:rPr>
      </w:pPr>
      <w:bookmarkStart w:id="49" w:name="_Toc304800205"/>
      <w:bookmarkStart w:id="50" w:name="_Toc324318341"/>
      <w:bookmarkStart w:id="51" w:name="_Toc324340485"/>
      <w:r>
        <w:rPr>
          <w:sz w:val="20"/>
        </w:rPr>
        <w:t>The base case is metal halide, and the standard case is pulse start metal halide.</w:t>
      </w:r>
      <w:r w:rsidR="006F0EF6">
        <w:rPr>
          <w:sz w:val="20"/>
        </w:rPr>
        <w:t xml:space="preserve">  DEER 2016 was used to determine the base, standard, and measure cases.</w:t>
      </w:r>
    </w:p>
    <w:p w:rsidR="00BE5E74" w:rsidRPr="008903DA" w:rsidRDefault="001248A3" w:rsidP="008903DA">
      <w:pPr>
        <w:pStyle w:val="Heading2"/>
      </w:pPr>
      <w:bookmarkStart w:id="52" w:name="_Toc438469319"/>
      <w:r>
        <w:t>1.</w:t>
      </w:r>
      <w:r w:rsidR="00806070">
        <w:t>4.1</w:t>
      </w:r>
      <w:r w:rsidR="00FA595F">
        <w:t xml:space="preserve"> </w:t>
      </w:r>
      <w:r w:rsidR="00C069A2" w:rsidRPr="001248A3">
        <w:t xml:space="preserve">DEER </w:t>
      </w:r>
      <w:r w:rsidR="008C6AD1">
        <w:t>Base Case and Measure Case Information</w:t>
      </w:r>
      <w:bookmarkEnd w:id="49"/>
      <w:bookmarkEnd w:id="50"/>
      <w:bookmarkEnd w:id="51"/>
      <w:bookmarkEnd w:id="52"/>
      <w:r w:rsidR="008C6AD1">
        <w:t xml:space="preserve"> </w:t>
      </w:r>
    </w:p>
    <w:p w:rsidR="006914D5" w:rsidRPr="00F314AC" w:rsidRDefault="00EC6643" w:rsidP="00EC6643">
      <w:pPr>
        <w:jc w:val="both"/>
        <w:rPr>
          <w:rFonts w:cs="Arial"/>
          <w:sz w:val="20"/>
          <w:szCs w:val="20"/>
        </w:rPr>
      </w:pPr>
      <w:r>
        <w:rPr>
          <w:rFonts w:cs="Arial"/>
          <w:sz w:val="20"/>
          <w:szCs w:val="20"/>
        </w:rPr>
        <w:t xml:space="preserve">The </w:t>
      </w:r>
      <w:r w:rsidRPr="00F314AC">
        <w:rPr>
          <w:rFonts w:cs="Arial"/>
          <w:sz w:val="20"/>
          <w:szCs w:val="20"/>
        </w:rPr>
        <w:t>Database for Energy Efficient Resources (DEER</w:t>
      </w:r>
      <w:r w:rsidRPr="00F314AC">
        <w:rPr>
          <w:rFonts w:cs="Arial"/>
          <w:sz w:val="20"/>
          <w:szCs w:val="20"/>
        </w:rPr>
        <w:fldChar w:fldCharType="begin"/>
      </w:r>
      <w:r w:rsidRPr="00F314AC">
        <w:rPr>
          <w:rFonts w:cs="Arial"/>
          <w:sz w:val="20"/>
          <w:szCs w:val="20"/>
        </w:rPr>
        <w:instrText xml:space="preserve"> XE "DEER" </w:instrText>
      </w:r>
      <w:r w:rsidRPr="00F314AC">
        <w:rPr>
          <w:rFonts w:cs="Arial"/>
          <w:sz w:val="20"/>
          <w:szCs w:val="20"/>
        </w:rPr>
        <w:fldChar w:fldCharType="end"/>
      </w:r>
      <w:r w:rsidRPr="00F314AC">
        <w:rPr>
          <w:rFonts w:cs="Arial"/>
          <w:sz w:val="20"/>
          <w:szCs w:val="20"/>
        </w:rPr>
        <w:t>) 201</w:t>
      </w:r>
      <w:r>
        <w:rPr>
          <w:rFonts w:cs="Arial"/>
          <w:sz w:val="20"/>
          <w:szCs w:val="20"/>
        </w:rPr>
        <w:t>6</w:t>
      </w:r>
      <w:r w:rsidRPr="00F314AC">
        <w:rPr>
          <w:rFonts w:cs="Arial"/>
          <w:sz w:val="20"/>
          <w:szCs w:val="20"/>
        </w:rPr>
        <w:t xml:space="preserve"> </w:t>
      </w:r>
      <w:r>
        <w:rPr>
          <w:rFonts w:cs="Arial"/>
          <w:sz w:val="20"/>
          <w:szCs w:val="20"/>
        </w:rPr>
        <w:t>contains interior induction lamp and ballast replacement measures.  The base case is metal halide, and the standard case is pulse start metal halide.</w:t>
      </w:r>
    </w:p>
    <w:p w:rsidR="006914D5" w:rsidRDefault="006914D5" w:rsidP="006914D5">
      <w:pPr>
        <w:pStyle w:val="Caption"/>
        <w:keepNext/>
        <w:jc w:val="center"/>
      </w:pPr>
      <w:bookmarkStart w:id="53" w:name="_Toc438469362"/>
      <w:r>
        <w:lastRenderedPageBreak/>
        <w:t xml:space="preserve">Table </w:t>
      </w:r>
      <w:r w:rsidR="000700C5">
        <w:fldChar w:fldCharType="begin"/>
      </w:r>
      <w:r w:rsidR="000700C5">
        <w:instrText xml:space="preserve"> SEQ Table \* ARABIC </w:instrText>
      </w:r>
      <w:r w:rsidR="000700C5">
        <w:fldChar w:fldCharType="separate"/>
      </w:r>
      <w:r w:rsidR="00646FD6">
        <w:rPr>
          <w:noProof/>
        </w:rPr>
        <w:t>4</w:t>
      </w:r>
      <w:r w:rsidR="000700C5">
        <w:rPr>
          <w:noProof/>
        </w:rPr>
        <w:fldChar w:fldCharType="end"/>
      </w:r>
      <w:r>
        <w:t xml:space="preserve"> DEER 2016 Base Case for Induction Lighting</w:t>
      </w:r>
      <w:bookmarkEnd w:id="53"/>
    </w:p>
    <w:tbl>
      <w:tblPr>
        <w:tblStyle w:val="TableGrid1"/>
        <w:tblW w:w="4644" w:type="pct"/>
        <w:jc w:val="center"/>
        <w:tblLook w:val="01E0" w:firstRow="1" w:lastRow="1" w:firstColumn="1" w:lastColumn="1" w:noHBand="0" w:noVBand="0"/>
      </w:tblPr>
      <w:tblGrid>
        <w:gridCol w:w="1031"/>
        <w:gridCol w:w="3276"/>
        <w:gridCol w:w="1693"/>
        <w:gridCol w:w="2894"/>
      </w:tblGrid>
      <w:tr w:rsidR="005A3C65" w:rsidRPr="00500C4E" w:rsidTr="005A3C65">
        <w:trPr>
          <w:jc w:val="center"/>
        </w:trPr>
        <w:tc>
          <w:tcPr>
            <w:tcW w:w="579" w:type="pct"/>
            <w:shd w:val="clear" w:color="auto" w:fill="D9D9D9" w:themeFill="background1" w:themeFillShade="D9"/>
            <w:vAlign w:val="center"/>
          </w:tcPr>
          <w:p w:rsidR="005A3C65" w:rsidRPr="006914D5" w:rsidRDefault="005A3C65" w:rsidP="006914D5">
            <w:pPr>
              <w:jc w:val="center"/>
              <w:rPr>
                <w:rFonts w:cs="Arial"/>
                <w:b/>
                <w:sz w:val="20"/>
                <w:szCs w:val="20"/>
              </w:rPr>
            </w:pPr>
            <w:r w:rsidRPr="006914D5">
              <w:rPr>
                <w:rFonts w:cs="Arial"/>
                <w:b/>
                <w:sz w:val="20"/>
                <w:szCs w:val="20"/>
              </w:rPr>
              <w:t>Measure Code</w:t>
            </w:r>
          </w:p>
        </w:tc>
        <w:tc>
          <w:tcPr>
            <w:tcW w:w="1841" w:type="pct"/>
            <w:shd w:val="clear" w:color="auto" w:fill="D9D9D9" w:themeFill="background1" w:themeFillShade="D9"/>
            <w:vAlign w:val="center"/>
          </w:tcPr>
          <w:p w:rsidR="005A3C65" w:rsidRPr="006914D5" w:rsidRDefault="005A3C65" w:rsidP="006914D5">
            <w:pPr>
              <w:jc w:val="center"/>
              <w:rPr>
                <w:rFonts w:cs="Arial"/>
                <w:b/>
                <w:sz w:val="20"/>
                <w:szCs w:val="20"/>
              </w:rPr>
            </w:pPr>
            <w:r w:rsidRPr="006914D5">
              <w:rPr>
                <w:rFonts w:cs="Arial"/>
                <w:b/>
                <w:bCs/>
                <w:sz w:val="20"/>
                <w:szCs w:val="20"/>
              </w:rPr>
              <w:t>Base Case</w:t>
            </w:r>
            <w:r>
              <w:rPr>
                <w:rFonts w:cs="Arial"/>
                <w:b/>
                <w:bCs/>
                <w:sz w:val="20"/>
                <w:szCs w:val="20"/>
              </w:rPr>
              <w:t xml:space="preserve"> Technology</w:t>
            </w:r>
          </w:p>
        </w:tc>
        <w:tc>
          <w:tcPr>
            <w:tcW w:w="952" w:type="pct"/>
            <w:shd w:val="clear" w:color="auto" w:fill="D9D9D9" w:themeFill="background1" w:themeFillShade="D9"/>
            <w:vAlign w:val="center"/>
          </w:tcPr>
          <w:p w:rsidR="005A3C65" w:rsidRPr="006914D5" w:rsidRDefault="005A3C65" w:rsidP="005A3C65">
            <w:pPr>
              <w:jc w:val="center"/>
              <w:rPr>
                <w:rFonts w:cs="Arial"/>
                <w:b/>
                <w:bCs/>
                <w:sz w:val="20"/>
                <w:szCs w:val="20"/>
              </w:rPr>
            </w:pPr>
            <w:r>
              <w:rPr>
                <w:rFonts w:cs="Arial"/>
                <w:b/>
                <w:bCs/>
                <w:sz w:val="20"/>
                <w:szCs w:val="20"/>
              </w:rPr>
              <w:t>Lamp Wattage</w:t>
            </w:r>
          </w:p>
        </w:tc>
        <w:tc>
          <w:tcPr>
            <w:tcW w:w="1627" w:type="pct"/>
            <w:shd w:val="clear" w:color="auto" w:fill="D9D9D9" w:themeFill="background1" w:themeFillShade="D9"/>
            <w:vAlign w:val="center"/>
          </w:tcPr>
          <w:p w:rsidR="005A3C65" w:rsidRPr="006914D5" w:rsidRDefault="005A3C65" w:rsidP="006914D5">
            <w:pPr>
              <w:jc w:val="center"/>
              <w:rPr>
                <w:rFonts w:cs="Arial"/>
                <w:b/>
                <w:sz w:val="20"/>
                <w:szCs w:val="20"/>
              </w:rPr>
            </w:pPr>
            <w:r w:rsidRPr="006914D5">
              <w:rPr>
                <w:rFonts w:cs="Arial"/>
                <w:b/>
                <w:bCs/>
                <w:sz w:val="20"/>
                <w:szCs w:val="20"/>
              </w:rPr>
              <w:t>Base Case Fixture Wattage</w:t>
            </w:r>
          </w:p>
        </w:tc>
      </w:tr>
      <w:tr w:rsidR="005A3C65" w:rsidRPr="00500C4E" w:rsidTr="005A3C65">
        <w:trPr>
          <w:jc w:val="center"/>
        </w:trPr>
        <w:tc>
          <w:tcPr>
            <w:tcW w:w="579" w:type="pct"/>
            <w:vAlign w:val="center"/>
          </w:tcPr>
          <w:p w:rsidR="005A3C65" w:rsidRPr="006914D5" w:rsidRDefault="005A3C65" w:rsidP="006914D5">
            <w:pPr>
              <w:jc w:val="center"/>
              <w:rPr>
                <w:rFonts w:cs="Arial"/>
                <w:color w:val="FF0000"/>
                <w:sz w:val="20"/>
                <w:szCs w:val="20"/>
              </w:rPr>
            </w:pPr>
            <w:r w:rsidRPr="006914D5">
              <w:rPr>
                <w:rFonts w:cs="Arial"/>
                <w:sz w:val="20"/>
                <w:szCs w:val="20"/>
              </w:rPr>
              <w:t>L1023</w:t>
            </w:r>
          </w:p>
        </w:tc>
        <w:tc>
          <w:tcPr>
            <w:tcW w:w="1841" w:type="pct"/>
            <w:vAlign w:val="center"/>
          </w:tcPr>
          <w:p w:rsidR="005A3C65" w:rsidRPr="006914D5" w:rsidRDefault="005A3C65" w:rsidP="005A3C65">
            <w:pPr>
              <w:jc w:val="center"/>
              <w:rPr>
                <w:rFonts w:cs="Arial"/>
                <w:color w:val="FF0000"/>
                <w:sz w:val="20"/>
                <w:szCs w:val="20"/>
              </w:rPr>
            </w:pPr>
            <w:r w:rsidRPr="006914D5">
              <w:rPr>
                <w:rFonts w:cs="Arial"/>
                <w:sz w:val="20"/>
                <w:szCs w:val="20"/>
              </w:rPr>
              <w:t>Metal Halide</w:t>
            </w:r>
          </w:p>
        </w:tc>
        <w:tc>
          <w:tcPr>
            <w:tcW w:w="952" w:type="pct"/>
            <w:vAlign w:val="center"/>
          </w:tcPr>
          <w:p w:rsidR="005A3C65" w:rsidRDefault="005A3C65" w:rsidP="005A3C65">
            <w:pPr>
              <w:jc w:val="center"/>
              <w:rPr>
                <w:rFonts w:cs="Arial"/>
                <w:sz w:val="20"/>
                <w:szCs w:val="20"/>
              </w:rPr>
            </w:pPr>
            <w:r>
              <w:rPr>
                <w:rFonts w:cs="Arial"/>
                <w:sz w:val="20"/>
                <w:szCs w:val="20"/>
              </w:rPr>
              <w:t>100</w:t>
            </w:r>
          </w:p>
        </w:tc>
        <w:tc>
          <w:tcPr>
            <w:tcW w:w="1627" w:type="pct"/>
            <w:vAlign w:val="center"/>
          </w:tcPr>
          <w:p w:rsidR="005A3C65" w:rsidRPr="006914D5" w:rsidRDefault="005A3C65" w:rsidP="006914D5">
            <w:pPr>
              <w:jc w:val="center"/>
              <w:rPr>
                <w:rFonts w:cs="Arial"/>
                <w:color w:val="000000"/>
                <w:sz w:val="20"/>
                <w:szCs w:val="20"/>
              </w:rPr>
            </w:pPr>
            <w:r>
              <w:rPr>
                <w:rFonts w:cs="Arial"/>
                <w:sz w:val="20"/>
                <w:szCs w:val="20"/>
              </w:rPr>
              <w:t>128</w:t>
            </w:r>
          </w:p>
        </w:tc>
      </w:tr>
      <w:tr w:rsidR="005A3C65" w:rsidRPr="00500C4E" w:rsidTr="005A3C65">
        <w:trPr>
          <w:jc w:val="center"/>
        </w:trPr>
        <w:tc>
          <w:tcPr>
            <w:tcW w:w="579" w:type="pct"/>
            <w:vAlign w:val="center"/>
          </w:tcPr>
          <w:p w:rsidR="005A3C65" w:rsidRPr="006914D5" w:rsidRDefault="005A3C65" w:rsidP="006914D5">
            <w:pPr>
              <w:jc w:val="center"/>
              <w:rPr>
                <w:rFonts w:cs="Arial"/>
                <w:color w:val="FF0000"/>
                <w:sz w:val="20"/>
                <w:szCs w:val="20"/>
              </w:rPr>
            </w:pPr>
            <w:r w:rsidRPr="006914D5">
              <w:rPr>
                <w:rFonts w:cs="Arial"/>
                <w:sz w:val="20"/>
                <w:szCs w:val="20"/>
              </w:rPr>
              <w:t>L1024</w:t>
            </w:r>
          </w:p>
        </w:tc>
        <w:tc>
          <w:tcPr>
            <w:tcW w:w="1841" w:type="pct"/>
            <w:vAlign w:val="center"/>
          </w:tcPr>
          <w:p w:rsidR="005A3C65" w:rsidRPr="005A3C65" w:rsidRDefault="005A3C65" w:rsidP="005A3C65">
            <w:pPr>
              <w:jc w:val="center"/>
              <w:rPr>
                <w:rFonts w:cs="Arial"/>
                <w:sz w:val="20"/>
                <w:szCs w:val="20"/>
              </w:rPr>
            </w:pPr>
            <w:r>
              <w:rPr>
                <w:rFonts w:cs="Arial"/>
                <w:sz w:val="20"/>
                <w:szCs w:val="20"/>
              </w:rPr>
              <w:t>Pulse Start Metal Halide</w:t>
            </w:r>
          </w:p>
        </w:tc>
        <w:tc>
          <w:tcPr>
            <w:tcW w:w="952" w:type="pct"/>
            <w:vAlign w:val="center"/>
          </w:tcPr>
          <w:p w:rsidR="005A3C65" w:rsidRDefault="005A3C65" w:rsidP="005A3C65">
            <w:pPr>
              <w:jc w:val="center"/>
              <w:rPr>
                <w:rFonts w:cs="Arial"/>
                <w:sz w:val="20"/>
                <w:szCs w:val="20"/>
              </w:rPr>
            </w:pPr>
            <w:r>
              <w:rPr>
                <w:rFonts w:cs="Arial"/>
                <w:sz w:val="20"/>
                <w:szCs w:val="20"/>
              </w:rPr>
              <w:t>175</w:t>
            </w:r>
          </w:p>
        </w:tc>
        <w:tc>
          <w:tcPr>
            <w:tcW w:w="1627" w:type="pct"/>
            <w:vAlign w:val="center"/>
          </w:tcPr>
          <w:p w:rsidR="005A3C65" w:rsidRPr="006914D5" w:rsidRDefault="005A3C65" w:rsidP="006914D5">
            <w:pPr>
              <w:jc w:val="center"/>
              <w:rPr>
                <w:rFonts w:cs="Arial"/>
                <w:color w:val="000000"/>
                <w:sz w:val="20"/>
                <w:szCs w:val="20"/>
              </w:rPr>
            </w:pPr>
            <w:r>
              <w:rPr>
                <w:rFonts w:cs="Arial"/>
                <w:sz w:val="20"/>
                <w:szCs w:val="20"/>
              </w:rPr>
              <w:t>208</w:t>
            </w:r>
          </w:p>
        </w:tc>
      </w:tr>
      <w:tr w:rsidR="005A3C65" w:rsidRPr="00500C4E" w:rsidTr="005A3C65">
        <w:trPr>
          <w:jc w:val="center"/>
        </w:trPr>
        <w:tc>
          <w:tcPr>
            <w:tcW w:w="579" w:type="pct"/>
            <w:vAlign w:val="center"/>
          </w:tcPr>
          <w:p w:rsidR="005A3C65" w:rsidRPr="006914D5" w:rsidRDefault="005A3C65" w:rsidP="006914D5">
            <w:pPr>
              <w:jc w:val="center"/>
              <w:rPr>
                <w:rFonts w:cs="Arial"/>
                <w:color w:val="FF0000"/>
                <w:sz w:val="20"/>
                <w:szCs w:val="20"/>
              </w:rPr>
            </w:pPr>
            <w:r w:rsidRPr="006914D5">
              <w:rPr>
                <w:rFonts w:cs="Arial"/>
                <w:sz w:val="20"/>
                <w:szCs w:val="20"/>
              </w:rPr>
              <w:t>L1025</w:t>
            </w:r>
          </w:p>
        </w:tc>
        <w:tc>
          <w:tcPr>
            <w:tcW w:w="1841" w:type="pct"/>
            <w:vAlign w:val="center"/>
          </w:tcPr>
          <w:p w:rsidR="005A3C65" w:rsidRPr="006914D5" w:rsidRDefault="005A3C65" w:rsidP="005A3C65">
            <w:pPr>
              <w:jc w:val="center"/>
              <w:rPr>
                <w:rFonts w:cs="Arial"/>
                <w:color w:val="FF0000"/>
                <w:sz w:val="20"/>
                <w:szCs w:val="20"/>
              </w:rPr>
            </w:pPr>
            <w:r>
              <w:rPr>
                <w:rFonts w:cs="Arial"/>
                <w:sz w:val="20"/>
                <w:szCs w:val="20"/>
              </w:rPr>
              <w:t>Pulse Start</w:t>
            </w:r>
            <w:r>
              <w:rPr>
                <w:rFonts w:cs="Arial"/>
                <w:sz w:val="20"/>
                <w:szCs w:val="20"/>
              </w:rPr>
              <w:t xml:space="preserve"> Metal Halide</w:t>
            </w:r>
          </w:p>
        </w:tc>
        <w:tc>
          <w:tcPr>
            <w:tcW w:w="952" w:type="pct"/>
            <w:vAlign w:val="center"/>
          </w:tcPr>
          <w:p w:rsidR="005A3C65" w:rsidRDefault="005A3C65" w:rsidP="005A3C65">
            <w:pPr>
              <w:jc w:val="center"/>
              <w:rPr>
                <w:rFonts w:cs="Arial"/>
                <w:sz w:val="20"/>
                <w:szCs w:val="20"/>
              </w:rPr>
            </w:pPr>
            <w:r>
              <w:rPr>
                <w:rFonts w:cs="Arial"/>
                <w:sz w:val="20"/>
                <w:szCs w:val="20"/>
              </w:rPr>
              <w:t>250</w:t>
            </w:r>
          </w:p>
        </w:tc>
        <w:tc>
          <w:tcPr>
            <w:tcW w:w="1627" w:type="pct"/>
            <w:vAlign w:val="center"/>
          </w:tcPr>
          <w:p w:rsidR="005A3C65" w:rsidRPr="006914D5" w:rsidRDefault="005A3C65" w:rsidP="006914D5">
            <w:pPr>
              <w:jc w:val="center"/>
              <w:rPr>
                <w:rFonts w:cs="Arial"/>
                <w:color w:val="000000"/>
                <w:sz w:val="20"/>
                <w:szCs w:val="20"/>
              </w:rPr>
            </w:pPr>
            <w:r>
              <w:rPr>
                <w:rFonts w:cs="Arial"/>
                <w:sz w:val="20"/>
                <w:szCs w:val="20"/>
              </w:rPr>
              <w:t>288</w:t>
            </w:r>
          </w:p>
        </w:tc>
      </w:tr>
      <w:tr w:rsidR="005A3C65" w:rsidRPr="00500C4E" w:rsidTr="005A3C65">
        <w:trPr>
          <w:jc w:val="center"/>
        </w:trPr>
        <w:tc>
          <w:tcPr>
            <w:tcW w:w="579" w:type="pct"/>
            <w:vAlign w:val="center"/>
          </w:tcPr>
          <w:p w:rsidR="005A3C65" w:rsidRPr="006914D5" w:rsidRDefault="005A3C65" w:rsidP="006914D5">
            <w:pPr>
              <w:jc w:val="center"/>
              <w:rPr>
                <w:rFonts w:cs="Arial"/>
                <w:color w:val="FF0000"/>
                <w:sz w:val="20"/>
                <w:szCs w:val="20"/>
              </w:rPr>
            </w:pPr>
            <w:r w:rsidRPr="006914D5">
              <w:rPr>
                <w:rFonts w:cs="Arial"/>
                <w:sz w:val="20"/>
                <w:szCs w:val="20"/>
              </w:rPr>
              <w:t>L0270</w:t>
            </w:r>
          </w:p>
        </w:tc>
        <w:tc>
          <w:tcPr>
            <w:tcW w:w="1841" w:type="pct"/>
            <w:vAlign w:val="center"/>
          </w:tcPr>
          <w:p w:rsidR="005A3C65" w:rsidRPr="006914D5" w:rsidRDefault="005A3C65" w:rsidP="005A3C65">
            <w:pPr>
              <w:jc w:val="center"/>
              <w:rPr>
                <w:rFonts w:cs="Arial"/>
                <w:color w:val="FF0000"/>
                <w:sz w:val="20"/>
                <w:szCs w:val="20"/>
              </w:rPr>
            </w:pPr>
            <w:r>
              <w:rPr>
                <w:rFonts w:cs="Arial"/>
                <w:sz w:val="20"/>
                <w:szCs w:val="20"/>
              </w:rPr>
              <w:t>Pulse Start</w:t>
            </w:r>
            <w:r w:rsidRPr="006914D5">
              <w:rPr>
                <w:rFonts w:cs="Arial"/>
                <w:sz w:val="20"/>
                <w:szCs w:val="20"/>
              </w:rPr>
              <w:t xml:space="preserve"> Metal Halide</w:t>
            </w:r>
          </w:p>
        </w:tc>
        <w:tc>
          <w:tcPr>
            <w:tcW w:w="952" w:type="pct"/>
            <w:vAlign w:val="center"/>
          </w:tcPr>
          <w:p w:rsidR="005A3C65" w:rsidRDefault="005A3C65" w:rsidP="005A3C65">
            <w:pPr>
              <w:jc w:val="center"/>
              <w:rPr>
                <w:rFonts w:cs="Arial"/>
                <w:sz w:val="20"/>
                <w:szCs w:val="20"/>
              </w:rPr>
            </w:pPr>
            <w:r>
              <w:rPr>
                <w:rFonts w:cs="Arial"/>
                <w:sz w:val="20"/>
                <w:szCs w:val="20"/>
              </w:rPr>
              <w:t>350</w:t>
            </w:r>
          </w:p>
        </w:tc>
        <w:tc>
          <w:tcPr>
            <w:tcW w:w="1627" w:type="pct"/>
            <w:vAlign w:val="center"/>
          </w:tcPr>
          <w:p w:rsidR="005A3C65" w:rsidRPr="006914D5" w:rsidRDefault="005A3C65" w:rsidP="006914D5">
            <w:pPr>
              <w:jc w:val="center"/>
              <w:rPr>
                <w:rFonts w:cs="Arial"/>
                <w:color w:val="000000"/>
                <w:sz w:val="20"/>
                <w:szCs w:val="20"/>
              </w:rPr>
            </w:pPr>
            <w:r>
              <w:rPr>
                <w:rFonts w:cs="Arial"/>
                <w:sz w:val="20"/>
                <w:szCs w:val="20"/>
              </w:rPr>
              <w:t>400</w:t>
            </w:r>
          </w:p>
        </w:tc>
      </w:tr>
    </w:tbl>
    <w:p w:rsidR="00EC6643" w:rsidRPr="00F314AC" w:rsidRDefault="00EC6643" w:rsidP="00EC6643">
      <w:pPr>
        <w:jc w:val="both"/>
        <w:rPr>
          <w:rFonts w:cs="Arial"/>
          <w:sz w:val="20"/>
          <w:szCs w:val="20"/>
        </w:rPr>
      </w:pPr>
    </w:p>
    <w:p w:rsidR="00354723" w:rsidRPr="00EC6643" w:rsidRDefault="00354723" w:rsidP="000F11DD">
      <w:pPr>
        <w:rPr>
          <w:sz w:val="18"/>
        </w:rPr>
      </w:pPr>
    </w:p>
    <w:p w:rsidR="00EC6643" w:rsidRDefault="00354723" w:rsidP="00354723">
      <w:pPr>
        <w:rPr>
          <w:b/>
        </w:rPr>
      </w:pPr>
      <w:r w:rsidRPr="00EC6643">
        <w:rPr>
          <w:b/>
          <w:sz w:val="20"/>
        </w:rPr>
        <w:t>Hours of Operation</w:t>
      </w:r>
    </w:p>
    <w:p w:rsidR="00354723" w:rsidRDefault="002A5729" w:rsidP="00354723">
      <w:pPr>
        <w:rPr>
          <w:sz w:val="20"/>
        </w:rPr>
      </w:pPr>
      <w:r w:rsidRPr="002A5729">
        <w:rPr>
          <w:sz w:val="20"/>
        </w:rPr>
        <w:t xml:space="preserve">The hours of operation depend on the building type. The hours of operation </w:t>
      </w:r>
      <w:r w:rsidR="00EC6643">
        <w:rPr>
          <w:sz w:val="20"/>
        </w:rPr>
        <w:t>and interactive effects are based on DEER 2016</w:t>
      </w:r>
      <w:r w:rsidRPr="002A5729">
        <w:rPr>
          <w:sz w:val="20"/>
        </w:rPr>
        <w:t>.</w:t>
      </w:r>
    </w:p>
    <w:p w:rsidR="00CE0C1E" w:rsidRPr="008903DA" w:rsidRDefault="00CE0C1E" w:rsidP="00354723">
      <w:pPr>
        <w:rPr>
          <w:sz w:val="20"/>
        </w:rPr>
      </w:pPr>
    </w:p>
    <w:p w:rsidR="00CE0C1E" w:rsidRPr="008F48E1" w:rsidRDefault="00CE0C1E" w:rsidP="00CE0C1E">
      <w:pPr>
        <w:rPr>
          <w:rFonts w:cs="Arial"/>
          <w:sz w:val="20"/>
          <w:szCs w:val="20"/>
        </w:rPr>
      </w:pPr>
      <w:bookmarkStart w:id="54" w:name="Net_to_Gross"/>
      <w:bookmarkStart w:id="55" w:name="_Toc304800206"/>
      <w:bookmarkStart w:id="56" w:name="_Toc324318342"/>
      <w:bookmarkStart w:id="57" w:name="_Toc324340486"/>
      <w:r w:rsidRPr="008F48E1">
        <w:rPr>
          <w:rFonts w:cs="Arial"/>
          <w:b/>
          <w:sz w:val="20"/>
          <w:szCs w:val="20"/>
        </w:rPr>
        <w:t>Net-to-Gross</w:t>
      </w:r>
      <w:bookmarkEnd w:id="54"/>
      <w:r w:rsidRPr="008F48E1">
        <w:rPr>
          <w:rFonts w:cs="Arial"/>
          <w:b/>
          <w:sz w:val="20"/>
          <w:szCs w:val="20"/>
        </w:rPr>
        <w:t xml:space="preserve"> Assumption</w:t>
      </w:r>
      <w:r>
        <w:rPr>
          <w:rFonts w:cs="Arial"/>
          <w:sz w:val="20"/>
          <w:szCs w:val="20"/>
        </w:rPr>
        <w:t xml:space="preserve"> </w:t>
      </w:r>
    </w:p>
    <w:p w:rsidR="00CE0C1E" w:rsidRPr="008F48E1" w:rsidRDefault="0092531B" w:rsidP="00CE0C1E">
      <w:pPr>
        <w:rPr>
          <w:rFonts w:cs="Arial"/>
          <w:sz w:val="20"/>
          <w:szCs w:val="20"/>
        </w:rPr>
      </w:pPr>
      <w:r w:rsidRPr="0092531B">
        <w:rPr>
          <w:rFonts w:cs="Arial"/>
          <w:sz w:val="20"/>
          <w:szCs w:val="20"/>
        </w:rPr>
        <w:fldChar w:fldCharType="begin"/>
      </w:r>
      <w:r w:rsidRPr="0092531B">
        <w:rPr>
          <w:rFonts w:cs="Arial"/>
          <w:sz w:val="20"/>
          <w:szCs w:val="20"/>
        </w:rPr>
        <w:instrText xml:space="preserve"> REF _Ref379552944 \h </w:instrText>
      </w:r>
      <w:r>
        <w:rPr>
          <w:rFonts w:cs="Arial"/>
          <w:sz w:val="20"/>
          <w:szCs w:val="20"/>
        </w:rPr>
        <w:instrText xml:space="preserve"> \* MERGEFORMAT </w:instrText>
      </w:r>
      <w:r w:rsidRPr="0092531B">
        <w:rPr>
          <w:rFonts w:cs="Arial"/>
          <w:sz w:val="20"/>
          <w:szCs w:val="20"/>
        </w:rPr>
      </w:r>
      <w:r w:rsidRPr="0092531B">
        <w:rPr>
          <w:rFonts w:cs="Arial"/>
          <w:sz w:val="20"/>
          <w:szCs w:val="20"/>
        </w:rPr>
        <w:fldChar w:fldCharType="separate"/>
      </w:r>
      <w:r w:rsidR="00A07DE5" w:rsidRPr="006524BA">
        <w:rPr>
          <w:rFonts w:cs="Arial"/>
          <w:sz w:val="20"/>
          <w:szCs w:val="20"/>
        </w:rPr>
        <w:t xml:space="preserve">Table </w:t>
      </w:r>
      <w:r w:rsidR="00A07DE5" w:rsidRPr="006524BA">
        <w:rPr>
          <w:rFonts w:cs="Arial"/>
          <w:noProof/>
          <w:sz w:val="20"/>
          <w:szCs w:val="20"/>
        </w:rPr>
        <w:t>3</w:t>
      </w:r>
      <w:r w:rsidRPr="0092531B">
        <w:rPr>
          <w:rFonts w:cs="Arial"/>
          <w:sz w:val="20"/>
          <w:szCs w:val="20"/>
        </w:rPr>
        <w:fldChar w:fldCharType="end"/>
      </w:r>
      <w:r>
        <w:rPr>
          <w:rFonts w:cs="Arial"/>
          <w:sz w:val="20"/>
          <w:szCs w:val="20"/>
        </w:rPr>
        <w:t xml:space="preserve"> </w:t>
      </w:r>
      <w:r w:rsidR="00CE0C1E" w:rsidRPr="008F48E1">
        <w:rPr>
          <w:rFonts w:cs="Arial"/>
          <w:sz w:val="20"/>
          <w:szCs w:val="20"/>
        </w:rPr>
        <w:t>below summarizes all applicable DEER based Net-to-Gross ratios for programs that may be used by this measure.</w:t>
      </w:r>
    </w:p>
    <w:p w:rsidR="00CE0C1E" w:rsidRDefault="00CE0C1E" w:rsidP="00CE0C1E">
      <w:pPr>
        <w:pStyle w:val="Caption"/>
        <w:keepNext/>
        <w:jc w:val="center"/>
        <w:rPr>
          <w:rFonts w:cs="Arial"/>
        </w:rPr>
      </w:pPr>
    </w:p>
    <w:p w:rsidR="00EC6643" w:rsidRDefault="00CE0C1E" w:rsidP="0093133E">
      <w:pPr>
        <w:pStyle w:val="Caption"/>
        <w:keepNext/>
        <w:jc w:val="center"/>
        <w:rPr>
          <w:rFonts w:cs="Arial"/>
        </w:rPr>
      </w:pPr>
      <w:bookmarkStart w:id="58" w:name="_Ref379552944"/>
      <w:bookmarkStart w:id="59" w:name="_Toc438469363"/>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646FD6">
        <w:rPr>
          <w:rFonts w:cs="Arial"/>
          <w:noProof/>
        </w:rPr>
        <w:t>5</w:t>
      </w:r>
      <w:r w:rsidRPr="008F48E1">
        <w:rPr>
          <w:rFonts w:cs="Arial"/>
        </w:rPr>
        <w:fldChar w:fldCharType="end"/>
      </w:r>
      <w:bookmarkEnd w:id="58"/>
      <w:r>
        <w:rPr>
          <w:rFonts w:cs="Arial"/>
        </w:rPr>
        <w:t xml:space="preserve"> DEER </w:t>
      </w:r>
      <w:r w:rsidRPr="008F48E1">
        <w:rPr>
          <w:rFonts w:cs="Arial"/>
        </w:rPr>
        <w:t>Net-to-Gross Ratios</w:t>
      </w:r>
      <w:bookmarkEnd w:id="59"/>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EC6643" w:rsidRPr="00673ED7" w:rsidTr="003B4730">
        <w:tc>
          <w:tcPr>
            <w:tcW w:w="808" w:type="pct"/>
            <w:shd w:val="clear" w:color="auto" w:fill="D9D9D9" w:themeFill="background1" w:themeFillShade="D9"/>
            <w:vAlign w:val="center"/>
          </w:tcPr>
          <w:p w:rsidR="00EC6643" w:rsidRPr="00673ED7" w:rsidRDefault="00EC6643" w:rsidP="003B4730">
            <w:pPr>
              <w:jc w:val="center"/>
              <w:rPr>
                <w:rFonts w:cs="Arial"/>
                <w:b/>
                <w:sz w:val="20"/>
                <w:szCs w:val="20"/>
              </w:rPr>
            </w:pPr>
            <w:r w:rsidRPr="00673ED7">
              <w:rPr>
                <w:rFonts w:cs="Arial"/>
                <w:b/>
                <w:sz w:val="20"/>
                <w:szCs w:val="20"/>
              </w:rPr>
              <w:t>NTGR ID</w:t>
            </w:r>
          </w:p>
        </w:tc>
        <w:tc>
          <w:tcPr>
            <w:tcW w:w="1880" w:type="pct"/>
            <w:shd w:val="clear" w:color="auto" w:fill="D9D9D9" w:themeFill="background1" w:themeFillShade="D9"/>
            <w:vAlign w:val="center"/>
          </w:tcPr>
          <w:p w:rsidR="00EC6643" w:rsidRPr="00673ED7" w:rsidRDefault="00EC6643" w:rsidP="003B4730">
            <w:pPr>
              <w:jc w:val="center"/>
              <w:rPr>
                <w:rFonts w:cs="Arial"/>
                <w:b/>
                <w:sz w:val="20"/>
                <w:szCs w:val="20"/>
              </w:rPr>
            </w:pPr>
            <w:r w:rsidRPr="00673ED7">
              <w:rPr>
                <w:rFonts w:cs="Arial"/>
                <w:b/>
                <w:sz w:val="20"/>
                <w:szCs w:val="20"/>
              </w:rPr>
              <w:t>Description</w:t>
            </w:r>
          </w:p>
        </w:tc>
        <w:tc>
          <w:tcPr>
            <w:tcW w:w="517" w:type="pct"/>
            <w:shd w:val="clear" w:color="auto" w:fill="D9D9D9" w:themeFill="background1" w:themeFillShade="D9"/>
            <w:vAlign w:val="center"/>
          </w:tcPr>
          <w:p w:rsidR="00EC6643" w:rsidRPr="00673ED7" w:rsidRDefault="00EC6643" w:rsidP="003B4730">
            <w:pPr>
              <w:jc w:val="center"/>
              <w:rPr>
                <w:rFonts w:cs="Arial"/>
                <w:b/>
                <w:sz w:val="20"/>
                <w:szCs w:val="20"/>
              </w:rPr>
            </w:pPr>
            <w:r w:rsidRPr="00673ED7">
              <w:rPr>
                <w:rFonts w:cs="Arial"/>
                <w:b/>
                <w:sz w:val="20"/>
                <w:szCs w:val="20"/>
              </w:rPr>
              <w:t>Sector</w:t>
            </w:r>
          </w:p>
        </w:tc>
        <w:tc>
          <w:tcPr>
            <w:tcW w:w="611" w:type="pct"/>
            <w:shd w:val="clear" w:color="auto" w:fill="D9D9D9" w:themeFill="background1" w:themeFillShade="D9"/>
            <w:vAlign w:val="center"/>
          </w:tcPr>
          <w:p w:rsidR="00EC6643" w:rsidRPr="00673ED7" w:rsidRDefault="00EC6643" w:rsidP="003B4730">
            <w:pPr>
              <w:jc w:val="center"/>
              <w:rPr>
                <w:rFonts w:cs="Arial"/>
                <w:b/>
                <w:sz w:val="20"/>
                <w:szCs w:val="20"/>
              </w:rPr>
            </w:pPr>
            <w:proofErr w:type="spellStart"/>
            <w:r w:rsidRPr="00673ED7">
              <w:rPr>
                <w:rFonts w:cs="Arial"/>
                <w:b/>
                <w:sz w:val="20"/>
                <w:szCs w:val="20"/>
              </w:rPr>
              <w:t>BldgType</w:t>
            </w:r>
            <w:proofErr w:type="spellEnd"/>
          </w:p>
        </w:tc>
        <w:tc>
          <w:tcPr>
            <w:tcW w:w="752" w:type="pct"/>
            <w:shd w:val="clear" w:color="auto" w:fill="D9D9D9" w:themeFill="background1" w:themeFillShade="D9"/>
            <w:vAlign w:val="center"/>
          </w:tcPr>
          <w:p w:rsidR="00EC6643" w:rsidRPr="00673ED7" w:rsidRDefault="00EC6643" w:rsidP="003B4730">
            <w:pPr>
              <w:jc w:val="center"/>
              <w:rPr>
                <w:rFonts w:cs="Arial"/>
                <w:b/>
                <w:sz w:val="20"/>
                <w:szCs w:val="20"/>
              </w:rPr>
            </w:pPr>
            <w:r w:rsidRPr="00673ED7">
              <w:rPr>
                <w:rFonts w:cs="Arial"/>
                <w:b/>
                <w:sz w:val="20"/>
                <w:szCs w:val="20"/>
              </w:rPr>
              <w:t>Delivery Method</w:t>
            </w:r>
          </w:p>
        </w:tc>
        <w:tc>
          <w:tcPr>
            <w:tcW w:w="432" w:type="pct"/>
            <w:shd w:val="clear" w:color="auto" w:fill="D9D9D9" w:themeFill="background1" w:themeFillShade="D9"/>
            <w:vAlign w:val="center"/>
          </w:tcPr>
          <w:p w:rsidR="00EC6643" w:rsidRPr="00673ED7" w:rsidRDefault="00EC6643" w:rsidP="003B4730">
            <w:pPr>
              <w:jc w:val="center"/>
              <w:rPr>
                <w:rFonts w:cs="Arial"/>
                <w:b/>
                <w:sz w:val="20"/>
                <w:szCs w:val="20"/>
              </w:rPr>
            </w:pPr>
            <w:r w:rsidRPr="00673ED7">
              <w:rPr>
                <w:rFonts w:cs="Arial"/>
                <w:b/>
                <w:sz w:val="20"/>
                <w:szCs w:val="20"/>
              </w:rPr>
              <w:t>NTGR</w:t>
            </w:r>
          </w:p>
        </w:tc>
      </w:tr>
      <w:tr w:rsidR="00EC6643" w:rsidRPr="00673ED7" w:rsidTr="003B4730">
        <w:tc>
          <w:tcPr>
            <w:tcW w:w="808" w:type="pct"/>
            <w:vAlign w:val="center"/>
          </w:tcPr>
          <w:p w:rsidR="00EC6643" w:rsidRPr="00673ED7" w:rsidRDefault="00EC6643" w:rsidP="003B4730">
            <w:pPr>
              <w:jc w:val="center"/>
              <w:rPr>
                <w:rFonts w:cs="Arial"/>
                <w:sz w:val="20"/>
                <w:szCs w:val="20"/>
              </w:rPr>
            </w:pPr>
            <w:r w:rsidRPr="00DE3ABF">
              <w:rPr>
                <w:rFonts w:cs="Arial"/>
                <w:sz w:val="20"/>
                <w:szCs w:val="20"/>
              </w:rPr>
              <w:t>Com-Default&gt;2yrs</w:t>
            </w:r>
          </w:p>
        </w:tc>
        <w:tc>
          <w:tcPr>
            <w:tcW w:w="1880" w:type="pct"/>
            <w:vAlign w:val="center"/>
          </w:tcPr>
          <w:p w:rsidR="00EC6643" w:rsidRPr="00673ED7" w:rsidRDefault="00EC6643" w:rsidP="003B4730">
            <w:pPr>
              <w:jc w:val="center"/>
              <w:rPr>
                <w:rFonts w:cs="Arial"/>
                <w:sz w:val="20"/>
                <w:szCs w:val="20"/>
              </w:rPr>
            </w:pPr>
            <w:r w:rsidRPr="00DE3ABF">
              <w:rPr>
                <w:rFonts w:cs="Arial"/>
                <w:sz w:val="20"/>
                <w:szCs w:val="20"/>
              </w:rPr>
              <w:t>All other EEMs with no evaluated NTGR; existing EEM in programs with same delivery mechanism for more than 2 years</w:t>
            </w:r>
          </w:p>
        </w:tc>
        <w:tc>
          <w:tcPr>
            <w:tcW w:w="517" w:type="pct"/>
            <w:vAlign w:val="center"/>
          </w:tcPr>
          <w:p w:rsidR="00EC6643" w:rsidRPr="00673ED7" w:rsidRDefault="00EC6643" w:rsidP="003B4730">
            <w:pPr>
              <w:jc w:val="center"/>
              <w:rPr>
                <w:rFonts w:cs="Arial"/>
                <w:sz w:val="20"/>
                <w:szCs w:val="20"/>
              </w:rPr>
            </w:pPr>
            <w:r w:rsidRPr="00DE3ABF">
              <w:rPr>
                <w:rFonts w:cs="Arial"/>
                <w:sz w:val="20"/>
                <w:szCs w:val="20"/>
              </w:rPr>
              <w:t>Com</w:t>
            </w:r>
          </w:p>
        </w:tc>
        <w:tc>
          <w:tcPr>
            <w:tcW w:w="611" w:type="pct"/>
            <w:vAlign w:val="center"/>
          </w:tcPr>
          <w:p w:rsidR="00EC6643" w:rsidRPr="00673ED7" w:rsidRDefault="00EC6643" w:rsidP="003B4730">
            <w:pPr>
              <w:jc w:val="center"/>
              <w:rPr>
                <w:rFonts w:cs="Arial"/>
                <w:sz w:val="20"/>
                <w:szCs w:val="20"/>
              </w:rPr>
            </w:pPr>
            <w:r w:rsidRPr="00673ED7">
              <w:rPr>
                <w:rFonts w:cs="Arial"/>
                <w:sz w:val="20"/>
                <w:szCs w:val="20"/>
              </w:rPr>
              <w:t>Any</w:t>
            </w:r>
          </w:p>
        </w:tc>
        <w:tc>
          <w:tcPr>
            <w:tcW w:w="752" w:type="pct"/>
            <w:vAlign w:val="center"/>
          </w:tcPr>
          <w:p w:rsidR="00EC6643" w:rsidRPr="00673ED7" w:rsidRDefault="00EC6643" w:rsidP="003B4730">
            <w:pPr>
              <w:jc w:val="center"/>
              <w:rPr>
                <w:rFonts w:cs="Arial"/>
                <w:sz w:val="20"/>
                <w:szCs w:val="20"/>
              </w:rPr>
            </w:pPr>
            <w:r w:rsidRPr="00DE3ABF">
              <w:rPr>
                <w:rFonts w:cs="Arial"/>
                <w:sz w:val="20"/>
                <w:szCs w:val="20"/>
              </w:rPr>
              <w:t>Any</w:t>
            </w:r>
          </w:p>
        </w:tc>
        <w:tc>
          <w:tcPr>
            <w:tcW w:w="432" w:type="pct"/>
            <w:vAlign w:val="center"/>
          </w:tcPr>
          <w:p w:rsidR="00EC6643" w:rsidRPr="00673ED7" w:rsidRDefault="00EC6643" w:rsidP="003B4730">
            <w:pPr>
              <w:jc w:val="center"/>
              <w:rPr>
                <w:rFonts w:cs="Arial"/>
                <w:sz w:val="20"/>
                <w:szCs w:val="20"/>
              </w:rPr>
            </w:pPr>
            <w:r w:rsidRPr="00673ED7">
              <w:rPr>
                <w:rFonts w:cs="Arial"/>
                <w:sz w:val="20"/>
                <w:szCs w:val="20"/>
              </w:rPr>
              <w:t>0.6</w:t>
            </w:r>
            <w:r w:rsidRPr="00DE3ABF">
              <w:rPr>
                <w:rFonts w:cs="Arial"/>
                <w:sz w:val="20"/>
                <w:szCs w:val="20"/>
              </w:rPr>
              <w:t>0</w:t>
            </w:r>
          </w:p>
        </w:tc>
      </w:tr>
    </w:tbl>
    <w:p w:rsidR="00EC6643" w:rsidRDefault="00EC6643" w:rsidP="000D1FC4">
      <w:pPr>
        <w:rPr>
          <w:rFonts w:cs="Arial"/>
          <w:sz w:val="20"/>
          <w:szCs w:val="20"/>
        </w:rPr>
      </w:pPr>
    </w:p>
    <w:p w:rsidR="000D1FC4" w:rsidRPr="00B83999" w:rsidRDefault="000D1FC4" w:rsidP="000D1FC4">
      <w:pPr>
        <w:rPr>
          <w:rFonts w:cs="Arial"/>
          <w:b/>
          <w:sz w:val="20"/>
          <w:szCs w:val="20"/>
        </w:rPr>
      </w:pPr>
      <w:r w:rsidRPr="00B83999">
        <w:rPr>
          <w:rFonts w:cs="Arial"/>
          <w:b/>
          <w:sz w:val="20"/>
          <w:szCs w:val="20"/>
        </w:rPr>
        <w:t>Spillage Rate</w:t>
      </w:r>
    </w:p>
    <w:p w:rsidR="000D1FC4" w:rsidRPr="00B83999" w:rsidRDefault="000D1FC4" w:rsidP="000D1FC4">
      <w:pPr>
        <w:rPr>
          <w:rFonts w:cs="Arial"/>
          <w:sz w:val="20"/>
          <w:szCs w:val="20"/>
        </w:rPr>
      </w:pPr>
      <w:r w:rsidRPr="00B83999">
        <w:rPr>
          <w:rFonts w:cs="Arial"/>
          <w:sz w:val="20"/>
          <w:szCs w:val="20"/>
        </w:rPr>
        <w:t>Spillage rates are not tracked in work papers; they are tracked in an external document which will be supplied to the Commission Staff.</w:t>
      </w:r>
    </w:p>
    <w:p w:rsidR="000D1FC4" w:rsidRPr="00B83999" w:rsidRDefault="000D1FC4" w:rsidP="000D1FC4">
      <w:pPr>
        <w:rPr>
          <w:rFonts w:cs="Arial"/>
          <w:b/>
          <w:sz w:val="20"/>
          <w:szCs w:val="20"/>
        </w:rPr>
      </w:pPr>
    </w:p>
    <w:p w:rsidR="000D1FC4" w:rsidRPr="00B83999" w:rsidRDefault="000D1FC4" w:rsidP="000D1FC4">
      <w:pPr>
        <w:rPr>
          <w:rFonts w:cs="Arial"/>
          <w:b/>
          <w:sz w:val="20"/>
          <w:szCs w:val="20"/>
        </w:rPr>
      </w:pPr>
      <w:r w:rsidRPr="00B83999">
        <w:rPr>
          <w:rFonts w:cs="Arial"/>
          <w:b/>
          <w:sz w:val="20"/>
          <w:szCs w:val="20"/>
        </w:rPr>
        <w:t>Installation Rate</w:t>
      </w:r>
    </w:p>
    <w:p w:rsidR="000D1FC4" w:rsidRDefault="000D1FC4" w:rsidP="000D1FC4">
      <w:pPr>
        <w:rPr>
          <w:rFonts w:cs="Arial"/>
          <w:sz w:val="20"/>
          <w:szCs w:val="20"/>
        </w:rPr>
      </w:pPr>
      <w:r>
        <w:rPr>
          <w:rFonts w:cs="Arial"/>
          <w:sz w:val="20"/>
          <w:szCs w:val="20"/>
        </w:rPr>
        <w:t xml:space="preserve">The IR values were </w:t>
      </w:r>
      <w:r w:rsidRPr="00B83999">
        <w:rPr>
          <w:rFonts w:cs="Arial"/>
          <w:sz w:val="20"/>
          <w:szCs w:val="20"/>
        </w:rPr>
        <w:t>obtained using the DEER READI tool. The relevant IR value</w:t>
      </w:r>
      <w:r>
        <w:rPr>
          <w:rFonts w:cs="Arial"/>
          <w:sz w:val="20"/>
          <w:szCs w:val="20"/>
        </w:rPr>
        <w:t>s</w:t>
      </w:r>
      <w:r w:rsidRPr="00B83999">
        <w:rPr>
          <w:rFonts w:cs="Arial"/>
          <w:sz w:val="20"/>
          <w:szCs w:val="20"/>
        </w:rPr>
        <w:t xml:space="preserve"> for the measures in this work paper </w:t>
      </w:r>
      <w:r>
        <w:rPr>
          <w:rFonts w:cs="Arial"/>
          <w:sz w:val="20"/>
          <w:szCs w:val="20"/>
        </w:rPr>
        <w:t>are</w:t>
      </w:r>
      <w:r w:rsidRPr="00B83999">
        <w:rPr>
          <w:rFonts w:cs="Arial"/>
          <w:sz w:val="20"/>
          <w:szCs w:val="20"/>
        </w:rPr>
        <w:t xml:space="preserve"> in the table below.</w:t>
      </w:r>
    </w:p>
    <w:p w:rsidR="000D1FC4" w:rsidRDefault="000D1FC4" w:rsidP="000D1FC4">
      <w:pPr>
        <w:rPr>
          <w:rFonts w:cs="Arial"/>
          <w:sz w:val="20"/>
          <w:szCs w:val="20"/>
        </w:rPr>
      </w:pPr>
    </w:p>
    <w:p w:rsidR="006F0EF6" w:rsidRDefault="006F0EF6" w:rsidP="006F0EF6">
      <w:pPr>
        <w:pStyle w:val="Caption"/>
        <w:keepNext/>
        <w:jc w:val="center"/>
      </w:pPr>
      <w:bookmarkStart w:id="60" w:name="_Toc438469364"/>
      <w:r>
        <w:t xml:space="preserve">Table </w:t>
      </w:r>
      <w:r w:rsidR="000700C5">
        <w:fldChar w:fldCharType="begin"/>
      </w:r>
      <w:r w:rsidR="000700C5">
        <w:instrText xml:space="preserve"> SEQ Table \* ARABIC </w:instrText>
      </w:r>
      <w:r w:rsidR="000700C5">
        <w:fldChar w:fldCharType="separate"/>
      </w:r>
      <w:r w:rsidR="00646FD6">
        <w:rPr>
          <w:noProof/>
        </w:rPr>
        <w:t>6</w:t>
      </w:r>
      <w:r w:rsidR="000700C5">
        <w:rPr>
          <w:noProof/>
        </w:rPr>
        <w:fldChar w:fldCharType="end"/>
      </w:r>
      <w:r>
        <w:t xml:space="preserve"> Installation Rate</w:t>
      </w:r>
      <w:bookmarkEnd w:id="60"/>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0D1FC4" w:rsidRPr="00B83999" w:rsidTr="000D1FC4">
        <w:tc>
          <w:tcPr>
            <w:tcW w:w="716" w:type="pct"/>
            <w:shd w:val="clear" w:color="auto" w:fill="D9D9D9" w:themeFill="background1" w:themeFillShade="D9"/>
            <w:vAlign w:val="center"/>
          </w:tcPr>
          <w:p w:rsidR="000D1FC4" w:rsidRPr="00B83999" w:rsidRDefault="000D1FC4" w:rsidP="003B4730">
            <w:pPr>
              <w:jc w:val="center"/>
              <w:rPr>
                <w:rFonts w:cs="Arial"/>
                <w:b/>
                <w:sz w:val="20"/>
                <w:szCs w:val="20"/>
              </w:rPr>
            </w:pPr>
            <w:r w:rsidRPr="00B83999">
              <w:rPr>
                <w:rFonts w:cs="Arial"/>
                <w:b/>
                <w:sz w:val="20"/>
                <w:szCs w:val="20"/>
              </w:rPr>
              <w:t>GSIA ID</w:t>
            </w:r>
          </w:p>
        </w:tc>
        <w:tc>
          <w:tcPr>
            <w:tcW w:w="1398" w:type="pct"/>
            <w:shd w:val="clear" w:color="auto" w:fill="D9D9D9" w:themeFill="background1" w:themeFillShade="D9"/>
            <w:vAlign w:val="center"/>
          </w:tcPr>
          <w:p w:rsidR="000D1FC4" w:rsidRPr="00B83999" w:rsidRDefault="000D1FC4" w:rsidP="003B4730">
            <w:pPr>
              <w:jc w:val="center"/>
              <w:rPr>
                <w:rFonts w:cs="Arial"/>
                <w:b/>
                <w:sz w:val="20"/>
                <w:szCs w:val="20"/>
              </w:rPr>
            </w:pPr>
            <w:r w:rsidRPr="00B83999">
              <w:rPr>
                <w:rFonts w:cs="Arial"/>
                <w:b/>
                <w:sz w:val="20"/>
                <w:szCs w:val="20"/>
              </w:rPr>
              <w:t>Description</w:t>
            </w:r>
          </w:p>
        </w:tc>
        <w:tc>
          <w:tcPr>
            <w:tcW w:w="682" w:type="pct"/>
            <w:shd w:val="clear" w:color="auto" w:fill="D9D9D9" w:themeFill="background1" w:themeFillShade="D9"/>
            <w:vAlign w:val="center"/>
          </w:tcPr>
          <w:p w:rsidR="000D1FC4" w:rsidRPr="00B83999" w:rsidRDefault="000D1FC4" w:rsidP="003B4730">
            <w:pPr>
              <w:jc w:val="center"/>
              <w:rPr>
                <w:rFonts w:cs="Arial"/>
                <w:b/>
                <w:sz w:val="20"/>
                <w:szCs w:val="20"/>
              </w:rPr>
            </w:pPr>
            <w:r w:rsidRPr="00B83999">
              <w:rPr>
                <w:rFonts w:cs="Arial"/>
                <w:b/>
                <w:sz w:val="20"/>
                <w:szCs w:val="20"/>
              </w:rPr>
              <w:t>Sector</w:t>
            </w:r>
          </w:p>
        </w:tc>
        <w:tc>
          <w:tcPr>
            <w:tcW w:w="852" w:type="pct"/>
            <w:shd w:val="clear" w:color="auto" w:fill="D9D9D9" w:themeFill="background1" w:themeFillShade="D9"/>
            <w:vAlign w:val="center"/>
          </w:tcPr>
          <w:p w:rsidR="000D1FC4" w:rsidRPr="00B83999" w:rsidRDefault="000D1FC4" w:rsidP="003B4730">
            <w:pPr>
              <w:jc w:val="center"/>
              <w:rPr>
                <w:rFonts w:cs="Arial"/>
                <w:b/>
                <w:sz w:val="20"/>
                <w:szCs w:val="20"/>
              </w:rPr>
            </w:pPr>
            <w:proofErr w:type="spellStart"/>
            <w:r w:rsidRPr="00B83999">
              <w:rPr>
                <w:rFonts w:cs="Arial"/>
                <w:b/>
                <w:sz w:val="20"/>
                <w:szCs w:val="20"/>
              </w:rPr>
              <w:t>BldgType</w:t>
            </w:r>
            <w:proofErr w:type="spellEnd"/>
          </w:p>
        </w:tc>
        <w:tc>
          <w:tcPr>
            <w:tcW w:w="705" w:type="pct"/>
            <w:shd w:val="clear" w:color="auto" w:fill="D9D9D9" w:themeFill="background1" w:themeFillShade="D9"/>
            <w:vAlign w:val="center"/>
          </w:tcPr>
          <w:p w:rsidR="000D1FC4" w:rsidRPr="00B83999" w:rsidRDefault="000D1FC4" w:rsidP="003B4730">
            <w:pPr>
              <w:jc w:val="center"/>
              <w:rPr>
                <w:rFonts w:cs="Arial"/>
                <w:b/>
                <w:sz w:val="20"/>
                <w:szCs w:val="20"/>
              </w:rPr>
            </w:pPr>
            <w:proofErr w:type="spellStart"/>
            <w:r w:rsidRPr="00B83999">
              <w:rPr>
                <w:rFonts w:cs="Arial"/>
                <w:b/>
                <w:sz w:val="20"/>
                <w:szCs w:val="20"/>
              </w:rPr>
              <w:t>ProgDelivID</w:t>
            </w:r>
            <w:proofErr w:type="spellEnd"/>
          </w:p>
        </w:tc>
        <w:tc>
          <w:tcPr>
            <w:tcW w:w="647" w:type="pct"/>
            <w:shd w:val="clear" w:color="auto" w:fill="D9D9D9" w:themeFill="background1" w:themeFillShade="D9"/>
            <w:vAlign w:val="center"/>
          </w:tcPr>
          <w:p w:rsidR="000D1FC4" w:rsidRPr="00B83999" w:rsidRDefault="000D1FC4" w:rsidP="003B4730">
            <w:pPr>
              <w:jc w:val="center"/>
              <w:rPr>
                <w:rFonts w:cs="Arial"/>
                <w:b/>
                <w:sz w:val="20"/>
                <w:szCs w:val="20"/>
              </w:rPr>
            </w:pPr>
            <w:proofErr w:type="spellStart"/>
            <w:r w:rsidRPr="00B83999">
              <w:rPr>
                <w:rFonts w:cs="Arial"/>
                <w:b/>
                <w:sz w:val="20"/>
                <w:szCs w:val="20"/>
              </w:rPr>
              <w:t>GSIAValue</w:t>
            </w:r>
            <w:proofErr w:type="spellEnd"/>
          </w:p>
        </w:tc>
      </w:tr>
      <w:tr w:rsidR="009C25E1" w:rsidRPr="00B83999" w:rsidTr="000D1FC4">
        <w:tc>
          <w:tcPr>
            <w:tcW w:w="716" w:type="pct"/>
            <w:shd w:val="clear" w:color="auto" w:fill="auto"/>
            <w:vAlign w:val="center"/>
          </w:tcPr>
          <w:p w:rsidR="009C25E1" w:rsidRPr="00B83999" w:rsidRDefault="009C25E1" w:rsidP="003B4730">
            <w:pPr>
              <w:jc w:val="center"/>
              <w:rPr>
                <w:rFonts w:cs="Arial"/>
                <w:sz w:val="20"/>
                <w:szCs w:val="20"/>
              </w:rPr>
            </w:pPr>
            <w:r>
              <w:rPr>
                <w:rFonts w:cs="Arial"/>
                <w:sz w:val="20"/>
                <w:szCs w:val="20"/>
              </w:rPr>
              <w:t>Com-</w:t>
            </w:r>
            <w:proofErr w:type="spellStart"/>
            <w:r>
              <w:rPr>
                <w:rFonts w:cs="Arial"/>
                <w:sz w:val="20"/>
                <w:szCs w:val="20"/>
              </w:rPr>
              <w:t>HiBay</w:t>
            </w:r>
            <w:proofErr w:type="spellEnd"/>
            <w:r>
              <w:rPr>
                <w:rFonts w:cs="Arial"/>
                <w:sz w:val="20"/>
                <w:szCs w:val="20"/>
              </w:rPr>
              <w:t>-PGE</w:t>
            </w:r>
          </w:p>
        </w:tc>
        <w:tc>
          <w:tcPr>
            <w:tcW w:w="1398" w:type="pct"/>
            <w:shd w:val="clear" w:color="auto" w:fill="auto"/>
            <w:vAlign w:val="center"/>
          </w:tcPr>
          <w:p w:rsidR="009C25E1" w:rsidRPr="00B83999" w:rsidRDefault="009C25E1" w:rsidP="003B4730">
            <w:pPr>
              <w:jc w:val="center"/>
              <w:rPr>
                <w:rFonts w:cs="Arial"/>
                <w:sz w:val="20"/>
                <w:szCs w:val="20"/>
              </w:rPr>
            </w:pPr>
            <w:r w:rsidRPr="009C25E1">
              <w:rPr>
                <w:rFonts w:cs="Arial"/>
                <w:sz w:val="20"/>
                <w:szCs w:val="20"/>
              </w:rPr>
              <w:t>Non-Res High-Bay; Annual Installation Rate</w:t>
            </w:r>
          </w:p>
        </w:tc>
        <w:tc>
          <w:tcPr>
            <w:tcW w:w="682" w:type="pct"/>
            <w:shd w:val="clear" w:color="auto" w:fill="auto"/>
            <w:vAlign w:val="center"/>
          </w:tcPr>
          <w:p w:rsidR="009C25E1" w:rsidRDefault="009C25E1" w:rsidP="003B4730">
            <w:pPr>
              <w:jc w:val="center"/>
              <w:rPr>
                <w:rFonts w:cs="Arial"/>
                <w:sz w:val="20"/>
                <w:szCs w:val="20"/>
              </w:rPr>
            </w:pPr>
            <w:r>
              <w:rPr>
                <w:rFonts w:cs="Arial"/>
                <w:sz w:val="20"/>
                <w:szCs w:val="20"/>
              </w:rPr>
              <w:t>Com</w:t>
            </w:r>
          </w:p>
        </w:tc>
        <w:tc>
          <w:tcPr>
            <w:tcW w:w="852" w:type="pct"/>
            <w:shd w:val="clear" w:color="auto" w:fill="auto"/>
            <w:vAlign w:val="center"/>
          </w:tcPr>
          <w:p w:rsidR="009C25E1" w:rsidRDefault="009C25E1" w:rsidP="003B4730">
            <w:pPr>
              <w:jc w:val="center"/>
              <w:rPr>
                <w:rFonts w:cs="Arial"/>
                <w:sz w:val="20"/>
                <w:szCs w:val="20"/>
              </w:rPr>
            </w:pPr>
            <w:r>
              <w:rPr>
                <w:rFonts w:cs="Arial"/>
                <w:sz w:val="20"/>
                <w:szCs w:val="20"/>
              </w:rPr>
              <w:t>Any</w:t>
            </w:r>
          </w:p>
        </w:tc>
        <w:tc>
          <w:tcPr>
            <w:tcW w:w="705" w:type="pct"/>
            <w:shd w:val="clear" w:color="auto" w:fill="auto"/>
            <w:vAlign w:val="center"/>
          </w:tcPr>
          <w:p w:rsidR="009C25E1" w:rsidRDefault="009C25E1" w:rsidP="003B4730">
            <w:pPr>
              <w:jc w:val="center"/>
              <w:rPr>
                <w:rFonts w:cs="Arial"/>
                <w:sz w:val="20"/>
                <w:szCs w:val="20"/>
              </w:rPr>
            </w:pPr>
            <w:proofErr w:type="spellStart"/>
            <w:r>
              <w:rPr>
                <w:rFonts w:cs="Arial"/>
                <w:sz w:val="20"/>
                <w:szCs w:val="20"/>
              </w:rPr>
              <w:t>NonUpStrm</w:t>
            </w:r>
            <w:proofErr w:type="spellEnd"/>
          </w:p>
        </w:tc>
        <w:tc>
          <w:tcPr>
            <w:tcW w:w="647" w:type="pct"/>
            <w:shd w:val="clear" w:color="auto" w:fill="auto"/>
            <w:vAlign w:val="center"/>
          </w:tcPr>
          <w:p w:rsidR="009C25E1" w:rsidRDefault="009C25E1" w:rsidP="003B4730">
            <w:pPr>
              <w:jc w:val="center"/>
              <w:rPr>
                <w:rFonts w:cs="Arial"/>
                <w:sz w:val="20"/>
                <w:szCs w:val="20"/>
              </w:rPr>
            </w:pPr>
            <w:r>
              <w:rPr>
                <w:rFonts w:cs="Arial"/>
                <w:sz w:val="20"/>
                <w:szCs w:val="20"/>
              </w:rPr>
              <w:t>0.92</w:t>
            </w:r>
          </w:p>
        </w:tc>
      </w:tr>
    </w:tbl>
    <w:p w:rsidR="000D1FC4" w:rsidRPr="00B83999" w:rsidRDefault="000D1FC4" w:rsidP="000D1FC4">
      <w:pPr>
        <w:rPr>
          <w:rFonts w:cs="Arial"/>
          <w:sz w:val="20"/>
          <w:szCs w:val="20"/>
        </w:rPr>
      </w:pPr>
    </w:p>
    <w:p w:rsidR="000D1FC4" w:rsidRPr="00FD605E" w:rsidRDefault="000D1FC4" w:rsidP="000D1FC4">
      <w:r w:rsidRPr="00FD605E">
        <w:rPr>
          <w:rFonts w:cs="Arial"/>
          <w:b/>
          <w:sz w:val="20"/>
          <w:szCs w:val="20"/>
        </w:rPr>
        <w:t>Effective Useful Life / Remaining Useful Life</w:t>
      </w:r>
    </w:p>
    <w:p w:rsidR="000D1FC4" w:rsidRDefault="000D1FC4" w:rsidP="000D1FC4">
      <w:pPr>
        <w:rPr>
          <w:rFonts w:cs="Arial"/>
          <w:sz w:val="20"/>
          <w:szCs w:val="20"/>
        </w:rPr>
      </w:pPr>
      <w:r w:rsidRPr="000D1FC4">
        <w:rPr>
          <w:rFonts w:cs="Arial"/>
          <w:sz w:val="20"/>
          <w:szCs w:val="20"/>
        </w:rPr>
        <w:t>Induction fixture lifetime is limited based on the ballast (generator) lifetime. Some induction generators claim a lifetime of 100000 hours, but the more common value claimed is 70,000 hours. The more conservative hours of 70,000 hours is used to calculate the effective useful life of these fixtures for each building type. DEER 201</w:t>
      </w:r>
      <w:r w:rsidR="00E749E5">
        <w:rPr>
          <w:rFonts w:cs="Arial"/>
          <w:sz w:val="20"/>
          <w:szCs w:val="20"/>
        </w:rPr>
        <w:t>6</w:t>
      </w:r>
      <w:r w:rsidRPr="000D1FC4">
        <w:rPr>
          <w:rFonts w:cs="Arial"/>
          <w:sz w:val="20"/>
          <w:szCs w:val="20"/>
        </w:rPr>
        <w:t xml:space="preserve"> does not provide EUL for this specific lighting measure, but for all HID and other large wattage fixtures the EUL is listed as 15 years max.</w:t>
      </w:r>
    </w:p>
    <w:p w:rsidR="00E749E5" w:rsidRDefault="00E749E5" w:rsidP="000D1FC4">
      <w:pPr>
        <w:rPr>
          <w:rFonts w:cs="Arial"/>
          <w:sz w:val="20"/>
          <w:szCs w:val="20"/>
        </w:rPr>
      </w:pPr>
    </w:p>
    <w:p w:rsidR="000D1FC4" w:rsidRPr="000252A6" w:rsidRDefault="000D1FC4" w:rsidP="000D1FC4">
      <w:pPr>
        <w:rPr>
          <w:rFonts w:cs="Arial"/>
          <w:sz w:val="20"/>
          <w:szCs w:val="20"/>
        </w:rPr>
      </w:pPr>
      <w:r>
        <w:rPr>
          <w:rFonts w:cs="Arial"/>
          <w:sz w:val="20"/>
          <w:szCs w:val="20"/>
        </w:rPr>
        <w:t>The EUL is calculated using the following equation:</w:t>
      </w:r>
    </w:p>
    <w:p w:rsidR="000D1FC4" w:rsidRPr="000252A6" w:rsidRDefault="000D1FC4" w:rsidP="000D1FC4">
      <w:pPr>
        <w:rPr>
          <w:rFonts w:cs="Arial"/>
          <w:sz w:val="20"/>
          <w:szCs w:val="20"/>
        </w:rPr>
      </w:pPr>
    </w:p>
    <w:p w:rsidR="000D1FC4" w:rsidRPr="000252A6" w:rsidRDefault="000D1FC4" w:rsidP="000D1FC4">
      <w:pPr>
        <w:rPr>
          <w:rFonts w:cs="Arial"/>
          <w:sz w:val="20"/>
          <w:szCs w:val="20"/>
        </w:rPr>
      </w:pPr>
      <w:r w:rsidRPr="000252A6">
        <w:rPr>
          <w:rFonts w:cs="Arial"/>
          <w:sz w:val="20"/>
          <w:szCs w:val="20"/>
        </w:rPr>
        <w:tab/>
        <w:t>EUL = (</w:t>
      </w:r>
      <w:r>
        <w:rPr>
          <w:rFonts w:cs="Arial"/>
          <w:sz w:val="20"/>
          <w:szCs w:val="20"/>
        </w:rPr>
        <w:t>Rated Life of Lamp (</w:t>
      </w:r>
      <w:r w:rsidR="00E749E5">
        <w:rPr>
          <w:rFonts w:cs="Arial"/>
          <w:sz w:val="20"/>
          <w:szCs w:val="20"/>
        </w:rPr>
        <w:t>70</w:t>
      </w:r>
      <w:r>
        <w:rPr>
          <w:rFonts w:cs="Arial"/>
          <w:sz w:val="20"/>
          <w:szCs w:val="20"/>
        </w:rPr>
        <w:t>,000 hours)</w:t>
      </w:r>
      <w:r w:rsidRPr="000252A6">
        <w:rPr>
          <w:rFonts w:cs="Arial"/>
          <w:sz w:val="20"/>
          <w:szCs w:val="20"/>
        </w:rPr>
        <w:t xml:space="preserve">) / (Average Operating Hours </w:t>
      </w:r>
      <w:r>
        <w:rPr>
          <w:rFonts w:cs="Arial"/>
          <w:sz w:val="20"/>
          <w:szCs w:val="20"/>
        </w:rPr>
        <w:t>for Building Type</w:t>
      </w:r>
      <w:r w:rsidRPr="000252A6">
        <w:rPr>
          <w:rFonts w:cs="Arial"/>
          <w:sz w:val="20"/>
          <w:szCs w:val="20"/>
        </w:rPr>
        <w:t>)</w:t>
      </w:r>
    </w:p>
    <w:p w:rsidR="000D1FC4" w:rsidRPr="000252A6" w:rsidRDefault="000D1FC4" w:rsidP="000D1FC4">
      <w:pPr>
        <w:rPr>
          <w:rFonts w:cs="Arial"/>
          <w:sz w:val="20"/>
          <w:szCs w:val="20"/>
        </w:rPr>
      </w:pPr>
    </w:p>
    <w:p w:rsidR="000D1FC4" w:rsidRPr="006B4765" w:rsidRDefault="000D1FC4" w:rsidP="006914D5">
      <w:pPr>
        <w:pStyle w:val="Caption"/>
        <w:keepNext/>
        <w:jc w:val="center"/>
      </w:pPr>
      <w:bookmarkStart w:id="61" w:name="_Toc433188277"/>
      <w:bookmarkStart w:id="62" w:name="_Toc438469365"/>
      <w:r>
        <w:t xml:space="preserve">Table </w:t>
      </w:r>
      <w:r w:rsidR="000700C5">
        <w:fldChar w:fldCharType="begin"/>
      </w:r>
      <w:r w:rsidR="000700C5">
        <w:instrText xml:space="preserve"> SEQ Table \* ARABIC </w:instrText>
      </w:r>
      <w:r w:rsidR="000700C5">
        <w:fldChar w:fldCharType="separate"/>
      </w:r>
      <w:r w:rsidR="00646FD6">
        <w:rPr>
          <w:noProof/>
        </w:rPr>
        <w:t>7</w:t>
      </w:r>
      <w:r w:rsidR="000700C5">
        <w:rPr>
          <w:noProof/>
        </w:rPr>
        <w:fldChar w:fldCharType="end"/>
      </w:r>
      <w:r>
        <w:t xml:space="preserve"> Effective and Remaining Useful Life</w:t>
      </w:r>
      <w:bookmarkEnd w:id="61"/>
      <w:bookmarkEnd w:id="62"/>
    </w:p>
    <w:tbl>
      <w:tblPr>
        <w:tblStyle w:val="TableGrid1"/>
        <w:tblW w:w="5000" w:type="pct"/>
        <w:tblLayout w:type="fixed"/>
        <w:tblLook w:val="04A0" w:firstRow="1" w:lastRow="0" w:firstColumn="1" w:lastColumn="0" w:noHBand="0" w:noVBand="1"/>
      </w:tblPr>
      <w:tblGrid>
        <w:gridCol w:w="1552"/>
        <w:gridCol w:w="3597"/>
        <w:gridCol w:w="900"/>
        <w:gridCol w:w="1530"/>
        <w:gridCol w:w="1099"/>
        <w:gridCol w:w="898"/>
      </w:tblGrid>
      <w:tr w:rsidR="00E749E5" w:rsidRPr="0099358A" w:rsidTr="00E749E5">
        <w:tc>
          <w:tcPr>
            <w:tcW w:w="810" w:type="pct"/>
            <w:shd w:val="clear" w:color="auto" w:fill="D9D9D9" w:themeFill="background1" w:themeFillShade="D9"/>
            <w:vAlign w:val="center"/>
          </w:tcPr>
          <w:p w:rsidR="000D1FC4" w:rsidRPr="0099358A" w:rsidRDefault="000D1FC4" w:rsidP="003B4730">
            <w:pPr>
              <w:jc w:val="center"/>
              <w:rPr>
                <w:rFonts w:cs="Arial"/>
                <w:b/>
                <w:sz w:val="20"/>
                <w:szCs w:val="20"/>
              </w:rPr>
            </w:pPr>
            <w:r w:rsidRPr="0099358A">
              <w:rPr>
                <w:rFonts w:cs="Arial"/>
                <w:b/>
                <w:sz w:val="20"/>
                <w:szCs w:val="20"/>
              </w:rPr>
              <w:t>EUL ID</w:t>
            </w:r>
          </w:p>
        </w:tc>
        <w:tc>
          <w:tcPr>
            <w:tcW w:w="1878" w:type="pct"/>
            <w:shd w:val="clear" w:color="auto" w:fill="D9D9D9" w:themeFill="background1" w:themeFillShade="D9"/>
            <w:vAlign w:val="center"/>
          </w:tcPr>
          <w:p w:rsidR="000D1FC4" w:rsidRPr="0099358A" w:rsidRDefault="000D1FC4" w:rsidP="003B4730">
            <w:pPr>
              <w:jc w:val="center"/>
              <w:rPr>
                <w:rFonts w:cs="Arial"/>
                <w:b/>
                <w:sz w:val="20"/>
                <w:szCs w:val="20"/>
              </w:rPr>
            </w:pPr>
            <w:r w:rsidRPr="0099358A">
              <w:rPr>
                <w:rFonts w:cs="Arial"/>
                <w:b/>
                <w:sz w:val="20"/>
                <w:szCs w:val="20"/>
              </w:rPr>
              <w:t>Description</w:t>
            </w:r>
          </w:p>
        </w:tc>
        <w:tc>
          <w:tcPr>
            <w:tcW w:w="470" w:type="pct"/>
            <w:shd w:val="clear" w:color="auto" w:fill="D9D9D9" w:themeFill="background1" w:themeFillShade="D9"/>
            <w:vAlign w:val="center"/>
          </w:tcPr>
          <w:p w:rsidR="000D1FC4" w:rsidRPr="0099358A" w:rsidRDefault="000D1FC4" w:rsidP="003B4730">
            <w:pPr>
              <w:jc w:val="center"/>
              <w:rPr>
                <w:rFonts w:cs="Arial"/>
                <w:b/>
                <w:sz w:val="20"/>
                <w:szCs w:val="20"/>
              </w:rPr>
            </w:pPr>
            <w:r w:rsidRPr="0099358A">
              <w:rPr>
                <w:rFonts w:cs="Arial"/>
                <w:b/>
                <w:sz w:val="20"/>
                <w:szCs w:val="20"/>
              </w:rPr>
              <w:t>Sector</w:t>
            </w:r>
          </w:p>
        </w:tc>
        <w:tc>
          <w:tcPr>
            <w:tcW w:w="799" w:type="pct"/>
            <w:shd w:val="clear" w:color="auto" w:fill="D9D9D9" w:themeFill="background1" w:themeFillShade="D9"/>
            <w:vAlign w:val="center"/>
          </w:tcPr>
          <w:p w:rsidR="000D1FC4" w:rsidRPr="0099358A" w:rsidRDefault="000D1FC4" w:rsidP="003B4730">
            <w:pPr>
              <w:jc w:val="center"/>
              <w:rPr>
                <w:rFonts w:cs="Arial"/>
                <w:b/>
                <w:sz w:val="20"/>
                <w:szCs w:val="20"/>
              </w:rPr>
            </w:pPr>
            <w:proofErr w:type="spellStart"/>
            <w:r w:rsidRPr="0099358A">
              <w:rPr>
                <w:rFonts w:cs="Arial"/>
                <w:b/>
                <w:sz w:val="20"/>
                <w:szCs w:val="20"/>
              </w:rPr>
              <w:t>UseCategory</w:t>
            </w:r>
            <w:proofErr w:type="spellEnd"/>
          </w:p>
        </w:tc>
        <w:tc>
          <w:tcPr>
            <w:tcW w:w="574" w:type="pct"/>
            <w:shd w:val="clear" w:color="auto" w:fill="D9D9D9" w:themeFill="background1" w:themeFillShade="D9"/>
            <w:vAlign w:val="center"/>
          </w:tcPr>
          <w:p w:rsidR="000D1FC4" w:rsidRPr="0099358A" w:rsidRDefault="000D1FC4" w:rsidP="003B4730">
            <w:pPr>
              <w:jc w:val="center"/>
              <w:rPr>
                <w:rFonts w:cs="Arial"/>
                <w:b/>
                <w:sz w:val="20"/>
                <w:szCs w:val="20"/>
              </w:rPr>
            </w:pPr>
            <w:r w:rsidRPr="0099358A">
              <w:rPr>
                <w:rFonts w:cs="Arial"/>
                <w:b/>
                <w:sz w:val="20"/>
                <w:szCs w:val="20"/>
              </w:rPr>
              <w:t>EUL (Years)</w:t>
            </w:r>
          </w:p>
        </w:tc>
        <w:tc>
          <w:tcPr>
            <w:tcW w:w="469" w:type="pct"/>
            <w:shd w:val="clear" w:color="auto" w:fill="D9D9D9" w:themeFill="background1" w:themeFillShade="D9"/>
            <w:vAlign w:val="center"/>
          </w:tcPr>
          <w:p w:rsidR="000D1FC4" w:rsidRPr="0099358A" w:rsidRDefault="000D1FC4" w:rsidP="003B4730">
            <w:pPr>
              <w:jc w:val="center"/>
              <w:rPr>
                <w:rFonts w:cs="Arial"/>
                <w:b/>
                <w:sz w:val="20"/>
                <w:szCs w:val="20"/>
              </w:rPr>
            </w:pPr>
            <w:r w:rsidRPr="0099358A">
              <w:rPr>
                <w:rFonts w:cs="Arial"/>
                <w:b/>
                <w:sz w:val="20"/>
                <w:szCs w:val="20"/>
              </w:rPr>
              <w:t>RUL (Years)</w:t>
            </w:r>
          </w:p>
        </w:tc>
      </w:tr>
      <w:tr w:rsidR="000D1FC4" w:rsidRPr="0099358A" w:rsidTr="00E749E5">
        <w:trPr>
          <w:trHeight w:val="243"/>
        </w:trPr>
        <w:tc>
          <w:tcPr>
            <w:tcW w:w="810" w:type="pct"/>
            <w:vAlign w:val="center"/>
          </w:tcPr>
          <w:p w:rsidR="000D1FC4" w:rsidRPr="0099358A" w:rsidRDefault="009C25E1" w:rsidP="003B4730">
            <w:pPr>
              <w:jc w:val="center"/>
              <w:rPr>
                <w:rFonts w:cs="Arial"/>
                <w:sz w:val="20"/>
                <w:szCs w:val="20"/>
              </w:rPr>
            </w:pPr>
            <w:proofErr w:type="spellStart"/>
            <w:r w:rsidRPr="009C25E1">
              <w:rPr>
                <w:rFonts w:cs="Arial"/>
                <w:sz w:val="20"/>
                <w:szCs w:val="20"/>
              </w:rPr>
              <w:t>ILtg</w:t>
            </w:r>
            <w:proofErr w:type="spellEnd"/>
            <w:r w:rsidRPr="009C25E1">
              <w:rPr>
                <w:rFonts w:cs="Arial"/>
                <w:sz w:val="20"/>
                <w:szCs w:val="20"/>
              </w:rPr>
              <w:t>-MH</w:t>
            </w:r>
          </w:p>
        </w:tc>
        <w:tc>
          <w:tcPr>
            <w:tcW w:w="1878" w:type="pct"/>
            <w:vAlign w:val="center"/>
          </w:tcPr>
          <w:p w:rsidR="000D1FC4" w:rsidRPr="0099358A" w:rsidRDefault="009C25E1" w:rsidP="003B4730">
            <w:pPr>
              <w:jc w:val="center"/>
              <w:rPr>
                <w:rFonts w:cs="Arial"/>
                <w:sz w:val="20"/>
                <w:szCs w:val="20"/>
              </w:rPr>
            </w:pPr>
            <w:r w:rsidRPr="009C25E1">
              <w:rPr>
                <w:rFonts w:cs="Arial"/>
                <w:sz w:val="20"/>
                <w:szCs w:val="20"/>
              </w:rPr>
              <w:t>HID Lighting - Metal Halide</w:t>
            </w:r>
          </w:p>
        </w:tc>
        <w:tc>
          <w:tcPr>
            <w:tcW w:w="470" w:type="pct"/>
            <w:vAlign w:val="center"/>
          </w:tcPr>
          <w:p w:rsidR="000D1FC4" w:rsidRPr="0099358A" w:rsidRDefault="000D1FC4" w:rsidP="003B4730">
            <w:pPr>
              <w:jc w:val="center"/>
              <w:rPr>
                <w:rFonts w:cs="Arial"/>
                <w:sz w:val="20"/>
                <w:szCs w:val="20"/>
              </w:rPr>
            </w:pPr>
            <w:r w:rsidRPr="0099358A">
              <w:rPr>
                <w:rFonts w:cs="Arial"/>
                <w:sz w:val="20"/>
                <w:szCs w:val="20"/>
              </w:rPr>
              <w:t>Com</w:t>
            </w:r>
          </w:p>
        </w:tc>
        <w:tc>
          <w:tcPr>
            <w:tcW w:w="799" w:type="pct"/>
            <w:vAlign w:val="center"/>
          </w:tcPr>
          <w:p w:rsidR="000D1FC4" w:rsidRPr="0099358A" w:rsidRDefault="000D1FC4" w:rsidP="003B4730">
            <w:pPr>
              <w:jc w:val="center"/>
              <w:rPr>
                <w:rFonts w:cs="Arial"/>
                <w:sz w:val="20"/>
                <w:szCs w:val="20"/>
              </w:rPr>
            </w:pPr>
            <w:r w:rsidRPr="0099358A">
              <w:rPr>
                <w:rFonts w:cs="Arial"/>
                <w:sz w:val="20"/>
                <w:szCs w:val="20"/>
              </w:rPr>
              <w:t>Lighting</w:t>
            </w:r>
          </w:p>
        </w:tc>
        <w:tc>
          <w:tcPr>
            <w:tcW w:w="574" w:type="pct"/>
            <w:vAlign w:val="center"/>
          </w:tcPr>
          <w:p w:rsidR="000D1FC4" w:rsidRPr="0099358A" w:rsidRDefault="000D1FC4" w:rsidP="003B4730">
            <w:pPr>
              <w:jc w:val="center"/>
              <w:rPr>
                <w:rFonts w:cs="Arial"/>
                <w:sz w:val="20"/>
                <w:szCs w:val="20"/>
              </w:rPr>
            </w:pPr>
            <w:r w:rsidRPr="0099358A">
              <w:rPr>
                <w:rFonts w:cs="Arial"/>
                <w:sz w:val="20"/>
                <w:szCs w:val="20"/>
              </w:rPr>
              <w:t>Varies</w:t>
            </w:r>
            <w:r w:rsidR="00E749E5">
              <w:rPr>
                <w:rFonts w:cs="Arial"/>
                <w:sz w:val="20"/>
                <w:szCs w:val="20"/>
              </w:rPr>
              <w:t xml:space="preserve"> (max 15)</w:t>
            </w:r>
          </w:p>
        </w:tc>
        <w:tc>
          <w:tcPr>
            <w:tcW w:w="469" w:type="pct"/>
            <w:vAlign w:val="center"/>
          </w:tcPr>
          <w:p w:rsidR="000D1FC4" w:rsidRPr="0099358A" w:rsidRDefault="000D1FC4" w:rsidP="003B4730">
            <w:pPr>
              <w:jc w:val="center"/>
              <w:rPr>
                <w:rFonts w:cs="Arial"/>
                <w:sz w:val="20"/>
                <w:szCs w:val="20"/>
              </w:rPr>
            </w:pPr>
            <w:r w:rsidRPr="0099358A">
              <w:rPr>
                <w:rFonts w:cs="Arial"/>
                <w:sz w:val="20"/>
                <w:szCs w:val="20"/>
              </w:rPr>
              <w:t>Varies</w:t>
            </w:r>
            <w:r w:rsidR="00E749E5">
              <w:rPr>
                <w:rFonts w:cs="Arial"/>
                <w:sz w:val="20"/>
                <w:szCs w:val="20"/>
              </w:rPr>
              <w:t xml:space="preserve"> (max 5)</w:t>
            </w:r>
          </w:p>
        </w:tc>
      </w:tr>
    </w:tbl>
    <w:p w:rsidR="000D1FC4" w:rsidRDefault="000D1FC4" w:rsidP="000D1FC4">
      <w:pPr>
        <w:rPr>
          <w:rFonts w:cs="Arial"/>
          <w:sz w:val="20"/>
          <w:szCs w:val="20"/>
        </w:rPr>
      </w:pPr>
    </w:p>
    <w:p w:rsidR="00393D41" w:rsidRPr="002809C7" w:rsidRDefault="001248A3" w:rsidP="002809C7">
      <w:pPr>
        <w:pStyle w:val="Heading2"/>
      </w:pPr>
      <w:bookmarkStart w:id="63" w:name="_Toc438469320"/>
      <w:r>
        <w:lastRenderedPageBreak/>
        <w:t>1.</w:t>
      </w:r>
      <w:r w:rsidR="00FA595F">
        <w:t>4</w:t>
      </w:r>
      <w:r w:rsidR="00793646">
        <w:t>.2</w:t>
      </w:r>
      <w:r w:rsidR="00FA595F">
        <w:t xml:space="preserve"> </w:t>
      </w:r>
      <w:r w:rsidR="00E71EF1" w:rsidRPr="001248A3">
        <w:t xml:space="preserve">Codes &amp; Standards Requirements </w:t>
      </w:r>
      <w:r w:rsidR="009C5CA7">
        <w:t>Base Case and Measure Information</w:t>
      </w:r>
      <w:bookmarkEnd w:id="55"/>
      <w:bookmarkEnd w:id="56"/>
      <w:bookmarkEnd w:id="57"/>
      <w:bookmarkEnd w:id="63"/>
    </w:p>
    <w:p w:rsidR="00EF7590" w:rsidRDefault="00EE53FF" w:rsidP="002E0043">
      <w:pPr>
        <w:rPr>
          <w:rFonts w:cs="Arial"/>
          <w:b/>
          <w:i/>
          <w:color w:val="FF0000"/>
          <w:sz w:val="20"/>
          <w:szCs w:val="20"/>
        </w:rPr>
      </w:pPr>
      <w:r w:rsidRPr="002809C7">
        <w:rPr>
          <w:rFonts w:cs="Arial"/>
          <w:b/>
          <w:i/>
        </w:rPr>
        <w:t>Title 20:</w:t>
      </w:r>
      <w:r w:rsidRPr="002809C7">
        <w:rPr>
          <w:rFonts w:cs="Arial"/>
        </w:rPr>
        <w:t xml:space="preserve"> </w:t>
      </w:r>
      <w:r w:rsidR="002809C7" w:rsidRPr="002809C7">
        <w:rPr>
          <w:rFonts w:cs="Arial"/>
          <w:sz w:val="20"/>
          <w:szCs w:val="20"/>
        </w:rPr>
        <w:t>Induction fixtures do not</w:t>
      </w:r>
      <w:r w:rsidRPr="002809C7">
        <w:rPr>
          <w:rFonts w:cs="Arial"/>
          <w:sz w:val="20"/>
          <w:szCs w:val="20"/>
        </w:rPr>
        <w:t xml:space="preserve"> fall under Title 20 </w:t>
      </w:r>
      <w:r w:rsidR="0093133E">
        <w:rPr>
          <w:rFonts w:cs="Arial"/>
          <w:sz w:val="20"/>
          <w:szCs w:val="20"/>
        </w:rPr>
        <w:t xml:space="preserve">[2015] </w:t>
      </w:r>
      <w:r w:rsidRPr="002809C7">
        <w:rPr>
          <w:rFonts w:cs="Arial"/>
          <w:sz w:val="20"/>
          <w:szCs w:val="20"/>
        </w:rPr>
        <w:t>of the California Energy Regulations.</w:t>
      </w:r>
      <w:r w:rsidR="0093133E">
        <w:rPr>
          <w:rFonts w:cs="Arial"/>
          <w:sz w:val="20"/>
          <w:szCs w:val="20"/>
        </w:rPr>
        <w:t xml:space="preserve">  Metal halide fixtures with lamps rated between 150W and 500W must meet minimum ballast efficiencies listed under 1605.1(n</w:t>
      </w:r>
      <w:proofErr w:type="gramStart"/>
      <w:r w:rsidR="0093133E">
        <w:rPr>
          <w:rFonts w:cs="Arial"/>
          <w:sz w:val="20"/>
          <w:szCs w:val="20"/>
        </w:rPr>
        <w:t>)(</w:t>
      </w:r>
      <w:proofErr w:type="gramEnd"/>
      <w:r w:rsidR="0093133E">
        <w:rPr>
          <w:rFonts w:cs="Arial"/>
          <w:sz w:val="20"/>
          <w:szCs w:val="20"/>
        </w:rPr>
        <w:t>2).  Additional requirements for metal halide luminaires sold</w:t>
      </w:r>
      <w:r w:rsidR="000D1FC4">
        <w:rPr>
          <w:rFonts w:cs="Arial"/>
          <w:sz w:val="20"/>
          <w:szCs w:val="20"/>
        </w:rPr>
        <w:t xml:space="preserve"> or offered for sale</w:t>
      </w:r>
      <w:r w:rsidR="0093133E">
        <w:rPr>
          <w:rFonts w:cs="Arial"/>
          <w:sz w:val="20"/>
          <w:szCs w:val="20"/>
        </w:rPr>
        <w:t xml:space="preserve"> in California are listed under 1605.3(n</w:t>
      </w:r>
      <w:proofErr w:type="gramStart"/>
      <w:r w:rsidR="0093133E">
        <w:rPr>
          <w:rFonts w:cs="Arial"/>
          <w:sz w:val="20"/>
          <w:szCs w:val="20"/>
        </w:rPr>
        <w:t>)(</w:t>
      </w:r>
      <w:proofErr w:type="gramEnd"/>
      <w:r w:rsidR="0093133E">
        <w:rPr>
          <w:rFonts w:cs="Arial"/>
          <w:sz w:val="20"/>
          <w:szCs w:val="20"/>
        </w:rPr>
        <w:t>1).</w:t>
      </w:r>
    </w:p>
    <w:p w:rsidR="00640BB6" w:rsidRPr="001B4ACB" w:rsidRDefault="00640BB6" w:rsidP="002E0043">
      <w:pPr>
        <w:rPr>
          <w:rFonts w:cs="Arial"/>
          <w:i/>
          <w:sz w:val="20"/>
          <w:szCs w:val="20"/>
        </w:rPr>
      </w:pPr>
    </w:p>
    <w:p w:rsidR="00640BB6" w:rsidRDefault="00EE53FF" w:rsidP="00EE53FF">
      <w:pPr>
        <w:rPr>
          <w:i/>
        </w:rPr>
      </w:pPr>
      <w:r w:rsidRPr="002809C7">
        <w:rPr>
          <w:rFonts w:cs="Arial"/>
          <w:b/>
          <w:i/>
        </w:rPr>
        <w:t>Title 24:</w:t>
      </w:r>
      <w:r w:rsidRPr="002809C7">
        <w:t xml:space="preserve"> </w:t>
      </w:r>
      <w:r w:rsidR="002809C7" w:rsidRPr="002809C7">
        <w:rPr>
          <w:sz w:val="20"/>
        </w:rPr>
        <w:t xml:space="preserve">Title 24 </w:t>
      </w:r>
      <w:r w:rsidR="0093133E">
        <w:rPr>
          <w:sz w:val="20"/>
        </w:rPr>
        <w:t>[2013] is triggered when more than 1</w:t>
      </w:r>
      <w:r w:rsidR="002809C7" w:rsidRPr="002809C7">
        <w:rPr>
          <w:sz w:val="20"/>
        </w:rPr>
        <w:t xml:space="preserve">0% of fixtures </w:t>
      </w:r>
      <w:r w:rsidR="000D1FC4">
        <w:rPr>
          <w:sz w:val="20"/>
        </w:rPr>
        <w:t xml:space="preserve">or 40 fixtures </w:t>
      </w:r>
      <w:r w:rsidR="002809C7" w:rsidRPr="002809C7">
        <w:rPr>
          <w:sz w:val="20"/>
        </w:rPr>
        <w:t>are replaced</w:t>
      </w:r>
      <w:r w:rsidR="000D1FC4">
        <w:rPr>
          <w:sz w:val="20"/>
        </w:rPr>
        <w:t xml:space="preserve"> or modified</w:t>
      </w:r>
      <w:r w:rsidR="002809C7" w:rsidRPr="002809C7">
        <w:rPr>
          <w:sz w:val="20"/>
        </w:rPr>
        <w:t xml:space="preserve">. </w:t>
      </w:r>
      <w:r w:rsidR="000D1FC4">
        <w:rPr>
          <w:sz w:val="20"/>
        </w:rPr>
        <w:t xml:space="preserve"> Multi-level lighting controls and uniformity requirements are listed in Table 130.1-A for induction fixtures greater than 25W.</w:t>
      </w:r>
    </w:p>
    <w:p w:rsidR="00EE53FF" w:rsidRPr="00EE53FF" w:rsidRDefault="00EE53FF" w:rsidP="00EE53FF">
      <w:pPr>
        <w:rPr>
          <w:i/>
        </w:rPr>
      </w:pPr>
    </w:p>
    <w:p w:rsidR="00FA595F" w:rsidRPr="00354723" w:rsidRDefault="00EE53FF" w:rsidP="00FA595F">
      <w:pPr>
        <w:rPr>
          <w:rFonts w:cs="Arial"/>
          <w:b/>
          <w:i/>
          <w:color w:val="FF0000"/>
          <w:sz w:val="20"/>
          <w:szCs w:val="20"/>
        </w:rPr>
      </w:pPr>
      <w:r w:rsidRPr="002809C7">
        <w:rPr>
          <w:rFonts w:cs="Arial"/>
          <w:b/>
          <w:i/>
        </w:rPr>
        <w:t>Federal Standards:</w:t>
      </w:r>
      <w:r w:rsidRPr="002809C7">
        <w:t xml:space="preserve"> </w:t>
      </w:r>
      <w:r w:rsidR="002809C7">
        <w:rPr>
          <w:rFonts w:cs="Arial"/>
          <w:sz w:val="20"/>
          <w:szCs w:val="20"/>
        </w:rPr>
        <w:t xml:space="preserve">These measures do not </w:t>
      </w:r>
      <w:r w:rsidRPr="002809C7">
        <w:rPr>
          <w:rFonts w:cs="Arial"/>
          <w:sz w:val="20"/>
          <w:szCs w:val="20"/>
        </w:rPr>
        <w:t>fall under Federal DOE or EPA Energy Regulations.</w:t>
      </w:r>
      <w:r w:rsidR="00437BE1" w:rsidRPr="002809C7">
        <w:rPr>
          <w:rFonts w:cs="Arial"/>
          <w:sz w:val="20"/>
          <w:szCs w:val="20"/>
        </w:rPr>
        <w:t xml:space="preserve"> </w:t>
      </w:r>
    </w:p>
    <w:p w:rsidR="00432C65" w:rsidRPr="00175468" w:rsidRDefault="001248A3" w:rsidP="00175468">
      <w:pPr>
        <w:pStyle w:val="Heading2"/>
        <w:keepNext w:val="0"/>
      </w:pPr>
      <w:bookmarkStart w:id="64" w:name="_Toc304800207"/>
      <w:bookmarkStart w:id="65" w:name="_Toc324318343"/>
      <w:bookmarkStart w:id="66" w:name="_Toc324340487"/>
      <w:bookmarkStart w:id="67" w:name="_Toc438469321"/>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4"/>
      <w:bookmarkEnd w:id="65"/>
      <w:bookmarkEnd w:id="66"/>
      <w:bookmarkEnd w:id="67"/>
      <w:r w:rsidR="00437BE1">
        <w:rPr>
          <w:sz w:val="20"/>
          <w:szCs w:val="20"/>
        </w:rPr>
        <w:t xml:space="preserve"> </w:t>
      </w:r>
    </w:p>
    <w:p w:rsidR="00175468" w:rsidRDefault="00175468" w:rsidP="00A35CF8">
      <w:pPr>
        <w:rPr>
          <w:rFonts w:cs="Arial"/>
          <w:b/>
          <w:i/>
        </w:rPr>
      </w:pPr>
    </w:p>
    <w:p w:rsidR="009E2964" w:rsidRDefault="009E2964" w:rsidP="00A35CF8">
      <w:pPr>
        <w:rPr>
          <w:rFonts w:cs="Arial"/>
          <w:b/>
          <w:i/>
        </w:rPr>
      </w:pPr>
      <w:r w:rsidRPr="00C80E3F">
        <w:rPr>
          <w:rFonts w:cs="Arial"/>
          <w:b/>
          <w:i/>
        </w:rPr>
        <w:t xml:space="preserve">1.4.3.1 </w:t>
      </w:r>
      <w:r w:rsidR="00175468">
        <w:rPr>
          <w:rFonts w:cs="Arial"/>
          <w:b/>
          <w:i/>
        </w:rPr>
        <w:t>Induction Lighting Systems</w:t>
      </w:r>
      <w:r w:rsidR="00C80E3F">
        <w:rPr>
          <w:rStyle w:val="EndnoteReference"/>
          <w:rFonts w:cs="Arial"/>
          <w:b/>
          <w:i/>
        </w:rPr>
        <w:endnoteReference w:id="3"/>
      </w:r>
    </w:p>
    <w:p w:rsidR="00175468" w:rsidRDefault="00175468" w:rsidP="00A35CF8"/>
    <w:p w:rsidR="00A35CF8" w:rsidRDefault="00175468" w:rsidP="00A35CF8">
      <w:r w:rsidRPr="002A5729">
        <w:rPr>
          <w:sz w:val="20"/>
        </w:rPr>
        <w:t>An evaluation study of induction lighting systems, entitled “Induction Lighting Systems,” was performed by Sacramento Municipal Utility District (SMUD) in 2003.</w:t>
      </w:r>
      <w:r w:rsidR="001033F7" w:rsidRPr="002A5729">
        <w:rPr>
          <w:sz w:val="20"/>
        </w:rPr>
        <w:t xml:space="preserve"> </w:t>
      </w:r>
      <w:r w:rsidRPr="002A5729">
        <w:rPr>
          <w:sz w:val="20"/>
        </w:rPr>
        <w:t xml:space="preserve">The study discusses induction technology, including different manufacturers’ products, and compares the performance of induction lighting against other lighting technologies.  The study also presents case studies for installation of the technology.  The conclusions of the study indicate that the installed cost of induction lighting is higher than comparable lighting technologies, but that induction lights provide an energy-efficient alternative for indoor luminaries for which access is difficult.  </w:t>
      </w:r>
    </w:p>
    <w:p w:rsidR="009C5CA7" w:rsidRPr="00B3619E" w:rsidRDefault="001248A3" w:rsidP="00B3619E">
      <w:pPr>
        <w:pStyle w:val="Heading2"/>
        <w:keepNext w:val="0"/>
      </w:pPr>
      <w:bookmarkStart w:id="68" w:name="_Toc304800208"/>
      <w:bookmarkStart w:id="69" w:name="_Toc324318344"/>
      <w:bookmarkStart w:id="70" w:name="_Toc324340488"/>
      <w:bookmarkStart w:id="71" w:name="_Toc438469322"/>
      <w:r>
        <w:t>1.</w:t>
      </w:r>
      <w:r w:rsidR="00264B03">
        <w:t xml:space="preserve">4.4 </w:t>
      </w:r>
      <w:r w:rsidR="009C5CA7">
        <w:t xml:space="preserve">Assumptions and </w:t>
      </w:r>
      <w:r w:rsidR="00264B03">
        <w:t>Calculations from other sources—Base and Measure Cases</w:t>
      </w:r>
      <w:bookmarkEnd w:id="68"/>
      <w:bookmarkEnd w:id="69"/>
      <w:bookmarkEnd w:id="70"/>
      <w:bookmarkEnd w:id="71"/>
    </w:p>
    <w:p w:rsidR="00B3619E" w:rsidRPr="00500673" w:rsidRDefault="00500673" w:rsidP="008C2DA1">
      <w:pPr>
        <w:rPr>
          <w:rFonts w:cs="Arial"/>
          <w:sz w:val="20"/>
          <w:szCs w:val="20"/>
        </w:rPr>
      </w:pPr>
      <w:r w:rsidRPr="00500673">
        <w:rPr>
          <w:rFonts w:cs="Arial"/>
          <w:sz w:val="20"/>
          <w:szCs w:val="20"/>
        </w:rPr>
        <w:t>There are no further data or calculations provided for the support of the measures in this work paper.</w:t>
      </w:r>
    </w:p>
    <w:p w:rsidR="008C2DA1" w:rsidRPr="00836F9B" w:rsidRDefault="008C2DA1" w:rsidP="00500673"/>
    <w:p w:rsidR="00500673" w:rsidRDefault="00500673">
      <w:pPr>
        <w:rPr>
          <w:rFonts w:cs="Arial"/>
          <w:b/>
          <w:bCs/>
          <w:kern w:val="32"/>
          <w:sz w:val="32"/>
          <w:szCs w:val="32"/>
        </w:rPr>
      </w:pPr>
      <w:bookmarkStart w:id="72" w:name="_Toc304800210"/>
      <w:bookmarkStart w:id="73" w:name="_Toc324340489"/>
      <w:r>
        <w:br w:type="page"/>
      </w:r>
    </w:p>
    <w:p w:rsidR="00941553" w:rsidRDefault="00CF3FF0" w:rsidP="00500673">
      <w:pPr>
        <w:pStyle w:val="Heading1"/>
      </w:pPr>
      <w:bookmarkStart w:id="74" w:name="_Toc438469323"/>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Start w:id="75" w:name="_Toc304800211"/>
      <w:bookmarkStart w:id="76" w:name="_Toc324318365"/>
      <w:bookmarkStart w:id="77" w:name="_Toc324340494"/>
      <w:bookmarkEnd w:id="72"/>
      <w:bookmarkEnd w:id="73"/>
      <w:bookmarkEnd w:id="74"/>
    </w:p>
    <w:p w:rsidR="00C069A2" w:rsidRDefault="00C069A2" w:rsidP="00D20486">
      <w:pPr>
        <w:pStyle w:val="Heading2"/>
      </w:pPr>
      <w:bookmarkStart w:id="78" w:name="_Toc438469324"/>
      <w:r>
        <w:t xml:space="preserve">2.1 </w:t>
      </w:r>
      <w:r w:rsidR="007878B9">
        <w:t xml:space="preserve">Electric </w:t>
      </w:r>
      <w:r>
        <w:t>Energy Savings Estimation Methodologies</w:t>
      </w:r>
      <w:bookmarkEnd w:id="75"/>
      <w:bookmarkEnd w:id="76"/>
      <w:bookmarkEnd w:id="77"/>
      <w:bookmarkEnd w:id="78"/>
    </w:p>
    <w:p w:rsidR="006143BE" w:rsidRDefault="00500673" w:rsidP="006143BE">
      <w:pPr>
        <w:rPr>
          <w:rFonts w:cs="Arial"/>
          <w:sz w:val="20"/>
          <w:szCs w:val="20"/>
        </w:rPr>
      </w:pPr>
      <w:bookmarkStart w:id="79" w:name="_Toc304800212"/>
      <w:bookmarkStart w:id="80" w:name="_Toc324318366"/>
      <w:bookmarkStart w:id="81" w:name="_Toc324340495"/>
      <w:r>
        <w:rPr>
          <w:rFonts w:cs="Arial"/>
          <w:sz w:val="20"/>
          <w:szCs w:val="20"/>
        </w:rPr>
        <w:t>Energy savings vary by market sector and building type because of differences in operating hours and interactive effect multipliers.  The operating hours and interactive effects for each segment were taken from DEER 2016 data.  Refer to the equation below for the energy savings calculation:</w:t>
      </w:r>
    </w:p>
    <w:p w:rsidR="00500673" w:rsidRPr="006143BE" w:rsidRDefault="00500673" w:rsidP="006143BE">
      <w:pPr>
        <w:rPr>
          <w:sz w:val="20"/>
          <w:szCs w:val="20"/>
        </w:rPr>
      </w:pPr>
    </w:p>
    <w:p w:rsidR="006143BE" w:rsidRPr="006143BE" w:rsidRDefault="006F0EF6" w:rsidP="006143BE">
      <w:pPr>
        <w:rPr>
          <w:sz w:val="20"/>
          <w:szCs w:val="20"/>
          <w:highlight w:val="cyan"/>
        </w:rPr>
      </w:pPr>
      <w:r w:rsidRPr="006143BE">
        <w:rPr>
          <w:position w:val="-28"/>
          <w:sz w:val="20"/>
          <w:szCs w:val="20"/>
        </w:rPr>
        <w:object w:dxaOrig="9960" w:dyaOrig="680" w14:anchorId="312A3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462pt;height:33.75pt" o:ole="">
            <v:imagedata r:id="rId24" o:title=""/>
          </v:shape>
          <o:OLEObject Type="Embed" ProgID="Equation.3" ShapeID="_x0000_i1055" DrawAspect="Content" ObjectID="_1512214813" r:id="rId25"/>
        </w:object>
      </w:r>
    </w:p>
    <w:p w:rsidR="006F0EF6" w:rsidRDefault="006F0EF6" w:rsidP="006143BE">
      <w:pPr>
        <w:keepNext/>
        <w:rPr>
          <w:sz w:val="20"/>
          <w:szCs w:val="20"/>
        </w:rPr>
      </w:pPr>
    </w:p>
    <w:p w:rsidR="006143BE" w:rsidRPr="006143BE" w:rsidRDefault="006143BE" w:rsidP="006143BE">
      <w:pPr>
        <w:keepNext/>
        <w:rPr>
          <w:sz w:val="20"/>
          <w:szCs w:val="20"/>
        </w:rPr>
      </w:pPr>
      <w:r w:rsidRPr="006143BE">
        <w:rPr>
          <w:sz w:val="20"/>
          <w:szCs w:val="20"/>
        </w:rPr>
        <w:t xml:space="preserve">For measure </w:t>
      </w:r>
      <w:r w:rsidR="00BF1506" w:rsidRPr="006143BE">
        <w:rPr>
          <w:sz w:val="20"/>
          <w:szCs w:val="20"/>
        </w:rPr>
        <w:t>L</w:t>
      </w:r>
      <w:r w:rsidR="00BF1506">
        <w:rPr>
          <w:sz w:val="20"/>
          <w:szCs w:val="20"/>
        </w:rPr>
        <w:t>0270</w:t>
      </w:r>
      <w:r w:rsidRPr="006143BE">
        <w:rPr>
          <w:sz w:val="20"/>
          <w:szCs w:val="20"/>
        </w:rPr>
        <w:t xml:space="preserve">, building type </w:t>
      </w:r>
      <w:r w:rsidR="00500673">
        <w:rPr>
          <w:sz w:val="20"/>
          <w:szCs w:val="20"/>
        </w:rPr>
        <w:t>ASM,</w:t>
      </w:r>
      <w:r w:rsidRPr="006143BE">
        <w:rPr>
          <w:sz w:val="20"/>
          <w:szCs w:val="20"/>
        </w:rPr>
        <w:t xml:space="preserve"> the calculations are as follows: </w:t>
      </w:r>
    </w:p>
    <w:p w:rsidR="006143BE" w:rsidRPr="006143BE" w:rsidRDefault="006143BE" w:rsidP="006143BE">
      <w:pPr>
        <w:rPr>
          <w:sz w:val="20"/>
          <w:szCs w:val="20"/>
        </w:rPr>
      </w:pPr>
    </w:p>
    <w:p w:rsidR="006143BE" w:rsidRPr="006143BE" w:rsidRDefault="006143BE" w:rsidP="006143BE">
      <w:pPr>
        <w:rPr>
          <w:i/>
          <w:sz w:val="20"/>
          <w:szCs w:val="20"/>
        </w:rPr>
      </w:pPr>
      <w:r w:rsidRPr="006143BE">
        <w:rPr>
          <w:i/>
          <w:sz w:val="20"/>
          <w:szCs w:val="20"/>
        </w:rPr>
        <w:t xml:space="preserve">Energy Savings = </w:t>
      </w:r>
      <w:r w:rsidRPr="006143BE">
        <w:rPr>
          <w:sz w:val="20"/>
          <w:szCs w:val="20"/>
        </w:rPr>
        <w:t>(0.</w:t>
      </w:r>
      <w:r w:rsidR="00500673">
        <w:rPr>
          <w:sz w:val="20"/>
          <w:szCs w:val="20"/>
        </w:rPr>
        <w:t>400</w:t>
      </w:r>
      <w:r w:rsidRPr="006143BE">
        <w:rPr>
          <w:sz w:val="20"/>
          <w:szCs w:val="20"/>
        </w:rPr>
        <w:t>–</w:t>
      </w:r>
      <w:r w:rsidR="00195FAB">
        <w:rPr>
          <w:sz w:val="20"/>
          <w:szCs w:val="20"/>
        </w:rPr>
        <w:t xml:space="preserve"> </w:t>
      </w:r>
      <w:r w:rsidRPr="006143BE">
        <w:rPr>
          <w:sz w:val="20"/>
          <w:szCs w:val="20"/>
        </w:rPr>
        <w:t>0.</w:t>
      </w:r>
      <w:r w:rsidR="00195FAB">
        <w:rPr>
          <w:sz w:val="20"/>
          <w:szCs w:val="20"/>
        </w:rPr>
        <w:t>275</w:t>
      </w:r>
      <w:r w:rsidRPr="006143BE">
        <w:rPr>
          <w:sz w:val="20"/>
          <w:szCs w:val="20"/>
        </w:rPr>
        <w:t>) (</w:t>
      </w:r>
      <w:r w:rsidRPr="006143BE">
        <w:rPr>
          <w:i/>
          <w:sz w:val="20"/>
          <w:szCs w:val="20"/>
        </w:rPr>
        <w:t xml:space="preserve">kW/Fixture) × </w:t>
      </w:r>
      <w:r w:rsidR="00500673">
        <w:rPr>
          <w:i/>
          <w:sz w:val="20"/>
          <w:szCs w:val="20"/>
        </w:rPr>
        <w:t>1620</w:t>
      </w:r>
      <w:r w:rsidRPr="006143BE">
        <w:rPr>
          <w:i/>
          <w:sz w:val="20"/>
          <w:szCs w:val="20"/>
        </w:rPr>
        <w:t xml:space="preserve"> (</w:t>
      </w:r>
      <w:proofErr w:type="spellStart"/>
      <w:r w:rsidRPr="006143BE">
        <w:rPr>
          <w:i/>
          <w:sz w:val="20"/>
          <w:szCs w:val="20"/>
        </w:rPr>
        <w:t>hrs</w:t>
      </w:r>
      <w:proofErr w:type="spellEnd"/>
      <w:r w:rsidRPr="006143BE">
        <w:rPr>
          <w:i/>
          <w:sz w:val="20"/>
          <w:szCs w:val="20"/>
        </w:rPr>
        <w:t>/</w:t>
      </w:r>
      <w:proofErr w:type="spellStart"/>
      <w:r w:rsidRPr="006143BE">
        <w:rPr>
          <w:i/>
          <w:sz w:val="20"/>
          <w:szCs w:val="20"/>
        </w:rPr>
        <w:t>yr</w:t>
      </w:r>
      <w:proofErr w:type="spellEnd"/>
      <w:r w:rsidRPr="006143BE">
        <w:rPr>
          <w:i/>
          <w:sz w:val="20"/>
          <w:szCs w:val="20"/>
        </w:rPr>
        <w:t>) * 1.0</w:t>
      </w:r>
      <w:r w:rsidR="00500673">
        <w:rPr>
          <w:i/>
          <w:sz w:val="20"/>
          <w:szCs w:val="20"/>
        </w:rPr>
        <w:t>4</w:t>
      </w:r>
      <w:r w:rsidRPr="006143BE">
        <w:rPr>
          <w:i/>
          <w:sz w:val="20"/>
          <w:szCs w:val="20"/>
        </w:rPr>
        <w:t xml:space="preserve"> (kWh/kWh) </w:t>
      </w:r>
    </w:p>
    <w:p w:rsidR="006143BE" w:rsidRPr="006143BE" w:rsidRDefault="006143BE" w:rsidP="006143BE">
      <w:pPr>
        <w:rPr>
          <w:i/>
          <w:sz w:val="20"/>
          <w:szCs w:val="20"/>
        </w:rPr>
      </w:pPr>
    </w:p>
    <w:p w:rsidR="006143BE" w:rsidRPr="00C324A9" w:rsidRDefault="006143BE" w:rsidP="00C324A9">
      <w:pPr>
        <w:ind w:left="720" w:firstLine="720"/>
        <w:rPr>
          <w:i/>
          <w:sz w:val="20"/>
          <w:szCs w:val="20"/>
        </w:rPr>
      </w:pPr>
      <w:r w:rsidRPr="006143BE">
        <w:rPr>
          <w:i/>
          <w:sz w:val="20"/>
          <w:szCs w:val="20"/>
        </w:rPr>
        <w:t xml:space="preserve"> = </w:t>
      </w:r>
      <w:r w:rsidR="003B4730">
        <w:rPr>
          <w:i/>
          <w:sz w:val="20"/>
          <w:szCs w:val="20"/>
        </w:rPr>
        <w:t>211</w:t>
      </w:r>
      <w:r w:rsidR="00195FAB" w:rsidRPr="006143BE">
        <w:rPr>
          <w:i/>
          <w:sz w:val="20"/>
          <w:szCs w:val="20"/>
        </w:rPr>
        <w:t xml:space="preserve"> </w:t>
      </w:r>
      <w:r w:rsidRPr="006143BE">
        <w:rPr>
          <w:i/>
          <w:sz w:val="20"/>
          <w:szCs w:val="20"/>
        </w:rPr>
        <w:t>kWh</w:t>
      </w:r>
      <w:proofErr w:type="gramStart"/>
      <w:r w:rsidRPr="006143BE">
        <w:rPr>
          <w:i/>
          <w:sz w:val="20"/>
          <w:szCs w:val="20"/>
        </w:rPr>
        <w:t>/(</w:t>
      </w:r>
      <w:proofErr w:type="gramEnd"/>
      <w:r w:rsidRPr="006143BE">
        <w:rPr>
          <w:i/>
          <w:sz w:val="20"/>
          <w:szCs w:val="20"/>
        </w:rPr>
        <w:t>Fixture*</w:t>
      </w:r>
      <w:proofErr w:type="spellStart"/>
      <w:r w:rsidRPr="006143BE">
        <w:rPr>
          <w:i/>
          <w:sz w:val="20"/>
          <w:szCs w:val="20"/>
        </w:rPr>
        <w:t>yr</w:t>
      </w:r>
      <w:proofErr w:type="spellEnd"/>
      <w:r w:rsidRPr="006143BE">
        <w:rPr>
          <w:i/>
          <w:sz w:val="20"/>
          <w:szCs w:val="20"/>
        </w:rPr>
        <w:t>)</w:t>
      </w:r>
    </w:p>
    <w:p w:rsidR="00542990" w:rsidRDefault="0030550A" w:rsidP="006143BE">
      <w:pPr>
        <w:pStyle w:val="Heading2"/>
        <w:keepNext w:val="0"/>
      </w:pPr>
      <w:bookmarkStart w:id="82" w:name="_Toc438469325"/>
      <w:r>
        <w:t>2.2. Demand R</w:t>
      </w:r>
      <w:r w:rsidR="00C069A2">
        <w:t>eduction Estimation Methodologies</w:t>
      </w:r>
      <w:bookmarkEnd w:id="79"/>
      <w:bookmarkEnd w:id="80"/>
      <w:bookmarkEnd w:id="81"/>
      <w:bookmarkEnd w:id="82"/>
    </w:p>
    <w:p w:rsidR="00500673" w:rsidRDefault="00500673" w:rsidP="00500673">
      <w:pPr>
        <w:rPr>
          <w:rFonts w:cs="Arial"/>
          <w:sz w:val="20"/>
          <w:szCs w:val="20"/>
        </w:rPr>
      </w:pPr>
      <w:r w:rsidRPr="00F07BC0">
        <w:rPr>
          <w:rFonts w:cs="Arial"/>
          <w:sz w:val="20"/>
          <w:szCs w:val="20"/>
        </w:rPr>
        <w:t xml:space="preserve">Demand reduction varies by market sector </w:t>
      </w:r>
      <w:r>
        <w:rPr>
          <w:rFonts w:cs="Arial"/>
          <w:sz w:val="20"/>
          <w:szCs w:val="20"/>
        </w:rPr>
        <w:t xml:space="preserve">and </w:t>
      </w:r>
      <w:r w:rsidRPr="00F07BC0">
        <w:rPr>
          <w:rFonts w:cs="Arial"/>
          <w:sz w:val="20"/>
          <w:szCs w:val="20"/>
        </w:rPr>
        <w:t>building type due to different HVAC interactive effects and coincident peak demand multipliers for each type of building type. The operating hours, interactive effects, and coincident diversity factors (CDF) for each segment were taken from DEER 2016 data.</w:t>
      </w:r>
      <w:r>
        <w:rPr>
          <w:rFonts w:cs="Arial"/>
          <w:sz w:val="20"/>
          <w:szCs w:val="20"/>
        </w:rPr>
        <w:t xml:space="preserve">  Below is the equation to calculate demand savings:</w:t>
      </w:r>
    </w:p>
    <w:p w:rsidR="00500673" w:rsidRDefault="00500673" w:rsidP="006143BE">
      <w:pPr>
        <w:rPr>
          <w:sz w:val="20"/>
          <w:szCs w:val="20"/>
        </w:rPr>
      </w:pPr>
    </w:p>
    <w:p w:rsidR="006143BE" w:rsidRPr="006143BE" w:rsidRDefault="006F0EF6" w:rsidP="006143BE">
      <w:pPr>
        <w:rPr>
          <w:sz w:val="20"/>
          <w:szCs w:val="20"/>
        </w:rPr>
      </w:pPr>
      <w:r w:rsidRPr="006143BE">
        <w:rPr>
          <w:position w:val="-28"/>
          <w:sz w:val="20"/>
          <w:szCs w:val="20"/>
        </w:rPr>
        <w:object w:dxaOrig="10359" w:dyaOrig="680" w14:anchorId="38541618">
          <v:shape id="_x0000_i1056" type="#_x0000_t75" style="width:462.75pt;height:33.75pt" o:ole="">
            <v:imagedata r:id="rId26" o:title=""/>
          </v:shape>
          <o:OLEObject Type="Embed" ProgID="Equation.3" ShapeID="_x0000_i1056" DrawAspect="Content" ObjectID="_1512214814" r:id="rId27"/>
        </w:object>
      </w:r>
    </w:p>
    <w:p w:rsidR="006F0EF6" w:rsidRDefault="006F0EF6" w:rsidP="006143BE">
      <w:pPr>
        <w:rPr>
          <w:sz w:val="20"/>
          <w:szCs w:val="20"/>
        </w:rPr>
      </w:pPr>
    </w:p>
    <w:p w:rsidR="006143BE" w:rsidRPr="006143BE" w:rsidRDefault="006143BE" w:rsidP="006143BE">
      <w:pPr>
        <w:rPr>
          <w:sz w:val="20"/>
          <w:szCs w:val="20"/>
        </w:rPr>
      </w:pPr>
      <w:r w:rsidRPr="006143BE">
        <w:rPr>
          <w:sz w:val="20"/>
          <w:szCs w:val="20"/>
        </w:rPr>
        <w:t xml:space="preserve">For Measure </w:t>
      </w:r>
      <w:r w:rsidR="00BF1506" w:rsidRPr="006143BE">
        <w:rPr>
          <w:sz w:val="20"/>
          <w:szCs w:val="20"/>
        </w:rPr>
        <w:t>L</w:t>
      </w:r>
      <w:r w:rsidR="00BF1506">
        <w:rPr>
          <w:sz w:val="20"/>
          <w:szCs w:val="20"/>
        </w:rPr>
        <w:t>0270</w:t>
      </w:r>
      <w:r w:rsidRPr="006143BE">
        <w:rPr>
          <w:sz w:val="20"/>
          <w:szCs w:val="20"/>
        </w:rPr>
        <w:t xml:space="preserve">, building type </w:t>
      </w:r>
      <w:r w:rsidR="00500673">
        <w:rPr>
          <w:sz w:val="20"/>
          <w:szCs w:val="20"/>
        </w:rPr>
        <w:t>ASM,</w:t>
      </w:r>
      <w:r w:rsidRPr="006143BE">
        <w:rPr>
          <w:sz w:val="20"/>
          <w:szCs w:val="20"/>
        </w:rPr>
        <w:t xml:space="preserve"> the calculations </w:t>
      </w:r>
      <w:proofErr w:type="gramStart"/>
      <w:r w:rsidRPr="006143BE">
        <w:rPr>
          <w:sz w:val="20"/>
          <w:szCs w:val="20"/>
        </w:rPr>
        <w:t>are</w:t>
      </w:r>
      <w:proofErr w:type="gramEnd"/>
      <w:r w:rsidRPr="006143BE">
        <w:rPr>
          <w:sz w:val="20"/>
          <w:szCs w:val="20"/>
        </w:rPr>
        <w:t xml:space="preserve"> as follows:</w:t>
      </w:r>
    </w:p>
    <w:p w:rsidR="006143BE" w:rsidRPr="006143BE" w:rsidRDefault="006143BE" w:rsidP="006143BE">
      <w:pPr>
        <w:rPr>
          <w:sz w:val="20"/>
          <w:szCs w:val="20"/>
        </w:rPr>
      </w:pPr>
    </w:p>
    <w:p w:rsidR="006143BE" w:rsidRPr="006143BE" w:rsidRDefault="006143BE" w:rsidP="006143BE">
      <w:pPr>
        <w:rPr>
          <w:sz w:val="20"/>
          <w:szCs w:val="20"/>
        </w:rPr>
      </w:pPr>
      <w:r w:rsidRPr="006143BE">
        <w:rPr>
          <w:sz w:val="20"/>
          <w:szCs w:val="20"/>
        </w:rPr>
        <w:tab/>
        <w:t>Demand Savings = (0.</w:t>
      </w:r>
      <w:r w:rsidR="00500673">
        <w:rPr>
          <w:sz w:val="20"/>
          <w:szCs w:val="20"/>
        </w:rPr>
        <w:t>400</w:t>
      </w:r>
      <w:r w:rsidRPr="006143BE">
        <w:rPr>
          <w:sz w:val="20"/>
          <w:szCs w:val="20"/>
        </w:rPr>
        <w:t>– 0.</w:t>
      </w:r>
      <w:r w:rsidR="00195FAB">
        <w:rPr>
          <w:sz w:val="20"/>
          <w:szCs w:val="20"/>
        </w:rPr>
        <w:t>275</w:t>
      </w:r>
      <w:r w:rsidRPr="006143BE">
        <w:rPr>
          <w:sz w:val="20"/>
          <w:szCs w:val="20"/>
        </w:rPr>
        <w:t>) (kW/Fixture) × 0.</w:t>
      </w:r>
      <w:r w:rsidR="003B4730">
        <w:rPr>
          <w:sz w:val="20"/>
          <w:szCs w:val="20"/>
        </w:rPr>
        <w:t>48</w:t>
      </w:r>
      <w:r w:rsidRPr="006143BE">
        <w:rPr>
          <w:sz w:val="20"/>
          <w:szCs w:val="20"/>
        </w:rPr>
        <w:t xml:space="preserve"> (CDF) × 1.1</w:t>
      </w:r>
      <w:r w:rsidR="003B4730">
        <w:rPr>
          <w:sz w:val="20"/>
          <w:szCs w:val="20"/>
        </w:rPr>
        <w:t>7</w:t>
      </w:r>
      <w:r w:rsidRPr="006143BE">
        <w:rPr>
          <w:sz w:val="20"/>
          <w:szCs w:val="20"/>
        </w:rPr>
        <w:t xml:space="preserve"> (kW/kW) = 0.</w:t>
      </w:r>
      <w:r w:rsidR="003B4730">
        <w:rPr>
          <w:sz w:val="20"/>
          <w:szCs w:val="20"/>
        </w:rPr>
        <w:t>0702</w:t>
      </w:r>
      <w:r w:rsidR="00195FAB" w:rsidRPr="006143BE">
        <w:rPr>
          <w:sz w:val="20"/>
          <w:szCs w:val="20"/>
        </w:rPr>
        <w:t xml:space="preserve"> </w:t>
      </w:r>
      <w:r w:rsidRPr="006143BE">
        <w:rPr>
          <w:sz w:val="20"/>
          <w:szCs w:val="20"/>
        </w:rPr>
        <w:t>kW</w:t>
      </w:r>
    </w:p>
    <w:p w:rsidR="007878B9" w:rsidRPr="00BF0332" w:rsidRDefault="00276ED1" w:rsidP="00BF0332">
      <w:pPr>
        <w:pStyle w:val="Heading2"/>
      </w:pPr>
      <w:bookmarkStart w:id="83" w:name="_Toc304800213"/>
      <w:bookmarkStart w:id="84" w:name="_Toc324318367"/>
      <w:bookmarkStart w:id="85" w:name="_Toc324340496"/>
      <w:bookmarkStart w:id="86" w:name="_Toc438469326"/>
      <w:r w:rsidRPr="00BF0332">
        <w:t xml:space="preserve">2.3. </w:t>
      </w:r>
      <w:r w:rsidR="007878B9" w:rsidRPr="00BF0332">
        <w:t>Gas Energy Savings Estimation Methodologies</w:t>
      </w:r>
      <w:bookmarkEnd w:id="83"/>
      <w:bookmarkEnd w:id="84"/>
      <w:bookmarkEnd w:id="85"/>
      <w:bookmarkEnd w:id="86"/>
    </w:p>
    <w:p w:rsidR="006F0EF6" w:rsidRPr="00D726EF" w:rsidRDefault="006F0EF6" w:rsidP="006F0EF6">
      <w:pPr>
        <w:rPr>
          <w:rFonts w:cs="Arial"/>
          <w:sz w:val="20"/>
          <w:szCs w:val="20"/>
        </w:rPr>
      </w:pPr>
      <w:r w:rsidRPr="00D726EF">
        <w:rPr>
          <w:rFonts w:cs="Arial"/>
          <w:sz w:val="20"/>
          <w:szCs w:val="20"/>
        </w:rPr>
        <w:t>Gas estimates are entirely based on the estimated increased gas use through calculated interactive effects. This measure includes HVAC interactive effects savings.</w:t>
      </w:r>
      <w:r>
        <w:rPr>
          <w:rFonts w:cs="Arial"/>
          <w:sz w:val="20"/>
          <w:szCs w:val="20"/>
        </w:rPr>
        <w:t xml:space="preserve">  The equation below calculates the gas savings:</w:t>
      </w:r>
    </w:p>
    <w:p w:rsidR="00CC1E52" w:rsidRPr="00CC1E52" w:rsidRDefault="00CC1E52" w:rsidP="00CC1E52">
      <w:pPr>
        <w:rPr>
          <w:sz w:val="20"/>
          <w:szCs w:val="20"/>
        </w:rPr>
      </w:pPr>
    </w:p>
    <w:p w:rsidR="00CC1E52" w:rsidRPr="00CC1E52" w:rsidRDefault="006F0EF6" w:rsidP="00CC1E52">
      <w:pPr>
        <w:rPr>
          <w:sz w:val="20"/>
          <w:szCs w:val="20"/>
        </w:rPr>
      </w:pPr>
      <w:r w:rsidRPr="00CC1E52">
        <w:rPr>
          <w:position w:val="-10"/>
          <w:sz w:val="20"/>
          <w:szCs w:val="20"/>
        </w:rPr>
        <w:object w:dxaOrig="10280" w:dyaOrig="340" w14:anchorId="72F8EFC9">
          <v:shape id="_x0000_i1057" type="#_x0000_t75" style="width:457.5pt;height:16.5pt" o:ole="">
            <v:imagedata r:id="rId28" o:title=""/>
          </v:shape>
          <o:OLEObject Type="Embed" ProgID="Equation.3" ShapeID="_x0000_i1057" DrawAspect="Content" ObjectID="_1512214815" r:id="rId29"/>
        </w:object>
      </w:r>
    </w:p>
    <w:p w:rsidR="006F0EF6" w:rsidRDefault="006F0EF6" w:rsidP="00CC1E52">
      <w:pPr>
        <w:rPr>
          <w:sz w:val="20"/>
          <w:szCs w:val="20"/>
        </w:rPr>
      </w:pPr>
    </w:p>
    <w:p w:rsidR="00CC1E52" w:rsidRPr="00CC1E52" w:rsidRDefault="00CC1E52" w:rsidP="00CC1E52">
      <w:pPr>
        <w:rPr>
          <w:sz w:val="20"/>
          <w:szCs w:val="20"/>
        </w:rPr>
      </w:pPr>
      <w:r w:rsidRPr="00CC1E52">
        <w:rPr>
          <w:sz w:val="20"/>
          <w:szCs w:val="20"/>
        </w:rPr>
        <w:t xml:space="preserve">Example of Gas Savings Calculation for ASM –measure code </w:t>
      </w:r>
      <w:r w:rsidR="00BF1506" w:rsidRPr="00CC1E52">
        <w:rPr>
          <w:sz w:val="20"/>
          <w:szCs w:val="20"/>
        </w:rPr>
        <w:t>L</w:t>
      </w:r>
      <w:r w:rsidR="00BF1506">
        <w:rPr>
          <w:sz w:val="20"/>
          <w:szCs w:val="20"/>
        </w:rPr>
        <w:t>0270</w:t>
      </w:r>
      <w:r w:rsidRPr="00CC1E52">
        <w:rPr>
          <w:sz w:val="20"/>
          <w:szCs w:val="20"/>
        </w:rPr>
        <w:t>:</w:t>
      </w:r>
    </w:p>
    <w:p w:rsidR="00CC1E52" w:rsidRPr="00CC1E52" w:rsidRDefault="00CC1E52" w:rsidP="00CC1E52">
      <w:pPr>
        <w:rPr>
          <w:sz w:val="20"/>
          <w:szCs w:val="20"/>
        </w:rPr>
      </w:pPr>
    </w:p>
    <w:p w:rsidR="00CC1E52" w:rsidRPr="00CC1E52" w:rsidRDefault="00CC1E52" w:rsidP="00CC1E52">
      <w:pPr>
        <w:ind w:firstLine="720"/>
        <w:rPr>
          <w:sz w:val="20"/>
          <w:szCs w:val="20"/>
        </w:rPr>
      </w:pPr>
      <w:r w:rsidRPr="00CC1E52">
        <w:rPr>
          <w:sz w:val="20"/>
          <w:szCs w:val="20"/>
        </w:rPr>
        <w:t>Gas Savings = (0.</w:t>
      </w:r>
      <w:r w:rsidR="003B4730">
        <w:rPr>
          <w:sz w:val="20"/>
          <w:szCs w:val="20"/>
        </w:rPr>
        <w:t>400</w:t>
      </w:r>
      <w:r w:rsidRPr="00CC1E52">
        <w:rPr>
          <w:sz w:val="20"/>
          <w:szCs w:val="20"/>
        </w:rPr>
        <w:t>– 0.</w:t>
      </w:r>
      <w:r w:rsidR="00195FAB">
        <w:rPr>
          <w:sz w:val="20"/>
          <w:szCs w:val="20"/>
        </w:rPr>
        <w:t>275</w:t>
      </w:r>
      <w:proofErr w:type="gramStart"/>
      <w:r w:rsidRPr="00CC1E52">
        <w:rPr>
          <w:sz w:val="20"/>
          <w:szCs w:val="20"/>
        </w:rPr>
        <w:t>)(</w:t>
      </w:r>
      <w:proofErr w:type="gramEnd"/>
      <w:r w:rsidRPr="00CC1E52">
        <w:rPr>
          <w:sz w:val="20"/>
          <w:szCs w:val="20"/>
        </w:rPr>
        <w:t>kW/fixture) × (</w:t>
      </w:r>
      <w:r w:rsidR="003B4730">
        <w:rPr>
          <w:sz w:val="20"/>
          <w:szCs w:val="20"/>
        </w:rPr>
        <w:t>1620</w:t>
      </w:r>
      <w:r w:rsidRPr="00CC1E52">
        <w:rPr>
          <w:sz w:val="20"/>
          <w:szCs w:val="20"/>
        </w:rPr>
        <w:t xml:space="preserve"> (</w:t>
      </w:r>
      <w:proofErr w:type="spellStart"/>
      <w:r w:rsidRPr="00CC1E52">
        <w:rPr>
          <w:sz w:val="20"/>
          <w:szCs w:val="20"/>
        </w:rPr>
        <w:t>hrs</w:t>
      </w:r>
      <w:proofErr w:type="spellEnd"/>
      <w:r w:rsidRPr="00CC1E52">
        <w:rPr>
          <w:sz w:val="20"/>
          <w:szCs w:val="20"/>
        </w:rPr>
        <w:t>/</w:t>
      </w:r>
      <w:proofErr w:type="spellStart"/>
      <w:r w:rsidRPr="00CC1E52">
        <w:rPr>
          <w:sz w:val="20"/>
          <w:szCs w:val="20"/>
        </w:rPr>
        <w:t>yr</w:t>
      </w:r>
      <w:proofErr w:type="spellEnd"/>
      <w:r w:rsidRPr="00CC1E52">
        <w:rPr>
          <w:sz w:val="20"/>
          <w:szCs w:val="20"/>
        </w:rPr>
        <w:t>) × -0.</w:t>
      </w:r>
      <w:r w:rsidR="003B4730">
        <w:rPr>
          <w:sz w:val="20"/>
          <w:szCs w:val="20"/>
        </w:rPr>
        <w:t>0104</w:t>
      </w:r>
      <w:r w:rsidRPr="00CC1E52">
        <w:rPr>
          <w:sz w:val="20"/>
          <w:szCs w:val="20"/>
        </w:rPr>
        <w:t xml:space="preserve"> (</w:t>
      </w:r>
      <w:proofErr w:type="spellStart"/>
      <w:r w:rsidRPr="00CC1E52">
        <w:rPr>
          <w:sz w:val="20"/>
          <w:szCs w:val="20"/>
        </w:rPr>
        <w:t>Therms</w:t>
      </w:r>
      <w:proofErr w:type="spellEnd"/>
      <w:r w:rsidRPr="00CC1E52">
        <w:rPr>
          <w:sz w:val="20"/>
          <w:szCs w:val="20"/>
        </w:rPr>
        <w:t xml:space="preserve">/kWh) </w:t>
      </w:r>
    </w:p>
    <w:p w:rsidR="009A5CE8" w:rsidRPr="00CF3FF0" w:rsidRDefault="00CC1E52" w:rsidP="00CC1E52">
      <w:pPr>
        <w:rPr>
          <w:rFonts w:cs="Arial"/>
          <w:b/>
          <w:color w:val="FF0000"/>
          <w:sz w:val="20"/>
          <w:szCs w:val="20"/>
        </w:rPr>
      </w:pPr>
      <w:r w:rsidRPr="00CC1E52">
        <w:rPr>
          <w:sz w:val="20"/>
          <w:szCs w:val="20"/>
        </w:rPr>
        <w:t xml:space="preserve"> </w:t>
      </w:r>
      <w:r w:rsidRPr="00CC1E52">
        <w:rPr>
          <w:sz w:val="20"/>
          <w:szCs w:val="20"/>
        </w:rPr>
        <w:tab/>
        <w:t xml:space="preserve">        = -</w:t>
      </w:r>
      <w:r w:rsidR="00195FAB">
        <w:rPr>
          <w:sz w:val="20"/>
          <w:szCs w:val="20"/>
        </w:rPr>
        <w:t>2.</w:t>
      </w:r>
      <w:r w:rsidR="003B4730">
        <w:rPr>
          <w:sz w:val="20"/>
          <w:szCs w:val="20"/>
        </w:rPr>
        <w:t>11</w:t>
      </w:r>
      <w:r w:rsidRPr="00CC1E52">
        <w:rPr>
          <w:sz w:val="20"/>
          <w:szCs w:val="20"/>
        </w:rPr>
        <w:t xml:space="preserve"> </w:t>
      </w:r>
      <w:proofErr w:type="spellStart"/>
      <w:r w:rsidRPr="00CC1E52">
        <w:rPr>
          <w:sz w:val="20"/>
          <w:szCs w:val="20"/>
        </w:rPr>
        <w:t>Therms</w:t>
      </w:r>
      <w:proofErr w:type="spellEnd"/>
      <w:r w:rsidRPr="00CC1E52">
        <w:rPr>
          <w:sz w:val="20"/>
          <w:szCs w:val="20"/>
        </w:rPr>
        <w:t>/Fixture-</w:t>
      </w:r>
      <w:proofErr w:type="spellStart"/>
      <w:r w:rsidRPr="00CC1E52">
        <w:rPr>
          <w:sz w:val="20"/>
          <w:szCs w:val="20"/>
        </w:rPr>
        <w:t>yr</w:t>
      </w:r>
      <w:proofErr w:type="spellEnd"/>
    </w:p>
    <w:p w:rsidR="003B4730" w:rsidRDefault="003B4730">
      <w:pPr>
        <w:rPr>
          <w:rFonts w:cs="Arial"/>
          <w:b/>
          <w:bCs/>
          <w:i/>
          <w:kern w:val="32"/>
          <w:sz w:val="28"/>
          <w:szCs w:val="28"/>
        </w:rPr>
      </w:pPr>
      <w:bookmarkStart w:id="87" w:name="_Toc304800214"/>
      <w:bookmarkStart w:id="88" w:name="_Toc324318368"/>
      <w:bookmarkStart w:id="89" w:name="_Toc324340497"/>
      <w:r>
        <w:rPr>
          <w:i/>
          <w:sz w:val="28"/>
          <w:szCs w:val="28"/>
        </w:rPr>
        <w:br w:type="page"/>
      </w:r>
    </w:p>
    <w:p w:rsidR="00B7164C" w:rsidRPr="003B4730" w:rsidRDefault="00C069A2" w:rsidP="003B4730">
      <w:pPr>
        <w:pStyle w:val="Heading1"/>
      </w:pPr>
      <w:bookmarkStart w:id="90" w:name="_Toc438469327"/>
      <w:proofErr w:type="gramStart"/>
      <w:r w:rsidRPr="003B4730">
        <w:lastRenderedPageBreak/>
        <w:t>Section 3</w:t>
      </w:r>
      <w:r w:rsidR="003129E8" w:rsidRPr="003B4730">
        <w:t>.</w:t>
      </w:r>
      <w:proofErr w:type="gramEnd"/>
      <w:r w:rsidRPr="003B4730">
        <w:t xml:space="preserve"> Load Shapes</w:t>
      </w:r>
      <w:bookmarkEnd w:id="87"/>
      <w:bookmarkEnd w:id="88"/>
      <w:bookmarkEnd w:id="89"/>
      <w:bookmarkEnd w:id="90"/>
      <w:r w:rsidR="00844B27" w:rsidRPr="003B4730">
        <w:t xml:space="preserve"> </w:t>
      </w:r>
    </w:p>
    <w:p w:rsidR="008840FA" w:rsidRPr="00CC1E52" w:rsidRDefault="00CC1E52" w:rsidP="00423B48">
      <w:pPr>
        <w:pStyle w:val="Reminders"/>
        <w:rPr>
          <w:rFonts w:ascii="Arial" w:hAnsi="Arial" w:cs="Arial"/>
          <w:i w:val="0"/>
          <w:color w:val="auto"/>
          <w:sz w:val="20"/>
          <w:szCs w:val="20"/>
        </w:rPr>
      </w:pPr>
      <w:r w:rsidRPr="00CC1E52">
        <w:rPr>
          <w:rFonts w:ascii="Arial" w:hAnsi="Arial" w:cs="Arial"/>
          <w:i w:val="0"/>
          <w:color w:val="auto"/>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r w:rsidR="00B66898" w:rsidRPr="00CC1E52">
        <w:rPr>
          <w:rFonts w:ascii="Arial" w:hAnsi="Arial" w:cs="Arial"/>
          <w:i w:val="0"/>
          <w:color w:val="auto"/>
          <w:sz w:val="20"/>
          <w:szCs w:val="20"/>
        </w:rPr>
        <w:t xml:space="preserve"> </w:t>
      </w:r>
    </w:p>
    <w:p w:rsidR="00B7164C" w:rsidRPr="007A4D97" w:rsidRDefault="00BF0332" w:rsidP="0087599D">
      <w:pPr>
        <w:pStyle w:val="Heading2"/>
      </w:pPr>
      <w:bookmarkStart w:id="91" w:name="_Toc173742996"/>
      <w:bookmarkStart w:id="92" w:name="_Toc304800215"/>
      <w:bookmarkStart w:id="93" w:name="_Toc324318369"/>
      <w:bookmarkStart w:id="94" w:name="_Toc324340498"/>
      <w:bookmarkStart w:id="95" w:name="_Toc438469328"/>
      <w:r w:rsidRPr="007A4D97">
        <w:t>3.1 Base Case</w:t>
      </w:r>
      <w:r w:rsidR="00B7164C" w:rsidRPr="007A4D97">
        <w:t xml:space="preserve"> Load Shapes</w:t>
      </w:r>
      <w:bookmarkEnd w:id="91"/>
      <w:bookmarkEnd w:id="92"/>
      <w:bookmarkEnd w:id="93"/>
      <w:bookmarkEnd w:id="94"/>
      <w:bookmarkEnd w:id="95"/>
    </w:p>
    <w:p w:rsidR="008840FA" w:rsidRPr="007A4D97" w:rsidRDefault="00CC1E52" w:rsidP="00CC1E52">
      <w:pPr>
        <w:rPr>
          <w:rFonts w:cs="Arial"/>
          <w:sz w:val="20"/>
          <w:szCs w:val="20"/>
        </w:rPr>
      </w:pPr>
      <w:bookmarkStart w:id="96" w:name="_Toc173742997"/>
      <w:r w:rsidRPr="00CC1E52">
        <w:rPr>
          <w:sz w:val="20"/>
        </w:rPr>
        <w:t xml:space="preserve">The base case load shape would be expected to follow a typical </w:t>
      </w:r>
      <w:r w:rsidRPr="00CC1E52">
        <w:rPr>
          <w:i/>
          <w:iCs/>
          <w:sz w:val="20"/>
        </w:rPr>
        <w:t>non-residential</w:t>
      </w:r>
      <w:r w:rsidRPr="00CC1E52">
        <w:rPr>
          <w:sz w:val="20"/>
        </w:rPr>
        <w:t xml:space="preserve"> </w:t>
      </w:r>
      <w:r w:rsidRPr="00CC1E52">
        <w:rPr>
          <w:i/>
          <w:sz w:val="20"/>
        </w:rPr>
        <w:t>lighting</w:t>
      </w:r>
      <w:r w:rsidRPr="00CC1E52">
        <w:rPr>
          <w:sz w:val="20"/>
        </w:rPr>
        <w:t xml:space="preserve"> end use load shape.</w:t>
      </w:r>
    </w:p>
    <w:p w:rsidR="00B7164C" w:rsidRPr="007A4D97" w:rsidRDefault="00B7164C" w:rsidP="00D20486">
      <w:pPr>
        <w:pStyle w:val="Heading2"/>
        <w:keepNext w:val="0"/>
      </w:pPr>
      <w:bookmarkStart w:id="97" w:name="_Toc304800216"/>
      <w:bookmarkStart w:id="98" w:name="_Toc324318370"/>
      <w:bookmarkStart w:id="99" w:name="_Toc324340499"/>
      <w:bookmarkStart w:id="100" w:name="_Toc438469329"/>
      <w:r w:rsidRPr="007A4D97">
        <w:t>3.2 Measure Load Shapes</w:t>
      </w:r>
      <w:bookmarkEnd w:id="96"/>
      <w:bookmarkEnd w:id="97"/>
      <w:bookmarkEnd w:id="98"/>
      <w:bookmarkEnd w:id="99"/>
      <w:bookmarkEnd w:id="100"/>
    </w:p>
    <w:p w:rsidR="00CC1E52" w:rsidRPr="00CC1E52" w:rsidRDefault="00CC1E52" w:rsidP="00CC1E52">
      <w:pPr>
        <w:rPr>
          <w:sz w:val="20"/>
        </w:rPr>
      </w:pPr>
      <w:r w:rsidRPr="00CC1E52">
        <w:rPr>
          <w:sz w:val="20"/>
        </w:rPr>
        <w:t xml:space="preserve">For purposes of the net benefits estimates in the E3 calculator, what is required is the load shape that ideally represents the difference between the base equipment and the installed energy efficiency measure.  This difference load profile is what is called the Measure Load Shape and would be the preferred load shape for use in the net benefits calculations.  </w:t>
      </w:r>
    </w:p>
    <w:p w:rsidR="00CC1E52" w:rsidRPr="00CC1E52" w:rsidRDefault="00CC1E52" w:rsidP="00CC1E52">
      <w:pPr>
        <w:rPr>
          <w:sz w:val="20"/>
        </w:rPr>
      </w:pPr>
    </w:p>
    <w:p w:rsidR="00CC1E52" w:rsidRDefault="00CC1E52" w:rsidP="00CC1E52">
      <w:pPr>
        <w:rPr>
          <w:color w:val="FF0000"/>
        </w:rPr>
      </w:pPr>
      <w:r w:rsidRPr="00CC1E52">
        <w:rPr>
          <w:sz w:val="20"/>
        </w:rPr>
        <w:t>The measure load shape for this measure is determined by the E3 calculator based on the</w:t>
      </w:r>
      <w:r w:rsidRPr="00CC1E52">
        <w:rPr>
          <w:color w:val="FF0000"/>
          <w:sz w:val="20"/>
        </w:rPr>
        <w:t xml:space="preserve"> </w:t>
      </w:r>
      <w:r w:rsidRPr="00CC1E52">
        <w:rPr>
          <w:sz w:val="20"/>
        </w:rPr>
        <w:t>applicable</w:t>
      </w:r>
      <w:r w:rsidRPr="00CC1E52">
        <w:rPr>
          <w:color w:val="FF0000"/>
          <w:sz w:val="20"/>
        </w:rPr>
        <w:t xml:space="preserve"> </w:t>
      </w:r>
      <w:r w:rsidRPr="00CC1E52">
        <w:rPr>
          <w:i/>
          <w:iCs/>
          <w:sz w:val="20"/>
        </w:rPr>
        <w:t>non-residential</w:t>
      </w:r>
      <w:r w:rsidRPr="00CC1E52">
        <w:rPr>
          <w:color w:val="FF0000"/>
          <w:sz w:val="20"/>
        </w:rPr>
        <w:t xml:space="preserve"> </w:t>
      </w:r>
      <w:r w:rsidRPr="00CC1E52">
        <w:rPr>
          <w:sz w:val="20"/>
        </w:rPr>
        <w:t>market sector and</w:t>
      </w:r>
      <w:r w:rsidRPr="00CC1E52">
        <w:rPr>
          <w:color w:val="FF0000"/>
          <w:sz w:val="20"/>
        </w:rPr>
        <w:t xml:space="preserve"> </w:t>
      </w:r>
      <w:r w:rsidRPr="00CC1E52">
        <w:rPr>
          <w:i/>
          <w:iCs/>
          <w:sz w:val="20"/>
        </w:rPr>
        <w:t>the industrial indoor lighting</w:t>
      </w:r>
      <w:r w:rsidRPr="00CC1E52">
        <w:rPr>
          <w:color w:val="FF0000"/>
          <w:sz w:val="20"/>
        </w:rPr>
        <w:t xml:space="preserve"> </w:t>
      </w:r>
      <w:r w:rsidRPr="00CC1E52">
        <w:rPr>
          <w:sz w:val="20"/>
        </w:rPr>
        <w:t>end-use</w:t>
      </w:r>
      <w:r w:rsidRPr="00CC1E52">
        <w:rPr>
          <w:color w:val="FF0000"/>
          <w:sz w:val="20"/>
        </w:rPr>
        <w:t xml:space="preserve">. </w:t>
      </w:r>
    </w:p>
    <w:p w:rsidR="00D87EFF" w:rsidRPr="002E0043" w:rsidRDefault="00D87EFF" w:rsidP="002E0043"/>
    <w:p w:rsidR="003B4730" w:rsidRDefault="003B4730" w:rsidP="003B4730">
      <w:pPr>
        <w:pStyle w:val="Caption"/>
        <w:keepNext/>
        <w:jc w:val="center"/>
      </w:pPr>
      <w:bookmarkStart w:id="101" w:name="_Toc438469366"/>
      <w:r>
        <w:t xml:space="preserve">Table </w:t>
      </w:r>
      <w:r w:rsidR="000700C5">
        <w:fldChar w:fldCharType="begin"/>
      </w:r>
      <w:r w:rsidR="000700C5">
        <w:instrText xml:space="preserve"> SEQ Table \* ARABIC </w:instrText>
      </w:r>
      <w:r w:rsidR="000700C5">
        <w:fldChar w:fldCharType="separate"/>
      </w:r>
      <w:r w:rsidR="00646FD6">
        <w:rPr>
          <w:noProof/>
        </w:rPr>
        <w:t>8</w:t>
      </w:r>
      <w:r w:rsidR="000700C5">
        <w:rPr>
          <w:noProof/>
        </w:rPr>
        <w:fldChar w:fldCharType="end"/>
      </w:r>
      <w:r>
        <w:t xml:space="preserve"> Building Types and Load Shapes</w:t>
      </w:r>
      <w:bookmarkEnd w:id="101"/>
    </w:p>
    <w:tbl>
      <w:tblPr>
        <w:tblStyle w:val="TableGrid1"/>
        <w:tblW w:w="5000" w:type="pct"/>
        <w:tblLook w:val="01E0" w:firstRow="1" w:lastRow="1" w:firstColumn="1" w:lastColumn="1" w:noHBand="0" w:noVBand="0"/>
      </w:tblPr>
      <w:tblGrid>
        <w:gridCol w:w="3229"/>
        <w:gridCol w:w="3407"/>
        <w:gridCol w:w="2940"/>
      </w:tblGrid>
      <w:tr w:rsidR="003B4730" w:rsidRPr="00D126AD" w:rsidTr="003B4730">
        <w:tc>
          <w:tcPr>
            <w:tcW w:w="1686" w:type="pct"/>
            <w:shd w:val="clear" w:color="auto" w:fill="D9D9D9" w:themeFill="background1" w:themeFillShade="D9"/>
          </w:tcPr>
          <w:p w:rsidR="003B4730" w:rsidRPr="00D126AD" w:rsidRDefault="003B4730" w:rsidP="003B4730">
            <w:pPr>
              <w:rPr>
                <w:rFonts w:cstheme="minorHAnsi"/>
                <w:b/>
                <w:sz w:val="20"/>
                <w:szCs w:val="20"/>
                <w:highlight w:val="yellow"/>
              </w:rPr>
            </w:pPr>
            <w:bookmarkStart w:id="102" w:name="_Toc304800217"/>
            <w:bookmarkStart w:id="103" w:name="_Toc324318371"/>
            <w:bookmarkStart w:id="104" w:name="_Toc324340500"/>
            <w:r w:rsidRPr="00D126AD">
              <w:rPr>
                <w:rFonts w:cstheme="minorHAnsi"/>
                <w:b/>
                <w:sz w:val="20"/>
                <w:szCs w:val="20"/>
              </w:rPr>
              <w:t>Building Type</w:t>
            </w:r>
          </w:p>
        </w:tc>
        <w:tc>
          <w:tcPr>
            <w:tcW w:w="1779" w:type="pct"/>
            <w:shd w:val="clear" w:color="auto" w:fill="D9D9D9" w:themeFill="background1" w:themeFillShade="D9"/>
          </w:tcPr>
          <w:p w:rsidR="003B4730" w:rsidRPr="00D126AD" w:rsidRDefault="003B4730" w:rsidP="003B4730">
            <w:pPr>
              <w:rPr>
                <w:rFonts w:cstheme="minorHAnsi"/>
                <w:b/>
                <w:sz w:val="20"/>
                <w:szCs w:val="20"/>
              </w:rPr>
            </w:pPr>
            <w:r w:rsidRPr="00D126AD">
              <w:rPr>
                <w:rFonts w:cstheme="minorHAnsi"/>
                <w:b/>
                <w:sz w:val="20"/>
                <w:szCs w:val="20"/>
              </w:rPr>
              <w:t>Load Shape</w:t>
            </w:r>
          </w:p>
        </w:tc>
        <w:tc>
          <w:tcPr>
            <w:tcW w:w="1535" w:type="pct"/>
            <w:shd w:val="clear" w:color="auto" w:fill="D9D9D9" w:themeFill="background1" w:themeFillShade="D9"/>
          </w:tcPr>
          <w:p w:rsidR="003B4730" w:rsidRPr="00D126AD" w:rsidRDefault="003B4730" w:rsidP="003B4730">
            <w:pPr>
              <w:rPr>
                <w:rFonts w:cstheme="minorHAnsi"/>
                <w:b/>
                <w:sz w:val="20"/>
                <w:szCs w:val="20"/>
                <w:highlight w:val="yellow"/>
              </w:rPr>
            </w:pPr>
            <w:r w:rsidRPr="00D126AD">
              <w:rPr>
                <w:rFonts w:cstheme="minorHAnsi"/>
                <w:b/>
                <w:sz w:val="20"/>
                <w:szCs w:val="20"/>
              </w:rPr>
              <w:t>E3 Alternate Building Type</w:t>
            </w:r>
          </w:p>
        </w:tc>
      </w:tr>
      <w:tr w:rsidR="003B4730" w:rsidRPr="00D126AD" w:rsidTr="003B4730">
        <w:tc>
          <w:tcPr>
            <w:tcW w:w="1686" w:type="pct"/>
          </w:tcPr>
          <w:p w:rsidR="003B4730" w:rsidRPr="00D126AD" w:rsidRDefault="003B4730" w:rsidP="003B4730">
            <w:pPr>
              <w:rPr>
                <w:rFonts w:cstheme="minorHAnsi"/>
                <w:sz w:val="20"/>
                <w:szCs w:val="20"/>
              </w:rPr>
            </w:pPr>
            <w:r>
              <w:rPr>
                <w:rFonts w:cstheme="minorHAnsi"/>
                <w:sz w:val="20"/>
                <w:szCs w:val="20"/>
              </w:rPr>
              <w:t>All Commercial</w:t>
            </w:r>
          </w:p>
        </w:tc>
        <w:tc>
          <w:tcPr>
            <w:tcW w:w="1779" w:type="pct"/>
          </w:tcPr>
          <w:p w:rsidR="003B4730" w:rsidRPr="00D126AD" w:rsidRDefault="003B4730" w:rsidP="003B4730">
            <w:pPr>
              <w:rPr>
                <w:rFonts w:cstheme="minorHAnsi"/>
                <w:sz w:val="20"/>
                <w:szCs w:val="20"/>
              </w:rPr>
            </w:pPr>
            <w:proofErr w:type="spellStart"/>
            <w:r w:rsidRPr="003B4730">
              <w:rPr>
                <w:rFonts w:cstheme="minorHAnsi"/>
                <w:sz w:val="20"/>
                <w:szCs w:val="20"/>
              </w:rPr>
              <w:t>PGE:DEER:Com:Indoor_Non-CFL_Ltg</w:t>
            </w:r>
            <w:proofErr w:type="spellEnd"/>
          </w:p>
        </w:tc>
        <w:tc>
          <w:tcPr>
            <w:tcW w:w="1535" w:type="pct"/>
          </w:tcPr>
          <w:p w:rsidR="003B4730" w:rsidRPr="00D126AD" w:rsidRDefault="003B4730" w:rsidP="003B4730">
            <w:pPr>
              <w:rPr>
                <w:rFonts w:cstheme="minorHAnsi"/>
                <w:sz w:val="20"/>
                <w:szCs w:val="20"/>
              </w:rPr>
            </w:pPr>
            <w:r>
              <w:rPr>
                <w:rFonts w:cstheme="minorHAnsi"/>
                <w:sz w:val="20"/>
                <w:szCs w:val="20"/>
              </w:rPr>
              <w:t>NON_RES</w:t>
            </w:r>
          </w:p>
        </w:tc>
      </w:tr>
    </w:tbl>
    <w:p w:rsidR="003B4730" w:rsidRDefault="003B4730">
      <w:pPr>
        <w:rPr>
          <w:rFonts w:cs="Arial"/>
          <w:b/>
          <w:bCs/>
          <w:kern w:val="32"/>
          <w:sz w:val="32"/>
          <w:szCs w:val="32"/>
        </w:rPr>
      </w:pPr>
      <w:r>
        <w:br w:type="page"/>
      </w:r>
    </w:p>
    <w:p w:rsidR="00B16BE4" w:rsidRDefault="00C069A2" w:rsidP="00A929F6">
      <w:pPr>
        <w:pStyle w:val="Heading1"/>
        <w:keepNext w:val="0"/>
      </w:pPr>
      <w:bookmarkStart w:id="105" w:name="_Toc438469330"/>
      <w:proofErr w:type="gramStart"/>
      <w:r>
        <w:lastRenderedPageBreak/>
        <w:t>Section 4</w:t>
      </w:r>
      <w:r w:rsidR="003129E8">
        <w:t>.</w:t>
      </w:r>
      <w:proofErr w:type="gramEnd"/>
      <w:r>
        <w:t xml:space="preserve"> Base Case &amp; Measure Costs</w:t>
      </w:r>
      <w:bookmarkEnd w:id="102"/>
      <w:bookmarkEnd w:id="103"/>
      <w:bookmarkEnd w:id="104"/>
      <w:bookmarkEnd w:id="105"/>
    </w:p>
    <w:p w:rsidR="001B242B" w:rsidRPr="006914D5" w:rsidRDefault="00C069A2" w:rsidP="00D20486">
      <w:pPr>
        <w:pStyle w:val="Heading2"/>
        <w:keepNext w:val="0"/>
      </w:pPr>
      <w:bookmarkStart w:id="106" w:name="_Toc304800218"/>
      <w:bookmarkStart w:id="107" w:name="_Toc324318372"/>
      <w:bookmarkStart w:id="108" w:name="_Toc324340501"/>
      <w:bookmarkStart w:id="109" w:name="_Toc438469331"/>
      <w:r w:rsidRPr="006914D5">
        <w:t>4.1 Base Case</w:t>
      </w:r>
      <w:r w:rsidR="00C221D5" w:rsidRPr="006914D5">
        <w:t>(</w:t>
      </w:r>
      <w:r w:rsidRPr="006914D5">
        <w:t>s</w:t>
      </w:r>
      <w:r w:rsidR="00C221D5" w:rsidRPr="006914D5">
        <w:t>)</w:t>
      </w:r>
      <w:r w:rsidRPr="006914D5">
        <w:t xml:space="preserve"> Costs</w:t>
      </w:r>
      <w:bookmarkEnd w:id="106"/>
      <w:bookmarkEnd w:id="107"/>
      <w:bookmarkEnd w:id="108"/>
      <w:bookmarkEnd w:id="109"/>
    </w:p>
    <w:p w:rsidR="008040CE" w:rsidRPr="006914D5" w:rsidRDefault="00CD336C" w:rsidP="00AB2D9E">
      <w:pPr>
        <w:rPr>
          <w:rFonts w:cs="Arial"/>
          <w:b/>
          <w:i/>
          <w:sz w:val="18"/>
          <w:szCs w:val="20"/>
        </w:rPr>
      </w:pPr>
      <w:r>
        <w:rPr>
          <w:sz w:val="20"/>
        </w:rPr>
        <w:t>WO017 was used for current base case costs.  Please refer to the cost spreadsheet for detailed information and cost calculations.</w:t>
      </w:r>
    </w:p>
    <w:p w:rsidR="00C069A2" w:rsidRPr="006914D5" w:rsidRDefault="00663A00" w:rsidP="002E0043">
      <w:pPr>
        <w:pStyle w:val="Heading2"/>
        <w:keepNext w:val="0"/>
      </w:pPr>
      <w:bookmarkStart w:id="110" w:name="_Toc304800219"/>
      <w:bookmarkStart w:id="111" w:name="_Toc324318373"/>
      <w:bookmarkStart w:id="112" w:name="_Toc324340502"/>
      <w:bookmarkStart w:id="113" w:name="_Toc438469332"/>
      <w:r w:rsidRPr="006914D5">
        <w:t>4.2 Meas</w:t>
      </w:r>
      <w:r w:rsidR="00C069A2" w:rsidRPr="006914D5">
        <w:t xml:space="preserve">ure </w:t>
      </w:r>
      <w:r w:rsidR="00930877" w:rsidRPr="006914D5">
        <w:t xml:space="preserve">Case </w:t>
      </w:r>
      <w:r w:rsidR="00C069A2" w:rsidRPr="006914D5">
        <w:t>Costs</w:t>
      </w:r>
      <w:bookmarkEnd w:id="110"/>
      <w:bookmarkEnd w:id="111"/>
      <w:bookmarkEnd w:id="112"/>
      <w:bookmarkEnd w:id="113"/>
      <w:r w:rsidR="00930877" w:rsidRPr="006914D5">
        <w:t xml:space="preserve"> </w:t>
      </w:r>
    </w:p>
    <w:p w:rsidR="00C93AE7" w:rsidRDefault="00CD336C" w:rsidP="00234C4F">
      <w:pPr>
        <w:rPr>
          <w:sz w:val="20"/>
        </w:rPr>
      </w:pPr>
      <w:r>
        <w:rPr>
          <w:sz w:val="20"/>
        </w:rPr>
        <w:t>M</w:t>
      </w:r>
      <w:r w:rsidR="00234C4F" w:rsidRPr="006914D5">
        <w:rPr>
          <w:sz w:val="20"/>
        </w:rPr>
        <w:t xml:space="preserve">easure costs vary depending on the fixture </w:t>
      </w:r>
      <w:r w:rsidR="00860181">
        <w:rPr>
          <w:sz w:val="20"/>
        </w:rPr>
        <w:t>wattage.  PG&amp;E and SCE are using the same measure costs.  Measure costs are from va</w:t>
      </w:r>
      <w:r w:rsidR="00646FD6">
        <w:rPr>
          <w:sz w:val="20"/>
        </w:rPr>
        <w:t xml:space="preserve">rious online retailers and averaged.  </w:t>
      </w:r>
    </w:p>
    <w:p w:rsidR="00C93AE7" w:rsidRDefault="00C93AE7" w:rsidP="00234C4F">
      <w:pPr>
        <w:rPr>
          <w:sz w:val="20"/>
        </w:rPr>
      </w:pPr>
    </w:p>
    <w:p w:rsidR="00234C4F" w:rsidRPr="00C93AE7" w:rsidRDefault="00646FD6" w:rsidP="00234C4F">
      <w:pPr>
        <w:rPr>
          <w:rFonts w:cs="Arial"/>
          <w:b/>
          <w:i/>
          <w:sz w:val="18"/>
          <w:szCs w:val="20"/>
        </w:rPr>
      </w:pPr>
      <w:r>
        <w:rPr>
          <w:sz w:val="20"/>
        </w:rPr>
        <w:t xml:space="preserve">The labor cost is </w:t>
      </w:r>
      <w:r w:rsidR="00C93AE7">
        <w:rPr>
          <w:sz w:val="20"/>
        </w:rPr>
        <w:t xml:space="preserve">$187.14 </w:t>
      </w:r>
      <w:r>
        <w:rPr>
          <w:sz w:val="20"/>
        </w:rPr>
        <w:t>from the WO017 report.</w:t>
      </w:r>
      <w:r w:rsidR="00860181">
        <w:rPr>
          <w:sz w:val="20"/>
        </w:rPr>
        <w:t xml:space="preserve"> </w:t>
      </w:r>
      <w:r w:rsidR="00C93AE7">
        <w:rPr>
          <w:rStyle w:val="EndnoteReference"/>
          <w:sz w:val="20"/>
        </w:rPr>
        <w:endnoteReference w:id="4"/>
      </w:r>
    </w:p>
    <w:p w:rsidR="0030550A" w:rsidRPr="006914D5" w:rsidRDefault="0030550A" w:rsidP="002E0043">
      <w:pPr>
        <w:pStyle w:val="Heading2"/>
        <w:keepNext w:val="0"/>
      </w:pPr>
      <w:bookmarkStart w:id="114" w:name="_Toc304800220"/>
      <w:bookmarkStart w:id="115" w:name="_Toc324318374"/>
      <w:bookmarkStart w:id="116" w:name="_Toc324340503"/>
      <w:bookmarkStart w:id="117" w:name="_Toc438469333"/>
      <w:r w:rsidRPr="006914D5">
        <w:t>4.3 Incremental &amp; Full Measure Costs</w:t>
      </w:r>
      <w:bookmarkEnd w:id="114"/>
      <w:bookmarkEnd w:id="115"/>
      <w:bookmarkEnd w:id="116"/>
      <w:bookmarkEnd w:id="117"/>
    </w:p>
    <w:p w:rsidR="00646FD6" w:rsidRDefault="00646FD6" w:rsidP="00646FD6">
      <w:pPr>
        <w:pStyle w:val="Caption"/>
        <w:keepNext/>
        <w:jc w:val="center"/>
      </w:pPr>
      <w:bookmarkStart w:id="118" w:name="_Toc324318375"/>
      <w:bookmarkStart w:id="119" w:name="_Toc324340504"/>
    </w:p>
    <w:p w:rsidR="00646FD6" w:rsidRDefault="00646FD6" w:rsidP="00646FD6">
      <w:pPr>
        <w:pStyle w:val="Caption"/>
        <w:keepNext/>
        <w:jc w:val="center"/>
      </w:pPr>
      <w:bookmarkStart w:id="120" w:name="_Toc438469367"/>
      <w:r>
        <w:t xml:space="preserve">Table </w:t>
      </w:r>
      <w:r w:rsidR="000700C5">
        <w:fldChar w:fldCharType="begin"/>
      </w:r>
      <w:r w:rsidR="000700C5">
        <w:instrText xml:space="preserve"> SEQ Table \* ARABIC </w:instrText>
      </w:r>
      <w:r w:rsidR="000700C5">
        <w:fldChar w:fldCharType="separate"/>
      </w:r>
      <w:r w:rsidR="000700C5">
        <w:rPr>
          <w:noProof/>
        </w:rPr>
        <w:t>9</w:t>
      </w:r>
      <w:r w:rsidR="000700C5">
        <w:rPr>
          <w:noProof/>
        </w:rPr>
        <w:fldChar w:fldCharType="end"/>
      </w:r>
      <w:r>
        <w:t xml:space="preserve"> Full and Incremental Measure Cost Equations</w:t>
      </w:r>
      <w:bookmarkEnd w:id="120"/>
    </w:p>
    <w:tbl>
      <w:tblPr>
        <w:tblStyle w:val="TableGrid1"/>
        <w:tblW w:w="5000" w:type="pct"/>
        <w:tblLook w:val="01E0" w:firstRow="1" w:lastRow="1" w:firstColumn="1" w:lastColumn="1" w:noHBand="0" w:noVBand="0"/>
      </w:tblPr>
      <w:tblGrid>
        <w:gridCol w:w="1286"/>
        <w:gridCol w:w="2764"/>
        <w:gridCol w:w="2674"/>
        <w:gridCol w:w="2852"/>
      </w:tblGrid>
      <w:tr w:rsidR="000700C5" w:rsidRPr="00500C4E" w:rsidTr="000700C5">
        <w:tc>
          <w:tcPr>
            <w:tcW w:w="672" w:type="pct"/>
            <w:vMerge w:val="restart"/>
            <w:shd w:val="clear" w:color="auto" w:fill="D9D9D9" w:themeFill="background1" w:themeFillShade="D9"/>
          </w:tcPr>
          <w:p w:rsidR="000700C5" w:rsidRPr="000700C5" w:rsidRDefault="000700C5" w:rsidP="000700C5">
            <w:pPr>
              <w:rPr>
                <w:rFonts w:cstheme="minorHAnsi"/>
                <w:b/>
                <w:sz w:val="20"/>
                <w:szCs w:val="20"/>
                <w:highlight w:val="yellow"/>
              </w:rPr>
            </w:pPr>
            <w:r w:rsidRPr="000700C5">
              <w:rPr>
                <w:rFonts w:cstheme="minorHAnsi"/>
                <w:b/>
                <w:sz w:val="20"/>
                <w:szCs w:val="20"/>
              </w:rPr>
              <w:t>Installation Type</w:t>
            </w:r>
          </w:p>
        </w:tc>
        <w:tc>
          <w:tcPr>
            <w:tcW w:w="1443" w:type="pct"/>
            <w:vMerge w:val="restart"/>
            <w:shd w:val="clear" w:color="auto" w:fill="D9D9D9" w:themeFill="background1" w:themeFillShade="D9"/>
          </w:tcPr>
          <w:p w:rsidR="000700C5" w:rsidRPr="000700C5" w:rsidRDefault="000700C5" w:rsidP="000700C5">
            <w:pPr>
              <w:rPr>
                <w:rFonts w:cstheme="minorHAnsi"/>
                <w:b/>
                <w:sz w:val="20"/>
                <w:szCs w:val="20"/>
              </w:rPr>
            </w:pPr>
            <w:r w:rsidRPr="000700C5">
              <w:rPr>
                <w:rFonts w:cstheme="minorHAnsi"/>
                <w:b/>
                <w:sz w:val="20"/>
                <w:szCs w:val="20"/>
              </w:rPr>
              <w:t>Incremental Measure Cost</w:t>
            </w:r>
          </w:p>
        </w:tc>
        <w:tc>
          <w:tcPr>
            <w:tcW w:w="2885" w:type="pct"/>
            <w:gridSpan w:val="2"/>
            <w:shd w:val="clear" w:color="auto" w:fill="D9D9D9" w:themeFill="background1" w:themeFillShade="D9"/>
          </w:tcPr>
          <w:p w:rsidR="000700C5" w:rsidRPr="000700C5" w:rsidRDefault="000700C5" w:rsidP="000700C5">
            <w:pPr>
              <w:rPr>
                <w:rFonts w:cstheme="minorHAnsi"/>
                <w:b/>
                <w:sz w:val="20"/>
                <w:szCs w:val="20"/>
                <w:highlight w:val="yellow"/>
              </w:rPr>
            </w:pPr>
            <w:r w:rsidRPr="000700C5">
              <w:rPr>
                <w:rFonts w:cstheme="minorHAnsi"/>
                <w:b/>
                <w:sz w:val="20"/>
                <w:szCs w:val="20"/>
              </w:rPr>
              <w:t>Full Measure Cost</w:t>
            </w:r>
          </w:p>
        </w:tc>
      </w:tr>
      <w:tr w:rsidR="000700C5" w:rsidRPr="00500C4E" w:rsidTr="000700C5">
        <w:tc>
          <w:tcPr>
            <w:tcW w:w="672" w:type="pct"/>
            <w:vMerge/>
            <w:shd w:val="clear" w:color="auto" w:fill="D9D9D9" w:themeFill="background1" w:themeFillShade="D9"/>
          </w:tcPr>
          <w:p w:rsidR="000700C5" w:rsidRPr="000700C5" w:rsidRDefault="000700C5" w:rsidP="000700C5">
            <w:pPr>
              <w:rPr>
                <w:rFonts w:cstheme="minorHAnsi"/>
                <w:b/>
                <w:sz w:val="20"/>
                <w:szCs w:val="20"/>
              </w:rPr>
            </w:pPr>
          </w:p>
        </w:tc>
        <w:tc>
          <w:tcPr>
            <w:tcW w:w="1443" w:type="pct"/>
            <w:vMerge/>
            <w:shd w:val="clear" w:color="auto" w:fill="D9D9D9" w:themeFill="background1" w:themeFillShade="D9"/>
          </w:tcPr>
          <w:p w:rsidR="000700C5" w:rsidRPr="000700C5" w:rsidRDefault="000700C5" w:rsidP="000700C5">
            <w:pPr>
              <w:rPr>
                <w:rFonts w:cstheme="minorHAnsi"/>
                <w:b/>
                <w:sz w:val="20"/>
                <w:szCs w:val="20"/>
              </w:rPr>
            </w:pPr>
          </w:p>
        </w:tc>
        <w:tc>
          <w:tcPr>
            <w:tcW w:w="1396" w:type="pct"/>
            <w:shd w:val="clear" w:color="auto" w:fill="F2F2F2" w:themeFill="background1" w:themeFillShade="F2"/>
          </w:tcPr>
          <w:p w:rsidR="000700C5" w:rsidRPr="000700C5" w:rsidRDefault="000700C5" w:rsidP="000700C5">
            <w:pPr>
              <w:rPr>
                <w:rFonts w:cstheme="minorHAnsi"/>
                <w:b/>
                <w:sz w:val="20"/>
                <w:szCs w:val="20"/>
              </w:rPr>
            </w:pPr>
            <w:r w:rsidRPr="000700C5">
              <w:rPr>
                <w:rFonts w:cstheme="minorHAnsi"/>
                <w:b/>
                <w:sz w:val="20"/>
                <w:szCs w:val="20"/>
              </w:rPr>
              <w:t>1</w:t>
            </w:r>
            <w:r w:rsidRPr="000700C5">
              <w:rPr>
                <w:rFonts w:cstheme="minorHAnsi"/>
                <w:b/>
                <w:sz w:val="20"/>
                <w:szCs w:val="20"/>
                <w:vertAlign w:val="superscript"/>
              </w:rPr>
              <w:t>st</w:t>
            </w:r>
            <w:r w:rsidRPr="000700C5">
              <w:rPr>
                <w:rFonts w:cstheme="minorHAnsi"/>
                <w:b/>
                <w:sz w:val="20"/>
                <w:szCs w:val="20"/>
              </w:rPr>
              <w:t xml:space="preserve"> Baseline</w:t>
            </w:r>
          </w:p>
        </w:tc>
        <w:tc>
          <w:tcPr>
            <w:tcW w:w="1489" w:type="pct"/>
            <w:shd w:val="clear" w:color="auto" w:fill="F2F2F2" w:themeFill="background1" w:themeFillShade="F2"/>
          </w:tcPr>
          <w:p w:rsidR="000700C5" w:rsidRPr="000700C5" w:rsidRDefault="000700C5" w:rsidP="000700C5">
            <w:pPr>
              <w:rPr>
                <w:rFonts w:cstheme="minorHAnsi"/>
                <w:b/>
                <w:sz w:val="20"/>
                <w:szCs w:val="20"/>
              </w:rPr>
            </w:pPr>
            <w:r w:rsidRPr="000700C5">
              <w:rPr>
                <w:rFonts w:cstheme="minorHAnsi"/>
                <w:b/>
                <w:sz w:val="20"/>
                <w:szCs w:val="20"/>
              </w:rPr>
              <w:t>2</w:t>
            </w:r>
            <w:r w:rsidRPr="000700C5">
              <w:rPr>
                <w:rFonts w:cstheme="minorHAnsi"/>
                <w:b/>
                <w:sz w:val="20"/>
                <w:szCs w:val="20"/>
                <w:vertAlign w:val="superscript"/>
              </w:rPr>
              <w:t>nd</w:t>
            </w:r>
            <w:r w:rsidRPr="000700C5">
              <w:rPr>
                <w:rFonts w:cstheme="minorHAnsi"/>
                <w:b/>
                <w:sz w:val="20"/>
                <w:szCs w:val="20"/>
              </w:rPr>
              <w:t xml:space="preserve"> Baseline</w:t>
            </w:r>
          </w:p>
        </w:tc>
      </w:tr>
      <w:tr w:rsidR="000700C5" w:rsidRPr="00500C4E" w:rsidTr="000700C5">
        <w:tc>
          <w:tcPr>
            <w:tcW w:w="672" w:type="pct"/>
          </w:tcPr>
          <w:p w:rsidR="000700C5" w:rsidRPr="000700C5" w:rsidRDefault="000700C5" w:rsidP="000700C5">
            <w:pPr>
              <w:rPr>
                <w:rFonts w:cstheme="minorHAnsi"/>
                <w:sz w:val="20"/>
                <w:szCs w:val="20"/>
              </w:rPr>
            </w:pPr>
            <w:r w:rsidRPr="000700C5">
              <w:rPr>
                <w:rFonts w:cstheme="minorHAnsi"/>
                <w:sz w:val="20"/>
                <w:szCs w:val="20"/>
              </w:rPr>
              <w:t>ROB</w:t>
            </w:r>
          </w:p>
        </w:tc>
        <w:tc>
          <w:tcPr>
            <w:tcW w:w="1443" w:type="pct"/>
            <w:vMerge w:val="restart"/>
          </w:tcPr>
          <w:p w:rsidR="000700C5" w:rsidRPr="000700C5" w:rsidRDefault="000700C5" w:rsidP="000700C5">
            <w:pPr>
              <w:rPr>
                <w:rFonts w:cstheme="minorHAnsi"/>
                <w:sz w:val="20"/>
                <w:szCs w:val="20"/>
              </w:rPr>
            </w:pPr>
            <w:r w:rsidRPr="000700C5">
              <w:rPr>
                <w:rFonts w:cstheme="minorHAnsi"/>
                <w:sz w:val="20"/>
                <w:szCs w:val="20"/>
              </w:rPr>
              <w:t>(MEC + MLC) – (BEC + BLC)</w:t>
            </w:r>
          </w:p>
        </w:tc>
        <w:tc>
          <w:tcPr>
            <w:tcW w:w="1396" w:type="pct"/>
            <w:vMerge w:val="restart"/>
          </w:tcPr>
          <w:p w:rsidR="000700C5" w:rsidRPr="000700C5" w:rsidRDefault="000700C5" w:rsidP="000700C5">
            <w:pPr>
              <w:rPr>
                <w:rFonts w:cstheme="minorHAnsi"/>
                <w:sz w:val="20"/>
                <w:szCs w:val="20"/>
              </w:rPr>
            </w:pPr>
            <w:r w:rsidRPr="000700C5">
              <w:rPr>
                <w:rFonts w:cstheme="minorHAnsi"/>
                <w:sz w:val="20"/>
                <w:szCs w:val="20"/>
              </w:rPr>
              <w:t>(MEC + MLC) – (BEC + BLC)</w:t>
            </w:r>
          </w:p>
        </w:tc>
        <w:tc>
          <w:tcPr>
            <w:tcW w:w="1489" w:type="pct"/>
            <w:vMerge w:val="restart"/>
          </w:tcPr>
          <w:p w:rsidR="000700C5" w:rsidRPr="000700C5" w:rsidRDefault="000700C5" w:rsidP="000700C5">
            <w:pPr>
              <w:rPr>
                <w:rFonts w:cstheme="minorHAnsi"/>
                <w:sz w:val="20"/>
                <w:szCs w:val="20"/>
              </w:rPr>
            </w:pPr>
            <w:r w:rsidRPr="000700C5">
              <w:rPr>
                <w:rFonts w:cstheme="minorHAnsi"/>
                <w:sz w:val="20"/>
                <w:szCs w:val="20"/>
              </w:rPr>
              <w:t>N/A</w:t>
            </w:r>
          </w:p>
        </w:tc>
      </w:tr>
      <w:tr w:rsidR="000700C5" w:rsidRPr="00500C4E" w:rsidTr="000700C5">
        <w:tc>
          <w:tcPr>
            <w:tcW w:w="672" w:type="pct"/>
          </w:tcPr>
          <w:p w:rsidR="000700C5" w:rsidRPr="000700C5" w:rsidRDefault="000700C5" w:rsidP="000700C5">
            <w:pPr>
              <w:rPr>
                <w:rFonts w:cstheme="minorHAnsi"/>
                <w:sz w:val="20"/>
                <w:szCs w:val="20"/>
              </w:rPr>
            </w:pPr>
            <w:r w:rsidRPr="000700C5">
              <w:rPr>
                <w:rFonts w:cstheme="minorHAnsi"/>
                <w:sz w:val="20"/>
                <w:szCs w:val="20"/>
              </w:rPr>
              <w:t>NEW/NC</w:t>
            </w:r>
          </w:p>
        </w:tc>
        <w:tc>
          <w:tcPr>
            <w:tcW w:w="1443" w:type="pct"/>
            <w:vMerge/>
          </w:tcPr>
          <w:p w:rsidR="000700C5" w:rsidRPr="000700C5" w:rsidRDefault="000700C5" w:rsidP="000700C5">
            <w:pPr>
              <w:rPr>
                <w:rFonts w:cstheme="minorHAnsi"/>
                <w:sz w:val="20"/>
                <w:szCs w:val="20"/>
              </w:rPr>
            </w:pPr>
          </w:p>
        </w:tc>
        <w:tc>
          <w:tcPr>
            <w:tcW w:w="1396" w:type="pct"/>
            <w:vMerge/>
          </w:tcPr>
          <w:p w:rsidR="000700C5" w:rsidRPr="000700C5" w:rsidRDefault="000700C5" w:rsidP="000700C5">
            <w:pPr>
              <w:rPr>
                <w:rFonts w:cstheme="minorHAnsi"/>
                <w:sz w:val="20"/>
                <w:szCs w:val="20"/>
              </w:rPr>
            </w:pPr>
          </w:p>
        </w:tc>
        <w:tc>
          <w:tcPr>
            <w:tcW w:w="1489" w:type="pct"/>
            <w:vMerge/>
          </w:tcPr>
          <w:p w:rsidR="000700C5" w:rsidRPr="000700C5" w:rsidRDefault="000700C5" w:rsidP="000700C5">
            <w:pPr>
              <w:rPr>
                <w:rFonts w:cstheme="minorHAnsi"/>
                <w:sz w:val="20"/>
                <w:szCs w:val="20"/>
              </w:rPr>
            </w:pPr>
          </w:p>
        </w:tc>
      </w:tr>
      <w:tr w:rsidR="000700C5" w:rsidRPr="00500C4E" w:rsidTr="000700C5">
        <w:tc>
          <w:tcPr>
            <w:tcW w:w="672" w:type="pct"/>
          </w:tcPr>
          <w:p w:rsidR="000700C5" w:rsidRPr="000700C5" w:rsidRDefault="000700C5" w:rsidP="000700C5">
            <w:pPr>
              <w:rPr>
                <w:rFonts w:cstheme="minorHAnsi"/>
                <w:sz w:val="20"/>
                <w:szCs w:val="20"/>
              </w:rPr>
            </w:pPr>
            <w:r w:rsidRPr="000700C5">
              <w:rPr>
                <w:rFonts w:cstheme="minorHAnsi"/>
                <w:sz w:val="20"/>
                <w:szCs w:val="20"/>
              </w:rPr>
              <w:t>RET/ER</w:t>
            </w:r>
          </w:p>
        </w:tc>
        <w:tc>
          <w:tcPr>
            <w:tcW w:w="1443" w:type="pct"/>
          </w:tcPr>
          <w:p w:rsidR="000700C5" w:rsidRPr="000700C5" w:rsidRDefault="000700C5" w:rsidP="000700C5">
            <w:pPr>
              <w:rPr>
                <w:rFonts w:cstheme="minorHAnsi"/>
                <w:sz w:val="20"/>
                <w:szCs w:val="20"/>
              </w:rPr>
            </w:pPr>
            <w:r w:rsidRPr="000700C5">
              <w:rPr>
                <w:rFonts w:cstheme="minorHAnsi"/>
                <w:sz w:val="20"/>
                <w:szCs w:val="20"/>
              </w:rPr>
              <w:t>(MEC + MLC) – (BEC + BLC)</w:t>
            </w:r>
          </w:p>
        </w:tc>
        <w:tc>
          <w:tcPr>
            <w:tcW w:w="1396" w:type="pct"/>
          </w:tcPr>
          <w:p w:rsidR="000700C5" w:rsidRPr="000700C5" w:rsidRDefault="000700C5" w:rsidP="000700C5">
            <w:pPr>
              <w:rPr>
                <w:rFonts w:cstheme="minorHAnsi"/>
                <w:sz w:val="20"/>
                <w:szCs w:val="20"/>
              </w:rPr>
            </w:pPr>
            <w:r w:rsidRPr="000700C5">
              <w:rPr>
                <w:rFonts w:cstheme="minorHAnsi"/>
                <w:sz w:val="20"/>
                <w:szCs w:val="20"/>
              </w:rPr>
              <w:t>MEC + MLC</w:t>
            </w:r>
          </w:p>
        </w:tc>
        <w:tc>
          <w:tcPr>
            <w:tcW w:w="1489" w:type="pct"/>
          </w:tcPr>
          <w:p w:rsidR="000700C5" w:rsidRPr="000700C5" w:rsidRDefault="000700C5" w:rsidP="000700C5">
            <w:pPr>
              <w:rPr>
                <w:rFonts w:cstheme="minorHAnsi"/>
                <w:sz w:val="20"/>
                <w:szCs w:val="20"/>
              </w:rPr>
            </w:pPr>
            <w:r w:rsidRPr="000700C5">
              <w:rPr>
                <w:rFonts w:cstheme="minorHAnsi"/>
                <w:sz w:val="20"/>
                <w:szCs w:val="20"/>
              </w:rPr>
              <w:t>(MEC + MLC) – (BEC + BLC)</w:t>
            </w:r>
          </w:p>
        </w:tc>
      </w:tr>
      <w:tr w:rsidR="000700C5" w:rsidRPr="00500C4E" w:rsidTr="000700C5">
        <w:tc>
          <w:tcPr>
            <w:tcW w:w="672" w:type="pct"/>
          </w:tcPr>
          <w:p w:rsidR="000700C5" w:rsidRPr="000700C5" w:rsidRDefault="000700C5" w:rsidP="000700C5">
            <w:pPr>
              <w:rPr>
                <w:rFonts w:cstheme="minorHAnsi"/>
                <w:sz w:val="20"/>
                <w:szCs w:val="20"/>
              </w:rPr>
            </w:pPr>
            <w:r w:rsidRPr="000700C5">
              <w:rPr>
                <w:rFonts w:cstheme="minorHAnsi"/>
                <w:sz w:val="20"/>
                <w:szCs w:val="20"/>
              </w:rPr>
              <w:t>REF</w:t>
            </w:r>
          </w:p>
        </w:tc>
        <w:tc>
          <w:tcPr>
            <w:tcW w:w="1443" w:type="pct"/>
          </w:tcPr>
          <w:p w:rsidR="000700C5" w:rsidRPr="000700C5" w:rsidRDefault="000700C5" w:rsidP="000700C5">
            <w:pPr>
              <w:rPr>
                <w:rFonts w:cstheme="minorHAnsi"/>
                <w:sz w:val="20"/>
                <w:szCs w:val="20"/>
              </w:rPr>
            </w:pPr>
            <w:r w:rsidRPr="000700C5">
              <w:rPr>
                <w:rFonts w:cstheme="minorHAnsi"/>
                <w:sz w:val="20"/>
                <w:szCs w:val="20"/>
              </w:rPr>
              <w:t>(MEC + MLC) – (BEC + BLC)</w:t>
            </w:r>
          </w:p>
        </w:tc>
        <w:tc>
          <w:tcPr>
            <w:tcW w:w="1396" w:type="pct"/>
          </w:tcPr>
          <w:p w:rsidR="000700C5" w:rsidRPr="000700C5" w:rsidRDefault="000700C5" w:rsidP="000700C5">
            <w:pPr>
              <w:rPr>
                <w:rFonts w:cstheme="minorHAnsi"/>
                <w:sz w:val="20"/>
                <w:szCs w:val="20"/>
              </w:rPr>
            </w:pPr>
            <w:r w:rsidRPr="000700C5">
              <w:rPr>
                <w:rFonts w:cstheme="minorHAnsi"/>
                <w:sz w:val="20"/>
                <w:szCs w:val="20"/>
              </w:rPr>
              <w:t>MEC + MLC</w:t>
            </w:r>
          </w:p>
        </w:tc>
        <w:tc>
          <w:tcPr>
            <w:tcW w:w="1489" w:type="pct"/>
          </w:tcPr>
          <w:p w:rsidR="000700C5" w:rsidRPr="000700C5" w:rsidRDefault="000700C5" w:rsidP="000700C5">
            <w:pPr>
              <w:rPr>
                <w:rFonts w:cstheme="minorHAnsi"/>
                <w:sz w:val="20"/>
                <w:szCs w:val="20"/>
              </w:rPr>
            </w:pPr>
            <w:r w:rsidRPr="000700C5">
              <w:rPr>
                <w:rFonts w:cstheme="minorHAnsi"/>
                <w:sz w:val="20"/>
                <w:szCs w:val="20"/>
              </w:rPr>
              <w:t>N/A</w:t>
            </w:r>
          </w:p>
        </w:tc>
      </w:tr>
      <w:tr w:rsidR="000700C5" w:rsidRPr="00500C4E" w:rsidTr="000700C5">
        <w:tc>
          <w:tcPr>
            <w:tcW w:w="672" w:type="pct"/>
          </w:tcPr>
          <w:p w:rsidR="000700C5" w:rsidRPr="000700C5" w:rsidRDefault="000700C5" w:rsidP="000700C5">
            <w:pPr>
              <w:rPr>
                <w:rFonts w:cstheme="minorHAnsi"/>
                <w:sz w:val="20"/>
                <w:szCs w:val="20"/>
              </w:rPr>
            </w:pPr>
            <w:r w:rsidRPr="000700C5">
              <w:rPr>
                <w:rFonts w:cstheme="minorHAnsi"/>
                <w:sz w:val="20"/>
                <w:szCs w:val="20"/>
              </w:rPr>
              <w:t>REA</w:t>
            </w:r>
          </w:p>
        </w:tc>
        <w:tc>
          <w:tcPr>
            <w:tcW w:w="1443" w:type="pct"/>
          </w:tcPr>
          <w:p w:rsidR="000700C5" w:rsidRPr="000700C5" w:rsidRDefault="000700C5" w:rsidP="000700C5">
            <w:pPr>
              <w:rPr>
                <w:rFonts w:cstheme="minorHAnsi"/>
                <w:sz w:val="20"/>
                <w:szCs w:val="20"/>
              </w:rPr>
            </w:pPr>
            <w:r w:rsidRPr="000700C5">
              <w:rPr>
                <w:rFonts w:cstheme="minorHAnsi"/>
                <w:sz w:val="20"/>
                <w:szCs w:val="20"/>
              </w:rPr>
              <w:t>MEC + MLC</w:t>
            </w:r>
          </w:p>
        </w:tc>
        <w:tc>
          <w:tcPr>
            <w:tcW w:w="1396" w:type="pct"/>
          </w:tcPr>
          <w:p w:rsidR="000700C5" w:rsidRPr="000700C5" w:rsidRDefault="000700C5" w:rsidP="000700C5">
            <w:pPr>
              <w:rPr>
                <w:rFonts w:cstheme="minorHAnsi"/>
                <w:sz w:val="20"/>
                <w:szCs w:val="20"/>
              </w:rPr>
            </w:pPr>
            <w:r w:rsidRPr="000700C5">
              <w:rPr>
                <w:rFonts w:cstheme="minorHAnsi"/>
                <w:sz w:val="20"/>
                <w:szCs w:val="20"/>
              </w:rPr>
              <w:t>MEC + MLC</w:t>
            </w:r>
          </w:p>
        </w:tc>
        <w:tc>
          <w:tcPr>
            <w:tcW w:w="1489" w:type="pct"/>
          </w:tcPr>
          <w:p w:rsidR="000700C5" w:rsidRPr="000700C5" w:rsidRDefault="000700C5" w:rsidP="000700C5">
            <w:pPr>
              <w:rPr>
                <w:rFonts w:cstheme="minorHAnsi"/>
                <w:sz w:val="20"/>
                <w:szCs w:val="20"/>
              </w:rPr>
            </w:pPr>
            <w:r w:rsidRPr="000700C5">
              <w:rPr>
                <w:rFonts w:cstheme="minorHAnsi"/>
                <w:sz w:val="20"/>
                <w:szCs w:val="20"/>
              </w:rPr>
              <w:t>N/A</w:t>
            </w:r>
          </w:p>
        </w:tc>
      </w:tr>
    </w:tbl>
    <w:p w:rsidR="00646FD6" w:rsidRPr="00920905" w:rsidRDefault="00646FD6" w:rsidP="00646FD6">
      <w:pPr>
        <w:rPr>
          <w:sz w:val="20"/>
          <w:szCs w:val="20"/>
        </w:rPr>
      </w:pPr>
      <w:r w:rsidRPr="00920905">
        <w:rPr>
          <w:sz w:val="20"/>
          <w:szCs w:val="20"/>
        </w:rPr>
        <w:t>MEC = Measure Equipment Cost; MLC = Measure Labor Cost</w:t>
      </w:r>
    </w:p>
    <w:p w:rsidR="00646FD6" w:rsidRPr="00920905" w:rsidRDefault="00646FD6" w:rsidP="00646FD6">
      <w:pPr>
        <w:rPr>
          <w:sz w:val="20"/>
          <w:szCs w:val="20"/>
        </w:rPr>
      </w:pPr>
      <w:r w:rsidRPr="00920905">
        <w:rPr>
          <w:sz w:val="20"/>
          <w:szCs w:val="20"/>
        </w:rPr>
        <w:t>BEC = Base Case Equipment Cost; BLC = Base Case Labor Cost</w:t>
      </w:r>
    </w:p>
    <w:p w:rsidR="00646FD6" w:rsidRDefault="00646FD6" w:rsidP="00646FD6">
      <w:pPr>
        <w:rPr>
          <w:rFonts w:cs="Arial"/>
          <w:color w:val="FF0000"/>
          <w:szCs w:val="22"/>
        </w:rPr>
      </w:pPr>
    </w:p>
    <w:p w:rsidR="00C93AE7" w:rsidRDefault="00C93AE7" w:rsidP="00646FD6">
      <w:pPr>
        <w:rPr>
          <w:rFonts w:cstheme="minorHAnsi"/>
          <w:sz w:val="20"/>
          <w:szCs w:val="20"/>
        </w:rPr>
      </w:pPr>
      <w:bookmarkStart w:id="121" w:name="_Toc214003099"/>
      <w:r>
        <w:rPr>
          <w:rFonts w:cstheme="minorHAnsi"/>
          <w:sz w:val="20"/>
          <w:szCs w:val="20"/>
        </w:rPr>
        <w:t>The labor required to replace a baseline light fixture is equivalent to the labor cost associated with installing a proposed case fixture, leaving only the incremental equipment costs.</w:t>
      </w:r>
    </w:p>
    <w:p w:rsidR="00C93AE7" w:rsidRDefault="00C93AE7" w:rsidP="00646FD6">
      <w:pPr>
        <w:rPr>
          <w:rFonts w:cstheme="minorHAnsi"/>
          <w:sz w:val="20"/>
          <w:szCs w:val="20"/>
        </w:rPr>
      </w:pPr>
    </w:p>
    <w:p w:rsidR="00646FD6" w:rsidRPr="00920905" w:rsidRDefault="00C93AE7" w:rsidP="00646FD6">
      <w:pPr>
        <w:rPr>
          <w:rFonts w:cstheme="minorHAnsi"/>
          <w:sz w:val="20"/>
          <w:szCs w:val="20"/>
        </w:rPr>
      </w:pPr>
      <w:r>
        <w:rPr>
          <w:rFonts w:cstheme="minorHAnsi"/>
          <w:sz w:val="20"/>
          <w:szCs w:val="20"/>
        </w:rPr>
        <w:t>Refer to the cost spreadsheet for more detailed cost information.</w:t>
      </w:r>
      <w:r w:rsidR="00646FD6" w:rsidRPr="00920905">
        <w:rPr>
          <w:rFonts w:cstheme="minorHAnsi"/>
          <w:sz w:val="20"/>
          <w:szCs w:val="20"/>
        </w:rPr>
        <w:br w:type="page"/>
      </w:r>
      <w:bookmarkStart w:id="122" w:name="_GoBack"/>
      <w:bookmarkEnd w:id="122"/>
    </w:p>
    <w:p w:rsidR="009D7A24" w:rsidRDefault="000966CC" w:rsidP="00831108">
      <w:pPr>
        <w:pStyle w:val="Heading1"/>
      </w:pPr>
      <w:bookmarkStart w:id="123" w:name="_Toc324318383"/>
      <w:bookmarkStart w:id="124" w:name="_Toc324340513"/>
      <w:bookmarkStart w:id="125" w:name="_Toc304800222"/>
      <w:bookmarkStart w:id="126" w:name="_Toc438469334"/>
      <w:bookmarkEnd w:id="118"/>
      <w:bookmarkEnd w:id="119"/>
      <w:bookmarkEnd w:id="121"/>
      <w:r>
        <w:lastRenderedPageBreak/>
        <w:t>References</w:t>
      </w:r>
      <w:bookmarkEnd w:id="123"/>
      <w:bookmarkEnd w:id="124"/>
      <w:bookmarkEnd w:id="126"/>
      <w:r w:rsidR="00844B27">
        <w:t xml:space="preserve"> </w:t>
      </w:r>
      <w:bookmarkEnd w:id="125"/>
    </w:p>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0C5" w:rsidRDefault="000700C5">
      <w:r>
        <w:separator/>
      </w:r>
    </w:p>
    <w:p w:rsidR="000700C5" w:rsidRDefault="000700C5"/>
  </w:endnote>
  <w:endnote w:type="continuationSeparator" w:id="0">
    <w:p w:rsidR="000700C5" w:rsidRDefault="000700C5">
      <w:r>
        <w:continuationSeparator/>
      </w:r>
    </w:p>
    <w:p w:rsidR="000700C5" w:rsidRDefault="000700C5"/>
  </w:endnote>
  <w:endnote w:id="1">
    <w:p w:rsidR="000700C5" w:rsidRDefault="000700C5" w:rsidP="006524BA">
      <w:pPr>
        <w:pStyle w:val="Heading1"/>
        <w:spacing w:before="120" w:after="0"/>
        <w:ind w:left="180" w:hanging="180"/>
        <w:rPr>
          <w:rFonts w:cs="Times New Roman"/>
          <w:b w:val="0"/>
          <w:sz w:val="20"/>
          <w:szCs w:val="24"/>
        </w:rPr>
      </w:pPr>
      <w:r w:rsidRPr="001A139D">
        <w:rPr>
          <w:rStyle w:val="EndnoteReference"/>
          <w:rFonts w:cs="Times New Roman"/>
          <w:b w:val="0"/>
          <w:sz w:val="20"/>
          <w:szCs w:val="20"/>
        </w:rPr>
        <w:endnoteRef/>
      </w:r>
      <w:r w:rsidRPr="001A139D">
        <w:rPr>
          <w:rFonts w:cs="Times New Roman"/>
          <w:sz w:val="20"/>
          <w:szCs w:val="20"/>
        </w:rPr>
        <w:t xml:space="preserve"> </w:t>
      </w:r>
      <w:proofErr w:type="gramStart"/>
      <w:r w:rsidRPr="001A139D">
        <w:rPr>
          <w:rFonts w:cs="Times New Roman"/>
          <w:b w:val="0"/>
          <w:sz w:val="20"/>
          <w:szCs w:val="24"/>
        </w:rPr>
        <w:t>Houghton, D., “Metal Halide – Advances and Improvements.”</w:t>
      </w:r>
      <w:proofErr w:type="gramEnd"/>
      <w:r w:rsidRPr="001A139D">
        <w:rPr>
          <w:rFonts w:cs="Times New Roman"/>
          <w:b w:val="0"/>
          <w:sz w:val="20"/>
          <w:szCs w:val="24"/>
        </w:rPr>
        <w:t xml:space="preserve"> </w:t>
      </w:r>
      <w:proofErr w:type="gramStart"/>
      <w:r w:rsidRPr="001A139D">
        <w:rPr>
          <w:rFonts w:cs="Times New Roman"/>
          <w:b w:val="0"/>
          <w:i/>
          <w:sz w:val="20"/>
          <w:szCs w:val="24"/>
        </w:rPr>
        <w:t>Architectural Lighting Magazine</w:t>
      </w:r>
      <w:r w:rsidRPr="001A139D">
        <w:rPr>
          <w:rFonts w:cs="Times New Roman"/>
          <w:b w:val="0"/>
          <w:sz w:val="20"/>
          <w:szCs w:val="24"/>
        </w:rPr>
        <w:t>.</w:t>
      </w:r>
      <w:proofErr w:type="gramEnd"/>
      <w:r w:rsidRPr="001A139D">
        <w:rPr>
          <w:rFonts w:cs="Times New Roman"/>
          <w:b w:val="0"/>
          <w:sz w:val="20"/>
          <w:szCs w:val="24"/>
        </w:rPr>
        <w:t xml:space="preserve"> 2002.</w:t>
      </w:r>
    </w:p>
    <w:p w:rsidR="000700C5" w:rsidRPr="009B4F43" w:rsidRDefault="000700C5" w:rsidP="006524BA">
      <w:pPr>
        <w:ind w:left="180" w:hanging="180"/>
      </w:pPr>
    </w:p>
  </w:endnote>
  <w:endnote w:id="2">
    <w:p w:rsidR="000700C5" w:rsidRDefault="000700C5" w:rsidP="006524BA">
      <w:pPr>
        <w:pStyle w:val="EndnoteText"/>
        <w:ind w:left="180" w:hanging="180"/>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3">
    <w:p w:rsidR="000700C5" w:rsidRPr="001A139D" w:rsidRDefault="000700C5" w:rsidP="006524BA">
      <w:pPr>
        <w:pStyle w:val="EndnoteText"/>
        <w:spacing w:before="120"/>
        <w:ind w:left="180" w:hanging="180"/>
      </w:pPr>
      <w:r w:rsidRPr="00C80E3F">
        <w:rPr>
          <w:rStyle w:val="EndnoteReference"/>
          <w:rFonts w:cs="Arial"/>
        </w:rPr>
        <w:endnoteRef/>
      </w:r>
      <w:r>
        <w:t xml:space="preserve"> </w:t>
      </w:r>
      <w:r w:rsidRPr="001A139D">
        <w:rPr>
          <w:szCs w:val="24"/>
        </w:rPr>
        <w:t>Bisbee, David, “Induction Lighting Systems,” Sacramento Municipal Uti</w:t>
      </w:r>
      <w:r>
        <w:rPr>
          <w:szCs w:val="24"/>
        </w:rPr>
        <w:t xml:space="preserve">lities District (SMUD) Customer </w:t>
      </w:r>
      <w:r w:rsidRPr="001A139D">
        <w:rPr>
          <w:szCs w:val="24"/>
        </w:rPr>
        <w:t>Advanced Technologies Program, March 26, 2003.</w:t>
      </w:r>
      <w:r w:rsidRPr="001A139D">
        <w:t xml:space="preserve"> </w:t>
      </w:r>
    </w:p>
    <w:p w:rsidR="000700C5" w:rsidRDefault="000700C5" w:rsidP="006524BA">
      <w:pPr>
        <w:pStyle w:val="EndnoteText"/>
        <w:ind w:left="180" w:hanging="180"/>
      </w:pPr>
    </w:p>
  </w:endnote>
  <w:endnote w:id="4">
    <w:p w:rsidR="00C93AE7" w:rsidRDefault="00C93AE7">
      <w:pPr>
        <w:pStyle w:val="EndnoteText"/>
      </w:pPr>
      <w:r>
        <w:rPr>
          <w:rStyle w:val="EndnoteReference"/>
        </w:rPr>
        <w:endnoteRef/>
      </w:r>
      <w:r>
        <w:t xml:space="preserve"> </w:t>
      </w:r>
      <w:r w:rsidRPr="00C93AE7">
        <w:t xml:space="preserve">2010-2012 WO017 </w:t>
      </w:r>
      <w:proofErr w:type="gramStart"/>
      <w:r w:rsidRPr="00C93AE7">
        <w:t>Ex</w:t>
      </w:r>
      <w:proofErr w:type="gramEnd"/>
      <w:r w:rsidRPr="00C93AE7">
        <w:t xml:space="preserve"> Ante Measure Cost Study Final Report.  </w:t>
      </w:r>
      <w:proofErr w:type="gramStart"/>
      <w:r w:rsidRPr="00C93AE7">
        <w:t xml:space="preserve">Submitted by:  </w:t>
      </w:r>
      <w:proofErr w:type="spellStart"/>
      <w:r w:rsidRPr="00C93AE7">
        <w:t>Itron</w:t>
      </w:r>
      <w:proofErr w:type="spellEnd"/>
      <w:r w:rsidRPr="00C93AE7">
        <w:t>, Inc.</w:t>
      </w:r>
      <w:proofErr w:type="gramEnd"/>
      <w:r w:rsidRPr="00C93AE7">
        <w:t xml:space="preserve">  May 27, 2014. Page 4-12.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Default="000700C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00C5" w:rsidRDefault="000700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Pr="00846195" w:rsidRDefault="000700C5"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0700C5" w:rsidRDefault="000700C5"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0700C5" w:rsidRDefault="000700C5" w:rsidP="00D7047A">
    <w:pPr>
      <w:pStyle w:val="Footer"/>
      <w:rPr>
        <w:b/>
        <w:sz w:val="20"/>
        <w:szCs w:val="20"/>
      </w:rPr>
    </w:pPr>
    <w:r>
      <w:rPr>
        <w:b/>
        <w:sz w:val="20"/>
        <w:szCs w:val="20"/>
      </w:rPr>
      <w:t>Pacific Gas &amp; Electric Company</w:t>
    </w:r>
  </w:p>
  <w:p w:rsidR="000700C5" w:rsidRPr="00844B27" w:rsidRDefault="000700C5"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DocFunctions.asp</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Pr="006524BA" w:rsidRDefault="000700C5" w:rsidP="00274A7E">
    <w:pPr>
      <w:pStyle w:val="Footer"/>
      <w:jc w:val="right"/>
      <w:rPr>
        <w:rFonts w:cs="Arial"/>
        <w:b/>
        <w:sz w:val="24"/>
      </w:rPr>
    </w:pPr>
    <w:r w:rsidRPr="006524BA">
      <w:rPr>
        <w:rFonts w:cs="Arial"/>
        <w:b/>
        <w:sz w:val="24"/>
      </w:rPr>
      <w:t xml:space="preserve"> </w:t>
    </w:r>
    <w:r>
      <w:rPr>
        <w:rFonts w:cs="Arial"/>
        <w:b/>
        <w:sz w:val="24"/>
      </w:rPr>
      <w:t>1/1/2016</w:t>
    </w:r>
  </w:p>
  <w:p w:rsidR="000700C5" w:rsidRDefault="000700C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Default="000700C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00C5" w:rsidRDefault="000700C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Default="000700C5" w:rsidP="00FB59B6">
    <w:pPr>
      <w:pStyle w:val="Footer"/>
      <w:pBdr>
        <w:top w:val="single" w:sz="4" w:space="1" w:color="auto"/>
      </w:pBdr>
      <w:tabs>
        <w:tab w:val="clear" w:pos="4320"/>
        <w:tab w:val="clear" w:pos="8640"/>
        <w:tab w:val="center" w:pos="4680"/>
        <w:tab w:val="right" w:pos="9360"/>
      </w:tabs>
      <w:rPr>
        <w:b/>
        <w:sz w:val="20"/>
        <w:szCs w:val="20"/>
      </w:rPr>
    </w:pPr>
    <w:r w:rsidRPr="004478DB">
      <w:rPr>
        <w:b/>
        <w:sz w:val="20"/>
        <w:szCs w:val="20"/>
      </w:rPr>
      <w:t>Work Paper PGECOLTG</w:t>
    </w:r>
    <w:r>
      <w:rPr>
        <w:b/>
        <w:sz w:val="20"/>
        <w:szCs w:val="20"/>
      </w:rPr>
      <w:t xml:space="preserve">113, Revision </w:t>
    </w:r>
    <w:r w:rsidR="00215436">
      <w:rPr>
        <w:b/>
        <w:sz w:val="20"/>
        <w:szCs w:val="20"/>
      </w:rPr>
      <w:t>6</w:t>
    </w:r>
    <w:r>
      <w:rPr>
        <w:b/>
        <w:sz w:val="20"/>
        <w:szCs w:val="20"/>
      </w:rPr>
      <w:tab/>
    </w:r>
    <w:sdt>
      <w:sdtPr>
        <w:id w:val="-125781921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15436">
          <w:rPr>
            <w:noProof/>
          </w:rPr>
          <w:t>11</w:t>
        </w:r>
        <w:r>
          <w:rPr>
            <w:noProof/>
          </w:rPr>
          <w:fldChar w:fldCharType="end"/>
        </w:r>
      </w:sdtContent>
    </w:sdt>
    <w:r>
      <w:rPr>
        <w:b/>
        <w:sz w:val="20"/>
        <w:szCs w:val="20"/>
      </w:rPr>
      <w:tab/>
      <w:t>1/1/2016</w:t>
    </w:r>
  </w:p>
  <w:p w:rsidR="000700C5" w:rsidRPr="00FB59B6" w:rsidRDefault="000700C5" w:rsidP="00FB59B6">
    <w:pPr>
      <w:pStyle w:val="Footer"/>
      <w:tabs>
        <w:tab w:val="center" w:pos="4680"/>
        <w:tab w:val="right" w:pos="9360"/>
      </w:tabs>
      <w:rPr>
        <w:noProof/>
      </w:rPr>
    </w:pPr>
    <w:r w:rsidRPr="004478DB">
      <w:rPr>
        <w:b/>
        <w:sz w:val="20"/>
        <w:szCs w:val="20"/>
      </w:rPr>
      <w:fldChar w:fldCharType="begin"/>
    </w:r>
    <w:r w:rsidRPr="004478DB">
      <w:rPr>
        <w:b/>
        <w:sz w:val="20"/>
        <w:szCs w:val="20"/>
      </w:rPr>
      <w:instrText xml:space="preserve"> FILENAME </w:instrText>
    </w:r>
    <w:r w:rsidRPr="004478DB">
      <w:rPr>
        <w:b/>
        <w:sz w:val="20"/>
        <w:szCs w:val="20"/>
      </w:rPr>
      <w:fldChar w:fldCharType="separate"/>
    </w:r>
    <w:r>
      <w:rPr>
        <w:b/>
        <w:noProof/>
        <w:sz w:val="20"/>
        <w:szCs w:val="20"/>
      </w:rPr>
      <w:t>PGECOLTG113 R6 Interior Induction Fixtures.docx</w:t>
    </w:r>
    <w:r w:rsidRPr="004478DB">
      <w:rPr>
        <w:b/>
        <w:sz w:val="20"/>
        <w:szCs w:val="20"/>
      </w:rPr>
      <w:fldChar w:fldCharType="end"/>
    </w:r>
    <w:r>
      <w:rPr>
        <w:b/>
        <w:sz w:val="20"/>
        <w:szCs w:val="20"/>
      </w:rPr>
      <w:tab/>
    </w:r>
    <w:r>
      <w:rPr>
        <w:b/>
        <w:sz w:val="20"/>
        <w:szCs w:val="20"/>
      </w:rPr>
      <w:tab/>
    </w:r>
    <w:r>
      <w:rPr>
        <w:b/>
        <w:color w:val="0000FF"/>
        <w:sz w:val="20"/>
        <w:szCs w:val="20"/>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Pr="002E0E3F" w:rsidRDefault="000700C5" w:rsidP="00D7047A">
    <w:pPr>
      <w:pStyle w:val="Footer"/>
      <w:jc w:val="right"/>
      <w:rPr>
        <w:rFonts w:cs="Arial"/>
        <w:b/>
        <w:sz w:val="36"/>
        <w:szCs w:val="36"/>
      </w:rPr>
    </w:pPr>
    <w:r>
      <w:rPr>
        <w:rFonts w:cs="Arial"/>
        <w:b/>
        <w:sz w:val="36"/>
        <w:szCs w:val="36"/>
      </w:rPr>
      <w:t>Date of Last Revision</w:t>
    </w:r>
  </w:p>
  <w:p w:rsidR="000700C5" w:rsidRDefault="000700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0C5" w:rsidRDefault="000700C5">
      <w:r>
        <w:separator/>
      </w:r>
    </w:p>
    <w:p w:rsidR="000700C5" w:rsidRDefault="000700C5"/>
  </w:footnote>
  <w:footnote w:type="continuationSeparator" w:id="0">
    <w:p w:rsidR="000700C5" w:rsidRDefault="000700C5">
      <w:r>
        <w:continuationSeparator/>
      </w:r>
    </w:p>
    <w:p w:rsidR="000700C5" w:rsidRDefault="000700C5"/>
  </w:footnote>
  <w:footnote w:id="1">
    <w:p w:rsidR="000700C5" w:rsidRDefault="000700C5" w:rsidP="00914379">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Default="000700C5">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Default="000700C5" w:rsidP="001A573F">
    <w:pPr>
      <w:pStyle w:val="Header"/>
      <w:jc w:val="right"/>
    </w:pPr>
  </w:p>
  <w:p w:rsidR="000700C5" w:rsidRDefault="000700C5"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Default="000700C5">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Default="000700C5"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0C5" w:rsidRDefault="000700C5">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abstractNum w:abstractNumId="1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E682874"/>
    <w:multiLevelType w:val="hybridMultilevel"/>
    <w:tmpl w:val="6BE4A7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02CE"/>
    <w:rsid w:val="0002129F"/>
    <w:rsid w:val="00024AA9"/>
    <w:rsid w:val="00026F78"/>
    <w:rsid w:val="000272C2"/>
    <w:rsid w:val="0003064A"/>
    <w:rsid w:val="000315EA"/>
    <w:rsid w:val="00032B63"/>
    <w:rsid w:val="000351CB"/>
    <w:rsid w:val="0003610C"/>
    <w:rsid w:val="000374A5"/>
    <w:rsid w:val="00044266"/>
    <w:rsid w:val="00044570"/>
    <w:rsid w:val="00045A89"/>
    <w:rsid w:val="00056348"/>
    <w:rsid w:val="000571F6"/>
    <w:rsid w:val="00057C09"/>
    <w:rsid w:val="0006370D"/>
    <w:rsid w:val="00063FA7"/>
    <w:rsid w:val="0006490F"/>
    <w:rsid w:val="00065A01"/>
    <w:rsid w:val="00066D5B"/>
    <w:rsid w:val="000678A2"/>
    <w:rsid w:val="00067EB5"/>
    <w:rsid w:val="000700C5"/>
    <w:rsid w:val="000701EB"/>
    <w:rsid w:val="000719AA"/>
    <w:rsid w:val="000749EA"/>
    <w:rsid w:val="0007589E"/>
    <w:rsid w:val="00077161"/>
    <w:rsid w:val="000800E4"/>
    <w:rsid w:val="000814B9"/>
    <w:rsid w:val="000842B9"/>
    <w:rsid w:val="00085DF5"/>
    <w:rsid w:val="00086594"/>
    <w:rsid w:val="00087378"/>
    <w:rsid w:val="00095610"/>
    <w:rsid w:val="000966CC"/>
    <w:rsid w:val="000A17BE"/>
    <w:rsid w:val="000A2ABA"/>
    <w:rsid w:val="000A2FB3"/>
    <w:rsid w:val="000A48F2"/>
    <w:rsid w:val="000B0B1E"/>
    <w:rsid w:val="000C0FD3"/>
    <w:rsid w:val="000C2509"/>
    <w:rsid w:val="000C4018"/>
    <w:rsid w:val="000C5B2D"/>
    <w:rsid w:val="000C6735"/>
    <w:rsid w:val="000C6D7B"/>
    <w:rsid w:val="000D17B9"/>
    <w:rsid w:val="000D1FC4"/>
    <w:rsid w:val="000D2574"/>
    <w:rsid w:val="000D648B"/>
    <w:rsid w:val="000E132D"/>
    <w:rsid w:val="000E22C9"/>
    <w:rsid w:val="000E31B5"/>
    <w:rsid w:val="000F0069"/>
    <w:rsid w:val="000F00D4"/>
    <w:rsid w:val="000F11DD"/>
    <w:rsid w:val="001033F7"/>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0B22"/>
    <w:rsid w:val="00167F2B"/>
    <w:rsid w:val="0017179F"/>
    <w:rsid w:val="00172149"/>
    <w:rsid w:val="00175468"/>
    <w:rsid w:val="00175673"/>
    <w:rsid w:val="00176431"/>
    <w:rsid w:val="00183C8E"/>
    <w:rsid w:val="001915B8"/>
    <w:rsid w:val="00192B77"/>
    <w:rsid w:val="001946B1"/>
    <w:rsid w:val="00194E14"/>
    <w:rsid w:val="00195FAB"/>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2D96"/>
    <w:rsid w:val="001B4ACB"/>
    <w:rsid w:val="001B5E15"/>
    <w:rsid w:val="001B75E6"/>
    <w:rsid w:val="001B792D"/>
    <w:rsid w:val="001C0CB0"/>
    <w:rsid w:val="001C2942"/>
    <w:rsid w:val="001C63A2"/>
    <w:rsid w:val="001D11CE"/>
    <w:rsid w:val="001D16C2"/>
    <w:rsid w:val="001D3F48"/>
    <w:rsid w:val="001D483C"/>
    <w:rsid w:val="001E4C31"/>
    <w:rsid w:val="001E7CA0"/>
    <w:rsid w:val="001F1362"/>
    <w:rsid w:val="001F215A"/>
    <w:rsid w:val="001F4083"/>
    <w:rsid w:val="001F4AA2"/>
    <w:rsid w:val="001F60D5"/>
    <w:rsid w:val="001F627F"/>
    <w:rsid w:val="001F7023"/>
    <w:rsid w:val="00200174"/>
    <w:rsid w:val="00211BAC"/>
    <w:rsid w:val="00215436"/>
    <w:rsid w:val="002154B2"/>
    <w:rsid w:val="002170D6"/>
    <w:rsid w:val="002203EA"/>
    <w:rsid w:val="0022055B"/>
    <w:rsid w:val="0022067C"/>
    <w:rsid w:val="002207C3"/>
    <w:rsid w:val="0022354B"/>
    <w:rsid w:val="0022428B"/>
    <w:rsid w:val="002257FA"/>
    <w:rsid w:val="00234C4F"/>
    <w:rsid w:val="00235694"/>
    <w:rsid w:val="00240073"/>
    <w:rsid w:val="0024233E"/>
    <w:rsid w:val="00243BAC"/>
    <w:rsid w:val="00244BD6"/>
    <w:rsid w:val="00245A56"/>
    <w:rsid w:val="002466F4"/>
    <w:rsid w:val="00251E83"/>
    <w:rsid w:val="0025209A"/>
    <w:rsid w:val="00252352"/>
    <w:rsid w:val="00255067"/>
    <w:rsid w:val="0025738E"/>
    <w:rsid w:val="00257989"/>
    <w:rsid w:val="00257E5B"/>
    <w:rsid w:val="002628B9"/>
    <w:rsid w:val="00264B03"/>
    <w:rsid w:val="00272333"/>
    <w:rsid w:val="0027474D"/>
    <w:rsid w:val="00274A7E"/>
    <w:rsid w:val="002757B2"/>
    <w:rsid w:val="00276918"/>
    <w:rsid w:val="00276ED1"/>
    <w:rsid w:val="002775AB"/>
    <w:rsid w:val="0027792C"/>
    <w:rsid w:val="002809C7"/>
    <w:rsid w:val="00283CA0"/>
    <w:rsid w:val="00285AF5"/>
    <w:rsid w:val="0028709C"/>
    <w:rsid w:val="00291D75"/>
    <w:rsid w:val="00295B67"/>
    <w:rsid w:val="002A2C2E"/>
    <w:rsid w:val="002A4B6C"/>
    <w:rsid w:val="002A5729"/>
    <w:rsid w:val="002A669E"/>
    <w:rsid w:val="002B0ECF"/>
    <w:rsid w:val="002B2266"/>
    <w:rsid w:val="002B4FEF"/>
    <w:rsid w:val="002C12FA"/>
    <w:rsid w:val="002C21F9"/>
    <w:rsid w:val="002C26EB"/>
    <w:rsid w:val="002C321E"/>
    <w:rsid w:val="002C42E0"/>
    <w:rsid w:val="002C4F1C"/>
    <w:rsid w:val="002C518C"/>
    <w:rsid w:val="002C7B46"/>
    <w:rsid w:val="002D0F51"/>
    <w:rsid w:val="002D27DC"/>
    <w:rsid w:val="002D4621"/>
    <w:rsid w:val="002D6877"/>
    <w:rsid w:val="002E0043"/>
    <w:rsid w:val="002E40A2"/>
    <w:rsid w:val="002E47B4"/>
    <w:rsid w:val="002E4B46"/>
    <w:rsid w:val="002E5671"/>
    <w:rsid w:val="002E6162"/>
    <w:rsid w:val="002E6FDB"/>
    <w:rsid w:val="002F105C"/>
    <w:rsid w:val="002F2D19"/>
    <w:rsid w:val="002F3404"/>
    <w:rsid w:val="002F3610"/>
    <w:rsid w:val="002F3FE5"/>
    <w:rsid w:val="002F4E8C"/>
    <w:rsid w:val="0030080B"/>
    <w:rsid w:val="0030114D"/>
    <w:rsid w:val="00302B74"/>
    <w:rsid w:val="003032B7"/>
    <w:rsid w:val="0030550A"/>
    <w:rsid w:val="003129E8"/>
    <w:rsid w:val="00315614"/>
    <w:rsid w:val="00315AB7"/>
    <w:rsid w:val="00322906"/>
    <w:rsid w:val="0032488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54723"/>
    <w:rsid w:val="00362067"/>
    <w:rsid w:val="00374640"/>
    <w:rsid w:val="00377407"/>
    <w:rsid w:val="0038391A"/>
    <w:rsid w:val="00392B5E"/>
    <w:rsid w:val="00392C05"/>
    <w:rsid w:val="00393618"/>
    <w:rsid w:val="00393D41"/>
    <w:rsid w:val="003946E3"/>
    <w:rsid w:val="00395845"/>
    <w:rsid w:val="003A1B51"/>
    <w:rsid w:val="003A648E"/>
    <w:rsid w:val="003A66D0"/>
    <w:rsid w:val="003A7230"/>
    <w:rsid w:val="003B384E"/>
    <w:rsid w:val="003B4730"/>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1F15"/>
    <w:rsid w:val="003E24CE"/>
    <w:rsid w:val="003E3441"/>
    <w:rsid w:val="003E3941"/>
    <w:rsid w:val="003E4FE8"/>
    <w:rsid w:val="003E540D"/>
    <w:rsid w:val="003E7413"/>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3FF1"/>
    <w:rsid w:val="0045451F"/>
    <w:rsid w:val="004551F3"/>
    <w:rsid w:val="00455856"/>
    <w:rsid w:val="004563F1"/>
    <w:rsid w:val="004602EC"/>
    <w:rsid w:val="004617A6"/>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6A1F"/>
    <w:rsid w:val="00497CD3"/>
    <w:rsid w:val="004A2D46"/>
    <w:rsid w:val="004A3A35"/>
    <w:rsid w:val="004A6FCA"/>
    <w:rsid w:val="004B0F48"/>
    <w:rsid w:val="004B0F68"/>
    <w:rsid w:val="004B2CFB"/>
    <w:rsid w:val="004B4489"/>
    <w:rsid w:val="004C4E2A"/>
    <w:rsid w:val="004C56D1"/>
    <w:rsid w:val="004D2C76"/>
    <w:rsid w:val="004D58D5"/>
    <w:rsid w:val="004D71AF"/>
    <w:rsid w:val="004D7301"/>
    <w:rsid w:val="004E2777"/>
    <w:rsid w:val="004F1DB8"/>
    <w:rsid w:val="004F21BC"/>
    <w:rsid w:val="004F3EDB"/>
    <w:rsid w:val="004F55EC"/>
    <w:rsid w:val="004F61DD"/>
    <w:rsid w:val="00500673"/>
    <w:rsid w:val="00502569"/>
    <w:rsid w:val="00506204"/>
    <w:rsid w:val="00507ADE"/>
    <w:rsid w:val="00511171"/>
    <w:rsid w:val="005136CC"/>
    <w:rsid w:val="00513858"/>
    <w:rsid w:val="00514B37"/>
    <w:rsid w:val="00514EEC"/>
    <w:rsid w:val="00521874"/>
    <w:rsid w:val="00521920"/>
    <w:rsid w:val="005246B1"/>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3C65"/>
    <w:rsid w:val="005A67E5"/>
    <w:rsid w:val="005A7302"/>
    <w:rsid w:val="005B00A6"/>
    <w:rsid w:val="005C2844"/>
    <w:rsid w:val="005C7F3F"/>
    <w:rsid w:val="005D54E4"/>
    <w:rsid w:val="005D6266"/>
    <w:rsid w:val="005E2187"/>
    <w:rsid w:val="005E4FE9"/>
    <w:rsid w:val="005F19E0"/>
    <w:rsid w:val="005F3E96"/>
    <w:rsid w:val="005F57B5"/>
    <w:rsid w:val="005F7AA1"/>
    <w:rsid w:val="00604FAE"/>
    <w:rsid w:val="00607605"/>
    <w:rsid w:val="0061001E"/>
    <w:rsid w:val="00610446"/>
    <w:rsid w:val="00610B3C"/>
    <w:rsid w:val="00610FC6"/>
    <w:rsid w:val="00611ED4"/>
    <w:rsid w:val="00612A29"/>
    <w:rsid w:val="006143BE"/>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46FD6"/>
    <w:rsid w:val="006524BA"/>
    <w:rsid w:val="00652DD9"/>
    <w:rsid w:val="006559C8"/>
    <w:rsid w:val="00657405"/>
    <w:rsid w:val="006605C2"/>
    <w:rsid w:val="00661823"/>
    <w:rsid w:val="00661864"/>
    <w:rsid w:val="00663A00"/>
    <w:rsid w:val="00664FA6"/>
    <w:rsid w:val="0066632E"/>
    <w:rsid w:val="00671943"/>
    <w:rsid w:val="00673682"/>
    <w:rsid w:val="0067647C"/>
    <w:rsid w:val="006832A4"/>
    <w:rsid w:val="006846E9"/>
    <w:rsid w:val="006872DB"/>
    <w:rsid w:val="006914D5"/>
    <w:rsid w:val="00695ED2"/>
    <w:rsid w:val="006968B4"/>
    <w:rsid w:val="006A1022"/>
    <w:rsid w:val="006A1A83"/>
    <w:rsid w:val="006A2C4B"/>
    <w:rsid w:val="006A541C"/>
    <w:rsid w:val="006A55D2"/>
    <w:rsid w:val="006B42B8"/>
    <w:rsid w:val="006B4563"/>
    <w:rsid w:val="006B6104"/>
    <w:rsid w:val="006B763D"/>
    <w:rsid w:val="006B7EDD"/>
    <w:rsid w:val="006C4155"/>
    <w:rsid w:val="006C44B4"/>
    <w:rsid w:val="006D0365"/>
    <w:rsid w:val="006D2068"/>
    <w:rsid w:val="006D3725"/>
    <w:rsid w:val="006D4AE1"/>
    <w:rsid w:val="006D52D8"/>
    <w:rsid w:val="006D5AAB"/>
    <w:rsid w:val="006E0111"/>
    <w:rsid w:val="006E3C13"/>
    <w:rsid w:val="006E5CB6"/>
    <w:rsid w:val="006F0139"/>
    <w:rsid w:val="006F0EF6"/>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04D8"/>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78B9"/>
    <w:rsid w:val="00790C15"/>
    <w:rsid w:val="007931BC"/>
    <w:rsid w:val="00793646"/>
    <w:rsid w:val="0079521E"/>
    <w:rsid w:val="00796071"/>
    <w:rsid w:val="007A0C2E"/>
    <w:rsid w:val="007A1510"/>
    <w:rsid w:val="007A49E8"/>
    <w:rsid w:val="007A4D97"/>
    <w:rsid w:val="007A768C"/>
    <w:rsid w:val="007B2CAC"/>
    <w:rsid w:val="007B2E26"/>
    <w:rsid w:val="007B44FB"/>
    <w:rsid w:val="007C0E38"/>
    <w:rsid w:val="007C18E3"/>
    <w:rsid w:val="007C44E4"/>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40CE"/>
    <w:rsid w:val="00806070"/>
    <w:rsid w:val="00806EE8"/>
    <w:rsid w:val="00811D89"/>
    <w:rsid w:val="00814500"/>
    <w:rsid w:val="00820C42"/>
    <w:rsid w:val="00822F77"/>
    <w:rsid w:val="00831108"/>
    <w:rsid w:val="00833AF7"/>
    <w:rsid w:val="00834023"/>
    <w:rsid w:val="00835579"/>
    <w:rsid w:val="00836F9B"/>
    <w:rsid w:val="00844106"/>
    <w:rsid w:val="00844B27"/>
    <w:rsid w:val="00844D29"/>
    <w:rsid w:val="00846195"/>
    <w:rsid w:val="00846FA0"/>
    <w:rsid w:val="008479B6"/>
    <w:rsid w:val="00851ABA"/>
    <w:rsid w:val="00853B76"/>
    <w:rsid w:val="0086002F"/>
    <w:rsid w:val="00860181"/>
    <w:rsid w:val="00863F9D"/>
    <w:rsid w:val="008645F9"/>
    <w:rsid w:val="0086628A"/>
    <w:rsid w:val="00871279"/>
    <w:rsid w:val="00872913"/>
    <w:rsid w:val="00873F82"/>
    <w:rsid w:val="0087599D"/>
    <w:rsid w:val="00880CA5"/>
    <w:rsid w:val="008817B1"/>
    <w:rsid w:val="008834BB"/>
    <w:rsid w:val="008840FA"/>
    <w:rsid w:val="008846D2"/>
    <w:rsid w:val="00886CC3"/>
    <w:rsid w:val="008903DA"/>
    <w:rsid w:val="00890F95"/>
    <w:rsid w:val="0089311A"/>
    <w:rsid w:val="0089312F"/>
    <w:rsid w:val="00893B20"/>
    <w:rsid w:val="008946C3"/>
    <w:rsid w:val="008948E0"/>
    <w:rsid w:val="0089528C"/>
    <w:rsid w:val="008A1884"/>
    <w:rsid w:val="008A6467"/>
    <w:rsid w:val="008A6507"/>
    <w:rsid w:val="008B034D"/>
    <w:rsid w:val="008B0BBC"/>
    <w:rsid w:val="008B1F6B"/>
    <w:rsid w:val="008B3D5F"/>
    <w:rsid w:val="008B4153"/>
    <w:rsid w:val="008B5215"/>
    <w:rsid w:val="008B5356"/>
    <w:rsid w:val="008B7927"/>
    <w:rsid w:val="008C2DA1"/>
    <w:rsid w:val="008C34CE"/>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379"/>
    <w:rsid w:val="00914959"/>
    <w:rsid w:val="00915CE6"/>
    <w:rsid w:val="00916468"/>
    <w:rsid w:val="009168A1"/>
    <w:rsid w:val="00924681"/>
    <w:rsid w:val="0092531B"/>
    <w:rsid w:val="0092622E"/>
    <w:rsid w:val="00930877"/>
    <w:rsid w:val="0093133E"/>
    <w:rsid w:val="00941553"/>
    <w:rsid w:val="00945CB0"/>
    <w:rsid w:val="00951188"/>
    <w:rsid w:val="009535CB"/>
    <w:rsid w:val="00955732"/>
    <w:rsid w:val="00955CBA"/>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8B1"/>
    <w:rsid w:val="009A2E00"/>
    <w:rsid w:val="009A355A"/>
    <w:rsid w:val="009A5CE8"/>
    <w:rsid w:val="009A7B5A"/>
    <w:rsid w:val="009A7F79"/>
    <w:rsid w:val="009B1863"/>
    <w:rsid w:val="009B2BDC"/>
    <w:rsid w:val="009B4F43"/>
    <w:rsid w:val="009B5F5D"/>
    <w:rsid w:val="009B6201"/>
    <w:rsid w:val="009B6326"/>
    <w:rsid w:val="009B73BA"/>
    <w:rsid w:val="009C10D9"/>
    <w:rsid w:val="009C1951"/>
    <w:rsid w:val="009C25E1"/>
    <w:rsid w:val="009C425A"/>
    <w:rsid w:val="009C5CA7"/>
    <w:rsid w:val="009D03F8"/>
    <w:rsid w:val="009D1DF4"/>
    <w:rsid w:val="009D45A6"/>
    <w:rsid w:val="009D47FE"/>
    <w:rsid w:val="009D7A24"/>
    <w:rsid w:val="009E00E4"/>
    <w:rsid w:val="009E0D20"/>
    <w:rsid w:val="009E0F6B"/>
    <w:rsid w:val="009E128B"/>
    <w:rsid w:val="009E23B7"/>
    <w:rsid w:val="009E27D7"/>
    <w:rsid w:val="009E2964"/>
    <w:rsid w:val="009E34E2"/>
    <w:rsid w:val="009E5D18"/>
    <w:rsid w:val="009E7DCD"/>
    <w:rsid w:val="009F55F9"/>
    <w:rsid w:val="009F5CC0"/>
    <w:rsid w:val="009F6F8B"/>
    <w:rsid w:val="009F7164"/>
    <w:rsid w:val="00A01631"/>
    <w:rsid w:val="00A02F0A"/>
    <w:rsid w:val="00A07DE5"/>
    <w:rsid w:val="00A1074D"/>
    <w:rsid w:val="00A1245D"/>
    <w:rsid w:val="00A127DD"/>
    <w:rsid w:val="00A14E6C"/>
    <w:rsid w:val="00A167EC"/>
    <w:rsid w:val="00A172E6"/>
    <w:rsid w:val="00A24434"/>
    <w:rsid w:val="00A24C8D"/>
    <w:rsid w:val="00A26F15"/>
    <w:rsid w:val="00A30E37"/>
    <w:rsid w:val="00A338E8"/>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29F6"/>
    <w:rsid w:val="00A93FFF"/>
    <w:rsid w:val="00A95746"/>
    <w:rsid w:val="00A95AB5"/>
    <w:rsid w:val="00A96D45"/>
    <w:rsid w:val="00A973EE"/>
    <w:rsid w:val="00AA18DD"/>
    <w:rsid w:val="00AA1F91"/>
    <w:rsid w:val="00AA5CE1"/>
    <w:rsid w:val="00AB2137"/>
    <w:rsid w:val="00AB24D4"/>
    <w:rsid w:val="00AB2D9E"/>
    <w:rsid w:val="00AB4404"/>
    <w:rsid w:val="00AB68E3"/>
    <w:rsid w:val="00AB723D"/>
    <w:rsid w:val="00AC21EE"/>
    <w:rsid w:val="00AC3B22"/>
    <w:rsid w:val="00AC4101"/>
    <w:rsid w:val="00AC5597"/>
    <w:rsid w:val="00AC5CA1"/>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3263"/>
    <w:rsid w:val="00B24A6F"/>
    <w:rsid w:val="00B278DB"/>
    <w:rsid w:val="00B30D4F"/>
    <w:rsid w:val="00B3434E"/>
    <w:rsid w:val="00B351FD"/>
    <w:rsid w:val="00B35BFD"/>
    <w:rsid w:val="00B3619E"/>
    <w:rsid w:val="00B41919"/>
    <w:rsid w:val="00B421F2"/>
    <w:rsid w:val="00B42822"/>
    <w:rsid w:val="00B42C54"/>
    <w:rsid w:val="00B4395A"/>
    <w:rsid w:val="00B44D59"/>
    <w:rsid w:val="00B4553E"/>
    <w:rsid w:val="00B46773"/>
    <w:rsid w:val="00B46D0A"/>
    <w:rsid w:val="00B47091"/>
    <w:rsid w:val="00B4731E"/>
    <w:rsid w:val="00B47E14"/>
    <w:rsid w:val="00B53C86"/>
    <w:rsid w:val="00B54256"/>
    <w:rsid w:val="00B545F4"/>
    <w:rsid w:val="00B56303"/>
    <w:rsid w:val="00B64F62"/>
    <w:rsid w:val="00B66898"/>
    <w:rsid w:val="00B70AF1"/>
    <w:rsid w:val="00B7164C"/>
    <w:rsid w:val="00B74832"/>
    <w:rsid w:val="00B74917"/>
    <w:rsid w:val="00B75791"/>
    <w:rsid w:val="00B807AB"/>
    <w:rsid w:val="00B80F53"/>
    <w:rsid w:val="00B82E26"/>
    <w:rsid w:val="00B95FBC"/>
    <w:rsid w:val="00B97C44"/>
    <w:rsid w:val="00BA05AE"/>
    <w:rsid w:val="00BA2FA3"/>
    <w:rsid w:val="00BA6418"/>
    <w:rsid w:val="00BA73C1"/>
    <w:rsid w:val="00BA7D18"/>
    <w:rsid w:val="00BB3A8F"/>
    <w:rsid w:val="00BC19F6"/>
    <w:rsid w:val="00BC2782"/>
    <w:rsid w:val="00BC2A83"/>
    <w:rsid w:val="00BD02D0"/>
    <w:rsid w:val="00BD0D15"/>
    <w:rsid w:val="00BD5425"/>
    <w:rsid w:val="00BE5E74"/>
    <w:rsid w:val="00BF0332"/>
    <w:rsid w:val="00BF1506"/>
    <w:rsid w:val="00BF5FCC"/>
    <w:rsid w:val="00C00FA2"/>
    <w:rsid w:val="00C05CFD"/>
    <w:rsid w:val="00C069A2"/>
    <w:rsid w:val="00C069EC"/>
    <w:rsid w:val="00C17416"/>
    <w:rsid w:val="00C1748F"/>
    <w:rsid w:val="00C221D5"/>
    <w:rsid w:val="00C2280A"/>
    <w:rsid w:val="00C2652B"/>
    <w:rsid w:val="00C274E0"/>
    <w:rsid w:val="00C30598"/>
    <w:rsid w:val="00C324A9"/>
    <w:rsid w:val="00C33466"/>
    <w:rsid w:val="00C346C7"/>
    <w:rsid w:val="00C373FB"/>
    <w:rsid w:val="00C41E61"/>
    <w:rsid w:val="00C45C85"/>
    <w:rsid w:val="00C515CA"/>
    <w:rsid w:val="00C533E6"/>
    <w:rsid w:val="00C53651"/>
    <w:rsid w:val="00C56730"/>
    <w:rsid w:val="00C6024F"/>
    <w:rsid w:val="00C60CE3"/>
    <w:rsid w:val="00C63D95"/>
    <w:rsid w:val="00C64B94"/>
    <w:rsid w:val="00C66F0F"/>
    <w:rsid w:val="00C71C10"/>
    <w:rsid w:val="00C739BF"/>
    <w:rsid w:val="00C747DF"/>
    <w:rsid w:val="00C74F44"/>
    <w:rsid w:val="00C768C1"/>
    <w:rsid w:val="00C76C24"/>
    <w:rsid w:val="00C7740D"/>
    <w:rsid w:val="00C80E3F"/>
    <w:rsid w:val="00C87539"/>
    <w:rsid w:val="00C90663"/>
    <w:rsid w:val="00C93AE7"/>
    <w:rsid w:val="00C93DCA"/>
    <w:rsid w:val="00CA071B"/>
    <w:rsid w:val="00CA5466"/>
    <w:rsid w:val="00CA591D"/>
    <w:rsid w:val="00CA734B"/>
    <w:rsid w:val="00CB0475"/>
    <w:rsid w:val="00CB2C4F"/>
    <w:rsid w:val="00CB3583"/>
    <w:rsid w:val="00CB6A8C"/>
    <w:rsid w:val="00CC1E52"/>
    <w:rsid w:val="00CC34FF"/>
    <w:rsid w:val="00CC44F0"/>
    <w:rsid w:val="00CD0E5B"/>
    <w:rsid w:val="00CD0FE9"/>
    <w:rsid w:val="00CD336C"/>
    <w:rsid w:val="00CD396E"/>
    <w:rsid w:val="00CD5104"/>
    <w:rsid w:val="00CD5969"/>
    <w:rsid w:val="00CD6046"/>
    <w:rsid w:val="00CE06A5"/>
    <w:rsid w:val="00CE0C1E"/>
    <w:rsid w:val="00CE202E"/>
    <w:rsid w:val="00CE2229"/>
    <w:rsid w:val="00CE374E"/>
    <w:rsid w:val="00CF0534"/>
    <w:rsid w:val="00CF0F05"/>
    <w:rsid w:val="00CF3FF0"/>
    <w:rsid w:val="00CF41AF"/>
    <w:rsid w:val="00CF4567"/>
    <w:rsid w:val="00CF53AB"/>
    <w:rsid w:val="00CF6815"/>
    <w:rsid w:val="00CF7051"/>
    <w:rsid w:val="00D04D3D"/>
    <w:rsid w:val="00D11B02"/>
    <w:rsid w:val="00D1202C"/>
    <w:rsid w:val="00D12617"/>
    <w:rsid w:val="00D14033"/>
    <w:rsid w:val="00D16DDF"/>
    <w:rsid w:val="00D16E24"/>
    <w:rsid w:val="00D20486"/>
    <w:rsid w:val="00D228D8"/>
    <w:rsid w:val="00D31439"/>
    <w:rsid w:val="00D33677"/>
    <w:rsid w:val="00D34934"/>
    <w:rsid w:val="00D373EC"/>
    <w:rsid w:val="00D4180D"/>
    <w:rsid w:val="00D42875"/>
    <w:rsid w:val="00D42B44"/>
    <w:rsid w:val="00D44A14"/>
    <w:rsid w:val="00D47738"/>
    <w:rsid w:val="00D51A9B"/>
    <w:rsid w:val="00D51D95"/>
    <w:rsid w:val="00D53EC6"/>
    <w:rsid w:val="00D55488"/>
    <w:rsid w:val="00D55A00"/>
    <w:rsid w:val="00D56F77"/>
    <w:rsid w:val="00D61E9F"/>
    <w:rsid w:val="00D6289A"/>
    <w:rsid w:val="00D62CC8"/>
    <w:rsid w:val="00D6402F"/>
    <w:rsid w:val="00D7047A"/>
    <w:rsid w:val="00D719E9"/>
    <w:rsid w:val="00D72225"/>
    <w:rsid w:val="00D73550"/>
    <w:rsid w:val="00D75CD4"/>
    <w:rsid w:val="00D838F7"/>
    <w:rsid w:val="00D8479E"/>
    <w:rsid w:val="00D868F1"/>
    <w:rsid w:val="00D87EFF"/>
    <w:rsid w:val="00D91AE6"/>
    <w:rsid w:val="00D92BE9"/>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46E"/>
    <w:rsid w:val="00E149CE"/>
    <w:rsid w:val="00E16AC4"/>
    <w:rsid w:val="00E17C58"/>
    <w:rsid w:val="00E200D8"/>
    <w:rsid w:val="00E2178D"/>
    <w:rsid w:val="00E23958"/>
    <w:rsid w:val="00E23AD4"/>
    <w:rsid w:val="00E23BEC"/>
    <w:rsid w:val="00E23EC3"/>
    <w:rsid w:val="00E24E4D"/>
    <w:rsid w:val="00E2618B"/>
    <w:rsid w:val="00E267F1"/>
    <w:rsid w:val="00E34E73"/>
    <w:rsid w:val="00E375C8"/>
    <w:rsid w:val="00E4302B"/>
    <w:rsid w:val="00E44FC8"/>
    <w:rsid w:val="00E528AF"/>
    <w:rsid w:val="00E53131"/>
    <w:rsid w:val="00E5518E"/>
    <w:rsid w:val="00E56222"/>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49E5"/>
    <w:rsid w:val="00E763D4"/>
    <w:rsid w:val="00E76686"/>
    <w:rsid w:val="00E80520"/>
    <w:rsid w:val="00E81BD0"/>
    <w:rsid w:val="00E83C98"/>
    <w:rsid w:val="00E840FE"/>
    <w:rsid w:val="00E84DBD"/>
    <w:rsid w:val="00E879C6"/>
    <w:rsid w:val="00E90CE4"/>
    <w:rsid w:val="00E9128A"/>
    <w:rsid w:val="00E91C15"/>
    <w:rsid w:val="00E943E8"/>
    <w:rsid w:val="00E945CE"/>
    <w:rsid w:val="00E94FAF"/>
    <w:rsid w:val="00E9724F"/>
    <w:rsid w:val="00EA0528"/>
    <w:rsid w:val="00EA0CBA"/>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C664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0D"/>
    <w:rsid w:val="00F30CAB"/>
    <w:rsid w:val="00F32479"/>
    <w:rsid w:val="00F327DF"/>
    <w:rsid w:val="00F33121"/>
    <w:rsid w:val="00F33769"/>
    <w:rsid w:val="00F36363"/>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40C0"/>
    <w:rsid w:val="00F65077"/>
    <w:rsid w:val="00F652AB"/>
    <w:rsid w:val="00F65942"/>
    <w:rsid w:val="00F72AA0"/>
    <w:rsid w:val="00F76A40"/>
    <w:rsid w:val="00F80C07"/>
    <w:rsid w:val="00F853BD"/>
    <w:rsid w:val="00F85D81"/>
    <w:rsid w:val="00F87264"/>
    <w:rsid w:val="00F908E9"/>
    <w:rsid w:val="00F96C94"/>
    <w:rsid w:val="00FA2B8F"/>
    <w:rsid w:val="00FA47E6"/>
    <w:rsid w:val="00FA56D6"/>
    <w:rsid w:val="00FA595F"/>
    <w:rsid w:val="00FA6C24"/>
    <w:rsid w:val="00FB59B6"/>
    <w:rsid w:val="00FB651A"/>
    <w:rsid w:val="00FC0CB3"/>
    <w:rsid w:val="00FC2999"/>
    <w:rsid w:val="00FC765F"/>
    <w:rsid w:val="00FC781D"/>
    <w:rsid w:val="00FD0541"/>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uiPriority w:val="22"/>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table" w:customStyle="1" w:styleId="TableGrid1">
    <w:name w:val="Table Grid1"/>
    <w:basedOn w:val="TableNormal"/>
    <w:next w:val="TableGrid"/>
    <w:rsid w:val="00EC6643"/>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uiPriority w:val="22"/>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table" w:customStyle="1" w:styleId="TableGrid1">
    <w:name w:val="Table Grid1"/>
    <w:basedOn w:val="TableNormal"/>
    <w:next w:val="TableGrid"/>
    <w:rsid w:val="00EC6643"/>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05817">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19683350">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8020278">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image" Target="media/image3.w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A521C5-70C4-4766-B824-9C2DE4692109}"/>
</file>

<file path=customXml/itemProps2.xml><?xml version="1.0" encoding="utf-8"?>
<ds:datastoreItem xmlns:ds="http://schemas.openxmlformats.org/officeDocument/2006/customXml" ds:itemID="{90AC4E56-104E-4524-9907-9F647E8A4177}"/>
</file>

<file path=customXml/itemProps3.xml><?xml version="1.0" encoding="utf-8"?>
<ds:datastoreItem xmlns:ds="http://schemas.openxmlformats.org/officeDocument/2006/customXml" ds:itemID="{0D280A6B-5D68-411B-8FF7-88DFD64A4E4A}"/>
</file>

<file path=customXml/itemProps4.xml><?xml version="1.0" encoding="utf-8"?>
<ds:datastoreItem xmlns:ds="http://schemas.openxmlformats.org/officeDocument/2006/customXml" ds:itemID="{4B5168A2-38B7-4248-A4D5-4952CFB4F88B}"/>
</file>

<file path=docProps/app.xml><?xml version="1.0" encoding="utf-8"?>
<Properties xmlns="http://schemas.openxmlformats.org/officeDocument/2006/extended-properties" xmlns:vt="http://schemas.openxmlformats.org/officeDocument/2006/docPropsVTypes">
  <Template>SCE Work Paper Template - Final.dot</Template>
  <TotalTime>347</TotalTime>
  <Pages>12</Pages>
  <Words>2847</Words>
  <Characters>18496</Characters>
  <Application>Microsoft Office Word</Application>
  <DocSecurity>0</DocSecurity>
  <Lines>154</Lines>
  <Paragraphs>42</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21301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11</cp:revision>
  <cp:lastPrinted>2014-05-21T22:29:00Z</cp:lastPrinted>
  <dcterms:created xsi:type="dcterms:W3CDTF">2014-06-16T22:22:00Z</dcterms:created>
  <dcterms:modified xsi:type="dcterms:W3CDTF">2015-12-21T22:54:00Z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