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1.xml" ContentType="application/vnd.openxmlformats-officedocument.drawingml.chart+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493" w:rsidRDefault="00C63493" w:rsidP="00C63493"/>
    <w:p w:rsidR="00C63493" w:rsidRDefault="00C63493" w:rsidP="00C63493">
      <w:pPr>
        <w:jc w:val="right"/>
        <w:rPr>
          <w:rFonts w:ascii="Arial" w:hAnsi="Arial" w:cs="Arial"/>
          <w:b/>
          <w:bCs/>
          <w:sz w:val="48"/>
          <w:szCs w:val="48"/>
        </w:rPr>
      </w:pPr>
      <w:bookmarkStart w:id="0" w:name="_Toc153189646"/>
      <w:bookmarkStart w:id="1" w:name="OLE_LINK2"/>
      <w:bookmarkStart w:id="2" w:name="OLE_LINK3"/>
      <w:r>
        <w:rPr>
          <w:rFonts w:ascii="Arial" w:hAnsi="Arial" w:cs="Arial"/>
          <w:b/>
          <w:bCs/>
          <w:sz w:val="48"/>
          <w:szCs w:val="48"/>
        </w:rPr>
        <w:t xml:space="preserve">Work Paper </w:t>
      </w:r>
      <w:bookmarkEnd w:id="0"/>
      <w:r>
        <w:rPr>
          <w:rFonts w:ascii="Arial" w:hAnsi="Arial" w:cs="Arial"/>
          <w:b/>
          <w:bCs/>
          <w:sz w:val="48"/>
          <w:szCs w:val="48"/>
        </w:rPr>
        <w:t>PGECOLTG</w:t>
      </w:r>
      <w:r w:rsidR="00C75785">
        <w:rPr>
          <w:rFonts w:ascii="Arial" w:hAnsi="Arial" w:cs="Arial"/>
          <w:b/>
          <w:bCs/>
          <w:sz w:val="48"/>
          <w:szCs w:val="48"/>
        </w:rPr>
        <w:t>1</w:t>
      </w:r>
      <w:r w:rsidR="003C1239">
        <w:rPr>
          <w:rFonts w:ascii="Arial" w:hAnsi="Arial" w:cs="Arial"/>
          <w:b/>
          <w:bCs/>
          <w:sz w:val="48"/>
          <w:szCs w:val="48"/>
        </w:rPr>
        <w:t>11</w:t>
      </w:r>
    </w:p>
    <w:bookmarkEnd w:id="1"/>
    <w:bookmarkEnd w:id="2"/>
    <w:p w:rsidR="00C63493" w:rsidRDefault="00C63493" w:rsidP="00C63493">
      <w:pPr>
        <w:jc w:val="right"/>
        <w:rPr>
          <w:rFonts w:ascii="Arial" w:hAnsi="Arial" w:cs="Arial"/>
          <w:b/>
          <w:bCs/>
          <w:sz w:val="48"/>
          <w:szCs w:val="48"/>
        </w:rPr>
      </w:pPr>
      <w:r>
        <w:rPr>
          <w:rFonts w:ascii="Arial" w:hAnsi="Arial" w:cs="Arial"/>
          <w:b/>
          <w:bCs/>
          <w:sz w:val="48"/>
          <w:szCs w:val="48"/>
        </w:rPr>
        <w:t> </w:t>
      </w:r>
      <w:r w:rsidR="00B4239F">
        <w:rPr>
          <w:rFonts w:ascii="Arial" w:hAnsi="Arial" w:cs="Arial"/>
          <w:b/>
          <w:bCs/>
          <w:sz w:val="48"/>
          <w:szCs w:val="48"/>
        </w:rPr>
        <w:t>Nonr</w:t>
      </w:r>
      <w:r>
        <w:rPr>
          <w:rFonts w:ascii="Arial" w:hAnsi="Arial" w:cs="Arial"/>
          <w:b/>
          <w:bCs/>
          <w:sz w:val="48"/>
          <w:szCs w:val="48"/>
        </w:rPr>
        <w:t>esidential Upstream CFL</w:t>
      </w:r>
    </w:p>
    <w:p w:rsidR="00C63493" w:rsidRDefault="00C63493" w:rsidP="00C63493">
      <w:pPr>
        <w:jc w:val="right"/>
        <w:rPr>
          <w:rFonts w:ascii="Arial" w:hAnsi="Arial" w:cs="Arial"/>
          <w:b/>
          <w:bCs/>
          <w:sz w:val="48"/>
          <w:szCs w:val="48"/>
        </w:rPr>
      </w:pPr>
      <w:bookmarkStart w:id="3" w:name="_Toc153189647"/>
      <w:r>
        <w:rPr>
          <w:rFonts w:ascii="Arial" w:hAnsi="Arial" w:cs="Arial"/>
          <w:b/>
          <w:bCs/>
          <w:sz w:val="48"/>
          <w:szCs w:val="48"/>
        </w:rPr>
        <w:t xml:space="preserve">Revision </w:t>
      </w:r>
      <w:bookmarkEnd w:id="3"/>
      <w:r w:rsidR="00BC6B7A">
        <w:rPr>
          <w:rFonts w:ascii="Arial" w:hAnsi="Arial" w:cs="Arial"/>
          <w:b/>
          <w:bCs/>
          <w:sz w:val="48"/>
          <w:szCs w:val="48"/>
        </w:rPr>
        <w:t>8</w:t>
      </w:r>
    </w:p>
    <w:p w:rsidR="00C63493" w:rsidRDefault="00C63493" w:rsidP="00C63493"/>
    <w:p w:rsidR="00C63493" w:rsidRDefault="00C63493" w:rsidP="00C63493"/>
    <w:p w:rsidR="00C63493" w:rsidRDefault="00C63493" w:rsidP="00C63493"/>
    <w:p w:rsidR="00C63493" w:rsidRDefault="00C63493" w:rsidP="00C63493"/>
    <w:p w:rsidR="00EF4A27" w:rsidRPr="002E0043" w:rsidRDefault="00EF4A27" w:rsidP="00EF4A27">
      <w:pPr>
        <w:pBdr>
          <w:bottom w:val="single" w:sz="4" w:space="1" w:color="auto"/>
        </w:pBdr>
        <w:rPr>
          <w:rFonts w:ascii="Arial" w:hAnsi="Arial" w:cs="Arial"/>
          <w:b/>
          <w:sz w:val="36"/>
          <w:szCs w:val="36"/>
        </w:rPr>
      </w:pPr>
      <w:r>
        <w:rPr>
          <w:rFonts w:ascii="Arial" w:hAnsi="Arial" w:cs="Arial"/>
          <w:b/>
          <w:sz w:val="36"/>
          <w:szCs w:val="36"/>
        </w:rPr>
        <w:t>Pacific Gas &amp; Electric Company</w:t>
      </w:r>
    </w:p>
    <w:p w:rsidR="00EF4A27" w:rsidRPr="002E0043" w:rsidRDefault="00EF4A27" w:rsidP="00EF4A27">
      <w:pPr>
        <w:rPr>
          <w:rFonts w:ascii="Arial" w:hAnsi="Arial" w:cs="Arial"/>
          <w:b/>
          <w:sz w:val="32"/>
          <w:szCs w:val="32"/>
        </w:rPr>
      </w:pPr>
      <w:r>
        <w:rPr>
          <w:rFonts w:ascii="Arial" w:hAnsi="Arial" w:cs="Arial"/>
          <w:b/>
          <w:sz w:val="32"/>
          <w:szCs w:val="32"/>
        </w:rPr>
        <w:t>Customer Energy Efficiency Department</w:t>
      </w:r>
    </w:p>
    <w:p w:rsidR="00C63493" w:rsidRDefault="00C63493" w:rsidP="00C63493"/>
    <w:p w:rsidR="00C63493" w:rsidRDefault="00C63493" w:rsidP="00C63493"/>
    <w:p w:rsidR="00C63493" w:rsidRDefault="00C63493" w:rsidP="00C63493"/>
    <w:p w:rsidR="00C63493" w:rsidRDefault="00C63493" w:rsidP="00C63493"/>
    <w:p w:rsidR="00C63493" w:rsidRDefault="00C63493" w:rsidP="00C63493"/>
    <w:p w:rsidR="00C63493" w:rsidRDefault="00C63493" w:rsidP="00C63493"/>
    <w:p w:rsidR="00C63493" w:rsidRDefault="00C63493" w:rsidP="00C63493"/>
    <w:p w:rsidR="00C63493" w:rsidRDefault="00C63493" w:rsidP="00C63493"/>
    <w:p w:rsidR="00C63493" w:rsidRDefault="00C63493" w:rsidP="00C63493"/>
    <w:p w:rsidR="003139D5" w:rsidRDefault="003C1239" w:rsidP="003139D5">
      <w:pPr>
        <w:rPr>
          <w:rFonts w:ascii="Arial" w:hAnsi="Arial" w:cs="Arial"/>
          <w:b/>
          <w:bCs/>
          <w:sz w:val="72"/>
          <w:szCs w:val="72"/>
        </w:rPr>
      </w:pPr>
      <w:r>
        <w:rPr>
          <w:rFonts w:ascii="Arial" w:hAnsi="Arial" w:cs="Arial"/>
          <w:b/>
          <w:bCs/>
          <w:sz w:val="72"/>
          <w:szCs w:val="72"/>
        </w:rPr>
        <w:t>Nonr</w:t>
      </w:r>
      <w:r w:rsidR="00C63493">
        <w:rPr>
          <w:rFonts w:ascii="Arial" w:hAnsi="Arial" w:cs="Arial"/>
          <w:b/>
          <w:bCs/>
          <w:sz w:val="72"/>
          <w:szCs w:val="72"/>
        </w:rPr>
        <w:t>esidential Upstream Compact Fluorescent Lighting</w:t>
      </w:r>
      <w:bookmarkStart w:id="4" w:name="_Toc234227849"/>
      <w:bookmarkStart w:id="5" w:name="_Toc280953565"/>
    </w:p>
    <w:p w:rsidR="0013436F" w:rsidRPr="003139D5" w:rsidRDefault="0013436F" w:rsidP="003139D5">
      <w:pPr>
        <w:rPr>
          <w:rFonts w:ascii="Arial" w:hAnsi="Arial" w:cs="Arial"/>
          <w:b/>
          <w:bCs/>
          <w:sz w:val="72"/>
          <w:szCs w:val="72"/>
        </w:rPr>
      </w:pPr>
      <w:r>
        <w:rPr>
          <w:b/>
          <w:bCs/>
        </w:rPr>
        <w:t xml:space="preserve">Measure Codes </w:t>
      </w:r>
      <w:r w:rsidR="00D46666">
        <w:rPr>
          <w:b/>
          <w:bCs/>
        </w:rPr>
        <w:t xml:space="preserve">L093-L096, </w:t>
      </w:r>
      <w:r>
        <w:rPr>
          <w:b/>
          <w:bCs/>
        </w:rPr>
        <w:t>L0160 – L023</w:t>
      </w:r>
      <w:r w:rsidR="0075338F">
        <w:rPr>
          <w:b/>
          <w:bCs/>
        </w:rPr>
        <w:t>3</w:t>
      </w:r>
      <w:r>
        <w:rPr>
          <w:b/>
          <w:bCs/>
        </w:rPr>
        <w:t>, L0239</w:t>
      </w:r>
      <w:bookmarkEnd w:id="4"/>
      <w:r>
        <w:rPr>
          <w:b/>
          <w:bCs/>
        </w:rPr>
        <w:t xml:space="preserve"> – L0241, L0261, L0275-L0276</w:t>
      </w:r>
      <w:bookmarkEnd w:id="5"/>
      <w:r w:rsidR="007536F2">
        <w:rPr>
          <w:b/>
          <w:bCs/>
        </w:rPr>
        <w:t>, L0321-L0334</w:t>
      </w:r>
    </w:p>
    <w:p w:rsidR="006879DD" w:rsidRDefault="006879DD" w:rsidP="00C63493">
      <w:pPr>
        <w:pStyle w:val="Heading1"/>
        <w:rPr>
          <w:b w:val="0"/>
          <w:bCs w:val="0"/>
          <w:sz w:val="72"/>
          <w:szCs w:val="72"/>
        </w:rPr>
      </w:pPr>
    </w:p>
    <w:p w:rsidR="0013436F" w:rsidRPr="002E0E3F" w:rsidRDefault="0013436F" w:rsidP="0013436F">
      <w:pPr>
        <w:pStyle w:val="Footer"/>
        <w:jc w:val="right"/>
        <w:rPr>
          <w:rFonts w:ascii="Arial" w:hAnsi="Arial" w:cs="Arial"/>
          <w:b/>
          <w:sz w:val="36"/>
          <w:szCs w:val="36"/>
        </w:rPr>
      </w:pPr>
    </w:p>
    <w:p w:rsidR="008C0DC9" w:rsidRDefault="00F3289F" w:rsidP="00F3289F">
      <w:pPr>
        <w:pStyle w:val="Heading1"/>
        <w:tabs>
          <w:tab w:val="right" w:pos="7200"/>
        </w:tabs>
        <w:ind w:firstLine="720"/>
      </w:pPr>
      <w:r>
        <w:rPr>
          <w:b w:val="0"/>
          <w:bCs w:val="0"/>
          <w:sz w:val="36"/>
          <w:szCs w:val="36"/>
        </w:rPr>
        <w:tab/>
      </w:r>
      <w:r w:rsidR="00C63493">
        <w:rPr>
          <w:b w:val="0"/>
          <w:bCs w:val="0"/>
          <w:sz w:val="72"/>
          <w:szCs w:val="72"/>
        </w:rPr>
        <w:br w:type="page"/>
      </w:r>
      <w:bookmarkStart w:id="6" w:name="_Toc174189523"/>
      <w:bookmarkStart w:id="7" w:name="_Toc436750455"/>
      <w:bookmarkStart w:id="8" w:name="_Toc174189524"/>
      <w:r w:rsidR="008C0DC9">
        <w:lastRenderedPageBreak/>
        <w:t>At a Glance Summary</w:t>
      </w:r>
      <w:bookmarkEnd w:id="6"/>
      <w:bookmarkEnd w:id="7"/>
      <w:r w:rsidR="008C0DC9">
        <w:t xml:space="preserve"> </w:t>
      </w:r>
    </w:p>
    <w:tbl>
      <w:tblPr>
        <w:tblW w:w="10525" w:type="dxa"/>
        <w:tblInd w:w="-427" w:type="dxa"/>
        <w:tblCellMar>
          <w:left w:w="0" w:type="dxa"/>
          <w:right w:w="0" w:type="dxa"/>
        </w:tblCellMar>
        <w:tblLook w:val="0000" w:firstRow="0" w:lastRow="0" w:firstColumn="0" w:lastColumn="0" w:noHBand="0" w:noVBand="0"/>
      </w:tblPr>
      <w:tblGrid>
        <w:gridCol w:w="3403"/>
        <w:gridCol w:w="7122"/>
      </w:tblGrid>
      <w:tr w:rsidR="0013436F" w:rsidTr="000747EF">
        <w:trPr>
          <w:trHeight w:val="108"/>
        </w:trPr>
        <w:tc>
          <w:tcPr>
            <w:tcW w:w="3426" w:type="dxa"/>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13436F" w:rsidRDefault="0013436F" w:rsidP="00B13475">
            <w:pPr>
              <w:rPr>
                <w:b/>
                <w:bCs/>
              </w:rPr>
            </w:pPr>
            <w:r>
              <w:rPr>
                <w:b/>
                <w:bCs/>
              </w:rPr>
              <w:t>Applicable Measure Codes:</w:t>
            </w:r>
          </w:p>
        </w:tc>
        <w:tc>
          <w:tcPr>
            <w:tcW w:w="7099" w:type="dxa"/>
            <w:tcBorders>
              <w:top w:val="nil"/>
              <w:left w:val="nil"/>
              <w:bottom w:val="single" w:sz="18" w:space="0" w:color="FFFFFF"/>
              <w:right w:val="nil"/>
            </w:tcBorders>
            <w:shd w:val="clear" w:color="auto" w:fill="CCCCCC"/>
            <w:tcMar>
              <w:top w:w="0" w:type="dxa"/>
              <w:left w:w="108" w:type="dxa"/>
              <w:bottom w:w="0" w:type="dxa"/>
              <w:right w:w="108" w:type="dxa"/>
            </w:tcMar>
          </w:tcPr>
          <w:p w:rsidR="0013436F" w:rsidRDefault="00D46666" w:rsidP="0075338F">
            <w:pPr>
              <w:rPr>
                <w:sz w:val="20"/>
                <w:szCs w:val="20"/>
              </w:rPr>
            </w:pPr>
            <w:r>
              <w:rPr>
                <w:sz w:val="20"/>
                <w:szCs w:val="20"/>
              </w:rPr>
              <w:t xml:space="preserve">L093-L096, </w:t>
            </w:r>
            <w:r w:rsidR="0013436F">
              <w:rPr>
                <w:sz w:val="20"/>
                <w:szCs w:val="20"/>
              </w:rPr>
              <w:t>L0160 – L023</w:t>
            </w:r>
            <w:r w:rsidR="0075338F">
              <w:rPr>
                <w:sz w:val="20"/>
                <w:szCs w:val="20"/>
              </w:rPr>
              <w:t>3</w:t>
            </w:r>
            <w:r w:rsidR="0013436F">
              <w:rPr>
                <w:sz w:val="20"/>
                <w:szCs w:val="20"/>
              </w:rPr>
              <w:t>, L0</w:t>
            </w:r>
            <w:r w:rsidR="00DA4EC8">
              <w:rPr>
                <w:sz w:val="20"/>
                <w:szCs w:val="20"/>
              </w:rPr>
              <w:t>239 – L0241, L0261, L0275-L0276, L0321-L0334</w:t>
            </w:r>
          </w:p>
        </w:tc>
      </w:tr>
      <w:tr w:rsidR="0013436F" w:rsidTr="007F2602">
        <w:trPr>
          <w:trHeight w:val="469"/>
        </w:trPr>
        <w:tc>
          <w:tcPr>
            <w:tcW w:w="3426" w:type="dxa"/>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13436F" w:rsidRDefault="0013436F" w:rsidP="00B13475">
            <w:pPr>
              <w:rPr>
                <w:b/>
                <w:bCs/>
              </w:rPr>
            </w:pPr>
            <w:r>
              <w:rPr>
                <w:b/>
                <w:bCs/>
              </w:rPr>
              <w:t xml:space="preserve">Measure Description: </w:t>
            </w:r>
          </w:p>
        </w:tc>
        <w:tc>
          <w:tcPr>
            <w:tcW w:w="7099" w:type="dxa"/>
            <w:tcBorders>
              <w:top w:val="nil"/>
              <w:left w:val="nil"/>
              <w:bottom w:val="single" w:sz="18" w:space="0" w:color="FFFFFF"/>
              <w:right w:val="nil"/>
            </w:tcBorders>
            <w:shd w:val="clear" w:color="auto" w:fill="F2F2F2"/>
            <w:tcMar>
              <w:top w:w="0" w:type="dxa"/>
              <w:left w:w="108" w:type="dxa"/>
              <w:bottom w:w="0" w:type="dxa"/>
              <w:right w:w="108" w:type="dxa"/>
            </w:tcMar>
          </w:tcPr>
          <w:p w:rsidR="0013436F" w:rsidRDefault="0013436F" w:rsidP="005E0A73">
            <w:pPr>
              <w:rPr>
                <w:sz w:val="20"/>
                <w:szCs w:val="20"/>
              </w:rPr>
            </w:pPr>
            <w:r>
              <w:rPr>
                <w:sz w:val="20"/>
                <w:szCs w:val="20"/>
              </w:rPr>
              <w:t xml:space="preserve">The nonresidential upstream compact fluorescent lamps (CFL) program encourages commercial customers to replace their existing </w:t>
            </w:r>
            <w:r w:rsidR="00231571">
              <w:rPr>
                <w:sz w:val="20"/>
                <w:szCs w:val="20"/>
              </w:rPr>
              <w:t xml:space="preserve">incandescent </w:t>
            </w:r>
            <w:r>
              <w:rPr>
                <w:sz w:val="20"/>
                <w:szCs w:val="20"/>
              </w:rPr>
              <w:t>lamps and fixtures with more efficient compact fluorescent lighting</w:t>
            </w:r>
            <w:r w:rsidRPr="00721C75">
              <w:rPr>
                <w:sz w:val="20"/>
                <w:szCs w:val="20"/>
              </w:rPr>
              <w:t>.</w:t>
            </w:r>
          </w:p>
        </w:tc>
      </w:tr>
      <w:tr w:rsidR="0013436F" w:rsidTr="007F2602">
        <w:trPr>
          <w:trHeight w:val="500"/>
        </w:trPr>
        <w:tc>
          <w:tcPr>
            <w:tcW w:w="3426" w:type="dxa"/>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13436F" w:rsidRDefault="0013436F" w:rsidP="00B13475">
            <w:pPr>
              <w:rPr>
                <w:b/>
                <w:bCs/>
              </w:rPr>
            </w:pPr>
            <w:r>
              <w:rPr>
                <w:b/>
                <w:bCs/>
              </w:rPr>
              <w:t xml:space="preserve">Energy Impact Common Units: </w:t>
            </w:r>
          </w:p>
        </w:tc>
        <w:tc>
          <w:tcPr>
            <w:tcW w:w="7099" w:type="dxa"/>
            <w:tcBorders>
              <w:top w:val="nil"/>
              <w:left w:val="nil"/>
              <w:bottom w:val="single" w:sz="18" w:space="0" w:color="FFFFFF"/>
              <w:right w:val="nil"/>
            </w:tcBorders>
            <w:shd w:val="clear" w:color="auto" w:fill="CCCCCC"/>
            <w:tcMar>
              <w:top w:w="0" w:type="dxa"/>
              <w:left w:w="108" w:type="dxa"/>
              <w:bottom w:w="0" w:type="dxa"/>
              <w:right w:w="108" w:type="dxa"/>
            </w:tcMar>
          </w:tcPr>
          <w:p w:rsidR="0013436F" w:rsidRDefault="0013436F" w:rsidP="00B13475">
            <w:pPr>
              <w:rPr>
                <w:sz w:val="20"/>
                <w:szCs w:val="20"/>
              </w:rPr>
            </w:pPr>
            <w:r>
              <w:rPr>
                <w:sz w:val="20"/>
                <w:szCs w:val="20"/>
              </w:rPr>
              <w:t xml:space="preserve">The energy impact common unit for this measure is per lamp (bulb), per </w:t>
            </w:r>
            <w:proofErr w:type="spellStart"/>
            <w:r>
              <w:rPr>
                <w:sz w:val="20"/>
                <w:szCs w:val="20"/>
              </w:rPr>
              <w:t>torchiere</w:t>
            </w:r>
            <w:proofErr w:type="spellEnd"/>
            <w:r w:rsidR="005E0A73">
              <w:rPr>
                <w:sz w:val="20"/>
                <w:szCs w:val="20"/>
              </w:rPr>
              <w:t>,</w:t>
            </w:r>
            <w:r>
              <w:rPr>
                <w:sz w:val="20"/>
                <w:szCs w:val="20"/>
              </w:rPr>
              <w:t xml:space="preserve"> or per fixture.</w:t>
            </w:r>
          </w:p>
        </w:tc>
      </w:tr>
      <w:tr w:rsidR="0013436F" w:rsidTr="007F2602">
        <w:trPr>
          <w:trHeight w:val="469"/>
        </w:trPr>
        <w:tc>
          <w:tcPr>
            <w:tcW w:w="3426" w:type="dxa"/>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13436F" w:rsidRDefault="0013436F" w:rsidP="00B13475">
            <w:pPr>
              <w:rPr>
                <w:b/>
                <w:bCs/>
              </w:rPr>
            </w:pPr>
            <w:r>
              <w:rPr>
                <w:b/>
                <w:bCs/>
              </w:rPr>
              <w:t>Base Case Description:</w:t>
            </w:r>
          </w:p>
        </w:tc>
        <w:tc>
          <w:tcPr>
            <w:tcW w:w="7099" w:type="dxa"/>
            <w:tcBorders>
              <w:top w:val="nil"/>
              <w:left w:val="nil"/>
              <w:bottom w:val="single" w:sz="18" w:space="0" w:color="FFFFFF"/>
              <w:right w:val="nil"/>
            </w:tcBorders>
            <w:shd w:val="clear" w:color="auto" w:fill="F2F2F2"/>
            <w:tcMar>
              <w:top w:w="0" w:type="dxa"/>
              <w:left w:w="108" w:type="dxa"/>
              <w:bottom w:w="0" w:type="dxa"/>
              <w:right w:w="108" w:type="dxa"/>
            </w:tcMar>
          </w:tcPr>
          <w:p w:rsidR="0013436F" w:rsidRDefault="005E0A73" w:rsidP="00B13475">
            <w:pPr>
              <w:rPr>
                <w:sz w:val="20"/>
                <w:szCs w:val="20"/>
              </w:rPr>
            </w:pPr>
            <w:r>
              <w:rPr>
                <w:sz w:val="20"/>
                <w:szCs w:val="20"/>
              </w:rPr>
              <w:t>The base case wattage is based on the updated wattage reduction ratio.</w:t>
            </w:r>
          </w:p>
          <w:p w:rsidR="0013436F" w:rsidRDefault="00E95944" w:rsidP="005E0A73">
            <w:pPr>
              <w:rPr>
                <w:sz w:val="20"/>
                <w:szCs w:val="20"/>
              </w:rPr>
            </w:pPr>
            <w:r>
              <w:rPr>
                <w:sz w:val="20"/>
                <w:szCs w:val="20"/>
              </w:rPr>
              <w:t>Source:  201</w:t>
            </w:r>
            <w:r w:rsidR="005E0A73">
              <w:rPr>
                <w:sz w:val="20"/>
                <w:szCs w:val="20"/>
              </w:rPr>
              <w:t>6</w:t>
            </w:r>
            <w:r>
              <w:rPr>
                <w:sz w:val="20"/>
                <w:szCs w:val="20"/>
              </w:rPr>
              <w:t xml:space="preserve"> DEER.  </w:t>
            </w:r>
            <w:r w:rsidR="005E0A73">
              <w:rPr>
                <w:sz w:val="20"/>
                <w:szCs w:val="20"/>
              </w:rPr>
              <w:t>2015 Uncertain Measures Update</w:t>
            </w:r>
          </w:p>
        </w:tc>
      </w:tr>
      <w:tr w:rsidR="0013436F" w:rsidTr="007F2602">
        <w:trPr>
          <w:trHeight w:val="469"/>
        </w:trPr>
        <w:tc>
          <w:tcPr>
            <w:tcW w:w="3426" w:type="dxa"/>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13436F" w:rsidRDefault="0013436F" w:rsidP="00B13475">
            <w:pPr>
              <w:rPr>
                <w:b/>
                <w:bCs/>
              </w:rPr>
            </w:pPr>
            <w:r>
              <w:rPr>
                <w:b/>
                <w:bCs/>
              </w:rPr>
              <w:t xml:space="preserve">Base Case Energy Consumption: </w:t>
            </w:r>
          </w:p>
        </w:tc>
        <w:tc>
          <w:tcPr>
            <w:tcW w:w="7099" w:type="dxa"/>
            <w:tcBorders>
              <w:top w:val="nil"/>
              <w:left w:val="nil"/>
              <w:bottom w:val="single" w:sz="18" w:space="0" w:color="FFFFFF"/>
              <w:right w:val="nil"/>
            </w:tcBorders>
            <w:shd w:val="clear" w:color="auto" w:fill="CCCCCC"/>
            <w:tcMar>
              <w:top w:w="0" w:type="dxa"/>
              <w:left w:w="108" w:type="dxa"/>
              <w:bottom w:w="0" w:type="dxa"/>
              <w:right w:w="108" w:type="dxa"/>
            </w:tcMar>
          </w:tcPr>
          <w:p w:rsidR="0013436F" w:rsidRDefault="00E95944" w:rsidP="00B13475">
            <w:pPr>
              <w:rPr>
                <w:sz w:val="20"/>
                <w:szCs w:val="20"/>
              </w:rPr>
            </w:pPr>
            <w:r w:rsidRPr="00A352F2">
              <w:rPr>
                <w:sz w:val="20"/>
                <w:szCs w:val="20"/>
              </w:rPr>
              <w:t xml:space="preserve">Various. Refer to </w:t>
            </w:r>
            <w:r>
              <w:rPr>
                <w:sz w:val="20"/>
                <w:szCs w:val="20"/>
              </w:rPr>
              <w:t>.</w:t>
            </w:r>
            <w:proofErr w:type="spellStart"/>
            <w:r>
              <w:rPr>
                <w:sz w:val="20"/>
                <w:szCs w:val="20"/>
              </w:rPr>
              <w:t>xlsx</w:t>
            </w:r>
            <w:proofErr w:type="spellEnd"/>
            <w:r>
              <w:rPr>
                <w:sz w:val="20"/>
                <w:szCs w:val="20"/>
              </w:rPr>
              <w:t xml:space="preserve"> file attached</w:t>
            </w:r>
          </w:p>
          <w:p w:rsidR="0013436F" w:rsidRDefault="0013436F" w:rsidP="00DA4EC8">
            <w:pPr>
              <w:rPr>
                <w:sz w:val="20"/>
                <w:szCs w:val="20"/>
              </w:rPr>
            </w:pPr>
          </w:p>
        </w:tc>
      </w:tr>
      <w:tr w:rsidR="0013436F" w:rsidTr="007F2602">
        <w:trPr>
          <w:trHeight w:val="354"/>
        </w:trPr>
        <w:tc>
          <w:tcPr>
            <w:tcW w:w="3426" w:type="dxa"/>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13436F" w:rsidRDefault="0013436F" w:rsidP="00B13475">
            <w:pPr>
              <w:rPr>
                <w:b/>
                <w:bCs/>
              </w:rPr>
            </w:pPr>
            <w:r>
              <w:rPr>
                <w:b/>
                <w:bCs/>
              </w:rPr>
              <w:t>Measure Energy Consumption:</w:t>
            </w:r>
          </w:p>
        </w:tc>
        <w:tc>
          <w:tcPr>
            <w:tcW w:w="7099" w:type="dxa"/>
            <w:tcBorders>
              <w:top w:val="nil"/>
              <w:left w:val="nil"/>
              <w:bottom w:val="single" w:sz="18" w:space="0" w:color="FFFFFF"/>
              <w:right w:val="nil"/>
            </w:tcBorders>
            <w:shd w:val="clear" w:color="auto" w:fill="F2F2F2"/>
            <w:tcMar>
              <w:top w:w="0" w:type="dxa"/>
              <w:left w:w="108" w:type="dxa"/>
              <w:bottom w:w="0" w:type="dxa"/>
              <w:right w:w="108" w:type="dxa"/>
            </w:tcMar>
          </w:tcPr>
          <w:p w:rsidR="0013436F" w:rsidRDefault="00E95944" w:rsidP="00B13475">
            <w:pPr>
              <w:rPr>
                <w:sz w:val="20"/>
                <w:szCs w:val="20"/>
              </w:rPr>
            </w:pPr>
            <w:r w:rsidRPr="00A352F2">
              <w:rPr>
                <w:sz w:val="20"/>
                <w:szCs w:val="20"/>
              </w:rPr>
              <w:t xml:space="preserve">Various. Refer to </w:t>
            </w:r>
            <w:r>
              <w:rPr>
                <w:sz w:val="20"/>
                <w:szCs w:val="20"/>
              </w:rPr>
              <w:t>.</w:t>
            </w:r>
            <w:proofErr w:type="spellStart"/>
            <w:r>
              <w:rPr>
                <w:sz w:val="20"/>
                <w:szCs w:val="20"/>
              </w:rPr>
              <w:t>xlsx</w:t>
            </w:r>
            <w:proofErr w:type="spellEnd"/>
            <w:r>
              <w:rPr>
                <w:sz w:val="20"/>
                <w:szCs w:val="20"/>
              </w:rPr>
              <w:t xml:space="preserve"> file attached</w:t>
            </w:r>
          </w:p>
          <w:p w:rsidR="0013436F" w:rsidRDefault="0013436F" w:rsidP="00B13475">
            <w:pPr>
              <w:rPr>
                <w:sz w:val="20"/>
                <w:szCs w:val="20"/>
              </w:rPr>
            </w:pPr>
          </w:p>
        </w:tc>
      </w:tr>
      <w:tr w:rsidR="0013436F" w:rsidTr="007F2602">
        <w:trPr>
          <w:trHeight w:val="469"/>
        </w:trPr>
        <w:tc>
          <w:tcPr>
            <w:tcW w:w="3426" w:type="dxa"/>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13436F" w:rsidRDefault="0013436F" w:rsidP="00B13475">
            <w:pPr>
              <w:rPr>
                <w:b/>
                <w:bCs/>
              </w:rPr>
            </w:pPr>
            <w:r>
              <w:rPr>
                <w:b/>
                <w:bCs/>
              </w:rPr>
              <w:t>Energy Savings (Base Case – Measure)</w:t>
            </w:r>
          </w:p>
        </w:tc>
        <w:tc>
          <w:tcPr>
            <w:tcW w:w="7099" w:type="dxa"/>
            <w:tcBorders>
              <w:top w:val="nil"/>
              <w:left w:val="nil"/>
              <w:bottom w:val="single" w:sz="18" w:space="0" w:color="FFFFFF"/>
              <w:right w:val="nil"/>
            </w:tcBorders>
            <w:shd w:val="clear" w:color="auto" w:fill="CCCCCC"/>
            <w:tcMar>
              <w:top w:w="0" w:type="dxa"/>
              <w:left w:w="108" w:type="dxa"/>
              <w:bottom w:w="0" w:type="dxa"/>
              <w:right w:w="108" w:type="dxa"/>
            </w:tcMar>
          </w:tcPr>
          <w:p w:rsidR="0013436F" w:rsidRDefault="00E95944" w:rsidP="00B13475">
            <w:pPr>
              <w:rPr>
                <w:sz w:val="20"/>
                <w:szCs w:val="20"/>
              </w:rPr>
            </w:pPr>
            <w:r w:rsidRPr="00A352F2">
              <w:rPr>
                <w:sz w:val="20"/>
                <w:szCs w:val="20"/>
              </w:rPr>
              <w:t xml:space="preserve">Various. Refer to </w:t>
            </w:r>
            <w:r>
              <w:rPr>
                <w:sz w:val="20"/>
                <w:szCs w:val="20"/>
              </w:rPr>
              <w:t>.</w:t>
            </w:r>
            <w:proofErr w:type="spellStart"/>
            <w:r>
              <w:rPr>
                <w:sz w:val="20"/>
                <w:szCs w:val="20"/>
              </w:rPr>
              <w:t>xlsx</w:t>
            </w:r>
            <w:proofErr w:type="spellEnd"/>
            <w:r>
              <w:rPr>
                <w:sz w:val="20"/>
                <w:szCs w:val="20"/>
              </w:rPr>
              <w:t xml:space="preserve"> file attached</w:t>
            </w:r>
          </w:p>
          <w:p w:rsidR="0013436F" w:rsidRDefault="0013436F" w:rsidP="00DA4EC8">
            <w:pPr>
              <w:rPr>
                <w:sz w:val="20"/>
                <w:szCs w:val="20"/>
              </w:rPr>
            </w:pPr>
          </w:p>
        </w:tc>
      </w:tr>
      <w:tr w:rsidR="0013436F" w:rsidTr="007F2602">
        <w:trPr>
          <w:trHeight w:val="469"/>
        </w:trPr>
        <w:tc>
          <w:tcPr>
            <w:tcW w:w="3426" w:type="dxa"/>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13436F" w:rsidRDefault="0013436F" w:rsidP="00B13475">
            <w:pPr>
              <w:rPr>
                <w:b/>
                <w:bCs/>
              </w:rPr>
            </w:pPr>
            <w:r>
              <w:rPr>
                <w:b/>
                <w:bCs/>
              </w:rPr>
              <w:t xml:space="preserve">Costs Common Units: </w:t>
            </w:r>
          </w:p>
        </w:tc>
        <w:tc>
          <w:tcPr>
            <w:tcW w:w="7099" w:type="dxa"/>
            <w:tcBorders>
              <w:top w:val="nil"/>
              <w:left w:val="nil"/>
              <w:bottom w:val="single" w:sz="18" w:space="0" w:color="FFFFFF"/>
              <w:right w:val="nil"/>
            </w:tcBorders>
            <w:shd w:val="clear" w:color="auto" w:fill="F2F2F2"/>
            <w:tcMar>
              <w:top w:w="0" w:type="dxa"/>
              <w:left w:w="108" w:type="dxa"/>
              <w:bottom w:w="0" w:type="dxa"/>
              <w:right w:w="108" w:type="dxa"/>
            </w:tcMar>
          </w:tcPr>
          <w:p w:rsidR="0013436F" w:rsidRDefault="00E95944" w:rsidP="00B13475">
            <w:pPr>
              <w:rPr>
                <w:sz w:val="20"/>
                <w:szCs w:val="20"/>
              </w:rPr>
            </w:pPr>
            <w:r w:rsidRPr="00A352F2">
              <w:rPr>
                <w:sz w:val="20"/>
                <w:szCs w:val="20"/>
              </w:rPr>
              <w:t xml:space="preserve">Various. Refer to </w:t>
            </w:r>
            <w:r>
              <w:rPr>
                <w:sz w:val="20"/>
                <w:szCs w:val="20"/>
              </w:rPr>
              <w:t>.</w:t>
            </w:r>
            <w:proofErr w:type="spellStart"/>
            <w:r>
              <w:rPr>
                <w:sz w:val="20"/>
                <w:szCs w:val="20"/>
              </w:rPr>
              <w:t>xlsx</w:t>
            </w:r>
            <w:proofErr w:type="spellEnd"/>
            <w:r>
              <w:rPr>
                <w:sz w:val="20"/>
                <w:szCs w:val="20"/>
              </w:rPr>
              <w:t xml:space="preserve"> file attached</w:t>
            </w:r>
          </w:p>
          <w:p w:rsidR="0013436F" w:rsidRDefault="0013436F" w:rsidP="00B13475">
            <w:pPr>
              <w:rPr>
                <w:sz w:val="20"/>
                <w:szCs w:val="20"/>
              </w:rPr>
            </w:pPr>
            <w:r>
              <w:rPr>
                <w:sz w:val="20"/>
                <w:szCs w:val="20"/>
              </w:rPr>
              <w:t xml:space="preserve">The cost common unit for this measure is per lamp (bulb), per </w:t>
            </w:r>
            <w:proofErr w:type="spellStart"/>
            <w:r>
              <w:rPr>
                <w:sz w:val="20"/>
                <w:szCs w:val="20"/>
              </w:rPr>
              <w:t>torchiere</w:t>
            </w:r>
            <w:proofErr w:type="spellEnd"/>
            <w:r w:rsidR="005E0A73">
              <w:rPr>
                <w:sz w:val="20"/>
                <w:szCs w:val="20"/>
              </w:rPr>
              <w:t>,</w:t>
            </w:r>
            <w:r>
              <w:rPr>
                <w:sz w:val="20"/>
                <w:szCs w:val="20"/>
              </w:rPr>
              <w:t xml:space="preserve"> or per fixture.</w:t>
            </w:r>
          </w:p>
        </w:tc>
      </w:tr>
      <w:tr w:rsidR="0013436F" w:rsidTr="007F2602">
        <w:trPr>
          <w:trHeight w:val="469"/>
        </w:trPr>
        <w:tc>
          <w:tcPr>
            <w:tcW w:w="3426" w:type="dxa"/>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13436F" w:rsidRDefault="0013436F" w:rsidP="00B13475">
            <w:pPr>
              <w:rPr>
                <w:b/>
                <w:bCs/>
              </w:rPr>
            </w:pPr>
            <w:r>
              <w:rPr>
                <w:b/>
                <w:bCs/>
              </w:rPr>
              <w:t>Base Case Equipment Cost ($/unit):</w:t>
            </w:r>
          </w:p>
        </w:tc>
        <w:tc>
          <w:tcPr>
            <w:tcW w:w="7099" w:type="dxa"/>
            <w:tcBorders>
              <w:top w:val="nil"/>
              <w:left w:val="nil"/>
              <w:bottom w:val="single" w:sz="18" w:space="0" w:color="FFFFFF"/>
              <w:right w:val="nil"/>
            </w:tcBorders>
            <w:shd w:val="clear" w:color="auto" w:fill="CCCCCC"/>
            <w:tcMar>
              <w:top w:w="0" w:type="dxa"/>
              <w:left w:w="108" w:type="dxa"/>
              <w:bottom w:w="0" w:type="dxa"/>
              <w:right w:w="108" w:type="dxa"/>
            </w:tcMar>
          </w:tcPr>
          <w:p w:rsidR="0013436F" w:rsidRDefault="00E95944" w:rsidP="00B13475">
            <w:pPr>
              <w:rPr>
                <w:sz w:val="20"/>
                <w:szCs w:val="20"/>
              </w:rPr>
            </w:pPr>
            <w:r w:rsidRPr="00A352F2">
              <w:rPr>
                <w:sz w:val="20"/>
                <w:szCs w:val="20"/>
              </w:rPr>
              <w:t xml:space="preserve">Various. Refer to </w:t>
            </w:r>
            <w:r>
              <w:rPr>
                <w:sz w:val="20"/>
                <w:szCs w:val="20"/>
              </w:rPr>
              <w:t>.</w:t>
            </w:r>
            <w:proofErr w:type="spellStart"/>
            <w:r>
              <w:rPr>
                <w:sz w:val="20"/>
                <w:szCs w:val="20"/>
              </w:rPr>
              <w:t>xlsx</w:t>
            </w:r>
            <w:proofErr w:type="spellEnd"/>
            <w:r>
              <w:rPr>
                <w:sz w:val="20"/>
                <w:szCs w:val="20"/>
              </w:rPr>
              <w:t xml:space="preserve"> file attached</w:t>
            </w:r>
          </w:p>
        </w:tc>
      </w:tr>
      <w:tr w:rsidR="0013436F" w:rsidTr="007F2602">
        <w:trPr>
          <w:trHeight w:val="382"/>
        </w:trPr>
        <w:tc>
          <w:tcPr>
            <w:tcW w:w="3426" w:type="dxa"/>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13436F" w:rsidRDefault="0013436F" w:rsidP="00B13475">
            <w:pPr>
              <w:rPr>
                <w:b/>
                <w:bCs/>
              </w:rPr>
            </w:pPr>
            <w:r>
              <w:rPr>
                <w:b/>
                <w:bCs/>
              </w:rPr>
              <w:t xml:space="preserve">Measure Equipment Cost ($/unit): </w:t>
            </w:r>
          </w:p>
        </w:tc>
        <w:tc>
          <w:tcPr>
            <w:tcW w:w="7099" w:type="dxa"/>
            <w:tcBorders>
              <w:top w:val="nil"/>
              <w:left w:val="nil"/>
              <w:bottom w:val="single" w:sz="18" w:space="0" w:color="FFFFFF"/>
              <w:right w:val="nil"/>
            </w:tcBorders>
            <w:shd w:val="clear" w:color="auto" w:fill="F2F2F2"/>
            <w:tcMar>
              <w:top w:w="0" w:type="dxa"/>
              <w:left w:w="108" w:type="dxa"/>
              <w:bottom w:w="0" w:type="dxa"/>
              <w:right w:w="108" w:type="dxa"/>
            </w:tcMar>
          </w:tcPr>
          <w:p w:rsidR="0013436F" w:rsidRDefault="00E95944" w:rsidP="00B13475">
            <w:pPr>
              <w:rPr>
                <w:sz w:val="20"/>
                <w:szCs w:val="20"/>
              </w:rPr>
            </w:pPr>
            <w:r w:rsidRPr="00A352F2">
              <w:rPr>
                <w:sz w:val="20"/>
                <w:szCs w:val="20"/>
              </w:rPr>
              <w:t xml:space="preserve">Various. Refer to </w:t>
            </w:r>
            <w:r>
              <w:rPr>
                <w:sz w:val="20"/>
                <w:szCs w:val="20"/>
              </w:rPr>
              <w:t>.</w:t>
            </w:r>
            <w:proofErr w:type="spellStart"/>
            <w:r>
              <w:rPr>
                <w:sz w:val="20"/>
                <w:szCs w:val="20"/>
              </w:rPr>
              <w:t>xlsx</w:t>
            </w:r>
            <w:proofErr w:type="spellEnd"/>
            <w:r>
              <w:rPr>
                <w:sz w:val="20"/>
                <w:szCs w:val="20"/>
              </w:rPr>
              <w:t xml:space="preserve"> file attached</w:t>
            </w:r>
          </w:p>
        </w:tc>
      </w:tr>
      <w:tr w:rsidR="0013436F" w:rsidTr="007F2602">
        <w:trPr>
          <w:trHeight w:val="469"/>
        </w:trPr>
        <w:tc>
          <w:tcPr>
            <w:tcW w:w="3426" w:type="dxa"/>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13436F" w:rsidRDefault="0013436F" w:rsidP="00B13475">
            <w:pPr>
              <w:rPr>
                <w:b/>
                <w:bCs/>
              </w:rPr>
            </w:pPr>
            <w:bookmarkStart w:id="9" w:name="OLE_LINK1"/>
            <w:r>
              <w:rPr>
                <w:b/>
                <w:bCs/>
              </w:rPr>
              <w:t xml:space="preserve">Measure Incremental Cost ($/unit): </w:t>
            </w:r>
            <w:bookmarkEnd w:id="9"/>
          </w:p>
        </w:tc>
        <w:tc>
          <w:tcPr>
            <w:tcW w:w="7099" w:type="dxa"/>
            <w:tcBorders>
              <w:top w:val="nil"/>
              <w:left w:val="nil"/>
              <w:bottom w:val="single" w:sz="18" w:space="0" w:color="FFFFFF"/>
              <w:right w:val="nil"/>
            </w:tcBorders>
            <w:shd w:val="clear" w:color="auto" w:fill="CCCCCC"/>
            <w:tcMar>
              <w:top w:w="0" w:type="dxa"/>
              <w:left w:w="108" w:type="dxa"/>
              <w:bottom w:w="0" w:type="dxa"/>
              <w:right w:w="108" w:type="dxa"/>
            </w:tcMar>
          </w:tcPr>
          <w:p w:rsidR="0013436F" w:rsidRDefault="00E95944" w:rsidP="00B13475">
            <w:pPr>
              <w:rPr>
                <w:sz w:val="20"/>
                <w:szCs w:val="20"/>
              </w:rPr>
            </w:pPr>
            <w:r w:rsidRPr="00A352F2">
              <w:rPr>
                <w:sz w:val="20"/>
                <w:szCs w:val="20"/>
              </w:rPr>
              <w:t xml:space="preserve">Various. Refer to </w:t>
            </w:r>
            <w:r>
              <w:rPr>
                <w:sz w:val="20"/>
                <w:szCs w:val="20"/>
              </w:rPr>
              <w:t>.</w:t>
            </w:r>
            <w:proofErr w:type="spellStart"/>
            <w:r>
              <w:rPr>
                <w:sz w:val="20"/>
                <w:szCs w:val="20"/>
              </w:rPr>
              <w:t>xlsx</w:t>
            </w:r>
            <w:proofErr w:type="spellEnd"/>
            <w:r>
              <w:rPr>
                <w:sz w:val="20"/>
                <w:szCs w:val="20"/>
              </w:rPr>
              <w:t xml:space="preserve"> file attached </w:t>
            </w:r>
          </w:p>
          <w:p w:rsidR="0013436F" w:rsidRDefault="0013436F" w:rsidP="005E0A73">
            <w:pPr>
              <w:rPr>
                <w:sz w:val="20"/>
                <w:szCs w:val="20"/>
              </w:rPr>
            </w:pPr>
            <w:r>
              <w:rPr>
                <w:sz w:val="20"/>
                <w:szCs w:val="20"/>
              </w:rPr>
              <w:t>Source:  20</w:t>
            </w:r>
            <w:r w:rsidR="005E0A73">
              <w:rPr>
                <w:sz w:val="20"/>
                <w:szCs w:val="20"/>
              </w:rPr>
              <w:t>16</w:t>
            </w:r>
            <w:r>
              <w:rPr>
                <w:sz w:val="20"/>
                <w:szCs w:val="20"/>
              </w:rPr>
              <w:t xml:space="preserve"> DEER.  </w:t>
            </w:r>
          </w:p>
        </w:tc>
      </w:tr>
      <w:tr w:rsidR="0013436F" w:rsidTr="007F2602">
        <w:trPr>
          <w:trHeight w:val="469"/>
        </w:trPr>
        <w:tc>
          <w:tcPr>
            <w:tcW w:w="3426" w:type="dxa"/>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13436F" w:rsidRDefault="0013436F" w:rsidP="00B13475">
            <w:pPr>
              <w:rPr>
                <w:b/>
                <w:bCs/>
              </w:rPr>
            </w:pPr>
            <w:r>
              <w:rPr>
                <w:b/>
                <w:bCs/>
              </w:rPr>
              <w:t xml:space="preserve">Effective Useful Life (years): </w:t>
            </w:r>
          </w:p>
        </w:tc>
        <w:tc>
          <w:tcPr>
            <w:tcW w:w="7099" w:type="dxa"/>
            <w:tcBorders>
              <w:top w:val="nil"/>
              <w:left w:val="nil"/>
              <w:bottom w:val="single" w:sz="18" w:space="0" w:color="FFFFFF"/>
              <w:right w:val="nil"/>
            </w:tcBorders>
            <w:shd w:val="clear" w:color="auto" w:fill="F2F2F2"/>
            <w:tcMar>
              <w:top w:w="0" w:type="dxa"/>
              <w:left w:w="108" w:type="dxa"/>
              <w:bottom w:w="0" w:type="dxa"/>
              <w:right w:w="108" w:type="dxa"/>
            </w:tcMar>
          </w:tcPr>
          <w:tbl>
            <w:tblPr>
              <w:tblW w:w="67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5"/>
              <w:gridCol w:w="3156"/>
              <w:gridCol w:w="1327"/>
            </w:tblGrid>
            <w:tr w:rsidR="00087106" w:rsidRPr="00E47C4C" w:rsidTr="00087106">
              <w:trPr>
                <w:trHeight w:val="377"/>
              </w:trPr>
              <w:tc>
                <w:tcPr>
                  <w:tcW w:w="2305" w:type="dxa"/>
                  <w:shd w:val="clear" w:color="auto" w:fill="D9D9D9" w:themeFill="background1" w:themeFillShade="D9"/>
                  <w:vAlign w:val="center"/>
                </w:tcPr>
                <w:p w:rsidR="00087106" w:rsidRPr="00E47C4C" w:rsidRDefault="00087106" w:rsidP="00D42DA3">
                  <w:pPr>
                    <w:jc w:val="center"/>
                    <w:rPr>
                      <w:b/>
                      <w:sz w:val="20"/>
                      <w:szCs w:val="20"/>
                    </w:rPr>
                  </w:pPr>
                  <w:r>
                    <w:rPr>
                      <w:b/>
                      <w:sz w:val="20"/>
                      <w:szCs w:val="20"/>
                    </w:rPr>
                    <w:t>EUL_ID</w:t>
                  </w:r>
                </w:p>
              </w:tc>
              <w:tc>
                <w:tcPr>
                  <w:tcW w:w="3156" w:type="dxa"/>
                  <w:shd w:val="clear" w:color="auto" w:fill="D9D9D9" w:themeFill="background1" w:themeFillShade="D9"/>
                </w:tcPr>
                <w:p w:rsidR="00087106" w:rsidRPr="00E47C4C" w:rsidRDefault="00087106" w:rsidP="00D42DA3">
                  <w:pPr>
                    <w:jc w:val="center"/>
                    <w:rPr>
                      <w:b/>
                      <w:sz w:val="20"/>
                      <w:szCs w:val="20"/>
                    </w:rPr>
                  </w:pPr>
                  <w:r>
                    <w:rPr>
                      <w:b/>
                      <w:sz w:val="20"/>
                      <w:szCs w:val="20"/>
                    </w:rPr>
                    <w:t>Measure Type</w:t>
                  </w:r>
                </w:p>
              </w:tc>
              <w:tc>
                <w:tcPr>
                  <w:tcW w:w="1327" w:type="dxa"/>
                  <w:shd w:val="clear" w:color="auto" w:fill="D9D9D9" w:themeFill="background1" w:themeFillShade="D9"/>
                  <w:vAlign w:val="center"/>
                </w:tcPr>
                <w:p w:rsidR="00087106" w:rsidRPr="00E47C4C" w:rsidRDefault="00087106" w:rsidP="00D42DA3">
                  <w:pPr>
                    <w:jc w:val="center"/>
                    <w:rPr>
                      <w:b/>
                      <w:sz w:val="20"/>
                      <w:szCs w:val="20"/>
                    </w:rPr>
                  </w:pPr>
                  <w:r w:rsidRPr="00E47C4C">
                    <w:rPr>
                      <w:b/>
                      <w:sz w:val="20"/>
                      <w:szCs w:val="20"/>
                    </w:rPr>
                    <w:t>EUL</w:t>
                  </w:r>
                  <w:r>
                    <w:rPr>
                      <w:b/>
                      <w:sz w:val="20"/>
                      <w:szCs w:val="20"/>
                    </w:rPr>
                    <w:t xml:space="preserve"> years</w:t>
                  </w:r>
                </w:p>
              </w:tc>
            </w:tr>
            <w:tr w:rsidR="00087106" w:rsidTr="00087106">
              <w:tc>
                <w:tcPr>
                  <w:tcW w:w="2305" w:type="dxa"/>
                  <w:vAlign w:val="center"/>
                </w:tcPr>
                <w:p w:rsidR="00087106" w:rsidRPr="00E47C4C" w:rsidRDefault="00BB3563" w:rsidP="00D42DA3">
                  <w:pPr>
                    <w:jc w:val="center"/>
                    <w:rPr>
                      <w:sz w:val="20"/>
                      <w:szCs w:val="20"/>
                    </w:rPr>
                  </w:pPr>
                  <w:proofErr w:type="spellStart"/>
                  <w:r>
                    <w:rPr>
                      <w:sz w:val="20"/>
                      <w:szCs w:val="20"/>
                    </w:rPr>
                    <w:t>IL</w:t>
                  </w:r>
                  <w:r w:rsidR="00087106">
                    <w:rPr>
                      <w:sz w:val="20"/>
                      <w:szCs w:val="20"/>
                    </w:rPr>
                    <w:t>tg</w:t>
                  </w:r>
                  <w:proofErr w:type="spellEnd"/>
                  <w:r w:rsidR="00087106">
                    <w:rPr>
                      <w:sz w:val="20"/>
                      <w:szCs w:val="20"/>
                    </w:rPr>
                    <w:t>-CFL-Com</w:t>
                  </w:r>
                </w:p>
              </w:tc>
              <w:tc>
                <w:tcPr>
                  <w:tcW w:w="3156" w:type="dxa"/>
                  <w:vAlign w:val="center"/>
                </w:tcPr>
                <w:p w:rsidR="00087106" w:rsidRDefault="00087106" w:rsidP="001A6A89">
                  <w:pPr>
                    <w:jc w:val="center"/>
                    <w:rPr>
                      <w:sz w:val="20"/>
                      <w:szCs w:val="20"/>
                    </w:rPr>
                  </w:pPr>
                  <w:r w:rsidRPr="00E47C4C">
                    <w:rPr>
                      <w:sz w:val="20"/>
                      <w:szCs w:val="20"/>
                    </w:rPr>
                    <w:t>CFL</w:t>
                  </w:r>
                  <w:r w:rsidRPr="00E47C4C">
                    <w:rPr>
                      <w:sz w:val="20"/>
                      <w:szCs w:val="20"/>
                    </w:rPr>
                    <w:fldChar w:fldCharType="begin"/>
                  </w:r>
                  <w:r>
                    <w:instrText xml:space="preserve"> XE "</w:instrText>
                  </w:r>
                  <w:r w:rsidRPr="00E47C4C">
                    <w:rPr>
                      <w:sz w:val="20"/>
                      <w:szCs w:val="20"/>
                    </w:rPr>
                    <w:instrText>CFL</w:instrText>
                  </w:r>
                  <w:r>
                    <w:instrText xml:space="preserve">" </w:instrText>
                  </w:r>
                  <w:r w:rsidRPr="00E47C4C">
                    <w:rPr>
                      <w:sz w:val="20"/>
                      <w:szCs w:val="20"/>
                    </w:rPr>
                    <w:fldChar w:fldCharType="end"/>
                  </w:r>
                  <w:r w:rsidRPr="00E47C4C">
                    <w:rPr>
                      <w:sz w:val="20"/>
                      <w:szCs w:val="20"/>
                    </w:rPr>
                    <w:t xml:space="preserve"> Lamps (10,000 hour lamp</w:t>
                  </w:r>
                  <w:r w:rsidRPr="00E47C4C">
                    <w:rPr>
                      <w:sz w:val="20"/>
                      <w:szCs w:val="20"/>
                    </w:rPr>
                    <w:fldChar w:fldCharType="begin"/>
                  </w:r>
                  <w:r>
                    <w:instrText xml:space="preserve"> XE "</w:instrText>
                  </w:r>
                  <w:r w:rsidRPr="00E47C4C">
                    <w:rPr>
                      <w:sz w:val="20"/>
                      <w:szCs w:val="20"/>
                    </w:rPr>
                    <w:instrText>lamp</w:instrText>
                  </w:r>
                  <w:r>
                    <w:instrText xml:space="preserve">" </w:instrText>
                  </w:r>
                  <w:r w:rsidRPr="00E47C4C">
                    <w:rPr>
                      <w:sz w:val="20"/>
                      <w:szCs w:val="20"/>
                    </w:rPr>
                    <w:fldChar w:fldCharType="end"/>
                  </w:r>
                  <w:r w:rsidRPr="00E47C4C">
                    <w:rPr>
                      <w:sz w:val="20"/>
                      <w:szCs w:val="20"/>
                    </w:rPr>
                    <w:t xml:space="preserve"> life)</w:t>
                  </w:r>
                </w:p>
              </w:tc>
              <w:tc>
                <w:tcPr>
                  <w:tcW w:w="1327" w:type="dxa"/>
                  <w:shd w:val="clear" w:color="auto" w:fill="auto"/>
                  <w:vAlign w:val="center"/>
                </w:tcPr>
                <w:p w:rsidR="00087106" w:rsidRPr="00E47C4C" w:rsidRDefault="00BB3563" w:rsidP="00D42DA3">
                  <w:pPr>
                    <w:jc w:val="center"/>
                    <w:rPr>
                      <w:sz w:val="20"/>
                      <w:szCs w:val="20"/>
                    </w:rPr>
                  </w:pPr>
                  <w:r>
                    <w:rPr>
                      <w:sz w:val="20"/>
                      <w:szCs w:val="20"/>
                    </w:rPr>
                    <w:t>4.69</w:t>
                  </w:r>
                </w:p>
              </w:tc>
            </w:tr>
            <w:tr w:rsidR="00087106" w:rsidTr="00087106">
              <w:tc>
                <w:tcPr>
                  <w:tcW w:w="2305" w:type="dxa"/>
                  <w:vAlign w:val="center"/>
                </w:tcPr>
                <w:p w:rsidR="00087106" w:rsidRPr="00E47C4C" w:rsidRDefault="00087106" w:rsidP="00D42DA3">
                  <w:pPr>
                    <w:jc w:val="center"/>
                    <w:rPr>
                      <w:sz w:val="20"/>
                      <w:szCs w:val="20"/>
                    </w:rPr>
                  </w:pPr>
                  <w:proofErr w:type="spellStart"/>
                  <w:r>
                    <w:rPr>
                      <w:sz w:val="20"/>
                      <w:szCs w:val="20"/>
                    </w:rPr>
                    <w:t>OLtg</w:t>
                  </w:r>
                  <w:proofErr w:type="spellEnd"/>
                  <w:r>
                    <w:rPr>
                      <w:sz w:val="20"/>
                      <w:szCs w:val="20"/>
                    </w:rPr>
                    <w:t>-CFL</w:t>
                  </w:r>
                </w:p>
              </w:tc>
              <w:tc>
                <w:tcPr>
                  <w:tcW w:w="3156" w:type="dxa"/>
                  <w:vAlign w:val="center"/>
                </w:tcPr>
                <w:p w:rsidR="00087106" w:rsidRDefault="00087106" w:rsidP="001A6A89">
                  <w:pPr>
                    <w:jc w:val="center"/>
                    <w:rPr>
                      <w:sz w:val="20"/>
                      <w:szCs w:val="20"/>
                    </w:rPr>
                  </w:pPr>
                  <w:r w:rsidRPr="00E47C4C">
                    <w:rPr>
                      <w:sz w:val="20"/>
                      <w:szCs w:val="20"/>
                    </w:rPr>
                    <w:t>CFL</w:t>
                  </w:r>
                  <w:r w:rsidRPr="00E47C4C">
                    <w:rPr>
                      <w:sz w:val="20"/>
                      <w:szCs w:val="20"/>
                    </w:rPr>
                    <w:fldChar w:fldCharType="begin"/>
                  </w:r>
                  <w:r>
                    <w:instrText xml:space="preserve"> XE "</w:instrText>
                  </w:r>
                  <w:r w:rsidRPr="00E47C4C">
                    <w:rPr>
                      <w:sz w:val="20"/>
                      <w:szCs w:val="20"/>
                    </w:rPr>
                    <w:instrText>CFL</w:instrText>
                  </w:r>
                  <w:r>
                    <w:instrText xml:space="preserve">" </w:instrText>
                  </w:r>
                  <w:r w:rsidRPr="00E47C4C">
                    <w:rPr>
                      <w:sz w:val="20"/>
                      <w:szCs w:val="20"/>
                    </w:rPr>
                    <w:fldChar w:fldCharType="end"/>
                  </w:r>
                  <w:r w:rsidRPr="00E47C4C">
                    <w:rPr>
                      <w:sz w:val="20"/>
                      <w:szCs w:val="20"/>
                    </w:rPr>
                    <w:t xml:space="preserve"> Lamps (10,000 hour lamp</w:t>
                  </w:r>
                  <w:r w:rsidRPr="00E47C4C">
                    <w:rPr>
                      <w:sz w:val="20"/>
                      <w:szCs w:val="20"/>
                    </w:rPr>
                    <w:fldChar w:fldCharType="begin"/>
                  </w:r>
                  <w:r>
                    <w:instrText xml:space="preserve"> XE "</w:instrText>
                  </w:r>
                  <w:r w:rsidRPr="00E47C4C">
                    <w:rPr>
                      <w:sz w:val="20"/>
                      <w:szCs w:val="20"/>
                    </w:rPr>
                    <w:instrText>lamp</w:instrText>
                  </w:r>
                  <w:r>
                    <w:instrText xml:space="preserve">" </w:instrText>
                  </w:r>
                  <w:r w:rsidRPr="00E47C4C">
                    <w:rPr>
                      <w:sz w:val="20"/>
                      <w:szCs w:val="20"/>
                    </w:rPr>
                    <w:fldChar w:fldCharType="end"/>
                  </w:r>
                  <w:r w:rsidRPr="00E47C4C">
                    <w:rPr>
                      <w:sz w:val="20"/>
                      <w:szCs w:val="20"/>
                    </w:rPr>
                    <w:t xml:space="preserve"> life)</w:t>
                  </w:r>
                </w:p>
              </w:tc>
              <w:tc>
                <w:tcPr>
                  <w:tcW w:w="1327" w:type="dxa"/>
                  <w:shd w:val="clear" w:color="auto" w:fill="auto"/>
                  <w:vAlign w:val="center"/>
                </w:tcPr>
                <w:p w:rsidR="00087106" w:rsidRPr="00E47C4C" w:rsidRDefault="00087106" w:rsidP="00D42DA3">
                  <w:pPr>
                    <w:jc w:val="center"/>
                    <w:rPr>
                      <w:sz w:val="20"/>
                      <w:szCs w:val="20"/>
                    </w:rPr>
                  </w:pPr>
                  <w:r>
                    <w:rPr>
                      <w:sz w:val="20"/>
                      <w:szCs w:val="20"/>
                    </w:rPr>
                    <w:t>2.44</w:t>
                  </w:r>
                </w:p>
              </w:tc>
            </w:tr>
            <w:tr w:rsidR="00087106" w:rsidRPr="00E47C4C" w:rsidTr="00087106">
              <w:tc>
                <w:tcPr>
                  <w:tcW w:w="2305" w:type="dxa"/>
                  <w:vAlign w:val="center"/>
                </w:tcPr>
                <w:p w:rsidR="00087106" w:rsidRDefault="00087106" w:rsidP="00D42DA3">
                  <w:pPr>
                    <w:jc w:val="center"/>
                    <w:rPr>
                      <w:sz w:val="20"/>
                      <w:szCs w:val="20"/>
                    </w:rPr>
                  </w:pPr>
                  <w:proofErr w:type="spellStart"/>
                  <w:r>
                    <w:rPr>
                      <w:sz w:val="20"/>
                      <w:szCs w:val="20"/>
                    </w:rPr>
                    <w:t>ILtg</w:t>
                  </w:r>
                  <w:proofErr w:type="spellEnd"/>
                  <w:r>
                    <w:rPr>
                      <w:sz w:val="20"/>
                      <w:szCs w:val="20"/>
                    </w:rPr>
                    <w:t>-</w:t>
                  </w:r>
                  <w:proofErr w:type="spellStart"/>
                  <w:r>
                    <w:rPr>
                      <w:sz w:val="20"/>
                      <w:szCs w:val="20"/>
                    </w:rPr>
                    <w:t>CFLfix</w:t>
                  </w:r>
                  <w:proofErr w:type="spellEnd"/>
                  <w:r>
                    <w:rPr>
                      <w:sz w:val="20"/>
                      <w:szCs w:val="20"/>
                    </w:rPr>
                    <w:t>-Com</w:t>
                  </w:r>
                </w:p>
              </w:tc>
              <w:tc>
                <w:tcPr>
                  <w:tcW w:w="3156" w:type="dxa"/>
                  <w:vAlign w:val="center"/>
                </w:tcPr>
                <w:p w:rsidR="00087106" w:rsidRPr="00E47C4C" w:rsidRDefault="00087106" w:rsidP="001A6A89">
                  <w:pPr>
                    <w:jc w:val="center"/>
                    <w:rPr>
                      <w:sz w:val="20"/>
                      <w:szCs w:val="20"/>
                    </w:rPr>
                  </w:pPr>
                  <w:r>
                    <w:rPr>
                      <w:sz w:val="20"/>
                      <w:szCs w:val="20"/>
                    </w:rPr>
                    <w:t xml:space="preserve">Interior </w:t>
                  </w:r>
                  <w:r w:rsidRPr="00E47C4C">
                    <w:rPr>
                      <w:sz w:val="20"/>
                      <w:szCs w:val="20"/>
                    </w:rPr>
                    <w:t>CFL</w:t>
                  </w:r>
                  <w:r w:rsidRPr="00E47C4C">
                    <w:rPr>
                      <w:sz w:val="20"/>
                      <w:szCs w:val="20"/>
                    </w:rPr>
                    <w:fldChar w:fldCharType="begin"/>
                  </w:r>
                  <w:r>
                    <w:instrText xml:space="preserve"> XE "</w:instrText>
                  </w:r>
                  <w:r w:rsidRPr="00E47C4C">
                    <w:rPr>
                      <w:sz w:val="20"/>
                      <w:szCs w:val="20"/>
                    </w:rPr>
                    <w:instrText>CFL</w:instrText>
                  </w:r>
                  <w:r>
                    <w:instrText xml:space="preserve">" </w:instrText>
                  </w:r>
                  <w:r w:rsidRPr="00E47C4C">
                    <w:rPr>
                      <w:sz w:val="20"/>
                      <w:szCs w:val="20"/>
                    </w:rPr>
                    <w:fldChar w:fldCharType="end"/>
                  </w:r>
                  <w:r w:rsidRPr="00E47C4C">
                    <w:rPr>
                      <w:sz w:val="20"/>
                      <w:szCs w:val="20"/>
                    </w:rPr>
                    <w:t xml:space="preserve"> Fixtures</w:t>
                  </w:r>
                  <w:r>
                    <w:rPr>
                      <w:sz w:val="20"/>
                      <w:szCs w:val="20"/>
                    </w:rPr>
                    <w:t xml:space="preserve"> or </w:t>
                  </w:r>
                  <w:proofErr w:type="spellStart"/>
                  <w:r>
                    <w:rPr>
                      <w:sz w:val="20"/>
                      <w:szCs w:val="20"/>
                    </w:rPr>
                    <w:t>Torchieres</w:t>
                  </w:r>
                  <w:proofErr w:type="spellEnd"/>
                </w:p>
              </w:tc>
              <w:tc>
                <w:tcPr>
                  <w:tcW w:w="1327" w:type="dxa"/>
                  <w:shd w:val="clear" w:color="auto" w:fill="auto"/>
                  <w:vAlign w:val="center"/>
                </w:tcPr>
                <w:p w:rsidR="00087106" w:rsidRPr="00E47C4C" w:rsidRDefault="00087106" w:rsidP="00D42DA3">
                  <w:pPr>
                    <w:jc w:val="center"/>
                    <w:rPr>
                      <w:sz w:val="20"/>
                      <w:szCs w:val="20"/>
                    </w:rPr>
                  </w:pPr>
                  <w:r w:rsidRPr="00E47C4C">
                    <w:rPr>
                      <w:sz w:val="20"/>
                      <w:szCs w:val="20"/>
                    </w:rPr>
                    <w:t>1</w:t>
                  </w:r>
                  <w:r>
                    <w:rPr>
                      <w:sz w:val="20"/>
                      <w:szCs w:val="20"/>
                    </w:rPr>
                    <w:t>2</w:t>
                  </w:r>
                </w:p>
              </w:tc>
            </w:tr>
            <w:tr w:rsidR="00087106" w:rsidRPr="00E47C4C" w:rsidTr="00087106">
              <w:tc>
                <w:tcPr>
                  <w:tcW w:w="2305" w:type="dxa"/>
                  <w:vAlign w:val="center"/>
                </w:tcPr>
                <w:p w:rsidR="00087106" w:rsidRDefault="00087106" w:rsidP="00D42DA3">
                  <w:pPr>
                    <w:jc w:val="center"/>
                    <w:rPr>
                      <w:sz w:val="20"/>
                      <w:szCs w:val="20"/>
                    </w:rPr>
                  </w:pPr>
                  <w:proofErr w:type="spellStart"/>
                  <w:r>
                    <w:rPr>
                      <w:sz w:val="20"/>
                      <w:szCs w:val="20"/>
                    </w:rPr>
                    <w:t>OLtg</w:t>
                  </w:r>
                  <w:proofErr w:type="spellEnd"/>
                  <w:r>
                    <w:rPr>
                      <w:sz w:val="20"/>
                      <w:szCs w:val="20"/>
                    </w:rPr>
                    <w:t>-</w:t>
                  </w:r>
                  <w:proofErr w:type="spellStart"/>
                  <w:r>
                    <w:rPr>
                      <w:sz w:val="20"/>
                      <w:szCs w:val="20"/>
                    </w:rPr>
                    <w:t>CFLfix</w:t>
                  </w:r>
                  <w:proofErr w:type="spellEnd"/>
                  <w:r>
                    <w:rPr>
                      <w:sz w:val="20"/>
                      <w:szCs w:val="20"/>
                    </w:rPr>
                    <w:t>-Dusk-to-Dawn</w:t>
                  </w:r>
                </w:p>
              </w:tc>
              <w:tc>
                <w:tcPr>
                  <w:tcW w:w="3156" w:type="dxa"/>
                  <w:vAlign w:val="center"/>
                </w:tcPr>
                <w:p w:rsidR="00087106" w:rsidRDefault="00087106" w:rsidP="001A6A89">
                  <w:pPr>
                    <w:jc w:val="center"/>
                    <w:rPr>
                      <w:sz w:val="20"/>
                      <w:szCs w:val="20"/>
                    </w:rPr>
                  </w:pPr>
                  <w:r>
                    <w:rPr>
                      <w:sz w:val="20"/>
                      <w:szCs w:val="20"/>
                    </w:rPr>
                    <w:t xml:space="preserve">Exterior </w:t>
                  </w:r>
                  <w:r w:rsidRPr="00E47C4C">
                    <w:rPr>
                      <w:sz w:val="20"/>
                      <w:szCs w:val="20"/>
                    </w:rPr>
                    <w:t>CFL</w:t>
                  </w:r>
                  <w:r w:rsidRPr="00E47C4C">
                    <w:rPr>
                      <w:sz w:val="20"/>
                      <w:szCs w:val="20"/>
                    </w:rPr>
                    <w:fldChar w:fldCharType="begin"/>
                  </w:r>
                  <w:r>
                    <w:instrText xml:space="preserve"> XE "</w:instrText>
                  </w:r>
                  <w:r w:rsidRPr="00E47C4C">
                    <w:rPr>
                      <w:sz w:val="20"/>
                      <w:szCs w:val="20"/>
                    </w:rPr>
                    <w:instrText>CFL</w:instrText>
                  </w:r>
                  <w:r>
                    <w:instrText xml:space="preserve">" </w:instrText>
                  </w:r>
                  <w:r w:rsidRPr="00E47C4C">
                    <w:rPr>
                      <w:sz w:val="20"/>
                      <w:szCs w:val="20"/>
                    </w:rPr>
                    <w:fldChar w:fldCharType="end"/>
                  </w:r>
                  <w:r w:rsidRPr="00E47C4C">
                    <w:rPr>
                      <w:sz w:val="20"/>
                      <w:szCs w:val="20"/>
                    </w:rPr>
                    <w:t xml:space="preserve"> Fixtures</w:t>
                  </w:r>
                  <w:r>
                    <w:rPr>
                      <w:sz w:val="20"/>
                      <w:szCs w:val="20"/>
                    </w:rPr>
                    <w:t xml:space="preserve"> or </w:t>
                  </w:r>
                  <w:proofErr w:type="spellStart"/>
                  <w:r>
                    <w:rPr>
                      <w:sz w:val="20"/>
                      <w:szCs w:val="20"/>
                    </w:rPr>
                    <w:t>Torchieres</w:t>
                  </w:r>
                  <w:proofErr w:type="spellEnd"/>
                </w:p>
              </w:tc>
              <w:tc>
                <w:tcPr>
                  <w:tcW w:w="1327" w:type="dxa"/>
                  <w:shd w:val="clear" w:color="auto" w:fill="auto"/>
                  <w:vAlign w:val="center"/>
                </w:tcPr>
                <w:p w:rsidR="00087106" w:rsidRPr="00E47C4C" w:rsidRDefault="00087106" w:rsidP="00D42DA3">
                  <w:pPr>
                    <w:jc w:val="center"/>
                    <w:rPr>
                      <w:sz w:val="20"/>
                      <w:szCs w:val="20"/>
                    </w:rPr>
                  </w:pPr>
                  <w:r>
                    <w:rPr>
                      <w:sz w:val="20"/>
                      <w:szCs w:val="20"/>
                    </w:rPr>
                    <w:t>15</w:t>
                  </w:r>
                </w:p>
              </w:tc>
            </w:tr>
          </w:tbl>
          <w:p w:rsidR="0013436F" w:rsidRDefault="0013436F" w:rsidP="00DA4EC8">
            <w:pPr>
              <w:rPr>
                <w:sz w:val="20"/>
                <w:szCs w:val="20"/>
              </w:rPr>
            </w:pPr>
          </w:p>
        </w:tc>
      </w:tr>
      <w:tr w:rsidR="0013436F" w:rsidTr="000747EF">
        <w:trPr>
          <w:trHeight w:val="35"/>
        </w:trPr>
        <w:tc>
          <w:tcPr>
            <w:tcW w:w="3426" w:type="dxa"/>
            <w:tcBorders>
              <w:top w:val="nil"/>
              <w:left w:val="nil"/>
              <w:bottom w:val="single" w:sz="18" w:space="0" w:color="FFFFFF"/>
              <w:right w:val="single" w:sz="18" w:space="0" w:color="FFFFFF"/>
            </w:tcBorders>
            <w:shd w:val="clear" w:color="auto" w:fill="CCCCCC"/>
            <w:tcMar>
              <w:top w:w="0" w:type="dxa"/>
              <w:left w:w="108" w:type="dxa"/>
              <w:bottom w:w="0" w:type="dxa"/>
              <w:right w:w="108" w:type="dxa"/>
            </w:tcMar>
          </w:tcPr>
          <w:p w:rsidR="0013436F" w:rsidRDefault="0013436F" w:rsidP="00B13475">
            <w:pPr>
              <w:rPr>
                <w:b/>
                <w:bCs/>
              </w:rPr>
            </w:pPr>
            <w:r>
              <w:rPr>
                <w:b/>
                <w:bCs/>
              </w:rPr>
              <w:t>Program Type:</w:t>
            </w:r>
          </w:p>
        </w:tc>
        <w:tc>
          <w:tcPr>
            <w:tcW w:w="7099" w:type="dxa"/>
            <w:tcBorders>
              <w:top w:val="nil"/>
              <w:left w:val="nil"/>
              <w:bottom w:val="single" w:sz="18" w:space="0" w:color="FFFFFF"/>
              <w:right w:val="nil"/>
            </w:tcBorders>
            <w:shd w:val="clear" w:color="auto" w:fill="CCCCCC"/>
            <w:tcMar>
              <w:top w:w="0" w:type="dxa"/>
              <w:left w:w="108" w:type="dxa"/>
              <w:bottom w:w="0" w:type="dxa"/>
              <w:right w:w="108" w:type="dxa"/>
            </w:tcMar>
          </w:tcPr>
          <w:p w:rsidR="0013436F" w:rsidRDefault="005349C6" w:rsidP="00B13475">
            <w:pPr>
              <w:rPr>
                <w:sz w:val="20"/>
                <w:szCs w:val="20"/>
              </w:rPr>
            </w:pPr>
            <w:r>
              <w:rPr>
                <w:sz w:val="20"/>
                <w:szCs w:val="20"/>
              </w:rPr>
              <w:t>ROB</w:t>
            </w:r>
          </w:p>
        </w:tc>
      </w:tr>
      <w:tr w:rsidR="0013436F" w:rsidTr="007F2602">
        <w:trPr>
          <w:trHeight w:val="469"/>
        </w:trPr>
        <w:tc>
          <w:tcPr>
            <w:tcW w:w="3426" w:type="dxa"/>
            <w:tcBorders>
              <w:top w:val="nil"/>
              <w:left w:val="nil"/>
              <w:bottom w:val="single" w:sz="18" w:space="0" w:color="FFFFFF"/>
              <w:right w:val="single" w:sz="18" w:space="0" w:color="FFFFFF"/>
            </w:tcBorders>
            <w:shd w:val="clear" w:color="auto" w:fill="F2F2F2"/>
            <w:tcMar>
              <w:top w:w="0" w:type="dxa"/>
              <w:left w:w="108" w:type="dxa"/>
              <w:bottom w:w="0" w:type="dxa"/>
              <w:right w:w="108" w:type="dxa"/>
            </w:tcMar>
          </w:tcPr>
          <w:p w:rsidR="0013436F" w:rsidRDefault="0013436F" w:rsidP="00B13475">
            <w:pPr>
              <w:rPr>
                <w:b/>
                <w:bCs/>
              </w:rPr>
            </w:pPr>
            <w:r>
              <w:rPr>
                <w:b/>
                <w:bCs/>
              </w:rPr>
              <w:t xml:space="preserve">Net-to-Gross Ratios: </w:t>
            </w:r>
          </w:p>
        </w:tc>
        <w:tc>
          <w:tcPr>
            <w:tcW w:w="7099" w:type="dxa"/>
            <w:tcBorders>
              <w:top w:val="nil"/>
              <w:left w:val="nil"/>
              <w:bottom w:val="single" w:sz="18" w:space="0" w:color="FFFFFF"/>
              <w:right w:val="nil"/>
            </w:tcBorders>
            <w:shd w:val="clear" w:color="auto" w:fill="F2F2F2"/>
            <w:tcMar>
              <w:top w:w="0" w:type="dxa"/>
              <w:left w:w="108" w:type="dxa"/>
              <w:bottom w:w="0" w:type="dxa"/>
              <w:right w:w="108" w:type="dxa"/>
            </w:tcMar>
          </w:tcPr>
          <w:p w:rsidR="00A52D04" w:rsidRPr="00F83448" w:rsidRDefault="00B30A5A" w:rsidP="00A52D04">
            <w:pPr>
              <w:rPr>
                <w:color w:val="FF0000"/>
                <w:sz w:val="20"/>
                <w:szCs w:val="20"/>
              </w:rPr>
            </w:pPr>
            <w:proofErr w:type="spellStart"/>
            <w:r w:rsidRPr="00F83448">
              <w:rPr>
                <w:sz w:val="20"/>
                <w:szCs w:val="20"/>
              </w:rPr>
              <w:t>NonRes-sAll-mCFL</w:t>
            </w:r>
            <w:proofErr w:type="spellEnd"/>
            <w:r w:rsidR="00A52D04" w:rsidRPr="00F83448">
              <w:rPr>
                <w:sz w:val="20"/>
                <w:szCs w:val="20"/>
              </w:rPr>
              <w:t>, NTG= 0.54</w:t>
            </w:r>
          </w:p>
          <w:p w:rsidR="00A52D04" w:rsidRPr="00F83448" w:rsidRDefault="00B30A5A" w:rsidP="00A52D04">
            <w:pPr>
              <w:rPr>
                <w:sz w:val="20"/>
                <w:szCs w:val="20"/>
              </w:rPr>
            </w:pPr>
            <w:r w:rsidRPr="00F83448">
              <w:rPr>
                <w:sz w:val="20"/>
                <w:szCs w:val="20"/>
              </w:rPr>
              <w:t>Com-Default&gt;2yrs</w:t>
            </w:r>
            <w:r w:rsidR="00A52D04" w:rsidRPr="00F83448">
              <w:rPr>
                <w:sz w:val="20"/>
                <w:szCs w:val="20"/>
              </w:rPr>
              <w:t>, NTG = 0.</w:t>
            </w:r>
            <w:r w:rsidRPr="00F83448">
              <w:rPr>
                <w:sz w:val="20"/>
                <w:szCs w:val="20"/>
              </w:rPr>
              <w:t>6</w:t>
            </w:r>
          </w:p>
          <w:p w:rsidR="00A52D04" w:rsidRPr="00F83448" w:rsidRDefault="00A52D04" w:rsidP="00A52D04">
            <w:pPr>
              <w:rPr>
                <w:sz w:val="20"/>
                <w:szCs w:val="20"/>
              </w:rPr>
            </w:pPr>
            <w:r w:rsidRPr="00F83448">
              <w:rPr>
                <w:sz w:val="20"/>
                <w:szCs w:val="20"/>
              </w:rPr>
              <w:t>Source: 201</w:t>
            </w:r>
            <w:r w:rsidR="005E0A73" w:rsidRPr="00F83448">
              <w:rPr>
                <w:sz w:val="20"/>
                <w:szCs w:val="20"/>
              </w:rPr>
              <w:t>4</w:t>
            </w:r>
            <w:r w:rsidRPr="00F83448">
              <w:rPr>
                <w:sz w:val="20"/>
                <w:szCs w:val="20"/>
              </w:rPr>
              <w:t xml:space="preserve"> DEER.</w:t>
            </w:r>
          </w:p>
          <w:p w:rsidR="0013436F" w:rsidRPr="00E95944" w:rsidRDefault="00A52D04" w:rsidP="00B13475">
            <w:r w:rsidRPr="00F83448">
              <w:rPr>
                <w:sz w:val="20"/>
                <w:szCs w:val="20"/>
              </w:rPr>
              <w:t>CFL</w:t>
            </w:r>
            <w:r w:rsidRPr="00F83448">
              <w:rPr>
                <w:sz w:val="20"/>
                <w:szCs w:val="20"/>
              </w:rPr>
              <w:fldChar w:fldCharType="begin"/>
            </w:r>
            <w:r w:rsidRPr="00F83448">
              <w:rPr>
                <w:sz w:val="20"/>
                <w:szCs w:val="20"/>
              </w:rPr>
              <w:instrText xml:space="preserve"> XE "CFL" </w:instrText>
            </w:r>
            <w:r w:rsidRPr="00F83448">
              <w:rPr>
                <w:sz w:val="20"/>
                <w:szCs w:val="20"/>
              </w:rPr>
              <w:fldChar w:fldCharType="end"/>
            </w:r>
            <w:r w:rsidRPr="00F83448">
              <w:rPr>
                <w:sz w:val="20"/>
                <w:szCs w:val="20"/>
              </w:rPr>
              <w:t xml:space="preserve"> fixture</w:t>
            </w:r>
            <w:r w:rsidRPr="00F83448">
              <w:rPr>
                <w:sz w:val="20"/>
                <w:szCs w:val="20"/>
              </w:rPr>
              <w:fldChar w:fldCharType="begin"/>
            </w:r>
            <w:r w:rsidRPr="00F83448">
              <w:rPr>
                <w:sz w:val="20"/>
                <w:szCs w:val="20"/>
              </w:rPr>
              <w:instrText xml:space="preserve"> XE "fixture" </w:instrText>
            </w:r>
            <w:r w:rsidRPr="00F83448">
              <w:rPr>
                <w:sz w:val="20"/>
                <w:szCs w:val="20"/>
              </w:rPr>
              <w:fldChar w:fldCharType="end"/>
            </w:r>
            <w:r w:rsidRPr="00F83448">
              <w:rPr>
                <w:sz w:val="20"/>
                <w:szCs w:val="20"/>
              </w:rPr>
              <w:t xml:space="preserve"> and </w:t>
            </w:r>
            <w:proofErr w:type="spellStart"/>
            <w:r w:rsidRPr="00F83448">
              <w:rPr>
                <w:sz w:val="20"/>
                <w:szCs w:val="20"/>
              </w:rPr>
              <w:t>torchiere</w:t>
            </w:r>
            <w:proofErr w:type="spellEnd"/>
            <w:r w:rsidRPr="00F83448">
              <w:rPr>
                <w:sz w:val="20"/>
                <w:szCs w:val="20"/>
              </w:rPr>
              <w:fldChar w:fldCharType="begin"/>
            </w:r>
            <w:r w:rsidRPr="00F83448">
              <w:rPr>
                <w:sz w:val="20"/>
                <w:szCs w:val="20"/>
              </w:rPr>
              <w:instrText xml:space="preserve"> XE "</w:instrText>
            </w:r>
            <w:proofErr w:type="spellStart"/>
            <w:r w:rsidRPr="00F83448">
              <w:rPr>
                <w:sz w:val="20"/>
                <w:szCs w:val="20"/>
              </w:rPr>
              <w:instrText>torchiere</w:instrText>
            </w:r>
            <w:proofErr w:type="spellEnd"/>
            <w:r w:rsidRPr="00F83448">
              <w:rPr>
                <w:sz w:val="20"/>
                <w:szCs w:val="20"/>
              </w:rPr>
              <w:instrText xml:space="preserve">" </w:instrText>
            </w:r>
            <w:r w:rsidRPr="00F83448">
              <w:rPr>
                <w:sz w:val="20"/>
                <w:szCs w:val="20"/>
              </w:rPr>
              <w:fldChar w:fldCharType="end"/>
            </w:r>
            <w:r w:rsidRPr="00F83448">
              <w:rPr>
                <w:sz w:val="20"/>
                <w:szCs w:val="20"/>
              </w:rPr>
              <w:t xml:space="preserve"> NTG not specified, so the NTG “default” value of 0.</w:t>
            </w:r>
            <w:r w:rsidR="00B30A5A" w:rsidRPr="00F83448">
              <w:rPr>
                <w:sz w:val="20"/>
                <w:szCs w:val="20"/>
              </w:rPr>
              <w:t>6</w:t>
            </w:r>
            <w:r w:rsidRPr="00F83448">
              <w:rPr>
                <w:sz w:val="20"/>
                <w:szCs w:val="20"/>
              </w:rPr>
              <w:t xml:space="preserve"> was used</w:t>
            </w:r>
          </w:p>
        </w:tc>
      </w:tr>
      <w:tr w:rsidR="0013436F" w:rsidTr="000747EF">
        <w:trPr>
          <w:trHeight w:val="35"/>
        </w:trPr>
        <w:tc>
          <w:tcPr>
            <w:tcW w:w="3426" w:type="dxa"/>
            <w:tcBorders>
              <w:top w:val="nil"/>
              <w:left w:val="nil"/>
              <w:bottom w:val="nil"/>
              <w:right w:val="single" w:sz="18" w:space="0" w:color="FFFFFF"/>
            </w:tcBorders>
            <w:shd w:val="clear" w:color="auto" w:fill="CCCCCC"/>
            <w:tcMar>
              <w:top w:w="0" w:type="dxa"/>
              <w:left w:w="108" w:type="dxa"/>
              <w:bottom w:w="0" w:type="dxa"/>
              <w:right w:w="108" w:type="dxa"/>
            </w:tcMar>
          </w:tcPr>
          <w:p w:rsidR="0013436F" w:rsidRDefault="0013436F" w:rsidP="00B13475">
            <w:pPr>
              <w:rPr>
                <w:b/>
                <w:bCs/>
              </w:rPr>
            </w:pPr>
            <w:r>
              <w:rPr>
                <w:b/>
                <w:bCs/>
              </w:rPr>
              <w:t>Important Comments:</w:t>
            </w:r>
          </w:p>
        </w:tc>
        <w:tc>
          <w:tcPr>
            <w:tcW w:w="7099" w:type="dxa"/>
            <w:tcBorders>
              <w:top w:val="nil"/>
              <w:left w:val="nil"/>
              <w:bottom w:val="nil"/>
              <w:right w:val="nil"/>
            </w:tcBorders>
            <w:shd w:val="clear" w:color="auto" w:fill="CCCCCC"/>
            <w:tcMar>
              <w:top w:w="0" w:type="dxa"/>
              <w:left w:w="108" w:type="dxa"/>
              <w:bottom w:w="0" w:type="dxa"/>
              <w:right w:w="108" w:type="dxa"/>
            </w:tcMar>
          </w:tcPr>
          <w:p w:rsidR="00A52D04" w:rsidRPr="00DB5FA4" w:rsidRDefault="00A52D04" w:rsidP="00A65F94">
            <w:pPr>
              <w:rPr>
                <w:sz w:val="20"/>
                <w:szCs w:val="20"/>
              </w:rPr>
            </w:pPr>
            <w:r w:rsidRPr="00B06F92">
              <w:rPr>
                <w:sz w:val="20"/>
                <w:szCs w:val="20"/>
              </w:rPr>
              <w:t>The Res/</w:t>
            </w:r>
            <w:proofErr w:type="spellStart"/>
            <w:r w:rsidRPr="00B06F92">
              <w:rPr>
                <w:sz w:val="20"/>
                <w:szCs w:val="20"/>
              </w:rPr>
              <w:t>NonRes</w:t>
            </w:r>
            <w:proofErr w:type="spellEnd"/>
            <w:r w:rsidRPr="00B06F92">
              <w:rPr>
                <w:sz w:val="20"/>
                <w:szCs w:val="20"/>
              </w:rPr>
              <w:t xml:space="preserve"> 94/6 upstream split will be applied in MDSS (based on the 2006-2008Upstream lighting program evaluation)</w:t>
            </w:r>
            <w:r w:rsidR="000747EF" w:rsidRPr="00B06F92">
              <w:rPr>
                <w:sz w:val="20"/>
                <w:szCs w:val="20"/>
              </w:rPr>
              <w:t>.</w:t>
            </w:r>
            <w:r w:rsidR="000747EF">
              <w:rPr>
                <w:sz w:val="20"/>
                <w:szCs w:val="20"/>
              </w:rPr>
              <w:t xml:space="preserve"> </w:t>
            </w:r>
            <w:r w:rsidR="000747EF" w:rsidRPr="003006F7">
              <w:rPr>
                <w:sz w:val="20"/>
                <w:szCs w:val="20"/>
              </w:rPr>
              <w:t xml:space="preserve">PG&amp;E proposes to update the </w:t>
            </w:r>
            <w:bookmarkStart w:id="10" w:name="_GoBack"/>
            <w:r w:rsidR="000747EF" w:rsidRPr="003006F7">
              <w:rPr>
                <w:sz w:val="20"/>
                <w:szCs w:val="20"/>
              </w:rPr>
              <w:t>Res/</w:t>
            </w:r>
            <w:proofErr w:type="spellStart"/>
            <w:r w:rsidR="000747EF" w:rsidRPr="003006F7">
              <w:rPr>
                <w:sz w:val="20"/>
                <w:szCs w:val="20"/>
              </w:rPr>
              <w:t>Non</w:t>
            </w:r>
            <w:bookmarkEnd w:id="10"/>
            <w:r w:rsidR="000747EF" w:rsidRPr="003006F7">
              <w:rPr>
                <w:sz w:val="20"/>
                <w:szCs w:val="20"/>
              </w:rPr>
              <w:t>Res</w:t>
            </w:r>
            <w:proofErr w:type="spellEnd"/>
            <w:r w:rsidR="000747EF" w:rsidRPr="003006F7">
              <w:rPr>
                <w:sz w:val="20"/>
                <w:szCs w:val="20"/>
              </w:rPr>
              <w:t xml:space="preserve"> split to 93/7 (based on the 2010 – 2012 Upstream Lighting Impact Evaluation) for 1/1/2016 and is in the process of getting approval from ED.</w:t>
            </w:r>
          </w:p>
          <w:p w:rsidR="00F83448" w:rsidRDefault="00F83448" w:rsidP="00F901FA">
            <w:pPr>
              <w:rPr>
                <w:sz w:val="20"/>
                <w:szCs w:val="20"/>
              </w:rPr>
            </w:pPr>
          </w:p>
          <w:p w:rsidR="00F20EEF" w:rsidRPr="0049631D" w:rsidRDefault="0013436F" w:rsidP="00F901FA">
            <w:pPr>
              <w:rPr>
                <w:sz w:val="20"/>
                <w:szCs w:val="20"/>
                <w:highlight w:val="yellow"/>
              </w:rPr>
            </w:pPr>
            <w:r w:rsidRPr="00DB5FA4">
              <w:rPr>
                <w:sz w:val="20"/>
                <w:szCs w:val="20"/>
              </w:rPr>
              <w:t>The corresponding residential Upstream CFL measures have the same measure codes as the nonresidential Upstream CFL measures but have different impact, cost, EUL, and NTG values.</w:t>
            </w:r>
          </w:p>
        </w:tc>
      </w:tr>
    </w:tbl>
    <w:p w:rsidR="00374099" w:rsidRDefault="00374099" w:rsidP="000E2DF5">
      <w:pPr>
        <w:keepNext/>
        <w:sectPr w:rsidR="00374099" w:rsidSect="00D81345">
          <w:footerReference w:type="even" r:id="rId11"/>
          <w:footerReference w:type="default" r:id="rId12"/>
          <w:footerReference w:type="first" r:id="rId13"/>
          <w:endnotePr>
            <w:numFmt w:val="decimal"/>
          </w:endnotePr>
          <w:pgSz w:w="12240" w:h="15840" w:code="1"/>
          <w:pgMar w:top="1440" w:right="1440" w:bottom="1440" w:left="1440" w:header="720" w:footer="720" w:gutter="0"/>
          <w:pgNumType w:fmt="lowerRoman" w:start="1"/>
          <w:cols w:space="720"/>
          <w:titlePg/>
          <w:docGrid w:linePitch="360"/>
        </w:sectPr>
      </w:pPr>
    </w:p>
    <w:p w:rsidR="00C63493" w:rsidRDefault="00C63493" w:rsidP="00C63493">
      <w:pPr>
        <w:pStyle w:val="Heading1"/>
      </w:pPr>
      <w:bookmarkStart w:id="11" w:name="_Toc174189525"/>
      <w:bookmarkStart w:id="12" w:name="_Toc436750456"/>
      <w:bookmarkEnd w:id="8"/>
      <w:r>
        <w:lastRenderedPageBreak/>
        <w:t>Document Revision History</w:t>
      </w:r>
      <w:bookmarkEnd w:id="11"/>
      <w:bookmarkEnd w:id="12"/>
    </w:p>
    <w:tbl>
      <w:tblPr>
        <w:tblW w:w="5000" w:type="pct"/>
        <w:tblInd w:w="108" w:type="dxa"/>
        <w:tblCellMar>
          <w:left w:w="0" w:type="dxa"/>
          <w:right w:w="0" w:type="dxa"/>
        </w:tblCellMar>
        <w:tblLook w:val="0000" w:firstRow="0" w:lastRow="0" w:firstColumn="0" w:lastColumn="0" w:noHBand="0" w:noVBand="0"/>
      </w:tblPr>
      <w:tblGrid>
        <w:gridCol w:w="1621"/>
        <w:gridCol w:w="1329"/>
        <w:gridCol w:w="3566"/>
        <w:gridCol w:w="3060"/>
      </w:tblGrid>
      <w:tr w:rsidR="0001613E" w:rsidRPr="0053420F" w:rsidTr="0001613E">
        <w:trPr>
          <w:trHeight w:val="464"/>
        </w:trPr>
        <w:tc>
          <w:tcPr>
            <w:tcW w:w="846" w:type="pct"/>
            <w:tcBorders>
              <w:top w:val="nil"/>
              <w:left w:val="nil"/>
              <w:bottom w:val="single" w:sz="18" w:space="0" w:color="FFFFFF"/>
              <w:right w:val="single" w:sz="18" w:space="0" w:color="FFFFFF"/>
            </w:tcBorders>
            <w:shd w:val="clear" w:color="auto" w:fill="BFBFBF"/>
            <w:tcMar>
              <w:top w:w="0" w:type="dxa"/>
              <w:left w:w="108" w:type="dxa"/>
              <w:bottom w:w="0" w:type="dxa"/>
              <w:right w:w="108" w:type="dxa"/>
            </w:tcMar>
          </w:tcPr>
          <w:p w:rsidR="0001613E" w:rsidRPr="0053420F" w:rsidRDefault="0001613E" w:rsidP="00281680">
            <w:pPr>
              <w:rPr>
                <w:b/>
                <w:szCs w:val="20"/>
              </w:rPr>
            </w:pPr>
            <w:r w:rsidRPr="0053420F">
              <w:rPr>
                <w:b/>
                <w:szCs w:val="20"/>
              </w:rPr>
              <w:t xml:space="preserve">Revision # </w:t>
            </w:r>
          </w:p>
        </w:tc>
        <w:tc>
          <w:tcPr>
            <w:tcW w:w="694" w:type="pct"/>
            <w:tcBorders>
              <w:top w:val="nil"/>
              <w:left w:val="nil"/>
              <w:bottom w:val="single" w:sz="18" w:space="0" w:color="FFFFFF"/>
              <w:right w:val="single" w:sz="18" w:space="0" w:color="FFFFFF"/>
            </w:tcBorders>
            <w:shd w:val="clear" w:color="auto" w:fill="BFBFBF"/>
            <w:tcMar>
              <w:top w:w="0" w:type="dxa"/>
              <w:left w:w="108" w:type="dxa"/>
              <w:bottom w:w="0" w:type="dxa"/>
              <w:right w:w="108" w:type="dxa"/>
            </w:tcMar>
          </w:tcPr>
          <w:p w:rsidR="0001613E" w:rsidRPr="0053420F" w:rsidRDefault="0001613E" w:rsidP="00281680">
            <w:pPr>
              <w:rPr>
                <w:b/>
                <w:szCs w:val="20"/>
              </w:rPr>
            </w:pPr>
            <w:r w:rsidRPr="0053420F">
              <w:rPr>
                <w:b/>
                <w:szCs w:val="20"/>
              </w:rPr>
              <w:t xml:space="preserve">Date </w:t>
            </w:r>
          </w:p>
        </w:tc>
        <w:tc>
          <w:tcPr>
            <w:tcW w:w="1862" w:type="pct"/>
            <w:tcBorders>
              <w:top w:val="nil"/>
              <w:left w:val="nil"/>
              <w:bottom w:val="single" w:sz="18" w:space="0" w:color="FFFFFF"/>
              <w:right w:val="single" w:sz="18" w:space="0" w:color="FFFFFF"/>
            </w:tcBorders>
            <w:shd w:val="clear" w:color="auto" w:fill="BFBFBF"/>
            <w:tcMar>
              <w:top w:w="0" w:type="dxa"/>
              <w:left w:w="108" w:type="dxa"/>
              <w:bottom w:w="0" w:type="dxa"/>
              <w:right w:w="108" w:type="dxa"/>
            </w:tcMar>
          </w:tcPr>
          <w:p w:rsidR="0001613E" w:rsidRPr="0053420F" w:rsidRDefault="0001613E" w:rsidP="00281680">
            <w:pPr>
              <w:rPr>
                <w:b/>
                <w:szCs w:val="20"/>
              </w:rPr>
            </w:pPr>
            <w:r w:rsidRPr="0053420F">
              <w:rPr>
                <w:b/>
                <w:szCs w:val="20"/>
              </w:rPr>
              <w:t xml:space="preserve">Description </w:t>
            </w:r>
          </w:p>
        </w:tc>
        <w:tc>
          <w:tcPr>
            <w:tcW w:w="1598" w:type="pct"/>
            <w:tcBorders>
              <w:top w:val="nil"/>
              <w:left w:val="nil"/>
              <w:bottom w:val="single" w:sz="18" w:space="0" w:color="FFFFFF"/>
              <w:right w:val="nil"/>
            </w:tcBorders>
            <w:shd w:val="clear" w:color="auto" w:fill="BFBFBF"/>
            <w:tcMar>
              <w:top w:w="0" w:type="dxa"/>
              <w:left w:w="108" w:type="dxa"/>
              <w:bottom w:w="0" w:type="dxa"/>
              <w:right w:w="108" w:type="dxa"/>
            </w:tcMar>
          </w:tcPr>
          <w:p w:rsidR="0001613E" w:rsidRPr="0053420F" w:rsidRDefault="0001613E" w:rsidP="00281680">
            <w:pPr>
              <w:rPr>
                <w:b/>
                <w:szCs w:val="20"/>
              </w:rPr>
            </w:pPr>
            <w:r w:rsidRPr="0053420F">
              <w:rPr>
                <w:b/>
                <w:szCs w:val="20"/>
              </w:rPr>
              <w:t>Author (Company)</w:t>
            </w:r>
          </w:p>
        </w:tc>
      </w:tr>
      <w:tr w:rsidR="00C63493" w:rsidRPr="0053420F" w:rsidTr="0053420F">
        <w:trPr>
          <w:trHeight w:val="464"/>
        </w:trPr>
        <w:tc>
          <w:tcPr>
            <w:tcW w:w="846" w:type="pct"/>
            <w:tcBorders>
              <w:top w:val="nil"/>
              <w:left w:val="nil"/>
              <w:right w:val="single" w:sz="18" w:space="0" w:color="FFFFFF"/>
            </w:tcBorders>
            <w:shd w:val="clear" w:color="auto" w:fill="F2F2F2" w:themeFill="background1" w:themeFillShade="F2"/>
            <w:tcMar>
              <w:top w:w="0" w:type="dxa"/>
              <w:left w:w="108" w:type="dxa"/>
              <w:bottom w:w="0" w:type="dxa"/>
              <w:right w:w="108" w:type="dxa"/>
            </w:tcMar>
          </w:tcPr>
          <w:p w:rsidR="00C63493" w:rsidRPr="0053420F" w:rsidRDefault="00C63493">
            <w:pPr>
              <w:rPr>
                <w:sz w:val="20"/>
                <w:szCs w:val="20"/>
              </w:rPr>
            </w:pPr>
            <w:r w:rsidRPr="0053420F">
              <w:rPr>
                <w:sz w:val="20"/>
                <w:szCs w:val="20"/>
              </w:rPr>
              <w:t>Revision 0</w:t>
            </w:r>
          </w:p>
        </w:tc>
        <w:tc>
          <w:tcPr>
            <w:tcW w:w="694" w:type="pct"/>
            <w:tcBorders>
              <w:top w:val="nil"/>
              <w:left w:val="nil"/>
              <w:right w:val="single" w:sz="18" w:space="0" w:color="FFFFFF"/>
            </w:tcBorders>
            <w:shd w:val="clear" w:color="auto" w:fill="F2F2F2" w:themeFill="background1" w:themeFillShade="F2"/>
            <w:tcMar>
              <w:top w:w="0" w:type="dxa"/>
              <w:left w:w="108" w:type="dxa"/>
              <w:bottom w:w="0" w:type="dxa"/>
              <w:right w:w="108" w:type="dxa"/>
            </w:tcMar>
          </w:tcPr>
          <w:p w:rsidR="00C63493" w:rsidRPr="0053420F" w:rsidRDefault="00C63493">
            <w:pPr>
              <w:rPr>
                <w:sz w:val="20"/>
                <w:szCs w:val="20"/>
              </w:rPr>
            </w:pPr>
            <w:r w:rsidRPr="0053420F">
              <w:rPr>
                <w:sz w:val="20"/>
                <w:szCs w:val="20"/>
              </w:rPr>
              <w:t>01/31/08</w:t>
            </w:r>
          </w:p>
        </w:tc>
        <w:tc>
          <w:tcPr>
            <w:tcW w:w="1862" w:type="pct"/>
            <w:tcBorders>
              <w:top w:val="nil"/>
              <w:left w:val="nil"/>
              <w:right w:val="single" w:sz="18" w:space="0" w:color="FFFFFF"/>
            </w:tcBorders>
            <w:shd w:val="clear" w:color="auto" w:fill="F2F2F2" w:themeFill="background1" w:themeFillShade="F2"/>
            <w:tcMar>
              <w:top w:w="0" w:type="dxa"/>
              <w:left w:w="108" w:type="dxa"/>
              <w:bottom w:w="0" w:type="dxa"/>
              <w:right w:w="108" w:type="dxa"/>
            </w:tcMar>
          </w:tcPr>
          <w:p w:rsidR="00C63493" w:rsidRPr="0053420F" w:rsidRDefault="00E70CA0">
            <w:pPr>
              <w:rPr>
                <w:sz w:val="20"/>
                <w:szCs w:val="20"/>
              </w:rPr>
            </w:pPr>
            <w:r w:rsidRPr="0053420F">
              <w:rPr>
                <w:sz w:val="20"/>
                <w:szCs w:val="20"/>
              </w:rPr>
              <w:t>Non-</w:t>
            </w:r>
            <w:r w:rsidR="00C63493" w:rsidRPr="0053420F">
              <w:rPr>
                <w:sz w:val="20"/>
                <w:szCs w:val="20"/>
              </w:rPr>
              <w:t>Residential Upstream Screw-In CFL PGECOLTG</w:t>
            </w:r>
            <w:r w:rsidR="00894DA6" w:rsidRPr="0053420F">
              <w:rPr>
                <w:sz w:val="20"/>
                <w:szCs w:val="20"/>
              </w:rPr>
              <w:t>107</w:t>
            </w:r>
            <w:r w:rsidR="00C63493" w:rsidRPr="0053420F">
              <w:rPr>
                <w:sz w:val="20"/>
                <w:szCs w:val="20"/>
              </w:rPr>
              <w:t xml:space="preserve"> R0.doc </w:t>
            </w:r>
          </w:p>
        </w:tc>
        <w:tc>
          <w:tcPr>
            <w:tcW w:w="1598" w:type="pct"/>
            <w:tcBorders>
              <w:top w:val="nil"/>
              <w:left w:val="nil"/>
              <w:right w:val="nil"/>
            </w:tcBorders>
            <w:shd w:val="clear" w:color="auto" w:fill="F2F2F2" w:themeFill="background1" w:themeFillShade="F2"/>
            <w:tcMar>
              <w:top w:w="0" w:type="dxa"/>
              <w:left w:w="108" w:type="dxa"/>
              <w:bottom w:w="0" w:type="dxa"/>
              <w:right w:w="108" w:type="dxa"/>
            </w:tcMar>
          </w:tcPr>
          <w:p w:rsidR="00C63493" w:rsidRPr="0053420F" w:rsidRDefault="009F3265">
            <w:pPr>
              <w:rPr>
                <w:sz w:val="20"/>
                <w:szCs w:val="20"/>
              </w:rPr>
            </w:pPr>
            <w:r w:rsidRPr="0053420F">
              <w:rPr>
                <w:sz w:val="20"/>
                <w:szCs w:val="20"/>
              </w:rPr>
              <w:t xml:space="preserve">Ed </w:t>
            </w:r>
            <w:proofErr w:type="spellStart"/>
            <w:r w:rsidRPr="0053420F">
              <w:rPr>
                <w:sz w:val="20"/>
                <w:szCs w:val="20"/>
              </w:rPr>
              <w:t>Mah</w:t>
            </w:r>
            <w:proofErr w:type="spellEnd"/>
            <w:r w:rsidRPr="0053420F">
              <w:rPr>
                <w:sz w:val="20"/>
                <w:szCs w:val="20"/>
              </w:rPr>
              <w:t>, Jim Wyatt</w:t>
            </w:r>
            <w:r w:rsidR="00C63493" w:rsidRPr="0053420F">
              <w:rPr>
                <w:sz w:val="20"/>
                <w:szCs w:val="20"/>
              </w:rPr>
              <w:t>, PG&amp;E</w:t>
            </w:r>
          </w:p>
        </w:tc>
      </w:tr>
      <w:tr w:rsidR="00384749" w:rsidRPr="0053420F" w:rsidTr="0001613E">
        <w:trPr>
          <w:trHeight w:val="464"/>
        </w:trPr>
        <w:tc>
          <w:tcPr>
            <w:tcW w:w="846" w:type="pct"/>
            <w:tcBorders>
              <w:top w:val="nil"/>
              <w:left w:val="nil"/>
              <w:right w:val="single" w:sz="18" w:space="0" w:color="FFFFFF"/>
            </w:tcBorders>
            <w:shd w:val="clear" w:color="auto" w:fill="BFBFBF"/>
            <w:tcMar>
              <w:top w:w="0" w:type="dxa"/>
              <w:left w:w="108" w:type="dxa"/>
              <w:bottom w:w="0" w:type="dxa"/>
              <w:right w:w="108" w:type="dxa"/>
            </w:tcMar>
          </w:tcPr>
          <w:p w:rsidR="00384749" w:rsidRPr="0053420F" w:rsidRDefault="00384749" w:rsidP="002A08BE">
            <w:pPr>
              <w:rPr>
                <w:sz w:val="20"/>
                <w:szCs w:val="20"/>
              </w:rPr>
            </w:pPr>
            <w:r w:rsidRPr="0053420F">
              <w:rPr>
                <w:sz w:val="20"/>
                <w:szCs w:val="20"/>
              </w:rPr>
              <w:t>Revision 1</w:t>
            </w:r>
          </w:p>
        </w:tc>
        <w:tc>
          <w:tcPr>
            <w:tcW w:w="694" w:type="pct"/>
            <w:tcBorders>
              <w:top w:val="nil"/>
              <w:left w:val="nil"/>
              <w:right w:val="single" w:sz="18" w:space="0" w:color="FFFFFF"/>
            </w:tcBorders>
            <w:shd w:val="clear" w:color="auto" w:fill="BFBFBF"/>
            <w:tcMar>
              <w:top w:w="0" w:type="dxa"/>
              <w:left w:w="108" w:type="dxa"/>
              <w:bottom w:w="0" w:type="dxa"/>
              <w:right w:w="108" w:type="dxa"/>
            </w:tcMar>
          </w:tcPr>
          <w:p w:rsidR="00384749" w:rsidRPr="0053420F" w:rsidRDefault="00384749" w:rsidP="002A08BE">
            <w:pPr>
              <w:rPr>
                <w:sz w:val="20"/>
                <w:szCs w:val="20"/>
              </w:rPr>
            </w:pPr>
            <w:r w:rsidRPr="0053420F">
              <w:rPr>
                <w:sz w:val="20"/>
                <w:szCs w:val="20"/>
              </w:rPr>
              <w:t>06/30/09</w:t>
            </w:r>
          </w:p>
        </w:tc>
        <w:tc>
          <w:tcPr>
            <w:tcW w:w="1862" w:type="pct"/>
            <w:tcBorders>
              <w:top w:val="nil"/>
              <w:left w:val="nil"/>
              <w:right w:val="single" w:sz="18" w:space="0" w:color="FFFFFF"/>
            </w:tcBorders>
            <w:shd w:val="clear" w:color="auto" w:fill="BFBFBF"/>
            <w:tcMar>
              <w:top w:w="0" w:type="dxa"/>
              <w:left w:w="108" w:type="dxa"/>
              <w:bottom w:w="0" w:type="dxa"/>
              <w:right w:w="108" w:type="dxa"/>
            </w:tcMar>
          </w:tcPr>
          <w:p w:rsidR="00384749" w:rsidRPr="0053420F" w:rsidRDefault="00E70CA0" w:rsidP="002A08BE">
            <w:pPr>
              <w:rPr>
                <w:sz w:val="20"/>
                <w:szCs w:val="20"/>
              </w:rPr>
            </w:pPr>
            <w:r w:rsidRPr="0053420F">
              <w:rPr>
                <w:sz w:val="20"/>
                <w:szCs w:val="20"/>
              </w:rPr>
              <w:t>Non-</w:t>
            </w:r>
            <w:r w:rsidR="00384749" w:rsidRPr="0053420F">
              <w:rPr>
                <w:sz w:val="20"/>
                <w:szCs w:val="20"/>
              </w:rPr>
              <w:t xml:space="preserve">Residential Upstream Screw-In CFL PGECOLTG111 R1.doc </w:t>
            </w:r>
          </w:p>
        </w:tc>
        <w:tc>
          <w:tcPr>
            <w:tcW w:w="1598" w:type="pct"/>
            <w:tcBorders>
              <w:top w:val="nil"/>
              <w:left w:val="nil"/>
              <w:right w:val="nil"/>
            </w:tcBorders>
            <w:shd w:val="clear" w:color="auto" w:fill="BFBFBF"/>
            <w:tcMar>
              <w:top w:w="0" w:type="dxa"/>
              <w:left w:w="108" w:type="dxa"/>
              <w:bottom w:w="0" w:type="dxa"/>
              <w:right w:w="108" w:type="dxa"/>
            </w:tcMar>
          </w:tcPr>
          <w:p w:rsidR="00384749" w:rsidRPr="0053420F" w:rsidRDefault="00384749" w:rsidP="002A08BE">
            <w:pPr>
              <w:rPr>
                <w:sz w:val="20"/>
                <w:szCs w:val="20"/>
              </w:rPr>
            </w:pPr>
            <w:r w:rsidRPr="0053420F">
              <w:rPr>
                <w:sz w:val="20"/>
                <w:szCs w:val="20"/>
              </w:rPr>
              <w:t xml:space="preserve">Jenny </w:t>
            </w:r>
            <w:proofErr w:type="spellStart"/>
            <w:r w:rsidRPr="0053420F">
              <w:rPr>
                <w:sz w:val="20"/>
                <w:szCs w:val="20"/>
              </w:rPr>
              <w:t>Roecks</w:t>
            </w:r>
            <w:proofErr w:type="spellEnd"/>
          </w:p>
        </w:tc>
      </w:tr>
      <w:tr w:rsidR="00290912" w:rsidRPr="0053420F" w:rsidTr="0053420F">
        <w:trPr>
          <w:trHeight w:val="464"/>
        </w:trPr>
        <w:tc>
          <w:tcPr>
            <w:tcW w:w="846" w:type="pct"/>
            <w:tcBorders>
              <w:top w:val="nil"/>
              <w:left w:val="nil"/>
              <w:right w:val="single" w:sz="18" w:space="0" w:color="FFFFFF"/>
            </w:tcBorders>
            <w:shd w:val="clear" w:color="auto" w:fill="F2F2F2" w:themeFill="background1" w:themeFillShade="F2"/>
            <w:tcMar>
              <w:top w:w="0" w:type="dxa"/>
              <w:left w:w="108" w:type="dxa"/>
              <w:bottom w:w="0" w:type="dxa"/>
              <w:right w:w="108" w:type="dxa"/>
            </w:tcMar>
          </w:tcPr>
          <w:p w:rsidR="00290912" w:rsidRPr="0053420F" w:rsidRDefault="00384749" w:rsidP="00E235E9">
            <w:pPr>
              <w:rPr>
                <w:sz w:val="20"/>
                <w:szCs w:val="20"/>
              </w:rPr>
            </w:pPr>
            <w:r w:rsidRPr="0053420F">
              <w:rPr>
                <w:sz w:val="20"/>
                <w:szCs w:val="20"/>
              </w:rPr>
              <w:t>Revision 2</w:t>
            </w:r>
          </w:p>
        </w:tc>
        <w:tc>
          <w:tcPr>
            <w:tcW w:w="694" w:type="pct"/>
            <w:tcBorders>
              <w:top w:val="nil"/>
              <w:left w:val="nil"/>
              <w:right w:val="single" w:sz="18" w:space="0" w:color="FFFFFF"/>
            </w:tcBorders>
            <w:shd w:val="clear" w:color="auto" w:fill="F2F2F2" w:themeFill="background1" w:themeFillShade="F2"/>
            <w:tcMar>
              <w:top w:w="0" w:type="dxa"/>
              <w:left w:w="108" w:type="dxa"/>
              <w:bottom w:w="0" w:type="dxa"/>
              <w:right w:w="108" w:type="dxa"/>
            </w:tcMar>
          </w:tcPr>
          <w:p w:rsidR="00290912" w:rsidRPr="0053420F" w:rsidRDefault="00384749" w:rsidP="00E235E9">
            <w:pPr>
              <w:rPr>
                <w:sz w:val="20"/>
                <w:szCs w:val="20"/>
              </w:rPr>
            </w:pPr>
            <w:r w:rsidRPr="0053420F">
              <w:rPr>
                <w:sz w:val="20"/>
                <w:szCs w:val="20"/>
              </w:rPr>
              <w:t>1/14/10</w:t>
            </w:r>
          </w:p>
        </w:tc>
        <w:tc>
          <w:tcPr>
            <w:tcW w:w="1862" w:type="pct"/>
            <w:tcBorders>
              <w:top w:val="nil"/>
              <w:left w:val="nil"/>
              <w:right w:val="single" w:sz="18" w:space="0" w:color="FFFFFF"/>
            </w:tcBorders>
            <w:shd w:val="clear" w:color="auto" w:fill="F2F2F2" w:themeFill="background1" w:themeFillShade="F2"/>
            <w:tcMar>
              <w:top w:w="0" w:type="dxa"/>
              <w:left w:w="108" w:type="dxa"/>
              <w:bottom w:w="0" w:type="dxa"/>
              <w:right w:w="108" w:type="dxa"/>
            </w:tcMar>
          </w:tcPr>
          <w:p w:rsidR="00290912" w:rsidRPr="0053420F" w:rsidRDefault="00E70CA0" w:rsidP="00E235E9">
            <w:pPr>
              <w:rPr>
                <w:sz w:val="20"/>
                <w:szCs w:val="20"/>
              </w:rPr>
            </w:pPr>
            <w:r w:rsidRPr="0053420F">
              <w:rPr>
                <w:sz w:val="20"/>
                <w:szCs w:val="20"/>
              </w:rPr>
              <w:t>Non-</w:t>
            </w:r>
            <w:r w:rsidR="00290912" w:rsidRPr="0053420F">
              <w:rPr>
                <w:sz w:val="20"/>
                <w:szCs w:val="20"/>
              </w:rPr>
              <w:t>Residential Upstream Screw-In CFL PGECOLTG1</w:t>
            </w:r>
            <w:r w:rsidR="00974216" w:rsidRPr="0053420F">
              <w:rPr>
                <w:sz w:val="20"/>
                <w:szCs w:val="20"/>
              </w:rPr>
              <w:t>11</w:t>
            </w:r>
            <w:r w:rsidR="00290912" w:rsidRPr="0053420F">
              <w:rPr>
                <w:sz w:val="20"/>
                <w:szCs w:val="20"/>
              </w:rPr>
              <w:t xml:space="preserve"> R</w:t>
            </w:r>
            <w:r w:rsidR="00384749" w:rsidRPr="0053420F">
              <w:rPr>
                <w:sz w:val="20"/>
                <w:szCs w:val="20"/>
              </w:rPr>
              <w:t>2_v1</w:t>
            </w:r>
            <w:r w:rsidR="00290912" w:rsidRPr="0053420F">
              <w:rPr>
                <w:sz w:val="20"/>
                <w:szCs w:val="20"/>
              </w:rPr>
              <w:t xml:space="preserve">.doc </w:t>
            </w:r>
          </w:p>
        </w:tc>
        <w:tc>
          <w:tcPr>
            <w:tcW w:w="1598" w:type="pct"/>
            <w:tcBorders>
              <w:top w:val="nil"/>
              <w:left w:val="nil"/>
              <w:right w:val="nil"/>
            </w:tcBorders>
            <w:shd w:val="clear" w:color="auto" w:fill="F2F2F2" w:themeFill="background1" w:themeFillShade="F2"/>
            <w:tcMar>
              <w:top w:w="0" w:type="dxa"/>
              <w:left w:w="108" w:type="dxa"/>
              <w:bottom w:w="0" w:type="dxa"/>
              <w:right w:w="108" w:type="dxa"/>
            </w:tcMar>
          </w:tcPr>
          <w:p w:rsidR="00290912" w:rsidRPr="0053420F" w:rsidRDefault="00290912" w:rsidP="00E235E9">
            <w:pPr>
              <w:rPr>
                <w:sz w:val="20"/>
                <w:szCs w:val="20"/>
              </w:rPr>
            </w:pPr>
            <w:r w:rsidRPr="0053420F">
              <w:rPr>
                <w:sz w:val="20"/>
                <w:szCs w:val="20"/>
              </w:rPr>
              <w:t xml:space="preserve">Jenny </w:t>
            </w:r>
            <w:proofErr w:type="spellStart"/>
            <w:r w:rsidRPr="0053420F">
              <w:rPr>
                <w:sz w:val="20"/>
                <w:szCs w:val="20"/>
              </w:rPr>
              <w:t>Roecks</w:t>
            </w:r>
            <w:proofErr w:type="spellEnd"/>
          </w:p>
        </w:tc>
      </w:tr>
      <w:tr w:rsidR="00446765" w:rsidRPr="0053420F" w:rsidTr="0001613E">
        <w:trPr>
          <w:trHeight w:val="464"/>
        </w:trPr>
        <w:tc>
          <w:tcPr>
            <w:tcW w:w="846" w:type="pct"/>
            <w:tcBorders>
              <w:top w:val="nil"/>
              <w:left w:val="nil"/>
              <w:right w:val="single" w:sz="18" w:space="0" w:color="FFFFFF"/>
            </w:tcBorders>
            <w:shd w:val="clear" w:color="auto" w:fill="BFBFBF"/>
            <w:tcMar>
              <w:top w:w="0" w:type="dxa"/>
              <w:left w:w="108" w:type="dxa"/>
              <w:bottom w:w="0" w:type="dxa"/>
              <w:right w:w="108" w:type="dxa"/>
            </w:tcMar>
          </w:tcPr>
          <w:p w:rsidR="00446765" w:rsidRPr="0053420F" w:rsidRDefault="00446765" w:rsidP="0079458A">
            <w:pPr>
              <w:rPr>
                <w:sz w:val="20"/>
                <w:szCs w:val="20"/>
              </w:rPr>
            </w:pPr>
            <w:r w:rsidRPr="0053420F">
              <w:rPr>
                <w:sz w:val="20"/>
                <w:szCs w:val="20"/>
              </w:rPr>
              <w:t>Revision 3</w:t>
            </w:r>
          </w:p>
        </w:tc>
        <w:tc>
          <w:tcPr>
            <w:tcW w:w="694" w:type="pct"/>
            <w:tcBorders>
              <w:top w:val="nil"/>
              <w:left w:val="nil"/>
              <w:right w:val="single" w:sz="18" w:space="0" w:color="FFFFFF"/>
            </w:tcBorders>
            <w:shd w:val="clear" w:color="auto" w:fill="BFBFBF"/>
            <w:tcMar>
              <w:top w:w="0" w:type="dxa"/>
              <w:left w:w="108" w:type="dxa"/>
              <w:bottom w:w="0" w:type="dxa"/>
              <w:right w:w="108" w:type="dxa"/>
            </w:tcMar>
          </w:tcPr>
          <w:p w:rsidR="00446765" w:rsidRPr="0053420F" w:rsidRDefault="00E70CA0" w:rsidP="0079458A">
            <w:pPr>
              <w:rPr>
                <w:sz w:val="20"/>
                <w:szCs w:val="20"/>
              </w:rPr>
            </w:pPr>
            <w:r w:rsidRPr="0053420F">
              <w:rPr>
                <w:sz w:val="20"/>
                <w:szCs w:val="20"/>
              </w:rPr>
              <w:t>03/15/11</w:t>
            </w:r>
          </w:p>
        </w:tc>
        <w:tc>
          <w:tcPr>
            <w:tcW w:w="1862" w:type="pct"/>
            <w:tcBorders>
              <w:top w:val="nil"/>
              <w:left w:val="nil"/>
              <w:right w:val="single" w:sz="18" w:space="0" w:color="FFFFFF"/>
            </w:tcBorders>
            <w:shd w:val="clear" w:color="auto" w:fill="BFBFBF"/>
            <w:tcMar>
              <w:top w:w="0" w:type="dxa"/>
              <w:left w:w="108" w:type="dxa"/>
              <w:bottom w:w="0" w:type="dxa"/>
              <w:right w:w="108" w:type="dxa"/>
            </w:tcMar>
          </w:tcPr>
          <w:p w:rsidR="00446765" w:rsidRPr="0053420F" w:rsidRDefault="00E70CA0" w:rsidP="0079458A">
            <w:pPr>
              <w:rPr>
                <w:sz w:val="20"/>
                <w:szCs w:val="20"/>
              </w:rPr>
            </w:pPr>
            <w:r w:rsidRPr="0053420F">
              <w:rPr>
                <w:sz w:val="20"/>
                <w:szCs w:val="20"/>
              </w:rPr>
              <w:t>Non-</w:t>
            </w:r>
            <w:r w:rsidR="00446765" w:rsidRPr="0053420F">
              <w:rPr>
                <w:sz w:val="20"/>
                <w:szCs w:val="20"/>
              </w:rPr>
              <w:t>Residential Upstream Screw-In CFL</w:t>
            </w:r>
            <w:r w:rsidR="00446765" w:rsidRPr="0053420F">
              <w:rPr>
                <w:sz w:val="20"/>
                <w:szCs w:val="20"/>
              </w:rPr>
              <w:fldChar w:fldCharType="begin"/>
            </w:r>
            <w:r w:rsidR="00446765" w:rsidRPr="0053420F">
              <w:rPr>
                <w:sz w:val="20"/>
                <w:szCs w:val="20"/>
              </w:rPr>
              <w:instrText xml:space="preserve"> XE "CFL" </w:instrText>
            </w:r>
            <w:r w:rsidR="00446765" w:rsidRPr="0053420F">
              <w:rPr>
                <w:sz w:val="20"/>
                <w:szCs w:val="20"/>
              </w:rPr>
              <w:fldChar w:fldCharType="end"/>
            </w:r>
            <w:r w:rsidRPr="0053420F">
              <w:rPr>
                <w:sz w:val="20"/>
                <w:szCs w:val="20"/>
              </w:rPr>
              <w:t xml:space="preserve"> PGECOLTG107 R3</w:t>
            </w:r>
            <w:r w:rsidR="00446765" w:rsidRPr="0053420F">
              <w:rPr>
                <w:sz w:val="20"/>
                <w:szCs w:val="20"/>
              </w:rPr>
              <w:t xml:space="preserve">.doc </w:t>
            </w:r>
          </w:p>
        </w:tc>
        <w:tc>
          <w:tcPr>
            <w:tcW w:w="1598" w:type="pct"/>
            <w:tcBorders>
              <w:top w:val="nil"/>
              <w:left w:val="nil"/>
              <w:right w:val="nil"/>
            </w:tcBorders>
            <w:shd w:val="clear" w:color="auto" w:fill="BFBFBF"/>
            <w:tcMar>
              <w:top w:w="0" w:type="dxa"/>
              <w:left w:w="108" w:type="dxa"/>
              <w:bottom w:w="0" w:type="dxa"/>
              <w:right w:w="108" w:type="dxa"/>
            </w:tcMar>
          </w:tcPr>
          <w:p w:rsidR="00446765" w:rsidRPr="0053420F" w:rsidRDefault="000802F0" w:rsidP="0079458A">
            <w:pPr>
              <w:rPr>
                <w:sz w:val="20"/>
                <w:szCs w:val="20"/>
              </w:rPr>
            </w:pPr>
            <w:r w:rsidRPr="0053420F">
              <w:rPr>
                <w:sz w:val="20"/>
                <w:szCs w:val="20"/>
              </w:rPr>
              <w:t xml:space="preserve">Jenny </w:t>
            </w:r>
            <w:proofErr w:type="spellStart"/>
            <w:r w:rsidRPr="0053420F">
              <w:rPr>
                <w:sz w:val="20"/>
                <w:szCs w:val="20"/>
              </w:rPr>
              <w:t>Roecks</w:t>
            </w:r>
            <w:proofErr w:type="spellEnd"/>
            <w:r w:rsidRPr="0053420F">
              <w:rPr>
                <w:sz w:val="20"/>
                <w:szCs w:val="20"/>
              </w:rPr>
              <w:t>/</w:t>
            </w:r>
            <w:r w:rsidR="00446765" w:rsidRPr="0053420F">
              <w:rPr>
                <w:sz w:val="20"/>
                <w:szCs w:val="20"/>
              </w:rPr>
              <w:t xml:space="preserve">Alina </w:t>
            </w:r>
            <w:proofErr w:type="spellStart"/>
            <w:r w:rsidR="00446765" w:rsidRPr="0053420F">
              <w:rPr>
                <w:sz w:val="20"/>
                <w:szCs w:val="20"/>
              </w:rPr>
              <w:t>Zohrabian</w:t>
            </w:r>
            <w:proofErr w:type="spellEnd"/>
          </w:p>
        </w:tc>
      </w:tr>
      <w:tr w:rsidR="0035486B" w:rsidRPr="0053420F" w:rsidTr="0053420F">
        <w:trPr>
          <w:trHeight w:val="464"/>
        </w:trPr>
        <w:tc>
          <w:tcPr>
            <w:tcW w:w="846" w:type="pct"/>
            <w:tcBorders>
              <w:top w:val="nil"/>
              <w:left w:val="nil"/>
              <w:bottom w:val="nil"/>
              <w:right w:val="single" w:sz="18" w:space="0" w:color="FFFFFF"/>
            </w:tcBorders>
            <w:shd w:val="clear" w:color="auto" w:fill="F2F2F2" w:themeFill="background1" w:themeFillShade="F2"/>
            <w:tcMar>
              <w:top w:w="0" w:type="dxa"/>
              <w:left w:w="108" w:type="dxa"/>
              <w:bottom w:w="0" w:type="dxa"/>
              <w:right w:w="108" w:type="dxa"/>
            </w:tcMar>
          </w:tcPr>
          <w:p w:rsidR="0035486B" w:rsidRPr="0053420F" w:rsidRDefault="0035486B" w:rsidP="00AB0FF2">
            <w:pPr>
              <w:rPr>
                <w:sz w:val="20"/>
                <w:szCs w:val="20"/>
              </w:rPr>
            </w:pPr>
            <w:r w:rsidRPr="0053420F">
              <w:rPr>
                <w:sz w:val="20"/>
                <w:szCs w:val="20"/>
              </w:rPr>
              <w:t>Revision 4</w:t>
            </w:r>
          </w:p>
        </w:tc>
        <w:tc>
          <w:tcPr>
            <w:tcW w:w="694" w:type="pct"/>
            <w:tcBorders>
              <w:top w:val="nil"/>
              <w:left w:val="nil"/>
              <w:bottom w:val="nil"/>
              <w:right w:val="single" w:sz="18" w:space="0" w:color="FFFFFF"/>
            </w:tcBorders>
            <w:shd w:val="clear" w:color="auto" w:fill="F2F2F2" w:themeFill="background1" w:themeFillShade="F2"/>
            <w:tcMar>
              <w:top w:w="0" w:type="dxa"/>
              <w:left w:w="108" w:type="dxa"/>
              <w:bottom w:w="0" w:type="dxa"/>
              <w:right w:w="108" w:type="dxa"/>
            </w:tcMar>
          </w:tcPr>
          <w:p w:rsidR="0035486B" w:rsidRPr="0053420F" w:rsidRDefault="0035486B" w:rsidP="00AB0FF2">
            <w:pPr>
              <w:rPr>
                <w:sz w:val="20"/>
                <w:szCs w:val="20"/>
              </w:rPr>
            </w:pPr>
            <w:r w:rsidRPr="0053420F">
              <w:rPr>
                <w:sz w:val="20"/>
                <w:szCs w:val="20"/>
              </w:rPr>
              <w:t>6/30/11</w:t>
            </w:r>
          </w:p>
        </w:tc>
        <w:tc>
          <w:tcPr>
            <w:tcW w:w="1862" w:type="pct"/>
            <w:tcBorders>
              <w:top w:val="nil"/>
              <w:left w:val="nil"/>
              <w:bottom w:val="nil"/>
              <w:right w:val="single" w:sz="18" w:space="0" w:color="FFFFFF"/>
            </w:tcBorders>
            <w:shd w:val="clear" w:color="auto" w:fill="F2F2F2" w:themeFill="background1" w:themeFillShade="F2"/>
            <w:tcMar>
              <w:top w:w="0" w:type="dxa"/>
              <w:left w:w="108" w:type="dxa"/>
              <w:bottom w:w="0" w:type="dxa"/>
              <w:right w:w="108" w:type="dxa"/>
            </w:tcMar>
          </w:tcPr>
          <w:p w:rsidR="0035486B" w:rsidRPr="0053420F" w:rsidRDefault="0035486B" w:rsidP="00AB0FF2">
            <w:pPr>
              <w:rPr>
                <w:sz w:val="20"/>
                <w:szCs w:val="20"/>
              </w:rPr>
            </w:pPr>
            <w:r w:rsidRPr="0053420F">
              <w:rPr>
                <w:sz w:val="20"/>
                <w:szCs w:val="20"/>
              </w:rPr>
              <w:t xml:space="preserve">Non-Residential Upstream Screw-In CFL PGECOLTG111 R4.doc </w:t>
            </w:r>
          </w:p>
        </w:tc>
        <w:tc>
          <w:tcPr>
            <w:tcW w:w="1598" w:type="pct"/>
            <w:tcBorders>
              <w:top w:val="nil"/>
              <w:left w:val="nil"/>
              <w:bottom w:val="nil"/>
              <w:right w:val="nil"/>
            </w:tcBorders>
            <w:shd w:val="clear" w:color="auto" w:fill="F2F2F2" w:themeFill="background1" w:themeFillShade="F2"/>
            <w:tcMar>
              <w:top w:w="0" w:type="dxa"/>
              <w:left w:w="108" w:type="dxa"/>
              <w:bottom w:w="0" w:type="dxa"/>
              <w:right w:w="108" w:type="dxa"/>
            </w:tcMar>
          </w:tcPr>
          <w:p w:rsidR="0035486B" w:rsidRPr="0053420F" w:rsidRDefault="0035486B" w:rsidP="00AB0FF2">
            <w:pPr>
              <w:rPr>
                <w:sz w:val="20"/>
                <w:szCs w:val="20"/>
              </w:rPr>
            </w:pPr>
            <w:r w:rsidRPr="0053420F">
              <w:rPr>
                <w:sz w:val="20"/>
                <w:szCs w:val="20"/>
              </w:rPr>
              <w:t xml:space="preserve">Jenny </w:t>
            </w:r>
            <w:proofErr w:type="spellStart"/>
            <w:r w:rsidRPr="0053420F">
              <w:rPr>
                <w:sz w:val="20"/>
                <w:szCs w:val="20"/>
              </w:rPr>
              <w:t>Roecks</w:t>
            </w:r>
            <w:proofErr w:type="spellEnd"/>
            <w:r w:rsidRPr="0053420F">
              <w:rPr>
                <w:sz w:val="20"/>
                <w:szCs w:val="20"/>
              </w:rPr>
              <w:t xml:space="preserve"> and Alina </w:t>
            </w:r>
            <w:proofErr w:type="spellStart"/>
            <w:r w:rsidRPr="0053420F">
              <w:rPr>
                <w:sz w:val="20"/>
                <w:szCs w:val="20"/>
              </w:rPr>
              <w:t>Zohrabian</w:t>
            </w:r>
            <w:proofErr w:type="spellEnd"/>
          </w:p>
        </w:tc>
      </w:tr>
      <w:tr w:rsidR="001336CA" w:rsidRPr="0053420F" w:rsidTr="0001613E">
        <w:trPr>
          <w:trHeight w:val="464"/>
        </w:trPr>
        <w:tc>
          <w:tcPr>
            <w:tcW w:w="846" w:type="pct"/>
            <w:tcBorders>
              <w:top w:val="nil"/>
              <w:left w:val="nil"/>
              <w:bottom w:val="nil"/>
              <w:right w:val="single" w:sz="18" w:space="0" w:color="FFFFFF"/>
            </w:tcBorders>
            <w:shd w:val="clear" w:color="auto" w:fill="BFBFBF"/>
            <w:tcMar>
              <w:top w:w="0" w:type="dxa"/>
              <w:left w:w="108" w:type="dxa"/>
              <w:bottom w:w="0" w:type="dxa"/>
              <w:right w:w="108" w:type="dxa"/>
            </w:tcMar>
          </w:tcPr>
          <w:p w:rsidR="001336CA" w:rsidRPr="0053420F" w:rsidRDefault="001336CA" w:rsidP="007A4E6A">
            <w:pPr>
              <w:rPr>
                <w:sz w:val="20"/>
                <w:szCs w:val="20"/>
              </w:rPr>
            </w:pPr>
            <w:r w:rsidRPr="0053420F">
              <w:rPr>
                <w:sz w:val="20"/>
                <w:szCs w:val="20"/>
              </w:rPr>
              <w:t>Revision 5</w:t>
            </w:r>
          </w:p>
        </w:tc>
        <w:tc>
          <w:tcPr>
            <w:tcW w:w="694" w:type="pct"/>
            <w:tcBorders>
              <w:top w:val="nil"/>
              <w:left w:val="nil"/>
              <w:bottom w:val="nil"/>
              <w:right w:val="single" w:sz="18" w:space="0" w:color="FFFFFF"/>
            </w:tcBorders>
            <w:shd w:val="clear" w:color="auto" w:fill="BFBFBF"/>
            <w:tcMar>
              <w:top w:w="0" w:type="dxa"/>
              <w:left w:w="108" w:type="dxa"/>
              <w:bottom w:w="0" w:type="dxa"/>
              <w:right w:w="108" w:type="dxa"/>
            </w:tcMar>
          </w:tcPr>
          <w:p w:rsidR="001336CA" w:rsidRPr="0053420F" w:rsidRDefault="001336CA" w:rsidP="007A4E6A">
            <w:pPr>
              <w:rPr>
                <w:sz w:val="20"/>
                <w:szCs w:val="20"/>
              </w:rPr>
            </w:pPr>
            <w:r w:rsidRPr="0053420F">
              <w:rPr>
                <w:sz w:val="20"/>
                <w:szCs w:val="20"/>
              </w:rPr>
              <w:t>8/9/11</w:t>
            </w:r>
          </w:p>
        </w:tc>
        <w:tc>
          <w:tcPr>
            <w:tcW w:w="1862" w:type="pct"/>
            <w:tcBorders>
              <w:top w:val="nil"/>
              <w:left w:val="nil"/>
              <w:bottom w:val="nil"/>
              <w:right w:val="single" w:sz="18" w:space="0" w:color="FFFFFF"/>
            </w:tcBorders>
            <w:shd w:val="clear" w:color="auto" w:fill="BFBFBF"/>
            <w:tcMar>
              <w:top w:w="0" w:type="dxa"/>
              <w:left w:w="108" w:type="dxa"/>
              <w:bottom w:w="0" w:type="dxa"/>
              <w:right w:w="108" w:type="dxa"/>
            </w:tcMar>
          </w:tcPr>
          <w:p w:rsidR="001336CA" w:rsidRPr="0053420F" w:rsidRDefault="001336CA" w:rsidP="007A4E6A">
            <w:pPr>
              <w:rPr>
                <w:sz w:val="20"/>
                <w:szCs w:val="20"/>
              </w:rPr>
            </w:pPr>
            <w:r w:rsidRPr="0053420F">
              <w:rPr>
                <w:sz w:val="20"/>
                <w:szCs w:val="20"/>
              </w:rPr>
              <w:t xml:space="preserve">Non-Residential Upstream Screw-In CFL PGECOLTG111 R5.doc </w:t>
            </w:r>
          </w:p>
        </w:tc>
        <w:tc>
          <w:tcPr>
            <w:tcW w:w="1598" w:type="pct"/>
            <w:tcBorders>
              <w:top w:val="nil"/>
              <w:left w:val="nil"/>
              <w:bottom w:val="nil"/>
              <w:right w:val="nil"/>
            </w:tcBorders>
            <w:shd w:val="clear" w:color="auto" w:fill="BFBFBF"/>
            <w:tcMar>
              <w:top w:w="0" w:type="dxa"/>
              <w:left w:w="108" w:type="dxa"/>
              <w:bottom w:w="0" w:type="dxa"/>
              <w:right w:w="108" w:type="dxa"/>
            </w:tcMar>
          </w:tcPr>
          <w:p w:rsidR="001336CA" w:rsidRPr="0053420F" w:rsidRDefault="001336CA" w:rsidP="007A4E6A">
            <w:pPr>
              <w:rPr>
                <w:sz w:val="20"/>
                <w:szCs w:val="20"/>
              </w:rPr>
            </w:pPr>
            <w:r w:rsidRPr="0053420F">
              <w:rPr>
                <w:sz w:val="20"/>
                <w:szCs w:val="20"/>
              </w:rPr>
              <w:t xml:space="preserve">Jenny </w:t>
            </w:r>
            <w:proofErr w:type="spellStart"/>
            <w:r w:rsidRPr="0053420F">
              <w:rPr>
                <w:sz w:val="20"/>
                <w:szCs w:val="20"/>
              </w:rPr>
              <w:t>Roecks</w:t>
            </w:r>
            <w:proofErr w:type="spellEnd"/>
            <w:r w:rsidRPr="0053420F">
              <w:rPr>
                <w:sz w:val="20"/>
                <w:szCs w:val="20"/>
              </w:rPr>
              <w:t xml:space="preserve"> and Alina </w:t>
            </w:r>
            <w:proofErr w:type="spellStart"/>
            <w:r w:rsidRPr="0053420F">
              <w:rPr>
                <w:sz w:val="20"/>
                <w:szCs w:val="20"/>
              </w:rPr>
              <w:t>Zohrabian</w:t>
            </w:r>
            <w:proofErr w:type="spellEnd"/>
          </w:p>
        </w:tc>
      </w:tr>
      <w:tr w:rsidR="001336CA" w:rsidRPr="0053420F" w:rsidTr="0053420F">
        <w:trPr>
          <w:trHeight w:val="464"/>
        </w:trPr>
        <w:tc>
          <w:tcPr>
            <w:tcW w:w="846" w:type="pct"/>
            <w:tcBorders>
              <w:top w:val="nil"/>
              <w:left w:val="nil"/>
              <w:bottom w:val="nil"/>
              <w:right w:val="single" w:sz="18" w:space="0" w:color="FFFFFF"/>
            </w:tcBorders>
            <w:shd w:val="clear" w:color="auto" w:fill="F2F2F2" w:themeFill="background1" w:themeFillShade="F2"/>
            <w:tcMar>
              <w:top w:w="0" w:type="dxa"/>
              <w:left w:w="108" w:type="dxa"/>
              <w:bottom w:w="0" w:type="dxa"/>
              <w:right w:w="108" w:type="dxa"/>
            </w:tcMar>
          </w:tcPr>
          <w:p w:rsidR="001336CA" w:rsidRPr="0053420F" w:rsidRDefault="001336CA" w:rsidP="007A4E6A">
            <w:pPr>
              <w:rPr>
                <w:sz w:val="20"/>
                <w:szCs w:val="20"/>
              </w:rPr>
            </w:pPr>
            <w:r w:rsidRPr="0053420F">
              <w:rPr>
                <w:sz w:val="20"/>
                <w:szCs w:val="20"/>
              </w:rPr>
              <w:t>Revision 6</w:t>
            </w:r>
          </w:p>
        </w:tc>
        <w:tc>
          <w:tcPr>
            <w:tcW w:w="694" w:type="pct"/>
            <w:tcBorders>
              <w:top w:val="nil"/>
              <w:left w:val="nil"/>
              <w:bottom w:val="nil"/>
              <w:right w:val="single" w:sz="18" w:space="0" w:color="FFFFFF"/>
            </w:tcBorders>
            <w:shd w:val="clear" w:color="auto" w:fill="F2F2F2" w:themeFill="background1" w:themeFillShade="F2"/>
            <w:tcMar>
              <w:top w:w="0" w:type="dxa"/>
              <w:left w:w="108" w:type="dxa"/>
              <w:bottom w:w="0" w:type="dxa"/>
              <w:right w:w="108" w:type="dxa"/>
            </w:tcMar>
          </w:tcPr>
          <w:p w:rsidR="001336CA" w:rsidRPr="0053420F" w:rsidRDefault="001336CA" w:rsidP="001336CA">
            <w:pPr>
              <w:rPr>
                <w:sz w:val="20"/>
                <w:szCs w:val="20"/>
              </w:rPr>
            </w:pPr>
            <w:r w:rsidRPr="0053420F">
              <w:rPr>
                <w:sz w:val="20"/>
                <w:szCs w:val="20"/>
              </w:rPr>
              <w:t>5/25/12</w:t>
            </w:r>
          </w:p>
        </w:tc>
        <w:tc>
          <w:tcPr>
            <w:tcW w:w="1862" w:type="pct"/>
            <w:tcBorders>
              <w:top w:val="nil"/>
              <w:left w:val="nil"/>
              <w:bottom w:val="nil"/>
              <w:right w:val="single" w:sz="18" w:space="0" w:color="FFFFFF"/>
            </w:tcBorders>
            <w:shd w:val="clear" w:color="auto" w:fill="F2F2F2" w:themeFill="background1" w:themeFillShade="F2"/>
            <w:tcMar>
              <w:top w:w="0" w:type="dxa"/>
              <w:left w:w="108" w:type="dxa"/>
              <w:bottom w:w="0" w:type="dxa"/>
              <w:right w:w="108" w:type="dxa"/>
            </w:tcMar>
          </w:tcPr>
          <w:p w:rsidR="001336CA" w:rsidRPr="0053420F" w:rsidRDefault="001336CA" w:rsidP="007A4E6A">
            <w:pPr>
              <w:rPr>
                <w:sz w:val="20"/>
                <w:szCs w:val="20"/>
              </w:rPr>
            </w:pPr>
            <w:r w:rsidRPr="0053420F">
              <w:rPr>
                <w:sz w:val="20"/>
                <w:szCs w:val="20"/>
              </w:rPr>
              <w:t>Non-Residential Upstream Screw-In CFL</w:t>
            </w:r>
            <w:r w:rsidRPr="0053420F">
              <w:rPr>
                <w:sz w:val="20"/>
                <w:szCs w:val="20"/>
              </w:rPr>
              <w:fldChar w:fldCharType="begin"/>
            </w:r>
            <w:r w:rsidRPr="0053420F">
              <w:rPr>
                <w:sz w:val="20"/>
                <w:szCs w:val="20"/>
              </w:rPr>
              <w:instrText xml:space="preserve"> XE "CFL" </w:instrText>
            </w:r>
            <w:r w:rsidRPr="0053420F">
              <w:rPr>
                <w:sz w:val="20"/>
                <w:szCs w:val="20"/>
              </w:rPr>
              <w:fldChar w:fldCharType="end"/>
            </w:r>
            <w:r w:rsidRPr="0053420F">
              <w:rPr>
                <w:sz w:val="20"/>
                <w:szCs w:val="20"/>
              </w:rPr>
              <w:t xml:space="preserve"> PGECOLTG111 R6.doc </w:t>
            </w:r>
          </w:p>
          <w:p w:rsidR="001336CA" w:rsidRPr="0053420F" w:rsidRDefault="001336CA" w:rsidP="007A4E6A">
            <w:pPr>
              <w:rPr>
                <w:sz w:val="20"/>
                <w:szCs w:val="20"/>
              </w:rPr>
            </w:pPr>
            <w:r w:rsidRPr="0053420F">
              <w:rPr>
                <w:sz w:val="20"/>
                <w:szCs w:val="20"/>
              </w:rPr>
              <w:t>This version includes all the new DEER 2011 values.</w:t>
            </w:r>
          </w:p>
          <w:p w:rsidR="001336CA" w:rsidRPr="0053420F" w:rsidRDefault="001336CA" w:rsidP="007A4E6A">
            <w:pPr>
              <w:rPr>
                <w:sz w:val="20"/>
                <w:szCs w:val="20"/>
              </w:rPr>
            </w:pPr>
            <w:r w:rsidRPr="0053420F">
              <w:rPr>
                <w:sz w:val="20"/>
                <w:szCs w:val="20"/>
              </w:rPr>
              <w:t>NTG, ISR, EUL, WRR, HOU, IE</w:t>
            </w:r>
          </w:p>
        </w:tc>
        <w:tc>
          <w:tcPr>
            <w:tcW w:w="1598" w:type="pct"/>
            <w:tcBorders>
              <w:top w:val="nil"/>
              <w:left w:val="nil"/>
              <w:bottom w:val="nil"/>
              <w:right w:val="nil"/>
            </w:tcBorders>
            <w:shd w:val="clear" w:color="auto" w:fill="F2F2F2" w:themeFill="background1" w:themeFillShade="F2"/>
            <w:tcMar>
              <w:top w:w="0" w:type="dxa"/>
              <w:left w:w="108" w:type="dxa"/>
              <w:bottom w:w="0" w:type="dxa"/>
              <w:right w:w="108" w:type="dxa"/>
            </w:tcMar>
          </w:tcPr>
          <w:p w:rsidR="001336CA" w:rsidRPr="0053420F" w:rsidRDefault="001336CA" w:rsidP="007A4E6A">
            <w:pPr>
              <w:rPr>
                <w:sz w:val="20"/>
                <w:szCs w:val="20"/>
              </w:rPr>
            </w:pPr>
            <w:r w:rsidRPr="0053420F">
              <w:rPr>
                <w:sz w:val="20"/>
                <w:szCs w:val="20"/>
              </w:rPr>
              <w:t xml:space="preserve">Alina </w:t>
            </w:r>
            <w:r w:rsidR="00FC4DCA" w:rsidRPr="0053420F">
              <w:rPr>
                <w:sz w:val="20"/>
                <w:szCs w:val="20"/>
              </w:rPr>
              <w:t>Zohrabian</w:t>
            </w:r>
          </w:p>
        </w:tc>
      </w:tr>
      <w:tr w:rsidR="008F15C6" w:rsidRPr="0053420F" w:rsidTr="002D1D46">
        <w:trPr>
          <w:trHeight w:val="464"/>
        </w:trPr>
        <w:tc>
          <w:tcPr>
            <w:tcW w:w="846" w:type="pct"/>
            <w:tcBorders>
              <w:top w:val="nil"/>
              <w:left w:val="nil"/>
              <w:bottom w:val="nil"/>
              <w:right w:val="single" w:sz="18" w:space="0" w:color="FFFFFF"/>
            </w:tcBorders>
            <w:shd w:val="clear" w:color="auto" w:fill="BFBFBF"/>
            <w:tcMar>
              <w:top w:w="0" w:type="dxa"/>
              <w:left w:w="108" w:type="dxa"/>
              <w:bottom w:w="0" w:type="dxa"/>
              <w:right w:w="108" w:type="dxa"/>
            </w:tcMar>
          </w:tcPr>
          <w:p w:rsidR="008F15C6" w:rsidRPr="0053420F" w:rsidRDefault="008F15C6" w:rsidP="007A4E6A">
            <w:pPr>
              <w:rPr>
                <w:sz w:val="20"/>
                <w:szCs w:val="20"/>
              </w:rPr>
            </w:pPr>
            <w:r w:rsidRPr="0053420F">
              <w:rPr>
                <w:sz w:val="20"/>
                <w:szCs w:val="20"/>
              </w:rPr>
              <w:t>Revision 6</w:t>
            </w:r>
          </w:p>
        </w:tc>
        <w:tc>
          <w:tcPr>
            <w:tcW w:w="694" w:type="pct"/>
            <w:tcBorders>
              <w:top w:val="nil"/>
              <w:left w:val="nil"/>
              <w:bottom w:val="nil"/>
              <w:right w:val="single" w:sz="18" w:space="0" w:color="FFFFFF"/>
            </w:tcBorders>
            <w:shd w:val="clear" w:color="auto" w:fill="BFBFBF"/>
            <w:tcMar>
              <w:top w:w="0" w:type="dxa"/>
              <w:left w:w="108" w:type="dxa"/>
              <w:bottom w:w="0" w:type="dxa"/>
              <w:right w:w="108" w:type="dxa"/>
            </w:tcMar>
          </w:tcPr>
          <w:p w:rsidR="008F15C6" w:rsidRPr="0053420F" w:rsidRDefault="008F15C6" w:rsidP="001336CA">
            <w:pPr>
              <w:rPr>
                <w:sz w:val="20"/>
                <w:szCs w:val="20"/>
              </w:rPr>
            </w:pPr>
            <w:r w:rsidRPr="0053420F">
              <w:rPr>
                <w:sz w:val="20"/>
                <w:szCs w:val="20"/>
              </w:rPr>
              <w:t>8/28/12</w:t>
            </w:r>
          </w:p>
        </w:tc>
        <w:tc>
          <w:tcPr>
            <w:tcW w:w="1862" w:type="pct"/>
            <w:tcBorders>
              <w:top w:val="nil"/>
              <w:left w:val="nil"/>
              <w:bottom w:val="nil"/>
              <w:right w:val="single" w:sz="18" w:space="0" w:color="FFFFFF"/>
            </w:tcBorders>
            <w:shd w:val="clear" w:color="auto" w:fill="BFBFBF"/>
            <w:tcMar>
              <w:top w:w="0" w:type="dxa"/>
              <w:left w:w="108" w:type="dxa"/>
              <w:bottom w:w="0" w:type="dxa"/>
              <w:right w:w="108" w:type="dxa"/>
            </w:tcMar>
          </w:tcPr>
          <w:p w:rsidR="008F15C6" w:rsidRPr="0053420F" w:rsidRDefault="008F15C6" w:rsidP="007A4E6A">
            <w:pPr>
              <w:rPr>
                <w:sz w:val="20"/>
                <w:szCs w:val="20"/>
              </w:rPr>
            </w:pPr>
            <w:r w:rsidRPr="0053420F">
              <w:rPr>
                <w:sz w:val="20"/>
                <w:szCs w:val="20"/>
              </w:rPr>
              <w:t>The “Com” building type is the weighted up value from DEER building types. For Vintage AV is changed to EX and For Climate Zone All is changed to IOU</w:t>
            </w:r>
          </w:p>
        </w:tc>
        <w:tc>
          <w:tcPr>
            <w:tcW w:w="1598" w:type="pct"/>
            <w:tcBorders>
              <w:top w:val="nil"/>
              <w:left w:val="nil"/>
              <w:bottom w:val="nil"/>
              <w:right w:val="nil"/>
            </w:tcBorders>
            <w:shd w:val="clear" w:color="auto" w:fill="BFBFBF"/>
            <w:tcMar>
              <w:top w:w="0" w:type="dxa"/>
              <w:left w:w="108" w:type="dxa"/>
              <w:bottom w:w="0" w:type="dxa"/>
              <w:right w:w="108" w:type="dxa"/>
            </w:tcMar>
          </w:tcPr>
          <w:p w:rsidR="008F15C6" w:rsidRPr="0053420F" w:rsidRDefault="008F15C6" w:rsidP="007A4E6A">
            <w:pPr>
              <w:rPr>
                <w:sz w:val="20"/>
                <w:szCs w:val="20"/>
              </w:rPr>
            </w:pPr>
            <w:r w:rsidRPr="0053420F">
              <w:rPr>
                <w:sz w:val="20"/>
                <w:szCs w:val="20"/>
              </w:rPr>
              <w:t>Alina Zohrabian (PG&amp;E)</w:t>
            </w:r>
          </w:p>
        </w:tc>
      </w:tr>
      <w:tr w:rsidR="002D1D46" w:rsidRPr="0053420F" w:rsidTr="0053420F">
        <w:trPr>
          <w:trHeight w:val="464"/>
        </w:trPr>
        <w:tc>
          <w:tcPr>
            <w:tcW w:w="846" w:type="pct"/>
            <w:tcBorders>
              <w:top w:val="nil"/>
              <w:left w:val="nil"/>
              <w:bottom w:val="nil"/>
              <w:right w:val="single" w:sz="18" w:space="0" w:color="FFFFFF"/>
            </w:tcBorders>
            <w:shd w:val="clear" w:color="auto" w:fill="F2F2F2" w:themeFill="background1" w:themeFillShade="F2"/>
            <w:tcMar>
              <w:top w:w="0" w:type="dxa"/>
              <w:left w:w="108" w:type="dxa"/>
              <w:bottom w:w="0" w:type="dxa"/>
              <w:right w:w="108" w:type="dxa"/>
            </w:tcMar>
          </w:tcPr>
          <w:p w:rsidR="002D1D46" w:rsidRPr="0053420F" w:rsidRDefault="00705654" w:rsidP="007A4E6A">
            <w:pPr>
              <w:rPr>
                <w:sz w:val="20"/>
                <w:szCs w:val="20"/>
              </w:rPr>
            </w:pPr>
            <w:r w:rsidRPr="0053420F">
              <w:rPr>
                <w:sz w:val="20"/>
                <w:szCs w:val="20"/>
              </w:rPr>
              <w:t>Revision 7</w:t>
            </w:r>
          </w:p>
        </w:tc>
        <w:tc>
          <w:tcPr>
            <w:tcW w:w="694" w:type="pct"/>
            <w:tcBorders>
              <w:top w:val="nil"/>
              <w:left w:val="nil"/>
              <w:bottom w:val="nil"/>
              <w:right w:val="single" w:sz="18" w:space="0" w:color="FFFFFF"/>
            </w:tcBorders>
            <w:shd w:val="clear" w:color="auto" w:fill="F2F2F2" w:themeFill="background1" w:themeFillShade="F2"/>
            <w:tcMar>
              <w:top w:w="0" w:type="dxa"/>
              <w:left w:w="108" w:type="dxa"/>
              <w:bottom w:w="0" w:type="dxa"/>
              <w:right w:w="108" w:type="dxa"/>
            </w:tcMar>
          </w:tcPr>
          <w:p w:rsidR="002D1D46" w:rsidRPr="0053420F" w:rsidRDefault="00705654" w:rsidP="001336CA">
            <w:pPr>
              <w:rPr>
                <w:sz w:val="20"/>
                <w:szCs w:val="20"/>
              </w:rPr>
            </w:pPr>
            <w:r w:rsidRPr="0053420F">
              <w:rPr>
                <w:sz w:val="20"/>
                <w:szCs w:val="20"/>
              </w:rPr>
              <w:t>5/13/14</w:t>
            </w:r>
          </w:p>
        </w:tc>
        <w:tc>
          <w:tcPr>
            <w:tcW w:w="1862" w:type="pct"/>
            <w:tcBorders>
              <w:top w:val="nil"/>
              <w:left w:val="nil"/>
              <w:bottom w:val="nil"/>
              <w:right w:val="single" w:sz="18" w:space="0" w:color="FFFFFF"/>
            </w:tcBorders>
            <w:shd w:val="clear" w:color="auto" w:fill="F2F2F2" w:themeFill="background1" w:themeFillShade="F2"/>
            <w:tcMar>
              <w:top w:w="0" w:type="dxa"/>
              <w:left w:w="108" w:type="dxa"/>
              <w:bottom w:w="0" w:type="dxa"/>
              <w:right w:w="108" w:type="dxa"/>
            </w:tcMar>
          </w:tcPr>
          <w:p w:rsidR="002D1D46" w:rsidRPr="0053420F" w:rsidRDefault="009771EC" w:rsidP="009771EC">
            <w:pPr>
              <w:rPr>
                <w:sz w:val="20"/>
                <w:szCs w:val="20"/>
              </w:rPr>
            </w:pPr>
            <w:r w:rsidRPr="0053420F">
              <w:rPr>
                <w:bCs/>
                <w:sz w:val="20"/>
                <w:szCs w:val="20"/>
              </w:rPr>
              <w:t>Only a few savings value changed for measures that were not in READI tool or DEER documentation (Commercial exterior Lamps) and now the savings align with the lighting Retrofit disposition, December 14, 2013. For updated savings values, see file PGECOLTG111 R7.xlsx.</w:t>
            </w:r>
          </w:p>
        </w:tc>
        <w:tc>
          <w:tcPr>
            <w:tcW w:w="1598" w:type="pct"/>
            <w:tcBorders>
              <w:top w:val="nil"/>
              <w:left w:val="nil"/>
              <w:bottom w:val="nil"/>
              <w:right w:val="nil"/>
            </w:tcBorders>
            <w:shd w:val="clear" w:color="auto" w:fill="F2F2F2" w:themeFill="background1" w:themeFillShade="F2"/>
            <w:tcMar>
              <w:top w:w="0" w:type="dxa"/>
              <w:left w:w="108" w:type="dxa"/>
              <w:bottom w:w="0" w:type="dxa"/>
              <w:right w:w="108" w:type="dxa"/>
            </w:tcMar>
          </w:tcPr>
          <w:p w:rsidR="002D1D46" w:rsidRPr="0053420F" w:rsidRDefault="00705654" w:rsidP="007A4E6A">
            <w:pPr>
              <w:rPr>
                <w:sz w:val="20"/>
                <w:szCs w:val="20"/>
              </w:rPr>
            </w:pPr>
            <w:r w:rsidRPr="0053420F">
              <w:rPr>
                <w:sz w:val="20"/>
                <w:szCs w:val="20"/>
              </w:rPr>
              <w:t>Alina Zohrabian (PG&amp;E)</w:t>
            </w:r>
          </w:p>
        </w:tc>
      </w:tr>
      <w:tr w:rsidR="00BC6B7A" w:rsidRPr="0053420F" w:rsidTr="004B0B45">
        <w:trPr>
          <w:trHeight w:val="464"/>
        </w:trPr>
        <w:tc>
          <w:tcPr>
            <w:tcW w:w="846" w:type="pct"/>
            <w:tcBorders>
              <w:top w:val="nil"/>
              <w:left w:val="nil"/>
              <w:bottom w:val="single" w:sz="4" w:space="0" w:color="auto"/>
              <w:right w:val="single" w:sz="18" w:space="0" w:color="FFFFFF"/>
            </w:tcBorders>
            <w:shd w:val="clear" w:color="auto" w:fill="BFBFBF" w:themeFill="background1" w:themeFillShade="BF"/>
            <w:tcMar>
              <w:top w:w="0" w:type="dxa"/>
              <w:left w:w="108" w:type="dxa"/>
              <w:bottom w:w="0" w:type="dxa"/>
              <w:right w:w="108" w:type="dxa"/>
            </w:tcMar>
          </w:tcPr>
          <w:p w:rsidR="00BC6B7A" w:rsidRPr="0053420F" w:rsidRDefault="00BC6B7A" w:rsidP="007A4E6A">
            <w:pPr>
              <w:rPr>
                <w:sz w:val="20"/>
                <w:szCs w:val="20"/>
              </w:rPr>
            </w:pPr>
            <w:r w:rsidRPr="0053420F">
              <w:rPr>
                <w:sz w:val="20"/>
                <w:szCs w:val="20"/>
              </w:rPr>
              <w:t>Revision 8</w:t>
            </w:r>
          </w:p>
        </w:tc>
        <w:tc>
          <w:tcPr>
            <w:tcW w:w="694" w:type="pct"/>
            <w:tcBorders>
              <w:top w:val="nil"/>
              <w:left w:val="nil"/>
              <w:bottom w:val="single" w:sz="4" w:space="0" w:color="auto"/>
              <w:right w:val="single" w:sz="18" w:space="0" w:color="FFFFFF"/>
            </w:tcBorders>
            <w:shd w:val="clear" w:color="auto" w:fill="BFBFBF" w:themeFill="background1" w:themeFillShade="BF"/>
            <w:tcMar>
              <w:top w:w="0" w:type="dxa"/>
              <w:left w:w="108" w:type="dxa"/>
              <w:bottom w:w="0" w:type="dxa"/>
              <w:right w:w="108" w:type="dxa"/>
            </w:tcMar>
          </w:tcPr>
          <w:p w:rsidR="00BC6B7A" w:rsidRPr="0053420F" w:rsidRDefault="00BC6B7A" w:rsidP="001336CA">
            <w:pPr>
              <w:rPr>
                <w:sz w:val="20"/>
                <w:szCs w:val="20"/>
              </w:rPr>
            </w:pPr>
            <w:r w:rsidRPr="0053420F">
              <w:rPr>
                <w:sz w:val="20"/>
                <w:szCs w:val="20"/>
              </w:rPr>
              <w:t>1/1/16</w:t>
            </w:r>
          </w:p>
        </w:tc>
        <w:tc>
          <w:tcPr>
            <w:tcW w:w="1862" w:type="pct"/>
            <w:tcBorders>
              <w:top w:val="nil"/>
              <w:left w:val="nil"/>
              <w:bottom w:val="single" w:sz="4" w:space="0" w:color="auto"/>
              <w:right w:val="single" w:sz="18" w:space="0" w:color="FFFFFF"/>
            </w:tcBorders>
            <w:shd w:val="clear" w:color="auto" w:fill="BFBFBF" w:themeFill="background1" w:themeFillShade="BF"/>
            <w:tcMar>
              <w:top w:w="0" w:type="dxa"/>
              <w:left w:w="108" w:type="dxa"/>
              <w:bottom w:w="0" w:type="dxa"/>
              <w:right w:w="108" w:type="dxa"/>
            </w:tcMar>
          </w:tcPr>
          <w:p w:rsidR="00BC6B7A" w:rsidRPr="0053420F" w:rsidRDefault="0049631D" w:rsidP="001F4EF3">
            <w:pPr>
              <w:rPr>
                <w:sz w:val="20"/>
                <w:szCs w:val="20"/>
              </w:rPr>
            </w:pPr>
            <w:r w:rsidRPr="0053420F">
              <w:rPr>
                <w:sz w:val="20"/>
                <w:szCs w:val="20"/>
              </w:rPr>
              <w:t>U</w:t>
            </w:r>
            <w:r w:rsidR="0012490D" w:rsidRPr="0053420F">
              <w:rPr>
                <w:sz w:val="20"/>
                <w:szCs w:val="20"/>
              </w:rPr>
              <w:t>pdated base case</w:t>
            </w:r>
            <w:r w:rsidR="001F4EF3" w:rsidRPr="0053420F">
              <w:rPr>
                <w:sz w:val="20"/>
                <w:szCs w:val="20"/>
              </w:rPr>
              <w:t xml:space="preserve"> description</w:t>
            </w:r>
            <w:r w:rsidR="0012490D" w:rsidRPr="0053420F">
              <w:rPr>
                <w:sz w:val="20"/>
                <w:szCs w:val="20"/>
              </w:rPr>
              <w:t>, base case cost, measure cost, WWR, hours of operation, EUL, CDF per DEER2016</w:t>
            </w:r>
            <w:r w:rsidR="00F83448">
              <w:rPr>
                <w:sz w:val="20"/>
                <w:szCs w:val="20"/>
              </w:rPr>
              <w:t xml:space="preserve">.  Removed </w:t>
            </w:r>
            <w:proofErr w:type="spellStart"/>
            <w:r w:rsidR="00F83448">
              <w:rPr>
                <w:sz w:val="20"/>
                <w:szCs w:val="20"/>
              </w:rPr>
              <w:t>torchiere</w:t>
            </w:r>
            <w:proofErr w:type="spellEnd"/>
            <w:r w:rsidR="00F83448">
              <w:rPr>
                <w:sz w:val="20"/>
                <w:szCs w:val="20"/>
              </w:rPr>
              <w:t xml:space="preserve"> fixtures.</w:t>
            </w:r>
          </w:p>
        </w:tc>
        <w:tc>
          <w:tcPr>
            <w:tcW w:w="1598" w:type="pct"/>
            <w:tcBorders>
              <w:top w:val="nil"/>
              <w:left w:val="nil"/>
              <w:bottom w:val="single" w:sz="4" w:space="0" w:color="auto"/>
              <w:right w:val="nil"/>
            </w:tcBorders>
            <w:shd w:val="clear" w:color="auto" w:fill="BFBFBF" w:themeFill="background1" w:themeFillShade="BF"/>
            <w:tcMar>
              <w:top w:w="0" w:type="dxa"/>
              <w:left w:w="108" w:type="dxa"/>
              <w:bottom w:w="0" w:type="dxa"/>
              <w:right w:w="108" w:type="dxa"/>
            </w:tcMar>
          </w:tcPr>
          <w:p w:rsidR="00BC6B7A" w:rsidRPr="0053420F" w:rsidRDefault="00BC6B7A" w:rsidP="007A4E6A">
            <w:pPr>
              <w:rPr>
                <w:sz w:val="20"/>
                <w:szCs w:val="20"/>
              </w:rPr>
            </w:pPr>
            <w:r w:rsidRPr="0053420F">
              <w:rPr>
                <w:sz w:val="20"/>
                <w:szCs w:val="20"/>
              </w:rPr>
              <w:t>Linda Wan (PG&amp;E)</w:t>
            </w:r>
            <w:r w:rsidR="00F83448">
              <w:rPr>
                <w:sz w:val="20"/>
                <w:szCs w:val="20"/>
              </w:rPr>
              <w:t>/</w:t>
            </w:r>
            <w:r w:rsidR="00F83448" w:rsidRPr="0053420F">
              <w:rPr>
                <w:sz w:val="20"/>
                <w:szCs w:val="20"/>
              </w:rPr>
              <w:t xml:space="preserve"> Alina </w:t>
            </w:r>
            <w:proofErr w:type="spellStart"/>
            <w:r w:rsidR="00F83448" w:rsidRPr="0053420F">
              <w:rPr>
                <w:sz w:val="20"/>
                <w:szCs w:val="20"/>
              </w:rPr>
              <w:t>Zohrabian</w:t>
            </w:r>
            <w:proofErr w:type="spellEnd"/>
            <w:r w:rsidR="00F83448" w:rsidRPr="0053420F">
              <w:rPr>
                <w:sz w:val="20"/>
                <w:szCs w:val="20"/>
              </w:rPr>
              <w:t xml:space="preserve"> (PG&amp;E)</w:t>
            </w:r>
            <w:r w:rsidR="00F83448">
              <w:rPr>
                <w:sz w:val="20"/>
                <w:szCs w:val="20"/>
              </w:rPr>
              <w:t>/Tai Voong (PG&amp;E)</w:t>
            </w:r>
          </w:p>
        </w:tc>
      </w:tr>
    </w:tbl>
    <w:p w:rsidR="00C63493" w:rsidRDefault="00C63493" w:rsidP="00C63493">
      <w:pPr>
        <w:pStyle w:val="Heading1"/>
      </w:pPr>
      <w:r>
        <w:rPr>
          <w:b w:val="0"/>
          <w:bCs w:val="0"/>
        </w:rPr>
        <w:br w:type="page"/>
      </w:r>
      <w:bookmarkStart w:id="13" w:name="_Toc174189526"/>
      <w:bookmarkStart w:id="14" w:name="_Toc436750457"/>
      <w:r>
        <w:lastRenderedPageBreak/>
        <w:t>Table of Contents</w:t>
      </w:r>
      <w:bookmarkEnd w:id="13"/>
      <w:bookmarkEnd w:id="14"/>
    </w:p>
    <w:p w:rsidR="006F2117" w:rsidRDefault="001E4DE7">
      <w:pPr>
        <w:pStyle w:val="TOC1"/>
        <w:tabs>
          <w:tab w:val="right" w:leader="dot" w:pos="9350"/>
        </w:tabs>
        <w:rPr>
          <w:rFonts w:asciiTheme="minorHAnsi" w:eastAsiaTheme="minorEastAsia" w:hAnsiTheme="minorHAnsi" w:cstheme="minorBidi"/>
          <w:noProof/>
          <w:sz w:val="22"/>
          <w:szCs w:val="22"/>
        </w:rPr>
      </w:pPr>
      <w:r>
        <w:rPr>
          <w:rStyle w:val="Hyperlink"/>
          <w:b/>
          <w:bCs/>
        </w:rPr>
        <w:fldChar w:fldCharType="begin"/>
      </w:r>
      <w:r>
        <w:rPr>
          <w:rStyle w:val="Hyperlink"/>
          <w:b/>
          <w:bCs/>
        </w:rPr>
        <w:instrText xml:space="preserve"> TOC \o "1-3" \h \z \u </w:instrText>
      </w:r>
      <w:r>
        <w:rPr>
          <w:rStyle w:val="Hyperlink"/>
          <w:b/>
          <w:bCs/>
        </w:rPr>
        <w:fldChar w:fldCharType="separate"/>
      </w:r>
      <w:hyperlink w:anchor="_Toc436750455" w:history="1">
        <w:r w:rsidR="006F2117" w:rsidRPr="008E469F">
          <w:rPr>
            <w:rStyle w:val="Hyperlink"/>
            <w:noProof/>
          </w:rPr>
          <w:t>At a Glance Summary</w:t>
        </w:r>
        <w:r w:rsidR="006F2117">
          <w:rPr>
            <w:noProof/>
            <w:webHidden/>
          </w:rPr>
          <w:tab/>
        </w:r>
        <w:r w:rsidR="006F2117">
          <w:rPr>
            <w:noProof/>
            <w:webHidden/>
          </w:rPr>
          <w:fldChar w:fldCharType="begin"/>
        </w:r>
        <w:r w:rsidR="006F2117">
          <w:rPr>
            <w:noProof/>
            <w:webHidden/>
          </w:rPr>
          <w:instrText xml:space="preserve"> PAGEREF _Toc436750455 \h </w:instrText>
        </w:r>
        <w:r w:rsidR="006F2117">
          <w:rPr>
            <w:noProof/>
            <w:webHidden/>
          </w:rPr>
        </w:r>
        <w:r w:rsidR="006F2117">
          <w:rPr>
            <w:noProof/>
            <w:webHidden/>
          </w:rPr>
          <w:fldChar w:fldCharType="separate"/>
        </w:r>
        <w:r w:rsidR="000747EF">
          <w:rPr>
            <w:noProof/>
            <w:webHidden/>
          </w:rPr>
          <w:t>ii</w:t>
        </w:r>
        <w:r w:rsidR="006F2117">
          <w:rPr>
            <w:noProof/>
            <w:webHidden/>
          </w:rPr>
          <w:fldChar w:fldCharType="end"/>
        </w:r>
      </w:hyperlink>
    </w:p>
    <w:p w:rsidR="006F2117" w:rsidRDefault="00B06F92">
      <w:pPr>
        <w:pStyle w:val="TOC1"/>
        <w:tabs>
          <w:tab w:val="right" w:leader="dot" w:pos="9350"/>
        </w:tabs>
        <w:rPr>
          <w:rFonts w:asciiTheme="minorHAnsi" w:eastAsiaTheme="minorEastAsia" w:hAnsiTheme="minorHAnsi" w:cstheme="minorBidi"/>
          <w:noProof/>
          <w:sz w:val="22"/>
          <w:szCs w:val="22"/>
        </w:rPr>
      </w:pPr>
      <w:hyperlink w:anchor="_Toc436750456" w:history="1">
        <w:r w:rsidR="006F2117" w:rsidRPr="008E469F">
          <w:rPr>
            <w:rStyle w:val="Hyperlink"/>
            <w:noProof/>
          </w:rPr>
          <w:t>Document Revision History</w:t>
        </w:r>
        <w:r w:rsidR="006F2117">
          <w:rPr>
            <w:noProof/>
            <w:webHidden/>
          </w:rPr>
          <w:tab/>
        </w:r>
        <w:r w:rsidR="006F2117">
          <w:rPr>
            <w:noProof/>
            <w:webHidden/>
          </w:rPr>
          <w:fldChar w:fldCharType="begin"/>
        </w:r>
        <w:r w:rsidR="006F2117">
          <w:rPr>
            <w:noProof/>
            <w:webHidden/>
          </w:rPr>
          <w:instrText xml:space="preserve"> PAGEREF _Toc436750456 \h </w:instrText>
        </w:r>
        <w:r w:rsidR="006F2117">
          <w:rPr>
            <w:noProof/>
            <w:webHidden/>
          </w:rPr>
        </w:r>
        <w:r w:rsidR="006F2117">
          <w:rPr>
            <w:noProof/>
            <w:webHidden/>
          </w:rPr>
          <w:fldChar w:fldCharType="separate"/>
        </w:r>
        <w:r w:rsidR="000747EF">
          <w:rPr>
            <w:noProof/>
            <w:webHidden/>
          </w:rPr>
          <w:t>iii</w:t>
        </w:r>
        <w:r w:rsidR="006F2117">
          <w:rPr>
            <w:noProof/>
            <w:webHidden/>
          </w:rPr>
          <w:fldChar w:fldCharType="end"/>
        </w:r>
      </w:hyperlink>
    </w:p>
    <w:p w:rsidR="006F2117" w:rsidRDefault="00B06F92">
      <w:pPr>
        <w:pStyle w:val="TOC1"/>
        <w:tabs>
          <w:tab w:val="right" w:leader="dot" w:pos="9350"/>
        </w:tabs>
        <w:rPr>
          <w:rFonts w:asciiTheme="minorHAnsi" w:eastAsiaTheme="minorEastAsia" w:hAnsiTheme="minorHAnsi" w:cstheme="minorBidi"/>
          <w:noProof/>
          <w:sz w:val="22"/>
          <w:szCs w:val="22"/>
        </w:rPr>
      </w:pPr>
      <w:hyperlink w:anchor="_Toc436750457" w:history="1">
        <w:r w:rsidR="006F2117" w:rsidRPr="008E469F">
          <w:rPr>
            <w:rStyle w:val="Hyperlink"/>
            <w:noProof/>
          </w:rPr>
          <w:t>Table of Contents</w:t>
        </w:r>
        <w:r w:rsidR="006F2117">
          <w:rPr>
            <w:noProof/>
            <w:webHidden/>
          </w:rPr>
          <w:tab/>
        </w:r>
        <w:r w:rsidR="006F2117">
          <w:rPr>
            <w:noProof/>
            <w:webHidden/>
          </w:rPr>
          <w:fldChar w:fldCharType="begin"/>
        </w:r>
        <w:r w:rsidR="006F2117">
          <w:rPr>
            <w:noProof/>
            <w:webHidden/>
          </w:rPr>
          <w:instrText xml:space="preserve"> PAGEREF _Toc436750457 \h </w:instrText>
        </w:r>
        <w:r w:rsidR="006F2117">
          <w:rPr>
            <w:noProof/>
            <w:webHidden/>
          </w:rPr>
        </w:r>
        <w:r w:rsidR="006F2117">
          <w:rPr>
            <w:noProof/>
            <w:webHidden/>
          </w:rPr>
          <w:fldChar w:fldCharType="separate"/>
        </w:r>
        <w:r w:rsidR="000747EF">
          <w:rPr>
            <w:noProof/>
            <w:webHidden/>
          </w:rPr>
          <w:t>iv</w:t>
        </w:r>
        <w:r w:rsidR="006F2117">
          <w:rPr>
            <w:noProof/>
            <w:webHidden/>
          </w:rPr>
          <w:fldChar w:fldCharType="end"/>
        </w:r>
      </w:hyperlink>
    </w:p>
    <w:p w:rsidR="006F2117" w:rsidRDefault="00B06F92">
      <w:pPr>
        <w:pStyle w:val="TOC1"/>
        <w:tabs>
          <w:tab w:val="right" w:leader="dot" w:pos="9350"/>
        </w:tabs>
        <w:rPr>
          <w:rFonts w:asciiTheme="minorHAnsi" w:eastAsiaTheme="minorEastAsia" w:hAnsiTheme="minorHAnsi" w:cstheme="minorBidi"/>
          <w:noProof/>
          <w:sz w:val="22"/>
          <w:szCs w:val="22"/>
        </w:rPr>
      </w:pPr>
      <w:hyperlink w:anchor="_Toc436750458" w:history="1">
        <w:r w:rsidR="006F2117" w:rsidRPr="008E469F">
          <w:rPr>
            <w:rStyle w:val="Hyperlink"/>
            <w:noProof/>
          </w:rPr>
          <w:t>List of Tables</w:t>
        </w:r>
        <w:r w:rsidR="006F2117">
          <w:rPr>
            <w:noProof/>
            <w:webHidden/>
          </w:rPr>
          <w:tab/>
        </w:r>
        <w:r w:rsidR="006F2117">
          <w:rPr>
            <w:noProof/>
            <w:webHidden/>
          </w:rPr>
          <w:fldChar w:fldCharType="begin"/>
        </w:r>
        <w:r w:rsidR="006F2117">
          <w:rPr>
            <w:noProof/>
            <w:webHidden/>
          </w:rPr>
          <w:instrText xml:space="preserve"> PAGEREF _Toc436750458 \h </w:instrText>
        </w:r>
        <w:r w:rsidR="006F2117">
          <w:rPr>
            <w:noProof/>
            <w:webHidden/>
          </w:rPr>
        </w:r>
        <w:r w:rsidR="006F2117">
          <w:rPr>
            <w:noProof/>
            <w:webHidden/>
          </w:rPr>
          <w:fldChar w:fldCharType="separate"/>
        </w:r>
        <w:r w:rsidR="000747EF">
          <w:rPr>
            <w:noProof/>
            <w:webHidden/>
          </w:rPr>
          <w:t>iv</w:t>
        </w:r>
        <w:r w:rsidR="006F2117">
          <w:rPr>
            <w:noProof/>
            <w:webHidden/>
          </w:rPr>
          <w:fldChar w:fldCharType="end"/>
        </w:r>
      </w:hyperlink>
    </w:p>
    <w:p w:rsidR="006F2117" w:rsidRDefault="00B06F92">
      <w:pPr>
        <w:pStyle w:val="TOC1"/>
        <w:tabs>
          <w:tab w:val="right" w:leader="dot" w:pos="9350"/>
        </w:tabs>
        <w:rPr>
          <w:rFonts w:asciiTheme="minorHAnsi" w:eastAsiaTheme="minorEastAsia" w:hAnsiTheme="minorHAnsi" w:cstheme="minorBidi"/>
          <w:noProof/>
          <w:sz w:val="22"/>
          <w:szCs w:val="22"/>
        </w:rPr>
      </w:pPr>
      <w:hyperlink w:anchor="_Toc436750459" w:history="1">
        <w:r w:rsidR="006F2117" w:rsidRPr="008E469F">
          <w:rPr>
            <w:rStyle w:val="Hyperlink"/>
            <w:noProof/>
          </w:rPr>
          <w:t>List of Figures</w:t>
        </w:r>
        <w:r w:rsidR="006F2117">
          <w:rPr>
            <w:noProof/>
            <w:webHidden/>
          </w:rPr>
          <w:tab/>
        </w:r>
        <w:r w:rsidR="006F2117">
          <w:rPr>
            <w:noProof/>
            <w:webHidden/>
          </w:rPr>
          <w:fldChar w:fldCharType="begin"/>
        </w:r>
        <w:r w:rsidR="006F2117">
          <w:rPr>
            <w:noProof/>
            <w:webHidden/>
          </w:rPr>
          <w:instrText xml:space="preserve"> PAGEREF _Toc436750459 \h </w:instrText>
        </w:r>
        <w:r w:rsidR="006F2117">
          <w:rPr>
            <w:noProof/>
            <w:webHidden/>
          </w:rPr>
        </w:r>
        <w:r w:rsidR="006F2117">
          <w:rPr>
            <w:noProof/>
            <w:webHidden/>
          </w:rPr>
          <w:fldChar w:fldCharType="separate"/>
        </w:r>
        <w:r w:rsidR="000747EF">
          <w:rPr>
            <w:noProof/>
            <w:webHidden/>
          </w:rPr>
          <w:t>iv</w:t>
        </w:r>
        <w:r w:rsidR="006F2117">
          <w:rPr>
            <w:noProof/>
            <w:webHidden/>
          </w:rPr>
          <w:fldChar w:fldCharType="end"/>
        </w:r>
      </w:hyperlink>
    </w:p>
    <w:p w:rsidR="006F2117" w:rsidRDefault="00B06F92">
      <w:pPr>
        <w:pStyle w:val="TOC1"/>
        <w:tabs>
          <w:tab w:val="right" w:leader="dot" w:pos="9350"/>
        </w:tabs>
        <w:rPr>
          <w:rFonts w:asciiTheme="minorHAnsi" w:eastAsiaTheme="minorEastAsia" w:hAnsiTheme="minorHAnsi" w:cstheme="minorBidi"/>
          <w:noProof/>
          <w:sz w:val="22"/>
          <w:szCs w:val="22"/>
        </w:rPr>
      </w:pPr>
      <w:hyperlink w:anchor="_Toc436750460" w:history="1">
        <w:r w:rsidR="006F2117" w:rsidRPr="008E469F">
          <w:rPr>
            <w:rStyle w:val="Hyperlink"/>
            <w:noProof/>
          </w:rPr>
          <w:t>Section 1. General Measure &amp; Baseline Data</w:t>
        </w:r>
        <w:r w:rsidR="006F2117">
          <w:rPr>
            <w:noProof/>
            <w:webHidden/>
          </w:rPr>
          <w:tab/>
        </w:r>
        <w:r w:rsidR="006F2117">
          <w:rPr>
            <w:noProof/>
            <w:webHidden/>
          </w:rPr>
          <w:fldChar w:fldCharType="begin"/>
        </w:r>
        <w:r w:rsidR="006F2117">
          <w:rPr>
            <w:noProof/>
            <w:webHidden/>
          </w:rPr>
          <w:instrText xml:space="preserve"> PAGEREF _Toc436750460 \h </w:instrText>
        </w:r>
        <w:r w:rsidR="006F2117">
          <w:rPr>
            <w:noProof/>
            <w:webHidden/>
          </w:rPr>
        </w:r>
        <w:r w:rsidR="006F2117">
          <w:rPr>
            <w:noProof/>
            <w:webHidden/>
          </w:rPr>
          <w:fldChar w:fldCharType="separate"/>
        </w:r>
        <w:r w:rsidR="000747EF">
          <w:rPr>
            <w:noProof/>
            <w:webHidden/>
          </w:rPr>
          <w:t>1</w:t>
        </w:r>
        <w:r w:rsidR="006F2117">
          <w:rPr>
            <w:noProof/>
            <w:webHidden/>
          </w:rPr>
          <w:fldChar w:fldCharType="end"/>
        </w:r>
      </w:hyperlink>
    </w:p>
    <w:p w:rsidR="006F2117" w:rsidRDefault="00B06F92">
      <w:pPr>
        <w:pStyle w:val="TOC2"/>
        <w:tabs>
          <w:tab w:val="right" w:leader="dot" w:pos="9350"/>
        </w:tabs>
        <w:rPr>
          <w:rFonts w:asciiTheme="minorHAnsi" w:eastAsiaTheme="minorEastAsia" w:hAnsiTheme="minorHAnsi" w:cstheme="minorBidi"/>
          <w:noProof/>
          <w:sz w:val="22"/>
          <w:szCs w:val="22"/>
        </w:rPr>
      </w:pPr>
      <w:hyperlink w:anchor="_Toc436750461" w:history="1">
        <w:r w:rsidR="006F2117" w:rsidRPr="008E469F">
          <w:rPr>
            <w:rStyle w:val="Hyperlink"/>
            <w:noProof/>
          </w:rPr>
          <w:t>1.1 Measure Description &amp; Background</w:t>
        </w:r>
        <w:r w:rsidR="006F2117">
          <w:rPr>
            <w:noProof/>
            <w:webHidden/>
          </w:rPr>
          <w:tab/>
        </w:r>
        <w:r w:rsidR="006F2117">
          <w:rPr>
            <w:noProof/>
            <w:webHidden/>
          </w:rPr>
          <w:fldChar w:fldCharType="begin"/>
        </w:r>
        <w:r w:rsidR="006F2117">
          <w:rPr>
            <w:noProof/>
            <w:webHidden/>
          </w:rPr>
          <w:instrText xml:space="preserve"> PAGEREF _Toc436750461 \h </w:instrText>
        </w:r>
        <w:r w:rsidR="006F2117">
          <w:rPr>
            <w:noProof/>
            <w:webHidden/>
          </w:rPr>
        </w:r>
        <w:r w:rsidR="006F2117">
          <w:rPr>
            <w:noProof/>
            <w:webHidden/>
          </w:rPr>
          <w:fldChar w:fldCharType="separate"/>
        </w:r>
        <w:r w:rsidR="000747EF">
          <w:rPr>
            <w:noProof/>
            <w:webHidden/>
          </w:rPr>
          <w:t>1</w:t>
        </w:r>
        <w:r w:rsidR="006F2117">
          <w:rPr>
            <w:noProof/>
            <w:webHidden/>
          </w:rPr>
          <w:fldChar w:fldCharType="end"/>
        </w:r>
      </w:hyperlink>
    </w:p>
    <w:p w:rsidR="006F2117" w:rsidRDefault="00B06F92">
      <w:pPr>
        <w:pStyle w:val="TOC2"/>
        <w:tabs>
          <w:tab w:val="right" w:leader="dot" w:pos="9350"/>
        </w:tabs>
        <w:rPr>
          <w:rFonts w:asciiTheme="minorHAnsi" w:eastAsiaTheme="minorEastAsia" w:hAnsiTheme="minorHAnsi" w:cstheme="minorBidi"/>
          <w:noProof/>
          <w:sz w:val="22"/>
          <w:szCs w:val="22"/>
        </w:rPr>
      </w:pPr>
      <w:hyperlink w:anchor="_Toc436750462" w:history="1">
        <w:r w:rsidR="006F2117" w:rsidRPr="008E469F">
          <w:rPr>
            <w:rStyle w:val="Hyperlink"/>
            <w:noProof/>
          </w:rPr>
          <w:t>1.2 Product Technical Description</w:t>
        </w:r>
        <w:r w:rsidR="006F2117">
          <w:rPr>
            <w:noProof/>
            <w:webHidden/>
          </w:rPr>
          <w:tab/>
        </w:r>
        <w:r w:rsidR="006F2117">
          <w:rPr>
            <w:noProof/>
            <w:webHidden/>
          </w:rPr>
          <w:fldChar w:fldCharType="begin"/>
        </w:r>
        <w:r w:rsidR="006F2117">
          <w:rPr>
            <w:noProof/>
            <w:webHidden/>
          </w:rPr>
          <w:instrText xml:space="preserve"> PAGEREF _Toc436750462 \h </w:instrText>
        </w:r>
        <w:r w:rsidR="006F2117">
          <w:rPr>
            <w:noProof/>
            <w:webHidden/>
          </w:rPr>
        </w:r>
        <w:r w:rsidR="006F2117">
          <w:rPr>
            <w:noProof/>
            <w:webHidden/>
          </w:rPr>
          <w:fldChar w:fldCharType="separate"/>
        </w:r>
        <w:r w:rsidR="000747EF">
          <w:rPr>
            <w:noProof/>
            <w:webHidden/>
          </w:rPr>
          <w:t>1</w:t>
        </w:r>
        <w:r w:rsidR="006F2117">
          <w:rPr>
            <w:noProof/>
            <w:webHidden/>
          </w:rPr>
          <w:fldChar w:fldCharType="end"/>
        </w:r>
      </w:hyperlink>
    </w:p>
    <w:p w:rsidR="006F2117" w:rsidRDefault="00B06F92">
      <w:pPr>
        <w:pStyle w:val="TOC2"/>
        <w:tabs>
          <w:tab w:val="right" w:leader="dot" w:pos="9350"/>
        </w:tabs>
        <w:rPr>
          <w:rFonts w:asciiTheme="minorHAnsi" w:eastAsiaTheme="minorEastAsia" w:hAnsiTheme="minorHAnsi" w:cstheme="minorBidi"/>
          <w:noProof/>
          <w:sz w:val="22"/>
          <w:szCs w:val="22"/>
        </w:rPr>
      </w:pPr>
      <w:hyperlink w:anchor="_Toc436750463" w:history="1">
        <w:r w:rsidR="006F2117" w:rsidRPr="008E469F">
          <w:rPr>
            <w:rStyle w:val="Hyperlink"/>
            <w:noProof/>
          </w:rPr>
          <w:t>1.3 Measure Application Type</w:t>
        </w:r>
        <w:r w:rsidR="006F2117">
          <w:rPr>
            <w:noProof/>
            <w:webHidden/>
          </w:rPr>
          <w:tab/>
        </w:r>
        <w:r w:rsidR="006F2117">
          <w:rPr>
            <w:noProof/>
            <w:webHidden/>
          </w:rPr>
          <w:fldChar w:fldCharType="begin"/>
        </w:r>
        <w:r w:rsidR="006F2117">
          <w:rPr>
            <w:noProof/>
            <w:webHidden/>
          </w:rPr>
          <w:instrText xml:space="preserve"> PAGEREF _Toc436750463 \h </w:instrText>
        </w:r>
        <w:r w:rsidR="006F2117">
          <w:rPr>
            <w:noProof/>
            <w:webHidden/>
          </w:rPr>
        </w:r>
        <w:r w:rsidR="006F2117">
          <w:rPr>
            <w:noProof/>
            <w:webHidden/>
          </w:rPr>
          <w:fldChar w:fldCharType="separate"/>
        </w:r>
        <w:r w:rsidR="000747EF">
          <w:rPr>
            <w:noProof/>
            <w:webHidden/>
          </w:rPr>
          <w:t>1</w:t>
        </w:r>
        <w:r w:rsidR="006F2117">
          <w:rPr>
            <w:noProof/>
            <w:webHidden/>
          </w:rPr>
          <w:fldChar w:fldCharType="end"/>
        </w:r>
      </w:hyperlink>
    </w:p>
    <w:p w:rsidR="006F2117" w:rsidRDefault="00B06F92">
      <w:pPr>
        <w:pStyle w:val="TOC2"/>
        <w:tabs>
          <w:tab w:val="right" w:leader="dot" w:pos="9350"/>
        </w:tabs>
        <w:rPr>
          <w:rFonts w:asciiTheme="minorHAnsi" w:eastAsiaTheme="minorEastAsia" w:hAnsiTheme="minorHAnsi" w:cstheme="minorBidi"/>
          <w:noProof/>
          <w:sz w:val="22"/>
          <w:szCs w:val="22"/>
        </w:rPr>
      </w:pPr>
      <w:hyperlink w:anchor="_Toc436750464" w:history="1">
        <w:r w:rsidR="006F2117" w:rsidRPr="008E469F">
          <w:rPr>
            <w:rStyle w:val="Hyperlink"/>
            <w:noProof/>
          </w:rPr>
          <w:t>1.4 Product Base Case and Measure Case Data</w:t>
        </w:r>
        <w:r w:rsidR="006F2117">
          <w:rPr>
            <w:noProof/>
            <w:webHidden/>
          </w:rPr>
          <w:tab/>
        </w:r>
        <w:r w:rsidR="006F2117">
          <w:rPr>
            <w:noProof/>
            <w:webHidden/>
          </w:rPr>
          <w:fldChar w:fldCharType="begin"/>
        </w:r>
        <w:r w:rsidR="006F2117">
          <w:rPr>
            <w:noProof/>
            <w:webHidden/>
          </w:rPr>
          <w:instrText xml:space="preserve"> PAGEREF _Toc436750464 \h </w:instrText>
        </w:r>
        <w:r w:rsidR="006F2117">
          <w:rPr>
            <w:noProof/>
            <w:webHidden/>
          </w:rPr>
        </w:r>
        <w:r w:rsidR="006F2117">
          <w:rPr>
            <w:noProof/>
            <w:webHidden/>
          </w:rPr>
          <w:fldChar w:fldCharType="separate"/>
        </w:r>
        <w:r w:rsidR="000747EF">
          <w:rPr>
            <w:noProof/>
            <w:webHidden/>
          </w:rPr>
          <w:t>1</w:t>
        </w:r>
        <w:r w:rsidR="006F2117">
          <w:rPr>
            <w:noProof/>
            <w:webHidden/>
          </w:rPr>
          <w:fldChar w:fldCharType="end"/>
        </w:r>
      </w:hyperlink>
    </w:p>
    <w:p w:rsidR="006F2117" w:rsidRDefault="00B06F92">
      <w:pPr>
        <w:pStyle w:val="TOC2"/>
        <w:tabs>
          <w:tab w:val="right" w:leader="dot" w:pos="9350"/>
        </w:tabs>
        <w:rPr>
          <w:rFonts w:asciiTheme="minorHAnsi" w:eastAsiaTheme="minorEastAsia" w:hAnsiTheme="minorHAnsi" w:cstheme="minorBidi"/>
          <w:noProof/>
          <w:sz w:val="22"/>
          <w:szCs w:val="22"/>
        </w:rPr>
      </w:pPr>
      <w:hyperlink w:anchor="_Toc436750465" w:history="1">
        <w:r w:rsidR="006F2117" w:rsidRPr="008E469F">
          <w:rPr>
            <w:rStyle w:val="Hyperlink"/>
            <w:noProof/>
          </w:rPr>
          <w:t>1.4.1 DEER Base Case and Measure Case Information</w:t>
        </w:r>
        <w:r w:rsidR="006F2117">
          <w:rPr>
            <w:noProof/>
            <w:webHidden/>
          </w:rPr>
          <w:tab/>
        </w:r>
        <w:r w:rsidR="006F2117">
          <w:rPr>
            <w:noProof/>
            <w:webHidden/>
          </w:rPr>
          <w:fldChar w:fldCharType="begin"/>
        </w:r>
        <w:r w:rsidR="006F2117">
          <w:rPr>
            <w:noProof/>
            <w:webHidden/>
          </w:rPr>
          <w:instrText xml:space="preserve"> PAGEREF _Toc436750465 \h </w:instrText>
        </w:r>
        <w:r w:rsidR="006F2117">
          <w:rPr>
            <w:noProof/>
            <w:webHidden/>
          </w:rPr>
        </w:r>
        <w:r w:rsidR="006F2117">
          <w:rPr>
            <w:noProof/>
            <w:webHidden/>
          </w:rPr>
          <w:fldChar w:fldCharType="separate"/>
        </w:r>
        <w:r w:rsidR="000747EF">
          <w:rPr>
            <w:noProof/>
            <w:webHidden/>
          </w:rPr>
          <w:t>1</w:t>
        </w:r>
        <w:r w:rsidR="006F2117">
          <w:rPr>
            <w:noProof/>
            <w:webHidden/>
          </w:rPr>
          <w:fldChar w:fldCharType="end"/>
        </w:r>
      </w:hyperlink>
    </w:p>
    <w:p w:rsidR="006F2117" w:rsidRDefault="00B06F92">
      <w:pPr>
        <w:pStyle w:val="TOC2"/>
        <w:tabs>
          <w:tab w:val="right" w:leader="dot" w:pos="9350"/>
        </w:tabs>
        <w:rPr>
          <w:rFonts w:asciiTheme="minorHAnsi" w:eastAsiaTheme="minorEastAsia" w:hAnsiTheme="minorHAnsi" w:cstheme="minorBidi"/>
          <w:noProof/>
          <w:sz w:val="22"/>
          <w:szCs w:val="22"/>
        </w:rPr>
      </w:pPr>
      <w:hyperlink w:anchor="_Toc436750466" w:history="1">
        <w:r w:rsidR="006F2117" w:rsidRPr="008E469F">
          <w:rPr>
            <w:rStyle w:val="Hyperlink"/>
            <w:noProof/>
          </w:rPr>
          <w:t>1.4.2 Codes &amp; Standards Requirements Base Case and Measure Information</w:t>
        </w:r>
        <w:r w:rsidR="006F2117">
          <w:rPr>
            <w:noProof/>
            <w:webHidden/>
          </w:rPr>
          <w:tab/>
        </w:r>
        <w:r w:rsidR="006F2117">
          <w:rPr>
            <w:noProof/>
            <w:webHidden/>
          </w:rPr>
          <w:fldChar w:fldCharType="begin"/>
        </w:r>
        <w:r w:rsidR="006F2117">
          <w:rPr>
            <w:noProof/>
            <w:webHidden/>
          </w:rPr>
          <w:instrText xml:space="preserve"> PAGEREF _Toc436750466 \h </w:instrText>
        </w:r>
        <w:r w:rsidR="006F2117">
          <w:rPr>
            <w:noProof/>
            <w:webHidden/>
          </w:rPr>
        </w:r>
        <w:r w:rsidR="006F2117">
          <w:rPr>
            <w:noProof/>
            <w:webHidden/>
          </w:rPr>
          <w:fldChar w:fldCharType="separate"/>
        </w:r>
        <w:r w:rsidR="000747EF">
          <w:rPr>
            <w:noProof/>
            <w:webHidden/>
          </w:rPr>
          <w:t>3</w:t>
        </w:r>
        <w:r w:rsidR="006F2117">
          <w:rPr>
            <w:noProof/>
            <w:webHidden/>
          </w:rPr>
          <w:fldChar w:fldCharType="end"/>
        </w:r>
      </w:hyperlink>
    </w:p>
    <w:p w:rsidR="006F2117" w:rsidRDefault="00B06F92">
      <w:pPr>
        <w:pStyle w:val="TOC1"/>
        <w:tabs>
          <w:tab w:val="right" w:leader="dot" w:pos="9350"/>
        </w:tabs>
        <w:rPr>
          <w:rFonts w:asciiTheme="minorHAnsi" w:eastAsiaTheme="minorEastAsia" w:hAnsiTheme="minorHAnsi" w:cstheme="minorBidi"/>
          <w:noProof/>
          <w:sz w:val="22"/>
          <w:szCs w:val="22"/>
        </w:rPr>
      </w:pPr>
      <w:hyperlink w:anchor="_Toc436750467" w:history="1">
        <w:r w:rsidR="006F2117" w:rsidRPr="008E469F">
          <w:rPr>
            <w:rStyle w:val="Hyperlink"/>
            <w:noProof/>
          </w:rPr>
          <w:t>1.4.3 EM&amp;V, Market Potential, and Other Studies – Base Case and Measure Case Information</w:t>
        </w:r>
        <w:r w:rsidR="006F2117">
          <w:rPr>
            <w:noProof/>
            <w:webHidden/>
          </w:rPr>
          <w:tab/>
        </w:r>
        <w:r w:rsidR="006F2117">
          <w:rPr>
            <w:noProof/>
            <w:webHidden/>
          </w:rPr>
          <w:fldChar w:fldCharType="begin"/>
        </w:r>
        <w:r w:rsidR="006F2117">
          <w:rPr>
            <w:noProof/>
            <w:webHidden/>
          </w:rPr>
          <w:instrText xml:space="preserve"> PAGEREF _Toc436750467 \h </w:instrText>
        </w:r>
        <w:r w:rsidR="006F2117">
          <w:rPr>
            <w:noProof/>
            <w:webHidden/>
          </w:rPr>
        </w:r>
        <w:r w:rsidR="006F2117">
          <w:rPr>
            <w:noProof/>
            <w:webHidden/>
          </w:rPr>
          <w:fldChar w:fldCharType="separate"/>
        </w:r>
        <w:r w:rsidR="000747EF">
          <w:rPr>
            <w:noProof/>
            <w:webHidden/>
          </w:rPr>
          <w:t>4</w:t>
        </w:r>
        <w:r w:rsidR="006F2117">
          <w:rPr>
            <w:noProof/>
            <w:webHidden/>
          </w:rPr>
          <w:fldChar w:fldCharType="end"/>
        </w:r>
      </w:hyperlink>
    </w:p>
    <w:p w:rsidR="006F2117" w:rsidRDefault="00B06F92">
      <w:pPr>
        <w:pStyle w:val="TOC1"/>
        <w:tabs>
          <w:tab w:val="right" w:leader="dot" w:pos="9350"/>
        </w:tabs>
        <w:rPr>
          <w:rFonts w:asciiTheme="minorHAnsi" w:eastAsiaTheme="minorEastAsia" w:hAnsiTheme="minorHAnsi" w:cstheme="minorBidi"/>
          <w:noProof/>
          <w:sz w:val="22"/>
          <w:szCs w:val="22"/>
        </w:rPr>
      </w:pPr>
      <w:hyperlink w:anchor="_Toc436750468" w:history="1">
        <w:r w:rsidR="006F2117" w:rsidRPr="008E469F">
          <w:rPr>
            <w:rStyle w:val="Hyperlink"/>
            <w:noProof/>
          </w:rPr>
          <w:t>1.4.4 Assumptions and Calculations from other sources Base and Measure Cases</w:t>
        </w:r>
        <w:r w:rsidR="006F2117">
          <w:rPr>
            <w:noProof/>
            <w:webHidden/>
          </w:rPr>
          <w:tab/>
        </w:r>
        <w:r w:rsidR="006F2117">
          <w:rPr>
            <w:noProof/>
            <w:webHidden/>
          </w:rPr>
          <w:fldChar w:fldCharType="begin"/>
        </w:r>
        <w:r w:rsidR="006F2117">
          <w:rPr>
            <w:noProof/>
            <w:webHidden/>
          </w:rPr>
          <w:instrText xml:space="preserve"> PAGEREF _Toc436750468 \h </w:instrText>
        </w:r>
        <w:r w:rsidR="006F2117">
          <w:rPr>
            <w:noProof/>
            <w:webHidden/>
          </w:rPr>
        </w:r>
        <w:r w:rsidR="006F2117">
          <w:rPr>
            <w:noProof/>
            <w:webHidden/>
          </w:rPr>
          <w:fldChar w:fldCharType="separate"/>
        </w:r>
        <w:r w:rsidR="000747EF">
          <w:rPr>
            <w:noProof/>
            <w:webHidden/>
          </w:rPr>
          <w:t>4</w:t>
        </w:r>
        <w:r w:rsidR="006F2117">
          <w:rPr>
            <w:noProof/>
            <w:webHidden/>
          </w:rPr>
          <w:fldChar w:fldCharType="end"/>
        </w:r>
      </w:hyperlink>
    </w:p>
    <w:p w:rsidR="006F2117" w:rsidRDefault="00B06F92">
      <w:pPr>
        <w:pStyle w:val="TOC1"/>
        <w:tabs>
          <w:tab w:val="right" w:leader="dot" w:pos="9350"/>
        </w:tabs>
        <w:rPr>
          <w:rFonts w:asciiTheme="minorHAnsi" w:eastAsiaTheme="minorEastAsia" w:hAnsiTheme="minorHAnsi" w:cstheme="minorBidi"/>
          <w:noProof/>
          <w:sz w:val="22"/>
          <w:szCs w:val="22"/>
        </w:rPr>
      </w:pPr>
      <w:hyperlink w:anchor="_Toc436750469" w:history="1">
        <w:r w:rsidR="006F2117" w:rsidRPr="008E469F">
          <w:rPr>
            <w:rStyle w:val="Hyperlink"/>
            <w:noProof/>
          </w:rPr>
          <w:t>Section 2. Calculation Methods</w:t>
        </w:r>
        <w:r w:rsidR="006F2117">
          <w:rPr>
            <w:noProof/>
            <w:webHidden/>
          </w:rPr>
          <w:tab/>
        </w:r>
        <w:r w:rsidR="006F2117">
          <w:rPr>
            <w:noProof/>
            <w:webHidden/>
          </w:rPr>
          <w:fldChar w:fldCharType="begin"/>
        </w:r>
        <w:r w:rsidR="006F2117">
          <w:rPr>
            <w:noProof/>
            <w:webHidden/>
          </w:rPr>
          <w:instrText xml:space="preserve"> PAGEREF _Toc436750469 \h </w:instrText>
        </w:r>
        <w:r w:rsidR="006F2117">
          <w:rPr>
            <w:noProof/>
            <w:webHidden/>
          </w:rPr>
        </w:r>
        <w:r w:rsidR="006F2117">
          <w:rPr>
            <w:noProof/>
            <w:webHidden/>
          </w:rPr>
          <w:fldChar w:fldCharType="separate"/>
        </w:r>
        <w:r w:rsidR="000747EF">
          <w:rPr>
            <w:noProof/>
            <w:webHidden/>
          </w:rPr>
          <w:t>5</w:t>
        </w:r>
        <w:r w:rsidR="006F2117">
          <w:rPr>
            <w:noProof/>
            <w:webHidden/>
          </w:rPr>
          <w:fldChar w:fldCharType="end"/>
        </w:r>
      </w:hyperlink>
    </w:p>
    <w:p w:rsidR="006F2117" w:rsidRDefault="00B06F92">
      <w:pPr>
        <w:pStyle w:val="TOC2"/>
        <w:tabs>
          <w:tab w:val="right" w:leader="dot" w:pos="9350"/>
        </w:tabs>
        <w:rPr>
          <w:rFonts w:asciiTheme="minorHAnsi" w:eastAsiaTheme="minorEastAsia" w:hAnsiTheme="minorHAnsi" w:cstheme="minorBidi"/>
          <w:noProof/>
          <w:sz w:val="22"/>
          <w:szCs w:val="22"/>
        </w:rPr>
      </w:pPr>
      <w:hyperlink w:anchor="_Toc436750470" w:history="1">
        <w:r w:rsidR="006F2117" w:rsidRPr="008E469F">
          <w:rPr>
            <w:rStyle w:val="Hyperlink"/>
            <w:noProof/>
          </w:rPr>
          <w:t>2.1 Electric Energy Savings Estimation Methodologies</w:t>
        </w:r>
        <w:r w:rsidR="006F2117">
          <w:rPr>
            <w:noProof/>
            <w:webHidden/>
          </w:rPr>
          <w:tab/>
        </w:r>
        <w:r w:rsidR="006F2117">
          <w:rPr>
            <w:noProof/>
            <w:webHidden/>
          </w:rPr>
          <w:fldChar w:fldCharType="begin"/>
        </w:r>
        <w:r w:rsidR="006F2117">
          <w:rPr>
            <w:noProof/>
            <w:webHidden/>
          </w:rPr>
          <w:instrText xml:space="preserve"> PAGEREF _Toc436750470 \h </w:instrText>
        </w:r>
        <w:r w:rsidR="006F2117">
          <w:rPr>
            <w:noProof/>
            <w:webHidden/>
          </w:rPr>
        </w:r>
        <w:r w:rsidR="006F2117">
          <w:rPr>
            <w:noProof/>
            <w:webHidden/>
          </w:rPr>
          <w:fldChar w:fldCharType="separate"/>
        </w:r>
        <w:r w:rsidR="000747EF">
          <w:rPr>
            <w:noProof/>
            <w:webHidden/>
          </w:rPr>
          <w:t>5</w:t>
        </w:r>
        <w:r w:rsidR="006F2117">
          <w:rPr>
            <w:noProof/>
            <w:webHidden/>
          </w:rPr>
          <w:fldChar w:fldCharType="end"/>
        </w:r>
      </w:hyperlink>
    </w:p>
    <w:p w:rsidR="006F2117" w:rsidRDefault="00B06F92">
      <w:pPr>
        <w:pStyle w:val="TOC2"/>
        <w:tabs>
          <w:tab w:val="right" w:leader="dot" w:pos="9350"/>
        </w:tabs>
        <w:rPr>
          <w:rFonts w:asciiTheme="minorHAnsi" w:eastAsiaTheme="minorEastAsia" w:hAnsiTheme="minorHAnsi" w:cstheme="minorBidi"/>
          <w:noProof/>
          <w:sz w:val="22"/>
          <w:szCs w:val="22"/>
        </w:rPr>
      </w:pPr>
      <w:hyperlink w:anchor="_Toc436750471" w:history="1">
        <w:r w:rsidR="006F2117" w:rsidRPr="008E469F">
          <w:rPr>
            <w:rStyle w:val="Hyperlink"/>
            <w:noProof/>
          </w:rPr>
          <w:t>2.2. Demand Reduction Estimation Methodologies</w:t>
        </w:r>
        <w:r w:rsidR="006F2117">
          <w:rPr>
            <w:noProof/>
            <w:webHidden/>
          </w:rPr>
          <w:tab/>
        </w:r>
        <w:r w:rsidR="006F2117">
          <w:rPr>
            <w:noProof/>
            <w:webHidden/>
          </w:rPr>
          <w:fldChar w:fldCharType="begin"/>
        </w:r>
        <w:r w:rsidR="006F2117">
          <w:rPr>
            <w:noProof/>
            <w:webHidden/>
          </w:rPr>
          <w:instrText xml:space="preserve"> PAGEREF _Toc436750471 \h </w:instrText>
        </w:r>
        <w:r w:rsidR="006F2117">
          <w:rPr>
            <w:noProof/>
            <w:webHidden/>
          </w:rPr>
        </w:r>
        <w:r w:rsidR="006F2117">
          <w:rPr>
            <w:noProof/>
            <w:webHidden/>
          </w:rPr>
          <w:fldChar w:fldCharType="separate"/>
        </w:r>
        <w:r w:rsidR="000747EF">
          <w:rPr>
            <w:noProof/>
            <w:webHidden/>
          </w:rPr>
          <w:t>5</w:t>
        </w:r>
        <w:r w:rsidR="006F2117">
          <w:rPr>
            <w:noProof/>
            <w:webHidden/>
          </w:rPr>
          <w:fldChar w:fldCharType="end"/>
        </w:r>
      </w:hyperlink>
    </w:p>
    <w:p w:rsidR="006F2117" w:rsidRDefault="00B06F92">
      <w:pPr>
        <w:pStyle w:val="TOC1"/>
        <w:tabs>
          <w:tab w:val="right" w:leader="dot" w:pos="9350"/>
        </w:tabs>
        <w:rPr>
          <w:rFonts w:asciiTheme="minorHAnsi" w:eastAsiaTheme="minorEastAsia" w:hAnsiTheme="minorHAnsi" w:cstheme="minorBidi"/>
          <w:noProof/>
          <w:sz w:val="22"/>
          <w:szCs w:val="22"/>
        </w:rPr>
      </w:pPr>
      <w:hyperlink w:anchor="_Toc436750472" w:history="1">
        <w:r w:rsidR="006F2117" w:rsidRPr="008E469F">
          <w:rPr>
            <w:rStyle w:val="Hyperlink"/>
            <w:noProof/>
          </w:rPr>
          <w:t>2.3. Gas Energy Impact Estimation Methodologies</w:t>
        </w:r>
        <w:r w:rsidR="006F2117">
          <w:rPr>
            <w:noProof/>
            <w:webHidden/>
          </w:rPr>
          <w:tab/>
        </w:r>
        <w:r w:rsidR="006F2117">
          <w:rPr>
            <w:noProof/>
            <w:webHidden/>
          </w:rPr>
          <w:fldChar w:fldCharType="begin"/>
        </w:r>
        <w:r w:rsidR="006F2117">
          <w:rPr>
            <w:noProof/>
            <w:webHidden/>
          </w:rPr>
          <w:instrText xml:space="preserve"> PAGEREF _Toc436750472 \h </w:instrText>
        </w:r>
        <w:r w:rsidR="006F2117">
          <w:rPr>
            <w:noProof/>
            <w:webHidden/>
          </w:rPr>
        </w:r>
        <w:r w:rsidR="006F2117">
          <w:rPr>
            <w:noProof/>
            <w:webHidden/>
          </w:rPr>
          <w:fldChar w:fldCharType="separate"/>
        </w:r>
        <w:r w:rsidR="000747EF">
          <w:rPr>
            <w:noProof/>
            <w:webHidden/>
          </w:rPr>
          <w:t>6</w:t>
        </w:r>
        <w:r w:rsidR="006F2117">
          <w:rPr>
            <w:noProof/>
            <w:webHidden/>
          </w:rPr>
          <w:fldChar w:fldCharType="end"/>
        </w:r>
      </w:hyperlink>
    </w:p>
    <w:p w:rsidR="006F2117" w:rsidRDefault="00B06F92">
      <w:pPr>
        <w:pStyle w:val="TOC1"/>
        <w:tabs>
          <w:tab w:val="right" w:leader="dot" w:pos="9350"/>
        </w:tabs>
        <w:rPr>
          <w:rFonts w:asciiTheme="minorHAnsi" w:eastAsiaTheme="minorEastAsia" w:hAnsiTheme="minorHAnsi" w:cstheme="minorBidi"/>
          <w:noProof/>
          <w:sz w:val="22"/>
          <w:szCs w:val="22"/>
        </w:rPr>
      </w:pPr>
      <w:hyperlink w:anchor="_Toc436750473" w:history="1">
        <w:r w:rsidR="006F2117" w:rsidRPr="008E469F">
          <w:rPr>
            <w:rStyle w:val="Hyperlink"/>
            <w:noProof/>
          </w:rPr>
          <w:t>Section 3. Load Shapes</w:t>
        </w:r>
        <w:r w:rsidR="006F2117">
          <w:rPr>
            <w:noProof/>
            <w:webHidden/>
          </w:rPr>
          <w:tab/>
        </w:r>
        <w:r w:rsidR="006F2117">
          <w:rPr>
            <w:noProof/>
            <w:webHidden/>
          </w:rPr>
          <w:fldChar w:fldCharType="begin"/>
        </w:r>
        <w:r w:rsidR="006F2117">
          <w:rPr>
            <w:noProof/>
            <w:webHidden/>
          </w:rPr>
          <w:instrText xml:space="preserve"> PAGEREF _Toc436750473 \h </w:instrText>
        </w:r>
        <w:r w:rsidR="006F2117">
          <w:rPr>
            <w:noProof/>
            <w:webHidden/>
          </w:rPr>
        </w:r>
        <w:r w:rsidR="006F2117">
          <w:rPr>
            <w:noProof/>
            <w:webHidden/>
          </w:rPr>
          <w:fldChar w:fldCharType="separate"/>
        </w:r>
        <w:r w:rsidR="000747EF">
          <w:rPr>
            <w:noProof/>
            <w:webHidden/>
          </w:rPr>
          <w:t>7</w:t>
        </w:r>
        <w:r w:rsidR="006F2117">
          <w:rPr>
            <w:noProof/>
            <w:webHidden/>
          </w:rPr>
          <w:fldChar w:fldCharType="end"/>
        </w:r>
      </w:hyperlink>
    </w:p>
    <w:p w:rsidR="006F2117" w:rsidRDefault="00B06F92">
      <w:pPr>
        <w:pStyle w:val="TOC2"/>
        <w:tabs>
          <w:tab w:val="right" w:leader="dot" w:pos="9350"/>
        </w:tabs>
        <w:rPr>
          <w:rFonts w:asciiTheme="minorHAnsi" w:eastAsiaTheme="minorEastAsia" w:hAnsiTheme="minorHAnsi" w:cstheme="minorBidi"/>
          <w:noProof/>
          <w:sz w:val="22"/>
          <w:szCs w:val="22"/>
        </w:rPr>
      </w:pPr>
      <w:hyperlink w:anchor="_Toc436750474" w:history="1">
        <w:r w:rsidR="006F2117" w:rsidRPr="008E469F">
          <w:rPr>
            <w:rStyle w:val="Hyperlink"/>
            <w:noProof/>
          </w:rPr>
          <w:t>3.1 Base Case Load Shapes</w:t>
        </w:r>
        <w:r w:rsidR="006F2117">
          <w:rPr>
            <w:noProof/>
            <w:webHidden/>
          </w:rPr>
          <w:tab/>
        </w:r>
        <w:r w:rsidR="006F2117">
          <w:rPr>
            <w:noProof/>
            <w:webHidden/>
          </w:rPr>
          <w:fldChar w:fldCharType="begin"/>
        </w:r>
        <w:r w:rsidR="006F2117">
          <w:rPr>
            <w:noProof/>
            <w:webHidden/>
          </w:rPr>
          <w:instrText xml:space="preserve"> PAGEREF _Toc436750474 \h </w:instrText>
        </w:r>
        <w:r w:rsidR="006F2117">
          <w:rPr>
            <w:noProof/>
            <w:webHidden/>
          </w:rPr>
        </w:r>
        <w:r w:rsidR="006F2117">
          <w:rPr>
            <w:noProof/>
            <w:webHidden/>
          </w:rPr>
          <w:fldChar w:fldCharType="separate"/>
        </w:r>
        <w:r w:rsidR="000747EF">
          <w:rPr>
            <w:noProof/>
            <w:webHidden/>
          </w:rPr>
          <w:t>7</w:t>
        </w:r>
        <w:r w:rsidR="006F2117">
          <w:rPr>
            <w:noProof/>
            <w:webHidden/>
          </w:rPr>
          <w:fldChar w:fldCharType="end"/>
        </w:r>
      </w:hyperlink>
    </w:p>
    <w:p w:rsidR="006F2117" w:rsidRDefault="00B06F92">
      <w:pPr>
        <w:pStyle w:val="TOC2"/>
        <w:tabs>
          <w:tab w:val="right" w:leader="dot" w:pos="9350"/>
        </w:tabs>
        <w:rPr>
          <w:rFonts w:asciiTheme="minorHAnsi" w:eastAsiaTheme="minorEastAsia" w:hAnsiTheme="minorHAnsi" w:cstheme="minorBidi"/>
          <w:noProof/>
          <w:sz w:val="22"/>
          <w:szCs w:val="22"/>
        </w:rPr>
      </w:pPr>
      <w:hyperlink w:anchor="_Toc436750475" w:history="1">
        <w:r w:rsidR="006F2117" w:rsidRPr="008E469F">
          <w:rPr>
            <w:rStyle w:val="Hyperlink"/>
            <w:noProof/>
          </w:rPr>
          <w:t>3.2 Measure Load Shapes</w:t>
        </w:r>
        <w:r w:rsidR="006F2117">
          <w:rPr>
            <w:noProof/>
            <w:webHidden/>
          </w:rPr>
          <w:tab/>
        </w:r>
        <w:r w:rsidR="006F2117">
          <w:rPr>
            <w:noProof/>
            <w:webHidden/>
          </w:rPr>
          <w:fldChar w:fldCharType="begin"/>
        </w:r>
        <w:r w:rsidR="006F2117">
          <w:rPr>
            <w:noProof/>
            <w:webHidden/>
          </w:rPr>
          <w:instrText xml:space="preserve"> PAGEREF _Toc436750475 \h </w:instrText>
        </w:r>
        <w:r w:rsidR="006F2117">
          <w:rPr>
            <w:noProof/>
            <w:webHidden/>
          </w:rPr>
        </w:r>
        <w:r w:rsidR="006F2117">
          <w:rPr>
            <w:noProof/>
            <w:webHidden/>
          </w:rPr>
          <w:fldChar w:fldCharType="separate"/>
        </w:r>
        <w:r w:rsidR="000747EF">
          <w:rPr>
            <w:noProof/>
            <w:webHidden/>
          </w:rPr>
          <w:t>7</w:t>
        </w:r>
        <w:r w:rsidR="006F2117">
          <w:rPr>
            <w:noProof/>
            <w:webHidden/>
          </w:rPr>
          <w:fldChar w:fldCharType="end"/>
        </w:r>
      </w:hyperlink>
    </w:p>
    <w:p w:rsidR="006F2117" w:rsidRDefault="00B06F92">
      <w:pPr>
        <w:pStyle w:val="TOC1"/>
        <w:tabs>
          <w:tab w:val="right" w:leader="dot" w:pos="9350"/>
        </w:tabs>
        <w:rPr>
          <w:rFonts w:asciiTheme="minorHAnsi" w:eastAsiaTheme="minorEastAsia" w:hAnsiTheme="minorHAnsi" w:cstheme="minorBidi"/>
          <w:noProof/>
          <w:sz w:val="22"/>
          <w:szCs w:val="22"/>
        </w:rPr>
      </w:pPr>
      <w:hyperlink w:anchor="_Toc436750476" w:history="1">
        <w:r w:rsidR="006F2117" w:rsidRPr="008E469F">
          <w:rPr>
            <w:rStyle w:val="Hyperlink"/>
            <w:noProof/>
          </w:rPr>
          <w:t>Section 4. Base Case &amp; Measure Costs</w:t>
        </w:r>
        <w:r w:rsidR="006F2117">
          <w:rPr>
            <w:noProof/>
            <w:webHidden/>
          </w:rPr>
          <w:tab/>
        </w:r>
        <w:r w:rsidR="006F2117">
          <w:rPr>
            <w:noProof/>
            <w:webHidden/>
          </w:rPr>
          <w:fldChar w:fldCharType="begin"/>
        </w:r>
        <w:r w:rsidR="006F2117">
          <w:rPr>
            <w:noProof/>
            <w:webHidden/>
          </w:rPr>
          <w:instrText xml:space="preserve"> PAGEREF _Toc436750476 \h </w:instrText>
        </w:r>
        <w:r w:rsidR="006F2117">
          <w:rPr>
            <w:noProof/>
            <w:webHidden/>
          </w:rPr>
        </w:r>
        <w:r w:rsidR="006F2117">
          <w:rPr>
            <w:noProof/>
            <w:webHidden/>
          </w:rPr>
          <w:fldChar w:fldCharType="separate"/>
        </w:r>
        <w:r w:rsidR="000747EF">
          <w:rPr>
            <w:noProof/>
            <w:webHidden/>
          </w:rPr>
          <w:t>8</w:t>
        </w:r>
        <w:r w:rsidR="006F2117">
          <w:rPr>
            <w:noProof/>
            <w:webHidden/>
          </w:rPr>
          <w:fldChar w:fldCharType="end"/>
        </w:r>
      </w:hyperlink>
    </w:p>
    <w:p w:rsidR="006F2117" w:rsidRDefault="00B06F92">
      <w:pPr>
        <w:pStyle w:val="TOC2"/>
        <w:tabs>
          <w:tab w:val="right" w:leader="dot" w:pos="9350"/>
        </w:tabs>
        <w:rPr>
          <w:rFonts w:asciiTheme="minorHAnsi" w:eastAsiaTheme="minorEastAsia" w:hAnsiTheme="minorHAnsi" w:cstheme="minorBidi"/>
          <w:noProof/>
          <w:sz w:val="22"/>
          <w:szCs w:val="22"/>
        </w:rPr>
      </w:pPr>
      <w:hyperlink w:anchor="_Toc436750477" w:history="1">
        <w:r w:rsidR="006F2117" w:rsidRPr="008E469F">
          <w:rPr>
            <w:rStyle w:val="Hyperlink"/>
            <w:noProof/>
          </w:rPr>
          <w:t>4.1 Base Cases Costs</w:t>
        </w:r>
        <w:r w:rsidR="006F2117">
          <w:rPr>
            <w:noProof/>
            <w:webHidden/>
          </w:rPr>
          <w:tab/>
        </w:r>
        <w:r w:rsidR="006F2117">
          <w:rPr>
            <w:noProof/>
            <w:webHidden/>
          </w:rPr>
          <w:fldChar w:fldCharType="begin"/>
        </w:r>
        <w:r w:rsidR="006F2117">
          <w:rPr>
            <w:noProof/>
            <w:webHidden/>
          </w:rPr>
          <w:instrText xml:space="preserve"> PAGEREF _Toc436750477 \h </w:instrText>
        </w:r>
        <w:r w:rsidR="006F2117">
          <w:rPr>
            <w:noProof/>
            <w:webHidden/>
          </w:rPr>
        </w:r>
        <w:r w:rsidR="006F2117">
          <w:rPr>
            <w:noProof/>
            <w:webHidden/>
          </w:rPr>
          <w:fldChar w:fldCharType="separate"/>
        </w:r>
        <w:r w:rsidR="000747EF">
          <w:rPr>
            <w:noProof/>
            <w:webHidden/>
          </w:rPr>
          <w:t>8</w:t>
        </w:r>
        <w:r w:rsidR="006F2117">
          <w:rPr>
            <w:noProof/>
            <w:webHidden/>
          </w:rPr>
          <w:fldChar w:fldCharType="end"/>
        </w:r>
      </w:hyperlink>
    </w:p>
    <w:p w:rsidR="006F2117" w:rsidRDefault="00B06F92">
      <w:pPr>
        <w:pStyle w:val="TOC2"/>
        <w:tabs>
          <w:tab w:val="right" w:leader="dot" w:pos="9350"/>
        </w:tabs>
        <w:rPr>
          <w:rFonts w:asciiTheme="minorHAnsi" w:eastAsiaTheme="minorEastAsia" w:hAnsiTheme="minorHAnsi" w:cstheme="minorBidi"/>
          <w:noProof/>
          <w:sz w:val="22"/>
          <w:szCs w:val="22"/>
        </w:rPr>
      </w:pPr>
      <w:hyperlink w:anchor="_Toc436750478" w:history="1">
        <w:r w:rsidR="006F2117" w:rsidRPr="008E469F">
          <w:rPr>
            <w:rStyle w:val="Hyperlink"/>
            <w:noProof/>
          </w:rPr>
          <w:t>4.2 Measure Costs</w:t>
        </w:r>
        <w:r w:rsidR="006F2117">
          <w:rPr>
            <w:noProof/>
            <w:webHidden/>
          </w:rPr>
          <w:tab/>
        </w:r>
        <w:r w:rsidR="006F2117">
          <w:rPr>
            <w:noProof/>
            <w:webHidden/>
          </w:rPr>
          <w:fldChar w:fldCharType="begin"/>
        </w:r>
        <w:r w:rsidR="006F2117">
          <w:rPr>
            <w:noProof/>
            <w:webHidden/>
          </w:rPr>
          <w:instrText xml:space="preserve"> PAGEREF _Toc436750478 \h </w:instrText>
        </w:r>
        <w:r w:rsidR="006F2117">
          <w:rPr>
            <w:noProof/>
            <w:webHidden/>
          </w:rPr>
        </w:r>
        <w:r w:rsidR="006F2117">
          <w:rPr>
            <w:noProof/>
            <w:webHidden/>
          </w:rPr>
          <w:fldChar w:fldCharType="separate"/>
        </w:r>
        <w:r w:rsidR="000747EF">
          <w:rPr>
            <w:noProof/>
            <w:webHidden/>
          </w:rPr>
          <w:t>8</w:t>
        </w:r>
        <w:r w:rsidR="006F2117">
          <w:rPr>
            <w:noProof/>
            <w:webHidden/>
          </w:rPr>
          <w:fldChar w:fldCharType="end"/>
        </w:r>
      </w:hyperlink>
    </w:p>
    <w:p w:rsidR="006F2117" w:rsidRDefault="00B06F92">
      <w:pPr>
        <w:pStyle w:val="TOC2"/>
        <w:tabs>
          <w:tab w:val="right" w:leader="dot" w:pos="9350"/>
        </w:tabs>
        <w:rPr>
          <w:rFonts w:asciiTheme="minorHAnsi" w:eastAsiaTheme="minorEastAsia" w:hAnsiTheme="minorHAnsi" w:cstheme="minorBidi"/>
          <w:noProof/>
          <w:sz w:val="22"/>
          <w:szCs w:val="22"/>
        </w:rPr>
      </w:pPr>
      <w:hyperlink w:anchor="_Toc436750479" w:history="1">
        <w:r w:rsidR="006F2117" w:rsidRPr="008E469F">
          <w:rPr>
            <w:rStyle w:val="Hyperlink"/>
            <w:noProof/>
          </w:rPr>
          <w:t>4.3 Incremental &amp; Full Measure Costs</w:t>
        </w:r>
        <w:r w:rsidR="006F2117">
          <w:rPr>
            <w:noProof/>
            <w:webHidden/>
          </w:rPr>
          <w:tab/>
        </w:r>
        <w:r w:rsidR="006F2117">
          <w:rPr>
            <w:noProof/>
            <w:webHidden/>
          </w:rPr>
          <w:fldChar w:fldCharType="begin"/>
        </w:r>
        <w:r w:rsidR="006F2117">
          <w:rPr>
            <w:noProof/>
            <w:webHidden/>
          </w:rPr>
          <w:instrText xml:space="preserve"> PAGEREF _Toc436750479 \h </w:instrText>
        </w:r>
        <w:r w:rsidR="006F2117">
          <w:rPr>
            <w:noProof/>
            <w:webHidden/>
          </w:rPr>
        </w:r>
        <w:r w:rsidR="006F2117">
          <w:rPr>
            <w:noProof/>
            <w:webHidden/>
          </w:rPr>
          <w:fldChar w:fldCharType="separate"/>
        </w:r>
        <w:r w:rsidR="000747EF">
          <w:rPr>
            <w:noProof/>
            <w:webHidden/>
          </w:rPr>
          <w:t>9</w:t>
        </w:r>
        <w:r w:rsidR="006F2117">
          <w:rPr>
            <w:noProof/>
            <w:webHidden/>
          </w:rPr>
          <w:fldChar w:fldCharType="end"/>
        </w:r>
      </w:hyperlink>
    </w:p>
    <w:p w:rsidR="006F2117" w:rsidRDefault="00B06F92">
      <w:pPr>
        <w:pStyle w:val="TOC1"/>
        <w:tabs>
          <w:tab w:val="right" w:leader="dot" w:pos="9350"/>
        </w:tabs>
        <w:rPr>
          <w:rFonts w:asciiTheme="minorHAnsi" w:eastAsiaTheme="minorEastAsia" w:hAnsiTheme="minorHAnsi" w:cstheme="minorBidi"/>
          <w:noProof/>
          <w:sz w:val="22"/>
          <w:szCs w:val="22"/>
        </w:rPr>
      </w:pPr>
      <w:hyperlink w:anchor="_Toc436750480" w:history="1">
        <w:r w:rsidR="006F2117" w:rsidRPr="008E469F">
          <w:rPr>
            <w:rStyle w:val="Hyperlink"/>
            <w:noProof/>
          </w:rPr>
          <w:t>References</w:t>
        </w:r>
        <w:r w:rsidR="006F2117">
          <w:rPr>
            <w:noProof/>
            <w:webHidden/>
          </w:rPr>
          <w:tab/>
        </w:r>
        <w:r w:rsidR="006F2117">
          <w:rPr>
            <w:noProof/>
            <w:webHidden/>
          </w:rPr>
          <w:fldChar w:fldCharType="begin"/>
        </w:r>
        <w:r w:rsidR="006F2117">
          <w:rPr>
            <w:noProof/>
            <w:webHidden/>
          </w:rPr>
          <w:instrText xml:space="preserve"> PAGEREF _Toc436750480 \h </w:instrText>
        </w:r>
        <w:r w:rsidR="006F2117">
          <w:rPr>
            <w:noProof/>
            <w:webHidden/>
          </w:rPr>
        </w:r>
        <w:r w:rsidR="006F2117">
          <w:rPr>
            <w:noProof/>
            <w:webHidden/>
          </w:rPr>
          <w:fldChar w:fldCharType="separate"/>
        </w:r>
        <w:r w:rsidR="000747EF">
          <w:rPr>
            <w:noProof/>
            <w:webHidden/>
          </w:rPr>
          <w:t>12</w:t>
        </w:r>
        <w:r w:rsidR="006F2117">
          <w:rPr>
            <w:noProof/>
            <w:webHidden/>
          </w:rPr>
          <w:fldChar w:fldCharType="end"/>
        </w:r>
      </w:hyperlink>
    </w:p>
    <w:p w:rsidR="00C63493" w:rsidRDefault="001E4DE7" w:rsidP="00C63493">
      <w:pPr>
        <w:pStyle w:val="Heading1"/>
      </w:pPr>
      <w:r>
        <w:rPr>
          <w:rStyle w:val="Hyperlink"/>
          <w:rFonts w:ascii="Times New Roman" w:hAnsi="Times New Roman"/>
          <w:b w:val="0"/>
          <w:bCs w:val="0"/>
          <w:kern w:val="0"/>
          <w:sz w:val="24"/>
          <w:szCs w:val="24"/>
        </w:rPr>
        <w:fldChar w:fldCharType="end"/>
      </w:r>
      <w:bookmarkStart w:id="15" w:name="_Toc174189527"/>
      <w:bookmarkStart w:id="16" w:name="_Toc172205729"/>
      <w:bookmarkStart w:id="17" w:name="_Toc436750458"/>
      <w:bookmarkEnd w:id="15"/>
      <w:r w:rsidR="00C63493">
        <w:t>List of Tables</w:t>
      </w:r>
      <w:bookmarkEnd w:id="16"/>
      <w:bookmarkEnd w:id="17"/>
    </w:p>
    <w:p w:rsidR="000747EF" w:rsidRPr="000747EF" w:rsidRDefault="00035759">
      <w:pPr>
        <w:pStyle w:val="TableofFigures"/>
        <w:tabs>
          <w:tab w:val="right" w:leader="dot" w:pos="9350"/>
        </w:tabs>
        <w:rPr>
          <w:rFonts w:eastAsiaTheme="minorEastAsia"/>
          <w:noProof/>
        </w:rPr>
      </w:pPr>
      <w:r w:rsidRPr="000747EF">
        <w:fldChar w:fldCharType="begin"/>
      </w:r>
      <w:r w:rsidRPr="000747EF">
        <w:instrText xml:space="preserve"> TOC \h \z \c "Table" </w:instrText>
      </w:r>
      <w:r w:rsidRPr="000747EF">
        <w:fldChar w:fldCharType="separate"/>
      </w:r>
      <w:hyperlink w:anchor="_Toc438034271" w:history="1">
        <w:r w:rsidR="000747EF" w:rsidRPr="000747EF">
          <w:rPr>
            <w:rStyle w:val="Hyperlink"/>
            <w:noProof/>
          </w:rPr>
          <w:t>Table 1 Measure Application Type</w:t>
        </w:r>
        <w:r w:rsidR="000747EF" w:rsidRPr="000747EF">
          <w:rPr>
            <w:noProof/>
            <w:webHidden/>
          </w:rPr>
          <w:tab/>
        </w:r>
        <w:r w:rsidR="000747EF" w:rsidRPr="000747EF">
          <w:rPr>
            <w:noProof/>
            <w:webHidden/>
          </w:rPr>
          <w:fldChar w:fldCharType="begin"/>
        </w:r>
        <w:r w:rsidR="000747EF" w:rsidRPr="000747EF">
          <w:rPr>
            <w:noProof/>
            <w:webHidden/>
          </w:rPr>
          <w:instrText xml:space="preserve"> PAGEREF _Toc438034271 \h </w:instrText>
        </w:r>
        <w:r w:rsidR="000747EF" w:rsidRPr="000747EF">
          <w:rPr>
            <w:noProof/>
            <w:webHidden/>
          </w:rPr>
        </w:r>
        <w:r w:rsidR="000747EF" w:rsidRPr="000747EF">
          <w:rPr>
            <w:noProof/>
            <w:webHidden/>
          </w:rPr>
          <w:fldChar w:fldCharType="separate"/>
        </w:r>
        <w:r w:rsidR="000747EF" w:rsidRPr="000747EF">
          <w:rPr>
            <w:noProof/>
            <w:webHidden/>
          </w:rPr>
          <w:t>1</w:t>
        </w:r>
        <w:r w:rsidR="000747EF" w:rsidRPr="000747EF">
          <w:rPr>
            <w:noProof/>
            <w:webHidden/>
          </w:rPr>
          <w:fldChar w:fldCharType="end"/>
        </w:r>
      </w:hyperlink>
    </w:p>
    <w:p w:rsidR="000747EF" w:rsidRPr="000747EF" w:rsidRDefault="000747EF">
      <w:pPr>
        <w:pStyle w:val="TableofFigures"/>
        <w:tabs>
          <w:tab w:val="right" w:leader="dot" w:pos="9350"/>
        </w:tabs>
        <w:rPr>
          <w:rFonts w:eastAsiaTheme="minorEastAsia"/>
          <w:noProof/>
        </w:rPr>
      </w:pPr>
      <w:hyperlink w:anchor="_Toc438034272" w:history="1">
        <w:r w:rsidRPr="000747EF">
          <w:rPr>
            <w:rStyle w:val="Hyperlink"/>
            <w:noProof/>
          </w:rPr>
          <w:t>Table 2 Wattage Reduction Ratios</w:t>
        </w:r>
        <w:r w:rsidRPr="000747EF">
          <w:rPr>
            <w:noProof/>
            <w:webHidden/>
          </w:rPr>
          <w:tab/>
        </w:r>
        <w:r w:rsidRPr="000747EF">
          <w:rPr>
            <w:noProof/>
            <w:webHidden/>
          </w:rPr>
          <w:fldChar w:fldCharType="begin"/>
        </w:r>
        <w:r w:rsidRPr="000747EF">
          <w:rPr>
            <w:noProof/>
            <w:webHidden/>
          </w:rPr>
          <w:instrText xml:space="preserve"> PAGEREF _Toc438034272 \h </w:instrText>
        </w:r>
        <w:r w:rsidRPr="000747EF">
          <w:rPr>
            <w:noProof/>
            <w:webHidden/>
          </w:rPr>
        </w:r>
        <w:r w:rsidRPr="000747EF">
          <w:rPr>
            <w:noProof/>
            <w:webHidden/>
          </w:rPr>
          <w:fldChar w:fldCharType="separate"/>
        </w:r>
        <w:r w:rsidRPr="000747EF">
          <w:rPr>
            <w:noProof/>
            <w:webHidden/>
          </w:rPr>
          <w:t>2</w:t>
        </w:r>
        <w:r w:rsidRPr="000747EF">
          <w:rPr>
            <w:noProof/>
            <w:webHidden/>
          </w:rPr>
          <w:fldChar w:fldCharType="end"/>
        </w:r>
      </w:hyperlink>
    </w:p>
    <w:p w:rsidR="000747EF" w:rsidRPr="000747EF" w:rsidRDefault="000747EF">
      <w:pPr>
        <w:pStyle w:val="TableofFigures"/>
        <w:tabs>
          <w:tab w:val="right" w:leader="dot" w:pos="9350"/>
        </w:tabs>
        <w:rPr>
          <w:rFonts w:eastAsiaTheme="minorEastAsia"/>
          <w:noProof/>
        </w:rPr>
      </w:pPr>
      <w:hyperlink w:anchor="_Toc438034273" w:history="1">
        <w:r w:rsidRPr="000747EF">
          <w:rPr>
            <w:rStyle w:val="Hyperlink"/>
            <w:noProof/>
          </w:rPr>
          <w:t>Table 3 CFL Net-to-Gross</w:t>
        </w:r>
        <w:r w:rsidRPr="000747EF">
          <w:rPr>
            <w:noProof/>
            <w:webHidden/>
          </w:rPr>
          <w:tab/>
        </w:r>
        <w:r w:rsidRPr="000747EF">
          <w:rPr>
            <w:noProof/>
            <w:webHidden/>
          </w:rPr>
          <w:fldChar w:fldCharType="begin"/>
        </w:r>
        <w:r w:rsidRPr="000747EF">
          <w:rPr>
            <w:noProof/>
            <w:webHidden/>
          </w:rPr>
          <w:instrText xml:space="preserve"> PAGEREF _Toc438034273 \h </w:instrText>
        </w:r>
        <w:r w:rsidRPr="000747EF">
          <w:rPr>
            <w:noProof/>
            <w:webHidden/>
          </w:rPr>
        </w:r>
        <w:r w:rsidRPr="000747EF">
          <w:rPr>
            <w:noProof/>
            <w:webHidden/>
          </w:rPr>
          <w:fldChar w:fldCharType="separate"/>
        </w:r>
        <w:r w:rsidRPr="000747EF">
          <w:rPr>
            <w:noProof/>
            <w:webHidden/>
          </w:rPr>
          <w:t>2</w:t>
        </w:r>
        <w:r w:rsidRPr="000747EF">
          <w:rPr>
            <w:noProof/>
            <w:webHidden/>
          </w:rPr>
          <w:fldChar w:fldCharType="end"/>
        </w:r>
      </w:hyperlink>
    </w:p>
    <w:p w:rsidR="000747EF" w:rsidRPr="000747EF" w:rsidRDefault="00B06F92">
      <w:pPr>
        <w:pStyle w:val="TableofFigures"/>
        <w:tabs>
          <w:tab w:val="right" w:leader="dot" w:pos="9350"/>
        </w:tabs>
        <w:rPr>
          <w:rFonts w:eastAsiaTheme="minorEastAsia"/>
          <w:noProof/>
        </w:rPr>
      </w:pPr>
      <w:hyperlink w:anchor="_Toc438034274" w:history="1">
        <w:r w:rsidR="000747EF" w:rsidRPr="000747EF">
          <w:rPr>
            <w:rStyle w:val="Hyperlink"/>
            <w:noProof/>
          </w:rPr>
          <w:t>Table 4 Installation Rate</w:t>
        </w:r>
        <w:r w:rsidR="000747EF" w:rsidRPr="000747EF">
          <w:rPr>
            <w:noProof/>
            <w:webHidden/>
          </w:rPr>
          <w:tab/>
        </w:r>
        <w:r w:rsidR="000747EF" w:rsidRPr="000747EF">
          <w:rPr>
            <w:noProof/>
            <w:webHidden/>
          </w:rPr>
          <w:fldChar w:fldCharType="begin"/>
        </w:r>
        <w:r w:rsidR="000747EF" w:rsidRPr="000747EF">
          <w:rPr>
            <w:noProof/>
            <w:webHidden/>
          </w:rPr>
          <w:instrText xml:space="preserve"> PAGEREF _Toc438034274 \h </w:instrText>
        </w:r>
        <w:r w:rsidR="000747EF" w:rsidRPr="000747EF">
          <w:rPr>
            <w:noProof/>
            <w:webHidden/>
          </w:rPr>
        </w:r>
        <w:r w:rsidR="000747EF" w:rsidRPr="000747EF">
          <w:rPr>
            <w:noProof/>
            <w:webHidden/>
          </w:rPr>
          <w:fldChar w:fldCharType="separate"/>
        </w:r>
        <w:r w:rsidR="000747EF" w:rsidRPr="000747EF">
          <w:rPr>
            <w:noProof/>
            <w:webHidden/>
          </w:rPr>
          <w:t>2</w:t>
        </w:r>
        <w:r w:rsidR="000747EF" w:rsidRPr="000747EF">
          <w:rPr>
            <w:noProof/>
            <w:webHidden/>
          </w:rPr>
          <w:fldChar w:fldCharType="end"/>
        </w:r>
      </w:hyperlink>
    </w:p>
    <w:p w:rsidR="000747EF" w:rsidRPr="000747EF" w:rsidRDefault="00B06F92">
      <w:pPr>
        <w:pStyle w:val="TableofFigures"/>
        <w:tabs>
          <w:tab w:val="right" w:leader="dot" w:pos="9350"/>
        </w:tabs>
        <w:rPr>
          <w:rFonts w:eastAsiaTheme="minorEastAsia"/>
          <w:noProof/>
        </w:rPr>
      </w:pPr>
      <w:hyperlink w:anchor="_Toc438034275" w:history="1">
        <w:r w:rsidR="000747EF" w:rsidRPr="000747EF">
          <w:rPr>
            <w:rStyle w:val="Hyperlink"/>
            <w:noProof/>
          </w:rPr>
          <w:t>Table 5 CFL Effective Useful Life</w:t>
        </w:r>
        <w:r w:rsidR="000747EF" w:rsidRPr="000747EF">
          <w:rPr>
            <w:noProof/>
            <w:webHidden/>
          </w:rPr>
          <w:tab/>
        </w:r>
        <w:r w:rsidR="000747EF" w:rsidRPr="000747EF">
          <w:rPr>
            <w:noProof/>
            <w:webHidden/>
          </w:rPr>
          <w:fldChar w:fldCharType="begin"/>
        </w:r>
        <w:r w:rsidR="000747EF" w:rsidRPr="000747EF">
          <w:rPr>
            <w:noProof/>
            <w:webHidden/>
          </w:rPr>
          <w:instrText xml:space="preserve"> PAGEREF _Toc438034275 \h </w:instrText>
        </w:r>
        <w:r w:rsidR="000747EF" w:rsidRPr="000747EF">
          <w:rPr>
            <w:noProof/>
            <w:webHidden/>
          </w:rPr>
        </w:r>
        <w:r w:rsidR="000747EF" w:rsidRPr="000747EF">
          <w:rPr>
            <w:noProof/>
            <w:webHidden/>
          </w:rPr>
          <w:fldChar w:fldCharType="separate"/>
        </w:r>
        <w:r w:rsidR="000747EF" w:rsidRPr="000747EF">
          <w:rPr>
            <w:noProof/>
            <w:webHidden/>
          </w:rPr>
          <w:t>3</w:t>
        </w:r>
        <w:r w:rsidR="000747EF" w:rsidRPr="000747EF">
          <w:rPr>
            <w:noProof/>
            <w:webHidden/>
          </w:rPr>
          <w:fldChar w:fldCharType="end"/>
        </w:r>
      </w:hyperlink>
    </w:p>
    <w:p w:rsidR="000747EF" w:rsidRPr="000747EF" w:rsidRDefault="00B06F92">
      <w:pPr>
        <w:pStyle w:val="TableofFigures"/>
        <w:tabs>
          <w:tab w:val="right" w:leader="dot" w:pos="9350"/>
        </w:tabs>
        <w:rPr>
          <w:rFonts w:eastAsiaTheme="minorEastAsia"/>
          <w:noProof/>
        </w:rPr>
      </w:pPr>
      <w:hyperlink w:anchor="_Toc438034276" w:history="1">
        <w:r w:rsidR="000747EF" w:rsidRPr="000747EF">
          <w:rPr>
            <w:rStyle w:val="Hyperlink"/>
            <w:noProof/>
          </w:rPr>
          <w:t>Table 6. Standards for Federally-Regulated Incandescent Reflector Lamps</w:t>
        </w:r>
        <w:r w:rsidR="000747EF" w:rsidRPr="000747EF">
          <w:rPr>
            <w:noProof/>
            <w:webHidden/>
          </w:rPr>
          <w:tab/>
        </w:r>
        <w:r w:rsidR="000747EF" w:rsidRPr="000747EF">
          <w:rPr>
            <w:noProof/>
            <w:webHidden/>
          </w:rPr>
          <w:fldChar w:fldCharType="begin"/>
        </w:r>
        <w:r w:rsidR="000747EF" w:rsidRPr="000747EF">
          <w:rPr>
            <w:noProof/>
            <w:webHidden/>
          </w:rPr>
          <w:instrText xml:space="preserve"> PAGEREF _Toc438034276 \h </w:instrText>
        </w:r>
        <w:r w:rsidR="000747EF" w:rsidRPr="000747EF">
          <w:rPr>
            <w:noProof/>
            <w:webHidden/>
          </w:rPr>
        </w:r>
        <w:r w:rsidR="000747EF" w:rsidRPr="000747EF">
          <w:rPr>
            <w:noProof/>
            <w:webHidden/>
          </w:rPr>
          <w:fldChar w:fldCharType="separate"/>
        </w:r>
        <w:r w:rsidR="000747EF" w:rsidRPr="000747EF">
          <w:rPr>
            <w:noProof/>
            <w:webHidden/>
          </w:rPr>
          <w:t>3</w:t>
        </w:r>
        <w:r w:rsidR="000747EF" w:rsidRPr="000747EF">
          <w:rPr>
            <w:noProof/>
            <w:webHidden/>
          </w:rPr>
          <w:fldChar w:fldCharType="end"/>
        </w:r>
      </w:hyperlink>
    </w:p>
    <w:p w:rsidR="000747EF" w:rsidRPr="000747EF" w:rsidRDefault="00B06F92">
      <w:pPr>
        <w:pStyle w:val="TableofFigures"/>
        <w:tabs>
          <w:tab w:val="right" w:leader="dot" w:pos="9350"/>
        </w:tabs>
        <w:rPr>
          <w:rFonts w:eastAsiaTheme="minorEastAsia"/>
          <w:noProof/>
        </w:rPr>
      </w:pPr>
      <w:hyperlink w:anchor="_Toc438034277" w:history="1">
        <w:r w:rsidR="000747EF" w:rsidRPr="000747EF">
          <w:rPr>
            <w:rStyle w:val="Hyperlink"/>
            <w:noProof/>
          </w:rPr>
          <w:t>Table 7 Building Types and Load Shapes</w:t>
        </w:r>
        <w:r w:rsidR="000747EF" w:rsidRPr="000747EF">
          <w:rPr>
            <w:noProof/>
            <w:webHidden/>
          </w:rPr>
          <w:tab/>
        </w:r>
        <w:r w:rsidR="000747EF" w:rsidRPr="000747EF">
          <w:rPr>
            <w:noProof/>
            <w:webHidden/>
          </w:rPr>
          <w:fldChar w:fldCharType="begin"/>
        </w:r>
        <w:r w:rsidR="000747EF" w:rsidRPr="000747EF">
          <w:rPr>
            <w:noProof/>
            <w:webHidden/>
          </w:rPr>
          <w:instrText xml:space="preserve"> PAGEREF _Toc438034277 \h </w:instrText>
        </w:r>
        <w:r w:rsidR="000747EF" w:rsidRPr="000747EF">
          <w:rPr>
            <w:noProof/>
            <w:webHidden/>
          </w:rPr>
        </w:r>
        <w:r w:rsidR="000747EF" w:rsidRPr="000747EF">
          <w:rPr>
            <w:noProof/>
            <w:webHidden/>
          </w:rPr>
          <w:fldChar w:fldCharType="separate"/>
        </w:r>
        <w:r w:rsidR="000747EF" w:rsidRPr="000747EF">
          <w:rPr>
            <w:noProof/>
            <w:webHidden/>
          </w:rPr>
          <w:t>7</w:t>
        </w:r>
        <w:r w:rsidR="000747EF" w:rsidRPr="000747EF">
          <w:rPr>
            <w:noProof/>
            <w:webHidden/>
          </w:rPr>
          <w:fldChar w:fldCharType="end"/>
        </w:r>
      </w:hyperlink>
    </w:p>
    <w:p w:rsidR="00C63493" w:rsidRDefault="00035759" w:rsidP="0049631D">
      <w:pPr>
        <w:pStyle w:val="TableofFigures"/>
        <w:tabs>
          <w:tab w:val="right" w:leader="dot" w:pos="9350"/>
        </w:tabs>
      </w:pPr>
      <w:r w:rsidRPr="000747EF">
        <w:fldChar w:fldCharType="end"/>
      </w:r>
    </w:p>
    <w:p w:rsidR="00A97C01" w:rsidRDefault="00A97C01" w:rsidP="00A97C01">
      <w:pPr>
        <w:pStyle w:val="Heading1"/>
      </w:pPr>
      <w:bookmarkStart w:id="18" w:name="_Toc436750459"/>
      <w:r>
        <w:t>List of Figures</w:t>
      </w:r>
      <w:bookmarkEnd w:id="18"/>
    </w:p>
    <w:p w:rsidR="00F83448" w:rsidRDefault="00A97C01">
      <w:pPr>
        <w:pStyle w:val="TableofFigures"/>
        <w:tabs>
          <w:tab w:val="right" w:leader="dot" w:pos="9350"/>
        </w:tabs>
        <w:rPr>
          <w:rFonts w:asciiTheme="minorHAnsi" w:eastAsiaTheme="minorEastAsia" w:hAnsiTheme="minorHAnsi" w:cstheme="minorBidi"/>
          <w:noProof/>
          <w:sz w:val="22"/>
          <w:szCs w:val="22"/>
        </w:rPr>
      </w:pPr>
      <w:r w:rsidRPr="00A14384">
        <w:rPr>
          <w:rFonts w:ascii="Arial" w:hAnsi="Arial" w:cs="Arial"/>
          <w:sz w:val="20"/>
          <w:szCs w:val="20"/>
        </w:rPr>
        <w:fldChar w:fldCharType="begin"/>
      </w:r>
      <w:r w:rsidRPr="00A14384">
        <w:rPr>
          <w:rFonts w:ascii="Arial" w:hAnsi="Arial" w:cs="Arial"/>
          <w:sz w:val="20"/>
          <w:szCs w:val="20"/>
        </w:rPr>
        <w:instrText xml:space="preserve"> TOC \h \z \c "Figure" </w:instrText>
      </w:r>
      <w:r w:rsidRPr="00A14384">
        <w:rPr>
          <w:rFonts w:ascii="Arial" w:hAnsi="Arial" w:cs="Arial"/>
          <w:sz w:val="20"/>
          <w:szCs w:val="20"/>
        </w:rPr>
        <w:fldChar w:fldCharType="separate"/>
      </w:r>
      <w:hyperlink w:anchor="_Toc436744233" w:history="1">
        <w:r w:rsidR="00F83448" w:rsidRPr="004A6B67">
          <w:rPr>
            <w:rStyle w:val="Hyperlink"/>
            <w:noProof/>
          </w:rPr>
          <w:t>Figure 1 Linear Regression of CFL Incremental cost per lamp in a weighted pack from DEER 2016</w:t>
        </w:r>
        <w:r w:rsidR="00F83448">
          <w:rPr>
            <w:noProof/>
            <w:webHidden/>
          </w:rPr>
          <w:tab/>
        </w:r>
        <w:r w:rsidR="00F83448">
          <w:rPr>
            <w:noProof/>
            <w:webHidden/>
          </w:rPr>
          <w:fldChar w:fldCharType="begin"/>
        </w:r>
        <w:r w:rsidR="00F83448">
          <w:rPr>
            <w:noProof/>
            <w:webHidden/>
          </w:rPr>
          <w:instrText xml:space="preserve"> PAGEREF _Toc436744233 \h </w:instrText>
        </w:r>
        <w:r w:rsidR="00F83448">
          <w:rPr>
            <w:noProof/>
            <w:webHidden/>
          </w:rPr>
        </w:r>
        <w:r w:rsidR="00F83448">
          <w:rPr>
            <w:noProof/>
            <w:webHidden/>
          </w:rPr>
          <w:fldChar w:fldCharType="separate"/>
        </w:r>
        <w:r w:rsidR="00F83448">
          <w:rPr>
            <w:noProof/>
            <w:webHidden/>
          </w:rPr>
          <w:t>10</w:t>
        </w:r>
        <w:r w:rsidR="00F83448">
          <w:rPr>
            <w:noProof/>
            <w:webHidden/>
          </w:rPr>
          <w:fldChar w:fldCharType="end"/>
        </w:r>
      </w:hyperlink>
    </w:p>
    <w:p w:rsidR="00F83448" w:rsidRDefault="00B06F92">
      <w:pPr>
        <w:pStyle w:val="TableofFigures"/>
        <w:tabs>
          <w:tab w:val="right" w:leader="dot" w:pos="9350"/>
        </w:tabs>
        <w:rPr>
          <w:rFonts w:asciiTheme="minorHAnsi" w:eastAsiaTheme="minorEastAsia" w:hAnsiTheme="minorHAnsi" w:cstheme="minorBidi"/>
          <w:noProof/>
          <w:sz w:val="22"/>
          <w:szCs w:val="22"/>
        </w:rPr>
      </w:pPr>
      <w:hyperlink w:anchor="_Toc436744234" w:history="1">
        <w:r w:rsidR="00F83448" w:rsidRPr="004A6B67">
          <w:rPr>
            <w:rStyle w:val="Hyperlink"/>
            <w:noProof/>
          </w:rPr>
          <w:t>Figure 2 Linear Regression of CFL incremental cost per lamp in a single pack from DEER 2016</w:t>
        </w:r>
        <w:r w:rsidR="00F83448">
          <w:rPr>
            <w:noProof/>
            <w:webHidden/>
          </w:rPr>
          <w:tab/>
        </w:r>
        <w:r w:rsidR="00F83448">
          <w:rPr>
            <w:noProof/>
            <w:webHidden/>
          </w:rPr>
          <w:fldChar w:fldCharType="begin"/>
        </w:r>
        <w:r w:rsidR="00F83448">
          <w:rPr>
            <w:noProof/>
            <w:webHidden/>
          </w:rPr>
          <w:instrText xml:space="preserve"> PAGEREF _Toc436744234 \h </w:instrText>
        </w:r>
        <w:r w:rsidR="00F83448">
          <w:rPr>
            <w:noProof/>
            <w:webHidden/>
          </w:rPr>
        </w:r>
        <w:r w:rsidR="00F83448">
          <w:rPr>
            <w:noProof/>
            <w:webHidden/>
          </w:rPr>
          <w:fldChar w:fldCharType="separate"/>
        </w:r>
        <w:r w:rsidR="00F83448">
          <w:rPr>
            <w:noProof/>
            <w:webHidden/>
          </w:rPr>
          <w:t>11</w:t>
        </w:r>
        <w:r w:rsidR="00F83448">
          <w:rPr>
            <w:noProof/>
            <w:webHidden/>
          </w:rPr>
          <w:fldChar w:fldCharType="end"/>
        </w:r>
      </w:hyperlink>
    </w:p>
    <w:p w:rsidR="00AE7897" w:rsidRDefault="00A97C01" w:rsidP="00F83448">
      <w:pPr>
        <w:pStyle w:val="TableofFigures"/>
        <w:tabs>
          <w:tab w:val="right" w:leader="dot" w:pos="9350"/>
        </w:tabs>
      </w:pPr>
      <w:r w:rsidRPr="00A14384">
        <w:rPr>
          <w:rFonts w:ascii="Arial" w:hAnsi="Arial" w:cs="Arial"/>
          <w:sz w:val="20"/>
          <w:szCs w:val="20"/>
        </w:rPr>
        <w:fldChar w:fldCharType="end"/>
      </w:r>
    </w:p>
    <w:p w:rsidR="00AE7897" w:rsidRDefault="00AE7897" w:rsidP="00C63493">
      <w:pPr>
        <w:sectPr w:rsidR="00AE7897" w:rsidSect="00D81345">
          <w:endnotePr>
            <w:numFmt w:val="decimal"/>
          </w:endnotePr>
          <w:pgSz w:w="12240" w:h="15840"/>
          <w:pgMar w:top="1440" w:right="1440" w:bottom="1440" w:left="1440" w:header="720" w:footer="720" w:gutter="0"/>
          <w:pgNumType w:fmt="lowerRoman"/>
          <w:cols w:space="720"/>
          <w:docGrid w:linePitch="360"/>
        </w:sectPr>
      </w:pPr>
    </w:p>
    <w:p w:rsidR="00C63493" w:rsidRDefault="00C63493" w:rsidP="00C63493">
      <w:pPr>
        <w:pStyle w:val="Heading1"/>
      </w:pPr>
      <w:bookmarkStart w:id="19" w:name="_Toc172205732"/>
      <w:bookmarkStart w:id="20" w:name="_Toc174189529"/>
      <w:bookmarkStart w:id="21" w:name="_Toc436750460"/>
      <w:bookmarkEnd w:id="19"/>
      <w:proofErr w:type="gramStart"/>
      <w:r>
        <w:lastRenderedPageBreak/>
        <w:t>Section 1.</w:t>
      </w:r>
      <w:proofErr w:type="gramEnd"/>
      <w:r>
        <w:t xml:space="preserve"> General Measure &amp; Baseline Data</w:t>
      </w:r>
      <w:bookmarkEnd w:id="20"/>
      <w:bookmarkEnd w:id="21"/>
    </w:p>
    <w:p w:rsidR="00C63493" w:rsidRDefault="00C63493" w:rsidP="00C63493">
      <w:pPr>
        <w:pStyle w:val="Heading2"/>
      </w:pPr>
      <w:bookmarkStart w:id="22" w:name="_Toc174189530"/>
      <w:bookmarkStart w:id="23" w:name="_Toc436750461"/>
      <w:r>
        <w:t>1.1 Measure Description &amp; Background</w:t>
      </w:r>
      <w:bookmarkEnd w:id="22"/>
      <w:bookmarkEnd w:id="23"/>
    </w:p>
    <w:p w:rsidR="003A2C45" w:rsidRPr="007F30A1" w:rsidRDefault="003A2C45" w:rsidP="003A2C45">
      <w:pPr>
        <w:rPr>
          <w:rFonts w:ascii="Arial" w:hAnsi="Arial" w:cs="Arial"/>
          <w:sz w:val="28"/>
          <w:szCs w:val="28"/>
        </w:rPr>
      </w:pPr>
      <w:r>
        <w:t xml:space="preserve">The nonresidential upstream compact fluorescent lighting program encourages manufacturers and distributors to increase the market share of higher efficiency compact fluorescent lamps (CFLs) and their associated fixtures by providing incentives to them that are then passed on to retail customers.  Education for manufacturers and distributors are provided through classes, workshops, and demonstrations.  </w:t>
      </w:r>
    </w:p>
    <w:p w:rsidR="00C63493" w:rsidRDefault="002A6264" w:rsidP="00C63493">
      <w:pPr>
        <w:pStyle w:val="Heading2"/>
      </w:pPr>
      <w:bookmarkStart w:id="24" w:name="_Toc387668774"/>
      <w:bookmarkStart w:id="25" w:name="_Toc436750462"/>
      <w:r>
        <w:t>1.2 Product Technical Description</w:t>
      </w:r>
      <w:bookmarkEnd w:id="24"/>
      <w:bookmarkEnd w:id="25"/>
    </w:p>
    <w:p w:rsidR="00A0341A" w:rsidRDefault="002A6264" w:rsidP="00C63493">
      <w:r w:rsidRPr="002A6264">
        <w:t xml:space="preserve">The nonresidential upstream compact fluorescent lamps (CFL) program encourages commercial customers to replace their existing </w:t>
      </w:r>
      <w:r w:rsidR="00932D3C">
        <w:t xml:space="preserve">incandescent </w:t>
      </w:r>
      <w:r w:rsidRPr="002A6264">
        <w:t>lamps and fixtures with more efficient compact fluorescent lighting.</w:t>
      </w:r>
    </w:p>
    <w:p w:rsidR="002A6264" w:rsidRDefault="002A6264" w:rsidP="002A6264">
      <w:pPr>
        <w:pStyle w:val="Heading2"/>
      </w:pPr>
      <w:bookmarkStart w:id="26" w:name="_Toc387418971"/>
      <w:bookmarkStart w:id="27" w:name="_Toc436750463"/>
      <w:r>
        <w:t>1.3</w:t>
      </w:r>
      <w:r w:rsidRPr="001F0CA0">
        <w:t xml:space="preserve"> </w:t>
      </w:r>
      <w:r>
        <w:t>Measure Application Type</w:t>
      </w:r>
      <w:bookmarkEnd w:id="26"/>
      <w:bookmarkEnd w:id="27"/>
    </w:p>
    <w:p w:rsidR="002A6264" w:rsidRPr="00502494" w:rsidRDefault="002A6264" w:rsidP="002A6264">
      <w:pPr>
        <w:rPr>
          <w:rFonts w:ascii="Arial" w:hAnsi="Arial" w:cs="Arial"/>
          <w:sz w:val="20"/>
          <w:szCs w:val="20"/>
        </w:rPr>
      </w:pPr>
      <w:r w:rsidRPr="008628FD">
        <w:t xml:space="preserve">The DEER Measure Cost Data Users Guide found on </w:t>
      </w:r>
      <w:hyperlink r:id="rId14" w:history="1">
        <w:r w:rsidRPr="008628FD">
          <w:t>www.deeresources.com</w:t>
        </w:r>
      </w:hyperlink>
      <w:r w:rsidRPr="008628FD">
        <w:t xml:space="preserve"> under DEER2011 Database Format hyperlink, DEER2011 for 13-14, spreadsheet SPTdata_format-V0.97.xls, defines the terms as follows:</w:t>
      </w:r>
    </w:p>
    <w:p w:rsidR="002A6264" w:rsidRPr="00746B00" w:rsidRDefault="002A6264" w:rsidP="002A6264">
      <w:pPr>
        <w:rPr>
          <w:rFonts w:ascii="Arial" w:hAnsi="Arial" w:cs="Arial"/>
          <w:i/>
        </w:rPr>
      </w:pPr>
    </w:p>
    <w:p w:rsidR="002A6264" w:rsidRPr="00746B00" w:rsidRDefault="002A6264" w:rsidP="002A6264">
      <w:pPr>
        <w:pStyle w:val="Caption"/>
        <w:keepNext/>
        <w:rPr>
          <w:rFonts w:ascii="Arial" w:hAnsi="Arial" w:cs="Arial"/>
          <w:sz w:val="26"/>
          <w:szCs w:val="26"/>
        </w:rPr>
      </w:pPr>
      <w:bookmarkStart w:id="28" w:name="_Toc324427642"/>
      <w:bookmarkStart w:id="29" w:name="_Toc383697824"/>
      <w:bookmarkStart w:id="30" w:name="_Toc387418797"/>
      <w:bookmarkStart w:id="31" w:name="_Toc438034271"/>
      <w:r w:rsidRPr="00746B00">
        <w:rPr>
          <w:rFonts w:ascii="Arial" w:hAnsi="Arial" w:cs="Arial"/>
        </w:rPr>
        <w:t xml:space="preserve">Table </w:t>
      </w:r>
      <w:r w:rsidRPr="00746B00">
        <w:rPr>
          <w:rFonts w:ascii="Arial" w:hAnsi="Arial" w:cs="Arial"/>
        </w:rPr>
        <w:fldChar w:fldCharType="begin"/>
      </w:r>
      <w:r w:rsidRPr="00746B00">
        <w:rPr>
          <w:rFonts w:ascii="Arial" w:hAnsi="Arial" w:cs="Arial"/>
        </w:rPr>
        <w:instrText xml:space="preserve"> SEQ Table \* ARABIC </w:instrText>
      </w:r>
      <w:r w:rsidRPr="00746B00">
        <w:rPr>
          <w:rFonts w:ascii="Arial" w:hAnsi="Arial" w:cs="Arial"/>
        </w:rPr>
        <w:fldChar w:fldCharType="separate"/>
      </w:r>
      <w:r w:rsidR="00AB59D8">
        <w:rPr>
          <w:rFonts w:ascii="Arial" w:hAnsi="Arial" w:cs="Arial"/>
          <w:noProof/>
        </w:rPr>
        <w:t>1</w:t>
      </w:r>
      <w:r w:rsidRPr="00746B00">
        <w:rPr>
          <w:rFonts w:ascii="Arial" w:hAnsi="Arial" w:cs="Arial"/>
          <w:noProof/>
        </w:rPr>
        <w:fldChar w:fldCharType="end"/>
      </w:r>
      <w:bookmarkStart w:id="32" w:name="RANGE!B222"/>
      <w:r w:rsidRPr="00746B00">
        <w:rPr>
          <w:rFonts w:ascii="Arial" w:hAnsi="Arial" w:cs="Arial"/>
          <w:sz w:val="26"/>
          <w:szCs w:val="26"/>
        </w:rPr>
        <w:t xml:space="preserve"> </w:t>
      </w:r>
      <w:r w:rsidRPr="00746B00">
        <w:rPr>
          <w:rFonts w:ascii="Arial" w:hAnsi="Arial" w:cs="Arial"/>
        </w:rPr>
        <w:t>Measure Application Type</w:t>
      </w:r>
      <w:bookmarkEnd w:id="28"/>
      <w:bookmarkEnd w:id="32"/>
      <w:r w:rsidRPr="00746B00">
        <w:rPr>
          <w:rStyle w:val="EndnoteReference"/>
          <w:rFonts w:ascii="Arial" w:hAnsi="Arial" w:cs="Arial"/>
        </w:rPr>
        <w:endnoteReference w:id="1"/>
      </w:r>
      <w:bookmarkEnd w:id="29"/>
      <w:bookmarkEnd w:id="30"/>
      <w:bookmarkEnd w:id="31"/>
    </w:p>
    <w:p w:rsidR="002A6264" w:rsidRDefault="002A6264" w:rsidP="002A6264">
      <w:pPr>
        <w:keepNext/>
        <w:rPr>
          <w:rFonts w:ascii="Arial" w:hAnsi="Arial" w:cs="Arial"/>
          <w:sz w:val="20"/>
          <w:szCs w:val="20"/>
        </w:rPr>
      </w:pPr>
      <w:proofErr w:type="gramStart"/>
      <w:r w:rsidRPr="0019745A">
        <w:rPr>
          <w:rFonts w:ascii="Arial" w:hAnsi="Arial" w:cs="Arial"/>
          <w:sz w:val="20"/>
          <w:szCs w:val="20"/>
        </w:rPr>
        <w:t xml:space="preserve">Identifies the measure application type in the Measure </w:t>
      </w:r>
      <w:proofErr w:type="spellStart"/>
      <w:r w:rsidRPr="0019745A">
        <w:rPr>
          <w:rFonts w:ascii="Arial" w:hAnsi="Arial" w:cs="Arial"/>
          <w:sz w:val="20"/>
          <w:szCs w:val="20"/>
        </w:rPr>
        <w:t>Implemenation</w:t>
      </w:r>
      <w:proofErr w:type="spellEnd"/>
      <w:r w:rsidRPr="0019745A">
        <w:rPr>
          <w:rFonts w:ascii="Arial" w:hAnsi="Arial" w:cs="Arial"/>
          <w:sz w:val="20"/>
          <w:szCs w:val="20"/>
        </w:rPr>
        <w:t xml:space="preserve"> table in DEER2011.</w:t>
      </w:r>
      <w:proofErr w:type="gramEnd"/>
    </w:p>
    <w:p w:rsidR="002A6264" w:rsidRPr="00746B00" w:rsidRDefault="002A6264" w:rsidP="002A6264">
      <w:pPr>
        <w:keepNext/>
        <w:rPr>
          <w:rFonts w:ascii="Arial" w:hAnsi="Arial" w:cs="Arial"/>
        </w:rPr>
      </w:pPr>
    </w:p>
    <w:tbl>
      <w:tblPr>
        <w:tblW w:w="9090" w:type="dxa"/>
        <w:tblInd w:w="108" w:type="dxa"/>
        <w:tblLook w:val="04A0" w:firstRow="1" w:lastRow="0" w:firstColumn="1" w:lastColumn="0" w:noHBand="0" w:noVBand="1"/>
      </w:tblPr>
      <w:tblGrid>
        <w:gridCol w:w="900"/>
        <w:gridCol w:w="2610"/>
        <w:gridCol w:w="5580"/>
      </w:tblGrid>
      <w:tr w:rsidR="002A6264" w:rsidRPr="00746B00" w:rsidTr="00281680">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2A6264" w:rsidRPr="00746B00" w:rsidRDefault="002A6264" w:rsidP="00281680">
            <w:pPr>
              <w:keepNext/>
              <w:rPr>
                <w:rFonts w:ascii="Arial" w:hAnsi="Arial" w:cs="Arial"/>
                <w:b/>
                <w:color w:val="000000"/>
                <w:szCs w:val="22"/>
              </w:rPr>
            </w:pPr>
            <w:r w:rsidRPr="00746B00">
              <w:rPr>
                <w:rFonts w:ascii="Arial" w:hAnsi="Arial" w:cs="Arial"/>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2A6264" w:rsidRPr="00746B00" w:rsidRDefault="002A6264" w:rsidP="00281680">
            <w:pPr>
              <w:keepNext/>
              <w:rPr>
                <w:rFonts w:ascii="Arial" w:hAnsi="Arial" w:cs="Arial"/>
                <w:b/>
                <w:color w:val="000000"/>
                <w:szCs w:val="22"/>
              </w:rPr>
            </w:pPr>
            <w:r w:rsidRPr="00746B00">
              <w:rPr>
                <w:rFonts w:ascii="Arial" w:hAnsi="Arial"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2A6264" w:rsidRPr="00746B00" w:rsidRDefault="002A6264" w:rsidP="00281680">
            <w:pPr>
              <w:keepNext/>
              <w:rPr>
                <w:rFonts w:ascii="Arial" w:hAnsi="Arial" w:cs="Arial"/>
                <w:b/>
                <w:color w:val="000000"/>
                <w:szCs w:val="22"/>
              </w:rPr>
            </w:pPr>
            <w:r w:rsidRPr="00746B00">
              <w:rPr>
                <w:rFonts w:ascii="Arial" w:hAnsi="Arial" w:cs="Arial"/>
                <w:b/>
                <w:color w:val="000000"/>
                <w:szCs w:val="22"/>
              </w:rPr>
              <w:t>Comment</w:t>
            </w:r>
          </w:p>
        </w:tc>
      </w:tr>
      <w:tr w:rsidR="002A6264" w:rsidRPr="00746B00" w:rsidTr="00281680">
        <w:trPr>
          <w:trHeight w:val="600"/>
        </w:trPr>
        <w:tc>
          <w:tcPr>
            <w:tcW w:w="900" w:type="dxa"/>
            <w:tcBorders>
              <w:top w:val="nil"/>
              <w:left w:val="single" w:sz="4" w:space="0" w:color="auto"/>
              <w:bottom w:val="nil"/>
              <w:right w:val="nil"/>
            </w:tcBorders>
            <w:shd w:val="clear" w:color="auto" w:fill="auto"/>
            <w:noWrap/>
            <w:vAlign w:val="center"/>
            <w:hideMark/>
          </w:tcPr>
          <w:p w:rsidR="002A6264" w:rsidRPr="0019745A" w:rsidRDefault="002A6264" w:rsidP="00281680">
            <w:pPr>
              <w:keepNext/>
              <w:rPr>
                <w:rFonts w:ascii="Arial" w:hAnsi="Arial" w:cs="Arial"/>
                <w:i/>
                <w:sz w:val="20"/>
                <w:szCs w:val="20"/>
              </w:rPr>
            </w:pPr>
            <w:r w:rsidRPr="0019745A">
              <w:rPr>
                <w:rFonts w:ascii="Arial" w:hAnsi="Arial" w:cs="Arial"/>
                <w:i/>
                <w:sz w:val="20"/>
                <w:szCs w:val="20"/>
              </w:rPr>
              <w:t>ER</w:t>
            </w:r>
          </w:p>
        </w:tc>
        <w:tc>
          <w:tcPr>
            <w:tcW w:w="2610" w:type="dxa"/>
            <w:tcBorders>
              <w:top w:val="nil"/>
              <w:left w:val="nil"/>
              <w:bottom w:val="nil"/>
              <w:right w:val="nil"/>
            </w:tcBorders>
            <w:shd w:val="clear" w:color="auto" w:fill="auto"/>
            <w:noWrap/>
            <w:vAlign w:val="center"/>
            <w:hideMark/>
          </w:tcPr>
          <w:p w:rsidR="002A6264" w:rsidRPr="0019745A" w:rsidRDefault="002A6264" w:rsidP="00281680">
            <w:pPr>
              <w:keepNext/>
              <w:rPr>
                <w:rFonts w:ascii="Arial" w:hAnsi="Arial" w:cs="Arial"/>
                <w:i/>
                <w:sz w:val="20"/>
                <w:szCs w:val="20"/>
              </w:rPr>
            </w:pPr>
            <w:r w:rsidRPr="0019745A">
              <w:rPr>
                <w:rFonts w:ascii="Arial" w:hAnsi="Arial" w:cs="Arial"/>
                <w:i/>
                <w:sz w:val="20"/>
                <w:szCs w:val="20"/>
              </w:rPr>
              <w:t>Early retirement</w:t>
            </w:r>
          </w:p>
        </w:tc>
        <w:tc>
          <w:tcPr>
            <w:tcW w:w="5580" w:type="dxa"/>
            <w:tcBorders>
              <w:top w:val="nil"/>
              <w:left w:val="nil"/>
              <w:bottom w:val="nil"/>
              <w:right w:val="single" w:sz="4" w:space="0" w:color="auto"/>
            </w:tcBorders>
            <w:shd w:val="clear" w:color="auto" w:fill="auto"/>
            <w:vAlign w:val="center"/>
            <w:hideMark/>
          </w:tcPr>
          <w:p w:rsidR="002A6264" w:rsidRPr="0019745A" w:rsidRDefault="002A6264" w:rsidP="00281680">
            <w:pPr>
              <w:keepNext/>
              <w:rPr>
                <w:rFonts w:ascii="Arial" w:hAnsi="Arial" w:cs="Arial"/>
                <w:i/>
                <w:sz w:val="20"/>
                <w:szCs w:val="20"/>
              </w:rPr>
            </w:pPr>
            <w:r w:rsidRPr="0019745A">
              <w:rPr>
                <w:rFonts w:ascii="Arial" w:hAnsi="Arial" w:cs="Arial"/>
                <w:i/>
                <w:sz w:val="20"/>
                <w:szCs w:val="20"/>
              </w:rPr>
              <w:t>measure applied while existing equipment still viable, or retrofit of existing equipment</w:t>
            </w:r>
          </w:p>
        </w:tc>
      </w:tr>
      <w:tr w:rsidR="002A6264" w:rsidRPr="00746B00" w:rsidTr="00281680">
        <w:trPr>
          <w:trHeight w:val="600"/>
        </w:trPr>
        <w:tc>
          <w:tcPr>
            <w:tcW w:w="900" w:type="dxa"/>
            <w:tcBorders>
              <w:top w:val="nil"/>
              <w:left w:val="single" w:sz="4" w:space="0" w:color="auto"/>
              <w:bottom w:val="nil"/>
              <w:right w:val="nil"/>
            </w:tcBorders>
            <w:shd w:val="clear" w:color="auto" w:fill="auto"/>
            <w:noWrap/>
            <w:vAlign w:val="center"/>
            <w:hideMark/>
          </w:tcPr>
          <w:p w:rsidR="002A6264" w:rsidRPr="0019745A" w:rsidRDefault="002A6264" w:rsidP="00281680">
            <w:pPr>
              <w:keepNext/>
              <w:rPr>
                <w:rFonts w:ascii="Arial" w:hAnsi="Arial" w:cs="Arial"/>
                <w:i/>
                <w:sz w:val="20"/>
                <w:szCs w:val="20"/>
              </w:rPr>
            </w:pPr>
            <w:r w:rsidRPr="0019745A">
              <w:rPr>
                <w:rFonts w:ascii="Arial" w:hAnsi="Arial" w:cs="Arial"/>
                <w:i/>
                <w:sz w:val="20"/>
                <w:szCs w:val="20"/>
              </w:rPr>
              <w:t>ROB</w:t>
            </w:r>
          </w:p>
        </w:tc>
        <w:tc>
          <w:tcPr>
            <w:tcW w:w="2610" w:type="dxa"/>
            <w:tcBorders>
              <w:top w:val="nil"/>
              <w:left w:val="nil"/>
              <w:bottom w:val="nil"/>
              <w:right w:val="nil"/>
            </w:tcBorders>
            <w:shd w:val="clear" w:color="auto" w:fill="auto"/>
            <w:noWrap/>
            <w:vAlign w:val="center"/>
            <w:hideMark/>
          </w:tcPr>
          <w:p w:rsidR="002A6264" w:rsidRPr="0019745A" w:rsidRDefault="002A6264" w:rsidP="00281680">
            <w:pPr>
              <w:keepNext/>
              <w:rPr>
                <w:rFonts w:ascii="Arial" w:hAnsi="Arial" w:cs="Arial"/>
                <w:i/>
                <w:sz w:val="20"/>
                <w:szCs w:val="20"/>
              </w:rPr>
            </w:pPr>
            <w:r w:rsidRPr="0019745A">
              <w:rPr>
                <w:rFonts w:ascii="Arial" w:hAnsi="Arial" w:cs="Arial"/>
                <w:i/>
                <w:sz w:val="20"/>
                <w:szCs w:val="20"/>
              </w:rPr>
              <w:t>Replace on Burnout</w:t>
            </w:r>
          </w:p>
        </w:tc>
        <w:tc>
          <w:tcPr>
            <w:tcW w:w="5580" w:type="dxa"/>
            <w:tcBorders>
              <w:top w:val="nil"/>
              <w:left w:val="nil"/>
              <w:bottom w:val="nil"/>
              <w:right w:val="single" w:sz="4" w:space="0" w:color="auto"/>
            </w:tcBorders>
            <w:shd w:val="clear" w:color="auto" w:fill="auto"/>
            <w:vAlign w:val="center"/>
            <w:hideMark/>
          </w:tcPr>
          <w:p w:rsidR="002A6264" w:rsidRPr="0019745A" w:rsidRDefault="002A6264" w:rsidP="00281680">
            <w:pPr>
              <w:keepNext/>
              <w:rPr>
                <w:rFonts w:ascii="Arial" w:hAnsi="Arial" w:cs="Arial"/>
                <w:i/>
                <w:sz w:val="20"/>
                <w:szCs w:val="20"/>
              </w:rPr>
            </w:pPr>
            <w:r w:rsidRPr="0019745A">
              <w:rPr>
                <w:rFonts w:ascii="Arial" w:hAnsi="Arial" w:cs="Arial"/>
                <w:i/>
                <w:sz w:val="20"/>
                <w:szCs w:val="20"/>
              </w:rPr>
              <w:t>measure applied when existing equipment fails or maintenance requires replacement</w:t>
            </w:r>
          </w:p>
        </w:tc>
      </w:tr>
      <w:tr w:rsidR="002A6264" w:rsidRPr="00746B00" w:rsidTr="00281680">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2A6264" w:rsidRPr="0019745A" w:rsidRDefault="002A6264" w:rsidP="00281680">
            <w:pPr>
              <w:rPr>
                <w:rFonts w:ascii="Arial" w:hAnsi="Arial" w:cs="Arial"/>
                <w:i/>
                <w:sz w:val="20"/>
                <w:szCs w:val="20"/>
              </w:rPr>
            </w:pPr>
            <w:r w:rsidRPr="0019745A">
              <w:rPr>
                <w:rFonts w:ascii="Arial" w:hAnsi="Arial" w:cs="Arial"/>
                <w:i/>
                <w:sz w:val="20"/>
                <w:szCs w:val="20"/>
              </w:rPr>
              <w:t>NC</w:t>
            </w:r>
          </w:p>
        </w:tc>
        <w:tc>
          <w:tcPr>
            <w:tcW w:w="2610" w:type="dxa"/>
            <w:tcBorders>
              <w:top w:val="nil"/>
              <w:left w:val="nil"/>
              <w:bottom w:val="single" w:sz="4" w:space="0" w:color="auto"/>
              <w:right w:val="nil"/>
            </w:tcBorders>
            <w:shd w:val="clear" w:color="auto" w:fill="auto"/>
            <w:noWrap/>
            <w:vAlign w:val="center"/>
            <w:hideMark/>
          </w:tcPr>
          <w:p w:rsidR="002A6264" w:rsidRPr="0019745A" w:rsidRDefault="002A6264" w:rsidP="00281680">
            <w:pPr>
              <w:rPr>
                <w:rFonts w:ascii="Arial" w:hAnsi="Arial" w:cs="Arial"/>
                <w:i/>
                <w:sz w:val="20"/>
                <w:szCs w:val="20"/>
              </w:rPr>
            </w:pPr>
            <w:r w:rsidRPr="0019745A">
              <w:rPr>
                <w:rFonts w:ascii="Arial" w:hAnsi="Arial" w:cs="Arial"/>
                <w:i/>
                <w:sz w:val="20"/>
                <w:szCs w:val="20"/>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2A6264" w:rsidRPr="0019745A" w:rsidRDefault="002A6264" w:rsidP="00281680">
            <w:pPr>
              <w:rPr>
                <w:rFonts w:ascii="Arial" w:hAnsi="Arial" w:cs="Arial"/>
                <w:i/>
                <w:sz w:val="20"/>
                <w:szCs w:val="20"/>
              </w:rPr>
            </w:pPr>
            <w:r w:rsidRPr="0019745A">
              <w:rPr>
                <w:rFonts w:ascii="Arial" w:hAnsi="Arial" w:cs="Arial"/>
                <w:i/>
                <w:sz w:val="20"/>
                <w:szCs w:val="20"/>
              </w:rPr>
              <w:t>measure applied during construction design phase as an alternative to a code-compliant standard design</w:t>
            </w:r>
          </w:p>
        </w:tc>
      </w:tr>
    </w:tbl>
    <w:p w:rsidR="008D18B1" w:rsidRDefault="008D18B1" w:rsidP="002A6264">
      <w:pPr>
        <w:rPr>
          <w:rFonts w:ascii="Arial" w:hAnsi="Arial" w:cs="Arial"/>
          <w:sz w:val="20"/>
          <w:szCs w:val="20"/>
        </w:rPr>
      </w:pPr>
    </w:p>
    <w:p w:rsidR="002A6264" w:rsidRPr="008D18B1" w:rsidRDefault="002A6264" w:rsidP="002A6264">
      <w:pPr>
        <w:rPr>
          <w:sz w:val="20"/>
          <w:szCs w:val="20"/>
        </w:rPr>
      </w:pPr>
      <w:r w:rsidRPr="008D18B1">
        <w:rPr>
          <w:szCs w:val="20"/>
        </w:rPr>
        <w:t xml:space="preserve">All the measures within this </w:t>
      </w:r>
      <w:proofErr w:type="spellStart"/>
      <w:r w:rsidRPr="008D18B1">
        <w:rPr>
          <w:szCs w:val="20"/>
        </w:rPr>
        <w:t>workpaper</w:t>
      </w:r>
      <w:proofErr w:type="spellEnd"/>
      <w:r w:rsidRPr="008D18B1">
        <w:rPr>
          <w:szCs w:val="20"/>
        </w:rPr>
        <w:t xml:space="preserve"> are ROB. </w:t>
      </w:r>
    </w:p>
    <w:p w:rsidR="002A6264" w:rsidRDefault="002A6264" w:rsidP="00C63493"/>
    <w:p w:rsidR="008628FD" w:rsidRDefault="008628FD" w:rsidP="008628FD">
      <w:pPr>
        <w:pStyle w:val="Heading2"/>
        <w:spacing w:before="0"/>
      </w:pPr>
      <w:bookmarkStart w:id="33" w:name="_Toc436750464"/>
      <w:r w:rsidRPr="00746B00">
        <w:t>1.4 Product Base Case and Measure Case Data</w:t>
      </w:r>
      <w:bookmarkEnd w:id="33"/>
    </w:p>
    <w:p w:rsidR="008628FD" w:rsidRDefault="008628FD" w:rsidP="008D18B1">
      <w:r w:rsidRPr="008628FD">
        <w:t xml:space="preserve">The base case for </w:t>
      </w:r>
      <w:r w:rsidR="008D18B1">
        <w:t xml:space="preserve">CFL lamps is a mixture of 60% </w:t>
      </w:r>
      <w:r w:rsidRPr="008628FD">
        <w:t xml:space="preserve">incandescent </w:t>
      </w:r>
      <w:r w:rsidR="008D18B1">
        <w:t xml:space="preserve">and 40% compact fluorescent </w:t>
      </w:r>
      <w:r w:rsidRPr="008628FD">
        <w:t>lamp</w:t>
      </w:r>
      <w:r w:rsidRPr="008628FD">
        <w:fldChar w:fldCharType="begin"/>
      </w:r>
      <w:r w:rsidRPr="008628FD">
        <w:instrText xml:space="preserve"> XE "lamp" </w:instrText>
      </w:r>
      <w:r w:rsidRPr="008628FD">
        <w:fldChar w:fldCharType="end"/>
      </w:r>
      <w:r w:rsidRPr="008628FD">
        <w:t xml:space="preserve"> </w:t>
      </w:r>
      <w:r w:rsidR="008D18B1">
        <w:t>and defined by th</w:t>
      </w:r>
      <w:r w:rsidR="001126CA">
        <w:t>e</w:t>
      </w:r>
      <w:r w:rsidR="008D18B1">
        <w:t xml:space="preserve"> 2016 DEER wattage reduction ratio.  The base case for CFL fixtures is defined by the 201</w:t>
      </w:r>
      <w:r w:rsidR="002B54E4">
        <w:t>4</w:t>
      </w:r>
      <w:r w:rsidR="008D18B1">
        <w:t xml:space="preserve"> DEER wattage reduction ratio.  </w:t>
      </w:r>
      <w:r w:rsidRPr="008628FD">
        <w:t xml:space="preserve">The </w:t>
      </w:r>
      <w:r w:rsidR="008D18B1">
        <w:t>2016 and 2014 DEER use</w:t>
      </w:r>
      <w:r w:rsidRPr="008628FD">
        <w:t xml:space="preserve"> different wattage reduction ratio</w:t>
      </w:r>
      <w:r w:rsidR="00130FA1">
        <w:t>,</w:t>
      </w:r>
      <w:r w:rsidR="00030EC5">
        <w:t xml:space="preserve"> d</w:t>
      </w:r>
      <w:r w:rsidR="00130FA1">
        <w:t>elta w</w:t>
      </w:r>
      <w:r w:rsidRPr="008628FD">
        <w:t>att</w:t>
      </w:r>
      <w:r w:rsidR="00130FA1">
        <w:t>s,</w:t>
      </w:r>
      <w:r w:rsidR="00BE7AC4">
        <w:t xml:space="preserve"> a</w:t>
      </w:r>
      <w:r w:rsidRPr="008628FD">
        <w:t>ssumption for reflector, interior and exterior lamps and fixtures.</w:t>
      </w:r>
    </w:p>
    <w:p w:rsidR="00A0341A" w:rsidRPr="00AD758C" w:rsidRDefault="005676CB" w:rsidP="00C210F6">
      <w:pPr>
        <w:pStyle w:val="Heading2"/>
      </w:pPr>
      <w:bookmarkStart w:id="34" w:name="_Toc436750465"/>
      <w:r w:rsidRPr="00746B00">
        <w:t>1.4.1 DEER Base Case and Measure Case Information</w:t>
      </w:r>
      <w:bookmarkEnd w:id="34"/>
    </w:p>
    <w:p w:rsidR="00932D3C" w:rsidRDefault="00702EF5" w:rsidP="00702EF5">
      <w:r w:rsidRPr="004111F5">
        <w:t xml:space="preserve">DEER includes a methodology for determining the relationship between base and measure wattages. </w:t>
      </w:r>
      <w:r w:rsidR="00932D3C">
        <w:t xml:space="preserve">These wattage reduction ratios are for </w:t>
      </w:r>
      <w:r w:rsidR="00932D3C" w:rsidRPr="00A14384">
        <w:rPr>
          <w:u w:val="single"/>
        </w:rPr>
        <w:t>non-residential applications</w:t>
      </w:r>
      <w:r w:rsidR="00932D3C">
        <w:t>.  The wattage reduction ratios used in this work paper are listed in the table below:</w:t>
      </w:r>
    </w:p>
    <w:p w:rsidR="00932D3C" w:rsidRDefault="00932D3C" w:rsidP="00702EF5"/>
    <w:p w:rsidR="00932D3C" w:rsidRPr="00932D3C" w:rsidRDefault="00932D3C" w:rsidP="00932D3C">
      <w:pPr>
        <w:pStyle w:val="Caption"/>
        <w:keepNext/>
        <w:jc w:val="center"/>
      </w:pPr>
      <w:bookmarkStart w:id="35" w:name="_Toc438034272"/>
      <w:r>
        <w:lastRenderedPageBreak/>
        <w:t xml:space="preserve">Table </w:t>
      </w:r>
      <w:fldSimple w:instr=" SEQ Table \* ARABIC ">
        <w:r w:rsidR="00AB59D8">
          <w:rPr>
            <w:noProof/>
          </w:rPr>
          <w:t>2</w:t>
        </w:r>
      </w:fldSimple>
      <w:r>
        <w:t xml:space="preserve"> Wattage Reduction Ratios</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7"/>
        <w:gridCol w:w="3520"/>
        <w:gridCol w:w="2589"/>
      </w:tblGrid>
      <w:tr w:rsidR="00932D3C" w:rsidRPr="0078763A" w:rsidTr="00932D3C">
        <w:trPr>
          <w:trHeight w:val="377"/>
        </w:trPr>
        <w:tc>
          <w:tcPr>
            <w:tcW w:w="1810" w:type="pct"/>
            <w:shd w:val="clear" w:color="auto" w:fill="D9D9D9" w:themeFill="background1" w:themeFillShade="D9"/>
            <w:vAlign w:val="center"/>
          </w:tcPr>
          <w:p w:rsidR="00932D3C" w:rsidRPr="00110675" w:rsidRDefault="00932D3C" w:rsidP="0049631D">
            <w:pPr>
              <w:jc w:val="center"/>
              <w:rPr>
                <w:b/>
                <w:sz w:val="20"/>
                <w:szCs w:val="20"/>
                <w:highlight w:val="yellow"/>
              </w:rPr>
            </w:pPr>
            <w:r>
              <w:rPr>
                <w:b/>
                <w:sz w:val="20"/>
                <w:szCs w:val="20"/>
              </w:rPr>
              <w:t>Interior or Exterior</w:t>
            </w:r>
          </w:p>
        </w:tc>
        <w:tc>
          <w:tcPr>
            <w:tcW w:w="1838" w:type="pct"/>
            <w:shd w:val="clear" w:color="auto" w:fill="D9D9D9" w:themeFill="background1" w:themeFillShade="D9"/>
            <w:vAlign w:val="center"/>
          </w:tcPr>
          <w:p w:rsidR="00932D3C" w:rsidRPr="00110675" w:rsidRDefault="00932D3C" w:rsidP="0049631D">
            <w:pPr>
              <w:jc w:val="center"/>
              <w:rPr>
                <w:b/>
                <w:sz w:val="20"/>
                <w:szCs w:val="20"/>
              </w:rPr>
            </w:pPr>
            <w:r>
              <w:rPr>
                <w:b/>
                <w:sz w:val="20"/>
                <w:szCs w:val="20"/>
              </w:rPr>
              <w:t>CFL Lamp or Fixture</w:t>
            </w:r>
          </w:p>
        </w:tc>
        <w:tc>
          <w:tcPr>
            <w:tcW w:w="1352" w:type="pct"/>
            <w:shd w:val="clear" w:color="auto" w:fill="D9D9D9" w:themeFill="background1" w:themeFillShade="D9"/>
            <w:vAlign w:val="center"/>
          </w:tcPr>
          <w:p w:rsidR="00932D3C" w:rsidRPr="00110675" w:rsidRDefault="00932D3C" w:rsidP="0049631D">
            <w:pPr>
              <w:jc w:val="center"/>
              <w:rPr>
                <w:b/>
                <w:sz w:val="20"/>
                <w:szCs w:val="20"/>
              </w:rPr>
            </w:pPr>
            <w:r>
              <w:rPr>
                <w:b/>
                <w:sz w:val="20"/>
                <w:szCs w:val="20"/>
              </w:rPr>
              <w:t>WRR</w:t>
            </w:r>
          </w:p>
        </w:tc>
      </w:tr>
      <w:tr w:rsidR="00932D3C" w:rsidRPr="0078763A" w:rsidTr="00932D3C">
        <w:trPr>
          <w:trHeight w:val="188"/>
        </w:trPr>
        <w:tc>
          <w:tcPr>
            <w:tcW w:w="1810" w:type="pct"/>
            <w:shd w:val="clear" w:color="auto" w:fill="auto"/>
            <w:vAlign w:val="center"/>
          </w:tcPr>
          <w:p w:rsidR="00932D3C" w:rsidRPr="00110675" w:rsidRDefault="00932D3C" w:rsidP="0049631D">
            <w:pPr>
              <w:jc w:val="center"/>
              <w:rPr>
                <w:sz w:val="20"/>
                <w:szCs w:val="20"/>
              </w:rPr>
            </w:pPr>
            <w:r>
              <w:rPr>
                <w:sz w:val="20"/>
                <w:szCs w:val="20"/>
              </w:rPr>
              <w:t>Any</w:t>
            </w:r>
          </w:p>
        </w:tc>
        <w:tc>
          <w:tcPr>
            <w:tcW w:w="1838" w:type="pct"/>
            <w:vAlign w:val="center"/>
          </w:tcPr>
          <w:p w:rsidR="00932D3C" w:rsidRPr="00110675" w:rsidRDefault="00932D3C" w:rsidP="0049631D">
            <w:pPr>
              <w:jc w:val="center"/>
              <w:rPr>
                <w:sz w:val="20"/>
                <w:szCs w:val="20"/>
              </w:rPr>
            </w:pPr>
            <w:r>
              <w:rPr>
                <w:sz w:val="20"/>
                <w:szCs w:val="20"/>
              </w:rPr>
              <w:t>Lamp</w:t>
            </w:r>
          </w:p>
        </w:tc>
        <w:tc>
          <w:tcPr>
            <w:tcW w:w="1352" w:type="pct"/>
            <w:vAlign w:val="center"/>
          </w:tcPr>
          <w:p w:rsidR="00932D3C" w:rsidRPr="00110675" w:rsidRDefault="00932D3C" w:rsidP="0049631D">
            <w:pPr>
              <w:jc w:val="center"/>
              <w:rPr>
                <w:sz w:val="20"/>
                <w:szCs w:val="20"/>
              </w:rPr>
            </w:pPr>
            <w:r>
              <w:rPr>
                <w:sz w:val="20"/>
                <w:szCs w:val="20"/>
              </w:rPr>
              <w:t>3.57</w:t>
            </w:r>
          </w:p>
        </w:tc>
      </w:tr>
      <w:tr w:rsidR="00932D3C" w:rsidRPr="0078763A" w:rsidTr="00932D3C">
        <w:tc>
          <w:tcPr>
            <w:tcW w:w="1810" w:type="pct"/>
            <w:shd w:val="clear" w:color="auto" w:fill="auto"/>
            <w:vAlign w:val="center"/>
          </w:tcPr>
          <w:p w:rsidR="00932D3C" w:rsidRPr="00110675" w:rsidRDefault="00932D3C" w:rsidP="0049631D">
            <w:pPr>
              <w:jc w:val="center"/>
              <w:rPr>
                <w:sz w:val="20"/>
                <w:szCs w:val="20"/>
              </w:rPr>
            </w:pPr>
            <w:r>
              <w:rPr>
                <w:sz w:val="20"/>
                <w:szCs w:val="20"/>
              </w:rPr>
              <w:t>Any</w:t>
            </w:r>
          </w:p>
        </w:tc>
        <w:tc>
          <w:tcPr>
            <w:tcW w:w="1838" w:type="pct"/>
            <w:vAlign w:val="center"/>
          </w:tcPr>
          <w:p w:rsidR="00932D3C" w:rsidRPr="00110675" w:rsidRDefault="00932D3C" w:rsidP="0049631D">
            <w:pPr>
              <w:jc w:val="center"/>
              <w:rPr>
                <w:sz w:val="20"/>
                <w:szCs w:val="20"/>
              </w:rPr>
            </w:pPr>
            <w:r>
              <w:rPr>
                <w:sz w:val="20"/>
                <w:szCs w:val="20"/>
              </w:rPr>
              <w:t>Fixture</w:t>
            </w:r>
          </w:p>
        </w:tc>
        <w:tc>
          <w:tcPr>
            <w:tcW w:w="1352" w:type="pct"/>
            <w:shd w:val="clear" w:color="auto" w:fill="FFFFFF"/>
            <w:vAlign w:val="center"/>
          </w:tcPr>
          <w:p w:rsidR="00932D3C" w:rsidRPr="00932D3C" w:rsidRDefault="00932D3C" w:rsidP="0049631D">
            <w:pPr>
              <w:jc w:val="center"/>
              <w:rPr>
                <w:sz w:val="20"/>
                <w:szCs w:val="20"/>
              </w:rPr>
            </w:pPr>
            <w:r w:rsidRPr="00932D3C">
              <w:rPr>
                <w:sz w:val="20"/>
                <w:szCs w:val="20"/>
              </w:rPr>
              <w:t>3.53</w:t>
            </w:r>
          </w:p>
        </w:tc>
      </w:tr>
    </w:tbl>
    <w:p w:rsidR="00932D3C" w:rsidRDefault="00932D3C" w:rsidP="00702EF5"/>
    <w:p w:rsidR="00144582" w:rsidRPr="006E533A" w:rsidRDefault="00144582" w:rsidP="00144582">
      <w:r w:rsidRPr="00DA2EE7">
        <w:t>Since this is an upstream non-residential program</w:t>
      </w:r>
      <w:r>
        <w:t xml:space="preserve">, the weighted building type, “Com,” was used.  </w:t>
      </w:r>
    </w:p>
    <w:p w:rsidR="00F83448" w:rsidRDefault="00F83448" w:rsidP="00702EF5"/>
    <w:p w:rsidR="00F83448" w:rsidRPr="00F83448" w:rsidRDefault="00F83448" w:rsidP="00702EF5">
      <w:pPr>
        <w:rPr>
          <w:b/>
        </w:rPr>
      </w:pPr>
      <w:r w:rsidRPr="00F83448">
        <w:rPr>
          <w:b/>
        </w:rPr>
        <w:t>Hours of Operation</w:t>
      </w:r>
      <w:r>
        <w:rPr>
          <w:b/>
        </w:rPr>
        <w:t>:</w:t>
      </w:r>
    </w:p>
    <w:p w:rsidR="00702EF5" w:rsidRDefault="00144582" w:rsidP="00702EF5">
      <w:r>
        <w:t>The annual hours of use, CDF, and HVAC interactive effects for CFL lamps and fixtures/</w:t>
      </w:r>
      <w:proofErr w:type="spellStart"/>
      <w:r>
        <w:t>torchieres</w:t>
      </w:r>
      <w:proofErr w:type="spellEnd"/>
      <w:r>
        <w:t xml:space="preserve"> follow the DEEER 2016 update.  The interior CFL </w:t>
      </w:r>
      <w:r w:rsidR="002F37CC">
        <w:t>lamp annual hours of use is</w:t>
      </w:r>
      <w:r>
        <w:t xml:space="preserve"> 2130 hours per year.  </w:t>
      </w:r>
      <w:r w:rsidR="00702EF5" w:rsidRPr="00045A33">
        <w:t>The ex</w:t>
      </w:r>
      <w:r>
        <w:t xml:space="preserve">terior CFL lamp </w:t>
      </w:r>
      <w:r w:rsidR="00702EF5" w:rsidRPr="00045A33">
        <w:t xml:space="preserve">savings </w:t>
      </w:r>
      <w:r>
        <w:t>are</w:t>
      </w:r>
      <w:r w:rsidR="00702EF5" w:rsidRPr="00045A33">
        <w:t xml:space="preserve"> calculated using the </w:t>
      </w:r>
      <w:r w:rsidR="00702EF5">
        <w:t>201</w:t>
      </w:r>
      <w:r w:rsidR="002B54E4">
        <w:t>6</w:t>
      </w:r>
      <w:r w:rsidR="00702EF5">
        <w:t xml:space="preserve"> DEER delta wattage</w:t>
      </w:r>
      <w:r w:rsidR="00702EF5" w:rsidRPr="00045A33">
        <w:t xml:space="preserve"> methodology</w:t>
      </w:r>
      <w:r>
        <w:t>,</w:t>
      </w:r>
      <w:r w:rsidR="00702EF5" w:rsidRPr="00045A33">
        <w:t xml:space="preserve"> </w:t>
      </w:r>
      <w:r w:rsidR="00702EF5">
        <w:t>in conjunction with the</w:t>
      </w:r>
      <w:r w:rsidR="00702EF5" w:rsidRPr="00045A33">
        <w:t xml:space="preserve"> </w:t>
      </w:r>
      <w:r w:rsidR="000D1335">
        <w:t>non-</w:t>
      </w:r>
      <w:r w:rsidR="00702EF5" w:rsidRPr="00045A33">
        <w:t>residential</w:t>
      </w:r>
      <w:r w:rsidR="00702EF5">
        <w:fldChar w:fldCharType="begin"/>
      </w:r>
      <w:r w:rsidR="00702EF5">
        <w:instrText xml:space="preserve"> XE "</w:instrText>
      </w:r>
      <w:r w:rsidR="00702EF5" w:rsidRPr="00866161">
        <w:rPr>
          <w:sz w:val="20"/>
          <w:szCs w:val="20"/>
        </w:rPr>
        <w:instrText>residential</w:instrText>
      </w:r>
      <w:r w:rsidR="00702EF5">
        <w:instrText xml:space="preserve">" </w:instrText>
      </w:r>
      <w:r w:rsidR="00702EF5">
        <w:fldChar w:fldCharType="end"/>
      </w:r>
      <w:r w:rsidR="00702EF5" w:rsidRPr="00045A33">
        <w:t xml:space="preserve"> exterior CFL operating hours </w:t>
      </w:r>
      <w:r w:rsidR="00702EF5">
        <w:t xml:space="preserve">of </w:t>
      </w:r>
      <w:r w:rsidR="000D1335">
        <w:t>4100</w:t>
      </w:r>
      <w:r w:rsidR="00702EF5">
        <w:t xml:space="preserve"> hours per year</w:t>
      </w:r>
      <w:r w:rsidR="002F37CC">
        <w:t>.</w:t>
      </w:r>
    </w:p>
    <w:p w:rsidR="005B17E4" w:rsidRDefault="005B17E4" w:rsidP="00702EF5"/>
    <w:p w:rsidR="005B17E4" w:rsidRPr="00E720AF" w:rsidRDefault="005B17E4" w:rsidP="005B17E4">
      <w:pPr>
        <w:rPr>
          <w:b/>
        </w:rPr>
      </w:pPr>
      <w:r w:rsidRPr="00E720AF">
        <w:rPr>
          <w:b/>
        </w:rPr>
        <w:t>Net-to-Gross Assumption:</w:t>
      </w:r>
    </w:p>
    <w:p w:rsidR="005B17E4" w:rsidRPr="00C47CDA" w:rsidRDefault="005B17E4" w:rsidP="005B17E4">
      <w:r w:rsidRPr="00F25530">
        <w:t xml:space="preserve">The net-to-gross ratio for screw-in CFLs </w:t>
      </w:r>
      <w:r w:rsidR="00606872">
        <w:t>are obtained from the DEER READI tool and listed in the table below</w:t>
      </w:r>
      <w:r w:rsidRPr="00F25530">
        <w:t>:</w:t>
      </w:r>
    </w:p>
    <w:p w:rsidR="005B17E4" w:rsidRPr="0014391C" w:rsidRDefault="005B17E4" w:rsidP="005B17E4"/>
    <w:p w:rsidR="005B17E4" w:rsidRPr="00144582" w:rsidRDefault="005B17E4" w:rsidP="005B17E4">
      <w:pPr>
        <w:pStyle w:val="Caption"/>
        <w:jc w:val="center"/>
      </w:pPr>
      <w:bookmarkStart w:id="36" w:name="_Toc438034273"/>
      <w:r w:rsidRPr="00144582">
        <w:t xml:space="preserve">Table </w:t>
      </w:r>
      <w:fldSimple w:instr=" SEQ Table \* ARABIC ">
        <w:r w:rsidR="00AB59D8">
          <w:rPr>
            <w:noProof/>
          </w:rPr>
          <w:t>3</w:t>
        </w:r>
      </w:fldSimple>
      <w:r w:rsidRPr="00144582">
        <w:t xml:space="preserve"> CFL Net-to-Gross</w:t>
      </w:r>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2365"/>
        <w:gridCol w:w="1739"/>
        <w:gridCol w:w="1741"/>
        <w:gridCol w:w="1402"/>
      </w:tblGrid>
      <w:tr w:rsidR="00144582" w:rsidRPr="0078763A" w:rsidTr="00144582">
        <w:trPr>
          <w:trHeight w:val="377"/>
        </w:trPr>
        <w:tc>
          <w:tcPr>
            <w:tcW w:w="1216" w:type="pct"/>
            <w:shd w:val="clear" w:color="auto" w:fill="D9D9D9" w:themeFill="background1" w:themeFillShade="D9"/>
            <w:vAlign w:val="center"/>
          </w:tcPr>
          <w:p w:rsidR="00144582" w:rsidRPr="00110675" w:rsidRDefault="00144582" w:rsidP="00606872">
            <w:pPr>
              <w:jc w:val="center"/>
              <w:rPr>
                <w:b/>
                <w:sz w:val="20"/>
                <w:szCs w:val="20"/>
                <w:highlight w:val="yellow"/>
              </w:rPr>
            </w:pPr>
            <w:r w:rsidRPr="00110675">
              <w:rPr>
                <w:b/>
                <w:sz w:val="20"/>
                <w:szCs w:val="20"/>
              </w:rPr>
              <w:t>NTGR_ID</w:t>
            </w:r>
          </w:p>
        </w:tc>
        <w:tc>
          <w:tcPr>
            <w:tcW w:w="1235" w:type="pct"/>
            <w:shd w:val="clear" w:color="auto" w:fill="D9D9D9" w:themeFill="background1" w:themeFillShade="D9"/>
            <w:vAlign w:val="center"/>
          </w:tcPr>
          <w:p w:rsidR="00144582" w:rsidRPr="00110675" w:rsidRDefault="00144582" w:rsidP="00606872">
            <w:pPr>
              <w:jc w:val="center"/>
              <w:rPr>
                <w:b/>
                <w:sz w:val="20"/>
                <w:szCs w:val="20"/>
              </w:rPr>
            </w:pPr>
            <w:r w:rsidRPr="00110675">
              <w:rPr>
                <w:b/>
                <w:sz w:val="20"/>
                <w:szCs w:val="20"/>
              </w:rPr>
              <w:t>Description</w:t>
            </w:r>
          </w:p>
        </w:tc>
        <w:tc>
          <w:tcPr>
            <w:tcW w:w="908" w:type="pct"/>
            <w:shd w:val="clear" w:color="auto" w:fill="D9D9D9" w:themeFill="background1" w:themeFillShade="D9"/>
            <w:vAlign w:val="center"/>
          </w:tcPr>
          <w:p w:rsidR="00144582" w:rsidRPr="00110675" w:rsidRDefault="00144582" w:rsidP="00606872">
            <w:pPr>
              <w:jc w:val="center"/>
              <w:rPr>
                <w:b/>
                <w:sz w:val="20"/>
                <w:szCs w:val="20"/>
              </w:rPr>
            </w:pPr>
            <w:r w:rsidRPr="00110675">
              <w:rPr>
                <w:b/>
                <w:sz w:val="20"/>
                <w:szCs w:val="20"/>
              </w:rPr>
              <w:t>Used for</w:t>
            </w:r>
          </w:p>
        </w:tc>
        <w:tc>
          <w:tcPr>
            <w:tcW w:w="909" w:type="pct"/>
            <w:shd w:val="clear" w:color="auto" w:fill="D9D9D9" w:themeFill="background1" w:themeFillShade="D9"/>
            <w:vAlign w:val="center"/>
          </w:tcPr>
          <w:p w:rsidR="00144582" w:rsidRPr="00110675" w:rsidRDefault="00144582" w:rsidP="00606872">
            <w:pPr>
              <w:jc w:val="center"/>
              <w:rPr>
                <w:b/>
                <w:sz w:val="20"/>
                <w:szCs w:val="20"/>
              </w:rPr>
            </w:pPr>
            <w:r w:rsidRPr="00110675">
              <w:rPr>
                <w:b/>
                <w:sz w:val="20"/>
                <w:szCs w:val="20"/>
              </w:rPr>
              <w:t>NTG value</w:t>
            </w:r>
          </w:p>
        </w:tc>
        <w:tc>
          <w:tcPr>
            <w:tcW w:w="733" w:type="pct"/>
            <w:shd w:val="clear" w:color="auto" w:fill="D9D9D9" w:themeFill="background1" w:themeFillShade="D9"/>
            <w:vAlign w:val="center"/>
          </w:tcPr>
          <w:p w:rsidR="00144582" w:rsidRDefault="00144582" w:rsidP="00606872">
            <w:pPr>
              <w:jc w:val="center"/>
              <w:rPr>
                <w:b/>
                <w:sz w:val="20"/>
                <w:szCs w:val="20"/>
              </w:rPr>
            </w:pPr>
            <w:r>
              <w:rPr>
                <w:b/>
                <w:sz w:val="20"/>
                <w:szCs w:val="20"/>
              </w:rPr>
              <w:t>DEER Version</w:t>
            </w:r>
          </w:p>
          <w:p w:rsidR="00144582" w:rsidRPr="00110675" w:rsidRDefault="00144582" w:rsidP="00606872">
            <w:pPr>
              <w:jc w:val="center"/>
              <w:rPr>
                <w:b/>
                <w:sz w:val="20"/>
                <w:szCs w:val="20"/>
              </w:rPr>
            </w:pPr>
            <w:r>
              <w:rPr>
                <w:b/>
                <w:sz w:val="20"/>
                <w:szCs w:val="20"/>
              </w:rPr>
              <w:t>Version Source</w:t>
            </w:r>
          </w:p>
        </w:tc>
      </w:tr>
      <w:tr w:rsidR="00144582" w:rsidRPr="0078763A" w:rsidTr="00144582">
        <w:trPr>
          <w:trHeight w:val="368"/>
        </w:trPr>
        <w:tc>
          <w:tcPr>
            <w:tcW w:w="1216" w:type="pct"/>
            <w:shd w:val="clear" w:color="auto" w:fill="auto"/>
            <w:vAlign w:val="center"/>
          </w:tcPr>
          <w:p w:rsidR="00144582" w:rsidRPr="00110675" w:rsidRDefault="00144582" w:rsidP="00110675">
            <w:pPr>
              <w:jc w:val="center"/>
              <w:rPr>
                <w:sz w:val="20"/>
                <w:szCs w:val="20"/>
              </w:rPr>
            </w:pPr>
            <w:proofErr w:type="spellStart"/>
            <w:r w:rsidRPr="00110675">
              <w:rPr>
                <w:sz w:val="20"/>
                <w:szCs w:val="20"/>
              </w:rPr>
              <w:t>NonRes-sAll-mCFL</w:t>
            </w:r>
            <w:proofErr w:type="spellEnd"/>
          </w:p>
        </w:tc>
        <w:tc>
          <w:tcPr>
            <w:tcW w:w="1235" w:type="pct"/>
            <w:vAlign w:val="center"/>
          </w:tcPr>
          <w:p w:rsidR="00144582" w:rsidRPr="00110675" w:rsidRDefault="00144582" w:rsidP="00110675">
            <w:pPr>
              <w:jc w:val="center"/>
              <w:rPr>
                <w:sz w:val="20"/>
                <w:szCs w:val="20"/>
              </w:rPr>
            </w:pPr>
            <w:r w:rsidRPr="00110675">
              <w:rPr>
                <w:sz w:val="20"/>
                <w:szCs w:val="20"/>
              </w:rPr>
              <w:t>CFL-screw in, All.</w:t>
            </w:r>
          </w:p>
        </w:tc>
        <w:tc>
          <w:tcPr>
            <w:tcW w:w="908" w:type="pct"/>
            <w:vAlign w:val="center"/>
          </w:tcPr>
          <w:p w:rsidR="00144582" w:rsidRPr="00110675" w:rsidRDefault="00144582" w:rsidP="00110675">
            <w:pPr>
              <w:jc w:val="center"/>
              <w:rPr>
                <w:sz w:val="20"/>
                <w:szCs w:val="20"/>
              </w:rPr>
            </w:pPr>
            <w:r w:rsidRPr="00110675">
              <w:rPr>
                <w:sz w:val="20"/>
                <w:szCs w:val="20"/>
              </w:rPr>
              <w:t>Screw in CFL</w:t>
            </w:r>
          </w:p>
        </w:tc>
        <w:tc>
          <w:tcPr>
            <w:tcW w:w="909" w:type="pct"/>
            <w:shd w:val="clear" w:color="auto" w:fill="auto"/>
            <w:vAlign w:val="center"/>
          </w:tcPr>
          <w:p w:rsidR="00144582" w:rsidRPr="00110675" w:rsidRDefault="00144582" w:rsidP="00110675">
            <w:pPr>
              <w:jc w:val="center"/>
              <w:rPr>
                <w:sz w:val="20"/>
                <w:szCs w:val="20"/>
              </w:rPr>
            </w:pPr>
            <w:r w:rsidRPr="00110675">
              <w:rPr>
                <w:sz w:val="20"/>
                <w:szCs w:val="20"/>
              </w:rPr>
              <w:t>0.54</w:t>
            </w:r>
          </w:p>
        </w:tc>
        <w:tc>
          <w:tcPr>
            <w:tcW w:w="733" w:type="pct"/>
            <w:shd w:val="clear" w:color="auto" w:fill="auto"/>
            <w:vAlign w:val="center"/>
          </w:tcPr>
          <w:p w:rsidR="00144582" w:rsidRPr="005E0A73" w:rsidRDefault="00144582" w:rsidP="005E0A73">
            <w:pPr>
              <w:jc w:val="center"/>
              <w:rPr>
                <w:sz w:val="20"/>
                <w:szCs w:val="20"/>
              </w:rPr>
            </w:pPr>
            <w:r w:rsidRPr="005E0A73">
              <w:rPr>
                <w:sz w:val="20"/>
                <w:szCs w:val="20"/>
              </w:rPr>
              <w:t>DEER2014</w:t>
            </w:r>
          </w:p>
          <w:p w:rsidR="00144582" w:rsidRPr="005E0A73" w:rsidRDefault="00144582" w:rsidP="005E0A73">
            <w:pPr>
              <w:jc w:val="center"/>
              <w:rPr>
                <w:sz w:val="20"/>
                <w:szCs w:val="20"/>
              </w:rPr>
            </w:pPr>
            <w:r w:rsidRPr="005E0A73">
              <w:rPr>
                <w:sz w:val="20"/>
                <w:szCs w:val="20"/>
              </w:rPr>
              <w:t>D13v1.0</w:t>
            </w:r>
          </w:p>
        </w:tc>
      </w:tr>
      <w:tr w:rsidR="00144582" w:rsidRPr="0078763A" w:rsidTr="00144582">
        <w:tc>
          <w:tcPr>
            <w:tcW w:w="1216" w:type="pct"/>
            <w:shd w:val="clear" w:color="auto" w:fill="auto"/>
            <w:vAlign w:val="center"/>
          </w:tcPr>
          <w:p w:rsidR="00144582" w:rsidRPr="00110675" w:rsidRDefault="00144582" w:rsidP="00110675">
            <w:pPr>
              <w:jc w:val="center"/>
              <w:rPr>
                <w:sz w:val="20"/>
                <w:szCs w:val="20"/>
              </w:rPr>
            </w:pPr>
            <w:r w:rsidRPr="00110675">
              <w:rPr>
                <w:sz w:val="20"/>
                <w:szCs w:val="20"/>
              </w:rPr>
              <w:t>Com-Default&gt;2yrs</w:t>
            </w:r>
          </w:p>
        </w:tc>
        <w:tc>
          <w:tcPr>
            <w:tcW w:w="1235" w:type="pct"/>
            <w:vAlign w:val="center"/>
          </w:tcPr>
          <w:p w:rsidR="00144582" w:rsidRPr="00110675" w:rsidRDefault="00144582" w:rsidP="00110675">
            <w:pPr>
              <w:jc w:val="center"/>
              <w:rPr>
                <w:sz w:val="20"/>
                <w:szCs w:val="20"/>
              </w:rPr>
            </w:pPr>
            <w:r w:rsidRPr="00110675">
              <w:rPr>
                <w:sz w:val="20"/>
                <w:szCs w:val="20"/>
              </w:rPr>
              <w:t>All other EEMs with no evaluated NTGR; existing EEM in programs with same delivery mechanism for more than 2 years</w:t>
            </w:r>
          </w:p>
        </w:tc>
        <w:tc>
          <w:tcPr>
            <w:tcW w:w="908" w:type="pct"/>
            <w:shd w:val="clear" w:color="auto" w:fill="FFFFFF"/>
            <w:vAlign w:val="center"/>
          </w:tcPr>
          <w:p w:rsidR="00144582" w:rsidRPr="00110675" w:rsidRDefault="00144582" w:rsidP="00110675">
            <w:pPr>
              <w:jc w:val="center"/>
              <w:rPr>
                <w:sz w:val="20"/>
                <w:szCs w:val="20"/>
                <w:highlight w:val="yellow"/>
              </w:rPr>
            </w:pPr>
            <w:r w:rsidRPr="00110675">
              <w:rPr>
                <w:sz w:val="20"/>
                <w:szCs w:val="20"/>
              </w:rPr>
              <w:t xml:space="preserve">Fixture and </w:t>
            </w:r>
            <w:proofErr w:type="spellStart"/>
            <w:r w:rsidRPr="00110675">
              <w:rPr>
                <w:sz w:val="20"/>
                <w:szCs w:val="20"/>
              </w:rPr>
              <w:t>Torchieres</w:t>
            </w:r>
            <w:proofErr w:type="spellEnd"/>
          </w:p>
        </w:tc>
        <w:tc>
          <w:tcPr>
            <w:tcW w:w="909" w:type="pct"/>
            <w:shd w:val="clear" w:color="auto" w:fill="auto"/>
            <w:vAlign w:val="center"/>
          </w:tcPr>
          <w:p w:rsidR="00144582" w:rsidRPr="00110675" w:rsidRDefault="00144582" w:rsidP="00110675">
            <w:pPr>
              <w:jc w:val="center"/>
              <w:rPr>
                <w:sz w:val="20"/>
                <w:szCs w:val="20"/>
                <w:highlight w:val="yellow"/>
              </w:rPr>
            </w:pPr>
            <w:r w:rsidRPr="00110675">
              <w:rPr>
                <w:sz w:val="20"/>
                <w:szCs w:val="20"/>
              </w:rPr>
              <w:t>0.6</w:t>
            </w:r>
          </w:p>
        </w:tc>
        <w:tc>
          <w:tcPr>
            <w:tcW w:w="733" w:type="pct"/>
            <w:shd w:val="clear" w:color="auto" w:fill="auto"/>
            <w:vAlign w:val="center"/>
          </w:tcPr>
          <w:p w:rsidR="00144582" w:rsidRPr="005E0A73" w:rsidRDefault="00144582" w:rsidP="005E0A73">
            <w:pPr>
              <w:jc w:val="center"/>
              <w:rPr>
                <w:sz w:val="20"/>
                <w:szCs w:val="20"/>
              </w:rPr>
            </w:pPr>
            <w:r w:rsidRPr="005E0A73">
              <w:rPr>
                <w:sz w:val="20"/>
                <w:szCs w:val="20"/>
              </w:rPr>
              <w:t>DEER2014</w:t>
            </w:r>
          </w:p>
          <w:p w:rsidR="00144582" w:rsidRPr="005E0A73" w:rsidRDefault="00144582" w:rsidP="005E0A73">
            <w:pPr>
              <w:jc w:val="center"/>
              <w:rPr>
                <w:sz w:val="20"/>
                <w:szCs w:val="20"/>
              </w:rPr>
            </w:pPr>
            <w:r w:rsidRPr="005E0A73">
              <w:rPr>
                <w:sz w:val="20"/>
                <w:szCs w:val="20"/>
              </w:rPr>
              <w:t>D13v1.0</w:t>
            </w:r>
          </w:p>
        </w:tc>
      </w:tr>
    </w:tbl>
    <w:p w:rsidR="005B17E4" w:rsidRPr="0014391C" w:rsidRDefault="005B17E4" w:rsidP="005B17E4"/>
    <w:p w:rsidR="005B17E4" w:rsidRDefault="005B17E4" w:rsidP="005B17E4">
      <w:r w:rsidRPr="00F25530">
        <w:t>The 201</w:t>
      </w:r>
      <w:r w:rsidR="002D624D">
        <w:t>6</w:t>
      </w:r>
      <w:r w:rsidRPr="00F25530">
        <w:t xml:space="preserve"> DEER did not address CFL</w:t>
      </w:r>
      <w:r w:rsidRPr="00F25530">
        <w:fldChar w:fldCharType="begin"/>
      </w:r>
      <w:r w:rsidRPr="00F25530">
        <w:instrText xml:space="preserve"> XE "</w:instrText>
      </w:r>
      <w:r w:rsidRPr="00F25530">
        <w:rPr>
          <w:sz w:val="20"/>
          <w:szCs w:val="20"/>
        </w:rPr>
        <w:instrText>CFL</w:instrText>
      </w:r>
      <w:r w:rsidRPr="00F25530">
        <w:instrText xml:space="preserve">" </w:instrText>
      </w:r>
      <w:r w:rsidRPr="00F25530">
        <w:fldChar w:fldCharType="end"/>
      </w:r>
      <w:r w:rsidRPr="00F25530">
        <w:t xml:space="preserve"> fixture</w:t>
      </w:r>
      <w:r w:rsidRPr="00F25530">
        <w:fldChar w:fldCharType="begin"/>
      </w:r>
      <w:r w:rsidRPr="00F25530">
        <w:instrText xml:space="preserve"> XE "</w:instrText>
      </w:r>
      <w:r w:rsidRPr="00F25530">
        <w:rPr>
          <w:sz w:val="20"/>
          <w:szCs w:val="20"/>
        </w:rPr>
        <w:instrText>fixture</w:instrText>
      </w:r>
      <w:r w:rsidRPr="00F25530">
        <w:instrText xml:space="preserve">" </w:instrText>
      </w:r>
      <w:r w:rsidRPr="00F25530">
        <w:fldChar w:fldCharType="end"/>
      </w:r>
      <w:r w:rsidRPr="00F25530">
        <w:t xml:space="preserve"> or </w:t>
      </w:r>
      <w:proofErr w:type="spellStart"/>
      <w:r w:rsidRPr="00F25530">
        <w:t>torchiere</w:t>
      </w:r>
      <w:proofErr w:type="spellEnd"/>
      <w:r w:rsidRPr="00F25530">
        <w:fldChar w:fldCharType="begin"/>
      </w:r>
      <w:r w:rsidRPr="00F25530">
        <w:instrText xml:space="preserve"> XE "</w:instrText>
      </w:r>
      <w:proofErr w:type="spellStart"/>
      <w:r w:rsidRPr="00F25530">
        <w:rPr>
          <w:sz w:val="20"/>
          <w:szCs w:val="20"/>
        </w:rPr>
        <w:instrText>torchiere</w:instrText>
      </w:r>
      <w:proofErr w:type="spellEnd"/>
      <w:r w:rsidRPr="00F25530">
        <w:instrText xml:space="preserve">" </w:instrText>
      </w:r>
      <w:r w:rsidRPr="00F25530">
        <w:fldChar w:fldCharType="end"/>
      </w:r>
      <w:r w:rsidRPr="00F25530">
        <w:t xml:space="preserve"> NTG.  Therefore the 2011 DEER default Res value of 0.</w:t>
      </w:r>
      <w:r>
        <w:t>6</w:t>
      </w:r>
      <w:r w:rsidRPr="00F25530">
        <w:t xml:space="preserve"> is used.</w:t>
      </w:r>
    </w:p>
    <w:p w:rsidR="005B17E4" w:rsidRDefault="005B17E4" w:rsidP="00702EF5"/>
    <w:p w:rsidR="007751C7" w:rsidRPr="003C5178" w:rsidRDefault="007751C7" w:rsidP="007751C7">
      <w:pPr>
        <w:rPr>
          <w:b/>
        </w:rPr>
      </w:pPr>
      <w:r w:rsidRPr="003C5178">
        <w:rPr>
          <w:b/>
        </w:rPr>
        <w:t>Spillage Rate</w:t>
      </w:r>
      <w:r>
        <w:rPr>
          <w:b/>
        </w:rPr>
        <w:t>:</w:t>
      </w:r>
    </w:p>
    <w:p w:rsidR="007751C7" w:rsidRDefault="007751C7" w:rsidP="007751C7">
      <w:r>
        <w:t>Spillage rates are not tracked in work papers; they are tracked in an external document which will be supplied to the Commission Staff.</w:t>
      </w:r>
    </w:p>
    <w:p w:rsidR="007751C7" w:rsidRDefault="007751C7" w:rsidP="007751C7">
      <w:r>
        <w:rPr>
          <w:b/>
        </w:rPr>
        <w:br/>
        <w:t>Installation</w:t>
      </w:r>
      <w:r w:rsidRPr="00213800">
        <w:rPr>
          <w:b/>
        </w:rPr>
        <w:t xml:space="preserve"> Rate:</w:t>
      </w:r>
    </w:p>
    <w:p w:rsidR="007751C7" w:rsidRDefault="007751C7" w:rsidP="007751C7">
      <w:r>
        <w:t>T</w:t>
      </w:r>
      <w:r w:rsidR="00CF6ECB">
        <w:t>he Installation Rate (IR) value</w:t>
      </w:r>
      <w:r>
        <w:t xml:space="preserve"> was obtained using the DEER</w:t>
      </w:r>
      <w:r w:rsidR="00CF6ECB">
        <w:t xml:space="preserve"> 2016</w:t>
      </w:r>
      <w:r>
        <w:t xml:space="preserve"> READI tool.  The relevant IR values for the measures in this work paper are in the table below:</w:t>
      </w:r>
    </w:p>
    <w:p w:rsidR="007751C7" w:rsidRDefault="007751C7" w:rsidP="007751C7"/>
    <w:p w:rsidR="00144582" w:rsidRDefault="00144582" w:rsidP="00144582">
      <w:pPr>
        <w:pStyle w:val="Caption"/>
        <w:jc w:val="center"/>
      </w:pPr>
      <w:bookmarkStart w:id="37" w:name="_Toc438034274"/>
      <w:r>
        <w:t xml:space="preserve">Table </w:t>
      </w:r>
      <w:fldSimple w:instr=" SEQ Table \* ARABIC ">
        <w:r w:rsidR="00AB59D8">
          <w:rPr>
            <w:noProof/>
          </w:rPr>
          <w:t>4</w:t>
        </w:r>
      </w:fldSimple>
      <w:r>
        <w:t xml:space="preserve"> Installation Rate</w:t>
      </w:r>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2331"/>
        <w:gridCol w:w="1300"/>
        <w:gridCol w:w="1308"/>
        <w:gridCol w:w="1632"/>
        <w:gridCol w:w="1333"/>
      </w:tblGrid>
      <w:tr w:rsidR="007751C7" w:rsidRPr="0078763A" w:rsidTr="00144582">
        <w:trPr>
          <w:trHeight w:val="377"/>
        </w:trPr>
        <w:tc>
          <w:tcPr>
            <w:tcW w:w="873" w:type="pct"/>
            <w:shd w:val="clear" w:color="auto" w:fill="D9D9D9" w:themeFill="background1" w:themeFillShade="D9"/>
          </w:tcPr>
          <w:p w:rsidR="007751C7" w:rsidRPr="002801CF" w:rsidRDefault="007751C7" w:rsidP="002B54E4">
            <w:pPr>
              <w:jc w:val="center"/>
              <w:rPr>
                <w:b/>
                <w:sz w:val="20"/>
                <w:szCs w:val="20"/>
                <w:highlight w:val="yellow"/>
              </w:rPr>
            </w:pPr>
            <w:r w:rsidRPr="00B47001">
              <w:rPr>
                <w:rFonts w:cstheme="minorHAnsi"/>
                <w:b/>
                <w:sz w:val="20"/>
                <w:szCs w:val="20"/>
              </w:rPr>
              <w:t>GSIA ID</w:t>
            </w:r>
          </w:p>
        </w:tc>
        <w:tc>
          <w:tcPr>
            <w:tcW w:w="1217" w:type="pct"/>
            <w:shd w:val="clear" w:color="auto" w:fill="D9D9D9" w:themeFill="background1" w:themeFillShade="D9"/>
          </w:tcPr>
          <w:p w:rsidR="007751C7" w:rsidRPr="002801CF" w:rsidRDefault="007751C7" w:rsidP="002B54E4">
            <w:pPr>
              <w:jc w:val="center"/>
              <w:rPr>
                <w:b/>
                <w:sz w:val="20"/>
                <w:szCs w:val="20"/>
              </w:rPr>
            </w:pPr>
            <w:r w:rsidRPr="00B47001">
              <w:rPr>
                <w:rFonts w:cstheme="minorHAnsi"/>
                <w:b/>
                <w:sz w:val="20"/>
                <w:szCs w:val="20"/>
              </w:rPr>
              <w:t>Description</w:t>
            </w:r>
          </w:p>
        </w:tc>
        <w:tc>
          <w:tcPr>
            <w:tcW w:w="679" w:type="pct"/>
            <w:shd w:val="clear" w:color="auto" w:fill="D9D9D9" w:themeFill="background1" w:themeFillShade="D9"/>
          </w:tcPr>
          <w:p w:rsidR="007751C7" w:rsidRPr="002801CF" w:rsidRDefault="007751C7" w:rsidP="002B54E4">
            <w:pPr>
              <w:jc w:val="center"/>
              <w:rPr>
                <w:b/>
                <w:sz w:val="20"/>
                <w:szCs w:val="20"/>
              </w:rPr>
            </w:pPr>
            <w:r w:rsidRPr="00B47001">
              <w:rPr>
                <w:rFonts w:cstheme="minorHAnsi"/>
                <w:b/>
                <w:sz w:val="20"/>
                <w:szCs w:val="20"/>
              </w:rPr>
              <w:t>Sector</w:t>
            </w:r>
          </w:p>
        </w:tc>
        <w:tc>
          <w:tcPr>
            <w:tcW w:w="683" w:type="pct"/>
            <w:shd w:val="clear" w:color="auto" w:fill="D9D9D9" w:themeFill="background1" w:themeFillShade="D9"/>
          </w:tcPr>
          <w:p w:rsidR="007751C7" w:rsidRPr="002801CF" w:rsidRDefault="007751C7" w:rsidP="002B54E4">
            <w:pPr>
              <w:jc w:val="center"/>
              <w:rPr>
                <w:b/>
                <w:sz w:val="20"/>
                <w:szCs w:val="20"/>
              </w:rPr>
            </w:pPr>
            <w:proofErr w:type="spellStart"/>
            <w:r w:rsidRPr="00B47001">
              <w:rPr>
                <w:rFonts w:cstheme="minorHAnsi"/>
                <w:b/>
                <w:sz w:val="20"/>
                <w:szCs w:val="20"/>
              </w:rPr>
              <w:t>BldgType</w:t>
            </w:r>
            <w:proofErr w:type="spellEnd"/>
          </w:p>
        </w:tc>
        <w:tc>
          <w:tcPr>
            <w:tcW w:w="852" w:type="pct"/>
            <w:shd w:val="clear" w:color="auto" w:fill="D9D9D9" w:themeFill="background1" w:themeFillShade="D9"/>
          </w:tcPr>
          <w:p w:rsidR="007751C7" w:rsidRPr="002801CF" w:rsidRDefault="007751C7" w:rsidP="002B54E4">
            <w:pPr>
              <w:jc w:val="center"/>
              <w:rPr>
                <w:b/>
                <w:sz w:val="20"/>
                <w:szCs w:val="20"/>
              </w:rPr>
            </w:pPr>
            <w:proofErr w:type="spellStart"/>
            <w:r w:rsidRPr="00B47001">
              <w:rPr>
                <w:rFonts w:cstheme="minorHAnsi"/>
                <w:b/>
                <w:sz w:val="20"/>
                <w:szCs w:val="20"/>
              </w:rPr>
              <w:t>ProgDelivID</w:t>
            </w:r>
            <w:proofErr w:type="spellEnd"/>
          </w:p>
        </w:tc>
        <w:tc>
          <w:tcPr>
            <w:tcW w:w="696" w:type="pct"/>
            <w:shd w:val="clear" w:color="auto" w:fill="D9D9D9" w:themeFill="background1" w:themeFillShade="D9"/>
          </w:tcPr>
          <w:p w:rsidR="007751C7" w:rsidRPr="00B47001" w:rsidRDefault="007751C7" w:rsidP="002B54E4">
            <w:pPr>
              <w:jc w:val="center"/>
              <w:rPr>
                <w:rFonts w:cstheme="minorHAnsi"/>
                <w:b/>
                <w:sz w:val="20"/>
                <w:szCs w:val="20"/>
              </w:rPr>
            </w:pPr>
            <w:proofErr w:type="spellStart"/>
            <w:r w:rsidRPr="00B47001">
              <w:rPr>
                <w:rFonts w:cstheme="minorHAnsi"/>
                <w:b/>
                <w:sz w:val="20"/>
                <w:szCs w:val="20"/>
              </w:rPr>
              <w:t>GSIAValue</w:t>
            </w:r>
            <w:proofErr w:type="spellEnd"/>
          </w:p>
        </w:tc>
      </w:tr>
      <w:tr w:rsidR="007751C7" w:rsidRPr="0078763A" w:rsidTr="00144582">
        <w:trPr>
          <w:trHeight w:val="368"/>
        </w:trPr>
        <w:tc>
          <w:tcPr>
            <w:tcW w:w="873" w:type="pct"/>
            <w:shd w:val="clear" w:color="auto" w:fill="auto"/>
            <w:vAlign w:val="center"/>
          </w:tcPr>
          <w:p w:rsidR="007751C7" w:rsidRPr="002801CF" w:rsidRDefault="007751C7" w:rsidP="007751C7">
            <w:pPr>
              <w:jc w:val="center"/>
              <w:rPr>
                <w:sz w:val="20"/>
                <w:szCs w:val="20"/>
                <w:highlight w:val="yellow"/>
              </w:rPr>
            </w:pPr>
            <w:r w:rsidRPr="00B47001">
              <w:rPr>
                <w:sz w:val="20"/>
                <w:szCs w:val="20"/>
              </w:rPr>
              <w:t>PGE-Prop_CFL_0.</w:t>
            </w:r>
            <w:r>
              <w:rPr>
                <w:sz w:val="20"/>
                <w:szCs w:val="20"/>
              </w:rPr>
              <w:t>73</w:t>
            </w:r>
          </w:p>
        </w:tc>
        <w:tc>
          <w:tcPr>
            <w:tcW w:w="1217" w:type="pct"/>
            <w:vAlign w:val="center"/>
          </w:tcPr>
          <w:p w:rsidR="007751C7" w:rsidRPr="002801CF" w:rsidDel="00400781" w:rsidRDefault="007751C7" w:rsidP="002B54E4">
            <w:pPr>
              <w:jc w:val="center"/>
              <w:rPr>
                <w:sz w:val="20"/>
                <w:szCs w:val="20"/>
              </w:rPr>
            </w:pPr>
            <w:r>
              <w:rPr>
                <w:sz w:val="20"/>
                <w:szCs w:val="20"/>
              </w:rPr>
              <w:t>Propose: (0.73-Com, 0.67-Res) 2006-2008 EM&amp;V-Upstream CFL: Res</w:t>
            </w:r>
          </w:p>
        </w:tc>
        <w:tc>
          <w:tcPr>
            <w:tcW w:w="679" w:type="pct"/>
            <w:vAlign w:val="center"/>
          </w:tcPr>
          <w:p w:rsidR="007751C7" w:rsidRPr="002801CF" w:rsidRDefault="007751C7" w:rsidP="002B54E4">
            <w:pPr>
              <w:jc w:val="center"/>
              <w:rPr>
                <w:sz w:val="20"/>
                <w:szCs w:val="20"/>
              </w:rPr>
            </w:pPr>
            <w:r>
              <w:rPr>
                <w:sz w:val="20"/>
                <w:szCs w:val="20"/>
              </w:rPr>
              <w:t>Com</w:t>
            </w:r>
          </w:p>
        </w:tc>
        <w:tc>
          <w:tcPr>
            <w:tcW w:w="683" w:type="pct"/>
            <w:shd w:val="clear" w:color="auto" w:fill="auto"/>
            <w:vAlign w:val="center"/>
          </w:tcPr>
          <w:p w:rsidR="007751C7" w:rsidRPr="002801CF" w:rsidRDefault="007751C7" w:rsidP="002B54E4">
            <w:pPr>
              <w:jc w:val="center"/>
              <w:rPr>
                <w:sz w:val="20"/>
                <w:szCs w:val="20"/>
              </w:rPr>
            </w:pPr>
            <w:r>
              <w:rPr>
                <w:sz w:val="20"/>
                <w:szCs w:val="20"/>
              </w:rPr>
              <w:t>Any</w:t>
            </w:r>
          </w:p>
        </w:tc>
        <w:tc>
          <w:tcPr>
            <w:tcW w:w="852" w:type="pct"/>
            <w:vAlign w:val="center"/>
          </w:tcPr>
          <w:p w:rsidR="007751C7" w:rsidRPr="002801CF" w:rsidRDefault="007751C7" w:rsidP="002B54E4">
            <w:pPr>
              <w:jc w:val="center"/>
              <w:rPr>
                <w:sz w:val="20"/>
                <w:szCs w:val="20"/>
              </w:rPr>
            </w:pPr>
            <w:r>
              <w:rPr>
                <w:sz w:val="20"/>
                <w:szCs w:val="20"/>
              </w:rPr>
              <w:t>Any</w:t>
            </w:r>
          </w:p>
        </w:tc>
        <w:tc>
          <w:tcPr>
            <w:tcW w:w="696" w:type="pct"/>
            <w:vAlign w:val="center"/>
          </w:tcPr>
          <w:p w:rsidR="007751C7" w:rsidRPr="002801CF" w:rsidRDefault="007751C7" w:rsidP="007751C7">
            <w:pPr>
              <w:jc w:val="center"/>
              <w:rPr>
                <w:sz w:val="20"/>
                <w:szCs w:val="20"/>
              </w:rPr>
            </w:pPr>
            <w:r>
              <w:rPr>
                <w:sz w:val="20"/>
                <w:szCs w:val="20"/>
              </w:rPr>
              <w:t>0.73</w:t>
            </w:r>
          </w:p>
        </w:tc>
      </w:tr>
    </w:tbl>
    <w:p w:rsidR="007751C7" w:rsidRDefault="007751C7" w:rsidP="007751C7"/>
    <w:p w:rsidR="00BB3563" w:rsidRDefault="00BB3563" w:rsidP="00702EF5">
      <w:pPr>
        <w:rPr>
          <w:b/>
        </w:rPr>
      </w:pPr>
    </w:p>
    <w:p w:rsidR="00BB3563" w:rsidRDefault="00BB3563" w:rsidP="00702EF5">
      <w:pPr>
        <w:rPr>
          <w:b/>
        </w:rPr>
      </w:pPr>
    </w:p>
    <w:p w:rsidR="005B17E4" w:rsidRDefault="005B17E4" w:rsidP="00702EF5">
      <w:r w:rsidRPr="00A80156">
        <w:rPr>
          <w:b/>
        </w:rPr>
        <w:t>Effective Useful Life:</w:t>
      </w:r>
    </w:p>
    <w:p w:rsidR="00F33507" w:rsidRDefault="005B17E4" w:rsidP="005B17E4">
      <w:r w:rsidRPr="00F33507">
        <w:t>The 20</w:t>
      </w:r>
      <w:r w:rsidR="001337A6" w:rsidRPr="00F33507">
        <w:t>1</w:t>
      </w:r>
      <w:r w:rsidR="00606872" w:rsidRPr="00F33507">
        <w:t>6</w:t>
      </w:r>
      <w:r w:rsidRPr="00F33507">
        <w:t xml:space="preserve"> DEER lists </w:t>
      </w:r>
      <w:r w:rsidR="00F33507">
        <w:t xml:space="preserve">the EUL for </w:t>
      </w:r>
      <w:r w:rsidRPr="00F33507">
        <w:t>CFL lamp</w:t>
      </w:r>
      <w:r w:rsidR="00F33507">
        <w:t xml:space="preserve">s </w:t>
      </w:r>
      <w:r w:rsidRPr="00F33507">
        <w:t xml:space="preserve">in </w:t>
      </w:r>
      <w:r w:rsidR="00F33507">
        <w:t xml:space="preserve">the </w:t>
      </w:r>
      <w:r w:rsidRPr="00F33507">
        <w:t>RE</w:t>
      </w:r>
      <w:r w:rsidR="00F33507">
        <w:t>A</w:t>
      </w:r>
      <w:r w:rsidRPr="00F33507">
        <w:t>DI tool base</w:t>
      </w:r>
      <w:r w:rsidR="00BB3563">
        <w:t>d on 10,000 hours of lamp life.</w:t>
      </w:r>
    </w:p>
    <w:p w:rsidR="00F33507" w:rsidRDefault="00F33507" w:rsidP="005B17E4"/>
    <w:p w:rsidR="00F33507" w:rsidRPr="00F33507" w:rsidRDefault="00F33507" w:rsidP="00F33507">
      <w:r w:rsidRPr="00F33507">
        <w:t>The EUL for lamps is calculated based on the formula below:</w:t>
      </w:r>
    </w:p>
    <w:p w:rsidR="00F33507" w:rsidRDefault="00F33507" w:rsidP="00F33507">
      <w:pPr>
        <w:jc w:val="center"/>
      </w:pPr>
    </w:p>
    <w:p w:rsidR="00F33507" w:rsidRDefault="00BB3563" w:rsidP="00F33507">
      <w:pPr>
        <w:jc w:val="center"/>
      </w:pPr>
      <w:r>
        <w:t>EUL = 10,000</w:t>
      </w:r>
      <w:proofErr w:type="gramStart"/>
      <w:r w:rsidR="00F33507" w:rsidRPr="00F33507">
        <w:t>/</w:t>
      </w:r>
      <w:r w:rsidR="00F33507">
        <w:t>(</w:t>
      </w:r>
      <w:proofErr w:type="gramEnd"/>
      <w:r w:rsidR="00F33507" w:rsidRPr="00F33507">
        <w:t>interior (2130) or exterior (4100) hours of operation</w:t>
      </w:r>
      <w:r w:rsidR="00F33507">
        <w:t>)</w:t>
      </w:r>
    </w:p>
    <w:p w:rsidR="00F33507" w:rsidRDefault="00F33507" w:rsidP="005B17E4"/>
    <w:p w:rsidR="005B17E4" w:rsidRDefault="001337A6" w:rsidP="00F33507">
      <w:r w:rsidRPr="00F33507">
        <w:t>D</w:t>
      </w:r>
      <w:r w:rsidRPr="00C1300E">
        <w:t>EER 201</w:t>
      </w:r>
      <w:r w:rsidR="00606872" w:rsidRPr="00C1300E">
        <w:t>6</w:t>
      </w:r>
      <w:r w:rsidR="00F33507">
        <w:t>, READI Tool</w:t>
      </w:r>
      <w:r w:rsidR="005B17E4" w:rsidRPr="00C1300E">
        <w:t xml:space="preserve"> has</w:t>
      </w:r>
      <w:r w:rsidR="00F33507">
        <w:t xml:space="preserve"> </w:t>
      </w:r>
      <w:r w:rsidR="005B17E4" w:rsidRPr="00C1300E">
        <w:t xml:space="preserve">EUL for CFL fixtures </w:t>
      </w:r>
      <w:r w:rsidR="00F33507">
        <w:t xml:space="preserve">listed as </w:t>
      </w:r>
      <w:r w:rsidR="005B17E4" w:rsidRPr="00C1300E">
        <w:t>1</w:t>
      </w:r>
      <w:r w:rsidR="00CF6ECB">
        <w:t>5</w:t>
      </w:r>
      <w:r w:rsidR="00F33507">
        <w:t xml:space="preserve"> years</w:t>
      </w:r>
      <w:r w:rsidR="005B17E4" w:rsidRPr="00C1300E">
        <w:t xml:space="preserve"> </w:t>
      </w:r>
      <w:r w:rsidR="00F33507" w:rsidRPr="00C1300E">
        <w:t xml:space="preserve">for </w:t>
      </w:r>
      <w:r w:rsidR="00F33507">
        <w:t>cross-cutting</w:t>
      </w:r>
      <w:r w:rsidR="00F33507" w:rsidRPr="00C1300E">
        <w:t xml:space="preserve"> application</w:t>
      </w:r>
      <w:r w:rsidR="00F33507">
        <w:t xml:space="preserve">s, which can still apply for commercial building types.  </w:t>
      </w:r>
      <w:proofErr w:type="spellStart"/>
      <w:r w:rsidR="005B17E4" w:rsidRPr="00C1300E">
        <w:t>Torchiere</w:t>
      </w:r>
      <w:proofErr w:type="spellEnd"/>
      <w:r w:rsidR="005B17E4" w:rsidRPr="00C1300E">
        <w:t xml:space="preserve"> EUL </w:t>
      </w:r>
      <w:r w:rsidR="00F33507">
        <w:t>is</w:t>
      </w:r>
      <w:r w:rsidR="005B17E4" w:rsidRPr="00C1300E">
        <w:t xml:space="preserve"> assumed to be the same as fixtures.</w:t>
      </w:r>
      <w:r w:rsidR="00F33507">
        <w:t xml:space="preserve">  The relevant EUL values for the measures in this work paper are listed in the table below:</w:t>
      </w:r>
    </w:p>
    <w:p w:rsidR="00F33507" w:rsidRDefault="00F33507" w:rsidP="00F33507"/>
    <w:p w:rsidR="00F33507" w:rsidRPr="00F33507" w:rsidRDefault="00F33507" w:rsidP="00F33507">
      <w:pPr>
        <w:pStyle w:val="Caption"/>
        <w:jc w:val="center"/>
        <w:rPr>
          <w:b w:val="0"/>
          <w:sz w:val="24"/>
          <w:szCs w:val="24"/>
        </w:rPr>
      </w:pPr>
      <w:bookmarkStart w:id="38" w:name="_Toc438034275"/>
      <w:r>
        <w:t xml:space="preserve">Table </w:t>
      </w:r>
      <w:fldSimple w:instr=" SEQ Table \* ARABIC ">
        <w:r w:rsidR="00AB59D8">
          <w:rPr>
            <w:noProof/>
          </w:rPr>
          <w:t>5</w:t>
        </w:r>
      </w:fldSimple>
      <w:r>
        <w:t xml:space="preserve"> CFL Effective Useful Life</w:t>
      </w:r>
      <w:bookmarkEnd w:id="3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2276"/>
        <w:gridCol w:w="1505"/>
        <w:gridCol w:w="1668"/>
        <w:gridCol w:w="1679"/>
      </w:tblGrid>
      <w:tr w:rsidR="00C1300E" w:rsidRPr="00E47C4C" w:rsidTr="00C1300E">
        <w:trPr>
          <w:trHeight w:val="377"/>
        </w:trPr>
        <w:tc>
          <w:tcPr>
            <w:tcW w:w="1620" w:type="dxa"/>
            <w:shd w:val="clear" w:color="auto" w:fill="D9D9D9" w:themeFill="background1" w:themeFillShade="D9"/>
            <w:vAlign w:val="center"/>
          </w:tcPr>
          <w:p w:rsidR="00C1300E" w:rsidRPr="00E47C4C" w:rsidRDefault="00C1300E" w:rsidP="00606872">
            <w:pPr>
              <w:jc w:val="center"/>
              <w:rPr>
                <w:b/>
                <w:sz w:val="20"/>
                <w:szCs w:val="20"/>
              </w:rPr>
            </w:pPr>
            <w:r>
              <w:rPr>
                <w:b/>
                <w:sz w:val="20"/>
                <w:szCs w:val="20"/>
              </w:rPr>
              <w:t>EUL_ID</w:t>
            </w:r>
          </w:p>
        </w:tc>
        <w:tc>
          <w:tcPr>
            <w:tcW w:w="2276" w:type="dxa"/>
            <w:shd w:val="clear" w:color="auto" w:fill="D9D9D9" w:themeFill="background1" w:themeFillShade="D9"/>
            <w:vAlign w:val="center"/>
          </w:tcPr>
          <w:p w:rsidR="00C1300E" w:rsidRPr="00E47C4C" w:rsidRDefault="00C1300E" w:rsidP="00281680">
            <w:pPr>
              <w:jc w:val="center"/>
              <w:rPr>
                <w:b/>
                <w:sz w:val="20"/>
                <w:szCs w:val="20"/>
              </w:rPr>
            </w:pPr>
            <w:r>
              <w:rPr>
                <w:b/>
                <w:sz w:val="20"/>
                <w:szCs w:val="20"/>
              </w:rPr>
              <w:t>Description</w:t>
            </w:r>
          </w:p>
        </w:tc>
        <w:tc>
          <w:tcPr>
            <w:tcW w:w="1505" w:type="dxa"/>
            <w:shd w:val="clear" w:color="auto" w:fill="D9D9D9" w:themeFill="background1" w:themeFillShade="D9"/>
            <w:vAlign w:val="center"/>
          </w:tcPr>
          <w:p w:rsidR="00C1300E" w:rsidRPr="00E47C4C" w:rsidRDefault="00C1300E" w:rsidP="00C1300E">
            <w:pPr>
              <w:jc w:val="center"/>
              <w:rPr>
                <w:b/>
                <w:sz w:val="20"/>
                <w:szCs w:val="20"/>
              </w:rPr>
            </w:pPr>
            <w:r w:rsidRPr="00E47C4C">
              <w:rPr>
                <w:b/>
                <w:sz w:val="20"/>
                <w:szCs w:val="20"/>
              </w:rPr>
              <w:t>CFL</w:t>
            </w:r>
            <w:r w:rsidRPr="00E47C4C">
              <w:rPr>
                <w:b/>
                <w:sz w:val="20"/>
                <w:szCs w:val="20"/>
              </w:rPr>
              <w:fldChar w:fldCharType="begin"/>
            </w:r>
            <w:r>
              <w:instrText xml:space="preserve"> XE "</w:instrText>
            </w:r>
            <w:r w:rsidRPr="00E47C4C">
              <w:rPr>
                <w:sz w:val="20"/>
                <w:szCs w:val="20"/>
              </w:rPr>
              <w:instrText>CFL</w:instrText>
            </w:r>
            <w:r>
              <w:instrText xml:space="preserve">" </w:instrText>
            </w:r>
            <w:r w:rsidRPr="00E47C4C">
              <w:rPr>
                <w:b/>
                <w:sz w:val="20"/>
                <w:szCs w:val="20"/>
              </w:rPr>
              <w:fldChar w:fldCharType="end"/>
            </w:r>
            <w:r w:rsidRPr="00E47C4C">
              <w:rPr>
                <w:b/>
                <w:sz w:val="20"/>
                <w:szCs w:val="20"/>
              </w:rPr>
              <w:t xml:space="preserve"> Type</w:t>
            </w:r>
          </w:p>
        </w:tc>
        <w:tc>
          <w:tcPr>
            <w:tcW w:w="1668" w:type="dxa"/>
            <w:shd w:val="clear" w:color="auto" w:fill="D9D9D9" w:themeFill="background1" w:themeFillShade="D9"/>
            <w:vAlign w:val="center"/>
          </w:tcPr>
          <w:p w:rsidR="00C1300E" w:rsidRPr="00E47C4C" w:rsidRDefault="00C1300E" w:rsidP="00281680">
            <w:pPr>
              <w:jc w:val="center"/>
              <w:rPr>
                <w:b/>
                <w:sz w:val="20"/>
                <w:szCs w:val="20"/>
              </w:rPr>
            </w:pPr>
            <w:r w:rsidRPr="00E47C4C">
              <w:rPr>
                <w:b/>
                <w:sz w:val="20"/>
                <w:szCs w:val="20"/>
              </w:rPr>
              <w:t>EUL</w:t>
            </w:r>
            <w:r>
              <w:rPr>
                <w:b/>
                <w:sz w:val="20"/>
                <w:szCs w:val="20"/>
              </w:rPr>
              <w:t xml:space="preserve"> years</w:t>
            </w:r>
          </w:p>
        </w:tc>
        <w:tc>
          <w:tcPr>
            <w:tcW w:w="1679" w:type="dxa"/>
            <w:shd w:val="clear" w:color="auto" w:fill="D9D9D9" w:themeFill="background1" w:themeFillShade="D9"/>
          </w:tcPr>
          <w:p w:rsidR="00C1300E" w:rsidRDefault="00C1300E" w:rsidP="00281680">
            <w:pPr>
              <w:jc w:val="center"/>
              <w:rPr>
                <w:b/>
                <w:sz w:val="20"/>
                <w:szCs w:val="20"/>
              </w:rPr>
            </w:pPr>
            <w:r>
              <w:rPr>
                <w:b/>
                <w:sz w:val="20"/>
                <w:szCs w:val="20"/>
              </w:rPr>
              <w:t>DEER Version</w:t>
            </w:r>
          </w:p>
          <w:p w:rsidR="00C1300E" w:rsidRPr="00E47C4C" w:rsidRDefault="00C1300E" w:rsidP="00281680">
            <w:pPr>
              <w:jc w:val="center"/>
              <w:rPr>
                <w:b/>
                <w:sz w:val="20"/>
                <w:szCs w:val="20"/>
              </w:rPr>
            </w:pPr>
            <w:r>
              <w:rPr>
                <w:b/>
                <w:sz w:val="20"/>
                <w:szCs w:val="20"/>
              </w:rPr>
              <w:t>Version Source</w:t>
            </w:r>
          </w:p>
        </w:tc>
      </w:tr>
      <w:tr w:rsidR="00C1300E" w:rsidRPr="00E47C4C" w:rsidTr="00CF6ECB">
        <w:tc>
          <w:tcPr>
            <w:tcW w:w="1620" w:type="dxa"/>
            <w:vAlign w:val="center"/>
          </w:tcPr>
          <w:p w:rsidR="00C1300E" w:rsidRPr="00E47C4C" w:rsidRDefault="00BB3563" w:rsidP="00E139BE">
            <w:pPr>
              <w:jc w:val="center"/>
              <w:rPr>
                <w:sz w:val="20"/>
                <w:szCs w:val="20"/>
              </w:rPr>
            </w:pPr>
            <w:proofErr w:type="spellStart"/>
            <w:r w:rsidRPr="00BB3563">
              <w:rPr>
                <w:sz w:val="20"/>
                <w:szCs w:val="20"/>
              </w:rPr>
              <w:t>ILtg</w:t>
            </w:r>
            <w:proofErr w:type="spellEnd"/>
            <w:r w:rsidRPr="00BB3563">
              <w:rPr>
                <w:sz w:val="20"/>
                <w:szCs w:val="20"/>
              </w:rPr>
              <w:t>-CFL-Com</w:t>
            </w:r>
          </w:p>
        </w:tc>
        <w:tc>
          <w:tcPr>
            <w:tcW w:w="2276" w:type="dxa"/>
            <w:shd w:val="clear" w:color="auto" w:fill="auto"/>
            <w:vAlign w:val="center"/>
          </w:tcPr>
          <w:p w:rsidR="00C1300E" w:rsidRPr="00E47C4C" w:rsidRDefault="00C1300E" w:rsidP="00363066">
            <w:pPr>
              <w:jc w:val="center"/>
              <w:rPr>
                <w:sz w:val="20"/>
                <w:szCs w:val="20"/>
              </w:rPr>
            </w:pPr>
            <w:r w:rsidRPr="00E47C4C">
              <w:rPr>
                <w:sz w:val="20"/>
                <w:szCs w:val="20"/>
              </w:rPr>
              <w:t>CFL</w:t>
            </w:r>
            <w:r w:rsidRPr="00E47C4C">
              <w:rPr>
                <w:sz w:val="20"/>
                <w:szCs w:val="20"/>
              </w:rPr>
              <w:fldChar w:fldCharType="begin"/>
            </w:r>
            <w:r>
              <w:instrText xml:space="preserve"> XE "</w:instrText>
            </w:r>
            <w:r w:rsidRPr="00E47C4C">
              <w:rPr>
                <w:sz w:val="20"/>
                <w:szCs w:val="20"/>
              </w:rPr>
              <w:instrText>CFL</w:instrText>
            </w:r>
            <w:r>
              <w:instrText xml:space="preserve">" </w:instrText>
            </w:r>
            <w:r w:rsidRPr="00E47C4C">
              <w:rPr>
                <w:sz w:val="20"/>
                <w:szCs w:val="20"/>
              </w:rPr>
              <w:fldChar w:fldCharType="end"/>
            </w:r>
            <w:r w:rsidRPr="00E47C4C">
              <w:rPr>
                <w:sz w:val="20"/>
                <w:szCs w:val="20"/>
              </w:rPr>
              <w:t xml:space="preserve"> Lamps </w:t>
            </w:r>
            <w:r>
              <w:rPr>
                <w:sz w:val="20"/>
                <w:szCs w:val="20"/>
              </w:rPr>
              <w:t>– Indoor- Commercial – 10,000 Rated Hours</w:t>
            </w:r>
          </w:p>
        </w:tc>
        <w:tc>
          <w:tcPr>
            <w:tcW w:w="1505" w:type="dxa"/>
            <w:vAlign w:val="center"/>
          </w:tcPr>
          <w:p w:rsidR="00C1300E" w:rsidRDefault="00C1300E" w:rsidP="00C1300E">
            <w:pPr>
              <w:jc w:val="center"/>
              <w:rPr>
                <w:sz w:val="20"/>
                <w:szCs w:val="20"/>
              </w:rPr>
            </w:pPr>
            <w:r w:rsidRPr="00E47C4C">
              <w:rPr>
                <w:sz w:val="20"/>
                <w:szCs w:val="20"/>
              </w:rPr>
              <w:t>CFL</w:t>
            </w:r>
            <w:r w:rsidRPr="00E47C4C">
              <w:rPr>
                <w:sz w:val="20"/>
                <w:szCs w:val="20"/>
              </w:rPr>
              <w:fldChar w:fldCharType="begin"/>
            </w:r>
            <w:r>
              <w:instrText xml:space="preserve"> XE "</w:instrText>
            </w:r>
            <w:r w:rsidRPr="00E47C4C">
              <w:rPr>
                <w:sz w:val="20"/>
                <w:szCs w:val="20"/>
              </w:rPr>
              <w:instrText>CFL</w:instrText>
            </w:r>
            <w:r>
              <w:instrText xml:space="preserve">" </w:instrText>
            </w:r>
            <w:r w:rsidRPr="00E47C4C">
              <w:rPr>
                <w:sz w:val="20"/>
                <w:szCs w:val="20"/>
              </w:rPr>
              <w:fldChar w:fldCharType="end"/>
            </w:r>
            <w:r w:rsidRPr="00E47C4C">
              <w:rPr>
                <w:sz w:val="20"/>
                <w:szCs w:val="20"/>
              </w:rPr>
              <w:t xml:space="preserve"> Lamps (10,000 hour lamp</w:t>
            </w:r>
            <w:r w:rsidRPr="00E47C4C">
              <w:rPr>
                <w:sz w:val="20"/>
                <w:szCs w:val="20"/>
              </w:rPr>
              <w:fldChar w:fldCharType="begin"/>
            </w:r>
            <w:r>
              <w:instrText xml:space="preserve"> XE "</w:instrText>
            </w:r>
            <w:r w:rsidRPr="00E47C4C">
              <w:rPr>
                <w:sz w:val="20"/>
                <w:szCs w:val="20"/>
              </w:rPr>
              <w:instrText>lamp</w:instrText>
            </w:r>
            <w:r>
              <w:instrText xml:space="preserve">" </w:instrText>
            </w:r>
            <w:r w:rsidRPr="00E47C4C">
              <w:rPr>
                <w:sz w:val="20"/>
                <w:szCs w:val="20"/>
              </w:rPr>
              <w:fldChar w:fldCharType="end"/>
            </w:r>
            <w:r w:rsidRPr="00E47C4C">
              <w:rPr>
                <w:sz w:val="20"/>
                <w:szCs w:val="20"/>
              </w:rPr>
              <w:t xml:space="preserve"> life)</w:t>
            </w:r>
          </w:p>
        </w:tc>
        <w:tc>
          <w:tcPr>
            <w:tcW w:w="1668" w:type="dxa"/>
            <w:shd w:val="clear" w:color="auto" w:fill="auto"/>
            <w:vAlign w:val="center"/>
          </w:tcPr>
          <w:p w:rsidR="00C1300E" w:rsidRPr="002F37CC" w:rsidRDefault="00BB3563" w:rsidP="00606872">
            <w:pPr>
              <w:jc w:val="center"/>
              <w:rPr>
                <w:sz w:val="20"/>
                <w:szCs w:val="20"/>
              </w:rPr>
            </w:pPr>
            <w:r>
              <w:rPr>
                <w:sz w:val="20"/>
                <w:szCs w:val="20"/>
              </w:rPr>
              <w:t>4.69</w:t>
            </w:r>
          </w:p>
        </w:tc>
        <w:tc>
          <w:tcPr>
            <w:tcW w:w="1679" w:type="dxa"/>
            <w:vAlign w:val="center"/>
          </w:tcPr>
          <w:p w:rsidR="00C1300E" w:rsidRDefault="00C1300E" w:rsidP="00CF6ECB">
            <w:pPr>
              <w:jc w:val="center"/>
              <w:rPr>
                <w:sz w:val="20"/>
                <w:szCs w:val="20"/>
              </w:rPr>
            </w:pPr>
            <w:r>
              <w:rPr>
                <w:sz w:val="20"/>
                <w:szCs w:val="20"/>
              </w:rPr>
              <w:t>DEER2016</w:t>
            </w:r>
          </w:p>
          <w:p w:rsidR="00C1300E" w:rsidRDefault="00C1300E" w:rsidP="00CF6ECB">
            <w:pPr>
              <w:jc w:val="center"/>
              <w:rPr>
                <w:sz w:val="20"/>
                <w:szCs w:val="20"/>
              </w:rPr>
            </w:pPr>
            <w:r>
              <w:rPr>
                <w:sz w:val="20"/>
                <w:szCs w:val="20"/>
              </w:rPr>
              <w:t>2015 Uncertain Measures Update</w:t>
            </w:r>
          </w:p>
        </w:tc>
      </w:tr>
      <w:tr w:rsidR="00C1300E" w:rsidRPr="00E47C4C" w:rsidTr="00CF6ECB">
        <w:tc>
          <w:tcPr>
            <w:tcW w:w="1620" w:type="dxa"/>
            <w:vAlign w:val="center"/>
          </w:tcPr>
          <w:p w:rsidR="00C1300E" w:rsidRPr="00E47C4C" w:rsidRDefault="00C1300E" w:rsidP="002B54E4">
            <w:pPr>
              <w:jc w:val="center"/>
              <w:rPr>
                <w:sz w:val="20"/>
                <w:szCs w:val="20"/>
              </w:rPr>
            </w:pPr>
            <w:proofErr w:type="spellStart"/>
            <w:r>
              <w:rPr>
                <w:sz w:val="20"/>
                <w:szCs w:val="20"/>
              </w:rPr>
              <w:t>OLtg</w:t>
            </w:r>
            <w:proofErr w:type="spellEnd"/>
            <w:r>
              <w:rPr>
                <w:sz w:val="20"/>
                <w:szCs w:val="20"/>
              </w:rPr>
              <w:t>-CFL</w:t>
            </w:r>
          </w:p>
        </w:tc>
        <w:tc>
          <w:tcPr>
            <w:tcW w:w="2276" w:type="dxa"/>
            <w:shd w:val="clear" w:color="auto" w:fill="auto"/>
            <w:vAlign w:val="center"/>
          </w:tcPr>
          <w:p w:rsidR="00C1300E" w:rsidRPr="00E47C4C" w:rsidRDefault="00C1300E" w:rsidP="00363066">
            <w:pPr>
              <w:jc w:val="center"/>
              <w:rPr>
                <w:sz w:val="20"/>
                <w:szCs w:val="20"/>
              </w:rPr>
            </w:pPr>
            <w:r>
              <w:rPr>
                <w:sz w:val="20"/>
                <w:szCs w:val="20"/>
              </w:rPr>
              <w:t xml:space="preserve">Outdoor </w:t>
            </w:r>
            <w:r w:rsidRPr="00E47C4C">
              <w:rPr>
                <w:sz w:val="20"/>
                <w:szCs w:val="20"/>
              </w:rPr>
              <w:t>CFL</w:t>
            </w:r>
            <w:r w:rsidRPr="00E47C4C">
              <w:rPr>
                <w:sz w:val="20"/>
                <w:szCs w:val="20"/>
              </w:rPr>
              <w:fldChar w:fldCharType="begin"/>
            </w:r>
            <w:r>
              <w:instrText xml:space="preserve"> XE "</w:instrText>
            </w:r>
            <w:r w:rsidRPr="00E47C4C">
              <w:rPr>
                <w:sz w:val="20"/>
                <w:szCs w:val="20"/>
              </w:rPr>
              <w:instrText>CFL</w:instrText>
            </w:r>
            <w:r>
              <w:instrText xml:space="preserve">" </w:instrText>
            </w:r>
            <w:r w:rsidRPr="00E47C4C">
              <w:rPr>
                <w:sz w:val="20"/>
                <w:szCs w:val="20"/>
              </w:rPr>
              <w:fldChar w:fldCharType="end"/>
            </w:r>
            <w:r w:rsidRPr="00E47C4C">
              <w:rPr>
                <w:sz w:val="20"/>
                <w:szCs w:val="20"/>
              </w:rPr>
              <w:t xml:space="preserve"> Lamps </w:t>
            </w:r>
            <w:r>
              <w:rPr>
                <w:sz w:val="20"/>
                <w:szCs w:val="20"/>
              </w:rPr>
              <w:t xml:space="preserve">- </w:t>
            </w:r>
            <w:r w:rsidRPr="00E47C4C">
              <w:rPr>
                <w:sz w:val="20"/>
                <w:szCs w:val="20"/>
              </w:rPr>
              <w:t xml:space="preserve">10,000 </w:t>
            </w:r>
            <w:r>
              <w:rPr>
                <w:sz w:val="20"/>
                <w:szCs w:val="20"/>
              </w:rPr>
              <w:t>Hour</w:t>
            </w:r>
            <w:r w:rsidRPr="00E47C4C">
              <w:rPr>
                <w:sz w:val="20"/>
                <w:szCs w:val="20"/>
              </w:rPr>
              <w:fldChar w:fldCharType="begin"/>
            </w:r>
            <w:r>
              <w:instrText xml:space="preserve"> XE "</w:instrText>
            </w:r>
            <w:r w:rsidRPr="00E47C4C">
              <w:rPr>
                <w:sz w:val="20"/>
                <w:szCs w:val="20"/>
              </w:rPr>
              <w:instrText>lamp</w:instrText>
            </w:r>
            <w:r>
              <w:instrText xml:space="preserve">" </w:instrText>
            </w:r>
            <w:r w:rsidRPr="00E47C4C">
              <w:rPr>
                <w:sz w:val="20"/>
                <w:szCs w:val="20"/>
              </w:rPr>
              <w:fldChar w:fldCharType="end"/>
            </w:r>
          </w:p>
        </w:tc>
        <w:tc>
          <w:tcPr>
            <w:tcW w:w="1505" w:type="dxa"/>
            <w:vAlign w:val="center"/>
          </w:tcPr>
          <w:p w:rsidR="00C1300E" w:rsidRDefault="00C1300E" w:rsidP="00C1300E">
            <w:pPr>
              <w:jc w:val="center"/>
              <w:rPr>
                <w:sz w:val="20"/>
                <w:szCs w:val="20"/>
              </w:rPr>
            </w:pPr>
            <w:r w:rsidRPr="00E47C4C">
              <w:rPr>
                <w:sz w:val="20"/>
                <w:szCs w:val="20"/>
              </w:rPr>
              <w:t>CFL</w:t>
            </w:r>
            <w:r w:rsidRPr="00E47C4C">
              <w:rPr>
                <w:sz w:val="20"/>
                <w:szCs w:val="20"/>
              </w:rPr>
              <w:fldChar w:fldCharType="begin"/>
            </w:r>
            <w:r>
              <w:instrText xml:space="preserve"> XE "</w:instrText>
            </w:r>
            <w:r w:rsidRPr="00E47C4C">
              <w:rPr>
                <w:sz w:val="20"/>
                <w:szCs w:val="20"/>
              </w:rPr>
              <w:instrText>CFL</w:instrText>
            </w:r>
            <w:r>
              <w:instrText xml:space="preserve">" </w:instrText>
            </w:r>
            <w:r w:rsidRPr="00E47C4C">
              <w:rPr>
                <w:sz w:val="20"/>
                <w:szCs w:val="20"/>
              </w:rPr>
              <w:fldChar w:fldCharType="end"/>
            </w:r>
            <w:r w:rsidRPr="00E47C4C">
              <w:rPr>
                <w:sz w:val="20"/>
                <w:szCs w:val="20"/>
              </w:rPr>
              <w:t xml:space="preserve"> Lamps (10,000 hour lamp</w:t>
            </w:r>
            <w:r w:rsidRPr="00E47C4C">
              <w:rPr>
                <w:sz w:val="20"/>
                <w:szCs w:val="20"/>
              </w:rPr>
              <w:fldChar w:fldCharType="begin"/>
            </w:r>
            <w:r>
              <w:instrText xml:space="preserve"> XE "</w:instrText>
            </w:r>
            <w:r w:rsidRPr="00E47C4C">
              <w:rPr>
                <w:sz w:val="20"/>
                <w:szCs w:val="20"/>
              </w:rPr>
              <w:instrText>lamp</w:instrText>
            </w:r>
            <w:r>
              <w:instrText xml:space="preserve">" </w:instrText>
            </w:r>
            <w:r w:rsidRPr="00E47C4C">
              <w:rPr>
                <w:sz w:val="20"/>
                <w:szCs w:val="20"/>
              </w:rPr>
              <w:fldChar w:fldCharType="end"/>
            </w:r>
            <w:r w:rsidRPr="00E47C4C">
              <w:rPr>
                <w:sz w:val="20"/>
                <w:szCs w:val="20"/>
              </w:rPr>
              <w:t xml:space="preserve"> life)</w:t>
            </w:r>
          </w:p>
        </w:tc>
        <w:tc>
          <w:tcPr>
            <w:tcW w:w="1668" w:type="dxa"/>
            <w:shd w:val="clear" w:color="auto" w:fill="auto"/>
            <w:vAlign w:val="center"/>
          </w:tcPr>
          <w:p w:rsidR="00C1300E" w:rsidRPr="002F37CC" w:rsidRDefault="00C1300E" w:rsidP="002B54E4">
            <w:pPr>
              <w:jc w:val="center"/>
              <w:rPr>
                <w:sz w:val="20"/>
                <w:szCs w:val="20"/>
              </w:rPr>
            </w:pPr>
            <w:r w:rsidRPr="002F37CC">
              <w:rPr>
                <w:sz w:val="20"/>
                <w:szCs w:val="20"/>
              </w:rPr>
              <w:t>2.44</w:t>
            </w:r>
          </w:p>
        </w:tc>
        <w:tc>
          <w:tcPr>
            <w:tcW w:w="1679" w:type="dxa"/>
            <w:vAlign w:val="center"/>
          </w:tcPr>
          <w:p w:rsidR="00C1300E" w:rsidRDefault="00C1300E" w:rsidP="00CF6ECB">
            <w:pPr>
              <w:jc w:val="center"/>
              <w:rPr>
                <w:sz w:val="20"/>
                <w:szCs w:val="20"/>
              </w:rPr>
            </w:pPr>
            <w:r>
              <w:rPr>
                <w:sz w:val="20"/>
                <w:szCs w:val="20"/>
              </w:rPr>
              <w:t>DEER2014</w:t>
            </w:r>
          </w:p>
          <w:p w:rsidR="00C1300E" w:rsidRDefault="00C1300E" w:rsidP="00CF6ECB">
            <w:pPr>
              <w:jc w:val="center"/>
              <w:rPr>
                <w:sz w:val="20"/>
                <w:szCs w:val="20"/>
              </w:rPr>
            </w:pPr>
            <w:r>
              <w:rPr>
                <w:sz w:val="20"/>
                <w:szCs w:val="20"/>
              </w:rPr>
              <w:t>D08 v2.05</w:t>
            </w:r>
          </w:p>
        </w:tc>
      </w:tr>
      <w:tr w:rsidR="00C1300E" w:rsidRPr="00E47C4C" w:rsidTr="00CF6ECB">
        <w:tc>
          <w:tcPr>
            <w:tcW w:w="1620" w:type="dxa"/>
            <w:vAlign w:val="center"/>
          </w:tcPr>
          <w:p w:rsidR="00C1300E" w:rsidRDefault="00C1300E" w:rsidP="00E139BE">
            <w:pPr>
              <w:jc w:val="center"/>
              <w:rPr>
                <w:sz w:val="20"/>
                <w:szCs w:val="20"/>
              </w:rPr>
            </w:pPr>
            <w:proofErr w:type="spellStart"/>
            <w:r>
              <w:rPr>
                <w:sz w:val="20"/>
                <w:szCs w:val="20"/>
              </w:rPr>
              <w:t>ILtg</w:t>
            </w:r>
            <w:proofErr w:type="spellEnd"/>
            <w:r>
              <w:rPr>
                <w:sz w:val="20"/>
                <w:szCs w:val="20"/>
              </w:rPr>
              <w:t>-</w:t>
            </w:r>
            <w:proofErr w:type="spellStart"/>
            <w:r>
              <w:rPr>
                <w:sz w:val="20"/>
                <w:szCs w:val="20"/>
              </w:rPr>
              <w:t>CFLfix</w:t>
            </w:r>
            <w:proofErr w:type="spellEnd"/>
            <w:r>
              <w:rPr>
                <w:sz w:val="20"/>
                <w:szCs w:val="20"/>
              </w:rPr>
              <w:t>-Com</w:t>
            </w:r>
          </w:p>
        </w:tc>
        <w:tc>
          <w:tcPr>
            <w:tcW w:w="2276" w:type="dxa"/>
            <w:shd w:val="clear" w:color="auto" w:fill="auto"/>
            <w:vAlign w:val="center"/>
          </w:tcPr>
          <w:p w:rsidR="00C1300E" w:rsidRPr="00E47C4C" w:rsidRDefault="00C1300E" w:rsidP="00E139BE">
            <w:pPr>
              <w:jc w:val="center"/>
              <w:rPr>
                <w:sz w:val="20"/>
                <w:szCs w:val="20"/>
              </w:rPr>
            </w:pPr>
            <w:r>
              <w:rPr>
                <w:sz w:val="20"/>
                <w:szCs w:val="20"/>
              </w:rPr>
              <w:t>CFL Fixtures – Indoor - Commercial</w:t>
            </w:r>
          </w:p>
        </w:tc>
        <w:tc>
          <w:tcPr>
            <w:tcW w:w="1505" w:type="dxa"/>
            <w:vAlign w:val="center"/>
          </w:tcPr>
          <w:p w:rsidR="00C1300E" w:rsidRPr="00E47C4C" w:rsidRDefault="00C1300E" w:rsidP="00C1300E">
            <w:pPr>
              <w:jc w:val="center"/>
              <w:rPr>
                <w:sz w:val="20"/>
                <w:szCs w:val="20"/>
              </w:rPr>
            </w:pPr>
            <w:r>
              <w:rPr>
                <w:sz w:val="20"/>
                <w:szCs w:val="20"/>
              </w:rPr>
              <w:t xml:space="preserve">Interior </w:t>
            </w:r>
            <w:r w:rsidRPr="00E47C4C">
              <w:rPr>
                <w:sz w:val="20"/>
                <w:szCs w:val="20"/>
              </w:rPr>
              <w:t>CFL</w:t>
            </w:r>
            <w:r w:rsidRPr="00E47C4C">
              <w:rPr>
                <w:sz w:val="20"/>
                <w:szCs w:val="20"/>
              </w:rPr>
              <w:fldChar w:fldCharType="begin"/>
            </w:r>
            <w:r>
              <w:instrText xml:space="preserve"> XE "</w:instrText>
            </w:r>
            <w:r w:rsidRPr="00E47C4C">
              <w:rPr>
                <w:sz w:val="20"/>
                <w:szCs w:val="20"/>
              </w:rPr>
              <w:instrText>CFL</w:instrText>
            </w:r>
            <w:r>
              <w:instrText xml:space="preserve">" </w:instrText>
            </w:r>
            <w:r w:rsidRPr="00E47C4C">
              <w:rPr>
                <w:sz w:val="20"/>
                <w:szCs w:val="20"/>
              </w:rPr>
              <w:fldChar w:fldCharType="end"/>
            </w:r>
            <w:r w:rsidRPr="00E47C4C">
              <w:rPr>
                <w:sz w:val="20"/>
                <w:szCs w:val="20"/>
              </w:rPr>
              <w:t xml:space="preserve"> Fixtures</w:t>
            </w:r>
            <w:r>
              <w:rPr>
                <w:sz w:val="20"/>
                <w:szCs w:val="20"/>
              </w:rPr>
              <w:t xml:space="preserve"> or </w:t>
            </w:r>
            <w:proofErr w:type="spellStart"/>
            <w:r>
              <w:rPr>
                <w:sz w:val="20"/>
                <w:szCs w:val="20"/>
              </w:rPr>
              <w:t>Torchieres</w:t>
            </w:r>
            <w:proofErr w:type="spellEnd"/>
          </w:p>
        </w:tc>
        <w:tc>
          <w:tcPr>
            <w:tcW w:w="1668" w:type="dxa"/>
            <w:shd w:val="clear" w:color="auto" w:fill="auto"/>
            <w:vAlign w:val="center"/>
          </w:tcPr>
          <w:p w:rsidR="00C1300E" w:rsidRPr="002F37CC" w:rsidRDefault="00C1300E" w:rsidP="00C1300E">
            <w:pPr>
              <w:jc w:val="center"/>
              <w:rPr>
                <w:sz w:val="20"/>
                <w:szCs w:val="20"/>
              </w:rPr>
            </w:pPr>
            <w:r w:rsidRPr="002F37CC">
              <w:rPr>
                <w:sz w:val="20"/>
                <w:szCs w:val="20"/>
              </w:rPr>
              <w:t>12</w:t>
            </w:r>
          </w:p>
        </w:tc>
        <w:tc>
          <w:tcPr>
            <w:tcW w:w="1679" w:type="dxa"/>
            <w:vAlign w:val="center"/>
          </w:tcPr>
          <w:p w:rsidR="00C1300E" w:rsidRDefault="00C1300E" w:rsidP="00CF6ECB">
            <w:pPr>
              <w:jc w:val="center"/>
              <w:rPr>
                <w:sz w:val="20"/>
                <w:szCs w:val="20"/>
              </w:rPr>
            </w:pPr>
            <w:r>
              <w:rPr>
                <w:sz w:val="20"/>
                <w:szCs w:val="20"/>
              </w:rPr>
              <w:t>DEER2014</w:t>
            </w:r>
          </w:p>
          <w:p w:rsidR="00C1300E" w:rsidRPr="00E47C4C" w:rsidRDefault="00C1300E" w:rsidP="00CF6ECB">
            <w:pPr>
              <w:jc w:val="center"/>
              <w:rPr>
                <w:sz w:val="20"/>
                <w:szCs w:val="20"/>
              </w:rPr>
            </w:pPr>
            <w:r>
              <w:rPr>
                <w:sz w:val="20"/>
                <w:szCs w:val="20"/>
              </w:rPr>
              <w:t>D08 v2.05</w:t>
            </w:r>
          </w:p>
        </w:tc>
      </w:tr>
      <w:tr w:rsidR="00C1300E" w:rsidRPr="00E47C4C" w:rsidTr="00CF6ECB">
        <w:tc>
          <w:tcPr>
            <w:tcW w:w="1620" w:type="dxa"/>
            <w:vAlign w:val="center"/>
          </w:tcPr>
          <w:p w:rsidR="00C1300E" w:rsidRDefault="00C1300E" w:rsidP="00CF6ECB">
            <w:pPr>
              <w:jc w:val="center"/>
              <w:rPr>
                <w:sz w:val="20"/>
                <w:szCs w:val="20"/>
              </w:rPr>
            </w:pPr>
            <w:proofErr w:type="spellStart"/>
            <w:r>
              <w:rPr>
                <w:sz w:val="20"/>
                <w:szCs w:val="20"/>
              </w:rPr>
              <w:t>OLtg</w:t>
            </w:r>
            <w:proofErr w:type="spellEnd"/>
            <w:r>
              <w:rPr>
                <w:sz w:val="20"/>
                <w:szCs w:val="20"/>
              </w:rPr>
              <w:t>-</w:t>
            </w:r>
            <w:proofErr w:type="spellStart"/>
            <w:r>
              <w:rPr>
                <w:sz w:val="20"/>
                <w:szCs w:val="20"/>
              </w:rPr>
              <w:t>CFL</w:t>
            </w:r>
            <w:r w:rsidR="00CF6ECB">
              <w:rPr>
                <w:sz w:val="20"/>
                <w:szCs w:val="20"/>
              </w:rPr>
              <w:t>fix</w:t>
            </w:r>
            <w:proofErr w:type="spellEnd"/>
            <w:r w:rsidR="00CF6ECB">
              <w:rPr>
                <w:sz w:val="20"/>
                <w:szCs w:val="20"/>
              </w:rPr>
              <w:t>-Dusk-to-Dawn</w:t>
            </w:r>
          </w:p>
        </w:tc>
        <w:tc>
          <w:tcPr>
            <w:tcW w:w="2276" w:type="dxa"/>
            <w:shd w:val="clear" w:color="auto" w:fill="auto"/>
            <w:vAlign w:val="center"/>
          </w:tcPr>
          <w:p w:rsidR="00C1300E" w:rsidRPr="00E47C4C" w:rsidRDefault="00C1300E" w:rsidP="00CF6ECB">
            <w:pPr>
              <w:jc w:val="center"/>
              <w:rPr>
                <w:sz w:val="20"/>
                <w:szCs w:val="20"/>
              </w:rPr>
            </w:pPr>
            <w:r w:rsidRPr="00280B24">
              <w:rPr>
                <w:sz w:val="20"/>
                <w:szCs w:val="20"/>
              </w:rPr>
              <w:t xml:space="preserve">CFL Fixtures - Outdoor </w:t>
            </w:r>
            <w:r w:rsidR="00CF6ECB">
              <w:rPr>
                <w:sz w:val="20"/>
                <w:szCs w:val="20"/>
              </w:rPr>
              <w:t>–</w:t>
            </w:r>
            <w:r w:rsidRPr="00280B24">
              <w:rPr>
                <w:sz w:val="20"/>
                <w:szCs w:val="20"/>
              </w:rPr>
              <w:t xml:space="preserve"> </w:t>
            </w:r>
            <w:r w:rsidR="00CF6ECB">
              <w:rPr>
                <w:sz w:val="20"/>
                <w:szCs w:val="20"/>
              </w:rPr>
              <w:t>Dusk to Dawn Operation</w:t>
            </w:r>
          </w:p>
        </w:tc>
        <w:tc>
          <w:tcPr>
            <w:tcW w:w="1505" w:type="dxa"/>
            <w:vAlign w:val="center"/>
          </w:tcPr>
          <w:p w:rsidR="00C1300E" w:rsidRDefault="00C1300E" w:rsidP="00C1300E">
            <w:pPr>
              <w:jc w:val="center"/>
              <w:rPr>
                <w:sz w:val="20"/>
                <w:szCs w:val="20"/>
              </w:rPr>
            </w:pPr>
            <w:r>
              <w:rPr>
                <w:sz w:val="20"/>
                <w:szCs w:val="20"/>
              </w:rPr>
              <w:t xml:space="preserve">Exterior </w:t>
            </w:r>
            <w:r w:rsidRPr="00E47C4C">
              <w:rPr>
                <w:sz w:val="20"/>
                <w:szCs w:val="20"/>
              </w:rPr>
              <w:t>CFL</w:t>
            </w:r>
            <w:r w:rsidRPr="00E47C4C">
              <w:rPr>
                <w:sz w:val="20"/>
                <w:szCs w:val="20"/>
              </w:rPr>
              <w:fldChar w:fldCharType="begin"/>
            </w:r>
            <w:r>
              <w:instrText xml:space="preserve"> XE "</w:instrText>
            </w:r>
            <w:r w:rsidRPr="00E47C4C">
              <w:rPr>
                <w:sz w:val="20"/>
                <w:szCs w:val="20"/>
              </w:rPr>
              <w:instrText>CFL</w:instrText>
            </w:r>
            <w:r>
              <w:instrText xml:space="preserve">" </w:instrText>
            </w:r>
            <w:r w:rsidRPr="00E47C4C">
              <w:rPr>
                <w:sz w:val="20"/>
                <w:szCs w:val="20"/>
              </w:rPr>
              <w:fldChar w:fldCharType="end"/>
            </w:r>
            <w:r w:rsidRPr="00E47C4C">
              <w:rPr>
                <w:sz w:val="20"/>
                <w:szCs w:val="20"/>
              </w:rPr>
              <w:t xml:space="preserve"> Fixtures</w:t>
            </w:r>
            <w:r>
              <w:rPr>
                <w:sz w:val="20"/>
                <w:szCs w:val="20"/>
              </w:rPr>
              <w:t xml:space="preserve"> or </w:t>
            </w:r>
            <w:proofErr w:type="spellStart"/>
            <w:r>
              <w:rPr>
                <w:sz w:val="20"/>
                <w:szCs w:val="20"/>
              </w:rPr>
              <w:t>Torchieres</w:t>
            </w:r>
            <w:proofErr w:type="spellEnd"/>
          </w:p>
        </w:tc>
        <w:tc>
          <w:tcPr>
            <w:tcW w:w="1668" w:type="dxa"/>
            <w:shd w:val="clear" w:color="auto" w:fill="auto"/>
            <w:vAlign w:val="center"/>
          </w:tcPr>
          <w:p w:rsidR="00C1300E" w:rsidRPr="002F37CC" w:rsidRDefault="00C1300E" w:rsidP="008C1BA6">
            <w:pPr>
              <w:jc w:val="center"/>
              <w:rPr>
                <w:sz w:val="20"/>
                <w:szCs w:val="20"/>
              </w:rPr>
            </w:pPr>
            <w:r w:rsidRPr="002F37CC">
              <w:rPr>
                <w:sz w:val="20"/>
                <w:szCs w:val="20"/>
              </w:rPr>
              <w:t>1</w:t>
            </w:r>
            <w:r w:rsidR="00CF6ECB" w:rsidRPr="002F37CC">
              <w:rPr>
                <w:sz w:val="20"/>
                <w:szCs w:val="20"/>
              </w:rPr>
              <w:t>5</w:t>
            </w:r>
          </w:p>
        </w:tc>
        <w:tc>
          <w:tcPr>
            <w:tcW w:w="1679" w:type="dxa"/>
            <w:vAlign w:val="center"/>
          </w:tcPr>
          <w:p w:rsidR="00C1300E" w:rsidRDefault="00C1300E" w:rsidP="00CF6ECB">
            <w:pPr>
              <w:jc w:val="center"/>
              <w:rPr>
                <w:sz w:val="20"/>
                <w:szCs w:val="20"/>
              </w:rPr>
            </w:pPr>
            <w:r>
              <w:rPr>
                <w:sz w:val="20"/>
                <w:szCs w:val="20"/>
              </w:rPr>
              <w:t>DEER2014</w:t>
            </w:r>
          </w:p>
          <w:p w:rsidR="00C1300E" w:rsidRPr="00E47C4C" w:rsidRDefault="00CF6ECB" w:rsidP="00CF6ECB">
            <w:pPr>
              <w:jc w:val="center"/>
              <w:rPr>
                <w:sz w:val="20"/>
                <w:szCs w:val="20"/>
              </w:rPr>
            </w:pPr>
            <w:r>
              <w:rPr>
                <w:sz w:val="20"/>
                <w:szCs w:val="20"/>
              </w:rPr>
              <w:t>Lighting Disposition</w:t>
            </w:r>
          </w:p>
        </w:tc>
      </w:tr>
    </w:tbl>
    <w:p w:rsidR="002F37CC" w:rsidRDefault="002F37CC" w:rsidP="002F37CC">
      <w:pPr>
        <w:pStyle w:val="Heading2"/>
        <w:spacing w:before="0" w:after="0"/>
      </w:pPr>
      <w:bookmarkStart w:id="39" w:name="_Toc383697808"/>
      <w:bookmarkStart w:id="40" w:name="_Toc387418974"/>
    </w:p>
    <w:p w:rsidR="00FD2D21" w:rsidRDefault="00FD2D21" w:rsidP="002F37CC">
      <w:pPr>
        <w:pStyle w:val="Heading2"/>
        <w:spacing w:before="0"/>
      </w:pPr>
      <w:bookmarkStart w:id="41" w:name="_Toc436750466"/>
      <w:r w:rsidRPr="00746B00">
        <w:t>1.4.2 Codes &amp; Standards Requirements Base Case and Measure Information</w:t>
      </w:r>
      <w:bookmarkEnd w:id="39"/>
      <w:bookmarkEnd w:id="40"/>
      <w:bookmarkEnd w:id="41"/>
    </w:p>
    <w:p w:rsidR="00FD2D21" w:rsidRPr="002F37CC" w:rsidRDefault="00FD2D21" w:rsidP="00FD2D21">
      <w:r w:rsidRPr="002F37CC">
        <w:rPr>
          <w:b/>
        </w:rPr>
        <w:t xml:space="preserve">Title 24: </w:t>
      </w:r>
      <w:r w:rsidRPr="002F37CC">
        <w:t>These measures do not fall under Title 24 [20</w:t>
      </w:r>
      <w:r w:rsidR="00C1300E" w:rsidRPr="002F37CC">
        <w:t>13</w:t>
      </w:r>
      <w:r w:rsidRPr="002F37CC">
        <w:t>] Non-Residential Building Energy Efficiency Standards.</w:t>
      </w:r>
    </w:p>
    <w:p w:rsidR="00FD2D21" w:rsidRPr="002F37CC" w:rsidRDefault="00FD2D21" w:rsidP="00FD2D21">
      <w:r w:rsidRPr="002F37CC">
        <w:rPr>
          <w:b/>
        </w:rPr>
        <w:t xml:space="preserve">Title 20: </w:t>
      </w:r>
      <w:r w:rsidRPr="002F37CC">
        <w:t>California Title 20</w:t>
      </w:r>
      <w:r w:rsidR="00F83448">
        <w:t xml:space="preserve"> [2015]</w:t>
      </w:r>
      <w:r w:rsidRPr="002F37CC">
        <w:t xml:space="preserve"> lists the federal standards for incandescent reflector lamps. </w:t>
      </w:r>
    </w:p>
    <w:p w:rsidR="00FD2D21" w:rsidRDefault="00FD2D21" w:rsidP="00FD2D21">
      <w:r w:rsidRPr="002F37CC">
        <w:rPr>
          <w:b/>
        </w:rPr>
        <w:t xml:space="preserve">Federal Standards: </w:t>
      </w:r>
      <w:r w:rsidRPr="002F37CC">
        <w:t xml:space="preserve">Federally-regulated incandescent reflector lamps must meet a minimum average lamp efficacy level as shown in the table below.  Because the measures in this </w:t>
      </w:r>
      <w:proofErr w:type="spellStart"/>
      <w:r w:rsidRPr="002F37CC">
        <w:t>workpaper</w:t>
      </w:r>
      <w:proofErr w:type="spellEnd"/>
      <w:r w:rsidRPr="002F37CC">
        <w:t xml:space="preserve"> and the corresponding base case incandescent reflector wattages are governed by DEER methodology, the Title 20 efficacy requirements were not used to dictate the base and measure cases for this </w:t>
      </w:r>
      <w:proofErr w:type="spellStart"/>
      <w:r w:rsidRPr="002F37CC">
        <w:t>workpaper</w:t>
      </w:r>
      <w:proofErr w:type="spellEnd"/>
      <w:r w:rsidRPr="002F37CC">
        <w:t>.</w:t>
      </w:r>
    </w:p>
    <w:p w:rsidR="00FD2D21" w:rsidRDefault="00FD2D21" w:rsidP="00FD2D21"/>
    <w:p w:rsidR="00101155" w:rsidRPr="00D81345" w:rsidRDefault="00FD2D21" w:rsidP="00101155">
      <w:pPr>
        <w:pStyle w:val="Caption"/>
        <w:jc w:val="center"/>
        <w:rPr>
          <w:szCs w:val="24"/>
        </w:rPr>
      </w:pPr>
      <w:bookmarkStart w:id="42" w:name="_Ref328398056"/>
      <w:bookmarkStart w:id="43" w:name="_Toc387418799"/>
      <w:bookmarkStart w:id="44" w:name="_Toc438034276"/>
      <w:proofErr w:type="gramStart"/>
      <w:r w:rsidRPr="00D81345">
        <w:rPr>
          <w:szCs w:val="24"/>
        </w:rPr>
        <w:t xml:space="preserve">Table </w:t>
      </w:r>
      <w:proofErr w:type="gramEnd"/>
      <w:r w:rsidRPr="00D81345">
        <w:rPr>
          <w:szCs w:val="24"/>
        </w:rPr>
        <w:fldChar w:fldCharType="begin"/>
      </w:r>
      <w:r w:rsidRPr="00D81345">
        <w:rPr>
          <w:szCs w:val="24"/>
        </w:rPr>
        <w:instrText xml:space="preserve"> SEQ Table \* ARABIC </w:instrText>
      </w:r>
      <w:r w:rsidRPr="00D81345">
        <w:rPr>
          <w:szCs w:val="24"/>
        </w:rPr>
        <w:fldChar w:fldCharType="separate"/>
      </w:r>
      <w:r w:rsidR="00AB59D8">
        <w:rPr>
          <w:noProof/>
          <w:szCs w:val="24"/>
        </w:rPr>
        <w:t>6</w:t>
      </w:r>
      <w:r w:rsidRPr="00D81345">
        <w:rPr>
          <w:szCs w:val="24"/>
        </w:rPr>
        <w:fldChar w:fldCharType="end"/>
      </w:r>
      <w:bookmarkEnd w:id="42"/>
      <w:proofErr w:type="gramStart"/>
      <w:r w:rsidRPr="00D81345">
        <w:rPr>
          <w:szCs w:val="24"/>
        </w:rPr>
        <w:t>.</w:t>
      </w:r>
      <w:proofErr w:type="gramEnd"/>
      <w:r w:rsidRPr="00D81345">
        <w:rPr>
          <w:szCs w:val="24"/>
        </w:rPr>
        <w:t xml:space="preserve"> Standards for Federally-Regulated Incandescent Reflector Lamps</w:t>
      </w:r>
      <w:bookmarkEnd w:id="43"/>
      <w:bookmarkEnd w:id="4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610"/>
      </w:tblGrid>
      <w:tr w:rsidR="00FD2D21" w:rsidRPr="00D81345" w:rsidTr="00281680">
        <w:trPr>
          <w:jc w:val="center"/>
        </w:trPr>
        <w:tc>
          <w:tcPr>
            <w:tcW w:w="2268" w:type="dxa"/>
            <w:shd w:val="pct15" w:color="auto" w:fill="auto"/>
          </w:tcPr>
          <w:p w:rsidR="00FD2D21" w:rsidRPr="00D81345" w:rsidRDefault="00FD2D21" w:rsidP="00281680">
            <w:pPr>
              <w:jc w:val="center"/>
              <w:rPr>
                <w:sz w:val="20"/>
              </w:rPr>
            </w:pPr>
            <w:r w:rsidRPr="00D81345">
              <w:rPr>
                <w:sz w:val="20"/>
              </w:rPr>
              <w:t>Nominal Lamp Wattage</w:t>
            </w:r>
          </w:p>
        </w:tc>
        <w:tc>
          <w:tcPr>
            <w:tcW w:w="2610" w:type="dxa"/>
            <w:shd w:val="pct15" w:color="auto" w:fill="auto"/>
          </w:tcPr>
          <w:p w:rsidR="00FD2D21" w:rsidRPr="00D81345" w:rsidRDefault="00FD2D21" w:rsidP="00281680">
            <w:pPr>
              <w:jc w:val="center"/>
              <w:rPr>
                <w:sz w:val="20"/>
              </w:rPr>
            </w:pPr>
            <w:r w:rsidRPr="00D81345">
              <w:rPr>
                <w:sz w:val="20"/>
              </w:rPr>
              <w:t>Minimum Average Lamp Efficacy (LPW)</w:t>
            </w:r>
          </w:p>
        </w:tc>
      </w:tr>
      <w:tr w:rsidR="00FD2D21" w:rsidRPr="00D81345" w:rsidTr="00281680">
        <w:trPr>
          <w:jc w:val="center"/>
        </w:trPr>
        <w:tc>
          <w:tcPr>
            <w:tcW w:w="2268" w:type="dxa"/>
            <w:shd w:val="clear" w:color="auto" w:fill="auto"/>
          </w:tcPr>
          <w:p w:rsidR="00FD2D21" w:rsidRPr="00D81345" w:rsidRDefault="00FD2D21" w:rsidP="00281680">
            <w:pPr>
              <w:jc w:val="center"/>
              <w:rPr>
                <w:sz w:val="20"/>
              </w:rPr>
            </w:pPr>
            <w:r w:rsidRPr="00D81345">
              <w:rPr>
                <w:sz w:val="20"/>
              </w:rPr>
              <w:t>40 – 50</w:t>
            </w:r>
          </w:p>
        </w:tc>
        <w:tc>
          <w:tcPr>
            <w:tcW w:w="2610" w:type="dxa"/>
            <w:shd w:val="clear" w:color="auto" w:fill="auto"/>
          </w:tcPr>
          <w:p w:rsidR="00FD2D21" w:rsidRPr="00D81345" w:rsidRDefault="00FD2D21" w:rsidP="00281680">
            <w:pPr>
              <w:jc w:val="center"/>
              <w:rPr>
                <w:sz w:val="20"/>
              </w:rPr>
            </w:pPr>
            <w:r w:rsidRPr="00D81345">
              <w:rPr>
                <w:sz w:val="20"/>
              </w:rPr>
              <w:t>10.5</w:t>
            </w:r>
          </w:p>
        </w:tc>
      </w:tr>
      <w:tr w:rsidR="00FD2D21" w:rsidRPr="00D81345" w:rsidTr="00281680">
        <w:trPr>
          <w:jc w:val="center"/>
        </w:trPr>
        <w:tc>
          <w:tcPr>
            <w:tcW w:w="2268" w:type="dxa"/>
            <w:shd w:val="clear" w:color="auto" w:fill="auto"/>
          </w:tcPr>
          <w:p w:rsidR="00FD2D21" w:rsidRPr="00D81345" w:rsidRDefault="00FD2D21" w:rsidP="00281680">
            <w:pPr>
              <w:jc w:val="center"/>
              <w:rPr>
                <w:sz w:val="20"/>
              </w:rPr>
            </w:pPr>
            <w:r w:rsidRPr="00D81345">
              <w:rPr>
                <w:sz w:val="20"/>
              </w:rPr>
              <w:t>51 – 66</w:t>
            </w:r>
          </w:p>
        </w:tc>
        <w:tc>
          <w:tcPr>
            <w:tcW w:w="2610" w:type="dxa"/>
            <w:shd w:val="clear" w:color="auto" w:fill="auto"/>
          </w:tcPr>
          <w:p w:rsidR="00FD2D21" w:rsidRPr="00D81345" w:rsidRDefault="00FD2D21" w:rsidP="00281680">
            <w:pPr>
              <w:jc w:val="center"/>
              <w:rPr>
                <w:sz w:val="20"/>
              </w:rPr>
            </w:pPr>
            <w:r w:rsidRPr="00D81345">
              <w:rPr>
                <w:sz w:val="20"/>
              </w:rPr>
              <w:t>11.0</w:t>
            </w:r>
          </w:p>
        </w:tc>
      </w:tr>
      <w:tr w:rsidR="00FD2D21" w:rsidRPr="00D81345" w:rsidTr="00281680">
        <w:trPr>
          <w:jc w:val="center"/>
        </w:trPr>
        <w:tc>
          <w:tcPr>
            <w:tcW w:w="2268" w:type="dxa"/>
            <w:shd w:val="clear" w:color="auto" w:fill="auto"/>
          </w:tcPr>
          <w:p w:rsidR="00FD2D21" w:rsidRPr="00D81345" w:rsidRDefault="00FD2D21" w:rsidP="00281680">
            <w:pPr>
              <w:jc w:val="center"/>
              <w:rPr>
                <w:sz w:val="20"/>
              </w:rPr>
            </w:pPr>
            <w:r w:rsidRPr="00D81345">
              <w:rPr>
                <w:sz w:val="20"/>
              </w:rPr>
              <w:t>67 - 85</w:t>
            </w:r>
          </w:p>
        </w:tc>
        <w:tc>
          <w:tcPr>
            <w:tcW w:w="2610" w:type="dxa"/>
            <w:shd w:val="clear" w:color="auto" w:fill="auto"/>
          </w:tcPr>
          <w:p w:rsidR="00FD2D21" w:rsidRPr="00D81345" w:rsidRDefault="00FD2D21" w:rsidP="00281680">
            <w:pPr>
              <w:jc w:val="center"/>
              <w:rPr>
                <w:sz w:val="20"/>
              </w:rPr>
            </w:pPr>
            <w:r w:rsidRPr="00D81345">
              <w:rPr>
                <w:sz w:val="20"/>
              </w:rPr>
              <w:t>12.5</w:t>
            </w:r>
          </w:p>
        </w:tc>
      </w:tr>
      <w:tr w:rsidR="00FD2D21" w:rsidRPr="00D81345" w:rsidTr="00281680">
        <w:trPr>
          <w:jc w:val="center"/>
        </w:trPr>
        <w:tc>
          <w:tcPr>
            <w:tcW w:w="2268" w:type="dxa"/>
            <w:shd w:val="clear" w:color="auto" w:fill="auto"/>
          </w:tcPr>
          <w:p w:rsidR="00FD2D21" w:rsidRPr="00D81345" w:rsidRDefault="00FD2D21" w:rsidP="00281680">
            <w:pPr>
              <w:jc w:val="center"/>
              <w:rPr>
                <w:sz w:val="20"/>
              </w:rPr>
            </w:pPr>
            <w:r w:rsidRPr="00D81345">
              <w:rPr>
                <w:sz w:val="20"/>
              </w:rPr>
              <w:t>86 – 115</w:t>
            </w:r>
          </w:p>
        </w:tc>
        <w:tc>
          <w:tcPr>
            <w:tcW w:w="2610" w:type="dxa"/>
            <w:shd w:val="clear" w:color="auto" w:fill="auto"/>
          </w:tcPr>
          <w:p w:rsidR="00FD2D21" w:rsidRPr="00D81345" w:rsidRDefault="00FD2D21" w:rsidP="00281680">
            <w:pPr>
              <w:jc w:val="center"/>
              <w:rPr>
                <w:sz w:val="20"/>
              </w:rPr>
            </w:pPr>
            <w:r w:rsidRPr="00D81345">
              <w:rPr>
                <w:sz w:val="20"/>
              </w:rPr>
              <w:t>14.0</w:t>
            </w:r>
          </w:p>
        </w:tc>
      </w:tr>
      <w:tr w:rsidR="00FD2D21" w:rsidRPr="00D81345" w:rsidTr="00281680">
        <w:trPr>
          <w:jc w:val="center"/>
        </w:trPr>
        <w:tc>
          <w:tcPr>
            <w:tcW w:w="2268" w:type="dxa"/>
            <w:shd w:val="clear" w:color="auto" w:fill="auto"/>
          </w:tcPr>
          <w:p w:rsidR="00FD2D21" w:rsidRPr="00D81345" w:rsidRDefault="00FD2D21" w:rsidP="00281680">
            <w:pPr>
              <w:jc w:val="center"/>
              <w:rPr>
                <w:sz w:val="20"/>
              </w:rPr>
            </w:pPr>
            <w:r w:rsidRPr="00D81345">
              <w:rPr>
                <w:sz w:val="20"/>
              </w:rPr>
              <w:t>116 -155</w:t>
            </w:r>
          </w:p>
        </w:tc>
        <w:tc>
          <w:tcPr>
            <w:tcW w:w="2610" w:type="dxa"/>
            <w:shd w:val="clear" w:color="auto" w:fill="auto"/>
          </w:tcPr>
          <w:p w:rsidR="00FD2D21" w:rsidRPr="00D81345" w:rsidRDefault="00FD2D21" w:rsidP="00281680">
            <w:pPr>
              <w:jc w:val="center"/>
              <w:rPr>
                <w:sz w:val="20"/>
              </w:rPr>
            </w:pPr>
            <w:r w:rsidRPr="00D81345">
              <w:rPr>
                <w:sz w:val="20"/>
              </w:rPr>
              <w:t>14.5</w:t>
            </w:r>
          </w:p>
        </w:tc>
      </w:tr>
      <w:tr w:rsidR="00FD2D21" w:rsidRPr="00D81345" w:rsidTr="00281680">
        <w:trPr>
          <w:jc w:val="center"/>
        </w:trPr>
        <w:tc>
          <w:tcPr>
            <w:tcW w:w="2268" w:type="dxa"/>
            <w:shd w:val="clear" w:color="auto" w:fill="auto"/>
          </w:tcPr>
          <w:p w:rsidR="00FD2D21" w:rsidRPr="00D81345" w:rsidRDefault="00FD2D21" w:rsidP="00281680">
            <w:pPr>
              <w:jc w:val="center"/>
              <w:rPr>
                <w:sz w:val="20"/>
              </w:rPr>
            </w:pPr>
            <w:r w:rsidRPr="00D81345">
              <w:rPr>
                <w:sz w:val="20"/>
              </w:rPr>
              <w:t>156 - 205</w:t>
            </w:r>
          </w:p>
        </w:tc>
        <w:tc>
          <w:tcPr>
            <w:tcW w:w="2610" w:type="dxa"/>
            <w:shd w:val="clear" w:color="auto" w:fill="auto"/>
          </w:tcPr>
          <w:p w:rsidR="00FD2D21" w:rsidRPr="00D81345" w:rsidRDefault="00FD2D21" w:rsidP="00281680">
            <w:pPr>
              <w:jc w:val="center"/>
              <w:rPr>
                <w:sz w:val="20"/>
              </w:rPr>
            </w:pPr>
            <w:r w:rsidRPr="00D81345">
              <w:rPr>
                <w:sz w:val="20"/>
              </w:rPr>
              <w:t>15.0</w:t>
            </w:r>
          </w:p>
        </w:tc>
      </w:tr>
    </w:tbl>
    <w:p w:rsidR="00FD2D21" w:rsidRDefault="00FD2D21" w:rsidP="00FD2D21">
      <w:pPr>
        <w:pStyle w:val="Heading1"/>
        <w:rPr>
          <w:color w:val="0000FF"/>
        </w:rPr>
      </w:pPr>
      <w:bookmarkStart w:id="45" w:name="_Toc304800207"/>
      <w:bookmarkStart w:id="46" w:name="_Toc324318343"/>
      <w:bookmarkStart w:id="47" w:name="_Toc324340487"/>
      <w:bookmarkStart w:id="48" w:name="_Toc381279671"/>
      <w:bookmarkStart w:id="49" w:name="_Toc383697809"/>
      <w:bookmarkStart w:id="50" w:name="_Toc387418975"/>
      <w:bookmarkStart w:id="51" w:name="_Toc436750467"/>
      <w:r w:rsidRPr="00746B00">
        <w:t>1.4.3 EM&amp;V, Market Potential, and Other Studies – Base Case and Measure Case Information</w:t>
      </w:r>
      <w:bookmarkEnd w:id="45"/>
      <w:bookmarkEnd w:id="46"/>
      <w:bookmarkEnd w:id="47"/>
      <w:bookmarkEnd w:id="48"/>
      <w:bookmarkEnd w:id="49"/>
      <w:bookmarkEnd w:id="50"/>
      <w:bookmarkEnd w:id="51"/>
    </w:p>
    <w:p w:rsidR="00FD2D21" w:rsidRDefault="002F37CC" w:rsidP="00FD2D21">
      <w:r>
        <w:t>These</w:t>
      </w:r>
      <w:r w:rsidR="00FD2D21">
        <w:t xml:space="preserve"> measure</w:t>
      </w:r>
      <w:r>
        <w:t xml:space="preserve">s are in DEER and the </w:t>
      </w:r>
      <w:r w:rsidR="00FD2D21">
        <w:t>methodology and results from DEER</w:t>
      </w:r>
      <w:r>
        <w:t xml:space="preserve"> are used for this work paper.</w:t>
      </w:r>
    </w:p>
    <w:p w:rsidR="00FD2D21" w:rsidRPr="00045A33" w:rsidRDefault="00FD2D21" w:rsidP="00FD2D21"/>
    <w:p w:rsidR="00101155" w:rsidRDefault="00101155" w:rsidP="002F37CC">
      <w:pPr>
        <w:pStyle w:val="Heading1"/>
        <w:spacing w:before="0"/>
        <w:ind w:right="-450"/>
        <w:rPr>
          <w:u w:val="single"/>
        </w:rPr>
      </w:pPr>
      <w:bookmarkStart w:id="52" w:name="_Toc304800208"/>
      <w:bookmarkStart w:id="53" w:name="_Toc324318344"/>
      <w:bookmarkStart w:id="54" w:name="_Toc324340488"/>
      <w:bookmarkStart w:id="55" w:name="_Toc381279672"/>
      <w:bookmarkStart w:id="56" w:name="_Toc383697810"/>
      <w:bookmarkStart w:id="57" w:name="_Toc387418976"/>
      <w:bookmarkStart w:id="58" w:name="_Toc436750468"/>
      <w:bookmarkStart w:id="59" w:name="_Toc174189537"/>
      <w:r w:rsidRPr="00746B00">
        <w:t>1.4.4 Assumpti</w:t>
      </w:r>
      <w:r>
        <w:t xml:space="preserve">ons and Calculations from other sources </w:t>
      </w:r>
      <w:r w:rsidRPr="00746B00">
        <w:t>Base and Measure Cases</w:t>
      </w:r>
      <w:bookmarkEnd w:id="52"/>
      <w:bookmarkEnd w:id="53"/>
      <w:bookmarkEnd w:id="54"/>
      <w:bookmarkEnd w:id="55"/>
      <w:bookmarkEnd w:id="56"/>
      <w:bookmarkEnd w:id="57"/>
      <w:bookmarkEnd w:id="58"/>
    </w:p>
    <w:p w:rsidR="00E15382" w:rsidRDefault="00101155" w:rsidP="00101155">
      <w:r>
        <w:t>The calculation in this work</w:t>
      </w:r>
      <w:r w:rsidR="002F37CC">
        <w:t xml:space="preserve"> </w:t>
      </w:r>
      <w:r>
        <w:t>paper follow</w:t>
      </w:r>
      <w:r w:rsidR="002F37CC">
        <w:t>s the 2016 DEER and 2015 Uncertain Measures Update</w:t>
      </w:r>
      <w:r w:rsidR="002F37CC">
        <w:rPr>
          <w:rStyle w:val="EndnoteReference"/>
        </w:rPr>
        <w:endnoteReference w:id="2"/>
      </w:r>
      <w:r w:rsidR="002F37CC">
        <w:t xml:space="preserve"> as well as the </w:t>
      </w:r>
      <w:r>
        <w:t xml:space="preserve">2014 DEER and Lighting Disposition </w:t>
      </w:r>
      <w:r w:rsidR="00FF1116">
        <w:t>from</w:t>
      </w:r>
      <w:r>
        <w:t xml:space="preserve"> December 14, 2013</w:t>
      </w:r>
      <w:r w:rsidR="00A14384">
        <w:rPr>
          <w:rStyle w:val="EndnoteReference"/>
        </w:rPr>
        <w:endnoteReference w:id="3"/>
      </w:r>
      <w:r w:rsidR="002F37CC">
        <w:t>.</w:t>
      </w:r>
    </w:p>
    <w:p w:rsidR="00CF6ECB" w:rsidRDefault="00CF6ECB">
      <w:pPr>
        <w:rPr>
          <w:rFonts w:ascii="Arial" w:hAnsi="Arial" w:cs="Arial"/>
          <w:b/>
          <w:bCs/>
          <w:kern w:val="36"/>
          <w:sz w:val="32"/>
          <w:szCs w:val="32"/>
        </w:rPr>
      </w:pPr>
      <w:r>
        <w:br w:type="page"/>
      </w:r>
    </w:p>
    <w:p w:rsidR="00C63493" w:rsidRDefault="00C63493" w:rsidP="00C63493">
      <w:pPr>
        <w:pStyle w:val="Heading1"/>
        <w:keepNext w:val="0"/>
      </w:pPr>
      <w:bookmarkStart w:id="60" w:name="_Toc436750469"/>
      <w:proofErr w:type="gramStart"/>
      <w:r>
        <w:lastRenderedPageBreak/>
        <w:t>Section 2.</w:t>
      </w:r>
      <w:proofErr w:type="gramEnd"/>
      <w:r>
        <w:t xml:space="preserve"> Calculation Methods</w:t>
      </w:r>
      <w:bookmarkEnd w:id="59"/>
      <w:bookmarkEnd w:id="60"/>
    </w:p>
    <w:p w:rsidR="00C63493" w:rsidRDefault="00C63493" w:rsidP="00C63493">
      <w:pPr>
        <w:pStyle w:val="Heading2"/>
        <w:keepNext w:val="0"/>
      </w:pPr>
      <w:bookmarkStart w:id="61" w:name="_Toc174189538"/>
      <w:bookmarkStart w:id="62" w:name="_Toc436750470"/>
      <w:r>
        <w:t>2.1 Electric Energy Savings Estimation Methodologies</w:t>
      </w:r>
      <w:bookmarkEnd w:id="61"/>
      <w:bookmarkEnd w:id="62"/>
    </w:p>
    <w:p w:rsidR="007A344F" w:rsidRDefault="007A344F" w:rsidP="00FB0D07">
      <w:r>
        <w:t>The methodology for calculating energy savings follows DEER 2016.  Please refer to the Excel calculation workbook for more information</w:t>
      </w:r>
      <w:bookmarkStart w:id="63" w:name="_Ref431978354"/>
      <w:r>
        <w:rPr>
          <w:rStyle w:val="EndnoteReference"/>
        </w:rPr>
        <w:endnoteReference w:id="4"/>
      </w:r>
      <w:bookmarkEnd w:id="63"/>
      <w:r>
        <w:t>.</w:t>
      </w:r>
    </w:p>
    <w:p w:rsidR="007A344F" w:rsidRDefault="007A344F" w:rsidP="00FB0D07"/>
    <w:p w:rsidR="007A344F" w:rsidRPr="007A344F" w:rsidRDefault="007A344F" w:rsidP="00FB0D07">
      <w:pPr>
        <w:rPr>
          <w:b/>
        </w:rPr>
      </w:pPr>
      <w:r w:rsidRPr="007A344F">
        <w:rPr>
          <w:b/>
        </w:rPr>
        <w:t>Interior CFLs</w:t>
      </w:r>
    </w:p>
    <w:p w:rsidR="00FB0D07" w:rsidRPr="004B756B" w:rsidRDefault="00FB0D07" w:rsidP="00FB0D07">
      <w:r w:rsidRPr="004B756B">
        <w:t>The annual energy savings is calculated based on the formula below:</w:t>
      </w:r>
    </w:p>
    <w:p w:rsidR="00FB0D07" w:rsidRDefault="00FB0D07" w:rsidP="00FB0D07"/>
    <w:p w:rsidR="002F37CC" w:rsidRDefault="00FB0D07" w:rsidP="002F37CC">
      <w:pPr>
        <w:jc w:val="center"/>
      </w:pPr>
      <w:r w:rsidRPr="00F804C3">
        <w:rPr>
          <w:position w:val="-28"/>
        </w:rPr>
        <w:object w:dxaOrig="86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34.5pt" o:ole="">
            <v:imagedata r:id="rId15" o:title=""/>
          </v:shape>
          <o:OLEObject Type="Embed" ProgID="Equation.3" ShapeID="_x0000_i1025" DrawAspect="Content" ObjectID="_1511776163" r:id="rId16"/>
        </w:object>
      </w:r>
    </w:p>
    <w:p w:rsidR="00FB0D07" w:rsidRPr="00C47CDA" w:rsidRDefault="002F37CC" w:rsidP="00FB0D07">
      <w:r>
        <w:t xml:space="preserve">An </w:t>
      </w:r>
      <w:r w:rsidR="00FB0D07" w:rsidRPr="004B756B">
        <w:t xml:space="preserve">example calculation is presented below for measure code </w:t>
      </w:r>
      <w:bookmarkStart w:id="64" w:name="OLE_LINK8"/>
      <w:bookmarkStart w:id="65" w:name="OLE_LINK9"/>
      <w:r w:rsidR="00FB0D07" w:rsidRPr="004B756B">
        <w:t xml:space="preserve">L0160 (CFL 7 Watt </w:t>
      </w:r>
      <w:proofErr w:type="spellStart"/>
      <w:r w:rsidR="00FB0D07" w:rsidRPr="004B756B">
        <w:t>Int</w:t>
      </w:r>
      <w:proofErr w:type="spellEnd"/>
      <w:r w:rsidR="00FB0D07" w:rsidRPr="004B756B">
        <w:t xml:space="preserve"> Bare Spiral 1 </w:t>
      </w:r>
      <w:proofErr w:type="spellStart"/>
      <w:r w:rsidR="00FB0D07" w:rsidRPr="004B756B">
        <w:t>Pk</w:t>
      </w:r>
      <w:proofErr w:type="spellEnd"/>
      <w:r w:rsidR="00FB0D07" w:rsidRPr="004B756B">
        <w:t>)</w:t>
      </w:r>
      <w:bookmarkEnd w:id="64"/>
      <w:bookmarkEnd w:id="65"/>
      <w:r w:rsidR="00FB0D07" w:rsidRPr="004B756B">
        <w:t>.</w:t>
      </w:r>
      <w:r w:rsidR="00FB0D07" w:rsidRPr="0035341E">
        <w:rPr>
          <w:color w:val="FF0000"/>
        </w:rPr>
        <w:t xml:space="preserve"> </w:t>
      </w:r>
    </w:p>
    <w:p w:rsidR="00186CA3" w:rsidRDefault="00407F63" w:rsidP="002F37CC">
      <w:pPr>
        <w:jc w:val="center"/>
        <w:rPr>
          <w:color w:val="0000FF"/>
        </w:rPr>
      </w:pPr>
      <w:r w:rsidRPr="00EB28E0">
        <w:rPr>
          <w:position w:val="-42"/>
        </w:rPr>
        <w:object w:dxaOrig="7119" w:dyaOrig="960">
          <v:shape id="_x0000_i1026" type="#_x0000_t75" style="width:357pt;height:48pt" o:ole="">
            <v:imagedata r:id="rId17" o:title=""/>
          </v:shape>
          <o:OLEObject Type="Embed" ProgID="Equation.3" ShapeID="_x0000_i1026" DrawAspect="Content" ObjectID="_1511776164" r:id="rId18"/>
        </w:object>
      </w:r>
    </w:p>
    <w:p w:rsidR="00F66897" w:rsidRPr="00C47CDA" w:rsidRDefault="00F66897" w:rsidP="00C63493"/>
    <w:p w:rsidR="00EB07E7" w:rsidRPr="00C47CDA" w:rsidRDefault="002F37CC" w:rsidP="00EB07E7">
      <w:pPr>
        <w:rPr>
          <w:b/>
        </w:rPr>
      </w:pPr>
      <w:r>
        <w:rPr>
          <w:b/>
        </w:rPr>
        <w:t>Exterior CFLs</w:t>
      </w:r>
    </w:p>
    <w:p w:rsidR="00DB0947" w:rsidRPr="000E04B8" w:rsidRDefault="00DB0947" w:rsidP="00DB0947">
      <w:r w:rsidRPr="00C47CDA">
        <w:t>Exterior CFL</w:t>
      </w:r>
      <w:r>
        <w:fldChar w:fldCharType="begin"/>
      </w:r>
      <w:r>
        <w:instrText xml:space="preserve"> XE "</w:instrText>
      </w:r>
      <w:r w:rsidRPr="00866161">
        <w:rPr>
          <w:sz w:val="20"/>
          <w:szCs w:val="20"/>
        </w:rPr>
        <w:instrText>CFL</w:instrText>
      </w:r>
      <w:r>
        <w:instrText xml:space="preserve">" </w:instrText>
      </w:r>
      <w:r>
        <w:fldChar w:fldCharType="end"/>
      </w:r>
      <w:r w:rsidR="002F37CC">
        <w:t xml:space="preserve">s </w:t>
      </w:r>
      <w:proofErr w:type="gramStart"/>
      <w:r w:rsidRPr="00C47CDA">
        <w:t>do</w:t>
      </w:r>
      <w:proofErr w:type="gramEnd"/>
      <w:r w:rsidRPr="00C47CDA">
        <w:t xml:space="preserve"> not affect the internal load and therefore do not </w:t>
      </w:r>
      <w:r w:rsidRPr="005E28C7">
        <w:t>produce any “interactive effects” with the space conditioning systems.</w:t>
      </w:r>
      <w:r>
        <w:t xml:space="preserve"> </w:t>
      </w:r>
      <w:r w:rsidRPr="00045A33">
        <w:t xml:space="preserve">The exterior CFL savings were calculated using the </w:t>
      </w:r>
      <w:r>
        <w:t>201</w:t>
      </w:r>
      <w:r w:rsidR="007751C7">
        <w:t>6</w:t>
      </w:r>
      <w:r>
        <w:t xml:space="preserve"> DEER delta wattage</w:t>
      </w:r>
      <w:r w:rsidRPr="00045A33">
        <w:t xml:space="preserve"> methodology </w:t>
      </w:r>
      <w:r>
        <w:t>in conjunction with the</w:t>
      </w:r>
      <w:r w:rsidRPr="00045A33">
        <w:t xml:space="preserve"> </w:t>
      </w:r>
      <w:r>
        <w:t>non-</w:t>
      </w:r>
      <w:r w:rsidRPr="00045A33">
        <w:t>residential</w:t>
      </w:r>
      <w:r>
        <w:fldChar w:fldCharType="begin"/>
      </w:r>
      <w:r>
        <w:instrText xml:space="preserve"> XE "</w:instrText>
      </w:r>
      <w:r w:rsidRPr="00866161">
        <w:rPr>
          <w:sz w:val="20"/>
          <w:szCs w:val="20"/>
        </w:rPr>
        <w:instrText>residential</w:instrText>
      </w:r>
      <w:r>
        <w:instrText xml:space="preserve">" </w:instrText>
      </w:r>
      <w:r>
        <w:fldChar w:fldCharType="end"/>
      </w:r>
      <w:r w:rsidRPr="00045A33">
        <w:t xml:space="preserve"> exterior CFL operating hours </w:t>
      </w:r>
      <w:r>
        <w:t xml:space="preserve">of 4100 hours per year, </w:t>
      </w:r>
      <w:r w:rsidRPr="00045A33">
        <w:t>provided by 20</w:t>
      </w:r>
      <w:r>
        <w:t>1</w:t>
      </w:r>
      <w:r w:rsidR="00C77C85">
        <w:t>4</w:t>
      </w:r>
      <w:r w:rsidRPr="00045A33">
        <w:t xml:space="preserve"> DEER.</w:t>
      </w:r>
    </w:p>
    <w:p w:rsidR="00DB0947" w:rsidRDefault="00DB0947" w:rsidP="00DB0947"/>
    <w:p w:rsidR="00DB0947" w:rsidRDefault="00DB0947" w:rsidP="00DB0947">
      <w:r w:rsidRPr="005E28C7">
        <w:t>The annual energy savings for exterior fixtures are calculated based on the formula below:</w:t>
      </w:r>
    </w:p>
    <w:p w:rsidR="007A344F" w:rsidRPr="005E28C7" w:rsidRDefault="007A344F" w:rsidP="00DB0947"/>
    <w:p w:rsidR="00DB0947" w:rsidRDefault="00DB0947" w:rsidP="002F37CC">
      <w:pPr>
        <w:jc w:val="center"/>
      </w:pPr>
      <w:r w:rsidRPr="00F804C3">
        <w:rPr>
          <w:position w:val="-28"/>
        </w:rPr>
        <w:object w:dxaOrig="6480" w:dyaOrig="680">
          <v:shape id="_x0000_i1027" type="#_x0000_t75" style="width:319.5pt;height:34.5pt" o:ole="">
            <v:imagedata r:id="rId19" o:title=""/>
          </v:shape>
          <o:OLEObject Type="Embed" ProgID="Equation.3" ShapeID="_x0000_i1027" DrawAspect="Content" ObjectID="_1511776165" r:id="rId20"/>
        </w:object>
      </w:r>
    </w:p>
    <w:p w:rsidR="007A344F" w:rsidRDefault="007A344F" w:rsidP="002F37CC">
      <w:pPr>
        <w:jc w:val="center"/>
      </w:pPr>
    </w:p>
    <w:p w:rsidR="00DB0947" w:rsidRPr="00C523CA" w:rsidRDefault="00DB0947" w:rsidP="00DB0947">
      <w:r w:rsidRPr="00C523CA">
        <w:t>An example calculation is presented below for measure code L02</w:t>
      </w:r>
      <w:r>
        <w:t>31</w:t>
      </w:r>
      <w:r w:rsidRPr="00C523CA">
        <w:t xml:space="preserve"> (CFL 23 Watt Ext </w:t>
      </w:r>
      <w:r>
        <w:t>Fixture</w:t>
      </w:r>
      <w:r w:rsidRPr="00C523CA">
        <w:t xml:space="preserve">). </w:t>
      </w:r>
    </w:p>
    <w:p w:rsidR="00DB0947" w:rsidRDefault="00DB0947" w:rsidP="00DB0947">
      <w:pPr>
        <w:ind w:left="3600" w:hanging="3600"/>
        <w:rPr>
          <w:iCs/>
        </w:rPr>
      </w:pPr>
    </w:p>
    <w:p w:rsidR="00DB0947" w:rsidRPr="00C47CDA" w:rsidRDefault="00407F63" w:rsidP="002F37CC">
      <w:pPr>
        <w:ind w:left="3600" w:hanging="3600"/>
        <w:jc w:val="center"/>
        <w:rPr>
          <w:iCs/>
        </w:rPr>
      </w:pPr>
      <w:r w:rsidRPr="00EB28E0">
        <w:rPr>
          <w:position w:val="-42"/>
        </w:rPr>
        <w:object w:dxaOrig="6340" w:dyaOrig="960">
          <v:shape id="_x0000_i1028" type="#_x0000_t75" style="width:317.25pt;height:48pt" o:ole="">
            <v:imagedata r:id="rId21" o:title=""/>
          </v:shape>
          <o:OLEObject Type="Embed" ProgID="Equation.3" ShapeID="_x0000_i1028" DrawAspect="Content" ObjectID="_1511776166" r:id="rId22"/>
        </w:object>
      </w:r>
    </w:p>
    <w:p w:rsidR="00C63493" w:rsidRPr="00223F4C" w:rsidRDefault="00C63493" w:rsidP="00C63493">
      <w:pPr>
        <w:pStyle w:val="Heading2"/>
        <w:keepNext w:val="0"/>
      </w:pPr>
      <w:bookmarkStart w:id="66" w:name="_Toc174189539"/>
      <w:bookmarkStart w:id="67" w:name="_Toc436750471"/>
      <w:bookmarkEnd w:id="66"/>
      <w:r w:rsidRPr="00E17B8A">
        <w:t>2.2.</w:t>
      </w:r>
      <w:r w:rsidRPr="00223F4C">
        <w:t xml:space="preserve"> Demand Reduction Estimation Methodologies</w:t>
      </w:r>
      <w:bookmarkEnd w:id="67"/>
    </w:p>
    <w:p w:rsidR="00E17B8A" w:rsidRDefault="00E17B8A" w:rsidP="00E17B8A">
      <w:r w:rsidRPr="00AF46CD">
        <w:t>The demand savings estimation methodology followed the same methodology in DEER 20</w:t>
      </w:r>
      <w:r>
        <w:t>1</w:t>
      </w:r>
      <w:r w:rsidR="007751C7">
        <w:t>6</w:t>
      </w:r>
      <w:r w:rsidRPr="00AF46CD">
        <w:t xml:space="preserve"> for measure delta wattage. The values for coincident demand factor and</w:t>
      </w:r>
      <w:r w:rsidR="007A344F">
        <w:t xml:space="preserve"> HVAC</w:t>
      </w:r>
      <w:r w:rsidRPr="00AF46CD">
        <w:t xml:space="preserve"> demand interactive effect factor</w:t>
      </w:r>
      <w:r w:rsidR="007A344F">
        <w:t>s</w:t>
      </w:r>
      <w:r w:rsidRPr="00AF46CD">
        <w:t xml:space="preserve"> are based on the </w:t>
      </w:r>
      <w:r w:rsidR="007A344F">
        <w:t>2015 Uncertain Measures Update</w:t>
      </w:r>
      <w:r w:rsidRPr="00AF46CD">
        <w:t>.</w:t>
      </w:r>
      <w:r w:rsidR="007A344F">
        <w:t xml:space="preserve">  Please refer to the Excel calculation workbook for more information</w:t>
      </w:r>
      <w:r w:rsidR="007A344F" w:rsidRPr="007A344F">
        <w:rPr>
          <w:vertAlign w:val="superscript"/>
        </w:rPr>
        <w:fldChar w:fldCharType="begin"/>
      </w:r>
      <w:r w:rsidR="007A344F" w:rsidRPr="007A344F">
        <w:rPr>
          <w:vertAlign w:val="superscript"/>
        </w:rPr>
        <w:instrText xml:space="preserve"> NOTEREF _Ref431978354 \h </w:instrText>
      </w:r>
      <w:r w:rsidR="007A344F">
        <w:rPr>
          <w:vertAlign w:val="superscript"/>
        </w:rPr>
        <w:instrText xml:space="preserve"> \* MERGEFORMAT </w:instrText>
      </w:r>
      <w:r w:rsidR="007A344F" w:rsidRPr="007A344F">
        <w:rPr>
          <w:vertAlign w:val="superscript"/>
        </w:rPr>
      </w:r>
      <w:r w:rsidR="007A344F" w:rsidRPr="007A344F">
        <w:rPr>
          <w:vertAlign w:val="superscript"/>
        </w:rPr>
        <w:fldChar w:fldCharType="separate"/>
      </w:r>
      <w:r w:rsidR="00AB59D8">
        <w:rPr>
          <w:vertAlign w:val="superscript"/>
        </w:rPr>
        <w:t>4</w:t>
      </w:r>
      <w:r w:rsidR="007A344F" w:rsidRPr="007A344F">
        <w:rPr>
          <w:vertAlign w:val="superscript"/>
        </w:rPr>
        <w:fldChar w:fldCharType="end"/>
      </w:r>
      <w:r w:rsidR="007A344F">
        <w:t>.</w:t>
      </w:r>
    </w:p>
    <w:p w:rsidR="007A344F" w:rsidRDefault="007A344F" w:rsidP="00E17B8A"/>
    <w:p w:rsidR="007A344F" w:rsidRDefault="007A344F" w:rsidP="007A344F">
      <w:pPr>
        <w:rPr>
          <w:b/>
        </w:rPr>
      </w:pPr>
    </w:p>
    <w:p w:rsidR="007A344F" w:rsidRDefault="007A344F" w:rsidP="007A344F">
      <w:pPr>
        <w:rPr>
          <w:b/>
        </w:rPr>
      </w:pPr>
    </w:p>
    <w:p w:rsidR="007A344F" w:rsidRDefault="007A344F" w:rsidP="007A344F">
      <w:pPr>
        <w:rPr>
          <w:b/>
        </w:rPr>
      </w:pPr>
    </w:p>
    <w:p w:rsidR="007A344F" w:rsidRDefault="007A344F" w:rsidP="007A344F">
      <w:pPr>
        <w:rPr>
          <w:b/>
        </w:rPr>
      </w:pPr>
    </w:p>
    <w:p w:rsidR="00E17B8A" w:rsidRPr="00C47CDA" w:rsidRDefault="007A344F" w:rsidP="007A344F">
      <w:r w:rsidRPr="007A344F">
        <w:rPr>
          <w:b/>
        </w:rPr>
        <w:t>Interior CFLs</w:t>
      </w:r>
      <w:r w:rsidR="00E17B8A">
        <w:fldChar w:fldCharType="begin"/>
      </w:r>
      <w:r w:rsidR="00E17B8A">
        <w:instrText xml:space="preserve"> XE "</w:instrText>
      </w:r>
      <w:r w:rsidR="00E17B8A" w:rsidRPr="00866161">
        <w:rPr>
          <w:sz w:val="20"/>
          <w:szCs w:val="20"/>
        </w:rPr>
        <w:instrText>CFL</w:instrText>
      </w:r>
      <w:r w:rsidR="00E17B8A">
        <w:instrText xml:space="preserve">" </w:instrText>
      </w:r>
      <w:r w:rsidR="00E17B8A">
        <w:fldChar w:fldCharType="end"/>
      </w:r>
    </w:p>
    <w:p w:rsidR="00E17B8A" w:rsidRPr="000E02F5" w:rsidRDefault="00E17B8A" w:rsidP="00E17B8A">
      <w:pPr>
        <w:rPr>
          <w:color w:val="FF0000"/>
        </w:rPr>
      </w:pPr>
      <w:r w:rsidRPr="003E5DFF">
        <w:t>The equation below illustrates the peak demand reduction estimation me</w:t>
      </w:r>
      <w:r w:rsidRPr="007A344F">
        <w:t>thod used</w:t>
      </w:r>
      <w:r w:rsidR="007A344F" w:rsidRPr="007A344F">
        <w:t>:</w:t>
      </w:r>
    </w:p>
    <w:p w:rsidR="00E17B8A" w:rsidRDefault="00E17B8A" w:rsidP="007A344F">
      <w:pPr>
        <w:jc w:val="center"/>
      </w:pPr>
      <w:r w:rsidRPr="00B02139">
        <w:rPr>
          <w:position w:val="-28"/>
        </w:rPr>
        <w:object w:dxaOrig="8160" w:dyaOrig="680">
          <v:shape id="_x0000_i1029" type="#_x0000_t75" style="width:388.5pt;height:34.5pt" o:ole="">
            <v:imagedata r:id="rId23" o:title=""/>
          </v:shape>
          <o:OLEObject Type="Embed" ProgID="Equation.3" ShapeID="_x0000_i1029" DrawAspect="Content" ObjectID="_1511776167" r:id="rId24"/>
        </w:object>
      </w:r>
    </w:p>
    <w:p w:rsidR="00E17B8A" w:rsidRDefault="00E17B8A" w:rsidP="00E17B8A"/>
    <w:p w:rsidR="00E17B8A" w:rsidRDefault="00E17B8A" w:rsidP="00E17B8A">
      <w:r w:rsidRPr="003E5DFF">
        <w:t xml:space="preserve">An example calculation is presented below for measure code L0160 (CFL 7 Watt </w:t>
      </w:r>
      <w:proofErr w:type="spellStart"/>
      <w:r w:rsidRPr="003E5DFF">
        <w:t>Int</w:t>
      </w:r>
      <w:proofErr w:type="spellEnd"/>
      <w:r w:rsidRPr="003E5DFF">
        <w:t xml:space="preserve"> Bare Spiral 1 </w:t>
      </w:r>
      <w:proofErr w:type="spellStart"/>
      <w:r w:rsidRPr="003E5DFF">
        <w:t>Pk</w:t>
      </w:r>
      <w:proofErr w:type="spellEnd"/>
      <w:r w:rsidRPr="003E5DFF">
        <w:t>)</w:t>
      </w:r>
    </w:p>
    <w:p w:rsidR="007A344F" w:rsidRPr="003E5DFF" w:rsidRDefault="007A344F" w:rsidP="00E17B8A"/>
    <w:p w:rsidR="00E17B8A" w:rsidRDefault="00407F63" w:rsidP="007A344F">
      <w:pPr>
        <w:jc w:val="center"/>
      </w:pPr>
      <w:r w:rsidRPr="00B02139">
        <w:rPr>
          <w:position w:val="-42"/>
        </w:rPr>
        <w:object w:dxaOrig="7760" w:dyaOrig="960">
          <v:shape id="_x0000_i1030" type="#_x0000_t75" style="width:389.25pt;height:48pt" o:ole="">
            <v:imagedata r:id="rId25" o:title=""/>
          </v:shape>
          <o:OLEObject Type="Embed" ProgID="Equation.3" ShapeID="_x0000_i1030" DrawAspect="Content" ObjectID="_1511776168" r:id="rId26"/>
        </w:object>
      </w:r>
    </w:p>
    <w:p w:rsidR="00186CA3" w:rsidRPr="006F374C" w:rsidRDefault="00186CA3" w:rsidP="00416960">
      <w:pPr>
        <w:ind w:left="720"/>
        <w:rPr>
          <w:color w:val="0000FF"/>
        </w:rPr>
      </w:pPr>
    </w:p>
    <w:p w:rsidR="00416960" w:rsidRPr="00670CFD" w:rsidRDefault="00416960" w:rsidP="00416960">
      <w:pPr>
        <w:rPr>
          <w:b/>
        </w:rPr>
      </w:pPr>
      <w:bookmarkStart w:id="68" w:name="_Toc174189540"/>
      <w:bookmarkEnd w:id="68"/>
      <w:r w:rsidRPr="00670CFD">
        <w:rPr>
          <w:b/>
        </w:rPr>
        <w:t>Exterior CFL</w:t>
      </w:r>
      <w:r w:rsidR="00282804">
        <w:rPr>
          <w:b/>
        </w:rPr>
        <w:t>s</w:t>
      </w:r>
    </w:p>
    <w:p w:rsidR="00416960" w:rsidRPr="00670CFD" w:rsidRDefault="00416960" w:rsidP="00C63493">
      <w:r w:rsidRPr="00670CFD">
        <w:t xml:space="preserve">Exterior fixtures are assumed to operate during off-peak hours, so the demand impacts are assumed to be zero.  </w:t>
      </w:r>
    </w:p>
    <w:p w:rsidR="00C63493" w:rsidRPr="00670CFD" w:rsidRDefault="00C63493" w:rsidP="00C63493">
      <w:pPr>
        <w:pStyle w:val="Heading1"/>
        <w:keepNext w:val="0"/>
      </w:pPr>
      <w:bookmarkStart w:id="69" w:name="_Toc436750472"/>
      <w:r w:rsidRPr="00670CFD">
        <w:t xml:space="preserve">2.3. Gas Energy </w:t>
      </w:r>
      <w:r w:rsidR="00D22448" w:rsidRPr="00670CFD">
        <w:t>Impact</w:t>
      </w:r>
      <w:r w:rsidRPr="00670CFD">
        <w:t xml:space="preserve"> Estimation Methodologies</w:t>
      </w:r>
      <w:bookmarkEnd w:id="69"/>
    </w:p>
    <w:p w:rsidR="00524DA3" w:rsidRDefault="007A344F" w:rsidP="00524DA3">
      <w:r w:rsidRPr="007A344F">
        <w:t>The gas savings methodology follows the same methodology in DEER 2016.  Please refer to the Excel calculation workbook for more information</w:t>
      </w:r>
      <w:r w:rsidRPr="007A344F">
        <w:rPr>
          <w:vertAlign w:val="superscript"/>
        </w:rPr>
        <w:fldChar w:fldCharType="begin"/>
      </w:r>
      <w:r w:rsidRPr="007A344F">
        <w:rPr>
          <w:vertAlign w:val="superscript"/>
        </w:rPr>
        <w:instrText xml:space="preserve"> NOTEREF _Ref431978354 \h  \* MERGEFORMAT </w:instrText>
      </w:r>
      <w:r w:rsidRPr="007A344F">
        <w:rPr>
          <w:vertAlign w:val="superscript"/>
        </w:rPr>
      </w:r>
      <w:r w:rsidRPr="007A344F">
        <w:rPr>
          <w:vertAlign w:val="superscript"/>
        </w:rPr>
        <w:fldChar w:fldCharType="separate"/>
      </w:r>
      <w:r w:rsidR="00AB59D8">
        <w:rPr>
          <w:vertAlign w:val="superscript"/>
        </w:rPr>
        <w:t>4</w:t>
      </w:r>
      <w:r w:rsidRPr="007A344F">
        <w:rPr>
          <w:vertAlign w:val="superscript"/>
        </w:rPr>
        <w:fldChar w:fldCharType="end"/>
      </w:r>
      <w:r w:rsidRPr="007A344F">
        <w:t>.</w:t>
      </w:r>
    </w:p>
    <w:p w:rsidR="007A344F" w:rsidRPr="007A344F" w:rsidRDefault="007A344F" w:rsidP="00524DA3"/>
    <w:p w:rsidR="00BE3C99" w:rsidRPr="00670CFD" w:rsidRDefault="00BE3C99" w:rsidP="00BE3C99">
      <w:pPr>
        <w:rPr>
          <w:b/>
        </w:rPr>
      </w:pPr>
      <w:r w:rsidRPr="00670CFD">
        <w:rPr>
          <w:b/>
        </w:rPr>
        <w:t>Interior CFL</w:t>
      </w:r>
      <w:r>
        <w:rPr>
          <w:b/>
        </w:rPr>
        <w:fldChar w:fldCharType="begin"/>
      </w:r>
      <w:r>
        <w:instrText xml:space="preserve"> XE "</w:instrText>
      </w:r>
      <w:r w:rsidRPr="00866161">
        <w:rPr>
          <w:sz w:val="20"/>
          <w:szCs w:val="20"/>
        </w:rPr>
        <w:instrText>CFL</w:instrText>
      </w:r>
      <w:r>
        <w:instrText xml:space="preserve">" </w:instrText>
      </w:r>
      <w:r>
        <w:rPr>
          <w:b/>
        </w:rPr>
        <w:fldChar w:fldCharType="end"/>
      </w:r>
      <w:r w:rsidRPr="00670CFD">
        <w:rPr>
          <w:b/>
        </w:rPr>
        <w:t xml:space="preserve"> Lamps</w:t>
      </w:r>
    </w:p>
    <w:p w:rsidR="00BE3C99" w:rsidRPr="00E639CC" w:rsidRDefault="00BE3C99" w:rsidP="00BE3C99">
      <w:r w:rsidRPr="00E639CC">
        <w:t xml:space="preserve">The values for </w:t>
      </w:r>
      <w:proofErr w:type="spellStart"/>
      <w:r w:rsidRPr="00E639CC">
        <w:t>therm</w:t>
      </w:r>
      <w:proofErr w:type="spellEnd"/>
      <w:r w:rsidRPr="00E639CC">
        <w:t xml:space="preserve"> interactive effects factor are based on </w:t>
      </w:r>
      <w:r>
        <w:t>DEER</w:t>
      </w:r>
      <w:r w:rsidR="0098102D">
        <w:t xml:space="preserve"> 201</w:t>
      </w:r>
      <w:r w:rsidR="009F611D">
        <w:t>6</w:t>
      </w:r>
      <w:r w:rsidRPr="00E639CC">
        <w:t xml:space="preserve">. The following formula is used to calculate the </w:t>
      </w:r>
      <w:proofErr w:type="spellStart"/>
      <w:r w:rsidRPr="00E639CC">
        <w:t>therm</w:t>
      </w:r>
      <w:proofErr w:type="spellEnd"/>
      <w:r w:rsidRPr="00E639CC">
        <w:t xml:space="preserve"> savings.</w:t>
      </w:r>
    </w:p>
    <w:p w:rsidR="00BE3C99" w:rsidRPr="00E639CC" w:rsidRDefault="00BE3C99" w:rsidP="00BE3C99"/>
    <w:p w:rsidR="00BE3C99" w:rsidRDefault="00BE3C99" w:rsidP="00407F63">
      <w:pPr>
        <w:ind w:right="-180"/>
        <w:jc w:val="center"/>
        <w:rPr>
          <w:sz w:val="18"/>
          <w:szCs w:val="18"/>
        </w:rPr>
      </w:pPr>
      <w:r w:rsidRPr="00E639CC">
        <w:rPr>
          <w:sz w:val="18"/>
          <w:szCs w:val="18"/>
        </w:rPr>
        <w:t>Gas Savings [</w:t>
      </w:r>
      <w:proofErr w:type="spellStart"/>
      <w:r w:rsidRPr="00E639CC">
        <w:rPr>
          <w:sz w:val="18"/>
          <w:szCs w:val="18"/>
        </w:rPr>
        <w:t>Therm</w:t>
      </w:r>
      <w:proofErr w:type="spellEnd"/>
      <w:r w:rsidRPr="00E639CC">
        <w:rPr>
          <w:sz w:val="18"/>
          <w:szCs w:val="18"/>
        </w:rPr>
        <w:t>/Unit-year] = (∆</w:t>
      </w:r>
      <w:proofErr w:type="spellStart"/>
      <w:r>
        <w:rPr>
          <w:sz w:val="18"/>
          <w:szCs w:val="18"/>
        </w:rPr>
        <w:t>K</w:t>
      </w:r>
      <w:r w:rsidRPr="00E639CC">
        <w:rPr>
          <w:sz w:val="18"/>
          <w:szCs w:val="18"/>
        </w:rPr>
        <w:t>Watts</w:t>
      </w:r>
      <w:proofErr w:type="spellEnd"/>
      <w:r w:rsidRPr="00E639CC">
        <w:rPr>
          <w:sz w:val="18"/>
          <w:szCs w:val="18"/>
        </w:rPr>
        <w:t xml:space="preserve">/unit) x (annual hours of use) x </w:t>
      </w:r>
      <w:r>
        <w:rPr>
          <w:sz w:val="18"/>
          <w:szCs w:val="18"/>
        </w:rPr>
        <w:t xml:space="preserve">Gas </w:t>
      </w:r>
      <w:r w:rsidRPr="00E639CC">
        <w:rPr>
          <w:sz w:val="18"/>
          <w:szCs w:val="18"/>
        </w:rPr>
        <w:t>Interactive Effects</w:t>
      </w:r>
    </w:p>
    <w:p w:rsidR="00BE3C99" w:rsidRDefault="00BE3C99" w:rsidP="00BE3C99">
      <w:pPr>
        <w:ind w:right="-180"/>
        <w:rPr>
          <w:sz w:val="18"/>
          <w:szCs w:val="18"/>
        </w:rPr>
      </w:pPr>
    </w:p>
    <w:p w:rsidR="00BE3C99" w:rsidRDefault="00BE3C99" w:rsidP="00BE3C99">
      <w:pPr>
        <w:ind w:right="-180"/>
      </w:pPr>
      <w:r w:rsidRPr="003E5DFF">
        <w:t xml:space="preserve">An example calculation is presented below for measure code L0160 (CFL 7 Watt </w:t>
      </w:r>
      <w:proofErr w:type="spellStart"/>
      <w:r w:rsidRPr="003E5DFF">
        <w:t>Int</w:t>
      </w:r>
      <w:proofErr w:type="spellEnd"/>
      <w:r w:rsidRPr="003E5DFF">
        <w:t xml:space="preserve"> Bare Spiral 1 </w:t>
      </w:r>
      <w:proofErr w:type="spellStart"/>
      <w:r w:rsidRPr="003E5DFF">
        <w:t>Pk</w:t>
      </w:r>
      <w:proofErr w:type="spellEnd"/>
      <w:r w:rsidRPr="003E5DFF">
        <w:t>)</w:t>
      </w:r>
    </w:p>
    <w:p w:rsidR="00BE3C99" w:rsidRDefault="00BE3C99" w:rsidP="00BE3C99">
      <w:pPr>
        <w:ind w:right="-180"/>
      </w:pPr>
    </w:p>
    <w:p w:rsidR="00524DA3" w:rsidRPr="00670CFD" w:rsidRDefault="00BE3C99" w:rsidP="00407F63">
      <w:pPr>
        <w:jc w:val="center"/>
      </w:pPr>
      <w:r w:rsidRPr="00E639CC">
        <w:rPr>
          <w:sz w:val="18"/>
          <w:szCs w:val="18"/>
        </w:rPr>
        <w:t>Ga</w:t>
      </w:r>
      <w:r>
        <w:rPr>
          <w:sz w:val="18"/>
          <w:szCs w:val="18"/>
        </w:rPr>
        <w:t>s Savings [-0.</w:t>
      </w:r>
      <w:r w:rsidR="00407F63">
        <w:rPr>
          <w:sz w:val="18"/>
          <w:szCs w:val="18"/>
        </w:rPr>
        <w:t>26</w:t>
      </w:r>
      <w:r w:rsidR="00BB3563">
        <w:rPr>
          <w:sz w:val="18"/>
          <w:szCs w:val="18"/>
        </w:rPr>
        <w:t>6</w:t>
      </w:r>
      <w:r w:rsidR="009F611D">
        <w:rPr>
          <w:sz w:val="18"/>
          <w:szCs w:val="18"/>
        </w:rPr>
        <w:t xml:space="preserve"> </w:t>
      </w:r>
      <w:proofErr w:type="spellStart"/>
      <w:r>
        <w:rPr>
          <w:sz w:val="18"/>
          <w:szCs w:val="18"/>
        </w:rPr>
        <w:t>Therm</w:t>
      </w:r>
      <w:proofErr w:type="spellEnd"/>
      <w:r>
        <w:rPr>
          <w:sz w:val="18"/>
          <w:szCs w:val="18"/>
        </w:rPr>
        <w:t>/Unit-year] = (0.0</w:t>
      </w:r>
      <w:r w:rsidR="009F611D">
        <w:rPr>
          <w:sz w:val="18"/>
          <w:szCs w:val="18"/>
        </w:rPr>
        <w:t xml:space="preserve">07*3.57 </w:t>
      </w:r>
      <w:r w:rsidR="00407F63">
        <w:rPr>
          <w:sz w:val="18"/>
          <w:szCs w:val="18"/>
        </w:rPr>
        <w:t xml:space="preserve">-0.007 </w:t>
      </w:r>
      <w:proofErr w:type="spellStart"/>
      <w:r w:rsidR="009F611D">
        <w:rPr>
          <w:sz w:val="18"/>
          <w:szCs w:val="18"/>
        </w:rPr>
        <w:t>k</w:t>
      </w:r>
      <w:r w:rsidRPr="00E639CC">
        <w:rPr>
          <w:sz w:val="18"/>
          <w:szCs w:val="18"/>
        </w:rPr>
        <w:t>Watts</w:t>
      </w:r>
      <w:proofErr w:type="spellEnd"/>
      <w:r w:rsidRPr="00E639CC">
        <w:rPr>
          <w:sz w:val="18"/>
          <w:szCs w:val="18"/>
        </w:rPr>
        <w:t>/unit) x (</w:t>
      </w:r>
      <w:r w:rsidR="009F611D">
        <w:rPr>
          <w:sz w:val="18"/>
          <w:szCs w:val="18"/>
        </w:rPr>
        <w:t>2130</w:t>
      </w:r>
      <w:r w:rsidRPr="00E639CC">
        <w:rPr>
          <w:sz w:val="18"/>
          <w:szCs w:val="18"/>
        </w:rPr>
        <w:t xml:space="preserve">) x </w:t>
      </w:r>
      <w:r>
        <w:rPr>
          <w:sz w:val="18"/>
          <w:szCs w:val="18"/>
        </w:rPr>
        <w:t>-0.</w:t>
      </w:r>
      <w:r w:rsidR="00407F63">
        <w:rPr>
          <w:sz w:val="18"/>
          <w:szCs w:val="18"/>
        </w:rPr>
        <w:t>0070</w:t>
      </w:r>
    </w:p>
    <w:p w:rsidR="00BE3C99" w:rsidRDefault="00BE3C99" w:rsidP="00524DA3">
      <w:pPr>
        <w:rPr>
          <w:b/>
        </w:rPr>
      </w:pPr>
    </w:p>
    <w:p w:rsidR="00524DA3" w:rsidRPr="000D6527" w:rsidRDefault="00524DA3" w:rsidP="00524DA3">
      <w:pPr>
        <w:rPr>
          <w:b/>
        </w:rPr>
      </w:pPr>
      <w:r w:rsidRPr="000D6527">
        <w:rPr>
          <w:b/>
        </w:rPr>
        <w:t>Exterior CFL Fixtures</w:t>
      </w:r>
    </w:p>
    <w:p w:rsidR="007751C7" w:rsidRDefault="00BE3C99">
      <w:pPr>
        <w:rPr>
          <w:rFonts w:ascii="Arial" w:hAnsi="Arial" w:cs="Arial"/>
          <w:b/>
          <w:bCs/>
          <w:kern w:val="36"/>
          <w:sz w:val="32"/>
          <w:szCs w:val="32"/>
        </w:rPr>
      </w:pPr>
      <w:r w:rsidRPr="00E639CC">
        <w:t xml:space="preserve">Exterior fixtures do not affect the internal load of the residence and therefore do not produce any “interactive effects” with the space conditioning systems, so the </w:t>
      </w:r>
      <w:proofErr w:type="spellStart"/>
      <w:r w:rsidRPr="00E639CC">
        <w:t>therm</w:t>
      </w:r>
      <w:proofErr w:type="spellEnd"/>
      <w:r w:rsidRPr="00E639CC">
        <w:t xml:space="preserve"> impacts are assumed to be zero.</w:t>
      </w:r>
    </w:p>
    <w:p w:rsidR="00CF6ECB" w:rsidRDefault="00CF6ECB">
      <w:pPr>
        <w:rPr>
          <w:rFonts w:ascii="Arial" w:hAnsi="Arial" w:cs="Arial"/>
          <w:b/>
          <w:bCs/>
          <w:kern w:val="36"/>
          <w:sz w:val="32"/>
          <w:szCs w:val="32"/>
        </w:rPr>
      </w:pPr>
      <w:r>
        <w:br w:type="page"/>
      </w:r>
    </w:p>
    <w:p w:rsidR="00C63493" w:rsidRDefault="00C63493" w:rsidP="00C63493">
      <w:pPr>
        <w:pStyle w:val="Heading1"/>
        <w:keepNext w:val="0"/>
      </w:pPr>
      <w:bookmarkStart w:id="70" w:name="_Toc436750473"/>
      <w:proofErr w:type="gramStart"/>
      <w:r>
        <w:lastRenderedPageBreak/>
        <w:t>Section 3.</w:t>
      </w:r>
      <w:proofErr w:type="gramEnd"/>
      <w:r>
        <w:t xml:space="preserve"> Load Shapes</w:t>
      </w:r>
      <w:bookmarkEnd w:id="70"/>
    </w:p>
    <w:p w:rsidR="0007745A" w:rsidRPr="00B7164C" w:rsidRDefault="0007745A" w:rsidP="0007745A">
      <w:pPr>
        <w:autoSpaceDE w:val="0"/>
        <w:autoSpaceDN w:val="0"/>
        <w:adjustRightInd w:val="0"/>
      </w:pPr>
      <w:bookmarkStart w:id="71" w:name="_Toc174189544"/>
      <w:r w:rsidRPr="001B2D74">
        <w:t xml:space="preserve">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w:t>
      </w:r>
      <w:r>
        <w:t xml:space="preserve">a </w:t>
      </w:r>
      <w:r w:rsidRPr="001B2D74">
        <w:t>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rsidR="0007745A" w:rsidRDefault="0007745A" w:rsidP="0007745A">
      <w:pPr>
        <w:pStyle w:val="Heading2"/>
        <w:keepNext w:val="0"/>
      </w:pPr>
      <w:bookmarkStart w:id="72" w:name="_Toc173742996"/>
      <w:bookmarkStart w:id="73" w:name="_Toc186621667"/>
      <w:bookmarkStart w:id="74" w:name="_Toc436750474"/>
      <w:r>
        <w:t>3.1 Base Case Load Shapes</w:t>
      </w:r>
      <w:bookmarkEnd w:id="72"/>
      <w:bookmarkEnd w:id="73"/>
      <w:bookmarkEnd w:id="74"/>
    </w:p>
    <w:p w:rsidR="0007745A" w:rsidRPr="00B7164C" w:rsidRDefault="0007745A" w:rsidP="0007745A">
      <w:bookmarkStart w:id="75" w:name="_Toc173742997"/>
      <w:r>
        <w:t xml:space="preserve">The base case load shape would be expected to follow a typical </w:t>
      </w:r>
      <w:r w:rsidR="00066AC1">
        <w:t>non</w:t>
      </w:r>
      <w:r w:rsidR="00B51084" w:rsidRPr="00B51084">
        <w:t>residential</w:t>
      </w:r>
      <w:r>
        <w:t xml:space="preserve"> end use load shape.</w:t>
      </w:r>
    </w:p>
    <w:p w:rsidR="0007745A" w:rsidRDefault="0007745A" w:rsidP="0007745A">
      <w:pPr>
        <w:pStyle w:val="Heading2"/>
        <w:keepNext w:val="0"/>
      </w:pPr>
      <w:bookmarkStart w:id="76" w:name="_Toc186621668"/>
      <w:bookmarkStart w:id="77" w:name="_Toc436750475"/>
      <w:r>
        <w:t>3.2 Measure Load Shapes</w:t>
      </w:r>
      <w:bookmarkEnd w:id="75"/>
      <w:bookmarkEnd w:id="76"/>
      <w:bookmarkEnd w:id="77"/>
    </w:p>
    <w:p w:rsidR="0007745A" w:rsidRDefault="0007745A" w:rsidP="0007745A">
      <w:r>
        <w:t>For purposes of the net benefits estimates in the E3 calculator, what is required is the load shape</w:t>
      </w:r>
      <w:r w:rsidR="00244747">
        <w:fldChar w:fldCharType="begin"/>
      </w:r>
      <w:r>
        <w:instrText>xe "</w:instrText>
      </w:r>
      <w:r w:rsidRPr="00E04605">
        <w:instrText>load shape</w:instrText>
      </w:r>
      <w:r>
        <w:instrText>"</w:instrText>
      </w:r>
      <w:r w:rsidR="00244747">
        <w:fldChar w:fldCharType="end"/>
      </w:r>
      <w:r>
        <w:t xml:space="preserve"> that ideally represents the </w:t>
      </w:r>
      <w:r w:rsidRPr="00061ED2">
        <w:rPr>
          <w:i/>
        </w:rPr>
        <w:t>difference</w:t>
      </w:r>
      <w:r>
        <w:t xml:space="preserve"> between the base equipment and the installed energy efficiency measure.  This </w:t>
      </w:r>
      <w:r>
        <w:rPr>
          <w:i/>
        </w:rPr>
        <w:t>difference</w:t>
      </w:r>
      <w:r>
        <w:t xml:space="preserve"> load profile is what is called the Measure Load Shape and would be the preferred load shape for use in the net benefits calculations.  </w:t>
      </w:r>
    </w:p>
    <w:p w:rsidR="0007745A" w:rsidRDefault="0007745A" w:rsidP="0007745A"/>
    <w:p w:rsidR="0007745A" w:rsidRPr="00EB048C" w:rsidRDefault="0007745A" w:rsidP="0007745A">
      <w:r>
        <w:t xml:space="preserve">The measure load shape for this measure is determined by the E3 calculator based on the applicable </w:t>
      </w:r>
      <w:r w:rsidR="009F611D">
        <w:t>non-</w:t>
      </w:r>
      <w:r w:rsidRPr="0007745A">
        <w:t>residential</w:t>
      </w:r>
      <w:r>
        <w:t xml:space="preserve"> market sector and </w:t>
      </w:r>
      <w:r w:rsidR="009F611D">
        <w:t>non-</w:t>
      </w:r>
      <w:r w:rsidR="00E14164" w:rsidRPr="00E14164">
        <w:t>residential</w:t>
      </w:r>
      <w:r>
        <w:t xml:space="preserve"> </w:t>
      </w:r>
      <w:r w:rsidR="00B51084">
        <w:t>lighting</w:t>
      </w:r>
      <w:r>
        <w:t xml:space="preserve">. </w:t>
      </w:r>
    </w:p>
    <w:p w:rsidR="007751C7" w:rsidRDefault="007751C7" w:rsidP="007751C7">
      <w:pPr>
        <w:pStyle w:val="Caption"/>
        <w:jc w:val="center"/>
        <w:rPr>
          <w:rFonts w:cstheme="minorHAnsi"/>
          <w:szCs w:val="22"/>
        </w:rPr>
      </w:pPr>
    </w:p>
    <w:p w:rsidR="007751C7" w:rsidRPr="00500C4E" w:rsidRDefault="00D81345" w:rsidP="00D81345">
      <w:pPr>
        <w:pStyle w:val="Caption"/>
        <w:jc w:val="center"/>
        <w:rPr>
          <w:rFonts w:cstheme="minorHAnsi"/>
          <w:b w:val="0"/>
          <w:szCs w:val="22"/>
        </w:rPr>
      </w:pPr>
      <w:bookmarkStart w:id="78" w:name="_Toc438034277"/>
      <w:r>
        <w:t xml:space="preserve">Table </w:t>
      </w:r>
      <w:fldSimple w:instr=" SEQ Table \* ARABIC ">
        <w:r w:rsidR="00AB59D8">
          <w:rPr>
            <w:noProof/>
          </w:rPr>
          <w:t>7</w:t>
        </w:r>
      </w:fldSimple>
      <w:r>
        <w:t xml:space="preserve"> </w:t>
      </w:r>
      <w:r w:rsidR="007751C7" w:rsidRPr="00500C4E">
        <w:rPr>
          <w:rFonts w:cstheme="minorHAnsi"/>
          <w:szCs w:val="22"/>
        </w:rPr>
        <w:t>Building Types and Load Shapes</w:t>
      </w:r>
      <w:bookmarkEnd w:id="78"/>
    </w:p>
    <w:tbl>
      <w:tblPr>
        <w:tblStyle w:val="TableGrid1"/>
        <w:tblW w:w="5000" w:type="pct"/>
        <w:tblLook w:val="01E0" w:firstRow="1" w:lastRow="1" w:firstColumn="1" w:lastColumn="1" w:noHBand="0" w:noVBand="0"/>
      </w:tblPr>
      <w:tblGrid>
        <w:gridCol w:w="3229"/>
        <w:gridCol w:w="3407"/>
        <w:gridCol w:w="2940"/>
      </w:tblGrid>
      <w:tr w:rsidR="007751C7" w:rsidRPr="00500C4E" w:rsidTr="002B54E4">
        <w:tc>
          <w:tcPr>
            <w:tcW w:w="1686" w:type="pct"/>
            <w:shd w:val="clear" w:color="auto" w:fill="D9D9D9" w:themeFill="background1" w:themeFillShade="D9"/>
          </w:tcPr>
          <w:p w:rsidR="007751C7" w:rsidRPr="00B47001" w:rsidRDefault="007751C7" w:rsidP="002B54E4">
            <w:pPr>
              <w:rPr>
                <w:rFonts w:ascii="Times New Roman" w:hAnsi="Times New Roman"/>
                <w:b/>
                <w:sz w:val="20"/>
                <w:szCs w:val="20"/>
                <w:highlight w:val="yellow"/>
              </w:rPr>
            </w:pPr>
            <w:r w:rsidRPr="00B47001">
              <w:rPr>
                <w:b/>
                <w:sz w:val="20"/>
                <w:szCs w:val="20"/>
              </w:rPr>
              <w:t>Building Type</w:t>
            </w:r>
          </w:p>
        </w:tc>
        <w:tc>
          <w:tcPr>
            <w:tcW w:w="1779" w:type="pct"/>
            <w:shd w:val="clear" w:color="auto" w:fill="D9D9D9" w:themeFill="background1" w:themeFillShade="D9"/>
          </w:tcPr>
          <w:p w:rsidR="007751C7" w:rsidRPr="00B47001" w:rsidRDefault="007751C7" w:rsidP="002B54E4">
            <w:pPr>
              <w:rPr>
                <w:rFonts w:ascii="Times New Roman" w:hAnsi="Times New Roman"/>
                <w:b/>
                <w:sz w:val="20"/>
                <w:szCs w:val="20"/>
              </w:rPr>
            </w:pPr>
            <w:r w:rsidRPr="00B47001">
              <w:rPr>
                <w:b/>
                <w:sz w:val="20"/>
                <w:szCs w:val="20"/>
              </w:rPr>
              <w:t>Load Shape</w:t>
            </w:r>
          </w:p>
        </w:tc>
        <w:tc>
          <w:tcPr>
            <w:tcW w:w="1535" w:type="pct"/>
            <w:shd w:val="clear" w:color="auto" w:fill="D9D9D9" w:themeFill="background1" w:themeFillShade="D9"/>
          </w:tcPr>
          <w:p w:rsidR="007751C7" w:rsidRPr="00B47001" w:rsidRDefault="007751C7" w:rsidP="002B54E4">
            <w:pPr>
              <w:rPr>
                <w:rFonts w:ascii="Times New Roman" w:hAnsi="Times New Roman"/>
                <w:b/>
                <w:sz w:val="20"/>
                <w:szCs w:val="20"/>
                <w:highlight w:val="yellow"/>
              </w:rPr>
            </w:pPr>
            <w:r w:rsidRPr="00B47001">
              <w:rPr>
                <w:b/>
                <w:sz w:val="20"/>
                <w:szCs w:val="20"/>
              </w:rPr>
              <w:t>E3 Alternate Building Type</w:t>
            </w:r>
          </w:p>
        </w:tc>
      </w:tr>
      <w:tr w:rsidR="007751C7" w:rsidRPr="00500C4E" w:rsidTr="002B54E4">
        <w:tc>
          <w:tcPr>
            <w:tcW w:w="1686" w:type="pct"/>
          </w:tcPr>
          <w:p w:rsidR="007751C7" w:rsidRPr="00275340" w:rsidRDefault="007751C7" w:rsidP="002B54E4">
            <w:pPr>
              <w:rPr>
                <w:rFonts w:ascii="Times New Roman" w:hAnsi="Times New Roman"/>
                <w:sz w:val="20"/>
                <w:szCs w:val="20"/>
              </w:rPr>
            </w:pPr>
            <w:r>
              <w:rPr>
                <w:rFonts w:ascii="Times New Roman" w:hAnsi="Times New Roman"/>
                <w:sz w:val="20"/>
                <w:szCs w:val="20"/>
              </w:rPr>
              <w:t>Commercial</w:t>
            </w:r>
            <w:r w:rsidRPr="00275340">
              <w:rPr>
                <w:rFonts w:ascii="Times New Roman" w:hAnsi="Times New Roman"/>
                <w:sz w:val="20"/>
                <w:szCs w:val="20"/>
              </w:rPr>
              <w:t xml:space="preserve"> - Indoor</w:t>
            </w:r>
          </w:p>
        </w:tc>
        <w:tc>
          <w:tcPr>
            <w:tcW w:w="1779" w:type="pct"/>
          </w:tcPr>
          <w:p w:rsidR="007751C7" w:rsidRPr="00275340" w:rsidRDefault="007751C7" w:rsidP="002B54E4">
            <w:pPr>
              <w:rPr>
                <w:rFonts w:ascii="Times New Roman" w:hAnsi="Times New Roman"/>
                <w:sz w:val="20"/>
                <w:szCs w:val="20"/>
              </w:rPr>
            </w:pPr>
            <w:proofErr w:type="spellStart"/>
            <w:r w:rsidRPr="00275340">
              <w:rPr>
                <w:rFonts w:ascii="Times New Roman" w:hAnsi="Times New Roman"/>
                <w:sz w:val="20"/>
                <w:szCs w:val="20"/>
              </w:rPr>
              <w:t>PGE:DEER:</w:t>
            </w:r>
            <w:r>
              <w:rPr>
                <w:rFonts w:ascii="Times New Roman" w:hAnsi="Times New Roman"/>
                <w:sz w:val="20"/>
                <w:szCs w:val="20"/>
              </w:rPr>
              <w:t>COM:</w:t>
            </w:r>
            <w:r w:rsidRPr="00275340">
              <w:rPr>
                <w:rFonts w:ascii="Times New Roman" w:hAnsi="Times New Roman"/>
                <w:sz w:val="20"/>
                <w:szCs w:val="20"/>
              </w:rPr>
              <w:t>Indoor_CFL_Ltg</w:t>
            </w:r>
            <w:proofErr w:type="spellEnd"/>
          </w:p>
        </w:tc>
        <w:tc>
          <w:tcPr>
            <w:tcW w:w="1535" w:type="pct"/>
          </w:tcPr>
          <w:p w:rsidR="007751C7" w:rsidRPr="00275340" w:rsidRDefault="007751C7" w:rsidP="002B54E4">
            <w:pPr>
              <w:rPr>
                <w:rFonts w:ascii="Times New Roman" w:hAnsi="Times New Roman"/>
                <w:sz w:val="20"/>
                <w:szCs w:val="20"/>
              </w:rPr>
            </w:pPr>
            <w:r>
              <w:rPr>
                <w:rFonts w:ascii="Times New Roman" w:hAnsi="Times New Roman"/>
                <w:sz w:val="20"/>
                <w:szCs w:val="20"/>
              </w:rPr>
              <w:t>NON_RES</w:t>
            </w:r>
          </w:p>
        </w:tc>
      </w:tr>
      <w:tr w:rsidR="007751C7" w:rsidRPr="00500C4E" w:rsidTr="002B54E4">
        <w:tc>
          <w:tcPr>
            <w:tcW w:w="1686" w:type="pct"/>
          </w:tcPr>
          <w:p w:rsidR="007751C7" w:rsidRPr="00275340" w:rsidRDefault="007751C7" w:rsidP="002B54E4">
            <w:pPr>
              <w:rPr>
                <w:rFonts w:ascii="Times New Roman" w:hAnsi="Times New Roman"/>
                <w:sz w:val="20"/>
                <w:szCs w:val="20"/>
              </w:rPr>
            </w:pPr>
            <w:r>
              <w:rPr>
                <w:rFonts w:ascii="Times New Roman" w:hAnsi="Times New Roman"/>
                <w:sz w:val="20"/>
                <w:szCs w:val="20"/>
              </w:rPr>
              <w:t>Commercial</w:t>
            </w:r>
            <w:r w:rsidRPr="00275340">
              <w:rPr>
                <w:rFonts w:ascii="Times New Roman" w:hAnsi="Times New Roman"/>
                <w:sz w:val="20"/>
                <w:szCs w:val="20"/>
              </w:rPr>
              <w:t xml:space="preserve"> - Outdoor</w:t>
            </w:r>
          </w:p>
        </w:tc>
        <w:tc>
          <w:tcPr>
            <w:tcW w:w="1779" w:type="pct"/>
          </w:tcPr>
          <w:p w:rsidR="007751C7" w:rsidRPr="00275340" w:rsidRDefault="00BB3563" w:rsidP="002B54E4">
            <w:pPr>
              <w:rPr>
                <w:rFonts w:ascii="Times New Roman" w:hAnsi="Times New Roman"/>
                <w:sz w:val="20"/>
                <w:szCs w:val="20"/>
              </w:rPr>
            </w:pPr>
            <w:r w:rsidRPr="00BB3563">
              <w:rPr>
                <w:rFonts w:ascii="Times New Roman" w:hAnsi="Times New Roman"/>
                <w:sz w:val="20"/>
                <w:szCs w:val="20"/>
              </w:rPr>
              <w:t>PGE:2 = Commercial Outdoor Lighting</w:t>
            </w:r>
          </w:p>
        </w:tc>
        <w:tc>
          <w:tcPr>
            <w:tcW w:w="1535" w:type="pct"/>
          </w:tcPr>
          <w:p w:rsidR="007751C7" w:rsidRPr="00275340" w:rsidRDefault="00BB3563" w:rsidP="002B54E4">
            <w:pPr>
              <w:rPr>
                <w:rFonts w:ascii="Times New Roman" w:hAnsi="Times New Roman"/>
                <w:sz w:val="20"/>
                <w:szCs w:val="20"/>
              </w:rPr>
            </w:pPr>
            <w:r>
              <w:rPr>
                <w:rFonts w:ascii="Times New Roman" w:hAnsi="Times New Roman"/>
                <w:sz w:val="20"/>
                <w:szCs w:val="20"/>
              </w:rPr>
              <w:t>COMMERCIAL</w:t>
            </w:r>
          </w:p>
        </w:tc>
      </w:tr>
    </w:tbl>
    <w:p w:rsidR="00A833F3" w:rsidRDefault="00A833F3" w:rsidP="00C63493">
      <w:pPr>
        <w:pStyle w:val="Heading1"/>
        <w:keepNext w:val="0"/>
      </w:pPr>
    </w:p>
    <w:p w:rsidR="00A833F3" w:rsidRDefault="00A833F3">
      <w:pPr>
        <w:rPr>
          <w:rFonts w:ascii="Arial" w:hAnsi="Arial" w:cs="Arial"/>
          <w:b/>
          <w:bCs/>
          <w:kern w:val="36"/>
          <w:sz w:val="32"/>
          <w:szCs w:val="32"/>
        </w:rPr>
      </w:pPr>
      <w:r>
        <w:br w:type="page"/>
      </w:r>
    </w:p>
    <w:p w:rsidR="00C63493" w:rsidRDefault="00C63493" w:rsidP="00C63493">
      <w:pPr>
        <w:pStyle w:val="Heading1"/>
        <w:keepNext w:val="0"/>
      </w:pPr>
      <w:bookmarkStart w:id="79" w:name="_Toc436750476"/>
      <w:proofErr w:type="gramStart"/>
      <w:r w:rsidRPr="003C0E3F">
        <w:lastRenderedPageBreak/>
        <w:t>Section 4.</w:t>
      </w:r>
      <w:proofErr w:type="gramEnd"/>
      <w:r w:rsidRPr="003C0E3F">
        <w:t xml:space="preserve"> Base Case &amp; Measure Costs</w:t>
      </w:r>
      <w:bookmarkEnd w:id="71"/>
      <w:bookmarkEnd w:id="79"/>
    </w:p>
    <w:p w:rsidR="00F83448" w:rsidRDefault="00F83448" w:rsidP="00F83448">
      <w:bookmarkStart w:id="80" w:name="_Toc174189545"/>
      <w:bookmarkStart w:id="81" w:name="_Toc234227873"/>
      <w:r>
        <w:t xml:space="preserve">A joint effort was made between SCE and PG&amp;E to update base case and measure costs for DEER 2016 affected measures.  </w:t>
      </w:r>
    </w:p>
    <w:p w:rsidR="003E5E61" w:rsidRPr="000D6527" w:rsidRDefault="003E5E61" w:rsidP="003E5E61">
      <w:pPr>
        <w:pStyle w:val="Heading2"/>
        <w:keepNext w:val="0"/>
      </w:pPr>
      <w:bookmarkStart w:id="82" w:name="_Toc436750477"/>
      <w:r w:rsidRPr="000D6527">
        <w:t>4.1 Base Cases Costs</w:t>
      </w:r>
      <w:bookmarkEnd w:id="80"/>
      <w:bookmarkEnd w:id="81"/>
      <w:bookmarkEnd w:id="82"/>
    </w:p>
    <w:p w:rsidR="00F06E5D" w:rsidRPr="00061823" w:rsidRDefault="00F06E5D" w:rsidP="00F06E5D">
      <w:pPr>
        <w:rPr>
          <w:b/>
        </w:rPr>
      </w:pPr>
      <w:r w:rsidRPr="00061823">
        <w:rPr>
          <w:b/>
        </w:rPr>
        <w:t>CFL Lamps</w:t>
      </w:r>
    </w:p>
    <w:p w:rsidR="0049631D" w:rsidRDefault="0049631D" w:rsidP="003E5E61">
      <w:r>
        <w:t>B</w:t>
      </w:r>
      <w:r w:rsidR="003E5E61" w:rsidRPr="000D6527">
        <w:t>ase ca</w:t>
      </w:r>
      <w:r w:rsidR="007751C7">
        <w:t>se costs were taken from the 2016</w:t>
      </w:r>
      <w:r w:rsidR="003E5E61" w:rsidRPr="000D6527">
        <w:t xml:space="preserve"> DEER cost tables</w:t>
      </w:r>
      <w:r w:rsidR="001E2568">
        <w:t xml:space="preserve"> </w:t>
      </w:r>
      <w:r w:rsidR="00A833F3">
        <w:t xml:space="preserve">from the READI Tool </w:t>
      </w:r>
      <w:r w:rsidR="001E2568">
        <w:t>for any delivery type</w:t>
      </w:r>
      <w:r w:rsidR="00A833F3">
        <w:t xml:space="preserve">.  Nonresidential CFL costs were not included in 2016 DEER, so the residential CFL costs were assumed to be representative of nonresidential costs. </w:t>
      </w:r>
      <w:r w:rsidR="003E5E61" w:rsidRPr="000D6527">
        <w:t>Costs vary by lamp</w:t>
      </w:r>
      <w:r w:rsidR="003E5E61">
        <w:fldChar w:fldCharType="begin"/>
      </w:r>
      <w:r w:rsidR="003E5E61">
        <w:instrText xml:space="preserve"> XE "</w:instrText>
      </w:r>
      <w:r w:rsidR="003E5E61" w:rsidRPr="00866161">
        <w:rPr>
          <w:sz w:val="20"/>
          <w:szCs w:val="20"/>
        </w:rPr>
        <w:instrText>lamp</w:instrText>
      </w:r>
      <w:r w:rsidR="003E5E61">
        <w:instrText xml:space="preserve">" </w:instrText>
      </w:r>
      <w:r w:rsidR="003E5E61">
        <w:fldChar w:fldCharType="end"/>
      </w:r>
      <w:r w:rsidR="001E2568">
        <w:t xml:space="preserve"> pack size and are a mix of 60% incandescent and 40% CFL as outlined in the 2015 Uncertain Measures Update.  </w:t>
      </w:r>
    </w:p>
    <w:p w:rsidR="0049631D" w:rsidRDefault="0049631D" w:rsidP="003E5E61"/>
    <w:p w:rsidR="00F06E5D" w:rsidRDefault="00F06E5D" w:rsidP="00F06E5D">
      <w:pPr>
        <w:rPr>
          <w:b/>
        </w:rPr>
      </w:pPr>
      <w:r w:rsidRPr="00061823">
        <w:rPr>
          <w:b/>
        </w:rPr>
        <w:t>CFL Fixtures</w:t>
      </w:r>
    </w:p>
    <w:p w:rsidR="00F06E5D" w:rsidRPr="00353128" w:rsidRDefault="00F83448" w:rsidP="00F06E5D">
      <w:r w:rsidRPr="000D6B61">
        <w:t>The technique of web scraping (aka web harvesting, web crawling, web data extraction) was used to gather pricing information from the Home Depot website for base case costs.  The methodology used for measure costs applies to base case costs.  See Section 4.2 for the methodology.</w:t>
      </w:r>
      <w:r>
        <w:t xml:space="preserve">  The base case costs are reduced by 30% as suggested by the Navigant LED Study</w:t>
      </w:r>
      <w:r w:rsidRPr="00334147">
        <w:rPr>
          <w:vertAlign w:val="superscript"/>
        </w:rPr>
        <w:fldChar w:fldCharType="begin"/>
      </w:r>
      <w:r w:rsidRPr="00334147">
        <w:rPr>
          <w:vertAlign w:val="superscript"/>
        </w:rPr>
        <w:instrText xml:space="preserve"> NOTEREF _Ref435694665 \h </w:instrText>
      </w:r>
      <w:r>
        <w:rPr>
          <w:vertAlign w:val="superscript"/>
        </w:rPr>
        <w:instrText xml:space="preserve"> \* MERGEFORMAT </w:instrText>
      </w:r>
      <w:r w:rsidRPr="00334147">
        <w:rPr>
          <w:vertAlign w:val="superscript"/>
        </w:rPr>
      </w:r>
      <w:r w:rsidRPr="00334147">
        <w:rPr>
          <w:vertAlign w:val="superscript"/>
        </w:rPr>
        <w:fldChar w:fldCharType="separate"/>
      </w:r>
      <w:r>
        <w:rPr>
          <w:vertAlign w:val="superscript"/>
        </w:rPr>
        <w:t>5</w:t>
      </w:r>
      <w:r w:rsidRPr="00334147">
        <w:rPr>
          <w:vertAlign w:val="superscript"/>
        </w:rPr>
        <w:fldChar w:fldCharType="end"/>
      </w:r>
      <w:r>
        <w:t>.  The 30% reduction factor is “to account for the difference between online and typical purchase price” (page 1-3).</w:t>
      </w:r>
    </w:p>
    <w:p w:rsidR="003E5E61" w:rsidRPr="000D6527" w:rsidRDefault="003E5E61" w:rsidP="003E5E61">
      <w:pPr>
        <w:pStyle w:val="Heading2"/>
        <w:keepNext w:val="0"/>
      </w:pPr>
      <w:bookmarkStart w:id="83" w:name="_Toc234227874"/>
      <w:bookmarkStart w:id="84" w:name="_Toc436750478"/>
      <w:r w:rsidRPr="000D6527">
        <w:t>4.2 Measure Costs</w:t>
      </w:r>
      <w:bookmarkEnd w:id="83"/>
      <w:bookmarkEnd w:id="84"/>
    </w:p>
    <w:p w:rsidR="00F06E5D" w:rsidRPr="00353128" w:rsidRDefault="00F06E5D" w:rsidP="00F06E5D">
      <w:pPr>
        <w:rPr>
          <w:b/>
        </w:rPr>
      </w:pPr>
      <w:r w:rsidRPr="00353128">
        <w:rPr>
          <w:b/>
        </w:rPr>
        <w:t>CFL Lamps</w:t>
      </w:r>
    </w:p>
    <w:p w:rsidR="0049631D" w:rsidRDefault="003E5E61" w:rsidP="003E5E61">
      <w:r w:rsidRPr="000D6527">
        <w:t>CFL</w:t>
      </w:r>
      <w:r>
        <w:fldChar w:fldCharType="begin"/>
      </w:r>
      <w:r>
        <w:instrText xml:space="preserve"> XE "</w:instrText>
      </w:r>
      <w:r w:rsidRPr="00866161">
        <w:rPr>
          <w:sz w:val="20"/>
          <w:szCs w:val="20"/>
        </w:rPr>
        <w:instrText>CFL</w:instrText>
      </w:r>
      <w:r>
        <w:instrText xml:space="preserve">" </w:instrText>
      </w:r>
      <w:r>
        <w:fldChar w:fldCharType="end"/>
      </w:r>
      <w:r w:rsidRPr="000D6527">
        <w:t xml:space="preserve"> measure costs were</w:t>
      </w:r>
      <w:r w:rsidR="00A833F3">
        <w:t xml:space="preserve"> also</w:t>
      </w:r>
      <w:r w:rsidRPr="000D6527">
        <w:t xml:space="preserve"> taken from the 20</w:t>
      </w:r>
      <w:r w:rsidR="001E2568">
        <w:t>16</w:t>
      </w:r>
      <w:r w:rsidRPr="000D6527">
        <w:t xml:space="preserve"> DEER cost tables</w:t>
      </w:r>
      <w:r w:rsidR="003A2420">
        <w:t xml:space="preserve"> from the READI Tool</w:t>
      </w:r>
      <w:r w:rsidR="001E2568">
        <w:t>.</w:t>
      </w:r>
      <w:r>
        <w:t xml:space="preserve"> </w:t>
      </w:r>
      <w:bookmarkStart w:id="85" w:name="OLE_LINK4"/>
      <w:bookmarkStart w:id="86" w:name="OLE_LINK5"/>
      <w:r w:rsidR="001E2568">
        <w:t xml:space="preserve"> </w:t>
      </w:r>
      <w:r w:rsidR="00A833F3">
        <w:t xml:space="preserve">Nonresidential CFL costs were not included in 2016 DEER, so the residential CFL costs were assumed to be representative of nonresidential costs.  </w:t>
      </w:r>
      <w:r w:rsidR="0049631D" w:rsidRPr="00D13F62">
        <w:t>In some cases the 2016 DEER cost values was interpolated or extrapolated for lamp wattages not addressed in 2016 DEER.</w:t>
      </w:r>
      <w:r w:rsidR="0049631D">
        <w:t xml:space="preserve">  </w:t>
      </w:r>
      <w:r w:rsidRPr="000D6527">
        <w:t>Costs vary by lamp</w:t>
      </w:r>
      <w:r>
        <w:fldChar w:fldCharType="begin"/>
      </w:r>
      <w:r>
        <w:instrText xml:space="preserve"> XE "</w:instrText>
      </w:r>
      <w:r w:rsidRPr="00866161">
        <w:rPr>
          <w:sz w:val="20"/>
          <w:szCs w:val="20"/>
        </w:rPr>
        <w:instrText>lamp</w:instrText>
      </w:r>
      <w:r>
        <w:instrText xml:space="preserve">" </w:instrText>
      </w:r>
      <w:r>
        <w:fldChar w:fldCharType="end"/>
      </w:r>
      <w:r w:rsidRPr="000D6527">
        <w:t xml:space="preserve"> pack size.  CFL single packs have a higher per lamp cost than multi-packs.</w:t>
      </w:r>
      <w:r>
        <w:t xml:space="preserve">  </w:t>
      </w:r>
    </w:p>
    <w:p w:rsidR="0049631D" w:rsidRDefault="0049631D" w:rsidP="003E5E61"/>
    <w:p w:rsidR="00F06E5D" w:rsidRDefault="00F06E5D" w:rsidP="00F06E5D">
      <w:pPr>
        <w:rPr>
          <w:b/>
        </w:rPr>
      </w:pPr>
      <w:bookmarkStart w:id="87" w:name="_Toc234227875"/>
      <w:bookmarkEnd w:id="85"/>
      <w:bookmarkEnd w:id="86"/>
      <w:r w:rsidRPr="00061823">
        <w:rPr>
          <w:b/>
        </w:rPr>
        <w:t>CFL Fixtures</w:t>
      </w:r>
    </w:p>
    <w:p w:rsidR="00F83448" w:rsidRDefault="00F83448" w:rsidP="00F83448">
      <w:r>
        <w:t>The same technique of web scraping was used to gather pricing information from the Home Depot website for measure case costs.  First, a</w:t>
      </w:r>
      <w:r w:rsidRPr="00353128">
        <w:t xml:space="preserve"> small sample of products </w:t>
      </w:r>
      <w:r>
        <w:t>was</w:t>
      </w:r>
      <w:r w:rsidRPr="00353128">
        <w:t xml:space="preserve"> examined between different</w:t>
      </w:r>
      <w:r>
        <w:t xml:space="preserve"> online</w:t>
      </w:r>
      <w:r w:rsidRPr="00353128">
        <w:t xml:space="preserve"> retailers to determine the need to include items from </w:t>
      </w:r>
      <w:r>
        <w:t>various</w:t>
      </w:r>
      <w:r w:rsidRPr="00353128">
        <w:t xml:space="preserve"> retailers and the discrepancy between pricing. </w:t>
      </w:r>
      <w:r>
        <w:t xml:space="preserve"> Please refer to the Competitive Pricing tab in the cost spreadsheet.  Due to the competitive pricing of the same fixture from different retailers, only Home Depot data was examined in detail.  </w:t>
      </w:r>
    </w:p>
    <w:p w:rsidR="00F83448" w:rsidRDefault="00F83448" w:rsidP="00F83448"/>
    <w:p w:rsidR="00F83448" w:rsidRDefault="00F83448" w:rsidP="00F83448">
      <w:r>
        <w:t xml:space="preserve">A manual process of examining reasonable cost was conducted by viewing the scatterplot of all costs and its associated rated wattages and categorizing the items into a high, medium, or low cost bin.  Note that in some cases where enough data was scraped, only Energy Star lamps and fixtures were considered in the measure case and CA Title 20 compliant lamps and fixtures were considered in the base case.  </w:t>
      </w:r>
    </w:p>
    <w:p w:rsidR="00F83448" w:rsidRDefault="00F83448" w:rsidP="00F83448"/>
    <w:p w:rsidR="00F83448" w:rsidRDefault="00F83448" w:rsidP="00F83448">
      <w:r>
        <w:t xml:space="preserve">Item descriptions were also viewed to understand the reasoning of such high costs.  It was almost always found that items with high costs were associated with architectural features and/or </w:t>
      </w:r>
      <w:r>
        <w:lastRenderedPageBreak/>
        <w:t>specialty finishes.  As a result, items that fell into the high cost category was not used in the calculations of cost for the work papers because it does not appropriately reflect the approach most consumers would take to implement energy efficiency projects.  Refer to the cost spreadsheet for detailed information.  Furthermore, the latest EM&amp;V Study from Navigant for LED costs uses the 25</w:t>
      </w:r>
      <w:r w:rsidRPr="000D6B61">
        <w:rPr>
          <w:vertAlign w:val="superscript"/>
        </w:rPr>
        <w:t>th</w:t>
      </w:r>
      <w:r>
        <w:t xml:space="preserve"> percentile for the median price.</w:t>
      </w:r>
      <w:bookmarkStart w:id="88" w:name="_Ref435694665"/>
      <w:r>
        <w:rPr>
          <w:rStyle w:val="EndnoteReference"/>
        </w:rPr>
        <w:endnoteReference w:id="5"/>
      </w:r>
      <w:bookmarkEnd w:id="88"/>
    </w:p>
    <w:p w:rsidR="00F83448" w:rsidRDefault="00F83448" w:rsidP="00F83448"/>
    <w:p w:rsidR="00F83448" w:rsidRDefault="00F83448" w:rsidP="00F83448">
      <w:r>
        <w:t xml:space="preserve">Using the low and medium cost data from Home Depot, the best-fit line or linear regression was used to determine the association between fixture wattages and cost.  Please see the cost spreadsheet for the specific linear regression equation generated for the low cost and medium cost.  Raw data points are also included in the spreadsheet.  </w:t>
      </w:r>
    </w:p>
    <w:p w:rsidR="00F83448" w:rsidRDefault="00F83448" w:rsidP="00F83448"/>
    <w:p w:rsidR="00F83448" w:rsidRDefault="00F83448" w:rsidP="00F83448">
      <w:r w:rsidRPr="001A3FAA">
        <w:t>For work paper purposes, the cost</w:t>
      </w:r>
      <w:r>
        <w:t>s</w:t>
      </w:r>
      <w:r w:rsidRPr="001A3FAA">
        <w:t xml:space="preserve"> </w:t>
      </w:r>
      <w:r>
        <w:t xml:space="preserve">are </w:t>
      </w:r>
      <w:r w:rsidRPr="001A3FAA">
        <w:t xml:space="preserve">an equal representation of the medium and low cost categories.  Therefore, the best representative association is the average of the </w:t>
      </w:r>
      <w:proofErr w:type="spellStart"/>
      <w:r w:rsidRPr="001A3FAA">
        <w:t>trendline</w:t>
      </w:r>
      <w:proofErr w:type="spellEnd"/>
      <w:r w:rsidRPr="001A3FAA">
        <w:t xml:space="preserve"> for medium cost and the </w:t>
      </w:r>
      <w:proofErr w:type="spellStart"/>
      <w:r w:rsidRPr="001A3FAA">
        <w:t>trendline</w:t>
      </w:r>
      <w:proofErr w:type="spellEnd"/>
      <w:r w:rsidRPr="001A3FAA">
        <w:t xml:space="preserve"> of the low cost.</w:t>
      </w:r>
      <w:r w:rsidRPr="00AF4528">
        <w:t xml:space="preserve"> </w:t>
      </w:r>
      <w:r>
        <w:t xml:space="preserve"> </w:t>
      </w:r>
      <w:r w:rsidRPr="001A3FAA">
        <w:t xml:space="preserve">This process is not the same as </w:t>
      </w:r>
      <w:r>
        <w:t xml:space="preserve">a </w:t>
      </w:r>
      <w:r w:rsidRPr="001A3FAA">
        <w:t>linear regression determined from the low and medium cost items combined.  Due to the quantity in the data sampling, the items associated with the low or medium cost would influence the linear regression.  For this reason, the best representative cost comes from the average of the linear regression from the medium cost and the linear regression from the cost.  This is how cost is propagated for all the technology categories.</w:t>
      </w:r>
    </w:p>
    <w:p w:rsidR="00F83448" w:rsidRPr="001A3FAA" w:rsidRDefault="00F83448" w:rsidP="00F83448">
      <w:pPr>
        <w:pStyle w:val="NoSpacing"/>
        <w:rPr>
          <w:rFonts w:ascii="Times New Roman" w:hAnsi="Times New Roman" w:cs="Times New Roman"/>
        </w:rPr>
      </w:pPr>
    </w:p>
    <w:p w:rsidR="00F83448" w:rsidRPr="001A3FAA" w:rsidRDefault="00F83448" w:rsidP="00F83448">
      <w:r>
        <w:t>As with base case costs, the measure costs are also reduced by 30%</w:t>
      </w:r>
      <w:r w:rsidRPr="00334147">
        <w:rPr>
          <w:vertAlign w:val="superscript"/>
        </w:rPr>
        <w:fldChar w:fldCharType="begin"/>
      </w:r>
      <w:r w:rsidRPr="00334147">
        <w:rPr>
          <w:vertAlign w:val="superscript"/>
        </w:rPr>
        <w:instrText xml:space="preserve"> NOTEREF _Ref435694665 \h </w:instrText>
      </w:r>
      <w:r>
        <w:rPr>
          <w:vertAlign w:val="superscript"/>
        </w:rPr>
        <w:instrText xml:space="preserve"> \* MERGEFORMAT </w:instrText>
      </w:r>
      <w:r w:rsidRPr="00334147">
        <w:rPr>
          <w:vertAlign w:val="superscript"/>
        </w:rPr>
      </w:r>
      <w:r w:rsidRPr="00334147">
        <w:rPr>
          <w:vertAlign w:val="superscript"/>
        </w:rPr>
        <w:fldChar w:fldCharType="separate"/>
      </w:r>
      <w:r>
        <w:rPr>
          <w:vertAlign w:val="superscript"/>
        </w:rPr>
        <w:t>5</w:t>
      </w:r>
      <w:r w:rsidRPr="00334147">
        <w:rPr>
          <w:vertAlign w:val="superscript"/>
        </w:rPr>
        <w:fldChar w:fldCharType="end"/>
      </w:r>
      <w:r>
        <w:t xml:space="preserve"> to account for the bulk wholesale pricing discrepancy.</w:t>
      </w:r>
    </w:p>
    <w:p w:rsidR="003E5E61" w:rsidRPr="000D6527" w:rsidRDefault="003E5E61" w:rsidP="003E5E61">
      <w:pPr>
        <w:pStyle w:val="Heading2"/>
        <w:keepNext w:val="0"/>
      </w:pPr>
      <w:bookmarkStart w:id="89" w:name="_Toc436750479"/>
      <w:r w:rsidRPr="000D6527">
        <w:t>4.3 Incremental &amp; Full Measure Costs</w:t>
      </w:r>
      <w:bookmarkEnd w:id="87"/>
      <w:bookmarkEnd w:id="89"/>
    </w:p>
    <w:p w:rsidR="00F06E5D" w:rsidRPr="00061823" w:rsidRDefault="00F06E5D" w:rsidP="00F06E5D">
      <w:pPr>
        <w:rPr>
          <w:b/>
        </w:rPr>
      </w:pPr>
      <w:r w:rsidRPr="00061823">
        <w:rPr>
          <w:b/>
        </w:rPr>
        <w:t>CFL Lamps</w:t>
      </w:r>
    </w:p>
    <w:p w:rsidR="00574A99" w:rsidRDefault="00574A99" w:rsidP="00574A99">
      <w:r>
        <w:t xml:space="preserve">The incremental measure equipment costs for the CFL lamp measures were taken from the 2016 DEER cost tables.  These costs represent any program delivery method.  Nonresidential CFL costs were not included in 2016 DEER, so the residential CFL costs were assumed to be representative of nonresidential </w:t>
      </w:r>
      <w:r w:rsidR="00A833F3">
        <w:t>costs</w:t>
      </w:r>
      <w:r>
        <w:t>.  The incremental equipment cost is the difference in material cost between the CFL measure case and base case.  This Upstream CFL program promotes a replace-on-burnout (ROB) strategy as opposed to an early retirement (ER) strategy.  The ROB cost scenario utilizes incremental material cost only, while RET costs include full CFL measure costs (including installation).  The ROB incremental material costs vary by lamp pack size.  CFL single packs have a higher per lamp cost than multi-packs.  The weighted pack from DEER was used when calculating multi-packs.</w:t>
      </w:r>
    </w:p>
    <w:p w:rsidR="00574A99" w:rsidRDefault="00574A99" w:rsidP="00574A99"/>
    <w:p w:rsidR="00574A99" w:rsidRDefault="00574A99" w:rsidP="00574A99">
      <w:r>
        <w:t xml:space="preserve">Cost data was provided for the following types of Upstream CFLs in 2016 DEER for various wattages but not all wattages addressed by PG&amp;E’s Upstream CFL program: interior integral, exterior screw-in, interior reflector, and exterior reflector. Cost values for interior reflector were applied to specialty “reflector” lamp measure costs, and interior A-lamp costs were applied to “covered” lamp measures since the costs will be approximately the same for these lamp categories.  The same wattages were covered for the single pack and multi-pack cost cases.  </w:t>
      </w:r>
    </w:p>
    <w:p w:rsidR="00574A99" w:rsidRDefault="00574A99" w:rsidP="00574A99"/>
    <w:p w:rsidR="00BF573C" w:rsidRPr="000D6527" w:rsidRDefault="00574A99" w:rsidP="00574A99">
      <w:r>
        <w:t xml:space="preserve">For bare spiral measures, 55 and 60 Watt costs were not provided.  These costs were estimated by extrapolating the cost data.  A linear regression was performed on the DEER fixture cost values to estimate cost as a function of wattage for lamps not addressed in DEER.  The R2 is </w:t>
      </w:r>
      <w:r>
        <w:lastRenderedPageBreak/>
        <w:t>very close to “1.0”, indicating a reasonable trend line fit for this data and a good approximation of the cost.  The incremental cost graphs are shown below for weighted pack and single pack:</w:t>
      </w:r>
    </w:p>
    <w:p w:rsidR="00A97C01" w:rsidRPr="000D6527" w:rsidRDefault="00A97C01" w:rsidP="00C63493"/>
    <w:p w:rsidR="0049631D" w:rsidRDefault="00574A99" w:rsidP="0049631D">
      <w:pPr>
        <w:pStyle w:val="Caption"/>
        <w:keepNext/>
        <w:jc w:val="center"/>
      </w:pPr>
      <w:r>
        <w:rPr>
          <w:noProof/>
        </w:rPr>
        <w:drawing>
          <wp:inline distT="0" distB="0" distL="0" distR="0" wp14:anchorId="755DB15A" wp14:editId="2669BB4A">
            <wp:extent cx="5438775" cy="3757612"/>
            <wp:effectExtent l="0" t="0" r="9525" b="1460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574A99" w:rsidRPr="0049631D" w:rsidRDefault="0049631D" w:rsidP="0049631D">
      <w:pPr>
        <w:pStyle w:val="Caption"/>
        <w:jc w:val="center"/>
        <w:rPr>
          <w:b w:val="0"/>
          <w:sz w:val="24"/>
          <w:szCs w:val="24"/>
        </w:rPr>
      </w:pPr>
      <w:bookmarkStart w:id="90" w:name="_Toc436744233"/>
      <w:r w:rsidRPr="0049631D">
        <w:rPr>
          <w:b w:val="0"/>
        </w:rPr>
        <w:t xml:space="preserve">Figure </w:t>
      </w:r>
      <w:r w:rsidRPr="0049631D">
        <w:rPr>
          <w:b w:val="0"/>
        </w:rPr>
        <w:fldChar w:fldCharType="begin"/>
      </w:r>
      <w:r w:rsidRPr="0049631D">
        <w:rPr>
          <w:b w:val="0"/>
        </w:rPr>
        <w:instrText xml:space="preserve"> SEQ Figure \* ARABIC </w:instrText>
      </w:r>
      <w:r w:rsidRPr="0049631D">
        <w:rPr>
          <w:b w:val="0"/>
        </w:rPr>
        <w:fldChar w:fldCharType="separate"/>
      </w:r>
      <w:r w:rsidR="00AB59D8">
        <w:rPr>
          <w:b w:val="0"/>
          <w:noProof/>
        </w:rPr>
        <w:t>1</w:t>
      </w:r>
      <w:r w:rsidRPr="0049631D">
        <w:rPr>
          <w:b w:val="0"/>
        </w:rPr>
        <w:fldChar w:fldCharType="end"/>
      </w:r>
      <w:r w:rsidRPr="0049631D">
        <w:rPr>
          <w:b w:val="0"/>
        </w:rPr>
        <w:t xml:space="preserve"> Linear Regression of CFL Incremental cost per lamp in a weighted pack from DEER 2016</w:t>
      </w:r>
      <w:bookmarkEnd w:id="90"/>
    </w:p>
    <w:p w:rsidR="00574A99" w:rsidRPr="0049631D" w:rsidRDefault="00574A99" w:rsidP="00F666DD">
      <w:pPr>
        <w:pStyle w:val="Caption"/>
        <w:rPr>
          <w:b w:val="0"/>
          <w:sz w:val="24"/>
          <w:szCs w:val="24"/>
        </w:rPr>
      </w:pPr>
    </w:p>
    <w:p w:rsidR="0049631D" w:rsidRDefault="00574A99" w:rsidP="0049631D">
      <w:pPr>
        <w:pStyle w:val="Caption"/>
        <w:keepNext/>
        <w:jc w:val="center"/>
      </w:pPr>
      <w:r>
        <w:rPr>
          <w:noProof/>
        </w:rPr>
        <w:lastRenderedPageBreak/>
        <w:drawing>
          <wp:inline distT="0" distB="0" distL="0" distR="0" wp14:anchorId="3E9BB947" wp14:editId="771F9FF9">
            <wp:extent cx="5440680" cy="3758184"/>
            <wp:effectExtent l="0" t="0" r="26670" b="1397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C63493" w:rsidRPr="0049631D" w:rsidRDefault="0049631D" w:rsidP="0049631D">
      <w:pPr>
        <w:pStyle w:val="Caption"/>
        <w:jc w:val="center"/>
        <w:rPr>
          <w:b w:val="0"/>
          <w:sz w:val="24"/>
          <w:szCs w:val="24"/>
        </w:rPr>
      </w:pPr>
      <w:bookmarkStart w:id="91" w:name="_Toc436744234"/>
      <w:r w:rsidRPr="0049631D">
        <w:rPr>
          <w:b w:val="0"/>
        </w:rPr>
        <w:t xml:space="preserve">Figure </w:t>
      </w:r>
      <w:r w:rsidRPr="0049631D">
        <w:rPr>
          <w:b w:val="0"/>
        </w:rPr>
        <w:fldChar w:fldCharType="begin"/>
      </w:r>
      <w:r w:rsidRPr="0049631D">
        <w:rPr>
          <w:b w:val="0"/>
        </w:rPr>
        <w:instrText xml:space="preserve"> SEQ Figure \* ARABIC </w:instrText>
      </w:r>
      <w:r w:rsidRPr="0049631D">
        <w:rPr>
          <w:b w:val="0"/>
        </w:rPr>
        <w:fldChar w:fldCharType="separate"/>
      </w:r>
      <w:r w:rsidR="00AB59D8">
        <w:rPr>
          <w:b w:val="0"/>
          <w:noProof/>
        </w:rPr>
        <w:t>2</w:t>
      </w:r>
      <w:r w:rsidRPr="0049631D">
        <w:rPr>
          <w:b w:val="0"/>
        </w:rPr>
        <w:fldChar w:fldCharType="end"/>
      </w:r>
      <w:proofErr w:type="gramStart"/>
      <w:r w:rsidRPr="0049631D">
        <w:rPr>
          <w:b w:val="0"/>
        </w:rPr>
        <w:t xml:space="preserve"> Linear Regression of CFL incremental cost</w:t>
      </w:r>
      <w:proofErr w:type="gramEnd"/>
      <w:r w:rsidRPr="0049631D">
        <w:rPr>
          <w:b w:val="0"/>
        </w:rPr>
        <w:t xml:space="preserve"> per lamp in a single pack from DEER 2016</w:t>
      </w:r>
      <w:bookmarkEnd w:id="91"/>
    </w:p>
    <w:p w:rsidR="00574A99" w:rsidRDefault="00574A99" w:rsidP="009F3265">
      <w:pPr>
        <w:pStyle w:val="Heading1"/>
        <w:rPr>
          <w:sz w:val="24"/>
          <w:szCs w:val="24"/>
        </w:rPr>
      </w:pPr>
    </w:p>
    <w:p w:rsidR="00574A99" w:rsidRPr="00F83448" w:rsidRDefault="00F83448" w:rsidP="0049631D">
      <w:pPr>
        <w:rPr>
          <w:b/>
        </w:rPr>
      </w:pPr>
      <w:r w:rsidRPr="00F83448">
        <w:rPr>
          <w:b/>
        </w:rPr>
        <w:t>CFL Fixtures</w:t>
      </w:r>
    </w:p>
    <w:p w:rsidR="00F83448" w:rsidRPr="001A3FAA" w:rsidRDefault="00F83448" w:rsidP="00F83448">
      <w:pPr>
        <w:rPr>
          <w:b/>
        </w:rPr>
      </w:pPr>
      <w:r>
        <w:t>The incremental cost for CFL fixtures is the difference between the base case costs and the measure costs.  Please refer to the cost calculation spreadsheet for detailed incremental or full cost information.</w:t>
      </w:r>
    </w:p>
    <w:p w:rsidR="00574A99" w:rsidRPr="00F83448" w:rsidRDefault="00574A99" w:rsidP="00574A99">
      <w:pPr>
        <w:rPr>
          <w:b/>
          <w:highlight w:val="yellow"/>
        </w:rPr>
      </w:pPr>
    </w:p>
    <w:p w:rsidR="0049631D" w:rsidRDefault="0049631D" w:rsidP="0049631D">
      <w:pPr>
        <w:keepNext/>
        <w:jc w:val="center"/>
      </w:pPr>
    </w:p>
    <w:p w:rsidR="00C63493" w:rsidRPr="0049631D" w:rsidRDefault="00C63493" w:rsidP="009F3265">
      <w:pPr>
        <w:pStyle w:val="Heading1"/>
        <w:rPr>
          <w:rFonts w:ascii="Times New Roman" w:hAnsi="Times New Roman" w:cs="Times New Roman"/>
        </w:rPr>
      </w:pPr>
      <w:r w:rsidRPr="008E5385">
        <w:rPr>
          <w:sz w:val="24"/>
          <w:szCs w:val="24"/>
        </w:rPr>
        <w:br w:type="page"/>
      </w:r>
      <w:bookmarkStart w:id="92" w:name="_Toc174189549"/>
      <w:bookmarkStart w:id="93" w:name="_Toc436750480"/>
      <w:r w:rsidRPr="0049631D">
        <w:rPr>
          <w:rFonts w:ascii="Times New Roman" w:hAnsi="Times New Roman" w:cs="Times New Roman"/>
        </w:rPr>
        <w:lastRenderedPageBreak/>
        <w:t>References</w:t>
      </w:r>
      <w:bookmarkEnd w:id="92"/>
      <w:bookmarkEnd w:id="93"/>
    </w:p>
    <w:sectPr w:rsidR="00C63493" w:rsidRPr="0049631D" w:rsidSect="00231571">
      <w:endnotePr>
        <w:numFmt w:val="decimal"/>
      </w:endnotePr>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F2F" w:rsidRDefault="00C54F2F">
      <w:r>
        <w:separator/>
      </w:r>
    </w:p>
  </w:endnote>
  <w:endnote w:type="continuationSeparator" w:id="0">
    <w:p w:rsidR="00C54F2F" w:rsidRDefault="00C54F2F">
      <w:r>
        <w:continuationSeparator/>
      </w:r>
    </w:p>
  </w:endnote>
  <w:endnote w:id="1">
    <w:p w:rsidR="0049631D" w:rsidRPr="0049631D" w:rsidRDefault="0049631D" w:rsidP="00A14384">
      <w:pPr>
        <w:pStyle w:val="EndnoteText"/>
        <w:ind w:left="180" w:hanging="180"/>
        <w:rPr>
          <w:i/>
          <w:sz w:val="24"/>
          <w:szCs w:val="24"/>
        </w:rPr>
      </w:pPr>
      <w:r w:rsidRPr="0049631D">
        <w:rPr>
          <w:rStyle w:val="EndnoteReference"/>
          <w:sz w:val="24"/>
          <w:szCs w:val="24"/>
        </w:rPr>
        <w:endnoteRef/>
      </w:r>
      <w:r w:rsidRPr="0049631D">
        <w:rPr>
          <w:sz w:val="24"/>
          <w:szCs w:val="24"/>
        </w:rPr>
        <w:t xml:space="preserve"> The DEER Measure Cost Data Users Guide found on </w:t>
      </w:r>
      <w:hyperlink r:id="rId1" w:history="1">
        <w:r w:rsidRPr="0049631D">
          <w:rPr>
            <w:rStyle w:val="Hyperlink"/>
            <w:sz w:val="24"/>
            <w:szCs w:val="24"/>
          </w:rPr>
          <w:t>www.deeresources.com</w:t>
        </w:r>
      </w:hyperlink>
      <w:r w:rsidRPr="0049631D">
        <w:rPr>
          <w:sz w:val="24"/>
          <w:szCs w:val="24"/>
        </w:rPr>
        <w:t xml:space="preserve"> under </w:t>
      </w:r>
      <w:r w:rsidRPr="0049631D">
        <w:rPr>
          <w:i/>
          <w:sz w:val="24"/>
          <w:szCs w:val="24"/>
        </w:rPr>
        <w:t>DEER2011 Database Format</w:t>
      </w:r>
      <w:r w:rsidRPr="0049631D">
        <w:rPr>
          <w:sz w:val="24"/>
          <w:szCs w:val="24"/>
        </w:rPr>
        <w:t xml:space="preserve"> hyperlink, </w:t>
      </w:r>
      <w:r w:rsidRPr="0049631D">
        <w:rPr>
          <w:rStyle w:val="breadcrumbs"/>
          <w:color w:val="333333"/>
          <w:sz w:val="24"/>
          <w:szCs w:val="24"/>
          <w:lang w:val="en-GB"/>
        </w:rPr>
        <w:t>DEER2011 for 13-14</w:t>
      </w:r>
      <w:r w:rsidRPr="0049631D">
        <w:rPr>
          <w:color w:val="333333"/>
          <w:sz w:val="24"/>
          <w:szCs w:val="24"/>
          <w:lang w:val="en-GB"/>
        </w:rPr>
        <w:t>,</w:t>
      </w:r>
      <w:r w:rsidRPr="0049631D">
        <w:rPr>
          <w:sz w:val="24"/>
          <w:szCs w:val="24"/>
        </w:rPr>
        <w:t xml:space="preserve"> spreadsheet </w:t>
      </w:r>
      <w:r w:rsidRPr="0049631D">
        <w:rPr>
          <w:i/>
          <w:sz w:val="24"/>
          <w:szCs w:val="24"/>
        </w:rPr>
        <w:t>SPTdata_format-V0.97.xls.</w:t>
      </w:r>
    </w:p>
    <w:p w:rsidR="0049631D" w:rsidRPr="0049631D" w:rsidRDefault="0049631D" w:rsidP="00A14384">
      <w:pPr>
        <w:pStyle w:val="EndnoteText"/>
        <w:ind w:left="180" w:hanging="180"/>
        <w:rPr>
          <w:sz w:val="24"/>
          <w:szCs w:val="24"/>
        </w:rPr>
      </w:pPr>
    </w:p>
  </w:endnote>
  <w:endnote w:id="2">
    <w:p w:rsidR="0049631D" w:rsidRPr="0049631D" w:rsidRDefault="0049631D" w:rsidP="002F37CC">
      <w:pPr>
        <w:pStyle w:val="EndnoteText"/>
        <w:rPr>
          <w:rStyle w:val="Hyperlink"/>
          <w:sz w:val="24"/>
          <w:szCs w:val="24"/>
        </w:rPr>
      </w:pPr>
      <w:r w:rsidRPr="0049631D">
        <w:rPr>
          <w:rStyle w:val="EndnoteReference"/>
          <w:sz w:val="24"/>
          <w:szCs w:val="24"/>
        </w:rPr>
        <w:endnoteRef/>
      </w:r>
      <w:r w:rsidRPr="0049631D">
        <w:rPr>
          <w:sz w:val="24"/>
          <w:szCs w:val="24"/>
        </w:rPr>
        <w:t xml:space="preserve"> 2015 Uncertain Measures Update – Database for Energy-Efficient Resources – DEER2015 Updates for Measures Removed from the ESPI Uncertain Measure List found on </w:t>
      </w:r>
      <w:hyperlink r:id="rId2" w:history="1">
        <w:r w:rsidRPr="0049631D">
          <w:rPr>
            <w:rStyle w:val="Hyperlink"/>
            <w:sz w:val="24"/>
            <w:szCs w:val="24"/>
          </w:rPr>
          <w:t>http://www.deeresources.com/index.php/deer-versions/2015-uncertain-measures-update</w:t>
        </w:r>
      </w:hyperlink>
    </w:p>
    <w:p w:rsidR="0049631D" w:rsidRPr="0049631D" w:rsidRDefault="0049631D" w:rsidP="002F37CC">
      <w:pPr>
        <w:pStyle w:val="EndnoteText"/>
        <w:rPr>
          <w:sz w:val="24"/>
          <w:szCs w:val="24"/>
        </w:rPr>
      </w:pPr>
    </w:p>
  </w:endnote>
  <w:endnote w:id="3">
    <w:p w:rsidR="0049631D" w:rsidRPr="0049631D" w:rsidRDefault="0049631D" w:rsidP="00743EAA">
      <w:pPr>
        <w:pStyle w:val="EndnoteText"/>
        <w:ind w:left="180" w:hanging="180"/>
        <w:rPr>
          <w:sz w:val="24"/>
          <w:szCs w:val="24"/>
        </w:rPr>
      </w:pPr>
      <w:r w:rsidRPr="0049631D">
        <w:rPr>
          <w:rStyle w:val="EndnoteReference"/>
          <w:sz w:val="24"/>
          <w:szCs w:val="24"/>
        </w:rPr>
        <w:endnoteRef/>
      </w:r>
      <w:r w:rsidRPr="0049631D">
        <w:rPr>
          <w:sz w:val="24"/>
          <w:szCs w:val="24"/>
        </w:rPr>
        <w:t xml:space="preserve"> CPUC Energy Division --  CPUC Energy Division – Lighting Disposition  2013-2014_LightingRetrofit_Disposition-14December2013.Docx</w:t>
      </w:r>
    </w:p>
    <w:p w:rsidR="0049631D" w:rsidRPr="0049631D" w:rsidRDefault="0049631D" w:rsidP="00743EAA">
      <w:pPr>
        <w:ind w:left="180"/>
      </w:pPr>
      <w:r w:rsidRPr="0049631D">
        <w:t>DEER 2012 Lighting 13-14 dispositions 2013-2014_LightingRetrofit_Disposition-14December2013.xlsx  {from Dec. 2013]    [from December 2013]</w:t>
      </w:r>
    </w:p>
    <w:p w:rsidR="0049631D" w:rsidRPr="0049631D" w:rsidRDefault="0049631D" w:rsidP="00A14384">
      <w:pPr>
        <w:pStyle w:val="EndnoteText"/>
        <w:ind w:left="180" w:hanging="180"/>
        <w:rPr>
          <w:sz w:val="24"/>
          <w:szCs w:val="24"/>
        </w:rPr>
      </w:pPr>
    </w:p>
  </w:endnote>
  <w:endnote w:id="4">
    <w:p w:rsidR="0049631D" w:rsidRDefault="0049631D">
      <w:pPr>
        <w:pStyle w:val="EndnoteText"/>
      </w:pPr>
      <w:r w:rsidRPr="0049631D">
        <w:rPr>
          <w:rStyle w:val="EndnoteReference"/>
          <w:sz w:val="24"/>
          <w:szCs w:val="24"/>
        </w:rPr>
        <w:endnoteRef/>
      </w:r>
      <w:r w:rsidRPr="0049631D">
        <w:rPr>
          <w:sz w:val="24"/>
          <w:szCs w:val="24"/>
        </w:rPr>
        <w:t xml:space="preserve"> Calculation Excel workbook</w:t>
      </w:r>
    </w:p>
  </w:endnote>
  <w:endnote w:id="5">
    <w:p w:rsidR="00F83448" w:rsidRDefault="00F83448" w:rsidP="00F83448">
      <w:pPr>
        <w:pStyle w:val="EndnoteText"/>
        <w:rPr>
          <w:sz w:val="24"/>
        </w:rPr>
      </w:pPr>
    </w:p>
    <w:p w:rsidR="00F83448" w:rsidRDefault="00F83448" w:rsidP="00F83448">
      <w:pPr>
        <w:pStyle w:val="EndnoteText"/>
      </w:pPr>
      <w:r w:rsidRPr="00334147">
        <w:rPr>
          <w:rStyle w:val="EndnoteReference"/>
          <w:sz w:val="24"/>
        </w:rPr>
        <w:endnoteRef/>
      </w:r>
      <w:r w:rsidRPr="00334147">
        <w:rPr>
          <w:sz w:val="24"/>
        </w:rPr>
        <w:t xml:space="preserve"> California LED </w:t>
      </w:r>
      <w:proofErr w:type="spellStart"/>
      <w:r w:rsidRPr="00334147">
        <w:rPr>
          <w:sz w:val="24"/>
        </w:rPr>
        <w:t>Workpaper</w:t>
      </w:r>
      <w:proofErr w:type="spellEnd"/>
      <w:r w:rsidRPr="00334147">
        <w:rPr>
          <w:sz w:val="24"/>
        </w:rPr>
        <w:t xml:space="preserve"> Update Study.  </w:t>
      </w:r>
      <w:proofErr w:type="gramStart"/>
      <w:r w:rsidRPr="00334147">
        <w:rPr>
          <w:sz w:val="24"/>
        </w:rPr>
        <w:t>Navigant Consulting.</w:t>
      </w:r>
      <w:proofErr w:type="gramEnd"/>
      <w:r>
        <w:rPr>
          <w:sz w:val="24"/>
        </w:rPr>
        <w:t xml:space="preserve">  </w:t>
      </w:r>
      <w:r w:rsidRPr="00334147">
        <w:rPr>
          <w:sz w:val="24"/>
        </w:rPr>
        <w:t xml:space="preserve">August 28, 2015.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31D" w:rsidRDefault="0049631D" w:rsidP="00D84C3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9631D" w:rsidRDefault="004963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31D" w:rsidRDefault="0049631D" w:rsidP="00D84C31">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06F92">
      <w:rPr>
        <w:rStyle w:val="PageNumber"/>
        <w:noProof/>
      </w:rPr>
      <w:t>ii</w:t>
    </w:r>
    <w:r>
      <w:rPr>
        <w:rStyle w:val="PageNumber"/>
      </w:rPr>
      <w:fldChar w:fldCharType="end"/>
    </w:r>
  </w:p>
  <w:p w:rsidR="0049631D" w:rsidRPr="003E5E61" w:rsidRDefault="0049631D" w:rsidP="00671F74">
    <w:pPr>
      <w:pStyle w:val="Footer"/>
      <w:pBdr>
        <w:top w:val="single" w:sz="4" w:space="1" w:color="auto"/>
      </w:pBdr>
      <w:rPr>
        <w:b/>
        <w:sz w:val="20"/>
        <w:szCs w:val="20"/>
      </w:rPr>
    </w:pPr>
    <w:r w:rsidRPr="003E5E61">
      <w:rPr>
        <w:b/>
        <w:sz w:val="20"/>
        <w:szCs w:val="20"/>
      </w:rPr>
      <w:t>Work Paper PGECOLTG111</w:t>
    </w:r>
    <w:r>
      <w:rPr>
        <w:b/>
        <w:sz w:val="20"/>
        <w:szCs w:val="20"/>
      </w:rPr>
      <w:t xml:space="preserve"> R8</w:t>
    </w:r>
    <w:r w:rsidRPr="003E5E61">
      <w:rPr>
        <w:b/>
        <w:sz w:val="20"/>
        <w:szCs w:val="20"/>
      </w:rPr>
      <w:tab/>
    </w:r>
    <w:r>
      <w:rPr>
        <w:b/>
        <w:sz w:val="20"/>
        <w:szCs w:val="20"/>
      </w:rPr>
      <w:tab/>
      <w:t>1/1/16</w:t>
    </w:r>
    <w:r w:rsidRPr="003E5E61">
      <w:rPr>
        <w:b/>
        <w:sz w:val="20"/>
        <w:szCs w:val="20"/>
      </w:rPr>
      <w:tab/>
    </w:r>
  </w:p>
  <w:p w:rsidR="0049631D" w:rsidRPr="003E5E61" w:rsidRDefault="0049631D" w:rsidP="003E5E61">
    <w:pPr>
      <w:pStyle w:val="Footer"/>
      <w:pBdr>
        <w:top w:val="single" w:sz="4" w:space="1" w:color="auto"/>
      </w:pBdr>
      <w:rPr>
        <w:b/>
        <w:sz w:val="20"/>
        <w:szCs w:val="20"/>
      </w:rPr>
    </w:pPr>
    <w:r w:rsidRPr="003E5E61">
      <w:rPr>
        <w:b/>
        <w:sz w:val="20"/>
        <w:szCs w:val="20"/>
      </w:rPr>
      <w:t>Pacific Gas and Electric Company</w:t>
    </w:r>
  </w:p>
  <w:p w:rsidR="0049631D" w:rsidRPr="003E5E61" w:rsidRDefault="0049631D" w:rsidP="003E5E61">
    <w:pPr>
      <w:pStyle w:val="Footer"/>
      <w:pBdr>
        <w:top w:val="single" w:sz="4" w:space="1" w:color="auto"/>
      </w:pBdr>
      <w:rPr>
        <w:b/>
        <w:sz w:val="20"/>
        <w:szCs w:val="20"/>
      </w:rPr>
    </w:pPr>
    <w:r w:rsidRPr="003E5E61">
      <w:rPr>
        <w:b/>
        <w:sz w:val="20"/>
        <w:szCs w:val="20"/>
      </w:rPr>
      <w:fldChar w:fldCharType="begin"/>
    </w:r>
    <w:r w:rsidRPr="003E5E61">
      <w:rPr>
        <w:b/>
        <w:sz w:val="20"/>
        <w:szCs w:val="20"/>
      </w:rPr>
      <w:instrText xml:space="preserve"> FILENAME </w:instrText>
    </w:r>
    <w:r w:rsidRPr="003E5E61">
      <w:rPr>
        <w:b/>
        <w:sz w:val="20"/>
        <w:szCs w:val="20"/>
      </w:rPr>
      <w:fldChar w:fldCharType="separate"/>
    </w:r>
    <w:r w:rsidR="00AB59D8">
      <w:rPr>
        <w:b/>
        <w:noProof/>
        <w:sz w:val="20"/>
        <w:szCs w:val="20"/>
      </w:rPr>
      <w:t>PGECOLTG111 R8 CFL Up nonres.docx</w:t>
    </w:r>
    <w:r w:rsidRPr="003E5E61">
      <w:rPr>
        <w:b/>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31D" w:rsidRPr="00FC4DCA" w:rsidRDefault="0049631D">
    <w:pPr>
      <w:pStyle w:val="Footer"/>
      <w:rPr>
        <w:rFonts w:ascii="Arial" w:hAnsi="Arial" w:cs="Arial"/>
        <w:b/>
        <w:sz w:val="32"/>
        <w:szCs w:val="32"/>
      </w:rPr>
    </w:pPr>
    <w:r>
      <w:rPr>
        <w:rFonts w:ascii="Arial" w:hAnsi="Arial" w:cs="Arial"/>
        <w:sz w:val="36"/>
        <w:szCs w:val="36"/>
      </w:rPr>
      <w:tab/>
    </w:r>
    <w:r>
      <w:rPr>
        <w:rFonts w:ascii="Arial" w:hAnsi="Arial" w:cs="Arial"/>
        <w:sz w:val="36"/>
        <w:szCs w:val="36"/>
      </w:rPr>
      <w:tab/>
    </w:r>
    <w:r>
      <w:rPr>
        <w:rFonts w:ascii="Arial" w:hAnsi="Arial" w:cs="Arial"/>
        <w:b/>
        <w:sz w:val="32"/>
        <w:szCs w:val="32"/>
      </w:rPr>
      <w:t>1/1/16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F2F" w:rsidRDefault="00C54F2F">
      <w:r>
        <w:separator/>
      </w:r>
    </w:p>
  </w:footnote>
  <w:footnote w:type="continuationSeparator" w:id="0">
    <w:p w:rsidR="00C54F2F" w:rsidRDefault="00C54F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493"/>
    <w:rsid w:val="00000863"/>
    <w:rsid w:val="00001531"/>
    <w:rsid w:val="0000401E"/>
    <w:rsid w:val="00004B95"/>
    <w:rsid w:val="00012BD3"/>
    <w:rsid w:val="00014503"/>
    <w:rsid w:val="0001613E"/>
    <w:rsid w:val="0002278E"/>
    <w:rsid w:val="000307D8"/>
    <w:rsid w:val="00030EC5"/>
    <w:rsid w:val="00035759"/>
    <w:rsid w:val="000401BE"/>
    <w:rsid w:val="00042FFD"/>
    <w:rsid w:val="00045A33"/>
    <w:rsid w:val="00046423"/>
    <w:rsid w:val="00050959"/>
    <w:rsid w:val="00051DB4"/>
    <w:rsid w:val="00056779"/>
    <w:rsid w:val="00056A5E"/>
    <w:rsid w:val="00061ED2"/>
    <w:rsid w:val="00063EA0"/>
    <w:rsid w:val="00066AC1"/>
    <w:rsid w:val="000747EF"/>
    <w:rsid w:val="00077137"/>
    <w:rsid w:val="0007745A"/>
    <w:rsid w:val="000802F0"/>
    <w:rsid w:val="000841B9"/>
    <w:rsid w:val="00087106"/>
    <w:rsid w:val="00087289"/>
    <w:rsid w:val="000911DF"/>
    <w:rsid w:val="00092047"/>
    <w:rsid w:val="00097AFD"/>
    <w:rsid w:val="00097CAF"/>
    <w:rsid w:val="000A0A69"/>
    <w:rsid w:val="000A35B7"/>
    <w:rsid w:val="000A493E"/>
    <w:rsid w:val="000A495C"/>
    <w:rsid w:val="000A54EF"/>
    <w:rsid w:val="000B05CA"/>
    <w:rsid w:val="000B1995"/>
    <w:rsid w:val="000B1A86"/>
    <w:rsid w:val="000C0CE1"/>
    <w:rsid w:val="000C5A17"/>
    <w:rsid w:val="000D0120"/>
    <w:rsid w:val="000D059D"/>
    <w:rsid w:val="000D1335"/>
    <w:rsid w:val="000D4311"/>
    <w:rsid w:val="000D6527"/>
    <w:rsid w:val="000E2DF5"/>
    <w:rsid w:val="000E69D6"/>
    <w:rsid w:val="000E7050"/>
    <w:rsid w:val="000F29C1"/>
    <w:rsid w:val="000F6C00"/>
    <w:rsid w:val="00101155"/>
    <w:rsid w:val="00104B04"/>
    <w:rsid w:val="00104F7B"/>
    <w:rsid w:val="001056AF"/>
    <w:rsid w:val="001061BF"/>
    <w:rsid w:val="00110675"/>
    <w:rsid w:val="001126CA"/>
    <w:rsid w:val="00113733"/>
    <w:rsid w:val="00122623"/>
    <w:rsid w:val="0012490D"/>
    <w:rsid w:val="00124C31"/>
    <w:rsid w:val="00130FA1"/>
    <w:rsid w:val="001336CA"/>
    <w:rsid w:val="001337A6"/>
    <w:rsid w:val="0013436F"/>
    <w:rsid w:val="00135EEC"/>
    <w:rsid w:val="00136110"/>
    <w:rsid w:val="00137A92"/>
    <w:rsid w:val="0014391C"/>
    <w:rsid w:val="00143E1E"/>
    <w:rsid w:val="00144582"/>
    <w:rsid w:val="00150922"/>
    <w:rsid w:val="00151F46"/>
    <w:rsid w:val="00154ED4"/>
    <w:rsid w:val="0016034F"/>
    <w:rsid w:val="00167751"/>
    <w:rsid w:val="00181D7B"/>
    <w:rsid w:val="00186CA3"/>
    <w:rsid w:val="00187151"/>
    <w:rsid w:val="001914EB"/>
    <w:rsid w:val="00192001"/>
    <w:rsid w:val="0019409F"/>
    <w:rsid w:val="001A1B6E"/>
    <w:rsid w:val="001B2D74"/>
    <w:rsid w:val="001C561A"/>
    <w:rsid w:val="001C6DA4"/>
    <w:rsid w:val="001E0D63"/>
    <w:rsid w:val="001E2568"/>
    <w:rsid w:val="001E4DE7"/>
    <w:rsid w:val="001E647B"/>
    <w:rsid w:val="001F4EF3"/>
    <w:rsid w:val="0020061D"/>
    <w:rsid w:val="00206929"/>
    <w:rsid w:val="00220F76"/>
    <w:rsid w:val="0022110F"/>
    <w:rsid w:val="00223F4C"/>
    <w:rsid w:val="00231571"/>
    <w:rsid w:val="00240377"/>
    <w:rsid w:val="00241A79"/>
    <w:rsid w:val="00244541"/>
    <w:rsid w:val="00244747"/>
    <w:rsid w:val="00251777"/>
    <w:rsid w:val="00251C65"/>
    <w:rsid w:val="00251E3D"/>
    <w:rsid w:val="00254BC5"/>
    <w:rsid w:val="00260408"/>
    <w:rsid w:val="00261042"/>
    <w:rsid w:val="00261361"/>
    <w:rsid w:val="0026599E"/>
    <w:rsid w:val="002721A1"/>
    <w:rsid w:val="00273833"/>
    <w:rsid w:val="002756EE"/>
    <w:rsid w:val="00281680"/>
    <w:rsid w:val="00282804"/>
    <w:rsid w:val="00290912"/>
    <w:rsid w:val="00296F85"/>
    <w:rsid w:val="002A08BE"/>
    <w:rsid w:val="002A4705"/>
    <w:rsid w:val="002A6264"/>
    <w:rsid w:val="002B54E4"/>
    <w:rsid w:val="002C2833"/>
    <w:rsid w:val="002C2D0A"/>
    <w:rsid w:val="002D132B"/>
    <w:rsid w:val="002D1D46"/>
    <w:rsid w:val="002D3178"/>
    <w:rsid w:val="002D624D"/>
    <w:rsid w:val="002D6E19"/>
    <w:rsid w:val="002E0043"/>
    <w:rsid w:val="002E0E3F"/>
    <w:rsid w:val="002F18A4"/>
    <w:rsid w:val="002F37CC"/>
    <w:rsid w:val="002F5887"/>
    <w:rsid w:val="002F7B10"/>
    <w:rsid w:val="003119C7"/>
    <w:rsid w:val="003139D5"/>
    <w:rsid w:val="00314853"/>
    <w:rsid w:val="0031773E"/>
    <w:rsid w:val="00322CF1"/>
    <w:rsid w:val="00335A21"/>
    <w:rsid w:val="003451BB"/>
    <w:rsid w:val="0035486B"/>
    <w:rsid w:val="0035638C"/>
    <w:rsid w:val="00363066"/>
    <w:rsid w:val="00365FBC"/>
    <w:rsid w:val="0037280E"/>
    <w:rsid w:val="00374099"/>
    <w:rsid w:val="00381651"/>
    <w:rsid w:val="00384749"/>
    <w:rsid w:val="003848F8"/>
    <w:rsid w:val="0038766D"/>
    <w:rsid w:val="00391F50"/>
    <w:rsid w:val="003A0E13"/>
    <w:rsid w:val="003A2420"/>
    <w:rsid w:val="003A2C45"/>
    <w:rsid w:val="003B0C03"/>
    <w:rsid w:val="003B365A"/>
    <w:rsid w:val="003C0E3F"/>
    <w:rsid w:val="003C1239"/>
    <w:rsid w:val="003C2F4F"/>
    <w:rsid w:val="003C628C"/>
    <w:rsid w:val="003D66E5"/>
    <w:rsid w:val="003E596E"/>
    <w:rsid w:val="003E5E61"/>
    <w:rsid w:val="003E5EF8"/>
    <w:rsid w:val="004049C6"/>
    <w:rsid w:val="00406D2D"/>
    <w:rsid w:val="00407F63"/>
    <w:rsid w:val="00407F91"/>
    <w:rsid w:val="004133B7"/>
    <w:rsid w:val="004150A1"/>
    <w:rsid w:val="00415AE9"/>
    <w:rsid w:val="00416960"/>
    <w:rsid w:val="00416C0B"/>
    <w:rsid w:val="00427597"/>
    <w:rsid w:val="00432DD8"/>
    <w:rsid w:val="00446765"/>
    <w:rsid w:val="00446E9D"/>
    <w:rsid w:val="004477FB"/>
    <w:rsid w:val="004618ED"/>
    <w:rsid w:val="00471758"/>
    <w:rsid w:val="004827DA"/>
    <w:rsid w:val="00482A2D"/>
    <w:rsid w:val="0049098C"/>
    <w:rsid w:val="0049545A"/>
    <w:rsid w:val="00495C44"/>
    <w:rsid w:val="0049631D"/>
    <w:rsid w:val="00497586"/>
    <w:rsid w:val="004A7AB6"/>
    <w:rsid w:val="004B0B45"/>
    <w:rsid w:val="004B6EB4"/>
    <w:rsid w:val="004C0267"/>
    <w:rsid w:val="004C1835"/>
    <w:rsid w:val="004D17D5"/>
    <w:rsid w:val="004D4B7C"/>
    <w:rsid w:val="004D623C"/>
    <w:rsid w:val="004D6AE2"/>
    <w:rsid w:val="004F23F9"/>
    <w:rsid w:val="004F244F"/>
    <w:rsid w:val="004F3E54"/>
    <w:rsid w:val="004F7E6B"/>
    <w:rsid w:val="00501AFE"/>
    <w:rsid w:val="00507110"/>
    <w:rsid w:val="00512873"/>
    <w:rsid w:val="0051388D"/>
    <w:rsid w:val="00517639"/>
    <w:rsid w:val="00521D1C"/>
    <w:rsid w:val="00524DA3"/>
    <w:rsid w:val="00533821"/>
    <w:rsid w:val="00533CC6"/>
    <w:rsid w:val="0053420F"/>
    <w:rsid w:val="005349C6"/>
    <w:rsid w:val="00545E0A"/>
    <w:rsid w:val="00553ABE"/>
    <w:rsid w:val="005676CB"/>
    <w:rsid w:val="00570C64"/>
    <w:rsid w:val="0057312A"/>
    <w:rsid w:val="005749C9"/>
    <w:rsid w:val="00574A99"/>
    <w:rsid w:val="00576839"/>
    <w:rsid w:val="00580330"/>
    <w:rsid w:val="00583FEA"/>
    <w:rsid w:val="005842E9"/>
    <w:rsid w:val="00584528"/>
    <w:rsid w:val="00594979"/>
    <w:rsid w:val="00596373"/>
    <w:rsid w:val="005A7C80"/>
    <w:rsid w:val="005B17E4"/>
    <w:rsid w:val="005B556D"/>
    <w:rsid w:val="005D1C20"/>
    <w:rsid w:val="005D4EA9"/>
    <w:rsid w:val="005E0A73"/>
    <w:rsid w:val="005E1250"/>
    <w:rsid w:val="005E4655"/>
    <w:rsid w:val="005E65B2"/>
    <w:rsid w:val="005F49B2"/>
    <w:rsid w:val="005F7573"/>
    <w:rsid w:val="006021B2"/>
    <w:rsid w:val="00606872"/>
    <w:rsid w:val="00607275"/>
    <w:rsid w:val="0061556F"/>
    <w:rsid w:val="00615731"/>
    <w:rsid w:val="006179B4"/>
    <w:rsid w:val="0062581E"/>
    <w:rsid w:val="00630E9C"/>
    <w:rsid w:val="00637438"/>
    <w:rsid w:val="006421C0"/>
    <w:rsid w:val="006453B6"/>
    <w:rsid w:val="00646A95"/>
    <w:rsid w:val="006565D2"/>
    <w:rsid w:val="00667DF8"/>
    <w:rsid w:val="00670895"/>
    <w:rsid w:val="00670CFD"/>
    <w:rsid w:val="00671665"/>
    <w:rsid w:val="00671F74"/>
    <w:rsid w:val="00673F8B"/>
    <w:rsid w:val="00674CA7"/>
    <w:rsid w:val="00680799"/>
    <w:rsid w:val="00683094"/>
    <w:rsid w:val="00683D76"/>
    <w:rsid w:val="00684D86"/>
    <w:rsid w:val="006879DD"/>
    <w:rsid w:val="006946EE"/>
    <w:rsid w:val="006961A0"/>
    <w:rsid w:val="006A05A1"/>
    <w:rsid w:val="006A0A1C"/>
    <w:rsid w:val="006A1133"/>
    <w:rsid w:val="006A4EAE"/>
    <w:rsid w:val="006B2CC8"/>
    <w:rsid w:val="006B4013"/>
    <w:rsid w:val="006B4190"/>
    <w:rsid w:val="006B4F01"/>
    <w:rsid w:val="006D097C"/>
    <w:rsid w:val="006D51C0"/>
    <w:rsid w:val="006E077D"/>
    <w:rsid w:val="006E5164"/>
    <w:rsid w:val="006E533A"/>
    <w:rsid w:val="006F16F1"/>
    <w:rsid w:val="006F2117"/>
    <w:rsid w:val="006F374C"/>
    <w:rsid w:val="006F5087"/>
    <w:rsid w:val="006F7765"/>
    <w:rsid w:val="00700CCF"/>
    <w:rsid w:val="007028E1"/>
    <w:rsid w:val="00702EF5"/>
    <w:rsid w:val="00703205"/>
    <w:rsid w:val="007037AC"/>
    <w:rsid w:val="00705654"/>
    <w:rsid w:val="007074F7"/>
    <w:rsid w:val="007138A2"/>
    <w:rsid w:val="007148C0"/>
    <w:rsid w:val="00714FB5"/>
    <w:rsid w:val="007167E0"/>
    <w:rsid w:val="007255E2"/>
    <w:rsid w:val="00727BC9"/>
    <w:rsid w:val="007305B6"/>
    <w:rsid w:val="00731578"/>
    <w:rsid w:val="0074178F"/>
    <w:rsid w:val="00742B62"/>
    <w:rsid w:val="00743EAA"/>
    <w:rsid w:val="007508D0"/>
    <w:rsid w:val="00752F05"/>
    <w:rsid w:val="0075338F"/>
    <w:rsid w:val="007536F2"/>
    <w:rsid w:val="00753C30"/>
    <w:rsid w:val="00761941"/>
    <w:rsid w:val="00764526"/>
    <w:rsid w:val="007751C7"/>
    <w:rsid w:val="00775850"/>
    <w:rsid w:val="00775AC9"/>
    <w:rsid w:val="00783E05"/>
    <w:rsid w:val="007874DC"/>
    <w:rsid w:val="0079458A"/>
    <w:rsid w:val="007A344F"/>
    <w:rsid w:val="007A37CB"/>
    <w:rsid w:val="007A4138"/>
    <w:rsid w:val="007A4E6A"/>
    <w:rsid w:val="007A58CB"/>
    <w:rsid w:val="007A74A4"/>
    <w:rsid w:val="007C2B8B"/>
    <w:rsid w:val="007C5B93"/>
    <w:rsid w:val="007D1680"/>
    <w:rsid w:val="007E59B0"/>
    <w:rsid w:val="007F2602"/>
    <w:rsid w:val="007F6582"/>
    <w:rsid w:val="007F6DA5"/>
    <w:rsid w:val="00801100"/>
    <w:rsid w:val="00803B91"/>
    <w:rsid w:val="00805927"/>
    <w:rsid w:val="00810482"/>
    <w:rsid w:val="00811542"/>
    <w:rsid w:val="00823A1C"/>
    <w:rsid w:val="0082610C"/>
    <w:rsid w:val="0084189E"/>
    <w:rsid w:val="008478A9"/>
    <w:rsid w:val="008628FD"/>
    <w:rsid w:val="00863AF3"/>
    <w:rsid w:val="0086707D"/>
    <w:rsid w:val="008725C8"/>
    <w:rsid w:val="00877E6B"/>
    <w:rsid w:val="00880B73"/>
    <w:rsid w:val="00890C00"/>
    <w:rsid w:val="0089467C"/>
    <w:rsid w:val="00894DA6"/>
    <w:rsid w:val="0089501B"/>
    <w:rsid w:val="008965AC"/>
    <w:rsid w:val="008A3F81"/>
    <w:rsid w:val="008B33AE"/>
    <w:rsid w:val="008C095E"/>
    <w:rsid w:val="008C0DC9"/>
    <w:rsid w:val="008C1BA6"/>
    <w:rsid w:val="008C2726"/>
    <w:rsid w:val="008C5AD4"/>
    <w:rsid w:val="008C6AFE"/>
    <w:rsid w:val="008D18B1"/>
    <w:rsid w:val="008D6198"/>
    <w:rsid w:val="008D787E"/>
    <w:rsid w:val="008E5385"/>
    <w:rsid w:val="008F15C6"/>
    <w:rsid w:val="008F3FEB"/>
    <w:rsid w:val="008F5A73"/>
    <w:rsid w:val="008F7429"/>
    <w:rsid w:val="00903DE8"/>
    <w:rsid w:val="009161C6"/>
    <w:rsid w:val="00921005"/>
    <w:rsid w:val="009270DD"/>
    <w:rsid w:val="00930AAE"/>
    <w:rsid w:val="0093236C"/>
    <w:rsid w:val="00932D3C"/>
    <w:rsid w:val="00944824"/>
    <w:rsid w:val="00951D07"/>
    <w:rsid w:val="00961465"/>
    <w:rsid w:val="00963827"/>
    <w:rsid w:val="00974216"/>
    <w:rsid w:val="009771EC"/>
    <w:rsid w:val="0098102D"/>
    <w:rsid w:val="00984D3E"/>
    <w:rsid w:val="009872B3"/>
    <w:rsid w:val="0099275D"/>
    <w:rsid w:val="00993B6A"/>
    <w:rsid w:val="00993D9E"/>
    <w:rsid w:val="00995266"/>
    <w:rsid w:val="00995AB4"/>
    <w:rsid w:val="009A3DC6"/>
    <w:rsid w:val="009B2CFD"/>
    <w:rsid w:val="009D3D61"/>
    <w:rsid w:val="009E33D7"/>
    <w:rsid w:val="009E48AE"/>
    <w:rsid w:val="009E51AD"/>
    <w:rsid w:val="009F2699"/>
    <w:rsid w:val="009F316B"/>
    <w:rsid w:val="009F3265"/>
    <w:rsid w:val="009F3557"/>
    <w:rsid w:val="009F51A3"/>
    <w:rsid w:val="009F611D"/>
    <w:rsid w:val="00A033C6"/>
    <w:rsid w:val="00A0341A"/>
    <w:rsid w:val="00A13524"/>
    <w:rsid w:val="00A14384"/>
    <w:rsid w:val="00A16884"/>
    <w:rsid w:val="00A1708F"/>
    <w:rsid w:val="00A20F63"/>
    <w:rsid w:val="00A22431"/>
    <w:rsid w:val="00A259DB"/>
    <w:rsid w:val="00A305D5"/>
    <w:rsid w:val="00A327E9"/>
    <w:rsid w:val="00A3321D"/>
    <w:rsid w:val="00A333DA"/>
    <w:rsid w:val="00A33743"/>
    <w:rsid w:val="00A352F2"/>
    <w:rsid w:val="00A35657"/>
    <w:rsid w:val="00A472B3"/>
    <w:rsid w:val="00A52D04"/>
    <w:rsid w:val="00A53EDB"/>
    <w:rsid w:val="00A57078"/>
    <w:rsid w:val="00A65F94"/>
    <w:rsid w:val="00A66C0B"/>
    <w:rsid w:val="00A7254C"/>
    <w:rsid w:val="00A833F3"/>
    <w:rsid w:val="00A8738C"/>
    <w:rsid w:val="00A9612C"/>
    <w:rsid w:val="00A966EF"/>
    <w:rsid w:val="00A971FE"/>
    <w:rsid w:val="00A97C01"/>
    <w:rsid w:val="00AA3A2B"/>
    <w:rsid w:val="00AB0FF2"/>
    <w:rsid w:val="00AB37D5"/>
    <w:rsid w:val="00AB40F7"/>
    <w:rsid w:val="00AB59D8"/>
    <w:rsid w:val="00AC63FC"/>
    <w:rsid w:val="00AC718F"/>
    <w:rsid w:val="00AD5269"/>
    <w:rsid w:val="00AD758C"/>
    <w:rsid w:val="00AE3917"/>
    <w:rsid w:val="00AE54EA"/>
    <w:rsid w:val="00AE7897"/>
    <w:rsid w:val="00AF3271"/>
    <w:rsid w:val="00B046AC"/>
    <w:rsid w:val="00B06F92"/>
    <w:rsid w:val="00B13475"/>
    <w:rsid w:val="00B15C92"/>
    <w:rsid w:val="00B21EF3"/>
    <w:rsid w:val="00B241F6"/>
    <w:rsid w:val="00B26325"/>
    <w:rsid w:val="00B26362"/>
    <w:rsid w:val="00B30811"/>
    <w:rsid w:val="00B30A5A"/>
    <w:rsid w:val="00B30D82"/>
    <w:rsid w:val="00B32C4C"/>
    <w:rsid w:val="00B40EB8"/>
    <w:rsid w:val="00B4239F"/>
    <w:rsid w:val="00B50A31"/>
    <w:rsid w:val="00B51084"/>
    <w:rsid w:val="00B54B9E"/>
    <w:rsid w:val="00B55483"/>
    <w:rsid w:val="00B557B7"/>
    <w:rsid w:val="00B57308"/>
    <w:rsid w:val="00B60769"/>
    <w:rsid w:val="00B60995"/>
    <w:rsid w:val="00B651F5"/>
    <w:rsid w:val="00B7164C"/>
    <w:rsid w:val="00B729A6"/>
    <w:rsid w:val="00B72D0D"/>
    <w:rsid w:val="00B74B4E"/>
    <w:rsid w:val="00B842B2"/>
    <w:rsid w:val="00B84486"/>
    <w:rsid w:val="00B9196C"/>
    <w:rsid w:val="00B97BF1"/>
    <w:rsid w:val="00BB3563"/>
    <w:rsid w:val="00BC14A0"/>
    <w:rsid w:val="00BC6B7A"/>
    <w:rsid w:val="00BD2A8D"/>
    <w:rsid w:val="00BD3214"/>
    <w:rsid w:val="00BE3C99"/>
    <w:rsid w:val="00BE7AC4"/>
    <w:rsid w:val="00BF2178"/>
    <w:rsid w:val="00BF3C79"/>
    <w:rsid w:val="00BF573C"/>
    <w:rsid w:val="00BF72D1"/>
    <w:rsid w:val="00C03359"/>
    <w:rsid w:val="00C065F7"/>
    <w:rsid w:val="00C1300E"/>
    <w:rsid w:val="00C1337F"/>
    <w:rsid w:val="00C15135"/>
    <w:rsid w:val="00C1798E"/>
    <w:rsid w:val="00C210F6"/>
    <w:rsid w:val="00C268AE"/>
    <w:rsid w:val="00C318F5"/>
    <w:rsid w:val="00C35519"/>
    <w:rsid w:val="00C35F7C"/>
    <w:rsid w:val="00C37478"/>
    <w:rsid w:val="00C45C09"/>
    <w:rsid w:val="00C47CDA"/>
    <w:rsid w:val="00C5263E"/>
    <w:rsid w:val="00C52F7A"/>
    <w:rsid w:val="00C54F2F"/>
    <w:rsid w:val="00C60969"/>
    <w:rsid w:val="00C61438"/>
    <w:rsid w:val="00C63493"/>
    <w:rsid w:val="00C654AA"/>
    <w:rsid w:val="00C7550B"/>
    <w:rsid w:val="00C75785"/>
    <w:rsid w:val="00C75D86"/>
    <w:rsid w:val="00C77C85"/>
    <w:rsid w:val="00C84190"/>
    <w:rsid w:val="00C95AA0"/>
    <w:rsid w:val="00CA3BE8"/>
    <w:rsid w:val="00CA62D6"/>
    <w:rsid w:val="00CC002A"/>
    <w:rsid w:val="00CC3844"/>
    <w:rsid w:val="00CC5611"/>
    <w:rsid w:val="00CD425A"/>
    <w:rsid w:val="00CD59A6"/>
    <w:rsid w:val="00CE1317"/>
    <w:rsid w:val="00CE2B6E"/>
    <w:rsid w:val="00CE4BB2"/>
    <w:rsid w:val="00CF0259"/>
    <w:rsid w:val="00CF5E7B"/>
    <w:rsid w:val="00CF6D74"/>
    <w:rsid w:val="00CF6ECB"/>
    <w:rsid w:val="00D064B7"/>
    <w:rsid w:val="00D07B19"/>
    <w:rsid w:val="00D13F62"/>
    <w:rsid w:val="00D14DCB"/>
    <w:rsid w:val="00D2134B"/>
    <w:rsid w:val="00D22448"/>
    <w:rsid w:val="00D2383A"/>
    <w:rsid w:val="00D27C39"/>
    <w:rsid w:val="00D3525A"/>
    <w:rsid w:val="00D42DA3"/>
    <w:rsid w:val="00D43182"/>
    <w:rsid w:val="00D46666"/>
    <w:rsid w:val="00D46BBE"/>
    <w:rsid w:val="00D5335A"/>
    <w:rsid w:val="00D54700"/>
    <w:rsid w:val="00D55DF1"/>
    <w:rsid w:val="00D64B4D"/>
    <w:rsid w:val="00D763EA"/>
    <w:rsid w:val="00D768CE"/>
    <w:rsid w:val="00D81345"/>
    <w:rsid w:val="00D8350D"/>
    <w:rsid w:val="00D83935"/>
    <w:rsid w:val="00D84C31"/>
    <w:rsid w:val="00D913FE"/>
    <w:rsid w:val="00D91FCA"/>
    <w:rsid w:val="00DA15D5"/>
    <w:rsid w:val="00DA2EE7"/>
    <w:rsid w:val="00DA4EC8"/>
    <w:rsid w:val="00DA6C68"/>
    <w:rsid w:val="00DA6F85"/>
    <w:rsid w:val="00DB0947"/>
    <w:rsid w:val="00DB26C1"/>
    <w:rsid w:val="00DB5FA4"/>
    <w:rsid w:val="00DB6B94"/>
    <w:rsid w:val="00DC10F3"/>
    <w:rsid w:val="00DC1459"/>
    <w:rsid w:val="00DD5715"/>
    <w:rsid w:val="00DE0A0F"/>
    <w:rsid w:val="00DE5DF4"/>
    <w:rsid w:val="00DF6724"/>
    <w:rsid w:val="00DF7CE6"/>
    <w:rsid w:val="00E04605"/>
    <w:rsid w:val="00E06D64"/>
    <w:rsid w:val="00E1042C"/>
    <w:rsid w:val="00E139BE"/>
    <w:rsid w:val="00E14087"/>
    <w:rsid w:val="00E14164"/>
    <w:rsid w:val="00E15382"/>
    <w:rsid w:val="00E163F8"/>
    <w:rsid w:val="00E17B8A"/>
    <w:rsid w:val="00E2054C"/>
    <w:rsid w:val="00E22EA8"/>
    <w:rsid w:val="00E235E9"/>
    <w:rsid w:val="00E25E35"/>
    <w:rsid w:val="00E26087"/>
    <w:rsid w:val="00E26451"/>
    <w:rsid w:val="00E3166C"/>
    <w:rsid w:val="00E47693"/>
    <w:rsid w:val="00E5322D"/>
    <w:rsid w:val="00E54B76"/>
    <w:rsid w:val="00E604C1"/>
    <w:rsid w:val="00E608FC"/>
    <w:rsid w:val="00E60B30"/>
    <w:rsid w:val="00E67CFE"/>
    <w:rsid w:val="00E70CA0"/>
    <w:rsid w:val="00E73429"/>
    <w:rsid w:val="00E7513B"/>
    <w:rsid w:val="00E75229"/>
    <w:rsid w:val="00E93D13"/>
    <w:rsid w:val="00E95620"/>
    <w:rsid w:val="00E95944"/>
    <w:rsid w:val="00E97710"/>
    <w:rsid w:val="00EA796E"/>
    <w:rsid w:val="00EB048C"/>
    <w:rsid w:val="00EB07E7"/>
    <w:rsid w:val="00EB1A39"/>
    <w:rsid w:val="00EB1F54"/>
    <w:rsid w:val="00EB22BD"/>
    <w:rsid w:val="00EB3180"/>
    <w:rsid w:val="00EC127D"/>
    <w:rsid w:val="00EC1A7D"/>
    <w:rsid w:val="00EC5CE1"/>
    <w:rsid w:val="00EC658D"/>
    <w:rsid w:val="00ED0118"/>
    <w:rsid w:val="00ED605A"/>
    <w:rsid w:val="00ED66A7"/>
    <w:rsid w:val="00EE3B8C"/>
    <w:rsid w:val="00EE3C2B"/>
    <w:rsid w:val="00EE6237"/>
    <w:rsid w:val="00EF4A27"/>
    <w:rsid w:val="00EF502C"/>
    <w:rsid w:val="00F06E5D"/>
    <w:rsid w:val="00F10DB3"/>
    <w:rsid w:val="00F174E2"/>
    <w:rsid w:val="00F20EEF"/>
    <w:rsid w:val="00F26346"/>
    <w:rsid w:val="00F3289F"/>
    <w:rsid w:val="00F33507"/>
    <w:rsid w:val="00F37C04"/>
    <w:rsid w:val="00F666DD"/>
    <w:rsid w:val="00F66897"/>
    <w:rsid w:val="00F83448"/>
    <w:rsid w:val="00F901FA"/>
    <w:rsid w:val="00FA2ABB"/>
    <w:rsid w:val="00FB07BC"/>
    <w:rsid w:val="00FB0D07"/>
    <w:rsid w:val="00FC247A"/>
    <w:rsid w:val="00FC4DCA"/>
    <w:rsid w:val="00FD2ABF"/>
    <w:rsid w:val="00FD2D21"/>
    <w:rsid w:val="00FD3AA2"/>
    <w:rsid w:val="00FE17A4"/>
    <w:rsid w:val="00FE20E8"/>
    <w:rsid w:val="00FF03AB"/>
    <w:rsid w:val="00FF1116"/>
    <w:rsid w:val="00FF27A9"/>
    <w:rsid w:val="00FF5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07BC"/>
    <w:rPr>
      <w:sz w:val="24"/>
      <w:szCs w:val="24"/>
    </w:rPr>
  </w:style>
  <w:style w:type="paragraph" w:styleId="Heading1">
    <w:name w:val="heading 1"/>
    <w:basedOn w:val="Normal"/>
    <w:qFormat/>
    <w:rsid w:val="00C63493"/>
    <w:pPr>
      <w:keepNext/>
      <w:spacing w:before="240" w:after="60"/>
      <w:outlineLvl w:val="0"/>
    </w:pPr>
    <w:rPr>
      <w:rFonts w:ascii="Arial" w:hAnsi="Arial" w:cs="Arial"/>
      <w:b/>
      <w:bCs/>
      <w:kern w:val="36"/>
      <w:sz w:val="32"/>
      <w:szCs w:val="32"/>
    </w:rPr>
  </w:style>
  <w:style w:type="paragraph" w:styleId="Heading2">
    <w:name w:val="heading 2"/>
    <w:basedOn w:val="Normal"/>
    <w:qFormat/>
    <w:rsid w:val="00C6349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C63493"/>
    <w:rPr>
      <w:rFonts w:cs="Times New Roman"/>
      <w:color w:val="0000FF"/>
      <w:u w:val="single"/>
    </w:rPr>
  </w:style>
  <w:style w:type="paragraph" w:styleId="TOC1">
    <w:name w:val="toc 1"/>
    <w:basedOn w:val="Normal"/>
    <w:uiPriority w:val="39"/>
    <w:rsid w:val="00C63493"/>
  </w:style>
  <w:style w:type="paragraph" w:styleId="TOC2">
    <w:name w:val="toc 2"/>
    <w:basedOn w:val="Normal"/>
    <w:uiPriority w:val="39"/>
    <w:rsid w:val="00C63493"/>
    <w:pPr>
      <w:ind w:left="240"/>
    </w:pPr>
  </w:style>
  <w:style w:type="paragraph" w:styleId="TableofFigures">
    <w:name w:val="table of figures"/>
    <w:basedOn w:val="Normal"/>
    <w:uiPriority w:val="99"/>
    <w:rsid w:val="00C63493"/>
  </w:style>
  <w:style w:type="paragraph" w:customStyle="1" w:styleId="xl31">
    <w:name w:val="xl31"/>
    <w:basedOn w:val="Normal"/>
    <w:rsid w:val="00C63493"/>
    <w:pPr>
      <w:shd w:val="clear" w:color="auto" w:fill="CCFFCC"/>
      <w:spacing w:before="100" w:beforeAutospacing="1" w:after="100" w:afterAutospacing="1"/>
    </w:pPr>
    <w:rPr>
      <w:b/>
      <w:bCs/>
    </w:rPr>
  </w:style>
  <w:style w:type="paragraph" w:styleId="Footer">
    <w:name w:val="footer"/>
    <w:basedOn w:val="Normal"/>
    <w:rsid w:val="006879DD"/>
    <w:pPr>
      <w:tabs>
        <w:tab w:val="center" w:pos="4320"/>
        <w:tab w:val="right" w:pos="8640"/>
      </w:tabs>
    </w:pPr>
  </w:style>
  <w:style w:type="paragraph" w:styleId="BalloonText">
    <w:name w:val="Balloon Text"/>
    <w:basedOn w:val="Normal"/>
    <w:semiHidden/>
    <w:rsid w:val="000307D8"/>
    <w:rPr>
      <w:rFonts w:ascii="Tahoma" w:hAnsi="Tahoma" w:cs="Tahoma"/>
      <w:sz w:val="16"/>
      <w:szCs w:val="16"/>
    </w:rPr>
  </w:style>
  <w:style w:type="character" w:styleId="PageNumber">
    <w:name w:val="page number"/>
    <w:basedOn w:val="DefaultParagraphFont"/>
    <w:rsid w:val="00D55DF1"/>
  </w:style>
  <w:style w:type="paragraph" w:styleId="PlainText">
    <w:name w:val="Plain Text"/>
    <w:basedOn w:val="Normal"/>
    <w:rsid w:val="007C5B93"/>
    <w:rPr>
      <w:rFonts w:ascii="Courier New" w:hAnsi="Courier New" w:cs="Courier New"/>
      <w:sz w:val="20"/>
      <w:szCs w:val="20"/>
    </w:rPr>
  </w:style>
  <w:style w:type="table" w:styleId="TableGrid">
    <w:name w:val="Table Grid"/>
    <w:basedOn w:val="TableNormal"/>
    <w:uiPriority w:val="59"/>
    <w:rsid w:val="007C5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9F316B"/>
    <w:rPr>
      <w:sz w:val="16"/>
      <w:szCs w:val="16"/>
    </w:rPr>
  </w:style>
  <w:style w:type="paragraph" w:styleId="CommentText">
    <w:name w:val="annotation text"/>
    <w:basedOn w:val="Normal"/>
    <w:semiHidden/>
    <w:rsid w:val="009F316B"/>
    <w:rPr>
      <w:sz w:val="20"/>
      <w:szCs w:val="20"/>
    </w:rPr>
  </w:style>
  <w:style w:type="paragraph" w:styleId="CommentSubject">
    <w:name w:val="annotation subject"/>
    <w:basedOn w:val="CommentText"/>
    <w:next w:val="CommentText"/>
    <w:semiHidden/>
    <w:rsid w:val="009F316B"/>
    <w:rPr>
      <w:b/>
      <w:bCs/>
    </w:rPr>
  </w:style>
  <w:style w:type="paragraph" w:styleId="Header">
    <w:name w:val="header"/>
    <w:basedOn w:val="Normal"/>
    <w:rsid w:val="00521D1C"/>
    <w:pPr>
      <w:tabs>
        <w:tab w:val="center" w:pos="4320"/>
        <w:tab w:val="right" w:pos="8640"/>
      </w:tabs>
    </w:pPr>
  </w:style>
  <w:style w:type="paragraph" w:styleId="Caption">
    <w:name w:val="caption"/>
    <w:basedOn w:val="Normal"/>
    <w:next w:val="Normal"/>
    <w:link w:val="CaptionChar"/>
    <w:qFormat/>
    <w:rsid w:val="00035759"/>
    <w:rPr>
      <w:b/>
      <w:bCs/>
      <w:sz w:val="20"/>
      <w:szCs w:val="20"/>
    </w:rPr>
  </w:style>
  <w:style w:type="paragraph" w:styleId="EndnoteText">
    <w:name w:val="endnote text"/>
    <w:basedOn w:val="Normal"/>
    <w:link w:val="EndnoteTextChar"/>
    <w:semiHidden/>
    <w:rsid w:val="006421C0"/>
    <w:rPr>
      <w:sz w:val="20"/>
      <w:szCs w:val="20"/>
    </w:rPr>
  </w:style>
  <w:style w:type="character" w:styleId="EndnoteReference">
    <w:name w:val="endnote reference"/>
    <w:semiHidden/>
    <w:rsid w:val="006421C0"/>
    <w:rPr>
      <w:vertAlign w:val="superscript"/>
    </w:rPr>
  </w:style>
  <w:style w:type="character" w:styleId="FollowedHyperlink">
    <w:name w:val="FollowedHyperlink"/>
    <w:rsid w:val="00E2054C"/>
    <w:rPr>
      <w:color w:val="606420"/>
      <w:u w:val="single"/>
    </w:rPr>
  </w:style>
  <w:style w:type="paragraph" w:customStyle="1" w:styleId="font6">
    <w:name w:val="font6"/>
    <w:basedOn w:val="Normal"/>
    <w:rsid w:val="003C1239"/>
    <w:pPr>
      <w:spacing w:before="100" w:beforeAutospacing="1" w:after="100" w:afterAutospacing="1"/>
    </w:pPr>
    <w:rPr>
      <w:rFonts w:ascii="Tahoma" w:hAnsi="Tahoma" w:cs="Tahoma"/>
      <w:b/>
      <w:bCs/>
      <w:color w:val="000000"/>
      <w:sz w:val="16"/>
      <w:szCs w:val="16"/>
    </w:rPr>
  </w:style>
  <w:style w:type="paragraph" w:styleId="FootnoteText">
    <w:name w:val="footnote text"/>
    <w:basedOn w:val="Normal"/>
    <w:semiHidden/>
    <w:rsid w:val="008B33AE"/>
    <w:rPr>
      <w:sz w:val="20"/>
      <w:szCs w:val="20"/>
    </w:rPr>
  </w:style>
  <w:style w:type="character" w:styleId="FootnoteReference">
    <w:name w:val="footnote reference"/>
    <w:semiHidden/>
    <w:rsid w:val="008B33AE"/>
    <w:rPr>
      <w:vertAlign w:val="superscript"/>
    </w:rPr>
  </w:style>
  <w:style w:type="character" w:customStyle="1" w:styleId="EndnoteTextChar">
    <w:name w:val="Endnote Text Char"/>
    <w:link w:val="EndnoteText"/>
    <w:rsid w:val="00507110"/>
  </w:style>
  <w:style w:type="character" w:customStyle="1" w:styleId="CaptionChar">
    <w:name w:val="Caption Char"/>
    <w:link w:val="Caption"/>
    <w:locked/>
    <w:rsid w:val="002A6264"/>
    <w:rPr>
      <w:b/>
      <w:bCs/>
    </w:rPr>
  </w:style>
  <w:style w:type="character" w:customStyle="1" w:styleId="breadcrumbs">
    <w:name w:val="breadcrumbs"/>
    <w:rsid w:val="002A6264"/>
  </w:style>
  <w:style w:type="table" w:customStyle="1" w:styleId="TableGrid1">
    <w:name w:val="Table Grid1"/>
    <w:basedOn w:val="TableNormal"/>
    <w:next w:val="TableGrid"/>
    <w:rsid w:val="007751C7"/>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83448"/>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07BC"/>
    <w:rPr>
      <w:sz w:val="24"/>
      <w:szCs w:val="24"/>
    </w:rPr>
  </w:style>
  <w:style w:type="paragraph" w:styleId="Heading1">
    <w:name w:val="heading 1"/>
    <w:basedOn w:val="Normal"/>
    <w:qFormat/>
    <w:rsid w:val="00C63493"/>
    <w:pPr>
      <w:keepNext/>
      <w:spacing w:before="240" w:after="60"/>
      <w:outlineLvl w:val="0"/>
    </w:pPr>
    <w:rPr>
      <w:rFonts w:ascii="Arial" w:hAnsi="Arial" w:cs="Arial"/>
      <w:b/>
      <w:bCs/>
      <w:kern w:val="36"/>
      <w:sz w:val="32"/>
      <w:szCs w:val="32"/>
    </w:rPr>
  </w:style>
  <w:style w:type="paragraph" w:styleId="Heading2">
    <w:name w:val="heading 2"/>
    <w:basedOn w:val="Normal"/>
    <w:qFormat/>
    <w:rsid w:val="00C6349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C63493"/>
    <w:rPr>
      <w:rFonts w:cs="Times New Roman"/>
      <w:color w:val="0000FF"/>
      <w:u w:val="single"/>
    </w:rPr>
  </w:style>
  <w:style w:type="paragraph" w:styleId="TOC1">
    <w:name w:val="toc 1"/>
    <w:basedOn w:val="Normal"/>
    <w:uiPriority w:val="39"/>
    <w:rsid w:val="00C63493"/>
  </w:style>
  <w:style w:type="paragraph" w:styleId="TOC2">
    <w:name w:val="toc 2"/>
    <w:basedOn w:val="Normal"/>
    <w:uiPriority w:val="39"/>
    <w:rsid w:val="00C63493"/>
    <w:pPr>
      <w:ind w:left="240"/>
    </w:pPr>
  </w:style>
  <w:style w:type="paragraph" w:styleId="TableofFigures">
    <w:name w:val="table of figures"/>
    <w:basedOn w:val="Normal"/>
    <w:uiPriority w:val="99"/>
    <w:rsid w:val="00C63493"/>
  </w:style>
  <w:style w:type="paragraph" w:customStyle="1" w:styleId="xl31">
    <w:name w:val="xl31"/>
    <w:basedOn w:val="Normal"/>
    <w:rsid w:val="00C63493"/>
    <w:pPr>
      <w:shd w:val="clear" w:color="auto" w:fill="CCFFCC"/>
      <w:spacing w:before="100" w:beforeAutospacing="1" w:after="100" w:afterAutospacing="1"/>
    </w:pPr>
    <w:rPr>
      <w:b/>
      <w:bCs/>
    </w:rPr>
  </w:style>
  <w:style w:type="paragraph" w:styleId="Footer">
    <w:name w:val="footer"/>
    <w:basedOn w:val="Normal"/>
    <w:rsid w:val="006879DD"/>
    <w:pPr>
      <w:tabs>
        <w:tab w:val="center" w:pos="4320"/>
        <w:tab w:val="right" w:pos="8640"/>
      </w:tabs>
    </w:pPr>
  </w:style>
  <w:style w:type="paragraph" w:styleId="BalloonText">
    <w:name w:val="Balloon Text"/>
    <w:basedOn w:val="Normal"/>
    <w:semiHidden/>
    <w:rsid w:val="000307D8"/>
    <w:rPr>
      <w:rFonts w:ascii="Tahoma" w:hAnsi="Tahoma" w:cs="Tahoma"/>
      <w:sz w:val="16"/>
      <w:szCs w:val="16"/>
    </w:rPr>
  </w:style>
  <w:style w:type="character" w:styleId="PageNumber">
    <w:name w:val="page number"/>
    <w:basedOn w:val="DefaultParagraphFont"/>
    <w:rsid w:val="00D55DF1"/>
  </w:style>
  <w:style w:type="paragraph" w:styleId="PlainText">
    <w:name w:val="Plain Text"/>
    <w:basedOn w:val="Normal"/>
    <w:rsid w:val="007C5B93"/>
    <w:rPr>
      <w:rFonts w:ascii="Courier New" w:hAnsi="Courier New" w:cs="Courier New"/>
      <w:sz w:val="20"/>
      <w:szCs w:val="20"/>
    </w:rPr>
  </w:style>
  <w:style w:type="table" w:styleId="TableGrid">
    <w:name w:val="Table Grid"/>
    <w:basedOn w:val="TableNormal"/>
    <w:uiPriority w:val="59"/>
    <w:rsid w:val="007C5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9F316B"/>
    <w:rPr>
      <w:sz w:val="16"/>
      <w:szCs w:val="16"/>
    </w:rPr>
  </w:style>
  <w:style w:type="paragraph" w:styleId="CommentText">
    <w:name w:val="annotation text"/>
    <w:basedOn w:val="Normal"/>
    <w:semiHidden/>
    <w:rsid w:val="009F316B"/>
    <w:rPr>
      <w:sz w:val="20"/>
      <w:szCs w:val="20"/>
    </w:rPr>
  </w:style>
  <w:style w:type="paragraph" w:styleId="CommentSubject">
    <w:name w:val="annotation subject"/>
    <w:basedOn w:val="CommentText"/>
    <w:next w:val="CommentText"/>
    <w:semiHidden/>
    <w:rsid w:val="009F316B"/>
    <w:rPr>
      <w:b/>
      <w:bCs/>
    </w:rPr>
  </w:style>
  <w:style w:type="paragraph" w:styleId="Header">
    <w:name w:val="header"/>
    <w:basedOn w:val="Normal"/>
    <w:rsid w:val="00521D1C"/>
    <w:pPr>
      <w:tabs>
        <w:tab w:val="center" w:pos="4320"/>
        <w:tab w:val="right" w:pos="8640"/>
      </w:tabs>
    </w:pPr>
  </w:style>
  <w:style w:type="paragraph" w:styleId="Caption">
    <w:name w:val="caption"/>
    <w:basedOn w:val="Normal"/>
    <w:next w:val="Normal"/>
    <w:link w:val="CaptionChar"/>
    <w:qFormat/>
    <w:rsid w:val="00035759"/>
    <w:rPr>
      <w:b/>
      <w:bCs/>
      <w:sz w:val="20"/>
      <w:szCs w:val="20"/>
    </w:rPr>
  </w:style>
  <w:style w:type="paragraph" w:styleId="EndnoteText">
    <w:name w:val="endnote text"/>
    <w:basedOn w:val="Normal"/>
    <w:link w:val="EndnoteTextChar"/>
    <w:semiHidden/>
    <w:rsid w:val="006421C0"/>
    <w:rPr>
      <w:sz w:val="20"/>
      <w:szCs w:val="20"/>
    </w:rPr>
  </w:style>
  <w:style w:type="character" w:styleId="EndnoteReference">
    <w:name w:val="endnote reference"/>
    <w:semiHidden/>
    <w:rsid w:val="006421C0"/>
    <w:rPr>
      <w:vertAlign w:val="superscript"/>
    </w:rPr>
  </w:style>
  <w:style w:type="character" w:styleId="FollowedHyperlink">
    <w:name w:val="FollowedHyperlink"/>
    <w:rsid w:val="00E2054C"/>
    <w:rPr>
      <w:color w:val="606420"/>
      <w:u w:val="single"/>
    </w:rPr>
  </w:style>
  <w:style w:type="paragraph" w:customStyle="1" w:styleId="font6">
    <w:name w:val="font6"/>
    <w:basedOn w:val="Normal"/>
    <w:rsid w:val="003C1239"/>
    <w:pPr>
      <w:spacing w:before="100" w:beforeAutospacing="1" w:after="100" w:afterAutospacing="1"/>
    </w:pPr>
    <w:rPr>
      <w:rFonts w:ascii="Tahoma" w:hAnsi="Tahoma" w:cs="Tahoma"/>
      <w:b/>
      <w:bCs/>
      <w:color w:val="000000"/>
      <w:sz w:val="16"/>
      <w:szCs w:val="16"/>
    </w:rPr>
  </w:style>
  <w:style w:type="paragraph" w:styleId="FootnoteText">
    <w:name w:val="footnote text"/>
    <w:basedOn w:val="Normal"/>
    <w:semiHidden/>
    <w:rsid w:val="008B33AE"/>
    <w:rPr>
      <w:sz w:val="20"/>
      <w:szCs w:val="20"/>
    </w:rPr>
  </w:style>
  <w:style w:type="character" w:styleId="FootnoteReference">
    <w:name w:val="footnote reference"/>
    <w:semiHidden/>
    <w:rsid w:val="008B33AE"/>
    <w:rPr>
      <w:vertAlign w:val="superscript"/>
    </w:rPr>
  </w:style>
  <w:style w:type="character" w:customStyle="1" w:styleId="EndnoteTextChar">
    <w:name w:val="Endnote Text Char"/>
    <w:link w:val="EndnoteText"/>
    <w:rsid w:val="00507110"/>
  </w:style>
  <w:style w:type="character" w:customStyle="1" w:styleId="CaptionChar">
    <w:name w:val="Caption Char"/>
    <w:link w:val="Caption"/>
    <w:locked/>
    <w:rsid w:val="002A6264"/>
    <w:rPr>
      <w:b/>
      <w:bCs/>
    </w:rPr>
  </w:style>
  <w:style w:type="character" w:customStyle="1" w:styleId="breadcrumbs">
    <w:name w:val="breadcrumbs"/>
    <w:rsid w:val="002A6264"/>
  </w:style>
  <w:style w:type="table" w:customStyle="1" w:styleId="TableGrid1">
    <w:name w:val="Table Grid1"/>
    <w:basedOn w:val="TableNormal"/>
    <w:next w:val="TableGrid"/>
    <w:rsid w:val="007751C7"/>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83448"/>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single" w:sz="12" w:space="1" w:color="auto"/>
            <w:right w:val="none" w:sz="0" w:space="0" w:color="auto"/>
          </w:divBdr>
        </w:div>
        <w:div w:id="2">
          <w:marLeft w:val="0"/>
          <w:marRight w:val="0"/>
          <w:marTop w:val="0"/>
          <w:marBottom w:val="0"/>
          <w:divBdr>
            <w:top w:val="none" w:sz="0" w:space="0" w:color="auto"/>
            <w:left w:val="none" w:sz="0" w:space="0" w:color="auto"/>
            <w:bottom w:val="single" w:sz="12" w:space="1" w:color="auto"/>
            <w:right w:val="none" w:sz="0" w:space="0" w:color="auto"/>
          </w:divBdr>
        </w:div>
        <w:div w:id="3">
          <w:marLeft w:val="0"/>
          <w:marRight w:val="0"/>
          <w:marTop w:val="0"/>
          <w:marBottom w:val="0"/>
          <w:divBdr>
            <w:top w:val="none" w:sz="0" w:space="0" w:color="auto"/>
            <w:left w:val="none" w:sz="0" w:space="0" w:color="auto"/>
            <w:bottom w:val="single" w:sz="12" w:space="1" w:color="auto"/>
            <w:right w:val="none" w:sz="0" w:space="0" w:color="auto"/>
          </w:divBdr>
        </w:div>
        <w:div w:id="4">
          <w:marLeft w:val="0"/>
          <w:marRight w:val="0"/>
          <w:marTop w:val="0"/>
          <w:marBottom w:val="0"/>
          <w:divBdr>
            <w:top w:val="none" w:sz="0" w:space="0" w:color="auto"/>
            <w:left w:val="none" w:sz="0" w:space="0" w:color="auto"/>
            <w:bottom w:val="single" w:sz="12" w:space="1"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single" w:sz="12" w:space="1" w:color="auto"/>
            <w:right w:val="none" w:sz="0" w:space="0" w:color="auto"/>
          </w:divBdr>
        </w:div>
        <w:div w:id="7">
          <w:marLeft w:val="0"/>
          <w:marRight w:val="0"/>
          <w:marTop w:val="0"/>
          <w:marBottom w:val="0"/>
          <w:divBdr>
            <w:top w:val="none" w:sz="0" w:space="0" w:color="auto"/>
            <w:left w:val="none" w:sz="0" w:space="0" w:color="auto"/>
            <w:bottom w:val="single" w:sz="8" w:space="1" w:color="auto"/>
            <w:right w:val="none" w:sz="0" w:space="0" w:color="auto"/>
          </w:divBdr>
        </w:div>
        <w:div w:id="9">
          <w:marLeft w:val="0"/>
          <w:marRight w:val="0"/>
          <w:marTop w:val="0"/>
          <w:marBottom w:val="0"/>
          <w:divBdr>
            <w:top w:val="none" w:sz="0" w:space="0" w:color="auto"/>
            <w:left w:val="none" w:sz="0" w:space="0" w:color="auto"/>
            <w:bottom w:val="single" w:sz="12" w:space="1" w:color="auto"/>
            <w:right w:val="none" w:sz="0" w:space="0" w:color="auto"/>
          </w:divBdr>
        </w:div>
        <w:div w:id="10">
          <w:marLeft w:val="0"/>
          <w:marRight w:val="0"/>
          <w:marTop w:val="0"/>
          <w:marBottom w:val="0"/>
          <w:divBdr>
            <w:top w:val="none" w:sz="0" w:space="0" w:color="auto"/>
            <w:left w:val="none" w:sz="0" w:space="0" w:color="auto"/>
            <w:bottom w:val="single" w:sz="12" w:space="1" w:color="auto"/>
            <w:right w:val="none" w:sz="0" w:space="0" w:color="auto"/>
          </w:divBdr>
        </w:div>
        <w:div w:id="11">
          <w:marLeft w:val="0"/>
          <w:marRight w:val="0"/>
          <w:marTop w:val="0"/>
          <w:marBottom w:val="0"/>
          <w:divBdr>
            <w:top w:val="none" w:sz="0" w:space="0" w:color="auto"/>
            <w:left w:val="none" w:sz="0" w:space="0" w:color="auto"/>
            <w:bottom w:val="single" w:sz="12" w:space="1" w:color="auto"/>
            <w:right w:val="none" w:sz="0" w:space="0" w:color="auto"/>
          </w:divBdr>
        </w:div>
        <w:div w:id="12">
          <w:marLeft w:val="0"/>
          <w:marRight w:val="0"/>
          <w:marTop w:val="0"/>
          <w:marBottom w:val="0"/>
          <w:divBdr>
            <w:top w:val="none" w:sz="0" w:space="0" w:color="auto"/>
            <w:left w:val="none" w:sz="0" w:space="0" w:color="auto"/>
            <w:bottom w:val="single" w:sz="12" w:space="1" w:color="auto"/>
            <w:right w:val="none" w:sz="0" w:space="0" w:color="auto"/>
          </w:divBdr>
        </w:div>
        <w:div w:id="13">
          <w:marLeft w:val="0"/>
          <w:marRight w:val="0"/>
          <w:marTop w:val="0"/>
          <w:marBottom w:val="0"/>
          <w:divBdr>
            <w:top w:val="none" w:sz="0" w:space="0" w:color="auto"/>
            <w:left w:val="none" w:sz="0" w:space="0" w:color="auto"/>
            <w:bottom w:val="single" w:sz="12" w:space="1" w:color="auto"/>
            <w:right w:val="none" w:sz="0" w:space="0" w:color="auto"/>
          </w:divBdr>
        </w:div>
      </w:divsChild>
    </w:div>
    <w:div w:id="15810906">
      <w:bodyDiv w:val="1"/>
      <w:marLeft w:val="0"/>
      <w:marRight w:val="0"/>
      <w:marTop w:val="0"/>
      <w:marBottom w:val="0"/>
      <w:divBdr>
        <w:top w:val="none" w:sz="0" w:space="0" w:color="auto"/>
        <w:left w:val="none" w:sz="0" w:space="0" w:color="auto"/>
        <w:bottom w:val="none" w:sz="0" w:space="0" w:color="auto"/>
        <w:right w:val="none" w:sz="0" w:space="0" w:color="auto"/>
      </w:divBdr>
    </w:div>
    <w:div w:id="19626036">
      <w:bodyDiv w:val="1"/>
      <w:marLeft w:val="0"/>
      <w:marRight w:val="0"/>
      <w:marTop w:val="0"/>
      <w:marBottom w:val="0"/>
      <w:divBdr>
        <w:top w:val="none" w:sz="0" w:space="0" w:color="auto"/>
        <w:left w:val="none" w:sz="0" w:space="0" w:color="auto"/>
        <w:bottom w:val="none" w:sz="0" w:space="0" w:color="auto"/>
        <w:right w:val="none" w:sz="0" w:space="0" w:color="auto"/>
      </w:divBdr>
      <w:divsChild>
        <w:div w:id="1326586101">
          <w:marLeft w:val="0"/>
          <w:marRight w:val="0"/>
          <w:marTop w:val="0"/>
          <w:marBottom w:val="0"/>
          <w:divBdr>
            <w:top w:val="none" w:sz="0" w:space="0" w:color="auto"/>
            <w:left w:val="none" w:sz="0" w:space="0" w:color="auto"/>
            <w:bottom w:val="none" w:sz="0" w:space="0" w:color="auto"/>
            <w:right w:val="none" w:sz="0" w:space="0" w:color="auto"/>
          </w:divBdr>
          <w:divsChild>
            <w:div w:id="1799637856">
              <w:marLeft w:val="0"/>
              <w:marRight w:val="0"/>
              <w:marTop w:val="0"/>
              <w:marBottom w:val="0"/>
              <w:divBdr>
                <w:top w:val="none" w:sz="0" w:space="0" w:color="auto"/>
                <w:left w:val="none" w:sz="0" w:space="0" w:color="auto"/>
                <w:bottom w:val="none" w:sz="0" w:space="0" w:color="auto"/>
                <w:right w:val="none" w:sz="0" w:space="0" w:color="auto"/>
              </w:divBdr>
              <w:divsChild>
                <w:div w:id="1995454597">
                  <w:marLeft w:val="0"/>
                  <w:marRight w:val="0"/>
                  <w:marTop w:val="0"/>
                  <w:marBottom w:val="0"/>
                  <w:divBdr>
                    <w:top w:val="none" w:sz="0" w:space="0" w:color="auto"/>
                    <w:left w:val="none" w:sz="0" w:space="0" w:color="auto"/>
                    <w:bottom w:val="none" w:sz="0" w:space="0" w:color="auto"/>
                    <w:right w:val="none" w:sz="0" w:space="0" w:color="auto"/>
                  </w:divBdr>
                  <w:divsChild>
                    <w:div w:id="1765371381">
                      <w:marLeft w:val="0"/>
                      <w:marRight w:val="0"/>
                      <w:marTop w:val="0"/>
                      <w:marBottom w:val="0"/>
                      <w:divBdr>
                        <w:top w:val="none" w:sz="0" w:space="0" w:color="auto"/>
                        <w:left w:val="none" w:sz="0" w:space="0" w:color="auto"/>
                        <w:bottom w:val="none" w:sz="0" w:space="0" w:color="auto"/>
                        <w:right w:val="none" w:sz="0" w:space="0" w:color="auto"/>
                      </w:divBdr>
                      <w:divsChild>
                        <w:div w:id="1528135395">
                          <w:marLeft w:val="0"/>
                          <w:marRight w:val="0"/>
                          <w:marTop w:val="0"/>
                          <w:marBottom w:val="0"/>
                          <w:divBdr>
                            <w:top w:val="none" w:sz="0" w:space="0" w:color="auto"/>
                            <w:left w:val="none" w:sz="0" w:space="0" w:color="auto"/>
                            <w:bottom w:val="none" w:sz="0" w:space="0" w:color="auto"/>
                            <w:right w:val="none" w:sz="0" w:space="0" w:color="auto"/>
                          </w:divBdr>
                          <w:divsChild>
                            <w:div w:id="993605218">
                              <w:marLeft w:val="0"/>
                              <w:marRight w:val="0"/>
                              <w:marTop w:val="0"/>
                              <w:marBottom w:val="0"/>
                              <w:divBdr>
                                <w:top w:val="none" w:sz="0" w:space="0" w:color="auto"/>
                                <w:left w:val="none" w:sz="0" w:space="0" w:color="auto"/>
                                <w:bottom w:val="none" w:sz="0" w:space="0" w:color="auto"/>
                                <w:right w:val="none" w:sz="0" w:space="0" w:color="auto"/>
                              </w:divBdr>
                              <w:divsChild>
                                <w:div w:id="983850539">
                                  <w:marLeft w:val="0"/>
                                  <w:marRight w:val="0"/>
                                  <w:marTop w:val="0"/>
                                  <w:marBottom w:val="0"/>
                                  <w:divBdr>
                                    <w:top w:val="none" w:sz="0" w:space="0" w:color="auto"/>
                                    <w:left w:val="none" w:sz="0" w:space="0" w:color="auto"/>
                                    <w:bottom w:val="none" w:sz="0" w:space="0" w:color="auto"/>
                                    <w:right w:val="none" w:sz="0" w:space="0" w:color="auto"/>
                                  </w:divBdr>
                                  <w:divsChild>
                                    <w:div w:id="715661379">
                                      <w:marLeft w:val="0"/>
                                      <w:marRight w:val="0"/>
                                      <w:marTop w:val="0"/>
                                      <w:marBottom w:val="0"/>
                                      <w:divBdr>
                                        <w:top w:val="none" w:sz="0" w:space="0" w:color="auto"/>
                                        <w:left w:val="none" w:sz="0" w:space="0" w:color="auto"/>
                                        <w:bottom w:val="none" w:sz="0" w:space="0" w:color="auto"/>
                                        <w:right w:val="none" w:sz="0" w:space="0" w:color="auto"/>
                                      </w:divBdr>
                                      <w:divsChild>
                                        <w:div w:id="22788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905159">
      <w:bodyDiv w:val="1"/>
      <w:marLeft w:val="0"/>
      <w:marRight w:val="0"/>
      <w:marTop w:val="0"/>
      <w:marBottom w:val="0"/>
      <w:divBdr>
        <w:top w:val="none" w:sz="0" w:space="0" w:color="auto"/>
        <w:left w:val="none" w:sz="0" w:space="0" w:color="auto"/>
        <w:bottom w:val="none" w:sz="0" w:space="0" w:color="auto"/>
        <w:right w:val="none" w:sz="0" w:space="0" w:color="auto"/>
      </w:divBdr>
    </w:div>
    <w:div w:id="132258743">
      <w:bodyDiv w:val="1"/>
      <w:marLeft w:val="0"/>
      <w:marRight w:val="0"/>
      <w:marTop w:val="0"/>
      <w:marBottom w:val="0"/>
      <w:divBdr>
        <w:top w:val="none" w:sz="0" w:space="0" w:color="auto"/>
        <w:left w:val="none" w:sz="0" w:space="0" w:color="auto"/>
        <w:bottom w:val="none" w:sz="0" w:space="0" w:color="auto"/>
        <w:right w:val="none" w:sz="0" w:space="0" w:color="auto"/>
      </w:divBdr>
    </w:div>
    <w:div w:id="195504184">
      <w:bodyDiv w:val="1"/>
      <w:marLeft w:val="0"/>
      <w:marRight w:val="0"/>
      <w:marTop w:val="0"/>
      <w:marBottom w:val="0"/>
      <w:divBdr>
        <w:top w:val="none" w:sz="0" w:space="0" w:color="auto"/>
        <w:left w:val="none" w:sz="0" w:space="0" w:color="auto"/>
        <w:bottom w:val="none" w:sz="0" w:space="0" w:color="auto"/>
        <w:right w:val="none" w:sz="0" w:space="0" w:color="auto"/>
      </w:divBdr>
    </w:div>
    <w:div w:id="224143345">
      <w:bodyDiv w:val="1"/>
      <w:marLeft w:val="0"/>
      <w:marRight w:val="0"/>
      <w:marTop w:val="0"/>
      <w:marBottom w:val="0"/>
      <w:divBdr>
        <w:top w:val="none" w:sz="0" w:space="0" w:color="auto"/>
        <w:left w:val="none" w:sz="0" w:space="0" w:color="auto"/>
        <w:bottom w:val="none" w:sz="0" w:space="0" w:color="auto"/>
        <w:right w:val="none" w:sz="0" w:space="0" w:color="auto"/>
      </w:divBdr>
    </w:div>
    <w:div w:id="301887431">
      <w:bodyDiv w:val="1"/>
      <w:marLeft w:val="0"/>
      <w:marRight w:val="0"/>
      <w:marTop w:val="0"/>
      <w:marBottom w:val="0"/>
      <w:divBdr>
        <w:top w:val="none" w:sz="0" w:space="0" w:color="auto"/>
        <w:left w:val="none" w:sz="0" w:space="0" w:color="auto"/>
        <w:bottom w:val="none" w:sz="0" w:space="0" w:color="auto"/>
        <w:right w:val="none" w:sz="0" w:space="0" w:color="auto"/>
      </w:divBdr>
    </w:div>
    <w:div w:id="348991839">
      <w:bodyDiv w:val="1"/>
      <w:marLeft w:val="0"/>
      <w:marRight w:val="0"/>
      <w:marTop w:val="0"/>
      <w:marBottom w:val="0"/>
      <w:divBdr>
        <w:top w:val="none" w:sz="0" w:space="0" w:color="auto"/>
        <w:left w:val="none" w:sz="0" w:space="0" w:color="auto"/>
        <w:bottom w:val="none" w:sz="0" w:space="0" w:color="auto"/>
        <w:right w:val="none" w:sz="0" w:space="0" w:color="auto"/>
      </w:divBdr>
    </w:div>
    <w:div w:id="369963811">
      <w:bodyDiv w:val="1"/>
      <w:marLeft w:val="0"/>
      <w:marRight w:val="0"/>
      <w:marTop w:val="0"/>
      <w:marBottom w:val="0"/>
      <w:divBdr>
        <w:top w:val="none" w:sz="0" w:space="0" w:color="auto"/>
        <w:left w:val="none" w:sz="0" w:space="0" w:color="auto"/>
        <w:bottom w:val="none" w:sz="0" w:space="0" w:color="auto"/>
        <w:right w:val="none" w:sz="0" w:space="0" w:color="auto"/>
      </w:divBdr>
    </w:div>
    <w:div w:id="402870423">
      <w:bodyDiv w:val="1"/>
      <w:marLeft w:val="0"/>
      <w:marRight w:val="0"/>
      <w:marTop w:val="0"/>
      <w:marBottom w:val="0"/>
      <w:divBdr>
        <w:top w:val="none" w:sz="0" w:space="0" w:color="auto"/>
        <w:left w:val="none" w:sz="0" w:space="0" w:color="auto"/>
        <w:bottom w:val="none" w:sz="0" w:space="0" w:color="auto"/>
        <w:right w:val="none" w:sz="0" w:space="0" w:color="auto"/>
      </w:divBdr>
    </w:div>
    <w:div w:id="422531360">
      <w:bodyDiv w:val="1"/>
      <w:marLeft w:val="0"/>
      <w:marRight w:val="0"/>
      <w:marTop w:val="0"/>
      <w:marBottom w:val="0"/>
      <w:divBdr>
        <w:top w:val="none" w:sz="0" w:space="0" w:color="auto"/>
        <w:left w:val="none" w:sz="0" w:space="0" w:color="auto"/>
        <w:bottom w:val="none" w:sz="0" w:space="0" w:color="auto"/>
        <w:right w:val="none" w:sz="0" w:space="0" w:color="auto"/>
      </w:divBdr>
    </w:div>
    <w:div w:id="494416352">
      <w:bodyDiv w:val="1"/>
      <w:marLeft w:val="0"/>
      <w:marRight w:val="0"/>
      <w:marTop w:val="0"/>
      <w:marBottom w:val="0"/>
      <w:divBdr>
        <w:top w:val="none" w:sz="0" w:space="0" w:color="auto"/>
        <w:left w:val="none" w:sz="0" w:space="0" w:color="auto"/>
        <w:bottom w:val="none" w:sz="0" w:space="0" w:color="auto"/>
        <w:right w:val="none" w:sz="0" w:space="0" w:color="auto"/>
      </w:divBdr>
    </w:div>
    <w:div w:id="513418417">
      <w:bodyDiv w:val="1"/>
      <w:marLeft w:val="0"/>
      <w:marRight w:val="0"/>
      <w:marTop w:val="0"/>
      <w:marBottom w:val="0"/>
      <w:divBdr>
        <w:top w:val="none" w:sz="0" w:space="0" w:color="auto"/>
        <w:left w:val="none" w:sz="0" w:space="0" w:color="auto"/>
        <w:bottom w:val="none" w:sz="0" w:space="0" w:color="auto"/>
        <w:right w:val="none" w:sz="0" w:space="0" w:color="auto"/>
      </w:divBdr>
    </w:div>
    <w:div w:id="525023946">
      <w:bodyDiv w:val="1"/>
      <w:marLeft w:val="0"/>
      <w:marRight w:val="0"/>
      <w:marTop w:val="0"/>
      <w:marBottom w:val="0"/>
      <w:divBdr>
        <w:top w:val="none" w:sz="0" w:space="0" w:color="auto"/>
        <w:left w:val="none" w:sz="0" w:space="0" w:color="auto"/>
        <w:bottom w:val="none" w:sz="0" w:space="0" w:color="auto"/>
        <w:right w:val="none" w:sz="0" w:space="0" w:color="auto"/>
      </w:divBdr>
    </w:div>
    <w:div w:id="536164304">
      <w:bodyDiv w:val="1"/>
      <w:marLeft w:val="0"/>
      <w:marRight w:val="0"/>
      <w:marTop w:val="0"/>
      <w:marBottom w:val="0"/>
      <w:divBdr>
        <w:top w:val="none" w:sz="0" w:space="0" w:color="auto"/>
        <w:left w:val="none" w:sz="0" w:space="0" w:color="auto"/>
        <w:bottom w:val="none" w:sz="0" w:space="0" w:color="auto"/>
        <w:right w:val="none" w:sz="0" w:space="0" w:color="auto"/>
      </w:divBdr>
    </w:div>
    <w:div w:id="652757334">
      <w:bodyDiv w:val="1"/>
      <w:marLeft w:val="0"/>
      <w:marRight w:val="0"/>
      <w:marTop w:val="0"/>
      <w:marBottom w:val="0"/>
      <w:divBdr>
        <w:top w:val="none" w:sz="0" w:space="0" w:color="auto"/>
        <w:left w:val="none" w:sz="0" w:space="0" w:color="auto"/>
        <w:bottom w:val="none" w:sz="0" w:space="0" w:color="auto"/>
        <w:right w:val="none" w:sz="0" w:space="0" w:color="auto"/>
      </w:divBdr>
    </w:div>
    <w:div w:id="701978370">
      <w:bodyDiv w:val="1"/>
      <w:marLeft w:val="0"/>
      <w:marRight w:val="0"/>
      <w:marTop w:val="0"/>
      <w:marBottom w:val="0"/>
      <w:divBdr>
        <w:top w:val="none" w:sz="0" w:space="0" w:color="auto"/>
        <w:left w:val="none" w:sz="0" w:space="0" w:color="auto"/>
        <w:bottom w:val="none" w:sz="0" w:space="0" w:color="auto"/>
        <w:right w:val="none" w:sz="0" w:space="0" w:color="auto"/>
      </w:divBdr>
    </w:div>
    <w:div w:id="774832444">
      <w:bodyDiv w:val="1"/>
      <w:marLeft w:val="0"/>
      <w:marRight w:val="0"/>
      <w:marTop w:val="0"/>
      <w:marBottom w:val="0"/>
      <w:divBdr>
        <w:top w:val="none" w:sz="0" w:space="0" w:color="auto"/>
        <w:left w:val="none" w:sz="0" w:space="0" w:color="auto"/>
        <w:bottom w:val="none" w:sz="0" w:space="0" w:color="auto"/>
        <w:right w:val="none" w:sz="0" w:space="0" w:color="auto"/>
      </w:divBdr>
    </w:div>
    <w:div w:id="815797879">
      <w:bodyDiv w:val="1"/>
      <w:marLeft w:val="0"/>
      <w:marRight w:val="0"/>
      <w:marTop w:val="0"/>
      <w:marBottom w:val="0"/>
      <w:divBdr>
        <w:top w:val="none" w:sz="0" w:space="0" w:color="auto"/>
        <w:left w:val="none" w:sz="0" w:space="0" w:color="auto"/>
        <w:bottom w:val="none" w:sz="0" w:space="0" w:color="auto"/>
        <w:right w:val="none" w:sz="0" w:space="0" w:color="auto"/>
      </w:divBdr>
    </w:div>
    <w:div w:id="845362678">
      <w:bodyDiv w:val="1"/>
      <w:marLeft w:val="0"/>
      <w:marRight w:val="0"/>
      <w:marTop w:val="0"/>
      <w:marBottom w:val="0"/>
      <w:divBdr>
        <w:top w:val="none" w:sz="0" w:space="0" w:color="auto"/>
        <w:left w:val="none" w:sz="0" w:space="0" w:color="auto"/>
        <w:bottom w:val="none" w:sz="0" w:space="0" w:color="auto"/>
        <w:right w:val="none" w:sz="0" w:space="0" w:color="auto"/>
      </w:divBdr>
    </w:div>
    <w:div w:id="869337586">
      <w:bodyDiv w:val="1"/>
      <w:marLeft w:val="0"/>
      <w:marRight w:val="0"/>
      <w:marTop w:val="0"/>
      <w:marBottom w:val="0"/>
      <w:divBdr>
        <w:top w:val="none" w:sz="0" w:space="0" w:color="auto"/>
        <w:left w:val="none" w:sz="0" w:space="0" w:color="auto"/>
        <w:bottom w:val="none" w:sz="0" w:space="0" w:color="auto"/>
        <w:right w:val="none" w:sz="0" w:space="0" w:color="auto"/>
      </w:divBdr>
    </w:div>
    <w:div w:id="886995371">
      <w:bodyDiv w:val="1"/>
      <w:marLeft w:val="0"/>
      <w:marRight w:val="0"/>
      <w:marTop w:val="0"/>
      <w:marBottom w:val="0"/>
      <w:divBdr>
        <w:top w:val="none" w:sz="0" w:space="0" w:color="auto"/>
        <w:left w:val="none" w:sz="0" w:space="0" w:color="auto"/>
        <w:bottom w:val="none" w:sz="0" w:space="0" w:color="auto"/>
        <w:right w:val="none" w:sz="0" w:space="0" w:color="auto"/>
      </w:divBdr>
    </w:div>
    <w:div w:id="888609428">
      <w:bodyDiv w:val="1"/>
      <w:marLeft w:val="0"/>
      <w:marRight w:val="0"/>
      <w:marTop w:val="0"/>
      <w:marBottom w:val="0"/>
      <w:divBdr>
        <w:top w:val="none" w:sz="0" w:space="0" w:color="auto"/>
        <w:left w:val="none" w:sz="0" w:space="0" w:color="auto"/>
        <w:bottom w:val="none" w:sz="0" w:space="0" w:color="auto"/>
        <w:right w:val="none" w:sz="0" w:space="0" w:color="auto"/>
      </w:divBdr>
    </w:div>
    <w:div w:id="937055969">
      <w:bodyDiv w:val="1"/>
      <w:marLeft w:val="0"/>
      <w:marRight w:val="0"/>
      <w:marTop w:val="0"/>
      <w:marBottom w:val="0"/>
      <w:divBdr>
        <w:top w:val="none" w:sz="0" w:space="0" w:color="auto"/>
        <w:left w:val="none" w:sz="0" w:space="0" w:color="auto"/>
        <w:bottom w:val="none" w:sz="0" w:space="0" w:color="auto"/>
        <w:right w:val="none" w:sz="0" w:space="0" w:color="auto"/>
      </w:divBdr>
    </w:div>
    <w:div w:id="961766436">
      <w:bodyDiv w:val="1"/>
      <w:marLeft w:val="0"/>
      <w:marRight w:val="0"/>
      <w:marTop w:val="0"/>
      <w:marBottom w:val="0"/>
      <w:divBdr>
        <w:top w:val="none" w:sz="0" w:space="0" w:color="auto"/>
        <w:left w:val="none" w:sz="0" w:space="0" w:color="auto"/>
        <w:bottom w:val="none" w:sz="0" w:space="0" w:color="auto"/>
        <w:right w:val="none" w:sz="0" w:space="0" w:color="auto"/>
      </w:divBdr>
    </w:div>
    <w:div w:id="996688970">
      <w:bodyDiv w:val="1"/>
      <w:marLeft w:val="0"/>
      <w:marRight w:val="0"/>
      <w:marTop w:val="0"/>
      <w:marBottom w:val="0"/>
      <w:divBdr>
        <w:top w:val="none" w:sz="0" w:space="0" w:color="auto"/>
        <w:left w:val="none" w:sz="0" w:space="0" w:color="auto"/>
        <w:bottom w:val="none" w:sz="0" w:space="0" w:color="auto"/>
        <w:right w:val="none" w:sz="0" w:space="0" w:color="auto"/>
      </w:divBdr>
    </w:div>
    <w:div w:id="1008025600">
      <w:bodyDiv w:val="1"/>
      <w:marLeft w:val="0"/>
      <w:marRight w:val="0"/>
      <w:marTop w:val="0"/>
      <w:marBottom w:val="0"/>
      <w:divBdr>
        <w:top w:val="none" w:sz="0" w:space="0" w:color="auto"/>
        <w:left w:val="none" w:sz="0" w:space="0" w:color="auto"/>
        <w:bottom w:val="none" w:sz="0" w:space="0" w:color="auto"/>
        <w:right w:val="none" w:sz="0" w:space="0" w:color="auto"/>
      </w:divBdr>
    </w:div>
    <w:div w:id="1077089860">
      <w:bodyDiv w:val="1"/>
      <w:marLeft w:val="0"/>
      <w:marRight w:val="0"/>
      <w:marTop w:val="0"/>
      <w:marBottom w:val="0"/>
      <w:divBdr>
        <w:top w:val="none" w:sz="0" w:space="0" w:color="auto"/>
        <w:left w:val="none" w:sz="0" w:space="0" w:color="auto"/>
        <w:bottom w:val="none" w:sz="0" w:space="0" w:color="auto"/>
        <w:right w:val="none" w:sz="0" w:space="0" w:color="auto"/>
      </w:divBdr>
    </w:div>
    <w:div w:id="1143817340">
      <w:bodyDiv w:val="1"/>
      <w:marLeft w:val="0"/>
      <w:marRight w:val="0"/>
      <w:marTop w:val="0"/>
      <w:marBottom w:val="0"/>
      <w:divBdr>
        <w:top w:val="none" w:sz="0" w:space="0" w:color="auto"/>
        <w:left w:val="none" w:sz="0" w:space="0" w:color="auto"/>
        <w:bottom w:val="none" w:sz="0" w:space="0" w:color="auto"/>
        <w:right w:val="none" w:sz="0" w:space="0" w:color="auto"/>
      </w:divBdr>
    </w:div>
    <w:div w:id="1304500602">
      <w:bodyDiv w:val="1"/>
      <w:marLeft w:val="0"/>
      <w:marRight w:val="0"/>
      <w:marTop w:val="0"/>
      <w:marBottom w:val="0"/>
      <w:divBdr>
        <w:top w:val="none" w:sz="0" w:space="0" w:color="auto"/>
        <w:left w:val="none" w:sz="0" w:space="0" w:color="auto"/>
        <w:bottom w:val="none" w:sz="0" w:space="0" w:color="auto"/>
        <w:right w:val="none" w:sz="0" w:space="0" w:color="auto"/>
      </w:divBdr>
    </w:div>
    <w:div w:id="1318612929">
      <w:bodyDiv w:val="1"/>
      <w:marLeft w:val="0"/>
      <w:marRight w:val="0"/>
      <w:marTop w:val="0"/>
      <w:marBottom w:val="0"/>
      <w:divBdr>
        <w:top w:val="none" w:sz="0" w:space="0" w:color="auto"/>
        <w:left w:val="none" w:sz="0" w:space="0" w:color="auto"/>
        <w:bottom w:val="none" w:sz="0" w:space="0" w:color="auto"/>
        <w:right w:val="none" w:sz="0" w:space="0" w:color="auto"/>
      </w:divBdr>
    </w:div>
    <w:div w:id="1331719153">
      <w:bodyDiv w:val="1"/>
      <w:marLeft w:val="0"/>
      <w:marRight w:val="0"/>
      <w:marTop w:val="0"/>
      <w:marBottom w:val="0"/>
      <w:divBdr>
        <w:top w:val="none" w:sz="0" w:space="0" w:color="auto"/>
        <w:left w:val="none" w:sz="0" w:space="0" w:color="auto"/>
        <w:bottom w:val="none" w:sz="0" w:space="0" w:color="auto"/>
        <w:right w:val="none" w:sz="0" w:space="0" w:color="auto"/>
      </w:divBdr>
    </w:div>
    <w:div w:id="1453936570">
      <w:bodyDiv w:val="1"/>
      <w:marLeft w:val="0"/>
      <w:marRight w:val="0"/>
      <w:marTop w:val="0"/>
      <w:marBottom w:val="0"/>
      <w:divBdr>
        <w:top w:val="none" w:sz="0" w:space="0" w:color="auto"/>
        <w:left w:val="none" w:sz="0" w:space="0" w:color="auto"/>
        <w:bottom w:val="none" w:sz="0" w:space="0" w:color="auto"/>
        <w:right w:val="none" w:sz="0" w:space="0" w:color="auto"/>
      </w:divBdr>
    </w:div>
    <w:div w:id="1638488829">
      <w:bodyDiv w:val="1"/>
      <w:marLeft w:val="0"/>
      <w:marRight w:val="0"/>
      <w:marTop w:val="0"/>
      <w:marBottom w:val="0"/>
      <w:divBdr>
        <w:top w:val="none" w:sz="0" w:space="0" w:color="auto"/>
        <w:left w:val="none" w:sz="0" w:space="0" w:color="auto"/>
        <w:bottom w:val="none" w:sz="0" w:space="0" w:color="auto"/>
        <w:right w:val="none" w:sz="0" w:space="0" w:color="auto"/>
      </w:divBdr>
    </w:div>
    <w:div w:id="1685863564">
      <w:bodyDiv w:val="1"/>
      <w:marLeft w:val="0"/>
      <w:marRight w:val="0"/>
      <w:marTop w:val="0"/>
      <w:marBottom w:val="0"/>
      <w:divBdr>
        <w:top w:val="none" w:sz="0" w:space="0" w:color="auto"/>
        <w:left w:val="none" w:sz="0" w:space="0" w:color="auto"/>
        <w:bottom w:val="none" w:sz="0" w:space="0" w:color="auto"/>
        <w:right w:val="none" w:sz="0" w:space="0" w:color="auto"/>
      </w:divBdr>
    </w:div>
    <w:div w:id="1748917141">
      <w:bodyDiv w:val="1"/>
      <w:marLeft w:val="0"/>
      <w:marRight w:val="0"/>
      <w:marTop w:val="0"/>
      <w:marBottom w:val="0"/>
      <w:divBdr>
        <w:top w:val="none" w:sz="0" w:space="0" w:color="auto"/>
        <w:left w:val="none" w:sz="0" w:space="0" w:color="auto"/>
        <w:bottom w:val="none" w:sz="0" w:space="0" w:color="auto"/>
        <w:right w:val="none" w:sz="0" w:space="0" w:color="auto"/>
      </w:divBdr>
    </w:div>
    <w:div w:id="1801144517">
      <w:bodyDiv w:val="1"/>
      <w:marLeft w:val="0"/>
      <w:marRight w:val="0"/>
      <w:marTop w:val="0"/>
      <w:marBottom w:val="0"/>
      <w:divBdr>
        <w:top w:val="none" w:sz="0" w:space="0" w:color="auto"/>
        <w:left w:val="none" w:sz="0" w:space="0" w:color="auto"/>
        <w:bottom w:val="none" w:sz="0" w:space="0" w:color="auto"/>
        <w:right w:val="none" w:sz="0" w:space="0" w:color="auto"/>
      </w:divBdr>
    </w:div>
    <w:div w:id="188031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oleObject" Target="embeddings/oleObject2.bin"/><Relationship Id="rId26" Type="http://schemas.openxmlformats.org/officeDocument/2006/relationships/oleObject" Target="embeddings/oleObject6.bin"/><Relationship Id="rId3" Type="http://schemas.openxmlformats.org/officeDocument/2006/relationships/customXml" Target="../customXml/item3.xml"/><Relationship Id="rId21" Type="http://schemas.openxmlformats.org/officeDocument/2006/relationships/image" Target="media/image4.wmf"/><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24" Type="http://schemas.openxmlformats.org/officeDocument/2006/relationships/oleObject" Target="embeddings/oleObject5.bin"/><Relationship Id="rId5" Type="http://schemas.openxmlformats.org/officeDocument/2006/relationships/styles" Target="styles.xml"/><Relationship Id="rId15" Type="http://schemas.openxmlformats.org/officeDocument/2006/relationships/image" Target="media/image1.wmf"/><Relationship Id="rId23" Type="http://schemas.openxmlformats.org/officeDocument/2006/relationships/image" Target="media/image5.wmf"/><Relationship Id="rId28" Type="http://schemas.openxmlformats.org/officeDocument/2006/relationships/chart" Target="charts/chart2.xml"/><Relationship Id="rId10" Type="http://schemas.openxmlformats.org/officeDocument/2006/relationships/endnotes" Target="endnotes.xml"/><Relationship Id="rId19"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eeresources.com" TargetMode="External"/><Relationship Id="rId22" Type="http://schemas.openxmlformats.org/officeDocument/2006/relationships/oleObject" Target="embeddings/oleObject4.bin"/><Relationship Id="rId27" Type="http://schemas.openxmlformats.org/officeDocument/2006/relationships/chart" Target="charts/chart1.xml"/><Relationship Id="rId30"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www.deeresources.com/index.php/deer-versions/2015-uncertain-measures-update" TargetMode="External"/><Relationship Id="rId1" Type="http://schemas.openxmlformats.org/officeDocument/2006/relationships/hyperlink" Target="http://www.deeresources.co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l2we\AppData\Local\Microsoft\Windows\Temporary%20Internet%20Files\Content.Outlook\VYDE0M2J\PGE%20CFL%20Lamp%20DEER2016%20Cost%20Updates%20(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l2we\AppData\Local\Microsoft\Windows\Temporary%20Internet%20Files\Content.Outlook\VYDE0M2J\PGE%20CFL%20Lamp%20DEER2016%20Cost%20Updates%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CFL Cost per Lamp</c:v>
          </c:tx>
          <c:spPr>
            <a:ln w="28575">
              <a:noFill/>
            </a:ln>
          </c:spPr>
          <c:trendline>
            <c:trendlineType val="linear"/>
            <c:dispRSqr val="1"/>
            <c:dispEq val="1"/>
            <c:trendlineLbl>
              <c:layout>
                <c:manualLayout>
                  <c:x val="0.41761745406824147"/>
                  <c:y val="-4.1615266841644794E-2"/>
                </c:manualLayout>
              </c:layout>
              <c:tx>
                <c:rich>
                  <a:bodyPr/>
                  <a:lstStyle/>
                  <a:p>
                    <a:pPr>
                      <a:defRPr/>
                    </a:pPr>
                    <a:r>
                      <a:rPr lang="en-US" u="sng" baseline="0"/>
                      <a:t>Equation:</a:t>
                    </a:r>
                  </a:p>
                  <a:p>
                    <a:pPr>
                      <a:defRPr/>
                    </a:pPr>
                    <a:r>
                      <a:rPr lang="en-US" baseline="0"/>
                      <a:t>y = 0.0517x + 1.115
R² = 0.9838</a:t>
                    </a:r>
                    <a:endParaRPr lang="en-US"/>
                  </a:p>
                </c:rich>
              </c:tx>
              <c:numFmt formatCode="General" sourceLinked="0"/>
            </c:trendlineLbl>
          </c:trendline>
          <c:xVal>
            <c:numRef>
              <c:f>Graph!$D$2:$D$17</c:f>
              <c:numCache>
                <c:formatCode>General</c:formatCode>
                <c:ptCount val="16"/>
                <c:pt idx="0">
                  <c:v>11</c:v>
                </c:pt>
                <c:pt idx="1">
                  <c:v>13</c:v>
                </c:pt>
                <c:pt idx="2">
                  <c:v>14</c:v>
                </c:pt>
                <c:pt idx="3">
                  <c:v>15</c:v>
                </c:pt>
                <c:pt idx="4">
                  <c:v>16</c:v>
                </c:pt>
                <c:pt idx="5">
                  <c:v>17</c:v>
                </c:pt>
                <c:pt idx="6">
                  <c:v>18</c:v>
                </c:pt>
                <c:pt idx="7">
                  <c:v>19</c:v>
                </c:pt>
                <c:pt idx="8">
                  <c:v>20</c:v>
                </c:pt>
                <c:pt idx="9">
                  <c:v>22</c:v>
                </c:pt>
                <c:pt idx="10">
                  <c:v>23</c:v>
                </c:pt>
                <c:pt idx="11">
                  <c:v>25</c:v>
                </c:pt>
                <c:pt idx="12">
                  <c:v>27</c:v>
                </c:pt>
                <c:pt idx="13">
                  <c:v>28</c:v>
                </c:pt>
                <c:pt idx="14">
                  <c:v>32</c:v>
                </c:pt>
                <c:pt idx="15">
                  <c:v>42</c:v>
                </c:pt>
              </c:numCache>
            </c:numRef>
          </c:xVal>
          <c:yVal>
            <c:numRef>
              <c:f>Graph!$E$2:$E$17</c:f>
              <c:numCache>
                <c:formatCode>"$"#,##0.00</c:formatCode>
                <c:ptCount val="16"/>
                <c:pt idx="0">
                  <c:v>1.7305568059429821</c:v>
                </c:pt>
                <c:pt idx="1">
                  <c:v>1.822396805942982</c:v>
                </c:pt>
                <c:pt idx="2">
                  <c:v>1.8710768059429821</c:v>
                </c:pt>
                <c:pt idx="3">
                  <c:v>1.914236805942982</c:v>
                </c:pt>
                <c:pt idx="4">
                  <c:v>1.9629168059429816</c:v>
                </c:pt>
                <c:pt idx="5">
                  <c:v>2.0060768059429819</c:v>
                </c:pt>
                <c:pt idx="6">
                  <c:v>2.0492368059429822</c:v>
                </c:pt>
                <c:pt idx="7">
                  <c:v>2.0979168059429818</c:v>
                </c:pt>
                <c:pt idx="8">
                  <c:v>2.1410768059429817</c:v>
                </c:pt>
                <c:pt idx="9">
                  <c:v>2.2276368059429821</c:v>
                </c:pt>
                <c:pt idx="10">
                  <c:v>2.2551968059429819</c:v>
                </c:pt>
                <c:pt idx="11">
                  <c:v>2.3100768059429821</c:v>
                </c:pt>
                <c:pt idx="12">
                  <c:v>2.4397568059429822</c:v>
                </c:pt>
                <c:pt idx="13">
                  <c:v>2.5044768059429821</c:v>
                </c:pt>
                <c:pt idx="14">
                  <c:v>2.7638368059429812</c:v>
                </c:pt>
                <c:pt idx="15">
                  <c:v>3.4122368059429817</c:v>
                </c:pt>
              </c:numCache>
            </c:numRef>
          </c:yVal>
          <c:smooth val="0"/>
        </c:ser>
        <c:dLbls>
          <c:showLegendKey val="0"/>
          <c:showVal val="0"/>
          <c:showCatName val="0"/>
          <c:showSerName val="0"/>
          <c:showPercent val="0"/>
          <c:showBubbleSize val="0"/>
        </c:dLbls>
        <c:axId val="80434304"/>
        <c:axId val="80436608"/>
      </c:scatterChart>
      <c:valAx>
        <c:axId val="80434304"/>
        <c:scaling>
          <c:orientation val="minMax"/>
        </c:scaling>
        <c:delete val="0"/>
        <c:axPos val="b"/>
        <c:title>
          <c:tx>
            <c:rich>
              <a:bodyPr/>
              <a:lstStyle/>
              <a:p>
                <a:pPr>
                  <a:defRPr/>
                </a:pPr>
                <a:r>
                  <a:rPr lang="en-US"/>
                  <a:t>CFL Wattage [W]</a:t>
                </a:r>
              </a:p>
            </c:rich>
          </c:tx>
          <c:overlay val="0"/>
        </c:title>
        <c:numFmt formatCode="General" sourceLinked="1"/>
        <c:majorTickMark val="out"/>
        <c:minorTickMark val="none"/>
        <c:tickLblPos val="nextTo"/>
        <c:crossAx val="80436608"/>
        <c:crosses val="autoZero"/>
        <c:crossBetween val="midCat"/>
      </c:valAx>
      <c:valAx>
        <c:axId val="80436608"/>
        <c:scaling>
          <c:orientation val="minMax"/>
        </c:scaling>
        <c:delete val="0"/>
        <c:axPos val="l"/>
        <c:majorGridlines/>
        <c:title>
          <c:tx>
            <c:rich>
              <a:bodyPr rot="-5400000" vert="horz"/>
              <a:lstStyle/>
              <a:p>
                <a:pPr>
                  <a:defRPr/>
                </a:pPr>
                <a:r>
                  <a:rPr lang="en-US"/>
                  <a:t>Increemental</a:t>
                </a:r>
                <a:r>
                  <a:rPr lang="en-US" baseline="0"/>
                  <a:t> Cost per Lamp [$]</a:t>
                </a:r>
                <a:endParaRPr lang="en-US"/>
              </a:p>
            </c:rich>
          </c:tx>
          <c:overlay val="0"/>
        </c:title>
        <c:numFmt formatCode="&quot;$&quot;#,##0.00" sourceLinked="1"/>
        <c:majorTickMark val="out"/>
        <c:minorTickMark val="none"/>
        <c:tickLblPos val="nextTo"/>
        <c:crossAx val="80434304"/>
        <c:crosses val="autoZero"/>
        <c:crossBetween val="midCat"/>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Graph!$E$37</c:f>
              <c:strCache>
                <c:ptCount val="1"/>
                <c:pt idx="0">
                  <c:v>CFL Cost per Lamp</c:v>
                </c:pt>
              </c:strCache>
            </c:strRef>
          </c:tx>
          <c:spPr>
            <a:ln w="28575">
              <a:noFill/>
            </a:ln>
          </c:spPr>
          <c:trendline>
            <c:trendlineType val="linear"/>
            <c:dispRSqr val="1"/>
            <c:dispEq val="1"/>
            <c:trendlineLbl>
              <c:layout>
                <c:manualLayout>
                  <c:x val="0.3312835895513061"/>
                  <c:y val="0.10449594804299098"/>
                </c:manualLayout>
              </c:layout>
              <c:tx>
                <c:rich>
                  <a:bodyPr/>
                  <a:lstStyle/>
                  <a:p>
                    <a:pPr>
                      <a:defRPr/>
                    </a:pPr>
                    <a:r>
                      <a:rPr lang="en-US" u="sng" baseline="0"/>
                      <a:t>Equation</a:t>
                    </a:r>
                    <a:r>
                      <a:rPr lang="en-US" baseline="0"/>
                      <a:t>:</a:t>
                    </a:r>
                  </a:p>
                  <a:p>
                    <a:pPr>
                      <a:defRPr/>
                    </a:pPr>
                    <a:r>
                      <a:rPr lang="en-US" baseline="0"/>
                      <a:t>y = 0.0558x + 3.2127
R² = 0.9853</a:t>
                    </a:r>
                    <a:endParaRPr lang="en-US"/>
                  </a:p>
                </c:rich>
              </c:tx>
              <c:numFmt formatCode="General" sourceLinked="0"/>
            </c:trendlineLbl>
          </c:trendline>
          <c:xVal>
            <c:numRef>
              <c:f>Graph!$D$38:$D$50</c:f>
              <c:numCache>
                <c:formatCode>General</c:formatCode>
                <c:ptCount val="13"/>
                <c:pt idx="0">
                  <c:v>15</c:v>
                </c:pt>
                <c:pt idx="1">
                  <c:v>18</c:v>
                </c:pt>
                <c:pt idx="2">
                  <c:v>19</c:v>
                </c:pt>
                <c:pt idx="3">
                  <c:v>20</c:v>
                </c:pt>
                <c:pt idx="4">
                  <c:v>23</c:v>
                </c:pt>
                <c:pt idx="5">
                  <c:v>24</c:v>
                </c:pt>
                <c:pt idx="6">
                  <c:v>25</c:v>
                </c:pt>
                <c:pt idx="7">
                  <c:v>26</c:v>
                </c:pt>
                <c:pt idx="8">
                  <c:v>30</c:v>
                </c:pt>
                <c:pt idx="9">
                  <c:v>31</c:v>
                </c:pt>
                <c:pt idx="10">
                  <c:v>32</c:v>
                </c:pt>
                <c:pt idx="11">
                  <c:v>40</c:v>
                </c:pt>
                <c:pt idx="12">
                  <c:v>42</c:v>
                </c:pt>
              </c:numCache>
            </c:numRef>
          </c:xVal>
          <c:yVal>
            <c:numRef>
              <c:f>Graph!$E$38:$E$50</c:f>
              <c:numCache>
                <c:formatCode>"$"#,##0.00</c:formatCode>
                <c:ptCount val="13"/>
                <c:pt idx="0">
                  <c:v>4.13</c:v>
                </c:pt>
                <c:pt idx="1">
                  <c:v>4.2699999999999996</c:v>
                </c:pt>
                <c:pt idx="2">
                  <c:v>4.3099999999999996</c:v>
                </c:pt>
                <c:pt idx="3">
                  <c:v>4.3600000000000003</c:v>
                </c:pt>
                <c:pt idx="4">
                  <c:v>4.47</c:v>
                </c:pt>
                <c:pt idx="5">
                  <c:v>4.5</c:v>
                </c:pt>
                <c:pt idx="6">
                  <c:v>4.53</c:v>
                </c:pt>
                <c:pt idx="7">
                  <c:v>4.59</c:v>
                </c:pt>
                <c:pt idx="8">
                  <c:v>4.8499999999999996</c:v>
                </c:pt>
                <c:pt idx="9">
                  <c:v>4.91</c:v>
                </c:pt>
                <c:pt idx="10">
                  <c:v>4.9800000000000004</c:v>
                </c:pt>
                <c:pt idx="11">
                  <c:v>5.5</c:v>
                </c:pt>
                <c:pt idx="12">
                  <c:v>5.63</c:v>
                </c:pt>
              </c:numCache>
            </c:numRef>
          </c:yVal>
          <c:smooth val="0"/>
        </c:ser>
        <c:dLbls>
          <c:showLegendKey val="0"/>
          <c:showVal val="0"/>
          <c:showCatName val="0"/>
          <c:showSerName val="0"/>
          <c:showPercent val="0"/>
          <c:showBubbleSize val="0"/>
        </c:dLbls>
        <c:axId val="113179648"/>
        <c:axId val="115282304"/>
      </c:scatterChart>
      <c:valAx>
        <c:axId val="113179648"/>
        <c:scaling>
          <c:orientation val="minMax"/>
        </c:scaling>
        <c:delete val="0"/>
        <c:axPos val="b"/>
        <c:title>
          <c:tx>
            <c:rich>
              <a:bodyPr/>
              <a:lstStyle/>
              <a:p>
                <a:pPr>
                  <a:defRPr/>
                </a:pPr>
                <a:r>
                  <a:rPr lang="en-US"/>
                  <a:t>CFL</a:t>
                </a:r>
                <a:r>
                  <a:rPr lang="en-US" baseline="0"/>
                  <a:t> Wattage [W]</a:t>
                </a:r>
                <a:endParaRPr lang="en-US"/>
              </a:p>
            </c:rich>
          </c:tx>
          <c:overlay val="0"/>
        </c:title>
        <c:numFmt formatCode="General" sourceLinked="1"/>
        <c:majorTickMark val="out"/>
        <c:minorTickMark val="none"/>
        <c:tickLblPos val="nextTo"/>
        <c:crossAx val="115282304"/>
        <c:crosses val="autoZero"/>
        <c:crossBetween val="midCat"/>
      </c:valAx>
      <c:valAx>
        <c:axId val="115282304"/>
        <c:scaling>
          <c:orientation val="minMax"/>
        </c:scaling>
        <c:delete val="0"/>
        <c:axPos val="l"/>
        <c:majorGridlines/>
        <c:title>
          <c:tx>
            <c:rich>
              <a:bodyPr rot="-5400000" vert="horz"/>
              <a:lstStyle/>
              <a:p>
                <a:pPr>
                  <a:defRPr/>
                </a:pPr>
                <a:r>
                  <a:rPr lang="en-US"/>
                  <a:t>Incremental Cost per Lamp [$]</a:t>
                </a:r>
              </a:p>
            </c:rich>
          </c:tx>
          <c:overlay val="0"/>
        </c:title>
        <c:numFmt formatCode="&quot;$&quot;#,##0.00" sourceLinked="1"/>
        <c:majorTickMark val="out"/>
        <c:minorTickMark val="none"/>
        <c:tickLblPos val="nextTo"/>
        <c:crossAx val="113179648"/>
        <c:crosses val="autoZero"/>
        <c:crossBetween val="midCat"/>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D2381B-1E05-492F-A135-969309988724}"/>
</file>

<file path=customXml/itemProps2.xml><?xml version="1.0" encoding="utf-8"?>
<ds:datastoreItem xmlns:ds="http://schemas.openxmlformats.org/officeDocument/2006/customXml" ds:itemID="{A50768A1-49B4-490C-A200-6F9A0DAE2DC1}"/>
</file>

<file path=customXml/itemProps3.xml><?xml version="1.0" encoding="utf-8"?>
<ds:datastoreItem xmlns:ds="http://schemas.openxmlformats.org/officeDocument/2006/customXml" ds:itemID="{FA07EB1E-F196-4D52-A71B-F423BA046EFC}"/>
</file>

<file path=customXml/itemProps4.xml><?xml version="1.0" encoding="utf-8"?>
<ds:datastoreItem xmlns:ds="http://schemas.openxmlformats.org/officeDocument/2006/customXml" ds:itemID="{5158B254-F8E4-4AA7-B9E3-BD8DAE383C26}"/>
</file>

<file path=docProps/app.xml><?xml version="1.0" encoding="utf-8"?>
<Properties xmlns="http://schemas.openxmlformats.org/officeDocument/2006/extended-properties" xmlns:vt="http://schemas.openxmlformats.org/officeDocument/2006/docPropsVTypes">
  <Template>Normal.dotm</Template>
  <TotalTime>1487</TotalTime>
  <Pages>16</Pages>
  <Words>3601</Words>
  <Characters>23092</Characters>
  <Application>Microsoft Office Word</Application>
  <DocSecurity>0</DocSecurity>
  <Lines>192</Lines>
  <Paragraphs>53</Paragraphs>
  <ScaleCrop>false</ScaleCrop>
  <HeadingPairs>
    <vt:vector size="2" baseType="variant">
      <vt:variant>
        <vt:lpstr>Title</vt:lpstr>
      </vt:variant>
      <vt:variant>
        <vt:i4>1</vt:i4>
      </vt:variant>
    </vt:vector>
  </HeadingPairs>
  <TitlesOfParts>
    <vt:vector size="1" baseType="lpstr">
      <vt:lpstr>Work Paper PGECOLTG001</vt:lpstr>
    </vt:vector>
  </TitlesOfParts>
  <Company>Pacific Gas and Electric Company</Company>
  <LinksUpToDate>false</LinksUpToDate>
  <CharactersWithSpaces>26640</CharactersWithSpaces>
  <SharedDoc>false</SharedDoc>
  <HLinks>
    <vt:vector size="216" baseType="variant">
      <vt:variant>
        <vt:i4>5832799</vt:i4>
      </vt:variant>
      <vt:variant>
        <vt:i4>207</vt:i4>
      </vt:variant>
      <vt:variant>
        <vt:i4>0</vt:i4>
      </vt:variant>
      <vt:variant>
        <vt:i4>5</vt:i4>
      </vt:variant>
      <vt:variant>
        <vt:lpwstr>http://www.deeresources.com/</vt:lpwstr>
      </vt:variant>
      <vt:variant>
        <vt:lpwstr/>
      </vt:variant>
      <vt:variant>
        <vt:i4>1376319</vt:i4>
      </vt:variant>
      <vt:variant>
        <vt:i4>200</vt:i4>
      </vt:variant>
      <vt:variant>
        <vt:i4>0</vt:i4>
      </vt:variant>
      <vt:variant>
        <vt:i4>5</vt:i4>
      </vt:variant>
      <vt:variant>
        <vt:lpwstr/>
      </vt:variant>
      <vt:variant>
        <vt:lpwstr>_Toc387739844</vt:lpwstr>
      </vt:variant>
      <vt:variant>
        <vt:i4>1376319</vt:i4>
      </vt:variant>
      <vt:variant>
        <vt:i4>191</vt:i4>
      </vt:variant>
      <vt:variant>
        <vt:i4>0</vt:i4>
      </vt:variant>
      <vt:variant>
        <vt:i4>5</vt:i4>
      </vt:variant>
      <vt:variant>
        <vt:lpwstr/>
      </vt:variant>
      <vt:variant>
        <vt:lpwstr>_Toc387739843</vt:lpwstr>
      </vt:variant>
      <vt:variant>
        <vt:i4>1376319</vt:i4>
      </vt:variant>
      <vt:variant>
        <vt:i4>185</vt:i4>
      </vt:variant>
      <vt:variant>
        <vt:i4>0</vt:i4>
      </vt:variant>
      <vt:variant>
        <vt:i4>5</vt:i4>
      </vt:variant>
      <vt:variant>
        <vt:lpwstr/>
      </vt:variant>
      <vt:variant>
        <vt:lpwstr>_Toc387739842</vt:lpwstr>
      </vt:variant>
      <vt:variant>
        <vt:i4>1376319</vt:i4>
      </vt:variant>
      <vt:variant>
        <vt:i4>179</vt:i4>
      </vt:variant>
      <vt:variant>
        <vt:i4>0</vt:i4>
      </vt:variant>
      <vt:variant>
        <vt:i4>5</vt:i4>
      </vt:variant>
      <vt:variant>
        <vt:lpwstr/>
      </vt:variant>
      <vt:variant>
        <vt:lpwstr>_Toc387739841</vt:lpwstr>
      </vt:variant>
      <vt:variant>
        <vt:i4>1376319</vt:i4>
      </vt:variant>
      <vt:variant>
        <vt:i4>173</vt:i4>
      </vt:variant>
      <vt:variant>
        <vt:i4>0</vt:i4>
      </vt:variant>
      <vt:variant>
        <vt:i4>5</vt:i4>
      </vt:variant>
      <vt:variant>
        <vt:lpwstr/>
      </vt:variant>
      <vt:variant>
        <vt:lpwstr>_Toc387739840</vt:lpwstr>
      </vt:variant>
      <vt:variant>
        <vt:i4>1179711</vt:i4>
      </vt:variant>
      <vt:variant>
        <vt:i4>167</vt:i4>
      </vt:variant>
      <vt:variant>
        <vt:i4>0</vt:i4>
      </vt:variant>
      <vt:variant>
        <vt:i4>5</vt:i4>
      </vt:variant>
      <vt:variant>
        <vt:lpwstr/>
      </vt:variant>
      <vt:variant>
        <vt:lpwstr>_Toc387739839</vt:lpwstr>
      </vt:variant>
      <vt:variant>
        <vt:i4>1179711</vt:i4>
      </vt:variant>
      <vt:variant>
        <vt:i4>158</vt:i4>
      </vt:variant>
      <vt:variant>
        <vt:i4>0</vt:i4>
      </vt:variant>
      <vt:variant>
        <vt:i4>5</vt:i4>
      </vt:variant>
      <vt:variant>
        <vt:lpwstr/>
      </vt:variant>
      <vt:variant>
        <vt:lpwstr>_Toc387739838</vt:lpwstr>
      </vt:variant>
      <vt:variant>
        <vt:i4>1179711</vt:i4>
      </vt:variant>
      <vt:variant>
        <vt:i4>152</vt:i4>
      </vt:variant>
      <vt:variant>
        <vt:i4>0</vt:i4>
      </vt:variant>
      <vt:variant>
        <vt:i4>5</vt:i4>
      </vt:variant>
      <vt:variant>
        <vt:lpwstr/>
      </vt:variant>
      <vt:variant>
        <vt:lpwstr>_Toc387739837</vt:lpwstr>
      </vt:variant>
      <vt:variant>
        <vt:i4>1179711</vt:i4>
      </vt:variant>
      <vt:variant>
        <vt:i4>146</vt:i4>
      </vt:variant>
      <vt:variant>
        <vt:i4>0</vt:i4>
      </vt:variant>
      <vt:variant>
        <vt:i4>5</vt:i4>
      </vt:variant>
      <vt:variant>
        <vt:lpwstr/>
      </vt:variant>
      <vt:variant>
        <vt:lpwstr>_Toc387739836</vt:lpwstr>
      </vt:variant>
      <vt:variant>
        <vt:i4>1179711</vt:i4>
      </vt:variant>
      <vt:variant>
        <vt:i4>140</vt:i4>
      </vt:variant>
      <vt:variant>
        <vt:i4>0</vt:i4>
      </vt:variant>
      <vt:variant>
        <vt:i4>5</vt:i4>
      </vt:variant>
      <vt:variant>
        <vt:lpwstr/>
      </vt:variant>
      <vt:variant>
        <vt:lpwstr>_Toc387739835</vt:lpwstr>
      </vt:variant>
      <vt:variant>
        <vt:i4>1179711</vt:i4>
      </vt:variant>
      <vt:variant>
        <vt:i4>134</vt:i4>
      </vt:variant>
      <vt:variant>
        <vt:i4>0</vt:i4>
      </vt:variant>
      <vt:variant>
        <vt:i4>5</vt:i4>
      </vt:variant>
      <vt:variant>
        <vt:lpwstr/>
      </vt:variant>
      <vt:variant>
        <vt:lpwstr>_Toc387739834</vt:lpwstr>
      </vt:variant>
      <vt:variant>
        <vt:i4>1179711</vt:i4>
      </vt:variant>
      <vt:variant>
        <vt:i4>128</vt:i4>
      </vt:variant>
      <vt:variant>
        <vt:i4>0</vt:i4>
      </vt:variant>
      <vt:variant>
        <vt:i4>5</vt:i4>
      </vt:variant>
      <vt:variant>
        <vt:lpwstr/>
      </vt:variant>
      <vt:variant>
        <vt:lpwstr>_Toc387739833</vt:lpwstr>
      </vt:variant>
      <vt:variant>
        <vt:i4>1179711</vt:i4>
      </vt:variant>
      <vt:variant>
        <vt:i4>122</vt:i4>
      </vt:variant>
      <vt:variant>
        <vt:i4>0</vt:i4>
      </vt:variant>
      <vt:variant>
        <vt:i4>5</vt:i4>
      </vt:variant>
      <vt:variant>
        <vt:lpwstr/>
      </vt:variant>
      <vt:variant>
        <vt:lpwstr>_Toc387739832</vt:lpwstr>
      </vt:variant>
      <vt:variant>
        <vt:i4>1179711</vt:i4>
      </vt:variant>
      <vt:variant>
        <vt:i4>116</vt:i4>
      </vt:variant>
      <vt:variant>
        <vt:i4>0</vt:i4>
      </vt:variant>
      <vt:variant>
        <vt:i4>5</vt:i4>
      </vt:variant>
      <vt:variant>
        <vt:lpwstr/>
      </vt:variant>
      <vt:variant>
        <vt:lpwstr>_Toc387739831</vt:lpwstr>
      </vt:variant>
      <vt:variant>
        <vt:i4>1179711</vt:i4>
      </vt:variant>
      <vt:variant>
        <vt:i4>110</vt:i4>
      </vt:variant>
      <vt:variant>
        <vt:i4>0</vt:i4>
      </vt:variant>
      <vt:variant>
        <vt:i4>5</vt:i4>
      </vt:variant>
      <vt:variant>
        <vt:lpwstr/>
      </vt:variant>
      <vt:variant>
        <vt:lpwstr>_Toc387739830</vt:lpwstr>
      </vt:variant>
      <vt:variant>
        <vt:i4>1245247</vt:i4>
      </vt:variant>
      <vt:variant>
        <vt:i4>104</vt:i4>
      </vt:variant>
      <vt:variant>
        <vt:i4>0</vt:i4>
      </vt:variant>
      <vt:variant>
        <vt:i4>5</vt:i4>
      </vt:variant>
      <vt:variant>
        <vt:lpwstr/>
      </vt:variant>
      <vt:variant>
        <vt:lpwstr>_Toc387739829</vt:lpwstr>
      </vt:variant>
      <vt:variant>
        <vt:i4>1245247</vt:i4>
      </vt:variant>
      <vt:variant>
        <vt:i4>98</vt:i4>
      </vt:variant>
      <vt:variant>
        <vt:i4>0</vt:i4>
      </vt:variant>
      <vt:variant>
        <vt:i4>5</vt:i4>
      </vt:variant>
      <vt:variant>
        <vt:lpwstr/>
      </vt:variant>
      <vt:variant>
        <vt:lpwstr>_Toc387739828</vt:lpwstr>
      </vt:variant>
      <vt:variant>
        <vt:i4>1245247</vt:i4>
      </vt:variant>
      <vt:variant>
        <vt:i4>92</vt:i4>
      </vt:variant>
      <vt:variant>
        <vt:i4>0</vt:i4>
      </vt:variant>
      <vt:variant>
        <vt:i4>5</vt:i4>
      </vt:variant>
      <vt:variant>
        <vt:lpwstr/>
      </vt:variant>
      <vt:variant>
        <vt:lpwstr>_Toc387739827</vt:lpwstr>
      </vt:variant>
      <vt:variant>
        <vt:i4>1245247</vt:i4>
      </vt:variant>
      <vt:variant>
        <vt:i4>86</vt:i4>
      </vt:variant>
      <vt:variant>
        <vt:i4>0</vt:i4>
      </vt:variant>
      <vt:variant>
        <vt:i4>5</vt:i4>
      </vt:variant>
      <vt:variant>
        <vt:lpwstr/>
      </vt:variant>
      <vt:variant>
        <vt:lpwstr>_Toc387739826</vt:lpwstr>
      </vt:variant>
      <vt:variant>
        <vt:i4>1245247</vt:i4>
      </vt:variant>
      <vt:variant>
        <vt:i4>80</vt:i4>
      </vt:variant>
      <vt:variant>
        <vt:i4>0</vt:i4>
      </vt:variant>
      <vt:variant>
        <vt:i4>5</vt:i4>
      </vt:variant>
      <vt:variant>
        <vt:lpwstr/>
      </vt:variant>
      <vt:variant>
        <vt:lpwstr>_Toc387739825</vt:lpwstr>
      </vt:variant>
      <vt:variant>
        <vt:i4>1245247</vt:i4>
      </vt:variant>
      <vt:variant>
        <vt:i4>74</vt:i4>
      </vt:variant>
      <vt:variant>
        <vt:i4>0</vt:i4>
      </vt:variant>
      <vt:variant>
        <vt:i4>5</vt:i4>
      </vt:variant>
      <vt:variant>
        <vt:lpwstr/>
      </vt:variant>
      <vt:variant>
        <vt:lpwstr>_Toc387739824</vt:lpwstr>
      </vt:variant>
      <vt:variant>
        <vt:i4>1245247</vt:i4>
      </vt:variant>
      <vt:variant>
        <vt:i4>68</vt:i4>
      </vt:variant>
      <vt:variant>
        <vt:i4>0</vt:i4>
      </vt:variant>
      <vt:variant>
        <vt:i4>5</vt:i4>
      </vt:variant>
      <vt:variant>
        <vt:lpwstr/>
      </vt:variant>
      <vt:variant>
        <vt:lpwstr>_Toc387739823</vt:lpwstr>
      </vt:variant>
      <vt:variant>
        <vt:i4>1245247</vt:i4>
      </vt:variant>
      <vt:variant>
        <vt:i4>62</vt:i4>
      </vt:variant>
      <vt:variant>
        <vt:i4>0</vt:i4>
      </vt:variant>
      <vt:variant>
        <vt:i4>5</vt:i4>
      </vt:variant>
      <vt:variant>
        <vt:lpwstr/>
      </vt:variant>
      <vt:variant>
        <vt:lpwstr>_Toc387739822</vt:lpwstr>
      </vt:variant>
      <vt:variant>
        <vt:i4>1245247</vt:i4>
      </vt:variant>
      <vt:variant>
        <vt:i4>56</vt:i4>
      </vt:variant>
      <vt:variant>
        <vt:i4>0</vt:i4>
      </vt:variant>
      <vt:variant>
        <vt:i4>5</vt:i4>
      </vt:variant>
      <vt:variant>
        <vt:lpwstr/>
      </vt:variant>
      <vt:variant>
        <vt:lpwstr>_Toc387739821</vt:lpwstr>
      </vt:variant>
      <vt:variant>
        <vt:i4>1245247</vt:i4>
      </vt:variant>
      <vt:variant>
        <vt:i4>50</vt:i4>
      </vt:variant>
      <vt:variant>
        <vt:i4>0</vt:i4>
      </vt:variant>
      <vt:variant>
        <vt:i4>5</vt:i4>
      </vt:variant>
      <vt:variant>
        <vt:lpwstr/>
      </vt:variant>
      <vt:variant>
        <vt:lpwstr>_Toc387739820</vt:lpwstr>
      </vt:variant>
      <vt:variant>
        <vt:i4>1048639</vt:i4>
      </vt:variant>
      <vt:variant>
        <vt:i4>44</vt:i4>
      </vt:variant>
      <vt:variant>
        <vt:i4>0</vt:i4>
      </vt:variant>
      <vt:variant>
        <vt:i4>5</vt:i4>
      </vt:variant>
      <vt:variant>
        <vt:lpwstr/>
      </vt:variant>
      <vt:variant>
        <vt:lpwstr>_Toc387739819</vt:lpwstr>
      </vt:variant>
      <vt:variant>
        <vt:i4>1048639</vt:i4>
      </vt:variant>
      <vt:variant>
        <vt:i4>38</vt:i4>
      </vt:variant>
      <vt:variant>
        <vt:i4>0</vt:i4>
      </vt:variant>
      <vt:variant>
        <vt:i4>5</vt:i4>
      </vt:variant>
      <vt:variant>
        <vt:lpwstr/>
      </vt:variant>
      <vt:variant>
        <vt:lpwstr>_Toc387739818</vt:lpwstr>
      </vt:variant>
      <vt:variant>
        <vt:i4>1048639</vt:i4>
      </vt:variant>
      <vt:variant>
        <vt:i4>32</vt:i4>
      </vt:variant>
      <vt:variant>
        <vt:i4>0</vt:i4>
      </vt:variant>
      <vt:variant>
        <vt:i4>5</vt:i4>
      </vt:variant>
      <vt:variant>
        <vt:lpwstr/>
      </vt:variant>
      <vt:variant>
        <vt:lpwstr>_Toc387739817</vt:lpwstr>
      </vt:variant>
      <vt:variant>
        <vt:i4>1048639</vt:i4>
      </vt:variant>
      <vt:variant>
        <vt:i4>26</vt:i4>
      </vt:variant>
      <vt:variant>
        <vt:i4>0</vt:i4>
      </vt:variant>
      <vt:variant>
        <vt:i4>5</vt:i4>
      </vt:variant>
      <vt:variant>
        <vt:lpwstr/>
      </vt:variant>
      <vt:variant>
        <vt:lpwstr>_Toc387739816</vt:lpwstr>
      </vt:variant>
      <vt:variant>
        <vt:i4>1048639</vt:i4>
      </vt:variant>
      <vt:variant>
        <vt:i4>20</vt:i4>
      </vt:variant>
      <vt:variant>
        <vt:i4>0</vt:i4>
      </vt:variant>
      <vt:variant>
        <vt:i4>5</vt:i4>
      </vt:variant>
      <vt:variant>
        <vt:lpwstr/>
      </vt:variant>
      <vt:variant>
        <vt:lpwstr>_Toc387739815</vt:lpwstr>
      </vt:variant>
      <vt:variant>
        <vt:i4>1048639</vt:i4>
      </vt:variant>
      <vt:variant>
        <vt:i4>14</vt:i4>
      </vt:variant>
      <vt:variant>
        <vt:i4>0</vt:i4>
      </vt:variant>
      <vt:variant>
        <vt:i4>5</vt:i4>
      </vt:variant>
      <vt:variant>
        <vt:lpwstr/>
      </vt:variant>
      <vt:variant>
        <vt:lpwstr>_Toc387739814</vt:lpwstr>
      </vt:variant>
      <vt:variant>
        <vt:i4>1048639</vt:i4>
      </vt:variant>
      <vt:variant>
        <vt:i4>8</vt:i4>
      </vt:variant>
      <vt:variant>
        <vt:i4>0</vt:i4>
      </vt:variant>
      <vt:variant>
        <vt:i4>5</vt:i4>
      </vt:variant>
      <vt:variant>
        <vt:lpwstr/>
      </vt:variant>
      <vt:variant>
        <vt:lpwstr>_Toc387739813</vt:lpwstr>
      </vt:variant>
      <vt:variant>
        <vt:i4>1048639</vt:i4>
      </vt:variant>
      <vt:variant>
        <vt:i4>2</vt:i4>
      </vt:variant>
      <vt:variant>
        <vt:i4>0</vt:i4>
      </vt:variant>
      <vt:variant>
        <vt:i4>5</vt:i4>
      </vt:variant>
      <vt:variant>
        <vt:lpwstr/>
      </vt:variant>
      <vt:variant>
        <vt:lpwstr>_Toc387739812</vt:lpwstr>
      </vt:variant>
      <vt:variant>
        <vt:i4>852020</vt:i4>
      </vt:variant>
      <vt:variant>
        <vt:i4>3</vt:i4>
      </vt:variant>
      <vt:variant>
        <vt:i4>0</vt:i4>
      </vt:variant>
      <vt:variant>
        <vt:i4>5</vt:i4>
      </vt:variant>
      <vt:variant>
        <vt:lpwstr>http://www.deeresources.com/index.php?option=com_content&amp;view=article&amp;id=65&amp;Itemid=57</vt:lpwstr>
      </vt:variant>
      <vt:variant>
        <vt:lpwstr/>
      </vt:variant>
      <vt:variant>
        <vt:i4>5832799</vt:i4>
      </vt:variant>
      <vt:variant>
        <vt:i4>0</vt:i4>
      </vt:variant>
      <vt:variant>
        <vt:i4>0</vt:i4>
      </vt:variant>
      <vt:variant>
        <vt:i4>5</vt:i4>
      </vt:variant>
      <vt:variant>
        <vt:lpwstr>http://www.deeresources.com/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PGECOLTG001</dc:title>
  <dc:creator>mrk0</dc:creator>
  <cp:lastModifiedBy>Wan, Linda</cp:lastModifiedBy>
  <cp:revision>32</cp:revision>
  <cp:lastPrinted>2015-10-07T21:18:00Z</cp:lastPrinted>
  <dcterms:created xsi:type="dcterms:W3CDTF">2015-09-25T17:56:00Z</dcterms:created>
  <dcterms:modified xsi:type="dcterms:W3CDTF">2015-12-16T21:03:00Z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