
<file path=[Content_Types].xml><?xml version="1.0" encoding="utf-8"?>
<Types xmlns="http://schemas.openxmlformats.org/package/2006/content-types">
  <Default Extension="xlsm" ContentType="application/vnd.ms-excel.sheet.macroEnabled.12"/>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688A" w:rsidRPr="00823230" w:rsidRDefault="003C688A" w:rsidP="003C688A">
      <w:pPr>
        <w:jc w:val="right"/>
        <w:rPr>
          <w:rFonts w:ascii="Arial" w:hAnsi="Arial" w:cs="Arial"/>
          <w:b/>
          <w:sz w:val="48"/>
          <w:szCs w:val="48"/>
        </w:rPr>
      </w:pPr>
      <w:bookmarkStart w:id="0" w:name="_Toc153189646"/>
      <w:bookmarkStart w:id="1" w:name="_Toc214003082"/>
      <w:r w:rsidRPr="00823230">
        <w:rPr>
          <w:rFonts w:ascii="Arial" w:hAnsi="Arial" w:cs="Arial"/>
          <w:b/>
          <w:sz w:val="48"/>
          <w:szCs w:val="48"/>
        </w:rPr>
        <w:t xml:space="preserve">Work Paper </w:t>
      </w:r>
      <w:bookmarkEnd w:id="0"/>
      <w:r w:rsidRPr="00823230">
        <w:rPr>
          <w:rFonts w:ascii="Arial" w:hAnsi="Arial" w:cs="Arial"/>
          <w:b/>
          <w:sz w:val="48"/>
          <w:szCs w:val="48"/>
        </w:rPr>
        <w:t>PGE</w:t>
      </w:r>
      <w:r>
        <w:rPr>
          <w:rFonts w:ascii="Arial" w:hAnsi="Arial" w:cs="Arial"/>
          <w:b/>
          <w:sz w:val="48"/>
          <w:szCs w:val="48"/>
        </w:rPr>
        <w:t>COHVC164</w:t>
      </w:r>
    </w:p>
    <w:p w:rsidR="003C688A" w:rsidRDefault="003C688A" w:rsidP="003C688A">
      <w:pPr>
        <w:jc w:val="right"/>
        <w:rPr>
          <w:rFonts w:ascii="Arial" w:hAnsi="Arial" w:cs="Arial"/>
          <w:b/>
          <w:sz w:val="48"/>
          <w:szCs w:val="48"/>
        </w:rPr>
      </w:pPr>
      <w:r>
        <w:rPr>
          <w:rFonts w:ascii="Arial" w:hAnsi="Arial" w:cs="Arial"/>
          <w:b/>
          <w:sz w:val="48"/>
          <w:szCs w:val="48"/>
        </w:rPr>
        <w:t>Advanced Direct-Indirect</w:t>
      </w:r>
      <w:r w:rsidRPr="00823230">
        <w:rPr>
          <w:rFonts w:ascii="Arial" w:hAnsi="Arial" w:cs="Arial"/>
          <w:b/>
          <w:sz w:val="48"/>
          <w:szCs w:val="48"/>
        </w:rPr>
        <w:t xml:space="preserve"> </w:t>
      </w:r>
    </w:p>
    <w:p w:rsidR="003C688A" w:rsidRDefault="003C688A" w:rsidP="003C688A">
      <w:pPr>
        <w:jc w:val="right"/>
        <w:rPr>
          <w:rFonts w:ascii="Arial" w:hAnsi="Arial" w:cs="Arial"/>
          <w:b/>
          <w:sz w:val="48"/>
          <w:szCs w:val="48"/>
        </w:rPr>
      </w:pPr>
      <w:r w:rsidRPr="00823230">
        <w:rPr>
          <w:rFonts w:ascii="Arial" w:hAnsi="Arial" w:cs="Arial"/>
          <w:b/>
          <w:sz w:val="48"/>
          <w:szCs w:val="48"/>
        </w:rPr>
        <w:t>Evaporative Cooler</w:t>
      </w:r>
      <w:r>
        <w:rPr>
          <w:rFonts w:ascii="Arial" w:hAnsi="Arial" w:cs="Arial"/>
          <w:b/>
          <w:sz w:val="48"/>
          <w:szCs w:val="48"/>
        </w:rPr>
        <w:t>s-</w:t>
      </w:r>
    </w:p>
    <w:p w:rsidR="003C688A" w:rsidRPr="00823230" w:rsidRDefault="003C688A" w:rsidP="003C688A">
      <w:pPr>
        <w:jc w:val="right"/>
        <w:rPr>
          <w:rFonts w:ascii="Arial" w:hAnsi="Arial" w:cs="Arial"/>
          <w:b/>
          <w:sz w:val="48"/>
          <w:szCs w:val="48"/>
        </w:rPr>
      </w:pPr>
      <w:r>
        <w:rPr>
          <w:rFonts w:ascii="Arial" w:hAnsi="Arial" w:cs="Arial"/>
          <w:b/>
          <w:sz w:val="48"/>
          <w:szCs w:val="48"/>
        </w:rPr>
        <w:t>Residential</w:t>
      </w:r>
    </w:p>
    <w:p w:rsidR="003C688A" w:rsidRPr="00823230" w:rsidRDefault="003C688A" w:rsidP="003C688A">
      <w:pPr>
        <w:jc w:val="right"/>
        <w:rPr>
          <w:rFonts w:ascii="Arial" w:hAnsi="Arial" w:cs="Arial"/>
          <w:b/>
          <w:sz w:val="48"/>
          <w:szCs w:val="48"/>
        </w:rPr>
      </w:pPr>
      <w:bookmarkStart w:id="2" w:name="_Toc153189647"/>
      <w:r w:rsidRPr="00823230">
        <w:rPr>
          <w:rFonts w:ascii="Arial" w:hAnsi="Arial" w:cs="Arial"/>
          <w:b/>
          <w:sz w:val="48"/>
          <w:szCs w:val="48"/>
        </w:rPr>
        <w:t>Revision #</w:t>
      </w:r>
      <w:bookmarkEnd w:id="2"/>
      <w:r w:rsidRPr="00823230">
        <w:rPr>
          <w:rFonts w:ascii="Arial" w:hAnsi="Arial" w:cs="Arial"/>
          <w:b/>
          <w:sz w:val="48"/>
          <w:szCs w:val="48"/>
        </w:rPr>
        <w:t xml:space="preserve"> </w:t>
      </w:r>
      <w:r>
        <w:rPr>
          <w:rFonts w:ascii="Arial" w:hAnsi="Arial" w:cs="Arial"/>
          <w:b/>
          <w:sz w:val="48"/>
          <w:szCs w:val="48"/>
        </w:rPr>
        <w:t>1</w:t>
      </w:r>
    </w:p>
    <w:p w:rsidR="003C688A" w:rsidRPr="00823230" w:rsidRDefault="003C688A" w:rsidP="003C688A"/>
    <w:p w:rsidR="003C688A" w:rsidRPr="00823230" w:rsidRDefault="003C688A" w:rsidP="003C688A"/>
    <w:p w:rsidR="003C688A" w:rsidRPr="00823230" w:rsidRDefault="003C688A" w:rsidP="003C688A"/>
    <w:p w:rsidR="003C688A" w:rsidRPr="00921B13" w:rsidRDefault="003C688A" w:rsidP="003C688A">
      <w:pPr>
        <w:pBdr>
          <w:bottom w:val="single" w:sz="4" w:space="1" w:color="auto"/>
        </w:pBdr>
        <w:rPr>
          <w:rFonts w:ascii="Arial" w:hAnsi="Arial" w:cs="Arial"/>
          <w:b/>
          <w:sz w:val="36"/>
          <w:szCs w:val="36"/>
        </w:rPr>
      </w:pPr>
      <w:r w:rsidRPr="00921B13">
        <w:rPr>
          <w:rFonts w:ascii="Arial" w:hAnsi="Arial" w:cs="Arial"/>
          <w:b/>
          <w:sz w:val="36"/>
          <w:szCs w:val="36"/>
        </w:rPr>
        <w:t>Pacific Gas &amp; Electric Company</w:t>
      </w:r>
    </w:p>
    <w:p w:rsidR="003C688A" w:rsidRPr="00823230" w:rsidRDefault="003C688A" w:rsidP="003C688A">
      <w:pPr>
        <w:rPr>
          <w:rFonts w:ascii="Arial" w:hAnsi="Arial" w:cs="Arial"/>
          <w:b/>
          <w:sz w:val="32"/>
          <w:szCs w:val="32"/>
        </w:rPr>
      </w:pPr>
      <w:r w:rsidRPr="00921B13">
        <w:rPr>
          <w:rFonts w:ascii="Arial" w:hAnsi="Arial" w:cs="Arial"/>
          <w:b/>
          <w:sz w:val="36"/>
          <w:szCs w:val="36"/>
        </w:rPr>
        <w:t>Customer Energy Solutions</w:t>
      </w:r>
    </w:p>
    <w:p w:rsidR="003C688A" w:rsidRPr="00823230" w:rsidRDefault="003C688A" w:rsidP="003C688A"/>
    <w:p w:rsidR="003C688A" w:rsidRPr="00823230" w:rsidRDefault="003C688A" w:rsidP="003C688A"/>
    <w:p w:rsidR="003C688A" w:rsidRPr="00823230" w:rsidRDefault="003C688A" w:rsidP="003C688A"/>
    <w:p w:rsidR="003C688A" w:rsidRPr="00823230" w:rsidRDefault="003C688A" w:rsidP="003C688A"/>
    <w:p w:rsidR="003C688A" w:rsidRPr="00823230" w:rsidRDefault="003C688A" w:rsidP="003C688A">
      <w:pPr>
        <w:ind w:right="-720"/>
        <w:rPr>
          <w:rFonts w:ascii="Arial" w:hAnsi="Arial" w:cs="Arial"/>
          <w:b/>
          <w:sz w:val="72"/>
          <w:szCs w:val="72"/>
        </w:rPr>
      </w:pPr>
      <w:r>
        <w:rPr>
          <w:rFonts w:ascii="Arial" w:hAnsi="Arial" w:cs="Arial"/>
          <w:b/>
          <w:sz w:val="72"/>
          <w:szCs w:val="72"/>
        </w:rPr>
        <w:t xml:space="preserve">Advanced Direct-Indirect </w:t>
      </w:r>
      <w:r w:rsidRPr="00823230">
        <w:rPr>
          <w:rFonts w:ascii="Arial" w:hAnsi="Arial" w:cs="Arial"/>
          <w:b/>
          <w:sz w:val="72"/>
          <w:szCs w:val="72"/>
        </w:rPr>
        <w:t>Evaporative Cooler</w:t>
      </w:r>
      <w:r>
        <w:rPr>
          <w:rFonts w:ascii="Arial" w:hAnsi="Arial" w:cs="Arial"/>
          <w:b/>
          <w:sz w:val="72"/>
          <w:szCs w:val="72"/>
        </w:rPr>
        <w:t>s - Residential</w:t>
      </w:r>
    </w:p>
    <w:p w:rsidR="003C688A" w:rsidRPr="00823230" w:rsidRDefault="003C688A" w:rsidP="003C688A">
      <w:pPr>
        <w:ind w:right="-720"/>
        <w:rPr>
          <w:rFonts w:ascii="Arial" w:hAnsi="Arial" w:cs="Arial"/>
          <w:b/>
        </w:rPr>
      </w:pPr>
      <w:r w:rsidRPr="00823230">
        <w:rPr>
          <w:rFonts w:ascii="Arial" w:hAnsi="Arial" w:cs="Arial"/>
          <w:b/>
        </w:rPr>
        <w:t>Measure Code</w:t>
      </w:r>
      <w:r w:rsidR="001D045D">
        <w:rPr>
          <w:rFonts w:ascii="Arial" w:hAnsi="Arial" w:cs="Arial"/>
          <w:b/>
        </w:rPr>
        <w:t>: H172</w:t>
      </w:r>
    </w:p>
    <w:p w:rsidR="0042606E" w:rsidRPr="00697868" w:rsidRDefault="0042606E" w:rsidP="0042606E">
      <w:pPr>
        <w:rPr>
          <w:rFonts w:asciiTheme="minorHAnsi" w:hAnsiTheme="minorHAnsi" w:cstheme="minorHAnsi"/>
          <w:sz w:val="22"/>
          <w:szCs w:val="22"/>
        </w:rPr>
      </w:pPr>
    </w:p>
    <w:p w:rsidR="0042606E" w:rsidRPr="00697868" w:rsidRDefault="0042606E" w:rsidP="0042606E">
      <w:pPr>
        <w:rPr>
          <w:rFonts w:asciiTheme="minorHAnsi" w:hAnsiTheme="minorHAnsi" w:cstheme="minorHAnsi"/>
          <w:sz w:val="22"/>
          <w:szCs w:val="22"/>
        </w:rPr>
        <w:sectPr w:rsidR="0042606E" w:rsidRPr="00697868">
          <w:footerReference w:type="default" r:id="rId9"/>
          <w:pgSz w:w="12240" w:h="15840"/>
          <w:pgMar w:top="1440" w:right="1440" w:bottom="1440" w:left="1440" w:header="720" w:footer="720" w:gutter="0"/>
          <w:cols w:space="720"/>
          <w:docGrid w:linePitch="360"/>
        </w:sectPr>
      </w:pPr>
    </w:p>
    <w:p w:rsidR="0042606E" w:rsidRPr="00386FFA" w:rsidRDefault="0042606E" w:rsidP="0042606E">
      <w:pPr>
        <w:pStyle w:val="Heading1"/>
        <w:rPr>
          <w:rFonts w:ascii="Arial" w:hAnsi="Arial"/>
        </w:rPr>
      </w:pPr>
      <w:bookmarkStart w:id="3" w:name="_Toc327873728"/>
      <w:r w:rsidRPr="00386FFA">
        <w:rPr>
          <w:rFonts w:ascii="Arial" w:hAnsi="Arial"/>
        </w:rPr>
        <w:lastRenderedPageBreak/>
        <w:t>At-a-Glance Summary</w:t>
      </w:r>
      <w:bookmarkEnd w:id="3"/>
    </w:p>
    <w:tbl>
      <w:tblPr>
        <w:tblW w:w="9648" w:type="dxa"/>
        <w:tblBorders>
          <w:insideH w:val="single" w:sz="18" w:space="0" w:color="FFFFFF"/>
          <w:insideV w:val="single" w:sz="18" w:space="0" w:color="FFFFFF"/>
        </w:tblBorders>
        <w:tblLook w:val="01E0" w:firstRow="1" w:lastRow="1" w:firstColumn="1" w:lastColumn="1" w:noHBand="0" w:noVBand="0"/>
      </w:tblPr>
      <w:tblGrid>
        <w:gridCol w:w="3618"/>
        <w:gridCol w:w="6030"/>
      </w:tblGrid>
      <w:tr w:rsidR="0042606E" w:rsidRPr="0077159C" w:rsidTr="006D6913">
        <w:trPr>
          <w:trHeight w:val="465"/>
        </w:trPr>
        <w:tc>
          <w:tcPr>
            <w:tcW w:w="3618" w:type="dxa"/>
            <w:shd w:val="pct20" w:color="000000" w:fill="FFFFFF"/>
          </w:tcPr>
          <w:p w:rsidR="0042606E" w:rsidRPr="00655582" w:rsidRDefault="0042606E" w:rsidP="006D6913">
            <w:pPr>
              <w:rPr>
                <w:rStyle w:val="Strong"/>
                <w:rFonts w:cs="Arial"/>
                <w:b w:val="0"/>
                <w:sz w:val="20"/>
                <w:szCs w:val="20"/>
              </w:rPr>
            </w:pPr>
            <w:r w:rsidRPr="00655582">
              <w:rPr>
                <w:rStyle w:val="Strong"/>
                <w:rFonts w:cs="Arial"/>
                <w:sz w:val="20"/>
                <w:szCs w:val="20"/>
              </w:rPr>
              <w:t>Applicable Measure Codes:</w:t>
            </w:r>
          </w:p>
        </w:tc>
        <w:tc>
          <w:tcPr>
            <w:tcW w:w="6030" w:type="dxa"/>
            <w:shd w:val="pct20" w:color="000000" w:fill="FFFFFF"/>
          </w:tcPr>
          <w:p w:rsidR="0042606E" w:rsidRPr="006D6913" w:rsidRDefault="003C688A" w:rsidP="001D045D">
            <w:pPr>
              <w:rPr>
                <w:rFonts w:ascii="Arial" w:hAnsi="Arial" w:cs="Arial"/>
                <w:bCs/>
                <w:sz w:val="20"/>
                <w:szCs w:val="20"/>
              </w:rPr>
            </w:pPr>
            <w:r w:rsidRPr="006D6913">
              <w:rPr>
                <w:rFonts w:ascii="Arial" w:hAnsi="Arial" w:cs="Arial"/>
                <w:sz w:val="20"/>
                <w:szCs w:val="20"/>
              </w:rPr>
              <w:t>H</w:t>
            </w:r>
            <w:r w:rsidR="001D045D">
              <w:rPr>
                <w:rFonts w:ascii="Arial" w:hAnsi="Arial" w:cs="Arial"/>
                <w:sz w:val="20"/>
                <w:szCs w:val="20"/>
              </w:rPr>
              <w:t>172</w:t>
            </w:r>
          </w:p>
        </w:tc>
      </w:tr>
      <w:tr w:rsidR="0042606E" w:rsidRPr="0077159C" w:rsidTr="006D6913">
        <w:trPr>
          <w:trHeight w:val="465"/>
        </w:trPr>
        <w:tc>
          <w:tcPr>
            <w:tcW w:w="3618" w:type="dxa"/>
            <w:shd w:val="pct5" w:color="000000" w:fill="FFFFFF"/>
          </w:tcPr>
          <w:p w:rsidR="0042606E" w:rsidRPr="00655582" w:rsidRDefault="0042606E" w:rsidP="006D6913">
            <w:pPr>
              <w:rPr>
                <w:rStyle w:val="Strong"/>
                <w:rFonts w:cs="Arial"/>
                <w:b w:val="0"/>
                <w:sz w:val="20"/>
                <w:szCs w:val="20"/>
              </w:rPr>
            </w:pPr>
            <w:r w:rsidRPr="00655582">
              <w:rPr>
                <w:rStyle w:val="Strong"/>
                <w:rFonts w:cs="Arial"/>
                <w:sz w:val="20"/>
                <w:szCs w:val="20"/>
              </w:rPr>
              <w:t xml:space="preserve">Measure Description: </w:t>
            </w:r>
          </w:p>
        </w:tc>
        <w:tc>
          <w:tcPr>
            <w:tcW w:w="6030" w:type="dxa"/>
            <w:shd w:val="pct5" w:color="000000" w:fill="FFFFFF"/>
          </w:tcPr>
          <w:p w:rsidR="0042606E" w:rsidRPr="006D6913" w:rsidRDefault="006D6913" w:rsidP="006D6913">
            <w:pPr>
              <w:rPr>
                <w:rFonts w:ascii="Arial" w:hAnsi="Arial" w:cs="Arial"/>
                <w:sz w:val="20"/>
                <w:szCs w:val="20"/>
              </w:rPr>
            </w:pPr>
            <w:r w:rsidRPr="006D6913">
              <w:rPr>
                <w:rFonts w:ascii="Arial" w:hAnsi="Arial" w:cs="Arial"/>
                <w:sz w:val="20"/>
                <w:szCs w:val="20"/>
              </w:rPr>
              <w:t>Direct-indirect or two-stage evaporative coolers (measure) in residential buildings</w:t>
            </w:r>
          </w:p>
        </w:tc>
      </w:tr>
      <w:tr w:rsidR="0042606E" w:rsidRPr="0077159C" w:rsidTr="006D6913">
        <w:trPr>
          <w:trHeight w:val="333"/>
        </w:trPr>
        <w:tc>
          <w:tcPr>
            <w:tcW w:w="3618" w:type="dxa"/>
            <w:shd w:val="pct20" w:color="000000" w:fill="FFFFFF"/>
          </w:tcPr>
          <w:p w:rsidR="0042606E" w:rsidRPr="00655582" w:rsidRDefault="0042606E" w:rsidP="006D6913">
            <w:pPr>
              <w:rPr>
                <w:rStyle w:val="Strong"/>
                <w:rFonts w:cs="Arial"/>
                <w:b w:val="0"/>
                <w:sz w:val="20"/>
                <w:szCs w:val="20"/>
              </w:rPr>
            </w:pPr>
            <w:r w:rsidRPr="00655582">
              <w:rPr>
                <w:rStyle w:val="Strong"/>
                <w:rFonts w:cs="Arial"/>
                <w:sz w:val="20"/>
                <w:szCs w:val="20"/>
              </w:rPr>
              <w:t xml:space="preserve">Energy Impact Common Units: </w:t>
            </w:r>
          </w:p>
        </w:tc>
        <w:tc>
          <w:tcPr>
            <w:tcW w:w="6030" w:type="dxa"/>
            <w:shd w:val="pct20" w:color="000000" w:fill="FFFFFF"/>
          </w:tcPr>
          <w:p w:rsidR="0042606E" w:rsidRPr="006D6913" w:rsidRDefault="006D6913" w:rsidP="006D6913">
            <w:pPr>
              <w:rPr>
                <w:rFonts w:ascii="Arial" w:hAnsi="Arial" w:cs="Arial"/>
                <w:sz w:val="20"/>
                <w:szCs w:val="20"/>
              </w:rPr>
            </w:pPr>
            <w:r w:rsidRPr="006D6913">
              <w:rPr>
                <w:rFonts w:ascii="Arial" w:hAnsi="Arial" w:cs="Arial"/>
                <w:sz w:val="20"/>
                <w:szCs w:val="20"/>
              </w:rPr>
              <w:t>Savings/household</w:t>
            </w:r>
          </w:p>
        </w:tc>
      </w:tr>
      <w:tr w:rsidR="0042606E" w:rsidRPr="0077159C" w:rsidTr="006D6913">
        <w:trPr>
          <w:trHeight w:val="465"/>
        </w:trPr>
        <w:tc>
          <w:tcPr>
            <w:tcW w:w="3618" w:type="dxa"/>
            <w:shd w:val="pct5" w:color="000000" w:fill="FFFFFF"/>
          </w:tcPr>
          <w:p w:rsidR="0042606E" w:rsidRPr="00655582" w:rsidRDefault="0042606E" w:rsidP="006D6913">
            <w:pPr>
              <w:rPr>
                <w:rStyle w:val="Strong"/>
                <w:rFonts w:cs="Arial"/>
                <w:b w:val="0"/>
                <w:sz w:val="20"/>
                <w:szCs w:val="20"/>
              </w:rPr>
            </w:pPr>
            <w:r w:rsidRPr="00655582">
              <w:rPr>
                <w:rStyle w:val="Strong"/>
                <w:rFonts w:cs="Arial"/>
                <w:sz w:val="20"/>
                <w:szCs w:val="20"/>
              </w:rPr>
              <w:t>Base Case Description:</w:t>
            </w:r>
          </w:p>
        </w:tc>
        <w:tc>
          <w:tcPr>
            <w:tcW w:w="6030" w:type="dxa"/>
            <w:shd w:val="pct5" w:color="000000" w:fill="FFFFFF"/>
          </w:tcPr>
          <w:p w:rsidR="0042606E" w:rsidRPr="006D6913" w:rsidRDefault="006D6913" w:rsidP="006D6913">
            <w:pPr>
              <w:rPr>
                <w:rFonts w:ascii="Arial" w:hAnsi="Arial" w:cs="Arial"/>
                <w:sz w:val="20"/>
                <w:szCs w:val="20"/>
              </w:rPr>
            </w:pPr>
            <w:r w:rsidRPr="006D6913">
              <w:rPr>
                <w:rFonts w:ascii="Arial" w:hAnsi="Arial" w:cs="Arial"/>
                <w:sz w:val="20"/>
                <w:szCs w:val="20"/>
              </w:rPr>
              <w:t>Standard compressor based direct-expansion (DX) split type air conditioning units.</w:t>
            </w:r>
          </w:p>
        </w:tc>
      </w:tr>
      <w:tr w:rsidR="0042606E" w:rsidRPr="0077159C" w:rsidTr="006D6913">
        <w:trPr>
          <w:trHeight w:val="465"/>
        </w:trPr>
        <w:tc>
          <w:tcPr>
            <w:tcW w:w="3618" w:type="dxa"/>
            <w:shd w:val="pct20" w:color="000000" w:fill="FFFFFF"/>
          </w:tcPr>
          <w:p w:rsidR="0042606E" w:rsidRPr="00655582" w:rsidRDefault="0042606E" w:rsidP="006D6913">
            <w:pPr>
              <w:rPr>
                <w:rStyle w:val="Strong"/>
                <w:rFonts w:cs="Arial"/>
                <w:b w:val="0"/>
                <w:sz w:val="20"/>
                <w:szCs w:val="20"/>
              </w:rPr>
            </w:pPr>
            <w:r w:rsidRPr="00655582">
              <w:rPr>
                <w:rStyle w:val="Strong"/>
                <w:rFonts w:cs="Arial"/>
                <w:sz w:val="20"/>
                <w:szCs w:val="20"/>
              </w:rPr>
              <w:t xml:space="preserve">Base Case Energy Consumption: </w:t>
            </w:r>
          </w:p>
        </w:tc>
        <w:tc>
          <w:tcPr>
            <w:tcW w:w="6030" w:type="dxa"/>
            <w:shd w:val="pct20" w:color="000000" w:fill="FFFFFF"/>
          </w:tcPr>
          <w:p w:rsidR="0042606E" w:rsidRPr="006D6913" w:rsidRDefault="0042606E" w:rsidP="006D6913">
            <w:pPr>
              <w:rPr>
                <w:rFonts w:ascii="Arial" w:hAnsi="Arial" w:cs="Arial"/>
                <w:sz w:val="20"/>
                <w:szCs w:val="20"/>
              </w:rPr>
            </w:pPr>
            <w:r w:rsidRPr="006D6913">
              <w:rPr>
                <w:rFonts w:ascii="Arial" w:hAnsi="Arial" w:cs="Arial"/>
                <w:sz w:val="20"/>
                <w:szCs w:val="20"/>
              </w:rPr>
              <w:t>DEER201</w:t>
            </w:r>
            <w:r w:rsidR="006D6913" w:rsidRPr="006D6913">
              <w:rPr>
                <w:rFonts w:ascii="Arial" w:hAnsi="Arial" w:cs="Arial"/>
                <w:sz w:val="20"/>
                <w:szCs w:val="20"/>
              </w:rPr>
              <w:t>4</w:t>
            </w:r>
            <w:r w:rsidRPr="006D6913">
              <w:rPr>
                <w:rFonts w:ascii="Arial" w:hAnsi="Arial" w:cs="Arial"/>
                <w:sz w:val="20"/>
                <w:szCs w:val="20"/>
              </w:rPr>
              <w:t xml:space="preserve"> does not yet provide the base case energy consumption</w:t>
            </w:r>
            <w:r w:rsidR="006D6913" w:rsidRPr="006D6913">
              <w:rPr>
                <w:rFonts w:ascii="Arial" w:hAnsi="Arial" w:cs="Arial"/>
                <w:sz w:val="20"/>
                <w:szCs w:val="20"/>
              </w:rPr>
              <w:t>, only impact savings are provided</w:t>
            </w:r>
            <w:r w:rsidRPr="006D6913">
              <w:rPr>
                <w:rFonts w:ascii="Arial" w:hAnsi="Arial" w:cs="Arial"/>
                <w:sz w:val="20"/>
                <w:szCs w:val="20"/>
              </w:rPr>
              <w:t>.</w:t>
            </w:r>
          </w:p>
        </w:tc>
      </w:tr>
      <w:tr w:rsidR="0042606E" w:rsidRPr="0077159C" w:rsidTr="006D6913">
        <w:trPr>
          <w:trHeight w:val="465"/>
        </w:trPr>
        <w:tc>
          <w:tcPr>
            <w:tcW w:w="3618" w:type="dxa"/>
            <w:shd w:val="pct5" w:color="000000" w:fill="FFFFFF"/>
          </w:tcPr>
          <w:p w:rsidR="0042606E" w:rsidRPr="00655582" w:rsidRDefault="0042606E" w:rsidP="006D6913">
            <w:pPr>
              <w:rPr>
                <w:rStyle w:val="Strong"/>
                <w:rFonts w:cs="Arial"/>
                <w:b w:val="0"/>
                <w:sz w:val="20"/>
                <w:szCs w:val="20"/>
              </w:rPr>
            </w:pPr>
            <w:r w:rsidRPr="00655582">
              <w:rPr>
                <w:rStyle w:val="Strong"/>
                <w:rFonts w:cs="Arial"/>
                <w:sz w:val="20"/>
                <w:szCs w:val="20"/>
              </w:rPr>
              <w:t>Measure Energy Consumption:</w:t>
            </w:r>
          </w:p>
          <w:p w:rsidR="0042606E" w:rsidRPr="00655582" w:rsidRDefault="0042606E" w:rsidP="006D6913">
            <w:pPr>
              <w:rPr>
                <w:rFonts w:ascii="Arial" w:hAnsi="Arial" w:cs="Arial"/>
                <w:sz w:val="20"/>
                <w:szCs w:val="20"/>
              </w:rPr>
            </w:pPr>
          </w:p>
        </w:tc>
        <w:tc>
          <w:tcPr>
            <w:tcW w:w="6030" w:type="dxa"/>
            <w:shd w:val="pct5" w:color="000000" w:fill="FFFFFF"/>
          </w:tcPr>
          <w:p w:rsidR="0042606E" w:rsidRPr="006D6913" w:rsidRDefault="006D6913" w:rsidP="006D6913">
            <w:pPr>
              <w:rPr>
                <w:rFonts w:ascii="Arial" w:hAnsi="Arial" w:cs="Arial"/>
                <w:sz w:val="20"/>
                <w:szCs w:val="20"/>
              </w:rPr>
            </w:pPr>
            <w:r w:rsidRPr="006D6913">
              <w:rPr>
                <w:rFonts w:ascii="Arial" w:hAnsi="Arial" w:cs="Arial"/>
                <w:sz w:val="20"/>
                <w:szCs w:val="20"/>
              </w:rPr>
              <w:t>DEER2014 does not yet provide the base case energy consumption, only impact savings are provided.</w:t>
            </w:r>
          </w:p>
        </w:tc>
      </w:tr>
      <w:tr w:rsidR="0042606E" w:rsidRPr="0077159C" w:rsidTr="006D6913">
        <w:trPr>
          <w:trHeight w:val="747"/>
        </w:trPr>
        <w:tc>
          <w:tcPr>
            <w:tcW w:w="3618" w:type="dxa"/>
            <w:shd w:val="pct20" w:color="000000" w:fill="FFFFFF"/>
          </w:tcPr>
          <w:p w:rsidR="0042606E" w:rsidRPr="00655582" w:rsidRDefault="0042606E" w:rsidP="006D6913">
            <w:pPr>
              <w:rPr>
                <w:rStyle w:val="Strong"/>
                <w:rFonts w:cs="Arial"/>
                <w:b w:val="0"/>
                <w:sz w:val="20"/>
                <w:szCs w:val="20"/>
              </w:rPr>
            </w:pPr>
            <w:r w:rsidRPr="00655582">
              <w:rPr>
                <w:rStyle w:val="Strong"/>
                <w:rFonts w:cs="Arial"/>
                <w:sz w:val="20"/>
                <w:szCs w:val="20"/>
              </w:rPr>
              <w:t xml:space="preserve">Energy Savings </w:t>
            </w:r>
          </w:p>
          <w:p w:rsidR="0042606E" w:rsidRPr="00655582" w:rsidRDefault="0042606E" w:rsidP="006D6913">
            <w:pPr>
              <w:rPr>
                <w:rStyle w:val="Strong1"/>
                <w:rFonts w:ascii="Arial" w:hAnsi="Arial" w:cs="Arial"/>
                <w:b w:val="0"/>
                <w:sz w:val="20"/>
                <w:szCs w:val="20"/>
              </w:rPr>
            </w:pPr>
            <w:r w:rsidRPr="00655582">
              <w:rPr>
                <w:rStyle w:val="Strong"/>
                <w:rFonts w:cs="Arial"/>
                <w:sz w:val="20"/>
                <w:szCs w:val="20"/>
              </w:rPr>
              <w:t>(Base Case – Measure):</w:t>
            </w:r>
          </w:p>
        </w:tc>
        <w:tc>
          <w:tcPr>
            <w:tcW w:w="6030" w:type="dxa"/>
            <w:shd w:val="pct20" w:color="000000" w:fill="FFFFFF"/>
          </w:tcPr>
          <w:p w:rsidR="0042606E" w:rsidRPr="006D6913" w:rsidRDefault="006D6913" w:rsidP="006D6913">
            <w:pPr>
              <w:rPr>
                <w:rFonts w:ascii="Arial" w:hAnsi="Arial" w:cs="Arial"/>
                <w:sz w:val="20"/>
                <w:szCs w:val="20"/>
              </w:rPr>
            </w:pPr>
            <w:r w:rsidRPr="006D6913">
              <w:rPr>
                <w:rFonts w:ascii="Arial" w:hAnsi="Arial" w:cs="Arial"/>
                <w:sz w:val="20"/>
                <w:szCs w:val="20"/>
              </w:rPr>
              <w:t>Source: DEER 2014</w:t>
            </w:r>
            <w:r w:rsidR="0042606E" w:rsidRPr="006D6913">
              <w:rPr>
                <w:rFonts w:ascii="Arial" w:hAnsi="Arial" w:cs="Arial"/>
                <w:sz w:val="20"/>
                <w:szCs w:val="20"/>
              </w:rPr>
              <w:t xml:space="preserve"> and Engineering Calculations</w:t>
            </w:r>
          </w:p>
          <w:p w:rsidR="0042606E" w:rsidRPr="006D6913" w:rsidRDefault="0042606E" w:rsidP="006D6913">
            <w:pPr>
              <w:rPr>
                <w:rFonts w:ascii="Arial" w:hAnsi="Arial" w:cs="Arial"/>
                <w:sz w:val="20"/>
                <w:szCs w:val="20"/>
              </w:rPr>
            </w:pPr>
            <w:r w:rsidRPr="006D6913">
              <w:rPr>
                <w:rFonts w:ascii="Arial" w:hAnsi="Arial" w:cs="Arial"/>
                <w:sz w:val="20"/>
                <w:szCs w:val="20"/>
              </w:rPr>
              <w:t>Varies depending on climate zone, building type, vintage, and system capacity.</w:t>
            </w:r>
          </w:p>
        </w:tc>
      </w:tr>
      <w:tr w:rsidR="0042606E" w:rsidRPr="0077159C" w:rsidTr="006D6913">
        <w:trPr>
          <w:trHeight w:val="378"/>
        </w:trPr>
        <w:tc>
          <w:tcPr>
            <w:tcW w:w="3618" w:type="dxa"/>
            <w:shd w:val="pct5" w:color="000000" w:fill="FFFFFF"/>
          </w:tcPr>
          <w:p w:rsidR="0042606E" w:rsidRPr="00655582" w:rsidRDefault="0042606E" w:rsidP="006D6913">
            <w:pPr>
              <w:rPr>
                <w:rStyle w:val="Strong"/>
                <w:rFonts w:cs="Arial"/>
                <w:b w:val="0"/>
                <w:sz w:val="20"/>
                <w:szCs w:val="20"/>
              </w:rPr>
            </w:pPr>
            <w:r w:rsidRPr="00655582">
              <w:rPr>
                <w:rStyle w:val="Strong"/>
                <w:rFonts w:cs="Arial"/>
                <w:sz w:val="20"/>
                <w:szCs w:val="20"/>
              </w:rPr>
              <w:t xml:space="preserve">Costs Common Units: </w:t>
            </w:r>
          </w:p>
        </w:tc>
        <w:tc>
          <w:tcPr>
            <w:tcW w:w="6030" w:type="dxa"/>
            <w:shd w:val="pct5" w:color="000000" w:fill="FFFFFF"/>
          </w:tcPr>
          <w:p w:rsidR="0042606E" w:rsidRPr="006D6913" w:rsidRDefault="006D6913" w:rsidP="006D6913">
            <w:pPr>
              <w:rPr>
                <w:rFonts w:ascii="Arial" w:hAnsi="Arial" w:cs="Arial"/>
                <w:sz w:val="20"/>
                <w:szCs w:val="20"/>
              </w:rPr>
            </w:pPr>
            <w:r w:rsidRPr="006D6913">
              <w:rPr>
                <w:rFonts w:ascii="Arial" w:hAnsi="Arial" w:cs="Arial"/>
                <w:sz w:val="20"/>
                <w:szCs w:val="20"/>
              </w:rPr>
              <w:t>$/household</w:t>
            </w:r>
          </w:p>
        </w:tc>
      </w:tr>
      <w:tr w:rsidR="0042606E" w:rsidRPr="0077159C" w:rsidTr="006D6913">
        <w:trPr>
          <w:trHeight w:val="585"/>
        </w:trPr>
        <w:tc>
          <w:tcPr>
            <w:tcW w:w="3618" w:type="dxa"/>
            <w:shd w:val="pct20" w:color="000000" w:fill="FFFFFF"/>
          </w:tcPr>
          <w:p w:rsidR="0042606E" w:rsidRPr="00655582" w:rsidRDefault="0042606E" w:rsidP="006D6913">
            <w:pPr>
              <w:rPr>
                <w:rStyle w:val="Strong"/>
                <w:rFonts w:cs="Arial"/>
                <w:b w:val="0"/>
                <w:sz w:val="20"/>
                <w:szCs w:val="20"/>
                <w:highlight w:val="cyan"/>
              </w:rPr>
            </w:pPr>
            <w:r w:rsidRPr="00655582">
              <w:rPr>
                <w:rStyle w:val="Strong"/>
                <w:rFonts w:cs="Arial"/>
                <w:sz w:val="20"/>
                <w:szCs w:val="20"/>
              </w:rPr>
              <w:t>Base Case Equipment Cost ($/unit):</w:t>
            </w:r>
          </w:p>
          <w:p w:rsidR="0042606E" w:rsidRPr="00655582" w:rsidRDefault="0042606E" w:rsidP="006D6913">
            <w:pPr>
              <w:rPr>
                <w:rFonts w:ascii="Arial" w:hAnsi="Arial" w:cs="Arial"/>
                <w:sz w:val="20"/>
                <w:szCs w:val="20"/>
                <w:highlight w:val="cyan"/>
              </w:rPr>
            </w:pPr>
          </w:p>
        </w:tc>
        <w:tc>
          <w:tcPr>
            <w:tcW w:w="6030" w:type="dxa"/>
            <w:shd w:val="pct20" w:color="000000" w:fill="FFFFFF"/>
          </w:tcPr>
          <w:p w:rsidR="0042606E" w:rsidRPr="006D6913" w:rsidRDefault="0042606E" w:rsidP="006D6913">
            <w:pPr>
              <w:rPr>
                <w:rFonts w:ascii="Arial" w:hAnsi="Arial" w:cs="Arial"/>
                <w:sz w:val="20"/>
                <w:szCs w:val="20"/>
              </w:rPr>
            </w:pPr>
            <w:r w:rsidRPr="006D6913">
              <w:rPr>
                <w:rFonts w:ascii="Arial" w:hAnsi="Arial" w:cs="Arial"/>
                <w:sz w:val="20"/>
                <w:szCs w:val="20"/>
              </w:rPr>
              <w:t>Source: DEER2008 and Engineering Calculations.</w:t>
            </w:r>
          </w:p>
          <w:p w:rsidR="0042606E" w:rsidRPr="006D6913" w:rsidRDefault="0042606E" w:rsidP="006D6913">
            <w:pPr>
              <w:rPr>
                <w:rFonts w:ascii="Arial" w:hAnsi="Arial" w:cs="Arial"/>
                <w:sz w:val="20"/>
                <w:szCs w:val="20"/>
              </w:rPr>
            </w:pPr>
            <w:r w:rsidRPr="006D6913">
              <w:rPr>
                <w:rFonts w:ascii="Arial" w:hAnsi="Arial" w:cs="Arial"/>
                <w:sz w:val="20"/>
                <w:szCs w:val="20"/>
              </w:rPr>
              <w:t>Varies depending on system capacity.</w:t>
            </w:r>
          </w:p>
        </w:tc>
      </w:tr>
      <w:tr w:rsidR="0042606E" w:rsidRPr="0077159C" w:rsidTr="006D6913">
        <w:trPr>
          <w:trHeight w:val="465"/>
        </w:trPr>
        <w:tc>
          <w:tcPr>
            <w:tcW w:w="3618" w:type="dxa"/>
            <w:shd w:val="pct5" w:color="000000" w:fill="FFFFFF"/>
          </w:tcPr>
          <w:p w:rsidR="0042606E" w:rsidRPr="00655582" w:rsidRDefault="0042606E" w:rsidP="006D6913">
            <w:pPr>
              <w:rPr>
                <w:rStyle w:val="Strong"/>
                <w:rFonts w:cs="Arial"/>
                <w:b w:val="0"/>
                <w:sz w:val="20"/>
                <w:szCs w:val="20"/>
              </w:rPr>
            </w:pPr>
            <w:r w:rsidRPr="00655582">
              <w:rPr>
                <w:rStyle w:val="Strong"/>
                <w:rFonts w:cs="Arial"/>
                <w:sz w:val="20"/>
                <w:szCs w:val="20"/>
              </w:rPr>
              <w:t xml:space="preserve">Measure Equipment Cost ($/unit): </w:t>
            </w:r>
          </w:p>
        </w:tc>
        <w:tc>
          <w:tcPr>
            <w:tcW w:w="6030" w:type="dxa"/>
            <w:shd w:val="pct5" w:color="000000" w:fill="FFFFFF"/>
          </w:tcPr>
          <w:p w:rsidR="0042606E" w:rsidRPr="006D6913" w:rsidRDefault="0042606E" w:rsidP="006D6913">
            <w:pPr>
              <w:rPr>
                <w:rFonts w:ascii="Arial" w:hAnsi="Arial" w:cs="Arial"/>
                <w:sz w:val="20"/>
                <w:szCs w:val="20"/>
              </w:rPr>
            </w:pPr>
            <w:r w:rsidRPr="006D6913">
              <w:rPr>
                <w:rFonts w:ascii="Arial" w:hAnsi="Arial" w:cs="Arial"/>
                <w:sz w:val="20"/>
                <w:szCs w:val="20"/>
              </w:rPr>
              <w:t>Source: DEER2008 and Engineering Calculations.</w:t>
            </w:r>
          </w:p>
          <w:p w:rsidR="0042606E" w:rsidRPr="006D6913" w:rsidRDefault="0042606E" w:rsidP="006D6913">
            <w:pPr>
              <w:rPr>
                <w:rFonts w:ascii="Arial" w:hAnsi="Arial" w:cs="Arial"/>
                <w:sz w:val="20"/>
                <w:szCs w:val="20"/>
              </w:rPr>
            </w:pPr>
            <w:r w:rsidRPr="006D6913">
              <w:rPr>
                <w:rFonts w:ascii="Arial" w:hAnsi="Arial" w:cs="Arial"/>
                <w:sz w:val="20"/>
                <w:szCs w:val="20"/>
              </w:rPr>
              <w:t>Varies depending on system capacity.</w:t>
            </w:r>
          </w:p>
        </w:tc>
      </w:tr>
      <w:tr w:rsidR="0042606E" w:rsidRPr="0077159C" w:rsidTr="006D6913">
        <w:trPr>
          <w:trHeight w:val="414"/>
        </w:trPr>
        <w:tc>
          <w:tcPr>
            <w:tcW w:w="3618" w:type="dxa"/>
            <w:shd w:val="pct20" w:color="000000" w:fill="FFFFFF"/>
          </w:tcPr>
          <w:p w:rsidR="0042606E" w:rsidRPr="00655582" w:rsidRDefault="0042606E" w:rsidP="006D6913">
            <w:pPr>
              <w:rPr>
                <w:rStyle w:val="Strong"/>
                <w:rFonts w:cs="Arial"/>
                <w:b w:val="0"/>
                <w:sz w:val="20"/>
                <w:szCs w:val="20"/>
              </w:rPr>
            </w:pPr>
            <w:r w:rsidRPr="00655582">
              <w:rPr>
                <w:rStyle w:val="Strong"/>
                <w:rFonts w:cs="Arial"/>
                <w:sz w:val="20"/>
                <w:szCs w:val="20"/>
              </w:rPr>
              <w:t>Gross Measure Cost ($/unit)</w:t>
            </w:r>
          </w:p>
        </w:tc>
        <w:tc>
          <w:tcPr>
            <w:tcW w:w="6030" w:type="dxa"/>
            <w:shd w:val="pct20" w:color="000000" w:fill="FFFFFF"/>
          </w:tcPr>
          <w:p w:rsidR="0042606E" w:rsidRPr="006D6913" w:rsidRDefault="0042606E" w:rsidP="006D6913">
            <w:pPr>
              <w:rPr>
                <w:rFonts w:ascii="Arial" w:hAnsi="Arial" w:cs="Arial"/>
                <w:sz w:val="20"/>
                <w:szCs w:val="20"/>
              </w:rPr>
            </w:pPr>
            <w:r w:rsidRPr="006D6913">
              <w:rPr>
                <w:rFonts w:ascii="Arial" w:hAnsi="Arial" w:cs="Arial"/>
                <w:sz w:val="20"/>
                <w:szCs w:val="20"/>
              </w:rPr>
              <w:t>Source: DEER2008 and Engineering Calculations.</w:t>
            </w:r>
          </w:p>
          <w:p w:rsidR="0042606E" w:rsidRPr="006D6913" w:rsidRDefault="0042606E" w:rsidP="006D6913">
            <w:pPr>
              <w:rPr>
                <w:rFonts w:ascii="Arial" w:hAnsi="Arial" w:cs="Arial"/>
                <w:sz w:val="20"/>
                <w:szCs w:val="20"/>
              </w:rPr>
            </w:pPr>
            <w:r w:rsidRPr="006D6913">
              <w:rPr>
                <w:rFonts w:ascii="Arial" w:hAnsi="Arial" w:cs="Arial"/>
                <w:sz w:val="20"/>
                <w:szCs w:val="20"/>
              </w:rPr>
              <w:t>Varies depending on system capacity.</w:t>
            </w:r>
          </w:p>
          <w:p w:rsidR="0042606E" w:rsidRPr="006D6913" w:rsidRDefault="0042606E" w:rsidP="006D6913">
            <w:pPr>
              <w:rPr>
                <w:rFonts w:ascii="Arial" w:hAnsi="Arial" w:cs="Arial"/>
                <w:sz w:val="20"/>
                <w:szCs w:val="20"/>
              </w:rPr>
            </w:pPr>
          </w:p>
        </w:tc>
      </w:tr>
      <w:tr w:rsidR="0042606E" w:rsidRPr="0077159C" w:rsidTr="006D6913">
        <w:trPr>
          <w:trHeight w:val="465"/>
        </w:trPr>
        <w:tc>
          <w:tcPr>
            <w:tcW w:w="3618" w:type="dxa"/>
            <w:shd w:val="pct20" w:color="000000" w:fill="FFFFFF"/>
          </w:tcPr>
          <w:p w:rsidR="0042606E" w:rsidRPr="00655582" w:rsidRDefault="0042606E" w:rsidP="006D6913">
            <w:pPr>
              <w:rPr>
                <w:rStyle w:val="Strong"/>
                <w:rFonts w:cs="Arial"/>
                <w:b w:val="0"/>
                <w:sz w:val="20"/>
                <w:szCs w:val="20"/>
              </w:rPr>
            </w:pPr>
            <w:r w:rsidRPr="00655582">
              <w:rPr>
                <w:rStyle w:val="Strong"/>
                <w:rFonts w:cs="Arial"/>
                <w:sz w:val="20"/>
                <w:szCs w:val="20"/>
              </w:rPr>
              <w:t xml:space="preserve">Measure Incremental Cost ($/unit): </w:t>
            </w:r>
          </w:p>
        </w:tc>
        <w:tc>
          <w:tcPr>
            <w:tcW w:w="6030" w:type="dxa"/>
            <w:shd w:val="pct20" w:color="000000" w:fill="FFFFFF"/>
          </w:tcPr>
          <w:p w:rsidR="0042606E" w:rsidRPr="006D6913" w:rsidRDefault="0042606E" w:rsidP="006D6913">
            <w:pPr>
              <w:rPr>
                <w:rFonts w:ascii="Arial" w:hAnsi="Arial" w:cs="Arial"/>
                <w:sz w:val="20"/>
                <w:szCs w:val="20"/>
              </w:rPr>
            </w:pPr>
            <w:r w:rsidRPr="006D6913">
              <w:rPr>
                <w:rFonts w:ascii="Arial" w:hAnsi="Arial" w:cs="Arial"/>
                <w:sz w:val="20"/>
                <w:szCs w:val="20"/>
              </w:rPr>
              <w:t>Source: DEER2008 and Engineering Calculations.</w:t>
            </w:r>
          </w:p>
          <w:p w:rsidR="0042606E" w:rsidRPr="006D6913" w:rsidRDefault="0042606E" w:rsidP="006D6913">
            <w:pPr>
              <w:rPr>
                <w:rFonts w:ascii="Arial" w:hAnsi="Arial" w:cs="Arial"/>
                <w:sz w:val="20"/>
                <w:szCs w:val="20"/>
              </w:rPr>
            </w:pPr>
            <w:r w:rsidRPr="006D6913">
              <w:rPr>
                <w:rFonts w:ascii="Arial" w:hAnsi="Arial" w:cs="Arial"/>
                <w:sz w:val="20"/>
                <w:szCs w:val="20"/>
              </w:rPr>
              <w:t>Varies depending on system capacity.</w:t>
            </w:r>
          </w:p>
          <w:p w:rsidR="0042606E" w:rsidRPr="006D6913" w:rsidRDefault="0042606E" w:rsidP="006D6913">
            <w:pPr>
              <w:rPr>
                <w:rFonts w:ascii="Arial" w:hAnsi="Arial" w:cs="Arial"/>
                <w:sz w:val="20"/>
                <w:szCs w:val="20"/>
              </w:rPr>
            </w:pPr>
          </w:p>
        </w:tc>
      </w:tr>
      <w:tr w:rsidR="0042606E" w:rsidRPr="0077159C" w:rsidTr="006D6913">
        <w:trPr>
          <w:trHeight w:val="747"/>
        </w:trPr>
        <w:tc>
          <w:tcPr>
            <w:tcW w:w="3618" w:type="dxa"/>
            <w:shd w:val="pct5" w:color="000000" w:fill="FFFFFF"/>
          </w:tcPr>
          <w:p w:rsidR="0042606E" w:rsidRPr="00655582" w:rsidRDefault="0042606E" w:rsidP="006D6913">
            <w:pPr>
              <w:rPr>
                <w:rStyle w:val="Strong"/>
                <w:rFonts w:cs="Arial"/>
                <w:b w:val="0"/>
                <w:sz w:val="20"/>
                <w:szCs w:val="20"/>
              </w:rPr>
            </w:pPr>
            <w:r w:rsidRPr="00655582">
              <w:rPr>
                <w:rStyle w:val="Strong"/>
                <w:rFonts w:cs="Arial"/>
                <w:sz w:val="20"/>
                <w:szCs w:val="20"/>
              </w:rPr>
              <w:t xml:space="preserve">Effective Useful Life (years): </w:t>
            </w:r>
          </w:p>
        </w:tc>
        <w:tc>
          <w:tcPr>
            <w:tcW w:w="6030" w:type="dxa"/>
            <w:shd w:val="pct5" w:color="000000" w:fill="FFFFFF"/>
          </w:tcPr>
          <w:p w:rsidR="0042606E" w:rsidRPr="006D6913" w:rsidRDefault="0042606E" w:rsidP="006D6913">
            <w:pPr>
              <w:rPr>
                <w:rFonts w:ascii="Arial" w:hAnsi="Arial" w:cs="Arial"/>
                <w:sz w:val="20"/>
                <w:szCs w:val="20"/>
              </w:rPr>
            </w:pPr>
            <w:r w:rsidRPr="006D6913">
              <w:rPr>
                <w:rFonts w:ascii="Arial" w:hAnsi="Arial" w:cs="Arial"/>
                <w:sz w:val="20"/>
                <w:szCs w:val="20"/>
              </w:rPr>
              <w:t>Source: DEER 2014.</w:t>
            </w:r>
          </w:p>
          <w:p w:rsidR="0042606E" w:rsidRPr="006D6913" w:rsidRDefault="006D6913" w:rsidP="006D6913">
            <w:pPr>
              <w:rPr>
                <w:rFonts w:ascii="Arial" w:hAnsi="Arial" w:cs="Arial"/>
                <w:sz w:val="20"/>
                <w:szCs w:val="20"/>
              </w:rPr>
            </w:pPr>
            <w:r w:rsidRPr="006D6913">
              <w:rPr>
                <w:rFonts w:ascii="Arial" w:hAnsi="Arial" w:cs="Arial"/>
                <w:sz w:val="20"/>
                <w:szCs w:val="20"/>
              </w:rPr>
              <w:t>15 years (EUL ID: HV-</w:t>
            </w:r>
            <w:proofErr w:type="spellStart"/>
            <w:r w:rsidRPr="006D6913">
              <w:rPr>
                <w:rFonts w:ascii="Arial" w:hAnsi="Arial" w:cs="Arial"/>
                <w:sz w:val="20"/>
                <w:szCs w:val="20"/>
              </w:rPr>
              <w:t>Evap</w:t>
            </w:r>
            <w:proofErr w:type="spellEnd"/>
            <w:r w:rsidRPr="006D6913">
              <w:rPr>
                <w:rFonts w:ascii="Arial" w:hAnsi="Arial" w:cs="Arial"/>
                <w:sz w:val="20"/>
                <w:szCs w:val="20"/>
              </w:rPr>
              <w:t>)</w:t>
            </w:r>
          </w:p>
        </w:tc>
      </w:tr>
      <w:tr w:rsidR="0042606E" w:rsidRPr="0077159C" w:rsidTr="006D6913">
        <w:trPr>
          <w:trHeight w:val="297"/>
        </w:trPr>
        <w:tc>
          <w:tcPr>
            <w:tcW w:w="3618" w:type="dxa"/>
            <w:shd w:val="pct20" w:color="000000" w:fill="FFFFFF"/>
          </w:tcPr>
          <w:p w:rsidR="0042606E" w:rsidRPr="00655582" w:rsidRDefault="0042606E" w:rsidP="006D6913">
            <w:pPr>
              <w:rPr>
                <w:rStyle w:val="Strong"/>
                <w:rFonts w:cs="Arial"/>
                <w:b w:val="0"/>
                <w:sz w:val="20"/>
                <w:szCs w:val="20"/>
              </w:rPr>
            </w:pPr>
            <w:r w:rsidRPr="00655582">
              <w:rPr>
                <w:rStyle w:val="Strong"/>
                <w:rFonts w:cs="Arial"/>
                <w:sz w:val="20"/>
                <w:szCs w:val="20"/>
              </w:rPr>
              <w:t>Measure Application Type:</w:t>
            </w:r>
          </w:p>
        </w:tc>
        <w:tc>
          <w:tcPr>
            <w:tcW w:w="6030" w:type="dxa"/>
            <w:shd w:val="pct20" w:color="000000" w:fill="FFFFFF"/>
          </w:tcPr>
          <w:p w:rsidR="0042606E" w:rsidRPr="006D6913" w:rsidRDefault="0042606E" w:rsidP="006D6913">
            <w:pPr>
              <w:rPr>
                <w:rFonts w:ascii="Arial" w:hAnsi="Arial" w:cs="Arial"/>
                <w:sz w:val="20"/>
                <w:szCs w:val="20"/>
              </w:rPr>
            </w:pPr>
            <w:r w:rsidRPr="006D6913">
              <w:rPr>
                <w:rFonts w:ascii="Arial" w:hAnsi="Arial" w:cs="Arial"/>
                <w:sz w:val="20"/>
                <w:szCs w:val="20"/>
              </w:rPr>
              <w:t>Replace on Burnout (ROB)</w:t>
            </w:r>
          </w:p>
        </w:tc>
      </w:tr>
      <w:tr w:rsidR="0042606E" w:rsidRPr="0077159C" w:rsidTr="006D6913">
        <w:trPr>
          <w:trHeight w:val="465"/>
        </w:trPr>
        <w:tc>
          <w:tcPr>
            <w:tcW w:w="3618" w:type="dxa"/>
            <w:shd w:val="pct5" w:color="000000" w:fill="FFFFFF"/>
          </w:tcPr>
          <w:p w:rsidR="0042606E" w:rsidRPr="00655582" w:rsidRDefault="0042606E" w:rsidP="006D6913">
            <w:pPr>
              <w:rPr>
                <w:rStyle w:val="Strong"/>
                <w:rFonts w:cs="Arial"/>
                <w:b w:val="0"/>
                <w:sz w:val="20"/>
                <w:szCs w:val="20"/>
              </w:rPr>
            </w:pPr>
            <w:r w:rsidRPr="00655582">
              <w:rPr>
                <w:rStyle w:val="Strong"/>
                <w:rFonts w:cs="Arial"/>
                <w:sz w:val="20"/>
                <w:szCs w:val="20"/>
              </w:rPr>
              <w:t xml:space="preserve">Net-to-Gross Ratios: </w:t>
            </w:r>
          </w:p>
        </w:tc>
        <w:tc>
          <w:tcPr>
            <w:tcW w:w="6030" w:type="dxa"/>
            <w:shd w:val="pct5" w:color="000000" w:fill="FFFFFF"/>
          </w:tcPr>
          <w:p w:rsidR="0042606E" w:rsidRPr="006D6913" w:rsidRDefault="0042606E" w:rsidP="006D6913">
            <w:pPr>
              <w:rPr>
                <w:rFonts w:ascii="Arial" w:hAnsi="Arial" w:cs="Arial"/>
                <w:sz w:val="20"/>
                <w:szCs w:val="20"/>
              </w:rPr>
            </w:pPr>
            <w:r w:rsidRPr="006D6913">
              <w:rPr>
                <w:rFonts w:ascii="Arial" w:hAnsi="Arial" w:cs="Arial"/>
                <w:sz w:val="20"/>
                <w:szCs w:val="20"/>
              </w:rPr>
              <w:t>Source: DEER2011.</w:t>
            </w:r>
          </w:p>
          <w:p w:rsidR="0042606E" w:rsidRPr="006D6913" w:rsidRDefault="006D6913" w:rsidP="006D6913">
            <w:pPr>
              <w:rPr>
                <w:rFonts w:ascii="Arial" w:hAnsi="Arial" w:cs="Arial"/>
                <w:sz w:val="20"/>
                <w:szCs w:val="20"/>
              </w:rPr>
            </w:pPr>
            <w:r w:rsidRPr="006D6913">
              <w:rPr>
                <w:rFonts w:ascii="Arial" w:hAnsi="Arial" w:cs="Arial"/>
                <w:sz w:val="20"/>
                <w:szCs w:val="20"/>
              </w:rPr>
              <w:t>0.55 (Res-Default&gt;2)</w:t>
            </w:r>
          </w:p>
        </w:tc>
      </w:tr>
      <w:tr w:rsidR="0042606E" w:rsidRPr="0077159C" w:rsidTr="006D6913">
        <w:trPr>
          <w:trHeight w:val="465"/>
        </w:trPr>
        <w:tc>
          <w:tcPr>
            <w:tcW w:w="3618" w:type="dxa"/>
            <w:shd w:val="pct20" w:color="000000" w:fill="FFFFFF"/>
          </w:tcPr>
          <w:p w:rsidR="0042606E" w:rsidRPr="00655582" w:rsidRDefault="0042606E" w:rsidP="006D6913">
            <w:pPr>
              <w:rPr>
                <w:rStyle w:val="Strong"/>
                <w:rFonts w:cs="Arial"/>
                <w:b w:val="0"/>
                <w:sz w:val="20"/>
                <w:szCs w:val="20"/>
              </w:rPr>
            </w:pPr>
            <w:r w:rsidRPr="00655582">
              <w:rPr>
                <w:rStyle w:val="Strong"/>
                <w:rFonts w:cs="Arial"/>
                <w:sz w:val="20"/>
                <w:szCs w:val="20"/>
              </w:rPr>
              <w:t>Important Comments:</w:t>
            </w:r>
          </w:p>
        </w:tc>
        <w:tc>
          <w:tcPr>
            <w:tcW w:w="6030" w:type="dxa"/>
            <w:shd w:val="pct20" w:color="000000" w:fill="FFFFFF"/>
          </w:tcPr>
          <w:p w:rsidR="0042606E" w:rsidRPr="00655582" w:rsidRDefault="00A73F9E" w:rsidP="006D6913">
            <w:pPr>
              <w:rPr>
                <w:rFonts w:ascii="Arial" w:hAnsi="Arial" w:cs="Arial"/>
                <w:sz w:val="20"/>
                <w:szCs w:val="20"/>
              </w:rPr>
            </w:pPr>
            <w:r>
              <w:rPr>
                <w:rFonts w:ascii="Arial" w:hAnsi="Arial" w:cs="Arial"/>
                <w:sz w:val="20"/>
                <w:szCs w:val="20"/>
              </w:rPr>
              <w:t xml:space="preserve">This is a SCE lead </w:t>
            </w:r>
            <w:proofErr w:type="spellStart"/>
            <w:r>
              <w:rPr>
                <w:rFonts w:ascii="Arial" w:hAnsi="Arial" w:cs="Arial"/>
                <w:sz w:val="20"/>
                <w:szCs w:val="20"/>
              </w:rPr>
              <w:t>workpaper</w:t>
            </w:r>
            <w:proofErr w:type="spellEnd"/>
            <w:r>
              <w:rPr>
                <w:rFonts w:ascii="Arial" w:hAnsi="Arial" w:cs="Arial"/>
                <w:sz w:val="20"/>
                <w:szCs w:val="20"/>
              </w:rPr>
              <w:t xml:space="preserve"> (SCE </w:t>
            </w:r>
            <w:proofErr w:type="spellStart"/>
            <w:r>
              <w:rPr>
                <w:rFonts w:ascii="Arial" w:hAnsi="Arial" w:cs="Arial"/>
                <w:sz w:val="20"/>
                <w:szCs w:val="20"/>
              </w:rPr>
              <w:t>workpaper</w:t>
            </w:r>
            <w:proofErr w:type="spellEnd"/>
            <w:r>
              <w:rPr>
                <w:rFonts w:ascii="Arial" w:hAnsi="Arial" w:cs="Arial"/>
                <w:sz w:val="20"/>
                <w:szCs w:val="20"/>
              </w:rPr>
              <w:t xml:space="preserve"> # SCE13HC017.1)</w:t>
            </w:r>
          </w:p>
        </w:tc>
      </w:tr>
    </w:tbl>
    <w:p w:rsidR="0042606E" w:rsidRDefault="0042606E" w:rsidP="0042606E">
      <w:pPr>
        <w:spacing w:after="200" w:line="276" w:lineRule="auto"/>
        <w:rPr>
          <w:rFonts w:asciiTheme="minorHAnsi" w:hAnsiTheme="minorHAnsi" w:cstheme="minorHAnsi"/>
          <w:b/>
          <w:bCs/>
          <w:smallCaps/>
          <w:kern w:val="32"/>
          <w:sz w:val="36"/>
          <w:szCs w:val="32"/>
        </w:rPr>
      </w:pPr>
    </w:p>
    <w:p w:rsidR="0042606E" w:rsidRDefault="0042606E" w:rsidP="0042606E">
      <w:pPr>
        <w:spacing w:after="200" w:line="276" w:lineRule="auto"/>
        <w:rPr>
          <w:rFonts w:asciiTheme="minorHAnsi" w:hAnsiTheme="minorHAnsi" w:cstheme="minorHAnsi"/>
          <w:b/>
          <w:bCs/>
          <w:smallCaps/>
          <w:kern w:val="32"/>
          <w:sz w:val="36"/>
          <w:szCs w:val="32"/>
        </w:rPr>
      </w:pPr>
      <w:r>
        <w:rPr>
          <w:rFonts w:asciiTheme="minorHAnsi" w:hAnsiTheme="minorHAnsi" w:cstheme="minorHAnsi"/>
          <w:b/>
          <w:bCs/>
          <w:smallCaps/>
          <w:kern w:val="32"/>
          <w:sz w:val="36"/>
          <w:szCs w:val="32"/>
        </w:rPr>
        <w:br w:type="page"/>
      </w:r>
    </w:p>
    <w:p w:rsidR="0042606E" w:rsidRDefault="0042606E" w:rsidP="0042606E">
      <w:pPr>
        <w:pStyle w:val="Heading2"/>
      </w:pPr>
      <w:bookmarkStart w:id="4" w:name="_Toc174189524"/>
      <w:bookmarkStart w:id="5" w:name="_Toc380762955"/>
      <w:r>
        <w:lastRenderedPageBreak/>
        <w:t>Work Paper Approvals</w:t>
      </w:r>
      <w:bookmarkEnd w:id="4"/>
      <w:bookmarkEnd w:id="5"/>
    </w:p>
    <w:p w:rsidR="0042606E" w:rsidRDefault="0042606E" w:rsidP="0042606E"/>
    <w:tbl>
      <w:tblPr>
        <w:tblW w:w="5038" w:type="pct"/>
        <w:tblLook w:val="0000" w:firstRow="0" w:lastRow="0" w:firstColumn="0" w:lastColumn="0" w:noHBand="0" w:noVBand="0"/>
      </w:tblPr>
      <w:tblGrid>
        <w:gridCol w:w="5869"/>
        <w:gridCol w:w="3780"/>
      </w:tblGrid>
      <w:tr w:rsidR="0042606E" w:rsidTr="006D6913">
        <w:tc>
          <w:tcPr>
            <w:tcW w:w="3041" w:type="pct"/>
          </w:tcPr>
          <w:p w:rsidR="0042606E" w:rsidRPr="00636012" w:rsidRDefault="0042606E" w:rsidP="006D6913"/>
        </w:tc>
        <w:tc>
          <w:tcPr>
            <w:tcW w:w="1959" w:type="pct"/>
          </w:tcPr>
          <w:p w:rsidR="0042606E" w:rsidRDefault="0042606E" w:rsidP="006D6913"/>
        </w:tc>
      </w:tr>
      <w:tr w:rsidR="0042606E" w:rsidTr="006D6913">
        <w:tc>
          <w:tcPr>
            <w:tcW w:w="3041" w:type="pct"/>
          </w:tcPr>
          <w:p w:rsidR="0042606E" w:rsidRPr="00636012" w:rsidRDefault="0042606E" w:rsidP="006D6913">
            <w:r w:rsidRPr="00424A02">
              <w:t xml:space="preserve">The following Manager(s) approved this work paper through the PG&amp;E Electronic Data Routing System under Routing Requisition </w:t>
            </w:r>
            <w:r w:rsidRPr="00BB466A">
              <w:t xml:space="preserve"># </w:t>
            </w:r>
            <w:r w:rsidRPr="008A44F2">
              <w:t>______________</w:t>
            </w:r>
            <w:r w:rsidRPr="00BB466A">
              <w:t>_</w:t>
            </w:r>
          </w:p>
        </w:tc>
        <w:tc>
          <w:tcPr>
            <w:tcW w:w="1959" w:type="pct"/>
          </w:tcPr>
          <w:p w:rsidR="0042606E" w:rsidRDefault="0042606E" w:rsidP="006D6913"/>
        </w:tc>
      </w:tr>
      <w:tr w:rsidR="0042606E" w:rsidTr="006D6913">
        <w:tc>
          <w:tcPr>
            <w:tcW w:w="3041" w:type="pct"/>
          </w:tcPr>
          <w:tbl>
            <w:tblPr>
              <w:tblW w:w="3064" w:type="pct"/>
              <w:tblCellMar>
                <w:left w:w="0" w:type="dxa"/>
                <w:right w:w="0" w:type="dxa"/>
              </w:tblCellMar>
              <w:tblLook w:val="04A0" w:firstRow="1" w:lastRow="0" w:firstColumn="1" w:lastColumn="0" w:noHBand="0" w:noVBand="1"/>
            </w:tblPr>
            <w:tblGrid>
              <w:gridCol w:w="3464"/>
            </w:tblGrid>
            <w:tr w:rsidR="0042606E" w:rsidRPr="00424A02" w:rsidTr="006D6913">
              <w:tc>
                <w:tcPr>
                  <w:tcW w:w="5000" w:type="pct"/>
                  <w:tcMar>
                    <w:top w:w="0" w:type="dxa"/>
                    <w:left w:w="108" w:type="dxa"/>
                    <w:bottom w:w="0" w:type="dxa"/>
                    <w:right w:w="108" w:type="dxa"/>
                  </w:tcMar>
                </w:tcPr>
                <w:p w:rsidR="0042606E" w:rsidRPr="00424A02" w:rsidRDefault="0042606E" w:rsidP="006D6913">
                  <w:pPr>
                    <w:rPr>
                      <w:rFonts w:cs="Arial"/>
                    </w:rPr>
                  </w:pPr>
                </w:p>
              </w:tc>
            </w:tr>
            <w:tr w:rsidR="0042606E" w:rsidRPr="00424A02" w:rsidTr="006D6913">
              <w:tc>
                <w:tcPr>
                  <w:tcW w:w="5000" w:type="pct"/>
                  <w:tcMar>
                    <w:top w:w="0" w:type="dxa"/>
                    <w:left w:w="108" w:type="dxa"/>
                    <w:bottom w:w="0" w:type="dxa"/>
                    <w:right w:w="108" w:type="dxa"/>
                  </w:tcMar>
                  <w:hideMark/>
                </w:tcPr>
                <w:p w:rsidR="0042606E" w:rsidRPr="00424A02" w:rsidRDefault="0042606E" w:rsidP="006D6913">
                  <w:pPr>
                    <w:rPr>
                      <w:rFonts w:cs="Arial"/>
                      <w:b/>
                      <w:bCs/>
                    </w:rPr>
                  </w:pPr>
                  <w:r w:rsidRPr="00424A02">
                    <w:rPr>
                      <w:b/>
                      <w:bCs/>
                    </w:rPr>
                    <w:t>Grant Brohard</w:t>
                  </w:r>
                </w:p>
                <w:p w:rsidR="0042606E" w:rsidRPr="00424A02" w:rsidRDefault="0042606E" w:rsidP="006D6913">
                  <w:pPr>
                    <w:rPr>
                      <w:rFonts w:cs="Arial"/>
                    </w:rPr>
                  </w:pPr>
                  <w:r w:rsidRPr="00424A02">
                    <w:t xml:space="preserve">Manager, </w:t>
                  </w:r>
                  <w:r>
                    <w:t>Engineering Services (</w:t>
                  </w:r>
                  <w:r w:rsidRPr="00424A02">
                    <w:t>Technical Product Support</w:t>
                  </w:r>
                  <w:r>
                    <w:t>)</w:t>
                  </w:r>
                </w:p>
              </w:tc>
            </w:tr>
            <w:tr w:rsidR="0042606E" w:rsidRPr="00424A02" w:rsidTr="006D6913">
              <w:tc>
                <w:tcPr>
                  <w:tcW w:w="5000" w:type="pct"/>
                  <w:tcMar>
                    <w:top w:w="0" w:type="dxa"/>
                    <w:left w:w="108" w:type="dxa"/>
                    <w:bottom w:w="0" w:type="dxa"/>
                    <w:right w:w="108" w:type="dxa"/>
                  </w:tcMar>
                </w:tcPr>
                <w:p w:rsidR="0042606E" w:rsidRPr="00424A02" w:rsidRDefault="0042606E" w:rsidP="006D6913">
                  <w:pPr>
                    <w:rPr>
                      <w:rFonts w:cs="Arial"/>
                      <w:b/>
                      <w:bCs/>
                    </w:rPr>
                  </w:pPr>
                </w:p>
                <w:p w:rsidR="0042606E" w:rsidRPr="00424A02" w:rsidRDefault="0042606E" w:rsidP="006D6913">
                  <w:pPr>
                    <w:rPr>
                      <w:b/>
                      <w:bCs/>
                    </w:rPr>
                  </w:pPr>
                  <w:r w:rsidRPr="00424A02">
                    <w:rPr>
                      <w:b/>
                      <w:bCs/>
                    </w:rPr>
                    <w:t>Carolyn Weiner</w:t>
                  </w:r>
                </w:p>
                <w:p w:rsidR="0042606E" w:rsidRPr="00424A02" w:rsidRDefault="0042606E" w:rsidP="006D6913">
                  <w:r w:rsidRPr="00424A02">
                    <w:t xml:space="preserve">Manager, </w:t>
                  </w:r>
                  <w:r>
                    <w:t xml:space="preserve">Core </w:t>
                  </w:r>
                  <w:r w:rsidRPr="00424A02">
                    <w:t xml:space="preserve">Products </w:t>
                  </w:r>
                </w:p>
                <w:p w:rsidR="0042606E" w:rsidRPr="00424A02" w:rsidRDefault="0042606E" w:rsidP="006D6913">
                  <w:pPr>
                    <w:rPr>
                      <w:b/>
                      <w:bCs/>
                    </w:rPr>
                  </w:pPr>
                </w:p>
                <w:p w:rsidR="0042606E" w:rsidRPr="00424A02" w:rsidRDefault="0042606E" w:rsidP="006D6913">
                  <w:pPr>
                    <w:rPr>
                      <w:rFonts w:cs="Arial"/>
                    </w:rPr>
                  </w:pPr>
                </w:p>
              </w:tc>
            </w:tr>
          </w:tbl>
          <w:p w:rsidR="0042606E" w:rsidRDefault="0042606E" w:rsidP="006D6913"/>
        </w:tc>
        <w:tc>
          <w:tcPr>
            <w:tcW w:w="1959" w:type="pct"/>
          </w:tcPr>
          <w:p w:rsidR="0042606E" w:rsidRPr="00302B74" w:rsidRDefault="0042606E" w:rsidP="006D6913">
            <w:pPr>
              <w:rPr>
                <w:color w:val="FF0000"/>
              </w:rPr>
            </w:pPr>
          </w:p>
        </w:tc>
      </w:tr>
    </w:tbl>
    <w:p w:rsidR="0042606E" w:rsidRDefault="0042606E" w:rsidP="0042606E">
      <w:pPr>
        <w:spacing w:after="200" w:line="276" w:lineRule="auto"/>
        <w:rPr>
          <w:rFonts w:asciiTheme="minorHAnsi" w:hAnsiTheme="minorHAnsi" w:cstheme="minorHAnsi"/>
          <w:b/>
          <w:bCs/>
          <w:smallCaps/>
          <w:kern w:val="32"/>
          <w:sz w:val="36"/>
          <w:szCs w:val="32"/>
        </w:rPr>
      </w:pPr>
    </w:p>
    <w:p w:rsidR="0042606E" w:rsidRDefault="0042606E" w:rsidP="0042606E">
      <w:pPr>
        <w:spacing w:after="200" w:line="276" w:lineRule="auto"/>
        <w:rPr>
          <w:rFonts w:asciiTheme="minorHAnsi" w:hAnsiTheme="minorHAnsi" w:cstheme="minorHAnsi"/>
          <w:b/>
          <w:bCs/>
          <w:smallCaps/>
          <w:kern w:val="32"/>
          <w:sz w:val="36"/>
          <w:szCs w:val="32"/>
        </w:rPr>
      </w:pPr>
    </w:p>
    <w:p w:rsidR="0042606E" w:rsidRDefault="0042606E" w:rsidP="0042606E">
      <w:pPr>
        <w:spacing w:after="200" w:line="276" w:lineRule="auto"/>
        <w:rPr>
          <w:rFonts w:asciiTheme="minorHAnsi" w:hAnsiTheme="minorHAnsi" w:cstheme="minorHAnsi"/>
          <w:b/>
          <w:bCs/>
          <w:smallCaps/>
          <w:kern w:val="32"/>
          <w:sz w:val="36"/>
          <w:szCs w:val="32"/>
        </w:rPr>
      </w:pPr>
    </w:p>
    <w:p w:rsidR="0042606E" w:rsidRDefault="0042606E" w:rsidP="0042606E">
      <w:pPr>
        <w:spacing w:after="200" w:line="276" w:lineRule="auto"/>
        <w:rPr>
          <w:rFonts w:asciiTheme="minorHAnsi" w:hAnsiTheme="minorHAnsi" w:cstheme="minorHAnsi"/>
          <w:b/>
          <w:bCs/>
          <w:smallCaps/>
          <w:kern w:val="32"/>
          <w:sz w:val="36"/>
          <w:szCs w:val="32"/>
        </w:rPr>
      </w:pPr>
    </w:p>
    <w:p w:rsidR="0042606E" w:rsidRDefault="0042606E" w:rsidP="0042606E">
      <w:pPr>
        <w:spacing w:after="200" w:line="276" w:lineRule="auto"/>
        <w:rPr>
          <w:rFonts w:asciiTheme="minorHAnsi" w:hAnsiTheme="minorHAnsi" w:cstheme="minorHAnsi"/>
          <w:b/>
          <w:bCs/>
          <w:smallCaps/>
          <w:kern w:val="32"/>
          <w:sz w:val="36"/>
          <w:szCs w:val="32"/>
        </w:rPr>
      </w:pPr>
    </w:p>
    <w:p w:rsidR="00EB34FC" w:rsidRPr="00697868" w:rsidRDefault="00EB34FC" w:rsidP="00DA690B">
      <w:pPr>
        <w:rPr>
          <w:rFonts w:asciiTheme="minorHAnsi" w:hAnsiTheme="minorHAnsi" w:cstheme="minorHAnsi"/>
          <w:sz w:val="22"/>
          <w:szCs w:val="22"/>
        </w:rPr>
        <w:sectPr w:rsidR="00EB34FC" w:rsidRPr="00697868" w:rsidSect="00A118A1">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pgNumType w:fmt="lowerRoman" w:start="1"/>
          <w:cols w:space="720"/>
          <w:docGrid w:linePitch="360"/>
        </w:sectPr>
      </w:pPr>
    </w:p>
    <w:p w:rsidR="00EB34FC" w:rsidRPr="00697868" w:rsidRDefault="00EB34FC" w:rsidP="00AC5309">
      <w:pPr>
        <w:pStyle w:val="Heading1"/>
        <w:rPr>
          <w:rFonts w:asciiTheme="minorHAnsi" w:hAnsiTheme="minorHAnsi"/>
        </w:rPr>
      </w:pPr>
      <w:r w:rsidRPr="00697868">
        <w:rPr>
          <w:rFonts w:asciiTheme="minorHAnsi" w:hAnsiTheme="minorHAnsi"/>
        </w:rPr>
        <w:lastRenderedPageBreak/>
        <w:t>Document Revision History</w:t>
      </w:r>
    </w:p>
    <w:tbl>
      <w:tblPr>
        <w:tblStyle w:val="TableContemporary"/>
        <w:tblW w:w="5000" w:type="pct"/>
        <w:tblLayout w:type="fixed"/>
        <w:tblLook w:val="01E0" w:firstRow="1" w:lastRow="1" w:firstColumn="1" w:lastColumn="1" w:noHBand="0" w:noVBand="0"/>
      </w:tblPr>
      <w:tblGrid>
        <w:gridCol w:w="1928"/>
        <w:gridCol w:w="956"/>
        <w:gridCol w:w="1218"/>
        <w:gridCol w:w="1739"/>
        <w:gridCol w:w="3735"/>
      </w:tblGrid>
      <w:tr w:rsidR="00413CDB" w:rsidRPr="00CE28CF" w:rsidTr="006D6913">
        <w:trPr>
          <w:cnfStyle w:val="100000000000" w:firstRow="1" w:lastRow="0" w:firstColumn="0" w:lastColumn="0" w:oddVBand="0" w:evenVBand="0" w:oddHBand="0" w:evenHBand="0" w:firstRowFirstColumn="0" w:firstRowLastColumn="0" w:lastRowFirstColumn="0" w:lastRowLastColumn="0"/>
          <w:trHeight w:val="298"/>
        </w:trPr>
        <w:tc>
          <w:tcPr>
            <w:tcW w:w="1007" w:type="pct"/>
          </w:tcPr>
          <w:p w:rsidR="00CE28CF" w:rsidRPr="00CE28CF" w:rsidRDefault="00413CDB" w:rsidP="00413CDB">
            <w:pPr>
              <w:rPr>
                <w:rFonts w:asciiTheme="minorHAnsi" w:hAnsiTheme="minorHAnsi" w:cstheme="minorHAnsi"/>
                <w:b w:val="0"/>
                <w:bCs w:val="0"/>
                <w:sz w:val="20"/>
                <w:szCs w:val="20"/>
              </w:rPr>
            </w:pPr>
            <w:r>
              <w:rPr>
                <w:rFonts w:asciiTheme="minorHAnsi" w:hAnsiTheme="minorHAnsi" w:cstheme="minorHAnsi"/>
                <w:sz w:val="20"/>
                <w:szCs w:val="20"/>
              </w:rPr>
              <w:t xml:space="preserve">Workpaper and </w:t>
            </w:r>
            <w:r w:rsidR="00CE28CF" w:rsidRPr="00CE28CF">
              <w:rPr>
                <w:rFonts w:asciiTheme="minorHAnsi" w:hAnsiTheme="minorHAnsi" w:cstheme="minorHAnsi"/>
                <w:sz w:val="20"/>
                <w:szCs w:val="20"/>
              </w:rPr>
              <w:t>Revision #</w:t>
            </w:r>
          </w:p>
        </w:tc>
        <w:tc>
          <w:tcPr>
            <w:tcW w:w="499" w:type="pct"/>
          </w:tcPr>
          <w:p w:rsidR="00CE28CF" w:rsidRPr="00CE28CF" w:rsidRDefault="00CE28CF" w:rsidP="00413CDB">
            <w:pPr>
              <w:rPr>
                <w:rFonts w:asciiTheme="minorHAnsi" w:hAnsiTheme="minorHAnsi" w:cstheme="minorHAnsi"/>
                <w:sz w:val="20"/>
                <w:szCs w:val="20"/>
              </w:rPr>
            </w:pPr>
            <w:r w:rsidRPr="00CE28CF">
              <w:rPr>
                <w:rFonts w:asciiTheme="minorHAnsi" w:hAnsiTheme="minorHAnsi" w:cstheme="minorHAnsi"/>
                <w:sz w:val="20"/>
                <w:szCs w:val="20"/>
              </w:rPr>
              <w:t>Tech</w:t>
            </w:r>
            <w:r w:rsidR="00413CDB">
              <w:rPr>
                <w:rFonts w:asciiTheme="minorHAnsi" w:hAnsiTheme="minorHAnsi" w:cstheme="minorHAnsi"/>
                <w:sz w:val="20"/>
                <w:szCs w:val="20"/>
              </w:rPr>
              <w:t>.</w:t>
            </w:r>
            <w:r w:rsidRPr="00CE28CF">
              <w:rPr>
                <w:rFonts w:asciiTheme="minorHAnsi" w:hAnsiTheme="minorHAnsi" w:cstheme="minorHAnsi"/>
                <w:sz w:val="20"/>
                <w:szCs w:val="20"/>
              </w:rPr>
              <w:t xml:space="preserve"> Revision</w:t>
            </w:r>
          </w:p>
        </w:tc>
        <w:tc>
          <w:tcPr>
            <w:tcW w:w="636" w:type="pct"/>
          </w:tcPr>
          <w:p w:rsidR="00CE28CF" w:rsidRPr="00CE28CF" w:rsidRDefault="00CE28CF" w:rsidP="007048AC">
            <w:pPr>
              <w:rPr>
                <w:rFonts w:asciiTheme="minorHAnsi" w:hAnsiTheme="minorHAnsi" w:cstheme="minorHAnsi"/>
                <w:b w:val="0"/>
                <w:bCs w:val="0"/>
                <w:sz w:val="20"/>
                <w:szCs w:val="20"/>
              </w:rPr>
            </w:pPr>
            <w:r w:rsidRPr="00CE28CF">
              <w:rPr>
                <w:rFonts w:asciiTheme="minorHAnsi" w:hAnsiTheme="minorHAnsi" w:cstheme="minorHAnsi"/>
                <w:sz w:val="20"/>
                <w:szCs w:val="20"/>
              </w:rPr>
              <w:t>MM/DD/YY</w:t>
            </w:r>
          </w:p>
        </w:tc>
        <w:tc>
          <w:tcPr>
            <w:tcW w:w="908" w:type="pct"/>
          </w:tcPr>
          <w:p w:rsidR="00CE28CF" w:rsidRPr="00CE28CF" w:rsidRDefault="00CE28CF" w:rsidP="007048AC">
            <w:pPr>
              <w:rPr>
                <w:rFonts w:asciiTheme="minorHAnsi" w:hAnsiTheme="minorHAnsi" w:cstheme="minorHAnsi"/>
                <w:b w:val="0"/>
                <w:bCs w:val="0"/>
                <w:sz w:val="20"/>
                <w:szCs w:val="20"/>
              </w:rPr>
            </w:pPr>
            <w:r w:rsidRPr="00CE28CF">
              <w:rPr>
                <w:rFonts w:asciiTheme="minorHAnsi" w:hAnsiTheme="minorHAnsi" w:cstheme="minorHAnsi"/>
                <w:sz w:val="20"/>
                <w:szCs w:val="20"/>
              </w:rPr>
              <w:t>Author/Affiliation</w:t>
            </w:r>
          </w:p>
        </w:tc>
        <w:tc>
          <w:tcPr>
            <w:tcW w:w="1951" w:type="pct"/>
          </w:tcPr>
          <w:p w:rsidR="00CE28CF" w:rsidRPr="00CE28CF" w:rsidRDefault="00CE28CF" w:rsidP="007048AC">
            <w:pPr>
              <w:rPr>
                <w:rFonts w:asciiTheme="minorHAnsi" w:hAnsiTheme="minorHAnsi" w:cstheme="minorHAnsi"/>
                <w:b w:val="0"/>
                <w:bCs w:val="0"/>
                <w:sz w:val="20"/>
                <w:szCs w:val="20"/>
              </w:rPr>
            </w:pPr>
            <w:r w:rsidRPr="00CE28CF">
              <w:rPr>
                <w:rFonts w:asciiTheme="minorHAnsi" w:hAnsiTheme="minorHAnsi" w:cstheme="minorHAnsi"/>
                <w:sz w:val="20"/>
                <w:szCs w:val="20"/>
              </w:rPr>
              <w:t>Summary of Changes</w:t>
            </w:r>
          </w:p>
        </w:tc>
      </w:tr>
      <w:tr w:rsidR="00413CDB" w:rsidRPr="00697868" w:rsidTr="006D6913">
        <w:trPr>
          <w:cnfStyle w:val="000000100000" w:firstRow="0" w:lastRow="0" w:firstColumn="0" w:lastColumn="0" w:oddVBand="0" w:evenVBand="0" w:oddHBand="1" w:evenHBand="0" w:firstRowFirstColumn="0" w:firstRowLastColumn="0" w:lastRowFirstColumn="0" w:lastRowLastColumn="0"/>
          <w:trHeight w:val="325"/>
        </w:trPr>
        <w:tc>
          <w:tcPr>
            <w:tcW w:w="1007" w:type="pct"/>
          </w:tcPr>
          <w:p w:rsidR="00CE28CF" w:rsidRPr="00697868" w:rsidRDefault="00DC1966" w:rsidP="00A65809">
            <w:pPr>
              <w:rPr>
                <w:rFonts w:asciiTheme="minorHAnsi" w:hAnsiTheme="minorHAnsi" w:cstheme="minorHAnsi"/>
                <w:sz w:val="20"/>
                <w:szCs w:val="20"/>
              </w:rPr>
            </w:pPr>
            <w:r>
              <w:rPr>
                <w:rFonts w:asciiTheme="minorHAnsi" w:hAnsiTheme="minorHAnsi" w:cstheme="minorHAnsi"/>
                <w:sz w:val="20"/>
                <w:szCs w:val="20"/>
              </w:rPr>
              <w:t>SCE13</w:t>
            </w:r>
            <w:r w:rsidR="00A65809">
              <w:rPr>
                <w:rFonts w:asciiTheme="minorHAnsi" w:hAnsiTheme="minorHAnsi" w:cstheme="minorHAnsi"/>
                <w:sz w:val="20"/>
                <w:szCs w:val="20"/>
              </w:rPr>
              <w:t>HC017</w:t>
            </w:r>
            <w:r>
              <w:rPr>
                <w:rFonts w:asciiTheme="minorHAnsi" w:hAnsiTheme="minorHAnsi" w:cstheme="minorHAnsi"/>
                <w:sz w:val="20"/>
                <w:szCs w:val="20"/>
              </w:rPr>
              <w:t>.0</w:t>
            </w:r>
          </w:p>
        </w:tc>
        <w:tc>
          <w:tcPr>
            <w:tcW w:w="499" w:type="pct"/>
          </w:tcPr>
          <w:p w:rsidR="00CE28CF" w:rsidRPr="00697868" w:rsidRDefault="00CE28CF" w:rsidP="00E81F3E">
            <w:pPr>
              <w:jc w:val="center"/>
              <w:rPr>
                <w:rFonts w:asciiTheme="minorHAnsi" w:hAnsiTheme="minorHAnsi" w:cstheme="minorHAnsi"/>
                <w:sz w:val="20"/>
                <w:szCs w:val="20"/>
              </w:rPr>
            </w:pPr>
            <w:r>
              <w:rPr>
                <w:rFonts w:asciiTheme="minorHAnsi" w:hAnsiTheme="minorHAnsi" w:cstheme="minorHAnsi"/>
                <w:sz w:val="20"/>
                <w:szCs w:val="20"/>
              </w:rPr>
              <w:t>No</w:t>
            </w:r>
          </w:p>
        </w:tc>
        <w:tc>
          <w:tcPr>
            <w:tcW w:w="636" w:type="pct"/>
          </w:tcPr>
          <w:p w:rsidR="00CE28CF" w:rsidRPr="00697868" w:rsidRDefault="00D634BC" w:rsidP="00E81F3E">
            <w:pPr>
              <w:jc w:val="center"/>
              <w:rPr>
                <w:rFonts w:asciiTheme="minorHAnsi" w:hAnsiTheme="minorHAnsi" w:cstheme="minorHAnsi"/>
                <w:sz w:val="20"/>
                <w:szCs w:val="20"/>
              </w:rPr>
            </w:pPr>
            <w:r>
              <w:rPr>
                <w:rFonts w:asciiTheme="minorHAnsi" w:hAnsiTheme="minorHAnsi" w:cstheme="minorHAnsi"/>
                <w:sz w:val="20"/>
                <w:szCs w:val="20"/>
              </w:rPr>
              <w:t>5/23/2012</w:t>
            </w:r>
          </w:p>
        </w:tc>
        <w:tc>
          <w:tcPr>
            <w:tcW w:w="908" w:type="pct"/>
          </w:tcPr>
          <w:p w:rsidR="00CE28CF" w:rsidRPr="00697868" w:rsidRDefault="00D634BC" w:rsidP="007048AC">
            <w:pPr>
              <w:rPr>
                <w:rFonts w:asciiTheme="minorHAnsi" w:hAnsiTheme="minorHAnsi" w:cstheme="minorHAnsi"/>
                <w:sz w:val="20"/>
                <w:szCs w:val="20"/>
              </w:rPr>
            </w:pPr>
            <w:proofErr w:type="spellStart"/>
            <w:r w:rsidRPr="00D634BC">
              <w:rPr>
                <w:rFonts w:asciiTheme="minorHAnsi" w:hAnsiTheme="minorHAnsi" w:cstheme="minorHAnsi"/>
                <w:sz w:val="20"/>
                <w:szCs w:val="20"/>
              </w:rPr>
              <w:t>Rafik</w:t>
            </w:r>
            <w:proofErr w:type="spellEnd"/>
            <w:r w:rsidRPr="00D634BC">
              <w:rPr>
                <w:rFonts w:asciiTheme="minorHAnsi" w:hAnsiTheme="minorHAnsi" w:cstheme="minorHAnsi"/>
                <w:sz w:val="20"/>
                <w:szCs w:val="20"/>
              </w:rPr>
              <w:t xml:space="preserve"> </w:t>
            </w:r>
            <w:proofErr w:type="spellStart"/>
            <w:r w:rsidRPr="00D634BC">
              <w:rPr>
                <w:rFonts w:asciiTheme="minorHAnsi" w:hAnsiTheme="minorHAnsi" w:cstheme="minorHAnsi"/>
                <w:sz w:val="20"/>
                <w:szCs w:val="20"/>
              </w:rPr>
              <w:t>Sarhadian</w:t>
            </w:r>
            <w:proofErr w:type="spellEnd"/>
            <w:r w:rsidRPr="00D634BC">
              <w:rPr>
                <w:rFonts w:asciiTheme="minorHAnsi" w:hAnsiTheme="minorHAnsi" w:cstheme="minorHAnsi"/>
                <w:sz w:val="20"/>
                <w:szCs w:val="20"/>
              </w:rPr>
              <w:t>/SCE</w:t>
            </w:r>
          </w:p>
        </w:tc>
        <w:tc>
          <w:tcPr>
            <w:tcW w:w="1951" w:type="pct"/>
          </w:tcPr>
          <w:p w:rsidR="00CE28CF" w:rsidRPr="00697868" w:rsidRDefault="00CE28CF" w:rsidP="00995479">
            <w:pPr>
              <w:rPr>
                <w:rFonts w:asciiTheme="minorHAnsi" w:hAnsiTheme="minorHAnsi" w:cstheme="minorHAnsi"/>
                <w:bCs/>
                <w:sz w:val="20"/>
                <w:szCs w:val="20"/>
              </w:rPr>
            </w:pPr>
            <w:r w:rsidRPr="00697868">
              <w:rPr>
                <w:rFonts w:asciiTheme="minorHAnsi" w:hAnsiTheme="minorHAnsi" w:cstheme="minorHAnsi"/>
                <w:bCs/>
                <w:sz w:val="20"/>
                <w:szCs w:val="20"/>
              </w:rPr>
              <w:t>-</w:t>
            </w:r>
            <w:r w:rsidR="00D634BC">
              <w:t xml:space="preserve"> </w:t>
            </w:r>
            <w:r w:rsidR="00D634BC" w:rsidRPr="00D634BC">
              <w:rPr>
                <w:rFonts w:asciiTheme="minorHAnsi" w:hAnsiTheme="minorHAnsi" w:cstheme="minorHAnsi"/>
                <w:bCs/>
                <w:sz w:val="20"/>
                <w:szCs w:val="20"/>
              </w:rPr>
              <w:t>This is the original work paper for the 2013-2014 cycle and is based off of WPSCREHC0017.0. 9 climate zones covering PG&amp;E territory have been added.</w:t>
            </w:r>
          </w:p>
        </w:tc>
      </w:tr>
      <w:tr w:rsidR="00DC1966" w:rsidRPr="00697868" w:rsidTr="006D6913">
        <w:trPr>
          <w:cnfStyle w:val="000000010000" w:firstRow="0" w:lastRow="0" w:firstColumn="0" w:lastColumn="0" w:oddVBand="0" w:evenVBand="0" w:oddHBand="0" w:evenHBand="1" w:firstRowFirstColumn="0" w:firstRowLastColumn="0" w:lastRowFirstColumn="0" w:lastRowLastColumn="0"/>
          <w:trHeight w:val="325"/>
        </w:trPr>
        <w:tc>
          <w:tcPr>
            <w:tcW w:w="1007" w:type="pct"/>
          </w:tcPr>
          <w:p w:rsidR="00DC1966" w:rsidRPr="00697868" w:rsidRDefault="00DC1966" w:rsidP="00D13C4C">
            <w:pPr>
              <w:rPr>
                <w:rFonts w:asciiTheme="minorHAnsi" w:hAnsiTheme="minorHAnsi" w:cstheme="minorHAnsi"/>
                <w:sz w:val="20"/>
                <w:szCs w:val="20"/>
              </w:rPr>
            </w:pPr>
            <w:r>
              <w:rPr>
                <w:rFonts w:asciiTheme="minorHAnsi" w:hAnsiTheme="minorHAnsi" w:cstheme="minorHAnsi"/>
                <w:sz w:val="20"/>
                <w:szCs w:val="20"/>
              </w:rPr>
              <w:t>SCE13</w:t>
            </w:r>
            <w:r w:rsidR="00D13C4C">
              <w:rPr>
                <w:rFonts w:asciiTheme="minorHAnsi" w:hAnsiTheme="minorHAnsi" w:cstheme="minorHAnsi"/>
                <w:sz w:val="20"/>
                <w:szCs w:val="20"/>
              </w:rPr>
              <w:t>HC017</w:t>
            </w:r>
            <w:r>
              <w:rPr>
                <w:rFonts w:asciiTheme="minorHAnsi" w:hAnsiTheme="minorHAnsi" w:cstheme="minorHAnsi"/>
                <w:sz w:val="20"/>
                <w:szCs w:val="20"/>
              </w:rPr>
              <w:t>.1</w:t>
            </w:r>
          </w:p>
        </w:tc>
        <w:tc>
          <w:tcPr>
            <w:tcW w:w="499" w:type="pct"/>
          </w:tcPr>
          <w:p w:rsidR="00DC1966" w:rsidRPr="00697868" w:rsidRDefault="00D634BC" w:rsidP="00A92041">
            <w:pPr>
              <w:jc w:val="center"/>
              <w:rPr>
                <w:rFonts w:asciiTheme="minorHAnsi" w:hAnsiTheme="minorHAnsi" w:cstheme="minorHAnsi"/>
                <w:sz w:val="20"/>
                <w:szCs w:val="20"/>
              </w:rPr>
            </w:pPr>
            <w:r>
              <w:rPr>
                <w:rFonts w:asciiTheme="minorHAnsi" w:hAnsiTheme="minorHAnsi" w:cstheme="minorHAnsi"/>
                <w:sz w:val="20"/>
                <w:szCs w:val="20"/>
              </w:rPr>
              <w:t>Yes</w:t>
            </w:r>
          </w:p>
        </w:tc>
        <w:tc>
          <w:tcPr>
            <w:tcW w:w="636" w:type="pct"/>
          </w:tcPr>
          <w:p w:rsidR="00DC1966" w:rsidRPr="00697868" w:rsidRDefault="00D634BC" w:rsidP="00DC1966">
            <w:pPr>
              <w:jc w:val="center"/>
              <w:rPr>
                <w:rFonts w:asciiTheme="minorHAnsi" w:hAnsiTheme="minorHAnsi" w:cstheme="minorHAnsi"/>
                <w:sz w:val="20"/>
                <w:szCs w:val="20"/>
              </w:rPr>
            </w:pPr>
            <w:r>
              <w:rPr>
                <w:rFonts w:asciiTheme="minorHAnsi" w:hAnsiTheme="minorHAnsi" w:cstheme="minorHAnsi"/>
                <w:sz w:val="20"/>
                <w:szCs w:val="20"/>
              </w:rPr>
              <w:t>6/2</w:t>
            </w:r>
            <w:r w:rsidR="00DC1966" w:rsidRPr="00697868">
              <w:rPr>
                <w:rFonts w:asciiTheme="minorHAnsi" w:hAnsiTheme="minorHAnsi" w:cstheme="minorHAnsi"/>
                <w:sz w:val="20"/>
                <w:szCs w:val="20"/>
              </w:rPr>
              <w:t>/2014</w:t>
            </w:r>
          </w:p>
        </w:tc>
        <w:tc>
          <w:tcPr>
            <w:tcW w:w="908" w:type="pct"/>
          </w:tcPr>
          <w:p w:rsidR="00DC1966" w:rsidRPr="00697868" w:rsidRDefault="00D634BC" w:rsidP="00A92041">
            <w:pPr>
              <w:rPr>
                <w:rFonts w:asciiTheme="minorHAnsi" w:hAnsiTheme="minorHAnsi" w:cstheme="minorHAnsi"/>
                <w:sz w:val="20"/>
                <w:szCs w:val="20"/>
              </w:rPr>
            </w:pPr>
            <w:r>
              <w:rPr>
                <w:rFonts w:asciiTheme="minorHAnsi" w:hAnsiTheme="minorHAnsi" w:cstheme="minorHAnsi"/>
                <w:sz w:val="20"/>
                <w:szCs w:val="20"/>
              </w:rPr>
              <w:t>Alfredo Gutierrez</w:t>
            </w:r>
            <w:r w:rsidR="00DC1966" w:rsidRPr="00697868">
              <w:rPr>
                <w:rFonts w:asciiTheme="minorHAnsi" w:hAnsiTheme="minorHAnsi" w:cstheme="minorHAnsi"/>
                <w:sz w:val="20"/>
                <w:szCs w:val="20"/>
              </w:rPr>
              <w:t>/SCE</w:t>
            </w:r>
          </w:p>
        </w:tc>
        <w:tc>
          <w:tcPr>
            <w:tcW w:w="1951" w:type="pct"/>
          </w:tcPr>
          <w:p w:rsidR="00DC1966" w:rsidRDefault="00DC1966" w:rsidP="00DC1966">
            <w:pPr>
              <w:rPr>
                <w:rFonts w:asciiTheme="minorHAnsi" w:hAnsiTheme="minorHAnsi" w:cstheme="minorHAnsi"/>
                <w:bCs/>
                <w:sz w:val="20"/>
                <w:szCs w:val="20"/>
              </w:rPr>
            </w:pPr>
            <w:r w:rsidRPr="00697868">
              <w:rPr>
                <w:rFonts w:asciiTheme="minorHAnsi" w:hAnsiTheme="minorHAnsi" w:cstheme="minorHAnsi"/>
                <w:bCs/>
                <w:sz w:val="20"/>
                <w:szCs w:val="20"/>
              </w:rPr>
              <w:t>-</w:t>
            </w:r>
            <w:r>
              <w:rPr>
                <w:rFonts w:asciiTheme="minorHAnsi" w:hAnsiTheme="minorHAnsi" w:cstheme="minorHAnsi"/>
                <w:bCs/>
                <w:sz w:val="20"/>
                <w:szCs w:val="20"/>
              </w:rPr>
              <w:t>Work paper updated for the reporting period, effective 7/1/14 – 12/31/14</w:t>
            </w:r>
            <w:r w:rsidR="00995479">
              <w:rPr>
                <w:rFonts w:asciiTheme="minorHAnsi" w:hAnsiTheme="minorHAnsi" w:cstheme="minorHAnsi"/>
                <w:bCs/>
                <w:sz w:val="20"/>
                <w:szCs w:val="20"/>
              </w:rPr>
              <w:t>.</w:t>
            </w:r>
          </w:p>
          <w:p w:rsidR="00BA2BC1" w:rsidRPr="00697868" w:rsidRDefault="00BA2BC1" w:rsidP="00DC1966">
            <w:pPr>
              <w:rPr>
                <w:rFonts w:asciiTheme="minorHAnsi" w:hAnsiTheme="minorHAnsi" w:cstheme="minorHAnsi"/>
                <w:bCs/>
                <w:sz w:val="20"/>
                <w:szCs w:val="20"/>
              </w:rPr>
            </w:pPr>
            <w:r>
              <w:rPr>
                <w:rFonts w:asciiTheme="minorHAnsi" w:hAnsiTheme="minorHAnsi" w:cstheme="minorHAnsi"/>
                <w:bCs/>
                <w:sz w:val="20"/>
                <w:szCs w:val="20"/>
              </w:rPr>
              <w:t>-Changed installation type from RET to ROB.</w:t>
            </w:r>
          </w:p>
        </w:tc>
      </w:tr>
      <w:tr w:rsidR="006D6913" w:rsidRPr="00697868" w:rsidTr="006D6913">
        <w:trPr>
          <w:cnfStyle w:val="000000100000" w:firstRow="0" w:lastRow="0" w:firstColumn="0" w:lastColumn="0" w:oddVBand="0" w:evenVBand="0" w:oddHBand="1" w:evenHBand="0" w:firstRowFirstColumn="0" w:firstRowLastColumn="0" w:lastRowFirstColumn="0" w:lastRowLastColumn="0"/>
          <w:trHeight w:val="325"/>
        </w:trPr>
        <w:tc>
          <w:tcPr>
            <w:tcW w:w="1007" w:type="pct"/>
          </w:tcPr>
          <w:p w:rsidR="006D6913" w:rsidRDefault="006D6913" w:rsidP="00D13C4C">
            <w:pPr>
              <w:rPr>
                <w:rFonts w:asciiTheme="minorHAnsi" w:hAnsiTheme="minorHAnsi" w:cstheme="minorHAnsi"/>
                <w:sz w:val="20"/>
                <w:szCs w:val="20"/>
              </w:rPr>
            </w:pPr>
            <w:r>
              <w:rPr>
                <w:rFonts w:asciiTheme="minorHAnsi" w:hAnsiTheme="minorHAnsi" w:cstheme="minorHAnsi"/>
                <w:sz w:val="20"/>
                <w:szCs w:val="20"/>
              </w:rPr>
              <w:t>PGECOHVC164 R1</w:t>
            </w:r>
          </w:p>
        </w:tc>
        <w:tc>
          <w:tcPr>
            <w:tcW w:w="499" w:type="pct"/>
          </w:tcPr>
          <w:p w:rsidR="006D6913" w:rsidRDefault="006D6913" w:rsidP="00A92041">
            <w:pPr>
              <w:jc w:val="center"/>
              <w:rPr>
                <w:rFonts w:asciiTheme="minorHAnsi" w:hAnsiTheme="minorHAnsi" w:cstheme="minorHAnsi"/>
                <w:sz w:val="20"/>
                <w:szCs w:val="20"/>
              </w:rPr>
            </w:pPr>
            <w:r>
              <w:rPr>
                <w:rFonts w:asciiTheme="minorHAnsi" w:hAnsiTheme="minorHAnsi" w:cstheme="minorHAnsi"/>
                <w:sz w:val="20"/>
                <w:szCs w:val="20"/>
              </w:rPr>
              <w:t>Yes</w:t>
            </w:r>
          </w:p>
        </w:tc>
        <w:tc>
          <w:tcPr>
            <w:tcW w:w="636" w:type="pct"/>
          </w:tcPr>
          <w:p w:rsidR="006D6913" w:rsidRDefault="006D6913" w:rsidP="00DC1966">
            <w:pPr>
              <w:jc w:val="center"/>
              <w:rPr>
                <w:rFonts w:asciiTheme="minorHAnsi" w:hAnsiTheme="minorHAnsi" w:cstheme="minorHAnsi"/>
                <w:sz w:val="20"/>
                <w:szCs w:val="20"/>
              </w:rPr>
            </w:pPr>
            <w:r>
              <w:rPr>
                <w:rFonts w:asciiTheme="minorHAnsi" w:hAnsiTheme="minorHAnsi" w:cstheme="minorHAnsi"/>
                <w:sz w:val="20"/>
                <w:szCs w:val="20"/>
              </w:rPr>
              <w:t>7/2/14</w:t>
            </w:r>
          </w:p>
        </w:tc>
        <w:tc>
          <w:tcPr>
            <w:tcW w:w="908" w:type="pct"/>
          </w:tcPr>
          <w:p w:rsidR="006D6913" w:rsidRDefault="006D6913" w:rsidP="00A92041">
            <w:pPr>
              <w:rPr>
                <w:rFonts w:asciiTheme="minorHAnsi" w:hAnsiTheme="minorHAnsi" w:cstheme="minorHAnsi"/>
                <w:sz w:val="20"/>
                <w:szCs w:val="20"/>
              </w:rPr>
            </w:pPr>
            <w:r>
              <w:rPr>
                <w:rFonts w:asciiTheme="minorHAnsi" w:hAnsiTheme="minorHAnsi" w:cstheme="minorHAnsi"/>
                <w:sz w:val="20"/>
                <w:szCs w:val="20"/>
              </w:rPr>
              <w:t xml:space="preserve">SCE lead </w:t>
            </w:r>
            <w:proofErr w:type="spellStart"/>
            <w:r>
              <w:rPr>
                <w:rFonts w:asciiTheme="minorHAnsi" w:hAnsiTheme="minorHAnsi" w:cstheme="minorHAnsi"/>
                <w:sz w:val="20"/>
                <w:szCs w:val="20"/>
              </w:rPr>
              <w:t>workpaper</w:t>
            </w:r>
            <w:proofErr w:type="spellEnd"/>
            <w:r>
              <w:rPr>
                <w:rFonts w:asciiTheme="minorHAnsi" w:hAnsiTheme="minorHAnsi" w:cstheme="minorHAnsi"/>
                <w:sz w:val="20"/>
                <w:szCs w:val="20"/>
              </w:rPr>
              <w:t xml:space="preserve"> update</w:t>
            </w:r>
          </w:p>
          <w:p w:rsidR="006D6913" w:rsidRDefault="006D6913" w:rsidP="00A92041">
            <w:pPr>
              <w:rPr>
                <w:rFonts w:asciiTheme="minorHAnsi" w:hAnsiTheme="minorHAnsi" w:cstheme="minorHAnsi"/>
                <w:sz w:val="20"/>
                <w:szCs w:val="20"/>
              </w:rPr>
            </w:pPr>
            <w:r>
              <w:rPr>
                <w:rFonts w:asciiTheme="minorHAnsi" w:hAnsiTheme="minorHAnsi" w:cstheme="minorHAnsi"/>
                <w:sz w:val="20"/>
                <w:szCs w:val="20"/>
              </w:rPr>
              <w:t>Chris Li (PG&amp;E)</w:t>
            </w:r>
          </w:p>
        </w:tc>
        <w:tc>
          <w:tcPr>
            <w:tcW w:w="1951" w:type="pct"/>
          </w:tcPr>
          <w:p w:rsidR="006D6913" w:rsidRPr="00697868" w:rsidRDefault="006D6913" w:rsidP="00DC1966">
            <w:pPr>
              <w:rPr>
                <w:rFonts w:asciiTheme="minorHAnsi" w:hAnsiTheme="minorHAnsi" w:cstheme="minorHAnsi"/>
                <w:bCs/>
                <w:sz w:val="20"/>
                <w:szCs w:val="20"/>
              </w:rPr>
            </w:pPr>
          </w:p>
        </w:tc>
      </w:tr>
    </w:tbl>
    <w:p w:rsidR="009500DC" w:rsidRPr="00697868" w:rsidRDefault="009500DC" w:rsidP="00DA690B">
      <w:pPr>
        <w:rPr>
          <w:rFonts w:asciiTheme="minorHAnsi" w:hAnsiTheme="minorHAnsi" w:cstheme="minorHAnsi"/>
        </w:rPr>
        <w:sectPr w:rsidR="009500DC" w:rsidRPr="00697868" w:rsidSect="00A118A1">
          <w:headerReference w:type="even" r:id="rId16"/>
          <w:headerReference w:type="default" r:id="rId17"/>
          <w:footerReference w:type="default" r:id="rId18"/>
          <w:headerReference w:type="first" r:id="rId19"/>
          <w:pgSz w:w="12240" w:h="15840"/>
          <w:pgMar w:top="1440" w:right="1440" w:bottom="1440" w:left="1440" w:header="720" w:footer="720" w:gutter="0"/>
          <w:pgNumType w:fmt="lowerRoman" w:start="3"/>
          <w:cols w:space="720"/>
          <w:docGrid w:linePitch="360"/>
        </w:sectPr>
      </w:pPr>
    </w:p>
    <w:p w:rsidR="00E16609" w:rsidRDefault="00E16609" w:rsidP="00E16609">
      <w:pPr>
        <w:pStyle w:val="Heading1"/>
        <w:rPr>
          <w:rFonts w:asciiTheme="minorHAnsi" w:hAnsiTheme="minorHAnsi" w:cstheme="minorHAnsi"/>
        </w:rPr>
      </w:pPr>
      <w:r w:rsidRPr="00697868">
        <w:rPr>
          <w:rFonts w:asciiTheme="minorHAnsi" w:hAnsiTheme="minorHAnsi" w:cstheme="minorHAnsi"/>
        </w:rPr>
        <w:lastRenderedPageBreak/>
        <w:t>Section 1. General Measure &amp; Baseline Data</w:t>
      </w:r>
      <w:bookmarkEnd w:id="1"/>
    </w:p>
    <w:p w:rsidR="00E16609" w:rsidRPr="00697868" w:rsidRDefault="00824F1C" w:rsidP="00697868">
      <w:pPr>
        <w:pStyle w:val="Heading2"/>
        <w:rPr>
          <w:rFonts w:asciiTheme="minorHAnsi" w:hAnsiTheme="minorHAnsi"/>
        </w:rPr>
      </w:pPr>
      <w:bookmarkStart w:id="6" w:name="_Toc214003083"/>
      <w:r w:rsidRPr="00697868">
        <w:rPr>
          <w:rFonts w:asciiTheme="minorHAnsi" w:hAnsiTheme="minorHAnsi"/>
        </w:rPr>
        <w:t xml:space="preserve">1.1 </w:t>
      </w:r>
      <w:r w:rsidR="00AC5309" w:rsidRPr="00697868">
        <w:rPr>
          <w:rFonts w:asciiTheme="minorHAnsi" w:hAnsiTheme="minorHAnsi"/>
        </w:rPr>
        <w:t xml:space="preserve">Measure Description </w:t>
      </w:r>
      <w:r w:rsidR="00E16609" w:rsidRPr="00697868">
        <w:rPr>
          <w:rFonts w:asciiTheme="minorHAnsi" w:hAnsiTheme="minorHAnsi"/>
        </w:rPr>
        <w:t xml:space="preserve">&amp; </w:t>
      </w:r>
      <w:r w:rsidR="00AC5309" w:rsidRPr="00697868">
        <w:rPr>
          <w:rFonts w:asciiTheme="minorHAnsi" w:hAnsiTheme="minorHAnsi"/>
        </w:rPr>
        <w:t>Background</w:t>
      </w:r>
      <w:r w:rsidR="00E16609" w:rsidRPr="00697868">
        <w:rPr>
          <w:rFonts w:asciiTheme="minorHAnsi" w:hAnsiTheme="minorHAnsi"/>
        </w:rPr>
        <w:t xml:space="preserve"> </w:t>
      </w:r>
      <w:bookmarkEnd w:id="6"/>
    </w:p>
    <w:p w:rsidR="00D13C4C" w:rsidRPr="00D13C4C" w:rsidRDefault="00D13C4C" w:rsidP="00D13C4C">
      <w:pPr>
        <w:pStyle w:val="Reminders"/>
        <w:tabs>
          <w:tab w:val="num" w:pos="360"/>
        </w:tabs>
        <w:rPr>
          <w:rFonts w:asciiTheme="minorHAnsi" w:hAnsiTheme="minorHAnsi" w:cstheme="minorHAnsi"/>
          <w:i w:val="0"/>
          <w:color w:val="auto"/>
          <w:sz w:val="22"/>
          <w:szCs w:val="22"/>
        </w:rPr>
      </w:pPr>
      <w:r w:rsidRPr="00D13C4C">
        <w:rPr>
          <w:rFonts w:asciiTheme="minorHAnsi" w:hAnsiTheme="minorHAnsi" w:cstheme="minorHAnsi"/>
          <w:i w:val="0"/>
          <w:color w:val="auto"/>
          <w:sz w:val="22"/>
          <w:szCs w:val="22"/>
        </w:rPr>
        <w:t>This work paper outlines energy savings due to replacing standard compressor based direct-expansion (DX) split type air conditioning units (baseline) with direct-indirect or two-stage evaporative coolers (measure) in residential buildings. The saving values are based on Database for Energy Efficient Resources (DEER) 201</w:t>
      </w:r>
      <w:r>
        <w:rPr>
          <w:rFonts w:asciiTheme="minorHAnsi" w:hAnsiTheme="minorHAnsi" w:cstheme="minorHAnsi"/>
          <w:i w:val="0"/>
          <w:color w:val="auto"/>
          <w:sz w:val="22"/>
          <w:szCs w:val="22"/>
        </w:rPr>
        <w:t>4</w:t>
      </w:r>
      <w:r w:rsidRPr="00D13C4C">
        <w:rPr>
          <w:rFonts w:asciiTheme="minorHAnsi" w:hAnsiTheme="minorHAnsi" w:cstheme="minorHAnsi"/>
          <w:i w:val="0"/>
          <w:color w:val="auto"/>
          <w:sz w:val="22"/>
          <w:szCs w:val="22"/>
        </w:rPr>
        <w:t xml:space="preserve"> READI tool, </w:t>
      </w:r>
      <w:r>
        <w:rPr>
          <w:rFonts w:asciiTheme="minorHAnsi" w:hAnsiTheme="minorHAnsi" w:cstheme="minorHAnsi"/>
          <w:i w:val="0"/>
          <w:color w:val="auto"/>
          <w:sz w:val="22"/>
          <w:szCs w:val="22"/>
        </w:rPr>
        <w:t>v.</w:t>
      </w:r>
      <w:r w:rsidR="001F2F34">
        <w:rPr>
          <w:rFonts w:asciiTheme="minorHAnsi" w:hAnsiTheme="minorHAnsi" w:cstheme="minorHAnsi"/>
          <w:i w:val="0"/>
          <w:color w:val="auto"/>
          <w:sz w:val="22"/>
          <w:szCs w:val="22"/>
        </w:rPr>
        <w:t>2.0.1</w:t>
      </w:r>
      <w:r w:rsidRPr="00D13C4C">
        <w:rPr>
          <w:rFonts w:asciiTheme="minorHAnsi" w:hAnsiTheme="minorHAnsi" w:cstheme="minorHAnsi"/>
          <w:i w:val="0"/>
          <w:color w:val="auto"/>
          <w:sz w:val="22"/>
          <w:szCs w:val="22"/>
        </w:rPr>
        <w:t>.</w:t>
      </w:r>
    </w:p>
    <w:p w:rsidR="00697868" w:rsidRPr="006333C5" w:rsidRDefault="00697868" w:rsidP="00697868">
      <w:pPr>
        <w:pStyle w:val="Reminder"/>
        <w:rPr>
          <w:rFonts w:asciiTheme="minorHAnsi" w:hAnsiTheme="minorHAnsi" w:cstheme="minorHAnsi"/>
          <w:i w:val="0"/>
          <w:color w:val="auto"/>
          <w:sz w:val="22"/>
          <w:szCs w:val="22"/>
        </w:rPr>
      </w:pPr>
      <w:bookmarkStart w:id="7" w:name="_GoBack"/>
      <w:bookmarkEnd w:id="7"/>
    </w:p>
    <w:p w:rsidR="00AC5309" w:rsidRPr="00697868" w:rsidRDefault="00AC5309" w:rsidP="00AC5309">
      <w:pPr>
        <w:pStyle w:val="Caption"/>
        <w:jc w:val="center"/>
        <w:rPr>
          <w:rFonts w:asciiTheme="minorHAnsi" w:hAnsiTheme="minorHAnsi" w:cstheme="minorHAnsi"/>
          <w:sz w:val="22"/>
          <w:szCs w:val="22"/>
        </w:rPr>
      </w:pPr>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847A91">
        <w:rPr>
          <w:rFonts w:asciiTheme="minorHAnsi" w:hAnsiTheme="minorHAnsi" w:cstheme="minorHAnsi"/>
          <w:noProof/>
          <w:sz w:val="22"/>
          <w:szCs w:val="22"/>
        </w:rPr>
        <w:t>1</w:t>
      </w:r>
      <w:r w:rsidRPr="00697868">
        <w:rPr>
          <w:rFonts w:asciiTheme="minorHAnsi" w:hAnsiTheme="minorHAnsi" w:cstheme="minorHAnsi"/>
          <w:sz w:val="22"/>
          <w:szCs w:val="22"/>
        </w:rPr>
        <w:fldChar w:fldCharType="end"/>
      </w:r>
      <w:r w:rsidRPr="00697868">
        <w:rPr>
          <w:rFonts w:asciiTheme="minorHAnsi" w:hAnsiTheme="minorHAnsi" w:cstheme="minorHAnsi"/>
          <w:sz w:val="22"/>
          <w:szCs w:val="22"/>
        </w:rPr>
        <w:t xml:space="preserve"> Measure Names</w:t>
      </w:r>
    </w:p>
    <w:tbl>
      <w:tblPr>
        <w:tblStyle w:val="TableContemporary"/>
        <w:tblW w:w="0" w:type="auto"/>
        <w:jc w:val="center"/>
        <w:tblLook w:val="04A0" w:firstRow="1" w:lastRow="0" w:firstColumn="1" w:lastColumn="0" w:noHBand="0" w:noVBand="1"/>
      </w:tblPr>
      <w:tblGrid>
        <w:gridCol w:w="2394"/>
        <w:gridCol w:w="2394"/>
        <w:gridCol w:w="4289"/>
      </w:tblGrid>
      <w:tr w:rsidR="001D045D" w:rsidRPr="00697868" w:rsidTr="001D045D">
        <w:trPr>
          <w:cnfStyle w:val="100000000000" w:firstRow="1" w:lastRow="0" w:firstColumn="0" w:lastColumn="0" w:oddVBand="0" w:evenVBand="0" w:oddHBand="0" w:evenHBand="0" w:firstRowFirstColumn="0" w:firstRowLastColumn="0" w:lastRowFirstColumn="0" w:lastRowLastColumn="0"/>
          <w:jc w:val="center"/>
        </w:trPr>
        <w:tc>
          <w:tcPr>
            <w:tcW w:w="2394" w:type="dxa"/>
          </w:tcPr>
          <w:p w:rsidR="001D045D" w:rsidRPr="00697868" w:rsidRDefault="001D045D" w:rsidP="009824E9">
            <w:pPr>
              <w:rPr>
                <w:rFonts w:asciiTheme="minorHAnsi" w:hAnsiTheme="minorHAnsi" w:cstheme="minorHAnsi"/>
                <w:sz w:val="20"/>
                <w:szCs w:val="20"/>
              </w:rPr>
            </w:pPr>
            <w:r>
              <w:rPr>
                <w:rFonts w:asciiTheme="minorHAnsi" w:hAnsiTheme="minorHAnsi" w:cstheme="minorHAnsi"/>
                <w:sz w:val="20"/>
                <w:szCs w:val="20"/>
              </w:rPr>
              <w:t>PGE Measure Code</w:t>
            </w:r>
          </w:p>
        </w:tc>
        <w:tc>
          <w:tcPr>
            <w:tcW w:w="2394" w:type="dxa"/>
          </w:tcPr>
          <w:p w:rsidR="001D045D" w:rsidRPr="00697868" w:rsidRDefault="001D045D" w:rsidP="009824E9">
            <w:pPr>
              <w:rPr>
                <w:rFonts w:asciiTheme="minorHAnsi" w:hAnsiTheme="minorHAnsi" w:cstheme="minorHAnsi"/>
                <w:sz w:val="20"/>
                <w:szCs w:val="20"/>
              </w:rPr>
            </w:pPr>
            <w:r>
              <w:rPr>
                <w:rFonts w:asciiTheme="minorHAnsi" w:hAnsiTheme="minorHAnsi" w:cstheme="minorHAnsi"/>
                <w:sz w:val="20"/>
                <w:szCs w:val="20"/>
              </w:rPr>
              <w:t xml:space="preserve">SCE </w:t>
            </w:r>
            <w:r w:rsidRPr="00697868">
              <w:rPr>
                <w:rFonts w:asciiTheme="minorHAnsi" w:hAnsiTheme="minorHAnsi" w:cstheme="minorHAnsi"/>
                <w:sz w:val="20"/>
                <w:szCs w:val="20"/>
              </w:rPr>
              <w:t>Solution Code</w:t>
            </w:r>
          </w:p>
        </w:tc>
        <w:tc>
          <w:tcPr>
            <w:tcW w:w="4289" w:type="dxa"/>
          </w:tcPr>
          <w:p w:rsidR="001D045D" w:rsidRPr="00697868" w:rsidRDefault="001D045D" w:rsidP="009824E9">
            <w:pPr>
              <w:rPr>
                <w:rFonts w:asciiTheme="minorHAnsi" w:hAnsiTheme="minorHAnsi" w:cstheme="minorHAnsi"/>
                <w:sz w:val="20"/>
                <w:szCs w:val="20"/>
              </w:rPr>
            </w:pPr>
            <w:r w:rsidRPr="00697868">
              <w:rPr>
                <w:rFonts w:asciiTheme="minorHAnsi" w:hAnsiTheme="minorHAnsi" w:cstheme="minorHAnsi"/>
                <w:sz w:val="20"/>
                <w:szCs w:val="20"/>
              </w:rPr>
              <w:t>Measure name</w:t>
            </w:r>
          </w:p>
        </w:tc>
      </w:tr>
      <w:tr w:rsidR="001D045D" w:rsidRPr="00697868" w:rsidTr="001D045D">
        <w:trPr>
          <w:cnfStyle w:val="000000100000" w:firstRow="0" w:lastRow="0" w:firstColumn="0" w:lastColumn="0" w:oddVBand="0" w:evenVBand="0" w:oddHBand="1" w:evenHBand="0" w:firstRowFirstColumn="0" w:firstRowLastColumn="0" w:lastRowFirstColumn="0" w:lastRowLastColumn="0"/>
          <w:trHeight w:val="243"/>
          <w:jc w:val="center"/>
        </w:trPr>
        <w:tc>
          <w:tcPr>
            <w:tcW w:w="2394" w:type="dxa"/>
          </w:tcPr>
          <w:p w:rsidR="001D045D" w:rsidRPr="00D902B0" w:rsidRDefault="001D045D" w:rsidP="009824E9">
            <w:pPr>
              <w:rPr>
                <w:rFonts w:asciiTheme="minorHAnsi" w:hAnsiTheme="minorHAnsi" w:cstheme="minorHAnsi"/>
                <w:sz w:val="20"/>
                <w:szCs w:val="20"/>
              </w:rPr>
            </w:pPr>
            <w:r>
              <w:rPr>
                <w:rFonts w:asciiTheme="minorHAnsi" w:hAnsiTheme="minorHAnsi" w:cstheme="minorHAnsi"/>
                <w:sz w:val="20"/>
                <w:szCs w:val="20"/>
              </w:rPr>
              <w:t>H172</w:t>
            </w:r>
          </w:p>
        </w:tc>
        <w:tc>
          <w:tcPr>
            <w:tcW w:w="2394" w:type="dxa"/>
          </w:tcPr>
          <w:p w:rsidR="001D045D" w:rsidRPr="00697868" w:rsidRDefault="001D045D" w:rsidP="009824E9">
            <w:pPr>
              <w:rPr>
                <w:rFonts w:asciiTheme="minorHAnsi" w:hAnsiTheme="minorHAnsi" w:cstheme="minorHAnsi"/>
                <w:sz w:val="20"/>
                <w:szCs w:val="20"/>
              </w:rPr>
            </w:pPr>
            <w:r w:rsidRPr="00D902B0">
              <w:rPr>
                <w:rFonts w:asciiTheme="minorHAnsi" w:hAnsiTheme="minorHAnsi" w:cstheme="minorHAnsi"/>
                <w:sz w:val="20"/>
                <w:szCs w:val="20"/>
              </w:rPr>
              <w:t>AC-50888</w:t>
            </w:r>
          </w:p>
        </w:tc>
        <w:tc>
          <w:tcPr>
            <w:tcW w:w="4289" w:type="dxa"/>
          </w:tcPr>
          <w:p w:rsidR="001D045D" w:rsidRPr="00697868" w:rsidRDefault="001D045D" w:rsidP="009824E9">
            <w:pPr>
              <w:rPr>
                <w:rFonts w:asciiTheme="minorHAnsi" w:hAnsiTheme="minorHAnsi" w:cstheme="minorHAnsi"/>
                <w:sz w:val="20"/>
                <w:szCs w:val="20"/>
              </w:rPr>
            </w:pPr>
            <w:r w:rsidRPr="00D902B0">
              <w:rPr>
                <w:rFonts w:asciiTheme="minorHAnsi" w:hAnsiTheme="minorHAnsi" w:cstheme="minorHAnsi"/>
                <w:sz w:val="20"/>
                <w:szCs w:val="20"/>
              </w:rPr>
              <w:t>Two-stage (Indirect-Direct) Evap Cooler replacing standard compressor-based DX space cooling</w:t>
            </w:r>
          </w:p>
        </w:tc>
      </w:tr>
    </w:tbl>
    <w:p w:rsidR="00697868" w:rsidRDefault="00697868" w:rsidP="00697868">
      <w:pPr>
        <w:pStyle w:val="Reminders"/>
        <w:rPr>
          <w:rFonts w:asciiTheme="minorHAnsi" w:hAnsiTheme="minorHAnsi" w:cstheme="minorHAnsi"/>
          <w:sz w:val="22"/>
          <w:szCs w:val="22"/>
        </w:rPr>
      </w:pPr>
    </w:p>
    <w:p w:rsidR="006333C5" w:rsidRPr="006C5791" w:rsidRDefault="006333C5" w:rsidP="006333C5">
      <w:pPr>
        <w:pStyle w:val="BodyText"/>
        <w:spacing w:before="240"/>
        <w:rPr>
          <w:rFonts w:asciiTheme="minorHAnsi" w:hAnsiTheme="minorHAnsi" w:cstheme="minorHAnsi"/>
          <w:sz w:val="22"/>
        </w:rPr>
      </w:pPr>
      <w:r w:rsidRPr="006C5791">
        <w:rPr>
          <w:rFonts w:asciiTheme="minorHAnsi" w:hAnsiTheme="minorHAnsi" w:cstheme="minorHAnsi"/>
          <w:sz w:val="22"/>
        </w:rPr>
        <w:t xml:space="preserve">The measures contained within this work paper are applicable only for the building types listed in </w:t>
      </w:r>
      <w:r w:rsidR="00AB4649">
        <w:rPr>
          <w:rFonts w:asciiTheme="minorHAnsi" w:hAnsiTheme="minorHAnsi" w:cstheme="minorHAnsi"/>
          <w:sz w:val="22"/>
          <w:highlight w:val="yellow"/>
        </w:rPr>
        <w:fldChar w:fldCharType="begin"/>
      </w:r>
      <w:r w:rsidR="00AB4649">
        <w:rPr>
          <w:rFonts w:asciiTheme="minorHAnsi" w:hAnsiTheme="minorHAnsi" w:cstheme="minorHAnsi"/>
          <w:sz w:val="22"/>
        </w:rPr>
        <w:instrText xml:space="preserve"> REF _Ref296597958 \h </w:instrText>
      </w:r>
      <w:r w:rsidR="00AB4649">
        <w:rPr>
          <w:rFonts w:asciiTheme="minorHAnsi" w:hAnsiTheme="minorHAnsi" w:cstheme="minorHAnsi"/>
          <w:sz w:val="22"/>
          <w:highlight w:val="yellow"/>
        </w:rPr>
      </w:r>
      <w:r w:rsidR="00AB4649">
        <w:rPr>
          <w:rFonts w:asciiTheme="minorHAnsi" w:hAnsiTheme="minorHAnsi" w:cstheme="minorHAnsi"/>
          <w:sz w:val="22"/>
          <w:highlight w:val="yellow"/>
        </w:rPr>
        <w:fldChar w:fldCharType="separate"/>
      </w:r>
      <w:r w:rsidR="00601059" w:rsidRPr="00697868">
        <w:rPr>
          <w:rFonts w:asciiTheme="minorHAnsi" w:hAnsiTheme="minorHAnsi" w:cstheme="minorHAnsi"/>
          <w:sz w:val="22"/>
          <w:szCs w:val="22"/>
        </w:rPr>
        <w:t xml:space="preserve">Table </w:t>
      </w:r>
      <w:r w:rsidR="00601059">
        <w:rPr>
          <w:rFonts w:asciiTheme="minorHAnsi" w:hAnsiTheme="minorHAnsi" w:cstheme="minorHAnsi"/>
          <w:noProof/>
          <w:sz w:val="22"/>
          <w:szCs w:val="22"/>
        </w:rPr>
        <w:t>9</w:t>
      </w:r>
      <w:r w:rsidR="00AB4649">
        <w:rPr>
          <w:rFonts w:asciiTheme="minorHAnsi" w:hAnsiTheme="minorHAnsi" w:cstheme="minorHAnsi"/>
          <w:sz w:val="22"/>
          <w:highlight w:val="yellow"/>
        </w:rPr>
        <w:fldChar w:fldCharType="end"/>
      </w:r>
      <w:r w:rsidRPr="006C5791">
        <w:rPr>
          <w:rFonts w:asciiTheme="minorHAnsi" w:hAnsiTheme="minorHAnsi" w:cstheme="minorHAnsi"/>
          <w:sz w:val="22"/>
        </w:rPr>
        <w:t xml:space="preserve"> (all residential) and for all Southern California Edison</w:t>
      </w:r>
      <w:r>
        <w:rPr>
          <w:rFonts w:asciiTheme="minorHAnsi" w:hAnsiTheme="minorHAnsi" w:cstheme="minorHAnsi"/>
          <w:sz w:val="22"/>
        </w:rPr>
        <w:t xml:space="preserve"> and Pacific Gas &amp; Electric </w:t>
      </w:r>
      <w:r w:rsidRPr="006C5791">
        <w:rPr>
          <w:rFonts w:asciiTheme="minorHAnsi" w:hAnsiTheme="minorHAnsi" w:cstheme="minorHAnsi"/>
          <w:sz w:val="22"/>
        </w:rPr>
        <w:t>climate zones. Please see below for utility specific requirements.</w:t>
      </w:r>
    </w:p>
    <w:p w:rsidR="006333C5" w:rsidRPr="006C5791" w:rsidRDefault="006333C5" w:rsidP="006333C5">
      <w:pPr>
        <w:pStyle w:val="BodyText"/>
        <w:spacing w:before="240"/>
        <w:rPr>
          <w:rFonts w:asciiTheme="minorHAnsi" w:hAnsiTheme="minorHAnsi" w:cstheme="minorHAnsi"/>
          <w:b/>
          <w:sz w:val="22"/>
        </w:rPr>
      </w:pPr>
      <w:r w:rsidRPr="006C5791">
        <w:rPr>
          <w:rFonts w:asciiTheme="minorHAnsi" w:hAnsiTheme="minorHAnsi" w:cstheme="minorHAnsi"/>
          <w:b/>
          <w:sz w:val="22"/>
        </w:rPr>
        <w:t>Southern California Edison (SCE)</w:t>
      </w:r>
    </w:p>
    <w:p w:rsidR="006333C5" w:rsidRPr="006C5791" w:rsidRDefault="006333C5" w:rsidP="006333C5">
      <w:pPr>
        <w:pStyle w:val="Reminder"/>
        <w:spacing w:before="240" w:after="120"/>
        <w:rPr>
          <w:rFonts w:asciiTheme="minorHAnsi" w:hAnsiTheme="minorHAnsi" w:cstheme="minorHAnsi"/>
          <w:b/>
          <w:i w:val="0"/>
          <w:color w:val="auto"/>
          <w:sz w:val="22"/>
          <w:szCs w:val="20"/>
        </w:rPr>
      </w:pPr>
      <w:r w:rsidRPr="006C5791">
        <w:rPr>
          <w:rFonts w:asciiTheme="minorHAnsi" w:hAnsiTheme="minorHAnsi" w:cstheme="minorHAnsi"/>
          <w:b/>
          <w:i w:val="0"/>
          <w:color w:val="auto"/>
          <w:sz w:val="22"/>
          <w:szCs w:val="20"/>
        </w:rPr>
        <w:t>Home Energy Efficiency Rebate Program Requirements</w:t>
      </w:r>
    </w:p>
    <w:p w:rsidR="006333C5" w:rsidRPr="006C5791" w:rsidRDefault="006333C5" w:rsidP="006333C5">
      <w:pPr>
        <w:pStyle w:val="Reminder"/>
        <w:spacing w:before="0" w:after="120"/>
        <w:rPr>
          <w:rFonts w:asciiTheme="minorHAnsi" w:hAnsiTheme="minorHAnsi" w:cstheme="minorHAnsi"/>
          <w:i w:val="0"/>
          <w:color w:val="auto"/>
          <w:sz w:val="22"/>
        </w:rPr>
      </w:pPr>
      <w:r w:rsidRPr="006C5791">
        <w:rPr>
          <w:rFonts w:asciiTheme="minorHAnsi" w:hAnsiTheme="minorHAnsi" w:cstheme="minorHAnsi"/>
          <w:i w:val="0"/>
          <w:color w:val="auto"/>
          <w:sz w:val="22"/>
        </w:rPr>
        <w:t>This rebate is part of the Home Energy Efficiency Rebate Program. To Qualify, Your New Evaporative Cooling System Must:</w:t>
      </w:r>
    </w:p>
    <w:p w:rsidR="006333C5" w:rsidRPr="006C5791" w:rsidRDefault="006333C5" w:rsidP="006333C5">
      <w:pPr>
        <w:pStyle w:val="Reminder"/>
        <w:numPr>
          <w:ilvl w:val="0"/>
          <w:numId w:val="9"/>
        </w:numPr>
        <w:rPr>
          <w:rFonts w:asciiTheme="minorHAnsi" w:hAnsiTheme="minorHAnsi" w:cstheme="minorHAnsi"/>
          <w:i w:val="0"/>
          <w:color w:val="auto"/>
          <w:sz w:val="22"/>
        </w:rPr>
      </w:pPr>
      <w:r w:rsidRPr="006C5791">
        <w:rPr>
          <w:rFonts w:asciiTheme="minorHAnsi" w:hAnsiTheme="minorHAnsi" w:cstheme="minorHAnsi"/>
          <w:i w:val="0"/>
          <w:color w:val="auto"/>
          <w:sz w:val="22"/>
        </w:rPr>
        <w:t xml:space="preserve">Be permanently installed. </w:t>
      </w:r>
    </w:p>
    <w:p w:rsidR="006333C5" w:rsidRPr="006C5791" w:rsidRDefault="006333C5" w:rsidP="006333C5">
      <w:pPr>
        <w:pStyle w:val="Reminder"/>
        <w:numPr>
          <w:ilvl w:val="0"/>
          <w:numId w:val="9"/>
        </w:numPr>
        <w:rPr>
          <w:rFonts w:asciiTheme="minorHAnsi" w:hAnsiTheme="minorHAnsi" w:cstheme="minorHAnsi"/>
          <w:i w:val="0"/>
          <w:color w:val="auto"/>
          <w:sz w:val="22"/>
        </w:rPr>
      </w:pPr>
      <w:r w:rsidRPr="006C5791">
        <w:rPr>
          <w:rFonts w:asciiTheme="minorHAnsi" w:hAnsiTheme="minorHAnsi" w:cstheme="minorHAnsi"/>
          <w:i w:val="0"/>
          <w:color w:val="auto"/>
          <w:sz w:val="22"/>
        </w:rPr>
        <w:t xml:space="preserve">Have UL recognized electrical components. </w:t>
      </w:r>
    </w:p>
    <w:p w:rsidR="006333C5" w:rsidRPr="006C5791" w:rsidRDefault="006333C5" w:rsidP="006333C5">
      <w:pPr>
        <w:pStyle w:val="Reminder"/>
        <w:numPr>
          <w:ilvl w:val="0"/>
          <w:numId w:val="9"/>
        </w:numPr>
        <w:rPr>
          <w:rFonts w:asciiTheme="minorHAnsi" w:hAnsiTheme="minorHAnsi" w:cstheme="minorHAnsi"/>
          <w:i w:val="0"/>
          <w:color w:val="auto"/>
          <w:sz w:val="22"/>
        </w:rPr>
      </w:pPr>
      <w:r w:rsidRPr="006C5791">
        <w:rPr>
          <w:rFonts w:asciiTheme="minorHAnsi" w:hAnsiTheme="minorHAnsi" w:cstheme="minorHAnsi"/>
          <w:i w:val="0"/>
          <w:color w:val="auto"/>
          <w:sz w:val="22"/>
        </w:rPr>
        <w:t xml:space="preserve">Come with a water quality management system that provides positive removal of sump water on a regular interval (a bleed system is not allowed). </w:t>
      </w:r>
    </w:p>
    <w:p w:rsidR="006333C5" w:rsidRPr="006C5791" w:rsidRDefault="006333C5" w:rsidP="006333C5">
      <w:pPr>
        <w:pStyle w:val="Reminder"/>
        <w:numPr>
          <w:ilvl w:val="0"/>
          <w:numId w:val="9"/>
        </w:numPr>
        <w:rPr>
          <w:rFonts w:asciiTheme="minorHAnsi" w:hAnsiTheme="minorHAnsi" w:cstheme="minorHAnsi"/>
          <w:i w:val="0"/>
          <w:color w:val="auto"/>
          <w:sz w:val="22"/>
        </w:rPr>
      </w:pPr>
      <w:r w:rsidRPr="006C5791">
        <w:rPr>
          <w:rFonts w:asciiTheme="minorHAnsi" w:hAnsiTheme="minorHAnsi" w:cstheme="minorHAnsi"/>
          <w:i w:val="0"/>
          <w:color w:val="auto"/>
          <w:sz w:val="22"/>
        </w:rPr>
        <w:t xml:space="preserve">Have a single duct or multi ducted distribution system. </w:t>
      </w:r>
    </w:p>
    <w:p w:rsidR="006333C5" w:rsidRPr="006C5791" w:rsidRDefault="006333C5" w:rsidP="006333C5">
      <w:pPr>
        <w:pStyle w:val="Reminder"/>
        <w:numPr>
          <w:ilvl w:val="0"/>
          <w:numId w:val="9"/>
        </w:numPr>
        <w:rPr>
          <w:rFonts w:asciiTheme="minorHAnsi" w:hAnsiTheme="minorHAnsi" w:cstheme="minorHAnsi"/>
          <w:i w:val="0"/>
          <w:color w:val="auto"/>
          <w:sz w:val="22"/>
        </w:rPr>
      </w:pPr>
      <w:r w:rsidRPr="006C5791">
        <w:rPr>
          <w:rFonts w:asciiTheme="minorHAnsi" w:hAnsiTheme="minorHAnsi" w:cstheme="minorHAnsi"/>
          <w:i w:val="0"/>
          <w:color w:val="auto"/>
          <w:sz w:val="22"/>
        </w:rPr>
        <w:t xml:space="preserve">Have either: </w:t>
      </w:r>
    </w:p>
    <w:p w:rsidR="006333C5" w:rsidRPr="006C5791" w:rsidRDefault="006333C5" w:rsidP="006333C5">
      <w:pPr>
        <w:pStyle w:val="Reminder"/>
        <w:numPr>
          <w:ilvl w:val="0"/>
          <w:numId w:val="10"/>
        </w:numPr>
        <w:rPr>
          <w:rFonts w:asciiTheme="minorHAnsi" w:hAnsiTheme="minorHAnsi" w:cstheme="minorHAnsi"/>
          <w:i w:val="0"/>
          <w:color w:val="auto"/>
          <w:sz w:val="22"/>
        </w:rPr>
      </w:pPr>
      <w:r w:rsidRPr="006C5791">
        <w:rPr>
          <w:rFonts w:asciiTheme="minorHAnsi" w:hAnsiTheme="minorHAnsi" w:cstheme="minorHAnsi"/>
          <w:i w:val="0"/>
          <w:color w:val="auto"/>
          <w:sz w:val="22"/>
        </w:rPr>
        <w:t xml:space="preserve">A multi-function manual control switch which offers high and low fan speed, pump on or off and the unit control of on or off. When a multifunction manual control switch is used, pressure relief dampers are not required. </w:t>
      </w:r>
    </w:p>
    <w:p w:rsidR="006333C5" w:rsidRPr="006C5791" w:rsidRDefault="006333C5" w:rsidP="006333C5">
      <w:pPr>
        <w:pStyle w:val="Reminders"/>
        <w:numPr>
          <w:ilvl w:val="0"/>
          <w:numId w:val="10"/>
        </w:numPr>
        <w:rPr>
          <w:rFonts w:asciiTheme="minorHAnsi" w:hAnsiTheme="minorHAnsi" w:cstheme="minorHAnsi"/>
          <w:i w:val="0"/>
          <w:color w:val="auto"/>
          <w:sz w:val="22"/>
        </w:rPr>
      </w:pPr>
      <w:r w:rsidRPr="006C5791">
        <w:rPr>
          <w:rFonts w:asciiTheme="minorHAnsi" w:hAnsiTheme="minorHAnsi" w:cstheme="minorHAnsi"/>
          <w:i w:val="0"/>
          <w:color w:val="auto"/>
          <w:sz w:val="22"/>
        </w:rPr>
        <w:t xml:space="preserve">A thermostat specifically designed for evaporative </w:t>
      </w:r>
      <w:proofErr w:type="gramStart"/>
      <w:r w:rsidRPr="006C5791">
        <w:rPr>
          <w:rFonts w:asciiTheme="minorHAnsi" w:hAnsiTheme="minorHAnsi" w:cstheme="minorHAnsi"/>
          <w:i w:val="0"/>
          <w:color w:val="auto"/>
          <w:sz w:val="22"/>
        </w:rPr>
        <w:t>coolers which automatically controls</w:t>
      </w:r>
      <w:proofErr w:type="gramEnd"/>
      <w:r w:rsidRPr="006C5791">
        <w:rPr>
          <w:rFonts w:asciiTheme="minorHAnsi" w:hAnsiTheme="minorHAnsi" w:cstheme="minorHAnsi"/>
          <w:i w:val="0"/>
          <w:color w:val="auto"/>
          <w:sz w:val="22"/>
        </w:rPr>
        <w:t xml:space="preserve"> the unit operation based on the indoor temperature, fan speed, and pump operation. The automatic thermostat must be mounted remotely from the cooler. If new pressure relief dampers are installed, they must be indicated on your proof of purchase.</w:t>
      </w:r>
    </w:p>
    <w:p w:rsidR="006333C5" w:rsidRPr="006C5791" w:rsidRDefault="006333C5" w:rsidP="006333C5">
      <w:pPr>
        <w:pStyle w:val="Reminders"/>
        <w:spacing w:before="240" w:after="120"/>
        <w:rPr>
          <w:rFonts w:asciiTheme="minorHAnsi" w:hAnsiTheme="minorHAnsi" w:cstheme="minorHAnsi"/>
          <w:b/>
          <w:i w:val="0"/>
          <w:color w:val="auto"/>
          <w:sz w:val="22"/>
        </w:rPr>
      </w:pPr>
      <w:r w:rsidRPr="006C5791">
        <w:rPr>
          <w:rFonts w:asciiTheme="minorHAnsi" w:hAnsiTheme="minorHAnsi" w:cstheme="minorHAnsi"/>
          <w:b/>
          <w:i w:val="0"/>
          <w:color w:val="auto"/>
          <w:sz w:val="22"/>
        </w:rPr>
        <w:t>Pacific Gas and Electric (PG&amp;E)</w:t>
      </w:r>
    </w:p>
    <w:p w:rsidR="006333C5" w:rsidRPr="006C5791" w:rsidRDefault="006333C5" w:rsidP="006333C5">
      <w:pPr>
        <w:pStyle w:val="Reminders"/>
        <w:spacing w:before="0" w:afterLines="120" w:after="288"/>
        <w:rPr>
          <w:rFonts w:asciiTheme="minorHAnsi" w:hAnsiTheme="minorHAnsi" w:cstheme="minorHAnsi"/>
          <w:i w:val="0"/>
          <w:color w:val="auto"/>
          <w:sz w:val="22"/>
        </w:rPr>
      </w:pPr>
      <w:r w:rsidRPr="006C5791">
        <w:rPr>
          <w:rFonts w:asciiTheme="minorHAnsi" w:hAnsiTheme="minorHAnsi" w:cstheme="minorHAnsi"/>
          <w:i w:val="0"/>
          <w:color w:val="auto"/>
          <w:sz w:val="22"/>
        </w:rPr>
        <w:t xml:space="preserve">To be eligible for these measures, customers must be a PG&amp;E electric customer, live in a multifamily dwelling and live in Climate Zones 11, 12 or 13. </w:t>
      </w:r>
      <w:r w:rsidRPr="006C5791">
        <w:rPr>
          <w:rFonts w:asciiTheme="minorHAnsi" w:hAnsiTheme="minorHAnsi" w:cstheme="minorHAnsi"/>
          <w:b/>
          <w:i w:val="0"/>
          <w:color w:val="auto"/>
          <w:sz w:val="22"/>
        </w:rPr>
        <w:t>PG&amp;E currently does not offer a rebate for customers living a single family home.</w:t>
      </w:r>
    </w:p>
    <w:p w:rsidR="006333C5" w:rsidRPr="006C5791" w:rsidRDefault="006333C5" w:rsidP="006333C5">
      <w:pPr>
        <w:pStyle w:val="BodyText"/>
        <w:spacing w:afterLines="120" w:after="288"/>
        <w:rPr>
          <w:rFonts w:asciiTheme="minorHAnsi" w:hAnsiTheme="minorHAnsi" w:cstheme="minorHAnsi"/>
          <w:i/>
          <w:sz w:val="22"/>
        </w:rPr>
      </w:pPr>
      <w:r w:rsidRPr="006C5791">
        <w:rPr>
          <w:rFonts w:asciiTheme="minorHAnsi" w:hAnsiTheme="minorHAnsi" w:cstheme="minorHAnsi"/>
          <w:sz w:val="22"/>
          <w:szCs w:val="24"/>
        </w:rPr>
        <w:t xml:space="preserve">An Advanced Evaporative Cooler Level 2 (AEC-2) must have an indirect evaporative stage, rigid media </w:t>
      </w:r>
      <w:r w:rsidRPr="006C5791">
        <w:rPr>
          <w:rFonts w:asciiTheme="minorHAnsi" w:hAnsiTheme="minorHAnsi" w:cstheme="minorHAnsi"/>
          <w:sz w:val="22"/>
          <w:szCs w:val="24"/>
        </w:rPr>
        <w:lastRenderedPageBreak/>
        <w:t>direct stage, manufactured evaporative media with a rated saturation effectiveness of 0.95 or better (a natural fiber pad is not allowed – the rigid media is generally 8” or 12” thick), a two speed fan, a multi-position control switch that allows two fan speed operation and fan only operation and be equipped with water quality management system that provides positive removal of sump water on a regular interval (a bleed system is not allowed).</w:t>
      </w:r>
    </w:p>
    <w:p w:rsidR="00E16609" w:rsidRPr="00697868" w:rsidRDefault="00E16609" w:rsidP="00697868">
      <w:pPr>
        <w:pStyle w:val="Heading2"/>
        <w:rPr>
          <w:rFonts w:asciiTheme="minorHAnsi" w:hAnsiTheme="minorHAnsi"/>
        </w:rPr>
      </w:pPr>
      <w:r w:rsidRPr="00697868">
        <w:rPr>
          <w:rFonts w:asciiTheme="minorHAnsi" w:hAnsiTheme="minorHAnsi"/>
        </w:rPr>
        <w:t>1.</w:t>
      </w:r>
      <w:r w:rsidR="00AC5309" w:rsidRPr="00697868">
        <w:rPr>
          <w:rFonts w:asciiTheme="minorHAnsi" w:hAnsiTheme="minorHAnsi"/>
        </w:rPr>
        <w:t>2</w:t>
      </w:r>
      <w:r w:rsidRPr="00697868">
        <w:rPr>
          <w:rFonts w:asciiTheme="minorHAnsi" w:hAnsiTheme="minorHAnsi"/>
        </w:rPr>
        <w:t xml:space="preserve"> </w:t>
      </w:r>
      <w:r w:rsidR="00697868" w:rsidRPr="00697868">
        <w:rPr>
          <w:rFonts w:asciiTheme="minorHAnsi" w:hAnsiTheme="minorHAnsi"/>
        </w:rPr>
        <w:t>Technical</w:t>
      </w:r>
      <w:r w:rsidRPr="00697868">
        <w:rPr>
          <w:rFonts w:asciiTheme="minorHAnsi" w:hAnsiTheme="minorHAnsi"/>
        </w:rPr>
        <w:t xml:space="preserve"> Description</w:t>
      </w:r>
    </w:p>
    <w:p w:rsidR="00D902B0" w:rsidRDefault="00D902B0" w:rsidP="00D902B0">
      <w:pPr>
        <w:pStyle w:val="Reminders"/>
        <w:tabs>
          <w:tab w:val="num" w:pos="360"/>
        </w:tabs>
        <w:rPr>
          <w:rFonts w:asciiTheme="minorHAnsi" w:hAnsiTheme="minorHAnsi" w:cstheme="minorHAnsi"/>
          <w:i w:val="0"/>
          <w:color w:val="auto"/>
          <w:sz w:val="22"/>
          <w:szCs w:val="22"/>
        </w:rPr>
      </w:pPr>
      <w:r w:rsidRPr="00D13C4C">
        <w:rPr>
          <w:rFonts w:asciiTheme="minorHAnsi" w:hAnsiTheme="minorHAnsi" w:cstheme="minorHAnsi"/>
          <w:i w:val="0"/>
          <w:color w:val="auto"/>
          <w:sz w:val="22"/>
          <w:szCs w:val="22"/>
        </w:rPr>
        <w:t xml:space="preserve">The operation of direct-indirect evaporative coolers consists of two stages, direct and indirect stage. These units provide necessary cooling capacity and comfort with a fraction of the energy required for traditional DX cooling. The indirect evaporative cooling is accomplished through a heat exchanger, either plate and frame or tube type. In this stage, cooling is accomplished by reducing the outdoor air temperature without adding moisture. Direct cooling in second stage is achieved by passing the air from indirect stage over the cooling media that is saturated with water. The result of two stage evaporative cooling process is cooler and drier supply air than that compared to a single-stage evaporative cooler </w:t>
      </w:r>
      <w:r w:rsidR="005F4C8D">
        <w:rPr>
          <w:rFonts w:asciiTheme="minorHAnsi" w:hAnsiTheme="minorHAnsi" w:cstheme="minorHAnsi"/>
          <w:i w:val="0"/>
          <w:color w:val="auto"/>
          <w:sz w:val="22"/>
          <w:szCs w:val="22"/>
        </w:rPr>
        <w:t>[434]</w:t>
      </w:r>
      <w:r w:rsidRPr="00D13C4C">
        <w:rPr>
          <w:rFonts w:asciiTheme="minorHAnsi" w:hAnsiTheme="minorHAnsi" w:cstheme="minorHAnsi"/>
          <w:i w:val="0"/>
          <w:color w:val="auto"/>
          <w:sz w:val="22"/>
          <w:szCs w:val="22"/>
        </w:rPr>
        <w:t>.</w:t>
      </w:r>
    </w:p>
    <w:p w:rsidR="00D902B0" w:rsidRDefault="00D902B0" w:rsidP="00D902B0">
      <w:pPr>
        <w:pStyle w:val="Reminders"/>
        <w:tabs>
          <w:tab w:val="num" w:pos="360"/>
        </w:tabs>
        <w:rPr>
          <w:rFonts w:asciiTheme="minorHAnsi" w:hAnsiTheme="minorHAnsi" w:cstheme="minorHAnsi"/>
          <w:i w:val="0"/>
          <w:color w:val="auto"/>
          <w:sz w:val="22"/>
          <w:szCs w:val="22"/>
        </w:rPr>
      </w:pPr>
    </w:p>
    <w:p w:rsidR="00D902B0" w:rsidRPr="00D902B0" w:rsidRDefault="00D902B0" w:rsidP="00D902B0">
      <w:pPr>
        <w:spacing w:after="120"/>
        <w:rPr>
          <w:rFonts w:asciiTheme="minorHAnsi" w:hAnsiTheme="minorHAnsi" w:cstheme="minorHAnsi"/>
          <w:sz w:val="22"/>
        </w:rPr>
      </w:pPr>
      <w:r w:rsidRPr="00784E73">
        <w:rPr>
          <w:rFonts w:asciiTheme="minorHAnsi" w:hAnsiTheme="minorHAnsi" w:cstheme="minorHAnsi"/>
          <w:sz w:val="22"/>
        </w:rPr>
        <w:t>According to the Public Interest Energy Research (PIER) program’s White Paper on “Advanced Evaporative Cooling,” the projected annual cooling savings average 93% over the 8 climate zones, and demand savings average 84%</w:t>
      </w:r>
      <w:r w:rsidRPr="00784E73">
        <w:rPr>
          <w:rFonts w:asciiTheme="minorHAnsi" w:hAnsiTheme="minorHAnsi" w:cstheme="minorHAnsi"/>
          <w:i/>
          <w:sz w:val="22"/>
        </w:rPr>
        <w:t xml:space="preserve"> </w:t>
      </w:r>
      <w:r w:rsidR="005F4C8D">
        <w:rPr>
          <w:rFonts w:asciiTheme="minorHAnsi" w:hAnsiTheme="minorHAnsi" w:cstheme="minorHAnsi"/>
          <w:sz w:val="22"/>
        </w:rPr>
        <w:t>[434]</w:t>
      </w:r>
      <w:r w:rsidRPr="00784E73">
        <w:rPr>
          <w:rFonts w:asciiTheme="minorHAnsi" w:hAnsiTheme="minorHAnsi" w:cstheme="minorHAnsi"/>
          <w:i/>
          <w:sz w:val="22"/>
        </w:rPr>
        <w:t>.</w:t>
      </w:r>
    </w:p>
    <w:p w:rsidR="00697868" w:rsidRPr="00697868" w:rsidRDefault="00697868" w:rsidP="00697868">
      <w:pPr>
        <w:pStyle w:val="Heading2"/>
        <w:rPr>
          <w:rFonts w:asciiTheme="minorHAnsi" w:hAnsiTheme="minorHAnsi"/>
        </w:rPr>
      </w:pPr>
      <w:r w:rsidRPr="00697868">
        <w:rPr>
          <w:rFonts w:asciiTheme="minorHAnsi" w:hAnsiTheme="minorHAnsi"/>
        </w:rPr>
        <w:t>1.</w:t>
      </w:r>
      <w:r>
        <w:rPr>
          <w:rFonts w:asciiTheme="minorHAnsi" w:hAnsiTheme="minorHAnsi"/>
        </w:rPr>
        <w:t>3 Measure Application Type</w:t>
      </w:r>
    </w:p>
    <w:p w:rsidR="004F14EE" w:rsidRDefault="004F14EE" w:rsidP="004F14EE">
      <w:pPr>
        <w:pStyle w:val="Reminders"/>
        <w:tabs>
          <w:tab w:val="num" w:pos="360"/>
        </w:tabs>
        <w:rPr>
          <w:rFonts w:asciiTheme="minorHAnsi" w:hAnsiTheme="minorHAnsi" w:cstheme="minorHAnsi"/>
          <w:i w:val="0"/>
          <w:color w:val="auto"/>
          <w:sz w:val="22"/>
          <w:szCs w:val="22"/>
        </w:rPr>
      </w:pPr>
      <w:r>
        <w:rPr>
          <w:rFonts w:asciiTheme="minorHAnsi" w:hAnsiTheme="minorHAnsi" w:cstheme="minorHAnsi"/>
          <w:i w:val="0"/>
          <w:color w:val="auto"/>
          <w:sz w:val="22"/>
          <w:szCs w:val="22"/>
        </w:rPr>
        <w:t>The</w:t>
      </w:r>
      <w:r w:rsidRPr="0039758B">
        <w:rPr>
          <w:rFonts w:asciiTheme="minorHAnsi" w:hAnsiTheme="minorHAnsi" w:cstheme="minorHAnsi"/>
          <w:i w:val="0"/>
          <w:color w:val="auto"/>
          <w:sz w:val="22"/>
          <w:szCs w:val="22"/>
        </w:rPr>
        <w:t xml:space="preserve"> </w:t>
      </w:r>
      <w:r>
        <w:rPr>
          <w:rFonts w:asciiTheme="minorHAnsi" w:hAnsiTheme="minorHAnsi" w:cstheme="minorHAnsi"/>
          <w:i w:val="0"/>
          <w:color w:val="auto"/>
          <w:sz w:val="22"/>
          <w:szCs w:val="22"/>
        </w:rPr>
        <w:t>delivery m</w:t>
      </w:r>
      <w:r w:rsidRPr="0039758B">
        <w:rPr>
          <w:rFonts w:asciiTheme="minorHAnsi" w:hAnsiTheme="minorHAnsi" w:cstheme="minorHAnsi"/>
          <w:i w:val="0"/>
          <w:color w:val="auto"/>
          <w:sz w:val="22"/>
          <w:szCs w:val="22"/>
        </w:rPr>
        <w:t xml:space="preserve">echanism </w:t>
      </w:r>
      <w:r>
        <w:rPr>
          <w:rFonts w:asciiTheme="minorHAnsi" w:hAnsiTheme="minorHAnsi" w:cstheme="minorHAnsi"/>
          <w:i w:val="0"/>
          <w:color w:val="auto"/>
          <w:sz w:val="22"/>
          <w:szCs w:val="22"/>
        </w:rPr>
        <w:t xml:space="preserve">used for the measures within this work paper </w:t>
      </w:r>
      <w:r w:rsidRPr="0039758B">
        <w:rPr>
          <w:rFonts w:asciiTheme="minorHAnsi" w:hAnsiTheme="minorHAnsi" w:cstheme="minorHAnsi"/>
          <w:i w:val="0"/>
          <w:color w:val="auto"/>
          <w:sz w:val="22"/>
          <w:szCs w:val="22"/>
        </w:rPr>
        <w:t xml:space="preserve">is </w:t>
      </w:r>
      <w:r>
        <w:rPr>
          <w:rFonts w:asciiTheme="minorHAnsi" w:hAnsiTheme="minorHAnsi" w:cstheme="minorHAnsi"/>
          <w:i w:val="0"/>
          <w:color w:val="auto"/>
          <w:sz w:val="22"/>
          <w:szCs w:val="22"/>
        </w:rPr>
        <w:t>Financial Support – Downstream Incentives – Deemed.</w:t>
      </w:r>
    </w:p>
    <w:p w:rsidR="004F14EE" w:rsidRDefault="004F14EE" w:rsidP="004F14EE">
      <w:pPr>
        <w:pStyle w:val="Reminders"/>
        <w:tabs>
          <w:tab w:val="num" w:pos="360"/>
        </w:tabs>
        <w:rPr>
          <w:rFonts w:asciiTheme="minorHAnsi" w:hAnsiTheme="minorHAnsi" w:cstheme="minorHAnsi"/>
          <w:i w:val="0"/>
          <w:color w:val="auto"/>
          <w:sz w:val="22"/>
          <w:szCs w:val="22"/>
        </w:rPr>
      </w:pPr>
    </w:p>
    <w:p w:rsidR="004F14EE" w:rsidRDefault="004F14EE" w:rsidP="004F14EE">
      <w:pPr>
        <w:pStyle w:val="Reminders"/>
        <w:tabs>
          <w:tab w:val="num" w:pos="360"/>
        </w:tabs>
        <w:rPr>
          <w:rFonts w:asciiTheme="minorHAnsi" w:hAnsiTheme="minorHAnsi" w:cstheme="minorHAnsi"/>
          <w:i w:val="0"/>
          <w:color w:val="auto"/>
          <w:sz w:val="22"/>
          <w:szCs w:val="22"/>
        </w:rPr>
      </w:pPr>
      <w:r>
        <w:rPr>
          <w:rFonts w:asciiTheme="minorHAnsi" w:hAnsiTheme="minorHAnsi" w:cstheme="minorHAnsi"/>
          <w:i w:val="0"/>
          <w:color w:val="auto"/>
          <w:sz w:val="22"/>
          <w:szCs w:val="22"/>
        </w:rPr>
        <w:t xml:space="preserve">The install type for the measure within this work paper is </w:t>
      </w:r>
      <w:r w:rsidR="003B48A8">
        <w:rPr>
          <w:rFonts w:asciiTheme="minorHAnsi" w:hAnsiTheme="minorHAnsi" w:cstheme="minorHAnsi"/>
          <w:i w:val="0"/>
          <w:color w:val="auto"/>
          <w:sz w:val="22"/>
          <w:szCs w:val="22"/>
        </w:rPr>
        <w:t>Replace-on-Burnout</w:t>
      </w:r>
      <w:r>
        <w:rPr>
          <w:rFonts w:asciiTheme="minorHAnsi" w:hAnsiTheme="minorHAnsi" w:cstheme="minorHAnsi"/>
          <w:i w:val="0"/>
          <w:color w:val="auto"/>
          <w:sz w:val="22"/>
          <w:szCs w:val="22"/>
        </w:rPr>
        <w:t xml:space="preserve"> (</w:t>
      </w:r>
      <w:r w:rsidR="003B48A8">
        <w:rPr>
          <w:rFonts w:asciiTheme="minorHAnsi" w:hAnsiTheme="minorHAnsi" w:cstheme="minorHAnsi"/>
          <w:i w:val="0"/>
          <w:color w:val="auto"/>
          <w:sz w:val="22"/>
          <w:szCs w:val="22"/>
        </w:rPr>
        <w:t>ROB</w:t>
      </w:r>
      <w:r>
        <w:rPr>
          <w:rFonts w:asciiTheme="minorHAnsi" w:hAnsiTheme="minorHAnsi" w:cstheme="minorHAnsi"/>
          <w:i w:val="0"/>
          <w:color w:val="auto"/>
          <w:sz w:val="22"/>
          <w:szCs w:val="22"/>
        </w:rPr>
        <w:t>)</w:t>
      </w:r>
      <w:r w:rsidR="001F2F34">
        <w:rPr>
          <w:rFonts w:asciiTheme="minorHAnsi" w:hAnsiTheme="minorHAnsi" w:cstheme="minorHAnsi"/>
          <w:i w:val="0"/>
          <w:color w:val="auto"/>
          <w:sz w:val="22"/>
          <w:szCs w:val="22"/>
        </w:rPr>
        <w:t xml:space="preserve"> for </w:t>
      </w:r>
      <w:r w:rsidR="003B48A8">
        <w:rPr>
          <w:rFonts w:asciiTheme="minorHAnsi" w:hAnsiTheme="minorHAnsi" w:cstheme="minorHAnsi"/>
          <w:i w:val="0"/>
          <w:color w:val="auto"/>
          <w:sz w:val="22"/>
          <w:szCs w:val="22"/>
        </w:rPr>
        <w:t xml:space="preserve">both </w:t>
      </w:r>
      <w:r w:rsidR="001F2F34">
        <w:rPr>
          <w:rFonts w:asciiTheme="minorHAnsi" w:hAnsiTheme="minorHAnsi" w:cstheme="minorHAnsi"/>
          <w:i w:val="0"/>
          <w:color w:val="auto"/>
          <w:sz w:val="22"/>
          <w:szCs w:val="22"/>
        </w:rPr>
        <w:t xml:space="preserve">SCE </w:t>
      </w:r>
      <w:r w:rsidR="003B48A8">
        <w:rPr>
          <w:rFonts w:asciiTheme="minorHAnsi" w:hAnsiTheme="minorHAnsi" w:cstheme="minorHAnsi"/>
          <w:i w:val="0"/>
          <w:color w:val="auto"/>
          <w:sz w:val="22"/>
          <w:szCs w:val="22"/>
        </w:rPr>
        <w:t xml:space="preserve">and </w:t>
      </w:r>
      <w:r w:rsidR="001F2F34">
        <w:rPr>
          <w:rFonts w:asciiTheme="minorHAnsi" w:hAnsiTheme="minorHAnsi" w:cstheme="minorHAnsi"/>
          <w:i w:val="0"/>
          <w:color w:val="auto"/>
          <w:sz w:val="22"/>
          <w:szCs w:val="22"/>
        </w:rPr>
        <w:t>PG&amp;E</w:t>
      </w:r>
      <w:r>
        <w:rPr>
          <w:rFonts w:asciiTheme="minorHAnsi" w:hAnsiTheme="minorHAnsi" w:cstheme="minorHAnsi"/>
          <w:i w:val="0"/>
          <w:color w:val="auto"/>
          <w:sz w:val="22"/>
          <w:szCs w:val="22"/>
        </w:rPr>
        <w:t>.</w:t>
      </w:r>
    </w:p>
    <w:p w:rsidR="00082DF3" w:rsidRPr="00082DF3" w:rsidRDefault="00082DF3" w:rsidP="004F14EE">
      <w:pPr>
        <w:pStyle w:val="Reminders"/>
        <w:tabs>
          <w:tab w:val="num" w:pos="360"/>
        </w:tabs>
        <w:rPr>
          <w:rFonts w:asciiTheme="minorHAnsi" w:hAnsiTheme="minorHAnsi" w:cstheme="minorHAnsi"/>
          <w:i w:val="0"/>
          <w:color w:val="auto"/>
          <w:sz w:val="22"/>
          <w:szCs w:val="22"/>
        </w:rPr>
      </w:pPr>
    </w:p>
    <w:p w:rsidR="00082DF3" w:rsidRDefault="00082DF3" w:rsidP="004F14EE">
      <w:pPr>
        <w:pStyle w:val="Reminders"/>
        <w:tabs>
          <w:tab w:val="num" w:pos="360"/>
        </w:tabs>
        <w:rPr>
          <w:rFonts w:asciiTheme="minorHAnsi" w:hAnsiTheme="minorHAnsi" w:cstheme="minorHAnsi"/>
          <w:sz w:val="22"/>
          <w:szCs w:val="22"/>
        </w:rPr>
      </w:pPr>
      <w:r w:rsidRPr="00082DF3">
        <w:rPr>
          <w:rFonts w:asciiTheme="minorHAnsi" w:hAnsiTheme="minorHAnsi" w:cstheme="minorHAnsi"/>
          <w:i w:val="0"/>
          <w:color w:val="auto"/>
          <w:sz w:val="22"/>
          <w:szCs w:val="22"/>
        </w:rPr>
        <w:t xml:space="preserve">Note: See Appendix A for a comparison of the application types used by and incorporated into SCE systems versus the application types available in the newest revision of DEER 2014. Appendix A will serve as a translation between the outputs of this </w:t>
      </w:r>
      <w:proofErr w:type="spellStart"/>
      <w:r w:rsidRPr="00082DF3">
        <w:rPr>
          <w:rFonts w:asciiTheme="minorHAnsi" w:hAnsiTheme="minorHAnsi" w:cstheme="minorHAnsi"/>
          <w:i w:val="0"/>
          <w:color w:val="auto"/>
          <w:sz w:val="22"/>
          <w:szCs w:val="22"/>
        </w:rPr>
        <w:t>workpaper</w:t>
      </w:r>
      <w:proofErr w:type="spellEnd"/>
      <w:r w:rsidRPr="00082DF3">
        <w:rPr>
          <w:rFonts w:asciiTheme="minorHAnsi" w:hAnsiTheme="minorHAnsi" w:cstheme="minorHAnsi"/>
          <w:i w:val="0"/>
          <w:color w:val="auto"/>
          <w:sz w:val="22"/>
          <w:szCs w:val="22"/>
        </w:rPr>
        <w:t xml:space="preserve"> and application types used by </w:t>
      </w:r>
      <w:r>
        <w:rPr>
          <w:rFonts w:asciiTheme="minorHAnsi" w:hAnsiTheme="minorHAnsi" w:cstheme="minorHAnsi"/>
          <w:i w:val="0"/>
          <w:color w:val="auto"/>
          <w:sz w:val="22"/>
          <w:szCs w:val="22"/>
        </w:rPr>
        <w:t xml:space="preserve">the DEER </w:t>
      </w:r>
      <w:proofErr w:type="spellStart"/>
      <w:r w:rsidRPr="00082DF3">
        <w:rPr>
          <w:rFonts w:asciiTheme="minorHAnsi" w:hAnsiTheme="minorHAnsi" w:cstheme="minorHAnsi"/>
          <w:i w:val="0"/>
          <w:color w:val="auto"/>
          <w:sz w:val="22"/>
          <w:szCs w:val="22"/>
        </w:rPr>
        <w:t>READi</w:t>
      </w:r>
      <w:proofErr w:type="spellEnd"/>
      <w:r>
        <w:rPr>
          <w:rFonts w:asciiTheme="minorHAnsi" w:hAnsiTheme="minorHAnsi" w:cstheme="minorHAnsi"/>
          <w:i w:val="0"/>
          <w:color w:val="auto"/>
          <w:sz w:val="22"/>
          <w:szCs w:val="22"/>
        </w:rPr>
        <w:t xml:space="preserve"> tool</w:t>
      </w:r>
      <w:r w:rsidRPr="00082DF3">
        <w:rPr>
          <w:rFonts w:asciiTheme="minorHAnsi" w:hAnsiTheme="minorHAnsi" w:cstheme="minorHAnsi"/>
          <w:i w:val="0"/>
          <w:color w:val="auto"/>
          <w:sz w:val="22"/>
          <w:szCs w:val="22"/>
        </w:rPr>
        <w:t>.</w:t>
      </w:r>
    </w:p>
    <w:p w:rsidR="00E16609" w:rsidRDefault="00824F1C" w:rsidP="00824F1C">
      <w:pPr>
        <w:pStyle w:val="Heading2"/>
        <w:rPr>
          <w:rFonts w:asciiTheme="minorHAnsi" w:hAnsiTheme="minorHAnsi" w:cstheme="minorHAnsi"/>
        </w:rPr>
      </w:pPr>
      <w:bookmarkStart w:id="8" w:name="_Toc214003084"/>
      <w:proofErr w:type="gramStart"/>
      <w:r w:rsidRPr="00697868">
        <w:rPr>
          <w:rFonts w:asciiTheme="minorHAnsi" w:hAnsiTheme="minorHAnsi" w:cstheme="minorHAnsi"/>
        </w:rPr>
        <w:t>1.</w:t>
      </w:r>
      <w:r w:rsidR="00697868">
        <w:rPr>
          <w:rFonts w:asciiTheme="minorHAnsi" w:hAnsiTheme="minorHAnsi" w:cstheme="minorHAnsi"/>
        </w:rPr>
        <w:t>4</w:t>
      </w:r>
      <w:r w:rsidRPr="00697868">
        <w:rPr>
          <w:rFonts w:asciiTheme="minorHAnsi" w:hAnsiTheme="minorHAnsi" w:cstheme="minorHAnsi"/>
        </w:rPr>
        <w:t xml:space="preserve">  </w:t>
      </w:r>
      <w:r w:rsidR="00697868">
        <w:rPr>
          <w:rFonts w:asciiTheme="minorHAnsi" w:hAnsiTheme="minorHAnsi" w:cstheme="minorHAnsi"/>
        </w:rPr>
        <w:t>Measure</w:t>
      </w:r>
      <w:proofErr w:type="gramEnd"/>
      <w:r w:rsidR="00697868">
        <w:rPr>
          <w:rFonts w:asciiTheme="minorHAnsi" w:hAnsiTheme="minorHAnsi" w:cstheme="minorHAnsi"/>
        </w:rPr>
        <w:t xml:space="preserve"> and Base Case</w:t>
      </w:r>
      <w:r w:rsidR="00E16609" w:rsidRPr="00697868">
        <w:rPr>
          <w:rFonts w:asciiTheme="minorHAnsi" w:hAnsiTheme="minorHAnsi" w:cstheme="minorHAnsi"/>
        </w:rPr>
        <w:t xml:space="preserve"> </w:t>
      </w:r>
      <w:r w:rsidR="00F06CCF">
        <w:rPr>
          <w:rFonts w:asciiTheme="minorHAnsi" w:hAnsiTheme="minorHAnsi" w:cstheme="minorHAnsi"/>
        </w:rPr>
        <w:t>Cost Effectiveness Data</w:t>
      </w:r>
      <w:bookmarkEnd w:id="8"/>
    </w:p>
    <w:p w:rsidR="00F06CCF" w:rsidRPr="00F06CCF" w:rsidRDefault="00F06CCF" w:rsidP="00F06CCF">
      <w:pPr>
        <w:pStyle w:val="Heading3"/>
        <w:rPr>
          <w:rFonts w:asciiTheme="minorHAnsi" w:hAnsiTheme="minorHAnsi"/>
        </w:rPr>
      </w:pPr>
      <w:r w:rsidRPr="00F06CCF">
        <w:rPr>
          <w:rFonts w:asciiTheme="minorHAnsi" w:hAnsiTheme="minorHAnsi"/>
        </w:rPr>
        <w:t>1.4.1</w:t>
      </w:r>
      <w:r>
        <w:rPr>
          <w:rFonts w:asciiTheme="minorHAnsi" w:hAnsiTheme="minorHAnsi"/>
        </w:rPr>
        <w:t xml:space="preserve"> DEER Measure and Base Case Analysis</w:t>
      </w:r>
    </w:p>
    <w:p w:rsidR="00AA2666" w:rsidRPr="00AA2666" w:rsidRDefault="00AA2666" w:rsidP="00E16609">
      <w:pPr>
        <w:pStyle w:val="Reminder"/>
        <w:rPr>
          <w:rFonts w:asciiTheme="minorHAnsi" w:hAnsiTheme="minorHAnsi" w:cstheme="minorHAnsi"/>
          <w:i w:val="0"/>
          <w:color w:val="auto"/>
          <w:sz w:val="22"/>
          <w:szCs w:val="22"/>
        </w:rPr>
      </w:pPr>
      <w:r w:rsidRPr="00AA2666">
        <w:rPr>
          <w:rFonts w:asciiTheme="minorHAnsi" w:hAnsiTheme="minorHAnsi" w:cstheme="minorHAnsi"/>
          <w:i w:val="0"/>
          <w:color w:val="auto"/>
          <w:sz w:val="22"/>
          <w:szCs w:val="22"/>
        </w:rPr>
        <w:t>This specific measure is included in the DEER 201</w:t>
      </w:r>
      <w:r>
        <w:rPr>
          <w:rFonts w:asciiTheme="minorHAnsi" w:hAnsiTheme="minorHAnsi" w:cstheme="minorHAnsi"/>
          <w:i w:val="0"/>
          <w:color w:val="auto"/>
          <w:sz w:val="22"/>
          <w:szCs w:val="22"/>
        </w:rPr>
        <w:t>4 READi tool, v.2.0.1</w:t>
      </w:r>
      <w:r w:rsidRPr="00AA2666">
        <w:rPr>
          <w:rFonts w:asciiTheme="minorHAnsi" w:hAnsiTheme="minorHAnsi" w:cstheme="minorHAnsi"/>
          <w:i w:val="0"/>
          <w:color w:val="auto"/>
          <w:sz w:val="22"/>
          <w:szCs w:val="22"/>
        </w:rPr>
        <w:t>. Therefore, DEER data was used as a basis for establishing electrical energy savings and demand reductions, as well as natural gas energy savings. DEER 201</w:t>
      </w:r>
      <w:r>
        <w:rPr>
          <w:rFonts w:asciiTheme="minorHAnsi" w:hAnsiTheme="minorHAnsi" w:cstheme="minorHAnsi"/>
          <w:i w:val="0"/>
          <w:color w:val="auto"/>
          <w:sz w:val="22"/>
          <w:szCs w:val="22"/>
        </w:rPr>
        <w:t>4</w:t>
      </w:r>
      <w:r w:rsidRPr="00AA2666">
        <w:rPr>
          <w:rFonts w:asciiTheme="minorHAnsi" w:hAnsiTheme="minorHAnsi" w:cstheme="minorHAnsi"/>
          <w:i w:val="0"/>
          <w:color w:val="auto"/>
          <w:sz w:val="22"/>
          <w:szCs w:val="22"/>
        </w:rPr>
        <w:t xml:space="preserve"> data was also used to obtain the effective useful life (EUL) and cost for this measure. Specifically, DEER measure ID D03-407 was used. </w:t>
      </w:r>
    </w:p>
    <w:p w:rsidR="00AA2666" w:rsidRDefault="00AA2666" w:rsidP="00E16609">
      <w:pPr>
        <w:pStyle w:val="Reminder"/>
        <w:rPr>
          <w:rFonts w:asciiTheme="minorHAnsi" w:hAnsiTheme="minorHAnsi" w:cstheme="minorHAnsi"/>
          <w:sz w:val="22"/>
          <w:szCs w:val="22"/>
        </w:rPr>
      </w:pPr>
    </w:p>
    <w:p w:rsidR="00082DF3" w:rsidRDefault="00082DF3">
      <w:pPr>
        <w:spacing w:after="200" w:line="276" w:lineRule="auto"/>
        <w:rPr>
          <w:rFonts w:asciiTheme="minorHAnsi" w:hAnsiTheme="minorHAnsi" w:cstheme="minorHAnsi"/>
          <w:b/>
          <w:bCs/>
          <w:sz w:val="22"/>
          <w:szCs w:val="22"/>
        </w:rPr>
      </w:pPr>
      <w:r>
        <w:rPr>
          <w:rFonts w:asciiTheme="minorHAnsi" w:hAnsiTheme="minorHAnsi" w:cstheme="minorHAnsi"/>
          <w:sz w:val="22"/>
          <w:szCs w:val="22"/>
        </w:rPr>
        <w:br w:type="page"/>
      </w:r>
    </w:p>
    <w:p w:rsidR="009E1CDE" w:rsidRPr="00697868" w:rsidRDefault="009E1CDE" w:rsidP="009E1CDE">
      <w:pPr>
        <w:pStyle w:val="Caption"/>
        <w:keepNext/>
        <w:jc w:val="center"/>
        <w:rPr>
          <w:rFonts w:asciiTheme="minorHAnsi" w:hAnsiTheme="minorHAnsi" w:cstheme="minorHAnsi"/>
          <w:sz w:val="22"/>
          <w:szCs w:val="22"/>
        </w:rPr>
      </w:pPr>
      <w:r w:rsidRPr="00697868">
        <w:rPr>
          <w:rFonts w:asciiTheme="minorHAnsi" w:hAnsiTheme="minorHAnsi" w:cstheme="minorHAnsi"/>
          <w:sz w:val="22"/>
          <w:szCs w:val="22"/>
        </w:rPr>
        <w:lastRenderedPageBreak/>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847A91">
        <w:rPr>
          <w:rFonts w:asciiTheme="minorHAnsi" w:hAnsiTheme="minorHAnsi" w:cstheme="minorHAnsi"/>
          <w:noProof/>
          <w:sz w:val="22"/>
          <w:szCs w:val="22"/>
        </w:rPr>
        <w:t>2</w:t>
      </w:r>
      <w:r w:rsidRPr="00697868">
        <w:rPr>
          <w:rFonts w:asciiTheme="minorHAnsi" w:hAnsiTheme="minorHAnsi" w:cstheme="minorHAnsi"/>
          <w:sz w:val="22"/>
          <w:szCs w:val="22"/>
        </w:rPr>
        <w:fldChar w:fldCharType="end"/>
      </w:r>
      <w:r w:rsidRPr="00697868">
        <w:rPr>
          <w:rFonts w:asciiTheme="minorHAnsi" w:hAnsiTheme="minorHAnsi" w:cstheme="minorHAnsi"/>
          <w:sz w:val="22"/>
          <w:szCs w:val="22"/>
        </w:rPr>
        <w:t xml:space="preserve"> DEER Difference </w:t>
      </w:r>
      <w:r w:rsidR="00E81F3E" w:rsidRPr="00697868">
        <w:rPr>
          <w:rFonts w:asciiTheme="minorHAnsi" w:hAnsiTheme="minorHAnsi" w:cstheme="minorHAnsi"/>
          <w:sz w:val="22"/>
          <w:szCs w:val="22"/>
        </w:rPr>
        <w:t>Summary</w:t>
      </w:r>
    </w:p>
    <w:tbl>
      <w:tblPr>
        <w:tblStyle w:val="TableContemporary"/>
        <w:tblW w:w="0" w:type="auto"/>
        <w:jc w:val="center"/>
        <w:tblInd w:w="-4618" w:type="dxa"/>
        <w:tblLook w:val="04A0" w:firstRow="1" w:lastRow="0" w:firstColumn="1" w:lastColumn="0" w:noHBand="0" w:noVBand="1"/>
      </w:tblPr>
      <w:tblGrid>
        <w:gridCol w:w="3173"/>
        <w:gridCol w:w="5513"/>
      </w:tblGrid>
      <w:tr w:rsidR="006D2809" w:rsidRPr="00697868" w:rsidTr="0088603B">
        <w:trPr>
          <w:cnfStyle w:val="100000000000" w:firstRow="1" w:lastRow="0" w:firstColumn="0" w:lastColumn="0" w:oddVBand="0" w:evenVBand="0" w:oddHBand="0" w:evenHBand="0" w:firstRowFirstColumn="0" w:firstRowLastColumn="0" w:lastRowFirstColumn="0" w:lastRowLastColumn="0"/>
          <w:jc w:val="center"/>
        </w:trPr>
        <w:tc>
          <w:tcPr>
            <w:tcW w:w="8686" w:type="dxa"/>
            <w:gridSpan w:val="2"/>
            <w:vAlign w:val="center"/>
          </w:tcPr>
          <w:p w:rsidR="006D2809" w:rsidRPr="00697868" w:rsidRDefault="006D2809" w:rsidP="00602799">
            <w:pPr>
              <w:jc w:val="center"/>
              <w:rPr>
                <w:rFonts w:asciiTheme="minorHAnsi" w:hAnsiTheme="minorHAnsi" w:cstheme="minorHAnsi"/>
                <w:color w:val="FF0000"/>
                <w:sz w:val="20"/>
                <w:szCs w:val="20"/>
              </w:rPr>
            </w:pPr>
            <w:r w:rsidRPr="00697868">
              <w:rPr>
                <w:rFonts w:asciiTheme="minorHAnsi" w:hAnsiTheme="minorHAnsi" w:cstheme="minorHAnsi"/>
                <w:sz w:val="20"/>
                <w:szCs w:val="20"/>
              </w:rPr>
              <w:t>DEER Difference Summary Table</w:t>
            </w:r>
          </w:p>
        </w:tc>
      </w:tr>
      <w:tr w:rsidR="00AA2666" w:rsidRPr="00697868"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AA2666" w:rsidRPr="00697868" w:rsidRDefault="00AA2666" w:rsidP="00447CE5">
            <w:pPr>
              <w:rPr>
                <w:rFonts w:asciiTheme="minorHAnsi" w:hAnsiTheme="minorHAnsi" w:cstheme="minorHAnsi"/>
                <w:sz w:val="20"/>
                <w:szCs w:val="20"/>
              </w:rPr>
            </w:pPr>
            <w:r w:rsidRPr="00697868">
              <w:rPr>
                <w:rFonts w:asciiTheme="minorHAnsi" w:hAnsiTheme="minorHAnsi" w:cstheme="minorHAnsi"/>
                <w:sz w:val="20"/>
                <w:szCs w:val="20"/>
              </w:rPr>
              <w:t>Modified DEER Methodology</w:t>
            </w:r>
          </w:p>
        </w:tc>
        <w:tc>
          <w:tcPr>
            <w:tcW w:w="5513" w:type="dxa"/>
            <w:vAlign w:val="center"/>
          </w:tcPr>
          <w:p w:rsidR="00AA2666" w:rsidRPr="00C0395A" w:rsidRDefault="00AA2666" w:rsidP="00A92041">
            <w:pPr>
              <w:jc w:val="center"/>
              <w:rPr>
                <w:rFonts w:asciiTheme="minorHAnsi" w:hAnsiTheme="minorHAnsi" w:cstheme="minorHAnsi"/>
                <w:b/>
                <w:sz w:val="20"/>
                <w:szCs w:val="20"/>
              </w:rPr>
            </w:pPr>
            <w:r w:rsidRPr="00C0395A">
              <w:rPr>
                <w:rFonts w:asciiTheme="minorHAnsi" w:hAnsiTheme="minorHAnsi" w:cstheme="minorHAnsi"/>
                <w:sz w:val="20"/>
                <w:szCs w:val="20"/>
              </w:rPr>
              <w:t>Yes</w:t>
            </w:r>
          </w:p>
        </w:tc>
      </w:tr>
      <w:tr w:rsidR="00AA2666" w:rsidRPr="00697868" w:rsidTr="00E81F3E">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AA2666" w:rsidRPr="00697868" w:rsidRDefault="00AA2666" w:rsidP="00E81F3E">
            <w:pPr>
              <w:rPr>
                <w:rFonts w:asciiTheme="minorHAnsi" w:hAnsiTheme="minorHAnsi" w:cstheme="minorHAnsi"/>
                <w:sz w:val="20"/>
                <w:szCs w:val="20"/>
              </w:rPr>
            </w:pPr>
            <w:r w:rsidRPr="00697868">
              <w:rPr>
                <w:rFonts w:asciiTheme="minorHAnsi" w:hAnsiTheme="minorHAnsi" w:cstheme="minorHAnsi"/>
                <w:sz w:val="20"/>
                <w:szCs w:val="20"/>
              </w:rPr>
              <w:t>Scaled DEER Measure</w:t>
            </w:r>
          </w:p>
        </w:tc>
        <w:tc>
          <w:tcPr>
            <w:tcW w:w="5513" w:type="dxa"/>
            <w:vAlign w:val="center"/>
          </w:tcPr>
          <w:p w:rsidR="00AA2666" w:rsidRPr="00C0395A" w:rsidRDefault="00AA2666" w:rsidP="00A92041">
            <w:pPr>
              <w:jc w:val="center"/>
              <w:rPr>
                <w:rFonts w:asciiTheme="minorHAnsi" w:hAnsiTheme="minorHAnsi" w:cstheme="minorHAnsi"/>
                <w:sz w:val="20"/>
                <w:szCs w:val="20"/>
              </w:rPr>
            </w:pPr>
            <w:r>
              <w:rPr>
                <w:rFonts w:asciiTheme="minorHAnsi" w:hAnsiTheme="minorHAnsi" w:cstheme="minorHAnsi"/>
                <w:sz w:val="20"/>
                <w:szCs w:val="20"/>
              </w:rPr>
              <w:t>No</w:t>
            </w:r>
          </w:p>
        </w:tc>
      </w:tr>
      <w:tr w:rsidR="00AA2666" w:rsidRPr="00697868"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AA2666" w:rsidRPr="00697868" w:rsidRDefault="00AA2666" w:rsidP="00E81F3E">
            <w:pPr>
              <w:rPr>
                <w:rFonts w:asciiTheme="minorHAnsi" w:hAnsiTheme="minorHAnsi" w:cstheme="minorHAnsi"/>
                <w:sz w:val="20"/>
                <w:szCs w:val="20"/>
              </w:rPr>
            </w:pPr>
            <w:r w:rsidRPr="00697868">
              <w:rPr>
                <w:rFonts w:asciiTheme="minorHAnsi" w:hAnsiTheme="minorHAnsi" w:cstheme="minorHAnsi"/>
                <w:sz w:val="20"/>
                <w:szCs w:val="20"/>
              </w:rPr>
              <w:t>DEER Building Prototypes Used</w:t>
            </w:r>
          </w:p>
        </w:tc>
        <w:tc>
          <w:tcPr>
            <w:tcW w:w="5513" w:type="dxa"/>
            <w:vAlign w:val="center"/>
          </w:tcPr>
          <w:p w:rsidR="00AA2666" w:rsidRPr="00C0395A" w:rsidRDefault="00AA2666" w:rsidP="00A92041">
            <w:pPr>
              <w:jc w:val="center"/>
              <w:rPr>
                <w:rFonts w:asciiTheme="minorHAnsi" w:hAnsiTheme="minorHAnsi" w:cstheme="minorHAnsi"/>
                <w:sz w:val="20"/>
                <w:szCs w:val="20"/>
              </w:rPr>
            </w:pPr>
            <w:r w:rsidRPr="00C0395A">
              <w:rPr>
                <w:rFonts w:asciiTheme="minorHAnsi" w:hAnsiTheme="minorHAnsi" w:cstheme="minorHAnsi"/>
                <w:sz w:val="20"/>
                <w:szCs w:val="20"/>
              </w:rPr>
              <w:t>Yes</w:t>
            </w:r>
          </w:p>
        </w:tc>
      </w:tr>
      <w:tr w:rsidR="00AA2666" w:rsidRPr="00697868" w:rsidTr="00E81F3E">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AA2666" w:rsidRPr="00697868" w:rsidRDefault="00AA2666" w:rsidP="00E81F3E">
            <w:pPr>
              <w:rPr>
                <w:rFonts w:asciiTheme="minorHAnsi" w:hAnsiTheme="minorHAnsi" w:cstheme="minorHAnsi"/>
                <w:sz w:val="20"/>
                <w:szCs w:val="20"/>
              </w:rPr>
            </w:pPr>
            <w:r w:rsidRPr="00697868">
              <w:rPr>
                <w:rFonts w:asciiTheme="minorHAnsi" w:hAnsiTheme="minorHAnsi" w:cstheme="minorHAnsi"/>
                <w:sz w:val="20"/>
                <w:szCs w:val="20"/>
              </w:rPr>
              <w:t>Deviation from DEER</w:t>
            </w:r>
          </w:p>
        </w:tc>
        <w:tc>
          <w:tcPr>
            <w:tcW w:w="5513" w:type="dxa"/>
            <w:vAlign w:val="center"/>
          </w:tcPr>
          <w:p w:rsidR="00AA2666" w:rsidRPr="00C0395A" w:rsidRDefault="00AB4649" w:rsidP="00A92041">
            <w:pPr>
              <w:jc w:val="center"/>
              <w:rPr>
                <w:rFonts w:asciiTheme="minorHAnsi" w:hAnsiTheme="minorHAnsi" w:cstheme="minorHAnsi"/>
                <w:sz w:val="20"/>
                <w:szCs w:val="20"/>
              </w:rPr>
            </w:pPr>
            <w:r>
              <w:rPr>
                <w:rFonts w:asciiTheme="minorHAnsi" w:hAnsiTheme="minorHAnsi" w:cstheme="minorHAnsi"/>
                <w:sz w:val="20"/>
                <w:szCs w:val="20"/>
              </w:rPr>
              <w:t>Weighting of Savings using DEER normalizing units to get per Home values for PG&amp;E.</w:t>
            </w:r>
          </w:p>
        </w:tc>
      </w:tr>
      <w:tr w:rsidR="00AA2666" w:rsidRPr="00697868"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AA2666" w:rsidRPr="00697868" w:rsidRDefault="00AA2666" w:rsidP="00E81F3E">
            <w:pPr>
              <w:rPr>
                <w:rFonts w:asciiTheme="minorHAnsi" w:hAnsiTheme="minorHAnsi" w:cstheme="minorHAnsi"/>
                <w:sz w:val="20"/>
                <w:szCs w:val="20"/>
              </w:rPr>
            </w:pPr>
            <w:r w:rsidRPr="00697868">
              <w:rPr>
                <w:rFonts w:asciiTheme="minorHAnsi" w:hAnsiTheme="minorHAnsi" w:cstheme="minorHAnsi"/>
                <w:sz w:val="20"/>
                <w:szCs w:val="20"/>
              </w:rPr>
              <w:t>DEER Version</w:t>
            </w:r>
          </w:p>
        </w:tc>
        <w:tc>
          <w:tcPr>
            <w:tcW w:w="5513" w:type="dxa"/>
            <w:vAlign w:val="center"/>
          </w:tcPr>
          <w:p w:rsidR="00AA2666" w:rsidRPr="00C0395A" w:rsidRDefault="00AA2666" w:rsidP="00A92041">
            <w:pPr>
              <w:jc w:val="center"/>
              <w:rPr>
                <w:rFonts w:asciiTheme="minorHAnsi" w:hAnsiTheme="minorHAnsi" w:cstheme="minorHAnsi"/>
                <w:sz w:val="20"/>
                <w:szCs w:val="20"/>
              </w:rPr>
            </w:pPr>
            <w:r w:rsidRPr="00C0395A">
              <w:rPr>
                <w:rFonts w:asciiTheme="minorHAnsi" w:hAnsiTheme="minorHAnsi" w:cstheme="minorHAnsi"/>
                <w:sz w:val="20"/>
                <w:szCs w:val="20"/>
              </w:rPr>
              <w:t xml:space="preserve">DEER </w:t>
            </w:r>
            <w:r>
              <w:rPr>
                <w:rFonts w:asciiTheme="minorHAnsi" w:hAnsiTheme="minorHAnsi" w:cstheme="minorHAnsi"/>
                <w:sz w:val="20"/>
                <w:szCs w:val="20"/>
              </w:rPr>
              <w:t>2014</w:t>
            </w:r>
          </w:p>
        </w:tc>
      </w:tr>
      <w:tr w:rsidR="00AA2666" w:rsidRPr="00697868" w:rsidTr="00E81F3E">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AA2666" w:rsidRPr="00697868" w:rsidRDefault="00AA2666" w:rsidP="00E81F3E">
            <w:pPr>
              <w:rPr>
                <w:rFonts w:asciiTheme="minorHAnsi" w:hAnsiTheme="minorHAnsi" w:cstheme="minorHAnsi"/>
                <w:sz w:val="20"/>
                <w:szCs w:val="20"/>
              </w:rPr>
            </w:pPr>
            <w:r w:rsidRPr="00697868">
              <w:rPr>
                <w:rFonts w:asciiTheme="minorHAnsi" w:hAnsiTheme="minorHAnsi" w:cstheme="minorHAnsi"/>
                <w:sz w:val="20"/>
                <w:szCs w:val="20"/>
              </w:rPr>
              <w:t>DEER Run ID and Measure Name (Sample)</w:t>
            </w:r>
          </w:p>
        </w:tc>
        <w:tc>
          <w:tcPr>
            <w:tcW w:w="5513" w:type="dxa"/>
            <w:vAlign w:val="center"/>
          </w:tcPr>
          <w:p w:rsidR="00AA2666" w:rsidRPr="00C0395A" w:rsidRDefault="00AA2666" w:rsidP="00A92041">
            <w:pPr>
              <w:jc w:val="center"/>
              <w:rPr>
                <w:rFonts w:asciiTheme="minorHAnsi" w:hAnsiTheme="minorHAnsi" w:cstheme="minorHAnsi"/>
                <w:sz w:val="20"/>
                <w:szCs w:val="20"/>
              </w:rPr>
            </w:pPr>
            <w:r>
              <w:rPr>
                <w:rFonts w:asciiTheme="minorHAnsi" w:hAnsiTheme="minorHAnsi" w:cstheme="minorHAnsi"/>
                <w:sz w:val="20"/>
                <w:szCs w:val="20"/>
              </w:rPr>
              <w:t>D03-407</w:t>
            </w:r>
            <w:r w:rsidRPr="00C0395A">
              <w:rPr>
                <w:rFonts w:asciiTheme="minorHAnsi" w:hAnsiTheme="minorHAnsi" w:cstheme="minorHAnsi"/>
                <w:sz w:val="20"/>
                <w:szCs w:val="20"/>
              </w:rPr>
              <w:t xml:space="preserve"> ; Direct-Indirect Evaporative Cooler</w:t>
            </w:r>
          </w:p>
        </w:tc>
      </w:tr>
    </w:tbl>
    <w:p w:rsidR="000968C6" w:rsidRDefault="000968C6" w:rsidP="000968C6">
      <w:pPr>
        <w:pStyle w:val="Reminders"/>
        <w:rPr>
          <w:rFonts w:asciiTheme="minorHAnsi" w:hAnsiTheme="minorHAnsi" w:cstheme="minorHAnsi"/>
          <w:sz w:val="22"/>
          <w:szCs w:val="22"/>
        </w:rPr>
      </w:pPr>
      <w:bookmarkStart w:id="9" w:name="_Toc214003087"/>
    </w:p>
    <w:p w:rsidR="000968C6" w:rsidRDefault="000968C6" w:rsidP="000968C6">
      <w:pPr>
        <w:pStyle w:val="Reminders"/>
        <w:rPr>
          <w:rFonts w:asciiTheme="minorHAnsi" w:hAnsiTheme="minorHAnsi" w:cstheme="minorHAnsi"/>
          <w:b/>
          <w:i w:val="0"/>
          <w:color w:val="auto"/>
          <w:sz w:val="22"/>
          <w:szCs w:val="22"/>
        </w:rPr>
      </w:pPr>
      <w:r w:rsidRPr="000968C6">
        <w:rPr>
          <w:rFonts w:asciiTheme="minorHAnsi" w:hAnsiTheme="minorHAnsi" w:cstheme="minorHAnsi"/>
          <w:b/>
          <w:i w:val="0"/>
          <w:color w:val="auto"/>
          <w:sz w:val="22"/>
          <w:szCs w:val="22"/>
        </w:rPr>
        <w:t>Net to Gross</w:t>
      </w:r>
    </w:p>
    <w:p w:rsidR="000968C6" w:rsidRPr="00697868" w:rsidRDefault="000968C6" w:rsidP="000968C6">
      <w:pPr>
        <w:rPr>
          <w:rFonts w:asciiTheme="minorHAnsi" w:hAnsiTheme="minorHAnsi" w:cstheme="minorHAnsi"/>
          <w:sz w:val="22"/>
          <w:szCs w:val="22"/>
        </w:rPr>
      </w:pPr>
      <w:r w:rsidRPr="00697868">
        <w:rPr>
          <w:rFonts w:asciiTheme="minorHAnsi" w:hAnsiTheme="minorHAnsi" w:cstheme="minorHAnsi"/>
          <w:sz w:val="22"/>
          <w:szCs w:val="22"/>
        </w:rPr>
        <w:t xml:space="preserve">The NTG value was obtained from the “DEER2011_NTGR_2012-05-16.xls” on the DEER website as required by Version </w:t>
      </w:r>
      <w:r w:rsidR="006B4A48">
        <w:rPr>
          <w:rFonts w:asciiTheme="minorHAnsi" w:hAnsiTheme="minorHAnsi" w:cstheme="minorHAnsi"/>
          <w:sz w:val="22"/>
          <w:szCs w:val="22"/>
        </w:rPr>
        <w:t>5</w:t>
      </w:r>
      <w:r w:rsidRPr="00697868">
        <w:rPr>
          <w:rFonts w:asciiTheme="minorHAnsi" w:hAnsiTheme="minorHAnsi" w:cstheme="minorHAnsi"/>
          <w:sz w:val="22"/>
          <w:szCs w:val="22"/>
        </w:rPr>
        <w:t xml:space="preserve"> of the California Public Utilities Commission (CPUC) Energy Efficiency Policy Manual </w:t>
      </w:r>
      <w:r w:rsidR="009138A0">
        <w:rPr>
          <w:rFonts w:asciiTheme="minorHAnsi" w:hAnsiTheme="minorHAnsi" w:cstheme="minorHAnsi"/>
          <w:sz w:val="22"/>
          <w:szCs w:val="22"/>
        </w:rPr>
        <w:t>[351]</w:t>
      </w:r>
      <w:r w:rsidRPr="00697868">
        <w:rPr>
          <w:rFonts w:asciiTheme="minorHAnsi" w:hAnsiTheme="minorHAnsi" w:cstheme="minorHAnsi"/>
          <w:sz w:val="22"/>
          <w:szCs w:val="22"/>
        </w:rPr>
        <w:t>. The relevant NT</w:t>
      </w:r>
      <w:r w:rsidR="001F2F34">
        <w:rPr>
          <w:rFonts w:asciiTheme="minorHAnsi" w:hAnsiTheme="minorHAnsi" w:cstheme="minorHAnsi"/>
          <w:sz w:val="22"/>
          <w:szCs w:val="22"/>
        </w:rPr>
        <w:t xml:space="preserve">GR for this measure is shown in </w:t>
      </w:r>
      <w:r w:rsidR="001F2F34">
        <w:rPr>
          <w:rFonts w:asciiTheme="minorHAnsi" w:hAnsiTheme="minorHAnsi" w:cstheme="minorHAnsi"/>
          <w:sz w:val="22"/>
          <w:szCs w:val="22"/>
        </w:rPr>
        <w:fldChar w:fldCharType="begin"/>
      </w:r>
      <w:r w:rsidR="001F2F34">
        <w:rPr>
          <w:rFonts w:asciiTheme="minorHAnsi" w:hAnsiTheme="minorHAnsi" w:cstheme="minorHAnsi"/>
          <w:sz w:val="22"/>
          <w:szCs w:val="22"/>
        </w:rPr>
        <w:instrText xml:space="preserve"> REF _Ref377904128 \h </w:instrText>
      </w:r>
      <w:r w:rsidR="001F2F34">
        <w:rPr>
          <w:rFonts w:asciiTheme="minorHAnsi" w:hAnsiTheme="minorHAnsi" w:cstheme="minorHAnsi"/>
          <w:sz w:val="22"/>
          <w:szCs w:val="22"/>
        </w:rPr>
      </w:r>
      <w:r w:rsidR="001F2F34">
        <w:rPr>
          <w:rFonts w:asciiTheme="minorHAnsi" w:hAnsiTheme="minorHAnsi" w:cstheme="minorHAnsi"/>
          <w:sz w:val="22"/>
          <w:szCs w:val="22"/>
        </w:rPr>
        <w:fldChar w:fldCharType="separate"/>
      </w:r>
      <w:r w:rsidR="001F2F34" w:rsidRPr="00697868">
        <w:rPr>
          <w:rFonts w:asciiTheme="minorHAnsi" w:hAnsiTheme="minorHAnsi" w:cstheme="minorHAnsi"/>
          <w:sz w:val="22"/>
          <w:szCs w:val="22"/>
        </w:rPr>
        <w:t xml:space="preserve">Table </w:t>
      </w:r>
      <w:r w:rsidR="001F2F34">
        <w:rPr>
          <w:rFonts w:asciiTheme="minorHAnsi" w:hAnsiTheme="minorHAnsi" w:cstheme="minorHAnsi"/>
          <w:noProof/>
          <w:sz w:val="22"/>
          <w:szCs w:val="22"/>
        </w:rPr>
        <w:t>3</w:t>
      </w:r>
      <w:r w:rsidR="001F2F34">
        <w:rPr>
          <w:rFonts w:asciiTheme="minorHAnsi" w:hAnsiTheme="minorHAnsi" w:cstheme="minorHAnsi"/>
          <w:sz w:val="22"/>
          <w:szCs w:val="22"/>
        </w:rPr>
        <w:fldChar w:fldCharType="end"/>
      </w:r>
      <w:r w:rsidR="006B4A48">
        <w:rPr>
          <w:rFonts w:asciiTheme="minorHAnsi" w:hAnsiTheme="minorHAnsi" w:cstheme="minorHAnsi"/>
          <w:sz w:val="22"/>
          <w:szCs w:val="22"/>
        </w:rPr>
        <w:t xml:space="preserve"> </w:t>
      </w:r>
      <w:r w:rsidRPr="00697868">
        <w:rPr>
          <w:rFonts w:asciiTheme="minorHAnsi" w:hAnsiTheme="minorHAnsi" w:cstheme="minorHAnsi"/>
          <w:sz w:val="22"/>
          <w:szCs w:val="22"/>
        </w:rPr>
        <w:t>below.</w:t>
      </w:r>
    </w:p>
    <w:p w:rsidR="000968C6" w:rsidRPr="00697868" w:rsidRDefault="000968C6" w:rsidP="000968C6">
      <w:pPr>
        <w:rPr>
          <w:rFonts w:asciiTheme="minorHAnsi" w:hAnsiTheme="minorHAnsi" w:cstheme="minorHAnsi"/>
          <w:sz w:val="22"/>
          <w:szCs w:val="22"/>
        </w:rPr>
      </w:pPr>
    </w:p>
    <w:p w:rsidR="000968C6" w:rsidRPr="00697868" w:rsidRDefault="000968C6" w:rsidP="000968C6">
      <w:pPr>
        <w:pStyle w:val="Caption"/>
        <w:jc w:val="center"/>
        <w:rPr>
          <w:rFonts w:asciiTheme="minorHAnsi" w:hAnsiTheme="minorHAnsi" w:cstheme="minorHAnsi"/>
          <w:sz w:val="22"/>
          <w:szCs w:val="22"/>
        </w:rPr>
      </w:pPr>
      <w:bookmarkStart w:id="10" w:name="_Ref377904128"/>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1F2F34">
        <w:rPr>
          <w:rFonts w:asciiTheme="minorHAnsi" w:hAnsiTheme="minorHAnsi" w:cstheme="minorHAnsi"/>
          <w:noProof/>
          <w:sz w:val="22"/>
          <w:szCs w:val="22"/>
        </w:rPr>
        <w:t>3</w:t>
      </w:r>
      <w:r w:rsidRPr="00697868">
        <w:rPr>
          <w:rFonts w:asciiTheme="minorHAnsi" w:hAnsiTheme="minorHAnsi" w:cstheme="minorHAnsi"/>
          <w:sz w:val="22"/>
          <w:szCs w:val="22"/>
        </w:rPr>
        <w:fldChar w:fldCharType="end"/>
      </w:r>
      <w:bookmarkEnd w:id="10"/>
      <w:r w:rsidRPr="00697868">
        <w:rPr>
          <w:rFonts w:asciiTheme="minorHAnsi" w:hAnsiTheme="minorHAnsi" w:cstheme="minorHAnsi"/>
          <w:sz w:val="22"/>
          <w:szCs w:val="22"/>
        </w:rPr>
        <w:t xml:space="preserve"> Net-to-Gross Ratio</w:t>
      </w:r>
    </w:p>
    <w:tbl>
      <w:tblPr>
        <w:tblStyle w:val="TableContemporary"/>
        <w:tblW w:w="4381" w:type="pct"/>
        <w:jc w:val="center"/>
        <w:tblInd w:w="1186" w:type="dxa"/>
        <w:tblLook w:val="01E0" w:firstRow="1" w:lastRow="1" w:firstColumn="1" w:lastColumn="1" w:noHBand="0" w:noVBand="0"/>
      </w:tblPr>
      <w:tblGrid>
        <w:gridCol w:w="1439"/>
        <w:gridCol w:w="1804"/>
        <w:gridCol w:w="1398"/>
        <w:gridCol w:w="1717"/>
        <w:gridCol w:w="1279"/>
        <w:gridCol w:w="753"/>
      </w:tblGrid>
      <w:tr w:rsidR="000968C6" w:rsidRPr="00697868" w:rsidTr="00AA2666">
        <w:trPr>
          <w:cnfStyle w:val="100000000000" w:firstRow="1" w:lastRow="0" w:firstColumn="0" w:lastColumn="0" w:oddVBand="0" w:evenVBand="0" w:oddHBand="0" w:evenHBand="0" w:firstRowFirstColumn="0" w:firstRowLastColumn="0" w:lastRowFirstColumn="0" w:lastRowLastColumn="0"/>
          <w:jc w:val="center"/>
        </w:trPr>
        <w:tc>
          <w:tcPr>
            <w:tcW w:w="858"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NTGR_ID*</w:t>
            </w:r>
          </w:p>
        </w:tc>
        <w:tc>
          <w:tcPr>
            <w:tcW w:w="1075"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Description*</w:t>
            </w:r>
          </w:p>
        </w:tc>
        <w:tc>
          <w:tcPr>
            <w:tcW w:w="833"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Sector*</w:t>
            </w:r>
          </w:p>
        </w:tc>
        <w:tc>
          <w:tcPr>
            <w:tcW w:w="1023"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BldgType*</w:t>
            </w:r>
          </w:p>
        </w:tc>
        <w:tc>
          <w:tcPr>
            <w:tcW w:w="762" w:type="pct"/>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ProgDelivID</w:t>
            </w:r>
          </w:p>
        </w:tc>
        <w:tc>
          <w:tcPr>
            <w:tcW w:w="449"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NTG*</w:t>
            </w:r>
          </w:p>
        </w:tc>
      </w:tr>
      <w:tr w:rsidR="000968C6" w:rsidRPr="00697868" w:rsidTr="00AA2666">
        <w:trPr>
          <w:cnfStyle w:val="000000100000" w:firstRow="0" w:lastRow="0" w:firstColumn="0" w:lastColumn="0" w:oddVBand="0" w:evenVBand="0" w:oddHBand="1" w:evenHBand="0" w:firstRowFirstColumn="0" w:firstRowLastColumn="0" w:lastRowFirstColumn="0" w:lastRowLastColumn="0"/>
          <w:jc w:val="center"/>
        </w:trPr>
        <w:tc>
          <w:tcPr>
            <w:tcW w:w="858" w:type="pct"/>
            <w:vAlign w:val="center"/>
          </w:tcPr>
          <w:p w:rsidR="000968C6" w:rsidRPr="00697868" w:rsidRDefault="00AA2666" w:rsidP="009824E9">
            <w:pPr>
              <w:jc w:val="center"/>
              <w:rPr>
                <w:rFonts w:asciiTheme="minorHAnsi" w:hAnsiTheme="minorHAnsi" w:cstheme="minorHAnsi"/>
                <w:sz w:val="20"/>
                <w:szCs w:val="20"/>
              </w:rPr>
            </w:pPr>
            <w:r w:rsidRPr="00AA2666">
              <w:rPr>
                <w:rFonts w:asciiTheme="minorHAnsi" w:hAnsiTheme="minorHAnsi" w:cstheme="minorHAnsi"/>
                <w:sz w:val="20"/>
                <w:szCs w:val="20"/>
              </w:rPr>
              <w:t>Res-Default&gt;2</w:t>
            </w:r>
          </w:p>
        </w:tc>
        <w:tc>
          <w:tcPr>
            <w:tcW w:w="1075" w:type="pct"/>
            <w:vAlign w:val="center"/>
          </w:tcPr>
          <w:p w:rsidR="000968C6" w:rsidRPr="00697868" w:rsidRDefault="00AA2666" w:rsidP="009824E9">
            <w:pPr>
              <w:jc w:val="center"/>
              <w:rPr>
                <w:rFonts w:asciiTheme="minorHAnsi" w:hAnsiTheme="minorHAnsi" w:cstheme="minorHAnsi"/>
                <w:sz w:val="20"/>
                <w:szCs w:val="20"/>
              </w:rPr>
            </w:pPr>
            <w:r w:rsidRPr="00AA2666">
              <w:rPr>
                <w:rFonts w:asciiTheme="minorHAnsi" w:hAnsiTheme="minorHAnsi" w:cstheme="minorHAnsi"/>
                <w:sz w:val="20"/>
                <w:szCs w:val="20"/>
              </w:rPr>
              <w:t>All other EEM with no evaluated NTGR; existing EEM with same delivery mechanism for more than 2 years</w:t>
            </w:r>
          </w:p>
        </w:tc>
        <w:tc>
          <w:tcPr>
            <w:tcW w:w="833" w:type="pct"/>
            <w:vAlign w:val="center"/>
          </w:tcPr>
          <w:p w:rsidR="000968C6" w:rsidRPr="00697868" w:rsidRDefault="00AA2666" w:rsidP="009824E9">
            <w:pPr>
              <w:jc w:val="center"/>
              <w:rPr>
                <w:rFonts w:asciiTheme="minorHAnsi" w:hAnsiTheme="minorHAnsi" w:cstheme="minorHAnsi"/>
                <w:sz w:val="20"/>
                <w:szCs w:val="20"/>
              </w:rPr>
            </w:pPr>
            <w:r>
              <w:rPr>
                <w:rFonts w:asciiTheme="minorHAnsi" w:hAnsiTheme="minorHAnsi" w:cstheme="minorHAnsi"/>
                <w:sz w:val="20"/>
                <w:szCs w:val="20"/>
              </w:rPr>
              <w:t>Res</w:t>
            </w:r>
          </w:p>
        </w:tc>
        <w:tc>
          <w:tcPr>
            <w:tcW w:w="1023" w:type="pct"/>
            <w:vAlign w:val="center"/>
          </w:tcPr>
          <w:p w:rsidR="000968C6" w:rsidRPr="00697868" w:rsidRDefault="00181D0C" w:rsidP="009824E9">
            <w:pPr>
              <w:jc w:val="center"/>
              <w:rPr>
                <w:rFonts w:asciiTheme="minorHAnsi" w:hAnsiTheme="minorHAnsi" w:cstheme="minorHAnsi"/>
                <w:sz w:val="20"/>
                <w:szCs w:val="20"/>
              </w:rPr>
            </w:pPr>
            <w:r>
              <w:rPr>
                <w:rFonts w:asciiTheme="minorHAnsi" w:hAnsiTheme="minorHAnsi" w:cstheme="minorHAnsi"/>
                <w:sz w:val="20"/>
                <w:szCs w:val="20"/>
              </w:rPr>
              <w:t>Any</w:t>
            </w:r>
          </w:p>
        </w:tc>
        <w:tc>
          <w:tcPr>
            <w:tcW w:w="762" w:type="pct"/>
            <w:vAlign w:val="center"/>
          </w:tcPr>
          <w:p w:rsidR="000968C6" w:rsidRPr="00697868" w:rsidRDefault="00181D0C" w:rsidP="009824E9">
            <w:pPr>
              <w:jc w:val="center"/>
              <w:rPr>
                <w:rFonts w:asciiTheme="minorHAnsi" w:hAnsiTheme="minorHAnsi" w:cstheme="minorHAnsi"/>
                <w:sz w:val="20"/>
                <w:szCs w:val="20"/>
              </w:rPr>
            </w:pPr>
            <w:r>
              <w:rPr>
                <w:rFonts w:asciiTheme="minorHAnsi" w:hAnsiTheme="minorHAnsi" w:cstheme="minorHAnsi"/>
                <w:sz w:val="20"/>
                <w:szCs w:val="20"/>
              </w:rPr>
              <w:t>Any</w:t>
            </w:r>
          </w:p>
        </w:tc>
        <w:tc>
          <w:tcPr>
            <w:tcW w:w="449" w:type="pct"/>
            <w:vAlign w:val="center"/>
          </w:tcPr>
          <w:p w:rsidR="000968C6" w:rsidRPr="00697868" w:rsidRDefault="00181D0C" w:rsidP="009824E9">
            <w:pPr>
              <w:jc w:val="center"/>
              <w:rPr>
                <w:rFonts w:asciiTheme="minorHAnsi" w:hAnsiTheme="minorHAnsi" w:cstheme="minorHAnsi"/>
                <w:sz w:val="20"/>
                <w:szCs w:val="20"/>
              </w:rPr>
            </w:pPr>
            <w:r>
              <w:rPr>
                <w:rFonts w:asciiTheme="minorHAnsi" w:hAnsiTheme="minorHAnsi" w:cstheme="minorHAnsi"/>
                <w:sz w:val="20"/>
                <w:szCs w:val="20"/>
              </w:rPr>
              <w:t>0.55</w:t>
            </w:r>
          </w:p>
        </w:tc>
      </w:tr>
    </w:tbl>
    <w:p w:rsidR="000968C6" w:rsidRPr="00697868" w:rsidRDefault="000968C6" w:rsidP="000968C6">
      <w:pPr>
        <w:ind w:firstLine="720"/>
        <w:rPr>
          <w:rFonts w:asciiTheme="minorHAnsi" w:hAnsiTheme="minorHAnsi" w:cstheme="minorHAnsi"/>
          <w:sz w:val="20"/>
          <w:szCs w:val="20"/>
        </w:rPr>
      </w:pPr>
      <w:r w:rsidRPr="00697868">
        <w:rPr>
          <w:rFonts w:asciiTheme="minorHAnsi" w:hAnsiTheme="minorHAnsi" w:cstheme="minorHAnsi"/>
          <w:sz w:val="20"/>
          <w:szCs w:val="20"/>
        </w:rPr>
        <w:t>*Denotes that the column is taken from the DEER NTG Table.</w:t>
      </w:r>
    </w:p>
    <w:p w:rsidR="00F1053D" w:rsidRDefault="00F1053D" w:rsidP="000968C6">
      <w:pPr>
        <w:pStyle w:val="Reminders"/>
        <w:rPr>
          <w:rFonts w:ascii="Helv" w:eastAsiaTheme="minorHAnsi" w:hAnsi="Helv" w:cs="Helv"/>
          <w:i w:val="0"/>
          <w:iCs/>
          <w:color w:val="000000"/>
          <w:sz w:val="22"/>
          <w:szCs w:val="22"/>
        </w:rPr>
      </w:pPr>
    </w:p>
    <w:p w:rsidR="000968C6" w:rsidRPr="000968C6" w:rsidRDefault="000968C6" w:rsidP="000968C6">
      <w:pPr>
        <w:pStyle w:val="Reminders"/>
        <w:rPr>
          <w:rFonts w:asciiTheme="minorHAnsi" w:hAnsiTheme="minorHAnsi" w:cstheme="minorHAnsi"/>
          <w:b/>
          <w:i w:val="0"/>
          <w:color w:val="auto"/>
          <w:sz w:val="22"/>
          <w:szCs w:val="22"/>
        </w:rPr>
      </w:pPr>
      <w:r w:rsidRPr="000968C6">
        <w:rPr>
          <w:rFonts w:asciiTheme="minorHAnsi" w:hAnsiTheme="minorHAnsi" w:cstheme="minorHAnsi"/>
          <w:b/>
          <w:i w:val="0"/>
          <w:color w:val="auto"/>
          <w:sz w:val="22"/>
          <w:szCs w:val="22"/>
        </w:rPr>
        <w:t>Installation Rate</w:t>
      </w:r>
    </w:p>
    <w:p w:rsidR="000968C6" w:rsidRDefault="000968C6" w:rsidP="000968C6">
      <w:pPr>
        <w:pStyle w:val="Reminders"/>
        <w:rPr>
          <w:rFonts w:asciiTheme="minorHAnsi" w:hAnsiTheme="minorHAnsi" w:cstheme="minorHAnsi"/>
          <w:i w:val="0"/>
          <w:color w:val="auto"/>
          <w:sz w:val="22"/>
          <w:szCs w:val="22"/>
        </w:rPr>
      </w:pPr>
      <w:r w:rsidRPr="000968C6">
        <w:rPr>
          <w:rFonts w:asciiTheme="minorHAnsi" w:hAnsiTheme="minorHAnsi" w:cstheme="minorHAnsi"/>
          <w:i w:val="0"/>
          <w:color w:val="auto"/>
          <w:sz w:val="22"/>
          <w:szCs w:val="22"/>
        </w:rPr>
        <w:t xml:space="preserve">The installation rate (IR) is identified in the calculation attachment. This value is obtained from </w:t>
      </w:r>
      <w:r w:rsidR="00240B74">
        <w:rPr>
          <w:rFonts w:asciiTheme="minorHAnsi" w:hAnsiTheme="minorHAnsi" w:cstheme="minorHAnsi"/>
          <w:i w:val="0"/>
          <w:color w:val="auto"/>
          <w:sz w:val="22"/>
          <w:szCs w:val="22"/>
        </w:rPr>
        <w:t xml:space="preserve">the support table available in READi. Currently </w:t>
      </w:r>
      <w:r w:rsidR="00413CDB">
        <w:rPr>
          <w:rFonts w:asciiTheme="minorHAnsi" w:hAnsiTheme="minorHAnsi" w:cstheme="minorHAnsi"/>
          <w:i w:val="0"/>
          <w:color w:val="auto"/>
          <w:sz w:val="22"/>
          <w:szCs w:val="22"/>
        </w:rPr>
        <w:t>there is no versioning on</w:t>
      </w:r>
      <w:r w:rsidR="00240B74">
        <w:rPr>
          <w:rFonts w:asciiTheme="minorHAnsi" w:hAnsiTheme="minorHAnsi" w:cstheme="minorHAnsi"/>
          <w:i w:val="0"/>
          <w:color w:val="auto"/>
          <w:sz w:val="22"/>
          <w:szCs w:val="22"/>
        </w:rPr>
        <w:t xml:space="preserve"> the installation rate table</w:t>
      </w:r>
      <w:r w:rsidR="00413CDB">
        <w:rPr>
          <w:rFonts w:asciiTheme="minorHAnsi" w:hAnsiTheme="minorHAnsi" w:cstheme="minorHAnsi"/>
          <w:i w:val="0"/>
          <w:color w:val="auto"/>
          <w:sz w:val="22"/>
          <w:szCs w:val="22"/>
        </w:rPr>
        <w:t>. To address appropriate selection of the installation rate</w:t>
      </w:r>
      <w:r w:rsidR="00240B74">
        <w:rPr>
          <w:rFonts w:asciiTheme="minorHAnsi" w:hAnsiTheme="minorHAnsi" w:cstheme="minorHAnsi"/>
          <w:i w:val="0"/>
          <w:color w:val="auto"/>
          <w:sz w:val="22"/>
          <w:szCs w:val="22"/>
        </w:rPr>
        <w:t xml:space="preserve"> the date of the workpaper will serve as the last date checked for updated IR values.</w:t>
      </w:r>
      <w:r w:rsidRPr="000968C6">
        <w:rPr>
          <w:rFonts w:asciiTheme="minorHAnsi" w:hAnsiTheme="minorHAnsi" w:cstheme="minorHAnsi"/>
          <w:i w:val="0"/>
          <w:color w:val="auto"/>
          <w:sz w:val="22"/>
          <w:szCs w:val="22"/>
        </w:rPr>
        <w:t xml:space="preserve"> The installation rate varies by end use, sector, technology, application, and delivery method.</w:t>
      </w:r>
      <w:r w:rsidR="006B4A48" w:rsidRPr="006B4A48">
        <w:rPr>
          <w:rFonts w:asciiTheme="minorHAnsi" w:hAnsiTheme="minorHAnsi" w:cstheme="minorHAnsi"/>
          <w:i w:val="0"/>
          <w:color w:val="auto"/>
          <w:sz w:val="22"/>
          <w:szCs w:val="22"/>
        </w:rPr>
        <w:t xml:space="preserve"> The relevant </w:t>
      </w:r>
      <w:r w:rsidR="006B4A48">
        <w:rPr>
          <w:rFonts w:asciiTheme="minorHAnsi" w:hAnsiTheme="minorHAnsi" w:cstheme="minorHAnsi"/>
          <w:i w:val="0"/>
          <w:color w:val="auto"/>
          <w:sz w:val="22"/>
          <w:szCs w:val="22"/>
        </w:rPr>
        <w:t>IR values</w:t>
      </w:r>
      <w:r w:rsidR="00582DB0">
        <w:rPr>
          <w:rFonts w:asciiTheme="minorHAnsi" w:hAnsiTheme="minorHAnsi" w:cstheme="minorHAnsi"/>
          <w:i w:val="0"/>
          <w:color w:val="auto"/>
          <w:sz w:val="22"/>
          <w:szCs w:val="22"/>
        </w:rPr>
        <w:t xml:space="preserve"> for this measure are shown in </w:t>
      </w:r>
      <w:r w:rsidR="00582DB0" w:rsidRPr="00582DB0">
        <w:rPr>
          <w:rFonts w:asciiTheme="minorHAnsi" w:hAnsiTheme="minorHAnsi" w:cstheme="minorHAnsi"/>
          <w:i w:val="0"/>
          <w:color w:val="auto"/>
          <w:sz w:val="22"/>
          <w:szCs w:val="22"/>
        </w:rPr>
        <w:fldChar w:fldCharType="begin"/>
      </w:r>
      <w:r w:rsidR="00582DB0" w:rsidRPr="00582DB0">
        <w:rPr>
          <w:rFonts w:asciiTheme="minorHAnsi" w:hAnsiTheme="minorHAnsi" w:cstheme="minorHAnsi"/>
          <w:i w:val="0"/>
          <w:color w:val="auto"/>
          <w:sz w:val="22"/>
          <w:szCs w:val="22"/>
        </w:rPr>
        <w:instrText xml:space="preserve"> REF _Ref377965904 \h  \* MERGEFORMAT </w:instrText>
      </w:r>
      <w:r w:rsidR="00582DB0" w:rsidRPr="00582DB0">
        <w:rPr>
          <w:rFonts w:asciiTheme="minorHAnsi" w:hAnsiTheme="minorHAnsi" w:cstheme="minorHAnsi"/>
          <w:i w:val="0"/>
          <w:color w:val="auto"/>
          <w:sz w:val="22"/>
          <w:szCs w:val="22"/>
        </w:rPr>
      </w:r>
      <w:r w:rsidR="00582DB0" w:rsidRPr="00582DB0">
        <w:rPr>
          <w:rFonts w:asciiTheme="minorHAnsi" w:hAnsiTheme="minorHAnsi" w:cstheme="minorHAnsi"/>
          <w:i w:val="0"/>
          <w:color w:val="auto"/>
          <w:sz w:val="22"/>
          <w:szCs w:val="22"/>
        </w:rPr>
        <w:fldChar w:fldCharType="separate"/>
      </w:r>
      <w:r w:rsidR="006A6F9F" w:rsidRPr="006A6F9F">
        <w:rPr>
          <w:rFonts w:asciiTheme="minorHAnsi" w:hAnsiTheme="minorHAnsi" w:cstheme="minorHAnsi"/>
          <w:i w:val="0"/>
          <w:color w:val="auto"/>
          <w:sz w:val="22"/>
          <w:szCs w:val="22"/>
        </w:rPr>
        <w:t xml:space="preserve">Table </w:t>
      </w:r>
      <w:r w:rsidR="006A6F9F" w:rsidRPr="006A6F9F">
        <w:rPr>
          <w:rFonts w:asciiTheme="minorHAnsi" w:hAnsiTheme="minorHAnsi" w:cstheme="minorHAnsi"/>
          <w:i w:val="0"/>
          <w:noProof/>
          <w:color w:val="auto"/>
          <w:sz w:val="22"/>
          <w:szCs w:val="22"/>
        </w:rPr>
        <w:t>4</w:t>
      </w:r>
      <w:r w:rsidR="00582DB0" w:rsidRPr="00582DB0">
        <w:rPr>
          <w:rFonts w:asciiTheme="minorHAnsi" w:hAnsiTheme="minorHAnsi" w:cstheme="minorHAnsi"/>
          <w:i w:val="0"/>
          <w:color w:val="auto"/>
          <w:sz w:val="22"/>
          <w:szCs w:val="22"/>
        </w:rPr>
        <w:fldChar w:fldCharType="end"/>
      </w:r>
      <w:r w:rsidR="00582DB0" w:rsidRPr="00582DB0">
        <w:rPr>
          <w:rFonts w:asciiTheme="minorHAnsi" w:hAnsiTheme="minorHAnsi" w:cstheme="minorHAnsi"/>
          <w:i w:val="0"/>
          <w:color w:val="auto"/>
          <w:sz w:val="22"/>
          <w:szCs w:val="22"/>
        </w:rPr>
        <w:t xml:space="preserve"> </w:t>
      </w:r>
      <w:r w:rsidR="006B4A48" w:rsidRPr="006B4A48">
        <w:rPr>
          <w:rFonts w:asciiTheme="minorHAnsi" w:hAnsiTheme="minorHAnsi" w:cstheme="minorHAnsi"/>
          <w:i w:val="0"/>
          <w:color w:val="auto"/>
          <w:sz w:val="22"/>
          <w:szCs w:val="22"/>
        </w:rPr>
        <w:t>below.</w:t>
      </w:r>
    </w:p>
    <w:p w:rsidR="006B4A48" w:rsidRDefault="006B4A48" w:rsidP="000968C6">
      <w:pPr>
        <w:pStyle w:val="Reminders"/>
        <w:rPr>
          <w:rFonts w:asciiTheme="minorHAnsi" w:hAnsiTheme="minorHAnsi" w:cstheme="minorHAnsi"/>
          <w:i w:val="0"/>
          <w:color w:val="auto"/>
          <w:sz w:val="22"/>
          <w:szCs w:val="22"/>
        </w:rPr>
      </w:pPr>
    </w:p>
    <w:p w:rsidR="00240B74" w:rsidRPr="00240B74" w:rsidRDefault="00240B74" w:rsidP="00240B74">
      <w:pPr>
        <w:pStyle w:val="Caption"/>
        <w:jc w:val="center"/>
        <w:rPr>
          <w:rFonts w:asciiTheme="minorHAnsi" w:hAnsiTheme="minorHAnsi" w:cstheme="minorHAnsi"/>
          <w:sz w:val="22"/>
          <w:szCs w:val="22"/>
        </w:rPr>
      </w:pPr>
      <w:bookmarkStart w:id="11" w:name="_Ref377965904"/>
      <w:r w:rsidRPr="00240B74">
        <w:rPr>
          <w:rFonts w:asciiTheme="minorHAnsi" w:hAnsiTheme="minorHAnsi" w:cstheme="minorHAnsi"/>
          <w:sz w:val="22"/>
          <w:szCs w:val="22"/>
        </w:rPr>
        <w:t xml:space="preserve">Table </w:t>
      </w:r>
      <w:r w:rsidRPr="00240B74">
        <w:rPr>
          <w:rFonts w:asciiTheme="minorHAnsi" w:hAnsiTheme="minorHAnsi" w:cstheme="minorHAnsi"/>
          <w:sz w:val="22"/>
          <w:szCs w:val="22"/>
        </w:rPr>
        <w:fldChar w:fldCharType="begin"/>
      </w:r>
      <w:r w:rsidRPr="00240B74">
        <w:rPr>
          <w:rFonts w:asciiTheme="minorHAnsi" w:hAnsiTheme="minorHAnsi" w:cstheme="minorHAnsi"/>
          <w:sz w:val="22"/>
          <w:szCs w:val="22"/>
        </w:rPr>
        <w:instrText xml:space="preserve"> SEQ Table \* ARABIC </w:instrText>
      </w:r>
      <w:r w:rsidRPr="00240B74">
        <w:rPr>
          <w:rFonts w:asciiTheme="minorHAnsi" w:hAnsiTheme="minorHAnsi" w:cstheme="minorHAnsi"/>
          <w:sz w:val="22"/>
          <w:szCs w:val="22"/>
        </w:rPr>
        <w:fldChar w:fldCharType="separate"/>
      </w:r>
      <w:r w:rsidR="006A6F9F">
        <w:rPr>
          <w:rFonts w:asciiTheme="minorHAnsi" w:hAnsiTheme="minorHAnsi" w:cstheme="minorHAnsi"/>
          <w:noProof/>
          <w:sz w:val="22"/>
          <w:szCs w:val="22"/>
        </w:rPr>
        <w:t>4</w:t>
      </w:r>
      <w:r w:rsidRPr="00240B74">
        <w:rPr>
          <w:rFonts w:asciiTheme="minorHAnsi" w:hAnsiTheme="minorHAnsi" w:cstheme="minorHAnsi"/>
          <w:sz w:val="22"/>
          <w:szCs w:val="22"/>
        </w:rPr>
        <w:fldChar w:fldCharType="end"/>
      </w:r>
      <w:bookmarkEnd w:id="11"/>
      <w:r>
        <w:rPr>
          <w:rFonts w:asciiTheme="minorHAnsi" w:hAnsiTheme="minorHAnsi" w:cstheme="minorHAnsi"/>
          <w:sz w:val="22"/>
          <w:szCs w:val="22"/>
        </w:rPr>
        <w:t xml:space="preserve"> Installation Rate</w:t>
      </w:r>
    </w:p>
    <w:tbl>
      <w:tblPr>
        <w:tblStyle w:val="TableContemporary"/>
        <w:tblW w:w="4381" w:type="pct"/>
        <w:jc w:val="center"/>
        <w:tblInd w:w="1186" w:type="dxa"/>
        <w:tblLook w:val="01E0" w:firstRow="1" w:lastRow="1" w:firstColumn="1" w:lastColumn="1" w:noHBand="0" w:noVBand="0"/>
      </w:tblPr>
      <w:tblGrid>
        <w:gridCol w:w="1327"/>
        <w:gridCol w:w="1691"/>
        <w:gridCol w:w="1286"/>
        <w:gridCol w:w="1604"/>
        <w:gridCol w:w="1295"/>
        <w:gridCol w:w="1187"/>
      </w:tblGrid>
      <w:tr w:rsidR="006B4A48" w:rsidRPr="00697868" w:rsidTr="00240B74">
        <w:trPr>
          <w:cnfStyle w:val="100000000000" w:firstRow="1" w:lastRow="0" w:firstColumn="0" w:lastColumn="0" w:oddVBand="0" w:evenVBand="0" w:oddHBand="0" w:evenHBand="0" w:firstRowFirstColumn="0" w:firstRowLastColumn="0" w:lastRowFirstColumn="0" w:lastRowLastColumn="0"/>
          <w:jc w:val="center"/>
        </w:trPr>
        <w:tc>
          <w:tcPr>
            <w:tcW w:w="793" w:type="pct"/>
            <w:vAlign w:val="center"/>
          </w:tcPr>
          <w:p w:rsidR="006B4A48" w:rsidRPr="00697868" w:rsidRDefault="006B4A48" w:rsidP="009824E9">
            <w:pPr>
              <w:jc w:val="center"/>
              <w:rPr>
                <w:rFonts w:asciiTheme="minorHAnsi" w:hAnsiTheme="minorHAnsi" w:cstheme="minorHAnsi"/>
                <w:sz w:val="20"/>
                <w:szCs w:val="20"/>
              </w:rPr>
            </w:pPr>
            <w:r w:rsidRPr="006B4A48">
              <w:rPr>
                <w:rFonts w:asciiTheme="minorHAnsi" w:hAnsiTheme="minorHAnsi" w:cstheme="minorHAnsi"/>
                <w:sz w:val="20"/>
                <w:szCs w:val="20"/>
              </w:rPr>
              <w:t>GSIA_ID</w:t>
            </w:r>
            <w:r w:rsidRPr="00697868">
              <w:rPr>
                <w:rFonts w:asciiTheme="minorHAnsi" w:hAnsiTheme="minorHAnsi" w:cstheme="minorHAnsi"/>
                <w:sz w:val="20"/>
                <w:szCs w:val="20"/>
              </w:rPr>
              <w:t>*</w:t>
            </w:r>
          </w:p>
        </w:tc>
        <w:tc>
          <w:tcPr>
            <w:tcW w:w="1010" w:type="pct"/>
            <w:vAlign w:val="center"/>
          </w:tcPr>
          <w:p w:rsidR="006B4A48" w:rsidRPr="00697868" w:rsidRDefault="006B4A48" w:rsidP="009824E9">
            <w:pPr>
              <w:jc w:val="center"/>
              <w:rPr>
                <w:rFonts w:asciiTheme="minorHAnsi" w:hAnsiTheme="minorHAnsi" w:cstheme="minorHAnsi"/>
                <w:sz w:val="20"/>
                <w:szCs w:val="20"/>
              </w:rPr>
            </w:pPr>
            <w:r w:rsidRPr="00697868">
              <w:rPr>
                <w:rFonts w:asciiTheme="minorHAnsi" w:hAnsiTheme="minorHAnsi" w:cstheme="minorHAnsi"/>
                <w:sz w:val="20"/>
                <w:szCs w:val="20"/>
              </w:rPr>
              <w:t>Description*</w:t>
            </w:r>
          </w:p>
        </w:tc>
        <w:tc>
          <w:tcPr>
            <w:tcW w:w="769" w:type="pct"/>
            <w:vAlign w:val="center"/>
          </w:tcPr>
          <w:p w:rsidR="006B4A48" w:rsidRPr="00697868" w:rsidRDefault="006B4A48" w:rsidP="009824E9">
            <w:pPr>
              <w:jc w:val="center"/>
              <w:rPr>
                <w:rFonts w:asciiTheme="minorHAnsi" w:hAnsiTheme="minorHAnsi" w:cstheme="minorHAnsi"/>
                <w:sz w:val="20"/>
                <w:szCs w:val="20"/>
              </w:rPr>
            </w:pPr>
            <w:r w:rsidRPr="00697868">
              <w:rPr>
                <w:rFonts w:asciiTheme="minorHAnsi" w:hAnsiTheme="minorHAnsi" w:cstheme="minorHAnsi"/>
                <w:sz w:val="20"/>
                <w:szCs w:val="20"/>
              </w:rPr>
              <w:t>Sector*</w:t>
            </w:r>
          </w:p>
        </w:tc>
        <w:tc>
          <w:tcPr>
            <w:tcW w:w="958" w:type="pct"/>
            <w:vAlign w:val="center"/>
          </w:tcPr>
          <w:p w:rsidR="006B4A48" w:rsidRPr="00697868" w:rsidRDefault="006B4A48" w:rsidP="009824E9">
            <w:pPr>
              <w:jc w:val="center"/>
              <w:rPr>
                <w:rFonts w:asciiTheme="minorHAnsi" w:hAnsiTheme="minorHAnsi" w:cstheme="minorHAnsi"/>
                <w:sz w:val="20"/>
                <w:szCs w:val="20"/>
              </w:rPr>
            </w:pPr>
            <w:r w:rsidRPr="00697868">
              <w:rPr>
                <w:rFonts w:asciiTheme="minorHAnsi" w:hAnsiTheme="minorHAnsi" w:cstheme="minorHAnsi"/>
                <w:sz w:val="20"/>
                <w:szCs w:val="20"/>
              </w:rPr>
              <w:t>BldgType*</w:t>
            </w:r>
          </w:p>
        </w:tc>
        <w:tc>
          <w:tcPr>
            <w:tcW w:w="762" w:type="pct"/>
          </w:tcPr>
          <w:p w:rsidR="006B4A48" w:rsidRPr="00697868" w:rsidRDefault="006B4A48" w:rsidP="009824E9">
            <w:pPr>
              <w:jc w:val="center"/>
              <w:rPr>
                <w:rFonts w:asciiTheme="minorHAnsi" w:hAnsiTheme="minorHAnsi" w:cstheme="minorHAnsi"/>
                <w:sz w:val="20"/>
                <w:szCs w:val="20"/>
              </w:rPr>
            </w:pPr>
            <w:r w:rsidRPr="00697868">
              <w:rPr>
                <w:rFonts w:asciiTheme="minorHAnsi" w:hAnsiTheme="minorHAnsi" w:cstheme="minorHAnsi"/>
                <w:sz w:val="20"/>
                <w:szCs w:val="20"/>
              </w:rPr>
              <w:t>ProgDelivID</w:t>
            </w:r>
            <w:r w:rsidR="00631157">
              <w:rPr>
                <w:rFonts w:asciiTheme="minorHAnsi" w:hAnsiTheme="minorHAnsi" w:cstheme="minorHAnsi"/>
                <w:sz w:val="20"/>
                <w:szCs w:val="20"/>
              </w:rPr>
              <w:t>*</w:t>
            </w:r>
          </w:p>
        </w:tc>
        <w:tc>
          <w:tcPr>
            <w:tcW w:w="707" w:type="pct"/>
            <w:vAlign w:val="center"/>
          </w:tcPr>
          <w:p w:rsidR="006B4A48" w:rsidRPr="00697868" w:rsidRDefault="006B4A48" w:rsidP="009824E9">
            <w:pPr>
              <w:jc w:val="center"/>
              <w:rPr>
                <w:rFonts w:asciiTheme="minorHAnsi" w:hAnsiTheme="minorHAnsi" w:cstheme="minorHAnsi"/>
                <w:sz w:val="20"/>
                <w:szCs w:val="20"/>
              </w:rPr>
            </w:pPr>
            <w:r w:rsidRPr="006B4A48">
              <w:rPr>
                <w:rFonts w:asciiTheme="minorHAnsi" w:hAnsiTheme="minorHAnsi" w:cstheme="minorHAnsi"/>
                <w:sz w:val="20"/>
                <w:szCs w:val="20"/>
              </w:rPr>
              <w:t>GSIAValue</w:t>
            </w:r>
            <w:r w:rsidRPr="00697868">
              <w:rPr>
                <w:rFonts w:asciiTheme="minorHAnsi" w:hAnsiTheme="minorHAnsi" w:cstheme="minorHAnsi"/>
                <w:sz w:val="20"/>
                <w:szCs w:val="20"/>
              </w:rPr>
              <w:t>*</w:t>
            </w:r>
          </w:p>
        </w:tc>
      </w:tr>
      <w:tr w:rsidR="006B4A48" w:rsidRPr="00697868" w:rsidTr="00240B74">
        <w:trPr>
          <w:cnfStyle w:val="000000100000" w:firstRow="0" w:lastRow="0" w:firstColumn="0" w:lastColumn="0" w:oddVBand="0" w:evenVBand="0" w:oddHBand="1" w:evenHBand="0" w:firstRowFirstColumn="0" w:firstRowLastColumn="0" w:lastRowFirstColumn="0" w:lastRowLastColumn="0"/>
          <w:jc w:val="center"/>
        </w:trPr>
        <w:tc>
          <w:tcPr>
            <w:tcW w:w="793" w:type="pct"/>
            <w:vAlign w:val="center"/>
          </w:tcPr>
          <w:p w:rsidR="006B4A48" w:rsidRPr="00697868" w:rsidRDefault="00A473EB" w:rsidP="009824E9">
            <w:pPr>
              <w:jc w:val="center"/>
              <w:rPr>
                <w:rFonts w:asciiTheme="minorHAnsi" w:hAnsiTheme="minorHAnsi" w:cstheme="minorHAnsi"/>
                <w:sz w:val="20"/>
                <w:szCs w:val="20"/>
              </w:rPr>
            </w:pPr>
            <w:r w:rsidRPr="00A473EB">
              <w:rPr>
                <w:rFonts w:asciiTheme="minorHAnsi" w:hAnsiTheme="minorHAnsi" w:cstheme="minorHAnsi"/>
                <w:sz w:val="20"/>
                <w:szCs w:val="20"/>
              </w:rPr>
              <w:t>Res-AC-SCE</w:t>
            </w:r>
          </w:p>
        </w:tc>
        <w:tc>
          <w:tcPr>
            <w:tcW w:w="1010" w:type="pct"/>
            <w:vAlign w:val="center"/>
          </w:tcPr>
          <w:p w:rsidR="006B4A48" w:rsidRPr="00697868" w:rsidRDefault="00A473EB" w:rsidP="009824E9">
            <w:pPr>
              <w:jc w:val="center"/>
              <w:rPr>
                <w:rFonts w:asciiTheme="minorHAnsi" w:hAnsiTheme="minorHAnsi" w:cstheme="minorHAnsi"/>
                <w:sz w:val="20"/>
                <w:szCs w:val="20"/>
              </w:rPr>
            </w:pPr>
            <w:r w:rsidRPr="00A473EB">
              <w:rPr>
                <w:rFonts w:asciiTheme="minorHAnsi" w:hAnsiTheme="minorHAnsi" w:cstheme="minorHAnsi"/>
                <w:sz w:val="20"/>
                <w:szCs w:val="20"/>
              </w:rPr>
              <w:t>Res AC Replacement; Annual Installation Rate</w:t>
            </w:r>
          </w:p>
        </w:tc>
        <w:tc>
          <w:tcPr>
            <w:tcW w:w="769" w:type="pct"/>
            <w:vAlign w:val="center"/>
          </w:tcPr>
          <w:p w:rsidR="006B4A48" w:rsidRPr="00697868" w:rsidRDefault="00A473EB" w:rsidP="009824E9">
            <w:pPr>
              <w:jc w:val="center"/>
              <w:rPr>
                <w:rFonts w:asciiTheme="minorHAnsi" w:hAnsiTheme="minorHAnsi" w:cstheme="minorHAnsi"/>
                <w:sz w:val="20"/>
                <w:szCs w:val="20"/>
              </w:rPr>
            </w:pPr>
            <w:r w:rsidRPr="00A473EB">
              <w:rPr>
                <w:rFonts w:asciiTheme="minorHAnsi" w:hAnsiTheme="minorHAnsi" w:cstheme="minorHAnsi"/>
                <w:sz w:val="20"/>
                <w:szCs w:val="20"/>
              </w:rPr>
              <w:t>Res</w:t>
            </w:r>
          </w:p>
        </w:tc>
        <w:tc>
          <w:tcPr>
            <w:tcW w:w="958" w:type="pct"/>
            <w:vAlign w:val="center"/>
          </w:tcPr>
          <w:p w:rsidR="006B4A48" w:rsidRPr="00697868" w:rsidRDefault="00A473EB" w:rsidP="009824E9">
            <w:pPr>
              <w:jc w:val="center"/>
              <w:rPr>
                <w:rFonts w:asciiTheme="minorHAnsi" w:hAnsiTheme="minorHAnsi" w:cstheme="minorHAnsi"/>
                <w:sz w:val="20"/>
                <w:szCs w:val="20"/>
              </w:rPr>
            </w:pPr>
            <w:r w:rsidRPr="00A473EB">
              <w:rPr>
                <w:rFonts w:asciiTheme="minorHAnsi" w:hAnsiTheme="minorHAnsi" w:cstheme="minorHAnsi"/>
                <w:sz w:val="20"/>
                <w:szCs w:val="20"/>
              </w:rPr>
              <w:t>Any</w:t>
            </w:r>
          </w:p>
        </w:tc>
        <w:tc>
          <w:tcPr>
            <w:tcW w:w="762" w:type="pct"/>
            <w:vAlign w:val="center"/>
          </w:tcPr>
          <w:p w:rsidR="006B4A48" w:rsidRPr="00697868" w:rsidRDefault="00A473EB" w:rsidP="009824E9">
            <w:pPr>
              <w:jc w:val="center"/>
              <w:rPr>
                <w:rFonts w:asciiTheme="minorHAnsi" w:hAnsiTheme="minorHAnsi" w:cstheme="minorHAnsi"/>
                <w:sz w:val="20"/>
                <w:szCs w:val="20"/>
              </w:rPr>
            </w:pPr>
            <w:proofErr w:type="spellStart"/>
            <w:r w:rsidRPr="00A473EB">
              <w:rPr>
                <w:rFonts w:asciiTheme="minorHAnsi" w:hAnsiTheme="minorHAnsi" w:cstheme="minorHAnsi"/>
                <w:sz w:val="20"/>
                <w:szCs w:val="20"/>
              </w:rPr>
              <w:t>NonUpStrm</w:t>
            </w:r>
            <w:proofErr w:type="spellEnd"/>
          </w:p>
        </w:tc>
        <w:tc>
          <w:tcPr>
            <w:tcW w:w="707" w:type="pct"/>
            <w:vAlign w:val="center"/>
          </w:tcPr>
          <w:p w:rsidR="006B4A48" w:rsidRPr="00697868" w:rsidRDefault="00A473EB" w:rsidP="009824E9">
            <w:pPr>
              <w:jc w:val="center"/>
              <w:rPr>
                <w:rFonts w:asciiTheme="minorHAnsi" w:hAnsiTheme="minorHAnsi" w:cstheme="minorHAnsi"/>
                <w:sz w:val="20"/>
                <w:szCs w:val="20"/>
              </w:rPr>
            </w:pPr>
            <w:r>
              <w:rPr>
                <w:rFonts w:asciiTheme="minorHAnsi" w:hAnsiTheme="minorHAnsi" w:cstheme="minorHAnsi"/>
                <w:sz w:val="20"/>
                <w:szCs w:val="20"/>
              </w:rPr>
              <w:t>1</w:t>
            </w:r>
          </w:p>
        </w:tc>
      </w:tr>
      <w:tr w:rsidR="00082DF3" w:rsidRPr="00697868" w:rsidTr="00240B74">
        <w:trPr>
          <w:cnfStyle w:val="000000010000" w:firstRow="0" w:lastRow="0" w:firstColumn="0" w:lastColumn="0" w:oddVBand="0" w:evenVBand="0" w:oddHBand="0" w:evenHBand="1" w:firstRowFirstColumn="0" w:firstRowLastColumn="0" w:lastRowFirstColumn="0" w:lastRowLastColumn="0"/>
          <w:jc w:val="center"/>
        </w:trPr>
        <w:tc>
          <w:tcPr>
            <w:tcW w:w="793" w:type="pct"/>
            <w:vAlign w:val="center"/>
          </w:tcPr>
          <w:p w:rsidR="00082DF3" w:rsidRPr="00A473EB" w:rsidRDefault="00082DF3" w:rsidP="009824E9">
            <w:pPr>
              <w:jc w:val="center"/>
              <w:rPr>
                <w:rFonts w:asciiTheme="minorHAnsi" w:hAnsiTheme="minorHAnsi" w:cstheme="minorHAnsi"/>
                <w:sz w:val="20"/>
                <w:szCs w:val="20"/>
              </w:rPr>
            </w:pPr>
            <w:proofErr w:type="spellStart"/>
            <w:r>
              <w:rPr>
                <w:rFonts w:asciiTheme="minorHAnsi" w:hAnsiTheme="minorHAnsi" w:cstheme="minorHAnsi"/>
                <w:sz w:val="20"/>
                <w:szCs w:val="20"/>
              </w:rPr>
              <w:t>Def</w:t>
            </w:r>
            <w:proofErr w:type="spellEnd"/>
            <w:r>
              <w:rPr>
                <w:rFonts w:asciiTheme="minorHAnsi" w:hAnsiTheme="minorHAnsi" w:cstheme="minorHAnsi"/>
                <w:sz w:val="20"/>
                <w:szCs w:val="20"/>
              </w:rPr>
              <w:t>-GSIA (PG&amp;E)</w:t>
            </w:r>
          </w:p>
        </w:tc>
        <w:tc>
          <w:tcPr>
            <w:tcW w:w="1010" w:type="pct"/>
            <w:vAlign w:val="center"/>
          </w:tcPr>
          <w:p w:rsidR="00082DF3" w:rsidRPr="00A473EB" w:rsidRDefault="00082DF3" w:rsidP="009824E9">
            <w:pPr>
              <w:jc w:val="center"/>
              <w:rPr>
                <w:rFonts w:asciiTheme="minorHAnsi" w:hAnsiTheme="minorHAnsi" w:cstheme="minorHAnsi"/>
                <w:sz w:val="20"/>
                <w:szCs w:val="20"/>
              </w:rPr>
            </w:pPr>
            <w:r>
              <w:rPr>
                <w:rFonts w:asciiTheme="minorHAnsi" w:hAnsiTheme="minorHAnsi" w:cstheme="minorHAnsi"/>
                <w:sz w:val="20"/>
                <w:szCs w:val="20"/>
              </w:rPr>
              <w:t>Default GSIA values</w:t>
            </w:r>
          </w:p>
        </w:tc>
        <w:tc>
          <w:tcPr>
            <w:tcW w:w="769" w:type="pct"/>
            <w:vAlign w:val="center"/>
          </w:tcPr>
          <w:p w:rsidR="00082DF3" w:rsidRPr="00A473EB" w:rsidRDefault="00082DF3" w:rsidP="009824E9">
            <w:pPr>
              <w:jc w:val="center"/>
              <w:rPr>
                <w:rFonts w:asciiTheme="minorHAnsi" w:hAnsiTheme="minorHAnsi" w:cstheme="minorHAnsi"/>
                <w:sz w:val="20"/>
                <w:szCs w:val="20"/>
              </w:rPr>
            </w:pPr>
            <w:r>
              <w:rPr>
                <w:rFonts w:asciiTheme="minorHAnsi" w:hAnsiTheme="minorHAnsi" w:cstheme="minorHAnsi"/>
                <w:sz w:val="20"/>
                <w:szCs w:val="20"/>
              </w:rPr>
              <w:t>Res</w:t>
            </w:r>
          </w:p>
        </w:tc>
        <w:tc>
          <w:tcPr>
            <w:tcW w:w="958" w:type="pct"/>
            <w:vAlign w:val="center"/>
          </w:tcPr>
          <w:p w:rsidR="00082DF3" w:rsidRPr="00A473EB" w:rsidRDefault="00082DF3" w:rsidP="009824E9">
            <w:pPr>
              <w:jc w:val="center"/>
              <w:rPr>
                <w:rFonts w:asciiTheme="minorHAnsi" w:hAnsiTheme="minorHAnsi" w:cstheme="minorHAnsi"/>
                <w:sz w:val="20"/>
                <w:szCs w:val="20"/>
              </w:rPr>
            </w:pPr>
            <w:r>
              <w:rPr>
                <w:rFonts w:asciiTheme="minorHAnsi" w:hAnsiTheme="minorHAnsi" w:cstheme="minorHAnsi"/>
                <w:sz w:val="20"/>
                <w:szCs w:val="20"/>
              </w:rPr>
              <w:t>Any</w:t>
            </w:r>
          </w:p>
        </w:tc>
        <w:tc>
          <w:tcPr>
            <w:tcW w:w="762" w:type="pct"/>
            <w:vAlign w:val="center"/>
          </w:tcPr>
          <w:p w:rsidR="00082DF3" w:rsidRPr="00A473EB" w:rsidRDefault="00082DF3" w:rsidP="009824E9">
            <w:pPr>
              <w:jc w:val="center"/>
              <w:rPr>
                <w:rFonts w:asciiTheme="minorHAnsi" w:hAnsiTheme="minorHAnsi" w:cstheme="minorHAnsi"/>
                <w:sz w:val="20"/>
                <w:szCs w:val="20"/>
              </w:rPr>
            </w:pPr>
            <w:r>
              <w:rPr>
                <w:rFonts w:asciiTheme="minorHAnsi" w:hAnsiTheme="minorHAnsi" w:cstheme="minorHAnsi"/>
                <w:sz w:val="20"/>
                <w:szCs w:val="20"/>
              </w:rPr>
              <w:t>Any</w:t>
            </w:r>
          </w:p>
        </w:tc>
        <w:tc>
          <w:tcPr>
            <w:tcW w:w="707" w:type="pct"/>
            <w:vAlign w:val="center"/>
          </w:tcPr>
          <w:p w:rsidR="00082DF3" w:rsidRDefault="00082DF3" w:rsidP="009824E9">
            <w:pPr>
              <w:jc w:val="center"/>
              <w:rPr>
                <w:rFonts w:asciiTheme="minorHAnsi" w:hAnsiTheme="minorHAnsi" w:cstheme="minorHAnsi"/>
                <w:sz w:val="20"/>
                <w:szCs w:val="20"/>
              </w:rPr>
            </w:pPr>
            <w:r>
              <w:rPr>
                <w:rFonts w:asciiTheme="minorHAnsi" w:hAnsiTheme="minorHAnsi" w:cstheme="minorHAnsi"/>
                <w:sz w:val="20"/>
                <w:szCs w:val="20"/>
              </w:rPr>
              <w:t>1</w:t>
            </w:r>
          </w:p>
        </w:tc>
      </w:tr>
    </w:tbl>
    <w:p w:rsidR="00631157" w:rsidRPr="00A604C8" w:rsidRDefault="00631157" w:rsidP="00631157">
      <w:pPr>
        <w:ind w:firstLine="720"/>
        <w:rPr>
          <w:rFonts w:asciiTheme="minorHAnsi" w:hAnsiTheme="minorHAnsi" w:cstheme="minorHAnsi"/>
          <w:sz w:val="20"/>
          <w:szCs w:val="20"/>
        </w:rPr>
      </w:pPr>
      <w:r w:rsidRPr="00697868">
        <w:rPr>
          <w:rFonts w:asciiTheme="minorHAnsi" w:hAnsiTheme="minorHAnsi" w:cstheme="minorHAnsi"/>
          <w:sz w:val="20"/>
          <w:szCs w:val="20"/>
        </w:rPr>
        <w:t>*Denotes that the</w:t>
      </w:r>
      <w:r>
        <w:rPr>
          <w:rFonts w:asciiTheme="minorHAnsi" w:hAnsiTheme="minorHAnsi" w:cstheme="minorHAnsi"/>
          <w:sz w:val="20"/>
          <w:szCs w:val="20"/>
        </w:rPr>
        <w:t xml:space="preserve"> column is taken from the DEER GSIA</w:t>
      </w:r>
      <w:r w:rsidRPr="00697868">
        <w:rPr>
          <w:rFonts w:asciiTheme="minorHAnsi" w:hAnsiTheme="minorHAnsi" w:cstheme="minorHAnsi"/>
          <w:sz w:val="20"/>
          <w:szCs w:val="20"/>
        </w:rPr>
        <w:t xml:space="preserve"> Table.</w:t>
      </w:r>
    </w:p>
    <w:p w:rsidR="006B4A48" w:rsidRDefault="006B4A48" w:rsidP="000968C6">
      <w:pPr>
        <w:pStyle w:val="Reminders"/>
        <w:rPr>
          <w:rFonts w:asciiTheme="minorHAnsi" w:hAnsiTheme="minorHAnsi" w:cstheme="minorHAnsi"/>
          <w:b/>
          <w:i w:val="0"/>
          <w:color w:val="auto"/>
          <w:sz w:val="22"/>
          <w:szCs w:val="22"/>
        </w:rPr>
      </w:pPr>
    </w:p>
    <w:p w:rsidR="000968C6" w:rsidRDefault="000968C6" w:rsidP="000968C6">
      <w:pPr>
        <w:pStyle w:val="Reminders"/>
        <w:rPr>
          <w:rFonts w:asciiTheme="minorHAnsi" w:hAnsiTheme="minorHAnsi" w:cstheme="minorHAnsi"/>
          <w:i w:val="0"/>
          <w:color w:val="auto"/>
          <w:sz w:val="22"/>
          <w:szCs w:val="22"/>
        </w:rPr>
      </w:pPr>
      <w:r>
        <w:rPr>
          <w:rFonts w:asciiTheme="minorHAnsi" w:hAnsiTheme="minorHAnsi" w:cstheme="minorHAnsi"/>
          <w:b/>
          <w:i w:val="0"/>
          <w:color w:val="auto"/>
          <w:sz w:val="22"/>
          <w:szCs w:val="22"/>
        </w:rPr>
        <w:t>Spillage</w:t>
      </w:r>
      <w:r w:rsidRPr="000968C6">
        <w:rPr>
          <w:rFonts w:asciiTheme="minorHAnsi" w:hAnsiTheme="minorHAnsi" w:cstheme="minorHAnsi"/>
          <w:b/>
          <w:i w:val="0"/>
          <w:color w:val="auto"/>
          <w:sz w:val="22"/>
          <w:szCs w:val="22"/>
        </w:rPr>
        <w:t xml:space="preserve"> Rate</w:t>
      </w:r>
    </w:p>
    <w:p w:rsidR="000968C6" w:rsidRDefault="000968C6" w:rsidP="000968C6">
      <w:pPr>
        <w:pStyle w:val="Reminders"/>
        <w:rPr>
          <w:rFonts w:asciiTheme="minorHAnsi" w:hAnsiTheme="minorHAnsi" w:cstheme="minorHAnsi"/>
          <w:i w:val="0"/>
          <w:color w:val="auto"/>
          <w:sz w:val="22"/>
          <w:szCs w:val="22"/>
        </w:rPr>
      </w:pPr>
      <w:r w:rsidRPr="000968C6">
        <w:rPr>
          <w:rFonts w:asciiTheme="minorHAnsi" w:hAnsiTheme="minorHAnsi" w:cstheme="minorHAnsi"/>
          <w:i w:val="0"/>
          <w:color w:val="auto"/>
          <w:sz w:val="22"/>
          <w:szCs w:val="22"/>
        </w:rPr>
        <w:t>Spillage rate will also be applied to measures however the values will not be tracked in the workpapers. The spillage rate will be tracked in an external table to be supplied to the Energy Division</w:t>
      </w:r>
      <w:r w:rsidR="00240B74">
        <w:rPr>
          <w:rFonts w:asciiTheme="minorHAnsi" w:hAnsiTheme="minorHAnsi" w:cstheme="minorHAnsi"/>
          <w:i w:val="0"/>
          <w:color w:val="auto"/>
          <w:sz w:val="22"/>
          <w:szCs w:val="22"/>
        </w:rPr>
        <w:t>.</w:t>
      </w:r>
    </w:p>
    <w:p w:rsidR="00E37F72" w:rsidRDefault="00E37F72" w:rsidP="000968C6">
      <w:pPr>
        <w:pStyle w:val="Reminders"/>
        <w:rPr>
          <w:rFonts w:asciiTheme="minorHAnsi" w:hAnsiTheme="minorHAnsi" w:cstheme="minorHAnsi"/>
          <w:i w:val="0"/>
          <w:color w:val="auto"/>
          <w:sz w:val="22"/>
          <w:szCs w:val="22"/>
        </w:rPr>
      </w:pPr>
    </w:p>
    <w:p w:rsidR="00E37F72" w:rsidRDefault="00E37F72" w:rsidP="000968C6">
      <w:pPr>
        <w:pStyle w:val="Reminders"/>
        <w:rPr>
          <w:rFonts w:asciiTheme="minorHAnsi" w:hAnsiTheme="minorHAnsi" w:cstheme="minorHAnsi"/>
          <w:b/>
          <w:i w:val="0"/>
          <w:color w:val="auto"/>
          <w:sz w:val="22"/>
          <w:szCs w:val="22"/>
        </w:rPr>
      </w:pPr>
      <w:r w:rsidRPr="00E37F72">
        <w:rPr>
          <w:rFonts w:asciiTheme="minorHAnsi" w:hAnsiTheme="minorHAnsi" w:cstheme="minorHAnsi"/>
          <w:b/>
          <w:i w:val="0"/>
          <w:color w:val="auto"/>
          <w:sz w:val="22"/>
          <w:szCs w:val="22"/>
        </w:rPr>
        <w:t xml:space="preserve">READi </w:t>
      </w:r>
      <w:r>
        <w:rPr>
          <w:rFonts w:asciiTheme="minorHAnsi" w:hAnsiTheme="minorHAnsi" w:cstheme="minorHAnsi"/>
          <w:b/>
          <w:i w:val="0"/>
          <w:color w:val="auto"/>
          <w:sz w:val="22"/>
          <w:szCs w:val="22"/>
        </w:rPr>
        <w:t>Technology Fields</w:t>
      </w:r>
    </w:p>
    <w:p w:rsidR="00240B74" w:rsidRDefault="00240B74" w:rsidP="000968C6">
      <w:pPr>
        <w:pStyle w:val="Reminders"/>
        <w:rPr>
          <w:rFonts w:asciiTheme="minorHAnsi" w:hAnsiTheme="minorHAnsi" w:cstheme="minorHAnsi"/>
          <w:i w:val="0"/>
          <w:color w:val="auto"/>
          <w:sz w:val="22"/>
          <w:szCs w:val="22"/>
        </w:rPr>
      </w:pPr>
      <w:r w:rsidRPr="00240B74">
        <w:rPr>
          <w:rFonts w:asciiTheme="minorHAnsi" w:hAnsiTheme="minorHAnsi" w:cstheme="minorHAnsi"/>
          <w:i w:val="0"/>
          <w:color w:val="auto"/>
          <w:sz w:val="22"/>
          <w:szCs w:val="22"/>
        </w:rPr>
        <w:t xml:space="preserve">To support the development of the ED ex ante tables, select fields from the ex ante database will be identified in the workpaper. For a full set of values associated with the measures in the workpaper refer the Excel calculation template. </w:t>
      </w:r>
    </w:p>
    <w:p w:rsidR="00573379" w:rsidRDefault="00573379" w:rsidP="00240B74">
      <w:pPr>
        <w:pStyle w:val="Caption"/>
        <w:jc w:val="center"/>
        <w:rPr>
          <w:rFonts w:asciiTheme="minorHAnsi" w:hAnsiTheme="minorHAnsi" w:cstheme="minorHAnsi"/>
          <w:sz w:val="22"/>
          <w:szCs w:val="22"/>
        </w:rPr>
      </w:pPr>
    </w:p>
    <w:p w:rsidR="00240B74" w:rsidRPr="00240B74" w:rsidRDefault="00240B74" w:rsidP="00240B74">
      <w:pPr>
        <w:pStyle w:val="Caption"/>
        <w:jc w:val="center"/>
        <w:rPr>
          <w:rFonts w:asciiTheme="minorHAnsi" w:hAnsiTheme="minorHAnsi" w:cstheme="minorHAnsi"/>
          <w:sz w:val="22"/>
          <w:szCs w:val="22"/>
        </w:rPr>
      </w:pPr>
      <w:r w:rsidRPr="00240B74">
        <w:rPr>
          <w:rFonts w:asciiTheme="minorHAnsi" w:hAnsiTheme="minorHAnsi" w:cstheme="minorHAnsi"/>
          <w:sz w:val="22"/>
          <w:szCs w:val="22"/>
        </w:rPr>
        <w:t xml:space="preserve">Table </w:t>
      </w:r>
      <w:r w:rsidRPr="00240B74">
        <w:rPr>
          <w:rFonts w:asciiTheme="minorHAnsi" w:hAnsiTheme="minorHAnsi" w:cstheme="minorHAnsi"/>
          <w:sz w:val="22"/>
          <w:szCs w:val="22"/>
        </w:rPr>
        <w:fldChar w:fldCharType="begin"/>
      </w:r>
      <w:r w:rsidRPr="00240B74">
        <w:rPr>
          <w:rFonts w:asciiTheme="minorHAnsi" w:hAnsiTheme="minorHAnsi" w:cstheme="minorHAnsi"/>
          <w:sz w:val="22"/>
          <w:szCs w:val="22"/>
        </w:rPr>
        <w:instrText xml:space="preserve"> SEQ Table \* ARABIC </w:instrText>
      </w:r>
      <w:r w:rsidRPr="00240B74">
        <w:rPr>
          <w:rFonts w:asciiTheme="minorHAnsi" w:hAnsiTheme="minorHAnsi" w:cstheme="minorHAnsi"/>
          <w:sz w:val="22"/>
          <w:szCs w:val="22"/>
        </w:rPr>
        <w:fldChar w:fldCharType="separate"/>
      </w:r>
      <w:r w:rsidR="00847A91">
        <w:rPr>
          <w:rFonts w:asciiTheme="minorHAnsi" w:hAnsiTheme="minorHAnsi" w:cstheme="minorHAnsi"/>
          <w:noProof/>
          <w:sz w:val="22"/>
          <w:szCs w:val="22"/>
        </w:rPr>
        <w:t>5</w:t>
      </w:r>
      <w:r w:rsidRPr="00240B74">
        <w:rPr>
          <w:rFonts w:asciiTheme="minorHAnsi" w:hAnsiTheme="minorHAnsi" w:cstheme="minorHAnsi"/>
          <w:sz w:val="22"/>
          <w:szCs w:val="22"/>
        </w:rPr>
        <w:fldChar w:fldCharType="end"/>
      </w:r>
      <w:r w:rsidRPr="00240B74">
        <w:rPr>
          <w:rFonts w:asciiTheme="minorHAnsi" w:hAnsiTheme="minorHAnsi" w:cstheme="minorHAnsi"/>
          <w:sz w:val="22"/>
          <w:szCs w:val="22"/>
        </w:rPr>
        <w:t xml:space="preserve"> </w:t>
      </w:r>
      <w:r>
        <w:rPr>
          <w:rFonts w:asciiTheme="minorHAnsi" w:hAnsiTheme="minorHAnsi" w:cstheme="minorHAnsi"/>
          <w:sz w:val="22"/>
          <w:szCs w:val="22"/>
        </w:rPr>
        <w:t>READi Tech IDs</w:t>
      </w:r>
    </w:p>
    <w:tbl>
      <w:tblPr>
        <w:tblStyle w:val="TableContemporary"/>
        <w:tblW w:w="0" w:type="auto"/>
        <w:jc w:val="center"/>
        <w:tblLook w:val="04A0" w:firstRow="1" w:lastRow="0" w:firstColumn="1" w:lastColumn="0" w:noHBand="0" w:noVBand="1"/>
      </w:tblPr>
      <w:tblGrid>
        <w:gridCol w:w="2448"/>
        <w:gridCol w:w="6030"/>
      </w:tblGrid>
      <w:tr w:rsidR="00240B74" w:rsidRPr="00240B74" w:rsidTr="00240B74">
        <w:trPr>
          <w:cnfStyle w:val="100000000000" w:firstRow="1" w:lastRow="0" w:firstColumn="0" w:lastColumn="0" w:oddVBand="0" w:evenVBand="0" w:oddHBand="0" w:evenHBand="0"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READi Field Name</w:t>
            </w:r>
          </w:p>
        </w:tc>
        <w:tc>
          <w:tcPr>
            <w:tcW w:w="6030"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Values included in this workpaper</w:t>
            </w:r>
          </w:p>
        </w:tc>
      </w:tr>
      <w:tr w:rsidR="00240B74" w:rsidRPr="00240B74" w:rsidTr="00240B74">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Measue Case UseCategory</w:t>
            </w:r>
          </w:p>
        </w:tc>
        <w:tc>
          <w:tcPr>
            <w:tcW w:w="6030" w:type="dxa"/>
          </w:tcPr>
          <w:p w:rsidR="00240B74" w:rsidRPr="00240B74" w:rsidRDefault="00D902B0" w:rsidP="000968C6">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HVAC</w:t>
            </w:r>
          </w:p>
        </w:tc>
      </w:tr>
      <w:tr w:rsidR="00240B74" w:rsidRPr="00240B74" w:rsidTr="00240B74">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Measure Case UseSubCats</w:t>
            </w:r>
          </w:p>
        </w:tc>
        <w:tc>
          <w:tcPr>
            <w:tcW w:w="6030" w:type="dxa"/>
          </w:tcPr>
          <w:p w:rsidR="00240B74" w:rsidRPr="00240B74" w:rsidRDefault="00D902B0" w:rsidP="000968C6">
            <w:pPr>
              <w:pStyle w:val="Reminders"/>
              <w:rPr>
                <w:rFonts w:asciiTheme="minorHAnsi" w:hAnsiTheme="minorHAnsi" w:cstheme="minorHAnsi"/>
                <w:i w:val="0"/>
                <w:color w:val="auto"/>
                <w:sz w:val="20"/>
                <w:szCs w:val="22"/>
              </w:rPr>
            </w:pPr>
            <w:r w:rsidRPr="00D902B0">
              <w:rPr>
                <w:rFonts w:asciiTheme="minorHAnsi" w:hAnsiTheme="minorHAnsi" w:cstheme="minorHAnsi"/>
                <w:i w:val="0"/>
                <w:color w:val="auto"/>
                <w:sz w:val="20"/>
                <w:szCs w:val="22"/>
              </w:rPr>
              <w:t>Space Cooling</w:t>
            </w:r>
            <w:r w:rsidR="006A6F9F">
              <w:rPr>
                <w:rFonts w:asciiTheme="minorHAnsi" w:hAnsiTheme="minorHAnsi" w:cstheme="minorHAnsi"/>
                <w:i w:val="0"/>
                <w:color w:val="auto"/>
                <w:sz w:val="20"/>
                <w:szCs w:val="22"/>
              </w:rPr>
              <w:t xml:space="preserve"> (SpaceCool)</w:t>
            </w:r>
          </w:p>
        </w:tc>
      </w:tr>
      <w:tr w:rsidR="00240B74" w:rsidRPr="00240B74" w:rsidTr="00240B74">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Measure Case TechGroups</w:t>
            </w:r>
          </w:p>
        </w:tc>
        <w:tc>
          <w:tcPr>
            <w:tcW w:w="6030" w:type="dxa"/>
          </w:tcPr>
          <w:p w:rsidR="00240B74" w:rsidRPr="00240B74" w:rsidRDefault="00D902B0" w:rsidP="000968C6">
            <w:pPr>
              <w:pStyle w:val="Reminders"/>
              <w:rPr>
                <w:rFonts w:asciiTheme="minorHAnsi" w:hAnsiTheme="minorHAnsi" w:cstheme="minorHAnsi"/>
                <w:i w:val="0"/>
                <w:color w:val="auto"/>
                <w:sz w:val="20"/>
                <w:szCs w:val="22"/>
              </w:rPr>
            </w:pPr>
            <w:r w:rsidRPr="00D902B0">
              <w:rPr>
                <w:rFonts w:asciiTheme="minorHAnsi" w:hAnsiTheme="minorHAnsi" w:cstheme="minorHAnsi"/>
                <w:i w:val="0"/>
                <w:color w:val="auto"/>
                <w:sz w:val="20"/>
                <w:szCs w:val="22"/>
              </w:rPr>
              <w:t>Evaporative Cooling Equipment</w:t>
            </w:r>
            <w:r w:rsidR="006A6F9F">
              <w:rPr>
                <w:rFonts w:asciiTheme="minorHAnsi" w:hAnsiTheme="minorHAnsi" w:cstheme="minorHAnsi"/>
                <w:i w:val="0"/>
                <w:color w:val="auto"/>
                <w:sz w:val="20"/>
                <w:szCs w:val="22"/>
              </w:rPr>
              <w:t xml:space="preserve"> (</w:t>
            </w:r>
            <w:proofErr w:type="spellStart"/>
            <w:r w:rsidR="006A6F9F">
              <w:rPr>
                <w:rFonts w:asciiTheme="minorHAnsi" w:hAnsiTheme="minorHAnsi" w:cstheme="minorHAnsi"/>
                <w:i w:val="0"/>
                <w:color w:val="auto"/>
                <w:sz w:val="20"/>
                <w:szCs w:val="22"/>
              </w:rPr>
              <w:t>EvapCool_eq</w:t>
            </w:r>
            <w:proofErr w:type="spellEnd"/>
            <w:r w:rsidR="006A6F9F">
              <w:rPr>
                <w:rFonts w:asciiTheme="minorHAnsi" w:hAnsiTheme="minorHAnsi" w:cstheme="minorHAnsi"/>
                <w:i w:val="0"/>
                <w:color w:val="auto"/>
                <w:sz w:val="20"/>
                <w:szCs w:val="22"/>
              </w:rPr>
              <w:t>)</w:t>
            </w:r>
          </w:p>
        </w:tc>
      </w:tr>
      <w:tr w:rsidR="00240B74" w:rsidRPr="00240B74" w:rsidTr="00240B74">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Measure Case TechTypes</w:t>
            </w:r>
          </w:p>
        </w:tc>
        <w:tc>
          <w:tcPr>
            <w:tcW w:w="6030" w:type="dxa"/>
          </w:tcPr>
          <w:p w:rsidR="00240B74" w:rsidRPr="00240B74" w:rsidRDefault="00D902B0" w:rsidP="000968C6">
            <w:pPr>
              <w:pStyle w:val="Reminders"/>
              <w:rPr>
                <w:rFonts w:asciiTheme="minorHAnsi" w:hAnsiTheme="minorHAnsi" w:cstheme="minorHAnsi"/>
                <w:i w:val="0"/>
                <w:color w:val="auto"/>
                <w:sz w:val="20"/>
                <w:szCs w:val="22"/>
              </w:rPr>
            </w:pPr>
            <w:r w:rsidRPr="00D902B0">
              <w:rPr>
                <w:rFonts w:asciiTheme="minorHAnsi" w:hAnsiTheme="minorHAnsi" w:cstheme="minorHAnsi"/>
                <w:i w:val="0"/>
                <w:color w:val="auto"/>
                <w:sz w:val="20"/>
                <w:szCs w:val="22"/>
              </w:rPr>
              <w:t>Residential Evaporative Cooler</w:t>
            </w:r>
            <w:r w:rsidR="006A6F9F">
              <w:rPr>
                <w:rFonts w:asciiTheme="minorHAnsi" w:hAnsiTheme="minorHAnsi" w:cstheme="minorHAnsi"/>
                <w:i w:val="0"/>
                <w:color w:val="auto"/>
                <w:sz w:val="20"/>
                <w:szCs w:val="22"/>
              </w:rPr>
              <w:t xml:space="preserve"> (</w:t>
            </w:r>
            <w:proofErr w:type="spellStart"/>
            <w:r w:rsidR="006A6F9F">
              <w:rPr>
                <w:rFonts w:asciiTheme="minorHAnsi" w:hAnsiTheme="minorHAnsi" w:cstheme="minorHAnsi"/>
                <w:i w:val="0"/>
                <w:color w:val="auto"/>
                <w:sz w:val="20"/>
                <w:szCs w:val="22"/>
              </w:rPr>
              <w:t>ResEvap</w:t>
            </w:r>
            <w:proofErr w:type="spellEnd"/>
            <w:r w:rsidR="006A6F9F">
              <w:rPr>
                <w:rFonts w:asciiTheme="minorHAnsi" w:hAnsiTheme="minorHAnsi" w:cstheme="minorHAnsi"/>
                <w:i w:val="0"/>
                <w:color w:val="auto"/>
                <w:sz w:val="20"/>
                <w:szCs w:val="22"/>
              </w:rPr>
              <w:t>)</w:t>
            </w:r>
          </w:p>
        </w:tc>
      </w:tr>
      <w:tr w:rsidR="00240B74" w:rsidRPr="00240B74" w:rsidTr="00240B74">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Base Case TechGroups</w:t>
            </w:r>
          </w:p>
        </w:tc>
        <w:tc>
          <w:tcPr>
            <w:tcW w:w="6030" w:type="dxa"/>
          </w:tcPr>
          <w:p w:rsidR="00240B74" w:rsidRPr="00240B74" w:rsidRDefault="00D0089C" w:rsidP="000968C6">
            <w:pPr>
              <w:pStyle w:val="Reminders"/>
              <w:rPr>
                <w:rFonts w:asciiTheme="minorHAnsi" w:hAnsiTheme="minorHAnsi" w:cstheme="minorHAnsi"/>
                <w:i w:val="0"/>
                <w:color w:val="auto"/>
                <w:sz w:val="20"/>
                <w:szCs w:val="22"/>
              </w:rPr>
            </w:pPr>
            <w:r w:rsidRPr="00D0089C">
              <w:rPr>
                <w:rFonts w:asciiTheme="minorHAnsi" w:hAnsiTheme="minorHAnsi" w:cstheme="minorHAnsi"/>
                <w:i w:val="0"/>
                <w:color w:val="auto"/>
                <w:sz w:val="20"/>
                <w:szCs w:val="22"/>
              </w:rPr>
              <w:t>dX AC Equipment</w:t>
            </w:r>
            <w:r w:rsidR="006A6F9F">
              <w:rPr>
                <w:rFonts w:asciiTheme="minorHAnsi" w:hAnsiTheme="minorHAnsi" w:cstheme="minorHAnsi"/>
                <w:i w:val="0"/>
                <w:color w:val="auto"/>
                <w:sz w:val="20"/>
                <w:szCs w:val="22"/>
              </w:rPr>
              <w:t xml:space="preserve"> (dxAC_equip)</w:t>
            </w:r>
          </w:p>
        </w:tc>
      </w:tr>
      <w:tr w:rsidR="00240B74" w:rsidRPr="00240B74" w:rsidTr="00240B74">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Base Case TechTypes</w:t>
            </w:r>
          </w:p>
        </w:tc>
        <w:tc>
          <w:tcPr>
            <w:tcW w:w="6030" w:type="dxa"/>
          </w:tcPr>
          <w:p w:rsidR="00240B74" w:rsidRPr="00240B74" w:rsidRDefault="00D0089C" w:rsidP="000968C6">
            <w:pPr>
              <w:pStyle w:val="Reminders"/>
              <w:rPr>
                <w:rFonts w:asciiTheme="minorHAnsi" w:hAnsiTheme="minorHAnsi" w:cstheme="minorHAnsi"/>
                <w:i w:val="0"/>
                <w:color w:val="auto"/>
                <w:sz w:val="20"/>
                <w:szCs w:val="22"/>
              </w:rPr>
            </w:pPr>
            <w:r w:rsidRPr="00D0089C">
              <w:rPr>
                <w:rFonts w:asciiTheme="minorHAnsi" w:hAnsiTheme="minorHAnsi" w:cstheme="minorHAnsi"/>
                <w:i w:val="0"/>
                <w:color w:val="auto"/>
                <w:sz w:val="20"/>
                <w:szCs w:val="22"/>
              </w:rPr>
              <w:t>SEER Rated Split System AC</w:t>
            </w:r>
            <w:r w:rsidR="006A6F9F">
              <w:rPr>
                <w:rFonts w:asciiTheme="minorHAnsi" w:hAnsiTheme="minorHAnsi" w:cstheme="minorHAnsi"/>
                <w:i w:val="0"/>
                <w:color w:val="auto"/>
                <w:sz w:val="20"/>
                <w:szCs w:val="22"/>
              </w:rPr>
              <w:t xml:space="preserve"> (</w:t>
            </w:r>
            <w:proofErr w:type="spellStart"/>
            <w:r w:rsidR="006A6F9F">
              <w:rPr>
                <w:rFonts w:asciiTheme="minorHAnsi" w:hAnsiTheme="minorHAnsi" w:cstheme="minorHAnsi"/>
                <w:i w:val="0"/>
                <w:color w:val="auto"/>
                <w:sz w:val="20"/>
                <w:szCs w:val="22"/>
              </w:rPr>
              <w:t>splitSEER</w:t>
            </w:r>
            <w:proofErr w:type="spellEnd"/>
            <w:r w:rsidR="006A6F9F">
              <w:rPr>
                <w:rFonts w:asciiTheme="minorHAnsi" w:hAnsiTheme="minorHAnsi" w:cstheme="minorHAnsi"/>
                <w:i w:val="0"/>
                <w:color w:val="auto"/>
                <w:sz w:val="20"/>
                <w:szCs w:val="22"/>
              </w:rPr>
              <w:t>)</w:t>
            </w:r>
          </w:p>
        </w:tc>
      </w:tr>
    </w:tbl>
    <w:p w:rsidR="00240B74" w:rsidRPr="00240B74" w:rsidRDefault="00240B74" w:rsidP="000968C6">
      <w:pPr>
        <w:pStyle w:val="Reminders"/>
        <w:rPr>
          <w:rFonts w:asciiTheme="minorHAnsi" w:hAnsiTheme="minorHAnsi" w:cstheme="minorHAnsi"/>
          <w:i w:val="0"/>
          <w:color w:val="auto"/>
          <w:sz w:val="22"/>
          <w:szCs w:val="22"/>
        </w:rPr>
      </w:pPr>
    </w:p>
    <w:p w:rsidR="00E16609" w:rsidRPr="00F06CCF" w:rsidRDefault="00F06CCF" w:rsidP="00F06CCF">
      <w:pPr>
        <w:pStyle w:val="Heading3"/>
        <w:rPr>
          <w:rFonts w:asciiTheme="minorHAnsi" w:hAnsiTheme="minorHAnsi"/>
        </w:rPr>
      </w:pPr>
      <w:r>
        <w:rPr>
          <w:rFonts w:asciiTheme="minorHAnsi" w:hAnsiTheme="minorHAnsi"/>
        </w:rPr>
        <w:t>1.4.2</w:t>
      </w:r>
      <w:r w:rsidR="00824F1C" w:rsidRPr="00F06CCF">
        <w:rPr>
          <w:rFonts w:asciiTheme="minorHAnsi" w:hAnsiTheme="minorHAnsi"/>
        </w:rPr>
        <w:t xml:space="preserve"> </w:t>
      </w:r>
      <w:r w:rsidR="00E16609" w:rsidRPr="00F06CCF">
        <w:rPr>
          <w:rFonts w:asciiTheme="minorHAnsi" w:hAnsiTheme="minorHAnsi"/>
        </w:rPr>
        <w:t>Code</w:t>
      </w:r>
      <w:r w:rsidR="00B26778">
        <w:rPr>
          <w:rFonts w:asciiTheme="minorHAnsi" w:hAnsiTheme="minorHAnsi"/>
        </w:rPr>
        <w:t xml:space="preserve">s and Standards </w:t>
      </w:r>
      <w:r w:rsidR="00E16609" w:rsidRPr="00F06CCF">
        <w:rPr>
          <w:rFonts w:asciiTheme="minorHAnsi" w:hAnsiTheme="minorHAnsi"/>
        </w:rPr>
        <w:t xml:space="preserve">Analysis </w:t>
      </w:r>
      <w:bookmarkEnd w:id="9"/>
    </w:p>
    <w:p w:rsidR="00514530" w:rsidRPr="00514530" w:rsidRDefault="00514530" w:rsidP="00514530">
      <w:pPr>
        <w:pStyle w:val="Reminders"/>
        <w:rPr>
          <w:rFonts w:asciiTheme="minorHAnsi" w:hAnsiTheme="minorHAnsi" w:cstheme="minorHAnsi"/>
          <w:i w:val="0"/>
          <w:color w:val="auto"/>
          <w:sz w:val="22"/>
          <w:szCs w:val="22"/>
        </w:rPr>
      </w:pPr>
      <w:r w:rsidRPr="00514530">
        <w:rPr>
          <w:rFonts w:asciiTheme="minorHAnsi" w:hAnsiTheme="minorHAnsi" w:cstheme="minorHAnsi"/>
          <w:i w:val="0"/>
          <w:color w:val="auto"/>
          <w:sz w:val="22"/>
          <w:szCs w:val="22"/>
        </w:rPr>
        <w:t xml:space="preserve">There are no energy efficiency standards or energy design standards for this measure. The Title 24 2013 Residential Compliance Manual </w:t>
      </w:r>
      <w:r>
        <w:rPr>
          <w:rFonts w:asciiTheme="minorHAnsi" w:hAnsiTheme="minorHAnsi" w:cstheme="minorHAnsi"/>
          <w:i w:val="0"/>
          <w:color w:val="auto"/>
          <w:sz w:val="22"/>
          <w:szCs w:val="22"/>
        </w:rPr>
        <w:t xml:space="preserve">[355] </w:t>
      </w:r>
      <w:r w:rsidRPr="00514530">
        <w:rPr>
          <w:rFonts w:asciiTheme="minorHAnsi" w:hAnsiTheme="minorHAnsi" w:cstheme="minorHAnsi"/>
          <w:i w:val="0"/>
          <w:color w:val="auto"/>
          <w:sz w:val="22"/>
          <w:szCs w:val="22"/>
        </w:rPr>
        <w:t xml:space="preserve">provides indirect and indirect-direct evaporative coolers with compliance credits, but does not allow compliance credit for direct evaporative coolers. </w:t>
      </w:r>
    </w:p>
    <w:p w:rsidR="00514530" w:rsidRPr="00514530" w:rsidRDefault="00514530" w:rsidP="00514530">
      <w:pPr>
        <w:rPr>
          <w:rFonts w:asciiTheme="minorHAnsi" w:hAnsiTheme="minorHAnsi" w:cstheme="minorHAnsi"/>
          <w:sz w:val="22"/>
          <w:szCs w:val="22"/>
        </w:rPr>
      </w:pPr>
    </w:p>
    <w:p w:rsidR="00514530" w:rsidRDefault="00514530" w:rsidP="00514530">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 xml:space="preserve">The 2014 </w:t>
      </w:r>
      <w:r w:rsidRPr="00514530">
        <w:rPr>
          <w:rFonts w:asciiTheme="minorHAnsi" w:hAnsiTheme="minorHAnsi" w:cstheme="minorHAnsi"/>
          <w:i w:val="0"/>
          <w:color w:val="auto"/>
          <w:sz w:val="22"/>
          <w:szCs w:val="22"/>
        </w:rPr>
        <w:t>Title 20 [</w:t>
      </w:r>
      <w:r>
        <w:rPr>
          <w:rFonts w:asciiTheme="minorHAnsi" w:hAnsiTheme="minorHAnsi" w:cstheme="minorHAnsi"/>
          <w:i w:val="0"/>
          <w:color w:val="auto"/>
          <w:sz w:val="22"/>
          <w:szCs w:val="22"/>
        </w:rPr>
        <w:t>422</w:t>
      </w:r>
      <w:r w:rsidRPr="00514530">
        <w:rPr>
          <w:rFonts w:asciiTheme="minorHAnsi" w:hAnsiTheme="minorHAnsi" w:cstheme="minorHAnsi"/>
          <w:i w:val="0"/>
          <w:color w:val="auto"/>
          <w:sz w:val="22"/>
          <w:szCs w:val="22"/>
        </w:rPr>
        <w:t>]</w:t>
      </w:r>
      <w:r>
        <w:rPr>
          <w:rFonts w:asciiTheme="minorHAnsi" w:hAnsiTheme="minorHAnsi" w:cstheme="minorHAnsi"/>
          <w:i w:val="0"/>
          <w:color w:val="auto"/>
          <w:sz w:val="22"/>
          <w:szCs w:val="22"/>
        </w:rPr>
        <w:t xml:space="preserve"> Appliance Efficiency Standards</w:t>
      </w:r>
      <w:r w:rsidRPr="00514530">
        <w:rPr>
          <w:rFonts w:asciiTheme="minorHAnsi" w:hAnsiTheme="minorHAnsi" w:cstheme="minorHAnsi"/>
          <w:i w:val="0"/>
          <w:color w:val="auto"/>
          <w:sz w:val="22"/>
          <w:szCs w:val="22"/>
        </w:rPr>
        <w:t xml:space="preserve"> does not cover evaporative coolers, and gives the following language, “There are no energy efficiency standards or energy design standards for spot air conditioners, evaporative coolers, whole house fans, or residential exhaust fans.”</w:t>
      </w:r>
      <w:r w:rsidR="003B48A8" w:rsidRPr="003B48A8">
        <w:rPr>
          <w:rFonts w:asciiTheme="minorHAnsi" w:hAnsiTheme="minorHAnsi" w:cstheme="minorHAnsi"/>
          <w:i w:val="0"/>
          <w:color w:val="auto"/>
          <w:sz w:val="22"/>
          <w:szCs w:val="22"/>
        </w:rPr>
        <w:t xml:space="preserve"> </w:t>
      </w:r>
      <w:r w:rsidR="003B48A8">
        <w:rPr>
          <w:rFonts w:asciiTheme="minorHAnsi" w:hAnsiTheme="minorHAnsi" w:cstheme="minorHAnsi"/>
          <w:i w:val="0"/>
          <w:color w:val="auto"/>
          <w:sz w:val="22"/>
          <w:szCs w:val="22"/>
        </w:rPr>
        <w:t>Please note that Title 20 also specifies that air cooled air conditioners must be 13.0 SEER effective June 15, 2008. This requirement impacts the energy savings as the baseline used for the measures is a SEER 13 air conditioner.</w:t>
      </w:r>
    </w:p>
    <w:p w:rsidR="00514530" w:rsidRPr="00514530" w:rsidRDefault="00514530" w:rsidP="00514530">
      <w:pPr>
        <w:pStyle w:val="Reminders"/>
        <w:rPr>
          <w:rFonts w:asciiTheme="minorHAnsi" w:hAnsiTheme="minorHAnsi" w:cstheme="minorHAnsi"/>
          <w:i w:val="0"/>
          <w:color w:val="auto"/>
          <w:sz w:val="22"/>
          <w:szCs w:val="22"/>
        </w:rPr>
      </w:pPr>
    </w:p>
    <w:p w:rsidR="00B07EE5" w:rsidRPr="00697868" w:rsidRDefault="00B07EE5" w:rsidP="00B07EE5">
      <w:pPr>
        <w:pStyle w:val="Caption"/>
        <w:keepNext/>
        <w:jc w:val="center"/>
        <w:rPr>
          <w:rFonts w:asciiTheme="minorHAnsi" w:hAnsiTheme="minorHAnsi" w:cstheme="minorHAnsi"/>
          <w:sz w:val="22"/>
          <w:szCs w:val="22"/>
        </w:rPr>
      </w:pPr>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847A91">
        <w:rPr>
          <w:rFonts w:asciiTheme="minorHAnsi" w:hAnsiTheme="minorHAnsi" w:cstheme="minorHAnsi"/>
          <w:noProof/>
          <w:sz w:val="22"/>
          <w:szCs w:val="22"/>
        </w:rPr>
        <w:t>6</w:t>
      </w:r>
      <w:r w:rsidRPr="00697868">
        <w:rPr>
          <w:rFonts w:asciiTheme="minorHAnsi" w:hAnsiTheme="minorHAnsi" w:cstheme="minorHAnsi"/>
          <w:sz w:val="22"/>
          <w:szCs w:val="22"/>
        </w:rPr>
        <w:fldChar w:fldCharType="end"/>
      </w:r>
      <w:r w:rsidRPr="00697868">
        <w:rPr>
          <w:rFonts w:asciiTheme="minorHAnsi" w:hAnsiTheme="minorHAnsi" w:cstheme="minorHAnsi"/>
          <w:sz w:val="22"/>
          <w:szCs w:val="22"/>
        </w:rPr>
        <w:t xml:space="preserve"> </w:t>
      </w:r>
      <w:r w:rsidR="005A1078" w:rsidRPr="00697868">
        <w:rPr>
          <w:rFonts w:asciiTheme="minorHAnsi" w:hAnsiTheme="minorHAnsi" w:cstheme="minorHAnsi"/>
          <w:sz w:val="22"/>
          <w:szCs w:val="22"/>
        </w:rPr>
        <w:t>Code Summary</w:t>
      </w:r>
    </w:p>
    <w:tbl>
      <w:tblPr>
        <w:tblStyle w:val="TableContemporary"/>
        <w:tblW w:w="8027" w:type="dxa"/>
        <w:jc w:val="center"/>
        <w:tblInd w:w="-4933" w:type="dxa"/>
        <w:tblLook w:val="04A0" w:firstRow="1" w:lastRow="0" w:firstColumn="1" w:lastColumn="0" w:noHBand="0" w:noVBand="1"/>
      </w:tblPr>
      <w:tblGrid>
        <w:gridCol w:w="1854"/>
        <w:gridCol w:w="4352"/>
        <w:gridCol w:w="1821"/>
      </w:tblGrid>
      <w:tr w:rsidR="00881A42" w:rsidRPr="00697868" w:rsidTr="00C25E61">
        <w:trPr>
          <w:cnfStyle w:val="100000000000" w:firstRow="1" w:lastRow="0" w:firstColumn="0" w:lastColumn="0" w:oddVBand="0" w:evenVBand="0" w:oddHBand="0" w:evenHBand="0" w:firstRowFirstColumn="0" w:firstRowLastColumn="0" w:lastRowFirstColumn="0" w:lastRowLastColumn="0"/>
          <w:jc w:val="center"/>
        </w:trPr>
        <w:tc>
          <w:tcPr>
            <w:tcW w:w="1854" w:type="dxa"/>
          </w:tcPr>
          <w:p w:rsidR="00881A42" w:rsidRPr="00697868" w:rsidRDefault="00881A42" w:rsidP="00283DE8">
            <w:pPr>
              <w:jc w:val="center"/>
              <w:rPr>
                <w:rFonts w:asciiTheme="minorHAnsi" w:hAnsiTheme="minorHAnsi" w:cstheme="minorHAnsi"/>
                <w:sz w:val="20"/>
                <w:szCs w:val="20"/>
              </w:rPr>
            </w:pPr>
            <w:r w:rsidRPr="00697868">
              <w:rPr>
                <w:rFonts w:asciiTheme="minorHAnsi" w:hAnsiTheme="minorHAnsi" w:cstheme="minorHAnsi"/>
                <w:sz w:val="20"/>
                <w:szCs w:val="20"/>
              </w:rPr>
              <w:t>Code</w:t>
            </w:r>
          </w:p>
        </w:tc>
        <w:tc>
          <w:tcPr>
            <w:tcW w:w="4352" w:type="dxa"/>
          </w:tcPr>
          <w:p w:rsidR="00881A42" w:rsidRPr="00697868" w:rsidRDefault="00CB0100" w:rsidP="00283DE8">
            <w:pPr>
              <w:jc w:val="center"/>
              <w:rPr>
                <w:rFonts w:asciiTheme="minorHAnsi" w:hAnsiTheme="minorHAnsi" w:cstheme="minorHAnsi"/>
                <w:sz w:val="20"/>
                <w:szCs w:val="20"/>
              </w:rPr>
            </w:pPr>
            <w:r w:rsidRPr="00697868">
              <w:rPr>
                <w:rFonts w:asciiTheme="minorHAnsi" w:hAnsiTheme="minorHAnsi" w:cstheme="minorHAnsi"/>
                <w:sz w:val="20"/>
                <w:szCs w:val="20"/>
              </w:rPr>
              <w:t xml:space="preserve">Applicable </w:t>
            </w:r>
            <w:r w:rsidR="00881A42" w:rsidRPr="00697868">
              <w:rPr>
                <w:rFonts w:asciiTheme="minorHAnsi" w:hAnsiTheme="minorHAnsi" w:cstheme="minorHAnsi"/>
                <w:sz w:val="20"/>
                <w:szCs w:val="20"/>
              </w:rPr>
              <w:t>Code Reference</w:t>
            </w:r>
          </w:p>
        </w:tc>
        <w:tc>
          <w:tcPr>
            <w:tcW w:w="1821" w:type="dxa"/>
          </w:tcPr>
          <w:p w:rsidR="00881A42" w:rsidRPr="00697868" w:rsidRDefault="00881A42" w:rsidP="00283DE8">
            <w:pPr>
              <w:jc w:val="center"/>
              <w:rPr>
                <w:rFonts w:asciiTheme="minorHAnsi" w:hAnsiTheme="minorHAnsi" w:cstheme="minorHAnsi"/>
                <w:sz w:val="20"/>
                <w:szCs w:val="20"/>
              </w:rPr>
            </w:pPr>
            <w:r w:rsidRPr="00697868">
              <w:rPr>
                <w:rFonts w:asciiTheme="minorHAnsi" w:hAnsiTheme="minorHAnsi" w:cstheme="minorHAnsi"/>
                <w:sz w:val="20"/>
                <w:szCs w:val="20"/>
              </w:rPr>
              <w:t>Effective Dates</w:t>
            </w:r>
          </w:p>
        </w:tc>
      </w:tr>
      <w:tr w:rsidR="00881A42" w:rsidRPr="00697868" w:rsidTr="00C25E61">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vAlign w:val="center"/>
          </w:tcPr>
          <w:p w:rsidR="00881A42" w:rsidRPr="007645F0" w:rsidRDefault="007645F0" w:rsidP="007E43F8">
            <w:pPr>
              <w:jc w:val="center"/>
              <w:rPr>
                <w:rFonts w:asciiTheme="minorHAnsi" w:hAnsiTheme="minorHAnsi" w:cstheme="minorHAnsi"/>
                <w:sz w:val="20"/>
                <w:szCs w:val="20"/>
              </w:rPr>
            </w:pPr>
            <w:r>
              <w:rPr>
                <w:rFonts w:asciiTheme="minorHAnsi" w:hAnsiTheme="minorHAnsi" w:cstheme="minorHAnsi"/>
                <w:sz w:val="20"/>
                <w:szCs w:val="20"/>
              </w:rPr>
              <w:t>Title 24 (2013</w:t>
            </w:r>
            <w:r w:rsidR="00881A42" w:rsidRPr="007645F0">
              <w:rPr>
                <w:rFonts w:asciiTheme="minorHAnsi" w:hAnsiTheme="minorHAnsi" w:cstheme="minorHAnsi"/>
                <w:sz w:val="20"/>
                <w:szCs w:val="20"/>
              </w:rPr>
              <w:t>)</w:t>
            </w:r>
          </w:p>
        </w:tc>
        <w:tc>
          <w:tcPr>
            <w:tcW w:w="4352" w:type="dxa"/>
            <w:vAlign w:val="center"/>
          </w:tcPr>
          <w:p w:rsidR="00881A42" w:rsidRPr="007645F0" w:rsidRDefault="007645F0" w:rsidP="007E43F8">
            <w:pPr>
              <w:jc w:val="center"/>
              <w:rPr>
                <w:rFonts w:asciiTheme="minorHAnsi" w:hAnsiTheme="minorHAnsi" w:cstheme="minorHAnsi"/>
                <w:sz w:val="20"/>
                <w:szCs w:val="20"/>
              </w:rPr>
            </w:pPr>
            <w:r>
              <w:rPr>
                <w:rFonts w:asciiTheme="minorHAnsi" w:hAnsiTheme="minorHAnsi" w:cstheme="minorHAnsi"/>
                <w:sz w:val="20"/>
                <w:szCs w:val="20"/>
              </w:rPr>
              <w:t>N/A</w:t>
            </w:r>
          </w:p>
        </w:tc>
        <w:tc>
          <w:tcPr>
            <w:tcW w:w="1821" w:type="dxa"/>
            <w:vAlign w:val="center"/>
          </w:tcPr>
          <w:p w:rsidR="00881A42" w:rsidRPr="007645F0" w:rsidRDefault="007645F0" w:rsidP="007E43F8">
            <w:pPr>
              <w:jc w:val="center"/>
              <w:rPr>
                <w:rFonts w:asciiTheme="minorHAnsi" w:hAnsiTheme="minorHAnsi" w:cstheme="minorHAnsi"/>
                <w:sz w:val="20"/>
                <w:szCs w:val="20"/>
              </w:rPr>
            </w:pPr>
            <w:r>
              <w:rPr>
                <w:rFonts w:asciiTheme="minorHAnsi" w:hAnsiTheme="minorHAnsi" w:cstheme="minorHAnsi"/>
                <w:sz w:val="20"/>
                <w:szCs w:val="20"/>
              </w:rPr>
              <w:t>N/A</w:t>
            </w:r>
          </w:p>
        </w:tc>
      </w:tr>
      <w:tr w:rsidR="00881A42" w:rsidRPr="00697868" w:rsidTr="00C25E61">
        <w:trPr>
          <w:cnfStyle w:val="000000010000" w:firstRow="0" w:lastRow="0" w:firstColumn="0" w:lastColumn="0" w:oddVBand="0" w:evenVBand="0" w:oddHBand="0" w:evenHBand="1" w:firstRowFirstColumn="0" w:firstRowLastColumn="0" w:lastRowFirstColumn="0" w:lastRowLastColumn="0"/>
          <w:trHeight w:val="243"/>
          <w:jc w:val="center"/>
        </w:trPr>
        <w:tc>
          <w:tcPr>
            <w:tcW w:w="1854" w:type="dxa"/>
            <w:vAlign w:val="center"/>
          </w:tcPr>
          <w:p w:rsidR="00881A42" w:rsidRPr="007645F0" w:rsidRDefault="002C6C7A" w:rsidP="007645F0">
            <w:pPr>
              <w:jc w:val="center"/>
              <w:rPr>
                <w:rFonts w:asciiTheme="minorHAnsi" w:hAnsiTheme="minorHAnsi" w:cstheme="minorHAnsi"/>
                <w:sz w:val="20"/>
                <w:szCs w:val="20"/>
              </w:rPr>
            </w:pPr>
            <w:r w:rsidRPr="007645F0">
              <w:rPr>
                <w:rFonts w:asciiTheme="minorHAnsi" w:hAnsiTheme="minorHAnsi" w:cstheme="minorHAnsi"/>
                <w:sz w:val="20"/>
                <w:szCs w:val="20"/>
              </w:rPr>
              <w:t>Title 20 (201</w:t>
            </w:r>
            <w:r w:rsidR="007645F0">
              <w:rPr>
                <w:rFonts w:asciiTheme="minorHAnsi" w:hAnsiTheme="minorHAnsi" w:cstheme="minorHAnsi"/>
                <w:sz w:val="20"/>
                <w:szCs w:val="20"/>
              </w:rPr>
              <w:t>4</w:t>
            </w:r>
            <w:r w:rsidRPr="007645F0">
              <w:rPr>
                <w:rFonts w:asciiTheme="minorHAnsi" w:hAnsiTheme="minorHAnsi" w:cstheme="minorHAnsi"/>
                <w:sz w:val="20"/>
                <w:szCs w:val="20"/>
              </w:rPr>
              <w:t>)</w:t>
            </w:r>
          </w:p>
        </w:tc>
        <w:tc>
          <w:tcPr>
            <w:tcW w:w="4352" w:type="dxa"/>
            <w:vAlign w:val="center"/>
          </w:tcPr>
          <w:p w:rsidR="003B48A8" w:rsidRPr="003B48A8" w:rsidRDefault="003B48A8" w:rsidP="003B48A8">
            <w:pPr>
              <w:jc w:val="center"/>
              <w:rPr>
                <w:rFonts w:asciiTheme="minorHAnsi" w:hAnsiTheme="minorHAnsi" w:cstheme="minorHAnsi"/>
                <w:sz w:val="20"/>
                <w:szCs w:val="20"/>
              </w:rPr>
            </w:pPr>
            <w:r w:rsidRPr="003B48A8">
              <w:rPr>
                <w:rFonts w:asciiTheme="minorHAnsi" w:hAnsiTheme="minorHAnsi" w:cstheme="minorHAnsi"/>
                <w:sz w:val="20"/>
                <w:szCs w:val="20"/>
              </w:rPr>
              <w:t xml:space="preserve">Table C-3 </w:t>
            </w:r>
          </w:p>
          <w:p w:rsidR="003B48A8" w:rsidRPr="003B48A8" w:rsidRDefault="003B48A8" w:rsidP="003B48A8">
            <w:pPr>
              <w:jc w:val="center"/>
              <w:rPr>
                <w:rFonts w:asciiTheme="minorHAnsi" w:hAnsiTheme="minorHAnsi" w:cstheme="minorHAnsi"/>
                <w:sz w:val="20"/>
                <w:szCs w:val="20"/>
              </w:rPr>
            </w:pPr>
            <w:r w:rsidRPr="003B48A8">
              <w:rPr>
                <w:rFonts w:asciiTheme="minorHAnsi" w:hAnsiTheme="minorHAnsi" w:cstheme="minorHAnsi"/>
                <w:sz w:val="20"/>
                <w:szCs w:val="20"/>
              </w:rPr>
              <w:t xml:space="preserve">Standards for Air-Cooled Air Conditioners and Air-Source Heat Pumps Subject to </w:t>
            </w:r>
            <w:proofErr w:type="spellStart"/>
            <w:r w:rsidRPr="003B48A8">
              <w:rPr>
                <w:rFonts w:asciiTheme="minorHAnsi" w:hAnsiTheme="minorHAnsi" w:cstheme="minorHAnsi"/>
                <w:sz w:val="20"/>
                <w:szCs w:val="20"/>
              </w:rPr>
              <w:t>EPAct</w:t>
            </w:r>
            <w:proofErr w:type="spellEnd"/>
            <w:r w:rsidRPr="003B48A8">
              <w:rPr>
                <w:rFonts w:asciiTheme="minorHAnsi" w:hAnsiTheme="minorHAnsi" w:cstheme="minorHAnsi"/>
                <w:sz w:val="20"/>
                <w:szCs w:val="20"/>
              </w:rPr>
              <w:t xml:space="preserve"> </w:t>
            </w:r>
          </w:p>
          <w:p w:rsidR="00881A42" w:rsidRPr="007645F0" w:rsidRDefault="003B48A8" w:rsidP="003B48A8">
            <w:pPr>
              <w:jc w:val="center"/>
              <w:rPr>
                <w:rFonts w:asciiTheme="minorHAnsi" w:hAnsiTheme="minorHAnsi" w:cstheme="minorHAnsi"/>
                <w:sz w:val="20"/>
                <w:szCs w:val="20"/>
              </w:rPr>
            </w:pPr>
            <w:r w:rsidRPr="003B48A8">
              <w:rPr>
                <w:rFonts w:asciiTheme="minorHAnsi" w:hAnsiTheme="minorHAnsi" w:cstheme="minorHAnsi"/>
                <w:sz w:val="20"/>
                <w:szCs w:val="20"/>
              </w:rPr>
              <w:t>(Standards Effective January 1, 2010 Do Not Apply To Single Package Vertical Air Conditioners)</w:t>
            </w:r>
          </w:p>
        </w:tc>
        <w:tc>
          <w:tcPr>
            <w:tcW w:w="1821" w:type="dxa"/>
            <w:vAlign w:val="center"/>
          </w:tcPr>
          <w:p w:rsidR="00881A42" w:rsidRPr="007645F0" w:rsidRDefault="003B48A8" w:rsidP="007E43F8">
            <w:pPr>
              <w:jc w:val="center"/>
              <w:rPr>
                <w:rFonts w:asciiTheme="minorHAnsi" w:hAnsiTheme="minorHAnsi" w:cstheme="minorHAnsi"/>
                <w:sz w:val="20"/>
                <w:szCs w:val="20"/>
              </w:rPr>
            </w:pPr>
            <w:r>
              <w:rPr>
                <w:rFonts w:asciiTheme="minorHAnsi" w:hAnsiTheme="minorHAnsi" w:cstheme="minorHAnsi"/>
                <w:sz w:val="20"/>
                <w:szCs w:val="20"/>
              </w:rPr>
              <w:t>June 15, 2008</w:t>
            </w:r>
          </w:p>
        </w:tc>
      </w:tr>
    </w:tbl>
    <w:p w:rsidR="00B07EE5" w:rsidRPr="00697868" w:rsidRDefault="00B07EE5" w:rsidP="00E16609">
      <w:pPr>
        <w:pStyle w:val="Reminders"/>
        <w:rPr>
          <w:rFonts w:asciiTheme="minorHAnsi" w:hAnsiTheme="minorHAnsi" w:cstheme="minorHAnsi"/>
          <w:sz w:val="22"/>
          <w:szCs w:val="22"/>
        </w:rPr>
      </w:pPr>
    </w:p>
    <w:p w:rsidR="00AB21F5" w:rsidRDefault="00AB21F5" w:rsidP="00F06CCF">
      <w:pPr>
        <w:pStyle w:val="Heading3"/>
        <w:rPr>
          <w:rFonts w:asciiTheme="minorHAnsi" w:hAnsiTheme="minorHAnsi"/>
        </w:rPr>
      </w:pPr>
      <w:bookmarkStart w:id="12" w:name="_Toc214003088"/>
      <w:r w:rsidRPr="00AB21F5">
        <w:rPr>
          <w:rFonts w:asciiTheme="minorHAnsi" w:hAnsiTheme="minorHAnsi"/>
        </w:rPr>
        <w:t>1.4.3 Non-DEER Study Review</w:t>
      </w:r>
    </w:p>
    <w:p w:rsidR="00761CE9" w:rsidRPr="0051696C" w:rsidRDefault="00761CE9" w:rsidP="00761CE9">
      <w:pPr>
        <w:pStyle w:val="Reminder"/>
        <w:rPr>
          <w:rFonts w:asciiTheme="minorHAnsi" w:hAnsiTheme="minorHAnsi" w:cstheme="minorHAnsi"/>
          <w:i w:val="0"/>
          <w:color w:val="auto"/>
          <w:sz w:val="22"/>
          <w:szCs w:val="22"/>
        </w:rPr>
      </w:pPr>
      <w:r w:rsidRPr="0051696C">
        <w:rPr>
          <w:rFonts w:asciiTheme="minorHAnsi" w:hAnsiTheme="minorHAnsi" w:cstheme="minorHAnsi"/>
          <w:i w:val="0"/>
          <w:color w:val="auto"/>
          <w:sz w:val="22"/>
          <w:szCs w:val="22"/>
        </w:rPr>
        <w:t xml:space="preserve">No other studies were used </w:t>
      </w:r>
      <w:r>
        <w:rPr>
          <w:rFonts w:asciiTheme="minorHAnsi" w:hAnsiTheme="minorHAnsi" w:cstheme="minorHAnsi"/>
          <w:i w:val="0"/>
          <w:color w:val="auto"/>
          <w:sz w:val="22"/>
          <w:szCs w:val="22"/>
        </w:rPr>
        <w:t>or reviewed in preparation for thi</w:t>
      </w:r>
      <w:r w:rsidRPr="0051696C">
        <w:rPr>
          <w:rFonts w:asciiTheme="minorHAnsi" w:hAnsiTheme="minorHAnsi" w:cstheme="minorHAnsi"/>
          <w:i w:val="0"/>
          <w:color w:val="auto"/>
          <w:sz w:val="22"/>
          <w:szCs w:val="22"/>
        </w:rPr>
        <w:t>s workpaper.</w:t>
      </w:r>
    </w:p>
    <w:p w:rsidR="00E16609" w:rsidRPr="00F06CCF" w:rsidRDefault="00824F1C" w:rsidP="00F06CCF">
      <w:pPr>
        <w:pStyle w:val="Heading3"/>
        <w:rPr>
          <w:rFonts w:asciiTheme="minorHAnsi" w:hAnsiTheme="minorHAnsi"/>
        </w:rPr>
      </w:pPr>
      <w:r w:rsidRPr="00F06CCF">
        <w:rPr>
          <w:rFonts w:asciiTheme="minorHAnsi" w:hAnsiTheme="minorHAnsi"/>
        </w:rPr>
        <w:lastRenderedPageBreak/>
        <w:t>1.4</w:t>
      </w:r>
      <w:r w:rsidR="00F06CCF">
        <w:rPr>
          <w:rFonts w:asciiTheme="minorHAnsi" w:hAnsiTheme="minorHAnsi"/>
        </w:rPr>
        <w:t>.</w:t>
      </w:r>
      <w:r w:rsidR="00AB21F5">
        <w:rPr>
          <w:rFonts w:asciiTheme="minorHAnsi" w:hAnsiTheme="minorHAnsi"/>
        </w:rPr>
        <w:t>4</w:t>
      </w:r>
      <w:r w:rsidRPr="00F06CCF">
        <w:rPr>
          <w:rFonts w:asciiTheme="minorHAnsi" w:hAnsiTheme="minorHAnsi"/>
        </w:rPr>
        <w:t xml:space="preserve">  </w:t>
      </w:r>
      <w:r w:rsidR="00E16609" w:rsidRPr="00F06CCF">
        <w:rPr>
          <w:rFonts w:asciiTheme="minorHAnsi" w:hAnsiTheme="minorHAnsi"/>
        </w:rPr>
        <w:t>Measure</w:t>
      </w:r>
      <w:r w:rsidR="00F06CCF">
        <w:rPr>
          <w:rFonts w:asciiTheme="minorHAnsi" w:hAnsiTheme="minorHAnsi"/>
        </w:rPr>
        <w:t xml:space="preserve"> and Base Case</w:t>
      </w:r>
      <w:r w:rsidR="00E16609" w:rsidRPr="00F06CCF">
        <w:rPr>
          <w:rFonts w:asciiTheme="minorHAnsi" w:hAnsiTheme="minorHAnsi"/>
        </w:rPr>
        <w:t xml:space="preserve"> Effective Useful Life</w:t>
      </w:r>
      <w:bookmarkEnd w:id="12"/>
    </w:p>
    <w:p w:rsidR="005B28C1" w:rsidRPr="00697868" w:rsidRDefault="000F130A" w:rsidP="000F130A">
      <w:pPr>
        <w:rPr>
          <w:rFonts w:asciiTheme="minorHAnsi" w:hAnsiTheme="minorHAnsi" w:cstheme="minorHAnsi"/>
          <w:sz w:val="22"/>
          <w:szCs w:val="22"/>
        </w:rPr>
      </w:pPr>
      <w:r w:rsidRPr="00697868">
        <w:rPr>
          <w:rFonts w:asciiTheme="minorHAnsi" w:hAnsiTheme="minorHAnsi" w:cstheme="minorHAnsi"/>
          <w:sz w:val="22"/>
          <w:szCs w:val="22"/>
        </w:rPr>
        <w:t>DEER</w:t>
      </w:r>
      <w:r w:rsidR="006A6F9F">
        <w:rPr>
          <w:rFonts w:asciiTheme="minorHAnsi" w:hAnsiTheme="minorHAnsi" w:cstheme="minorHAnsi"/>
          <w:sz w:val="22"/>
          <w:szCs w:val="22"/>
        </w:rPr>
        <w:t>20</w:t>
      </w:r>
      <w:r w:rsidR="00F06CCF">
        <w:rPr>
          <w:rFonts w:asciiTheme="minorHAnsi" w:hAnsiTheme="minorHAnsi" w:cstheme="minorHAnsi"/>
          <w:sz w:val="22"/>
          <w:szCs w:val="22"/>
        </w:rPr>
        <w:t>14 update</w:t>
      </w:r>
      <w:r w:rsidRPr="00697868">
        <w:rPr>
          <w:rFonts w:asciiTheme="minorHAnsi" w:hAnsiTheme="minorHAnsi" w:cstheme="minorHAnsi"/>
          <w:sz w:val="22"/>
          <w:szCs w:val="22"/>
        </w:rPr>
        <w:t xml:space="preserve"> documentation provides EUL and RUL information to be used for the </w:t>
      </w:r>
      <w:r w:rsidR="00F06CCF">
        <w:rPr>
          <w:rFonts w:asciiTheme="minorHAnsi" w:hAnsiTheme="minorHAnsi" w:cstheme="minorHAnsi"/>
          <w:sz w:val="22"/>
          <w:szCs w:val="22"/>
        </w:rPr>
        <w:t>201</w:t>
      </w:r>
      <w:r w:rsidR="00A24520">
        <w:rPr>
          <w:rFonts w:asciiTheme="minorHAnsi" w:hAnsiTheme="minorHAnsi" w:cstheme="minorHAnsi"/>
          <w:sz w:val="22"/>
          <w:szCs w:val="22"/>
        </w:rPr>
        <w:t>3-14</w:t>
      </w:r>
      <w:r w:rsidRPr="00697868">
        <w:rPr>
          <w:rFonts w:asciiTheme="minorHAnsi" w:hAnsiTheme="minorHAnsi" w:cstheme="minorHAnsi"/>
          <w:sz w:val="22"/>
          <w:szCs w:val="22"/>
        </w:rPr>
        <w:t xml:space="preserve"> program cycle</w:t>
      </w:r>
      <w:r w:rsidR="00F06CCF">
        <w:rPr>
          <w:rFonts w:asciiTheme="minorHAnsi" w:hAnsiTheme="minorHAnsi" w:cstheme="minorHAnsi"/>
          <w:sz w:val="22"/>
          <w:szCs w:val="22"/>
        </w:rPr>
        <w:t xml:space="preserve"> </w:t>
      </w:r>
      <w:r w:rsidRPr="00697868">
        <w:rPr>
          <w:rFonts w:asciiTheme="minorHAnsi" w:hAnsiTheme="minorHAnsi" w:cstheme="minorHAnsi"/>
          <w:sz w:val="22"/>
          <w:szCs w:val="22"/>
        </w:rPr>
        <w:t xml:space="preserve">on </w:t>
      </w:r>
      <w:hyperlink r:id="rId20" w:history="1">
        <w:r w:rsidRPr="00697868">
          <w:rPr>
            <w:rFonts w:asciiTheme="minorHAnsi" w:hAnsiTheme="minorHAnsi" w:cstheme="minorHAnsi"/>
            <w:sz w:val="22"/>
            <w:szCs w:val="22"/>
          </w:rPr>
          <w:t>www.deeresources.com</w:t>
        </w:r>
      </w:hyperlink>
      <w:r w:rsidR="00056947" w:rsidRPr="00697868">
        <w:rPr>
          <w:rFonts w:asciiTheme="minorHAnsi" w:hAnsiTheme="minorHAnsi" w:cstheme="minorHAnsi"/>
          <w:sz w:val="22"/>
          <w:szCs w:val="22"/>
        </w:rPr>
        <w:t xml:space="preserve">. </w:t>
      </w:r>
      <w:r w:rsidRPr="00697868">
        <w:rPr>
          <w:rFonts w:asciiTheme="minorHAnsi" w:hAnsiTheme="minorHAnsi" w:cstheme="minorHAnsi"/>
          <w:sz w:val="22"/>
          <w:szCs w:val="22"/>
        </w:rPr>
        <w:t>The DEER documentation “</w:t>
      </w:r>
      <w:r w:rsidR="00D457A0" w:rsidRPr="00D457A0">
        <w:rPr>
          <w:rFonts w:asciiTheme="minorHAnsi" w:hAnsiTheme="minorHAnsi" w:cstheme="minorHAnsi"/>
          <w:sz w:val="22"/>
          <w:szCs w:val="22"/>
        </w:rPr>
        <w:t>DEER2014-EUL-table-update_2014-02-05.xlsx</w:t>
      </w:r>
      <w:r w:rsidRPr="00697868">
        <w:rPr>
          <w:rFonts w:asciiTheme="minorHAnsi" w:hAnsiTheme="minorHAnsi" w:cstheme="minorHAnsi"/>
          <w:sz w:val="22"/>
          <w:szCs w:val="22"/>
        </w:rPr>
        <w:t>” provides the RUL value as a flat 1/3 of the EUL value.</w:t>
      </w:r>
      <w:r w:rsidR="009D0753" w:rsidRPr="00697868">
        <w:rPr>
          <w:rFonts w:asciiTheme="minorHAnsi" w:hAnsiTheme="minorHAnsi" w:cstheme="minorHAnsi"/>
          <w:sz w:val="22"/>
          <w:szCs w:val="22"/>
        </w:rPr>
        <w:t xml:space="preserve"> The RUL value will only be applied to the first baseline period for retrofit measures that have applicable code that will affect the energy savings. In all other installation types and retrofit with no applicable code that affects the energy savings, the RUL is not applicable to either the first or second baseline period.</w:t>
      </w:r>
    </w:p>
    <w:p w:rsidR="00056947" w:rsidRPr="00697868" w:rsidRDefault="00056947" w:rsidP="000F130A">
      <w:pPr>
        <w:rPr>
          <w:rFonts w:asciiTheme="minorHAnsi" w:hAnsiTheme="minorHAnsi" w:cstheme="minorHAnsi"/>
          <w:sz w:val="22"/>
          <w:szCs w:val="22"/>
        </w:rPr>
      </w:pPr>
    </w:p>
    <w:p w:rsidR="005B28C1" w:rsidRPr="00697868" w:rsidRDefault="005B28C1" w:rsidP="000F130A">
      <w:pPr>
        <w:rPr>
          <w:rFonts w:asciiTheme="minorHAnsi" w:hAnsiTheme="minorHAnsi" w:cstheme="minorHAnsi"/>
          <w:sz w:val="22"/>
          <w:szCs w:val="22"/>
        </w:rPr>
      </w:pPr>
      <w:r w:rsidRPr="00697868">
        <w:rPr>
          <w:rFonts w:asciiTheme="minorHAnsi" w:hAnsiTheme="minorHAnsi" w:cstheme="minorHAnsi"/>
          <w:sz w:val="22"/>
          <w:szCs w:val="22"/>
        </w:rPr>
        <w:t>To obtain the EUL value the DEER</w:t>
      </w:r>
      <w:r w:rsidR="00F06CCF">
        <w:rPr>
          <w:rFonts w:asciiTheme="minorHAnsi" w:hAnsiTheme="minorHAnsi" w:cstheme="minorHAnsi"/>
          <w:sz w:val="22"/>
          <w:szCs w:val="22"/>
        </w:rPr>
        <w:t>14 update</w:t>
      </w:r>
      <w:r w:rsidRPr="00697868">
        <w:rPr>
          <w:rFonts w:asciiTheme="minorHAnsi" w:hAnsiTheme="minorHAnsi" w:cstheme="minorHAnsi"/>
          <w:sz w:val="22"/>
          <w:szCs w:val="22"/>
        </w:rPr>
        <w:t xml:space="preserve"> documentation, </w:t>
      </w:r>
      <w:r w:rsidR="00D457A0" w:rsidRPr="00D457A0">
        <w:rPr>
          <w:rFonts w:asciiTheme="minorHAnsi" w:hAnsiTheme="minorHAnsi" w:cstheme="minorHAnsi"/>
          <w:sz w:val="22"/>
          <w:szCs w:val="22"/>
        </w:rPr>
        <w:t>DEER2014-EUL-table-update_2014-02-05.xlsx</w:t>
      </w:r>
      <w:r w:rsidR="00E07752" w:rsidRPr="00697868">
        <w:rPr>
          <w:rFonts w:asciiTheme="minorHAnsi" w:hAnsiTheme="minorHAnsi" w:cstheme="minorHAnsi"/>
          <w:sz w:val="22"/>
          <w:szCs w:val="22"/>
        </w:rPr>
        <w:t xml:space="preserve"> [</w:t>
      </w:r>
      <w:r w:rsidR="00D457A0">
        <w:rPr>
          <w:rFonts w:asciiTheme="minorHAnsi" w:hAnsiTheme="minorHAnsi" w:cstheme="minorHAnsi"/>
          <w:sz w:val="22"/>
          <w:szCs w:val="22"/>
        </w:rPr>
        <w:t>436</w:t>
      </w:r>
      <w:r w:rsidR="00E07752" w:rsidRPr="00697868">
        <w:rPr>
          <w:rFonts w:asciiTheme="minorHAnsi" w:hAnsiTheme="minorHAnsi" w:cstheme="minorHAnsi"/>
          <w:sz w:val="22"/>
          <w:szCs w:val="22"/>
        </w:rPr>
        <w:t>]</w:t>
      </w:r>
      <w:r w:rsidR="00056947" w:rsidRPr="00697868">
        <w:rPr>
          <w:rFonts w:asciiTheme="minorHAnsi" w:hAnsiTheme="minorHAnsi" w:cstheme="minorHAnsi"/>
          <w:sz w:val="22"/>
          <w:szCs w:val="22"/>
        </w:rPr>
        <w:t>, was consulted.</w:t>
      </w:r>
      <w:r w:rsidRPr="00697868">
        <w:rPr>
          <w:rFonts w:asciiTheme="minorHAnsi" w:hAnsiTheme="minorHAnsi" w:cstheme="minorHAnsi"/>
          <w:sz w:val="22"/>
          <w:szCs w:val="22"/>
        </w:rPr>
        <w:t xml:space="preserv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REF _Ref296591307 \h </w:instrText>
      </w:r>
      <w:r w:rsidR="00BD3931" w:rsidRPr="00697868">
        <w:rPr>
          <w:rFonts w:asciiTheme="minorHAnsi" w:hAnsiTheme="minorHAnsi" w:cstheme="minorHAnsi"/>
          <w:sz w:val="22"/>
          <w:szCs w:val="22"/>
        </w:rPr>
        <w:instrText xml:space="preserve"> \* MERGEFORMAT </w:instrText>
      </w:r>
      <w:r w:rsidRPr="00697868">
        <w:rPr>
          <w:rFonts w:asciiTheme="minorHAnsi" w:hAnsiTheme="minorHAnsi" w:cstheme="minorHAnsi"/>
          <w:sz w:val="22"/>
          <w:szCs w:val="22"/>
        </w:rPr>
      </w:r>
      <w:r w:rsidRPr="00697868">
        <w:rPr>
          <w:rFonts w:asciiTheme="minorHAnsi" w:hAnsiTheme="minorHAnsi" w:cstheme="minorHAnsi"/>
          <w:sz w:val="22"/>
          <w:szCs w:val="22"/>
        </w:rPr>
        <w:fldChar w:fldCharType="separate"/>
      </w:r>
      <w:r w:rsidR="00847A91" w:rsidRPr="00697868">
        <w:rPr>
          <w:rFonts w:asciiTheme="minorHAnsi" w:hAnsiTheme="minorHAnsi" w:cstheme="minorHAnsi"/>
          <w:sz w:val="22"/>
          <w:szCs w:val="22"/>
        </w:rPr>
        <w:t xml:space="preserve">Table </w:t>
      </w:r>
      <w:r w:rsidR="00847A91">
        <w:rPr>
          <w:rFonts w:asciiTheme="minorHAnsi" w:hAnsiTheme="minorHAnsi" w:cstheme="minorHAnsi"/>
          <w:noProof/>
          <w:sz w:val="22"/>
          <w:szCs w:val="22"/>
        </w:rPr>
        <w:t>7</w:t>
      </w:r>
      <w:r w:rsidRPr="00697868">
        <w:rPr>
          <w:rFonts w:asciiTheme="minorHAnsi" w:hAnsiTheme="minorHAnsi" w:cstheme="minorHAnsi"/>
          <w:sz w:val="22"/>
          <w:szCs w:val="22"/>
        </w:rPr>
        <w:fldChar w:fldCharType="end"/>
      </w:r>
      <w:r w:rsidRPr="00697868">
        <w:rPr>
          <w:rFonts w:asciiTheme="minorHAnsi" w:hAnsiTheme="minorHAnsi" w:cstheme="minorHAnsi"/>
          <w:sz w:val="22"/>
          <w:szCs w:val="22"/>
        </w:rPr>
        <w:t xml:space="preserve"> below identifies the value/methodology used for the measures in this work paper.</w:t>
      </w:r>
    </w:p>
    <w:p w:rsidR="00BD3931" w:rsidRPr="00697868" w:rsidRDefault="00BD3931" w:rsidP="000F130A">
      <w:pPr>
        <w:rPr>
          <w:rFonts w:asciiTheme="minorHAnsi" w:hAnsiTheme="minorHAnsi" w:cstheme="minorHAnsi"/>
          <w:sz w:val="22"/>
          <w:szCs w:val="22"/>
        </w:rPr>
      </w:pPr>
    </w:p>
    <w:p w:rsidR="005B28C1" w:rsidRPr="00697868" w:rsidRDefault="005B28C1" w:rsidP="005B28C1">
      <w:pPr>
        <w:pStyle w:val="Caption"/>
        <w:jc w:val="center"/>
        <w:rPr>
          <w:rFonts w:asciiTheme="minorHAnsi" w:hAnsiTheme="minorHAnsi" w:cstheme="minorHAnsi"/>
          <w:sz w:val="22"/>
          <w:szCs w:val="22"/>
        </w:rPr>
      </w:pPr>
      <w:bookmarkStart w:id="13" w:name="_Ref296591307"/>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847A91">
        <w:rPr>
          <w:rFonts w:asciiTheme="minorHAnsi" w:hAnsiTheme="minorHAnsi" w:cstheme="minorHAnsi"/>
          <w:noProof/>
          <w:sz w:val="22"/>
          <w:szCs w:val="22"/>
        </w:rPr>
        <w:t>7</w:t>
      </w:r>
      <w:r w:rsidRPr="00697868">
        <w:rPr>
          <w:rFonts w:asciiTheme="minorHAnsi" w:hAnsiTheme="minorHAnsi" w:cstheme="minorHAnsi"/>
          <w:sz w:val="22"/>
          <w:szCs w:val="22"/>
        </w:rPr>
        <w:fldChar w:fldCharType="end"/>
      </w:r>
      <w:bookmarkEnd w:id="13"/>
      <w:r w:rsidRPr="00697868">
        <w:rPr>
          <w:rFonts w:asciiTheme="minorHAnsi" w:hAnsiTheme="minorHAnsi" w:cstheme="minorHAnsi"/>
          <w:sz w:val="22"/>
          <w:szCs w:val="22"/>
        </w:rPr>
        <w:t xml:space="preserve"> DEER</w:t>
      </w:r>
      <w:r w:rsidR="003832D2">
        <w:rPr>
          <w:rFonts w:asciiTheme="minorHAnsi" w:hAnsiTheme="minorHAnsi" w:cstheme="minorHAnsi"/>
          <w:sz w:val="22"/>
          <w:szCs w:val="22"/>
        </w:rPr>
        <w:t>14</w:t>
      </w:r>
      <w:r w:rsidRPr="00697868">
        <w:rPr>
          <w:rFonts w:asciiTheme="minorHAnsi" w:hAnsiTheme="minorHAnsi" w:cstheme="minorHAnsi"/>
          <w:sz w:val="22"/>
          <w:szCs w:val="22"/>
        </w:rPr>
        <w:t xml:space="preserve"> EUL Value/Methodology</w:t>
      </w:r>
    </w:p>
    <w:tbl>
      <w:tblPr>
        <w:tblStyle w:val="TableContemporary"/>
        <w:tblW w:w="0" w:type="auto"/>
        <w:jc w:val="center"/>
        <w:tblLook w:val="04A0" w:firstRow="1" w:lastRow="0" w:firstColumn="1" w:lastColumn="0" w:noHBand="0" w:noVBand="1"/>
      </w:tblPr>
      <w:tblGrid>
        <w:gridCol w:w="1461"/>
        <w:gridCol w:w="1731"/>
        <w:gridCol w:w="1214"/>
        <w:gridCol w:w="2161"/>
        <w:gridCol w:w="1566"/>
        <w:gridCol w:w="1443"/>
      </w:tblGrid>
      <w:tr w:rsidR="001C5A94" w:rsidRPr="00697868" w:rsidTr="001C5A94">
        <w:trPr>
          <w:cnfStyle w:val="100000000000" w:firstRow="1" w:lastRow="0" w:firstColumn="0" w:lastColumn="0" w:oddVBand="0" w:evenVBand="0" w:oddHBand="0" w:evenHBand="0" w:firstRowFirstColumn="0" w:firstRowLastColumn="0" w:lastRowFirstColumn="0" w:lastRowLastColumn="0"/>
          <w:jc w:val="center"/>
        </w:trPr>
        <w:tc>
          <w:tcPr>
            <w:tcW w:w="1461" w:type="dxa"/>
          </w:tcPr>
          <w:p w:rsidR="001C5A94" w:rsidRPr="00697868" w:rsidRDefault="001C5A94" w:rsidP="000F130A">
            <w:pPr>
              <w:rPr>
                <w:rFonts w:asciiTheme="minorHAnsi" w:hAnsiTheme="minorHAnsi" w:cstheme="minorHAnsi"/>
                <w:sz w:val="20"/>
                <w:szCs w:val="20"/>
              </w:rPr>
            </w:pPr>
            <w:r>
              <w:rPr>
                <w:rFonts w:asciiTheme="minorHAnsi" w:hAnsiTheme="minorHAnsi" w:cstheme="minorHAnsi"/>
                <w:sz w:val="20"/>
                <w:szCs w:val="20"/>
              </w:rPr>
              <w:t>READi EUL ID</w:t>
            </w:r>
          </w:p>
        </w:tc>
        <w:tc>
          <w:tcPr>
            <w:tcW w:w="1731"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Market</w:t>
            </w:r>
          </w:p>
        </w:tc>
        <w:tc>
          <w:tcPr>
            <w:tcW w:w="1214"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Enduse</w:t>
            </w:r>
          </w:p>
        </w:tc>
        <w:tc>
          <w:tcPr>
            <w:tcW w:w="2161"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Measure</w:t>
            </w:r>
          </w:p>
        </w:tc>
        <w:tc>
          <w:tcPr>
            <w:tcW w:w="1566"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EUL (Years)</w:t>
            </w:r>
          </w:p>
        </w:tc>
        <w:tc>
          <w:tcPr>
            <w:tcW w:w="1443"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RUL (Years)</w:t>
            </w:r>
          </w:p>
        </w:tc>
      </w:tr>
      <w:tr w:rsidR="001C5A94" w:rsidRPr="00697868" w:rsidTr="001C5A94">
        <w:trPr>
          <w:cnfStyle w:val="000000100000" w:firstRow="0" w:lastRow="0" w:firstColumn="0" w:lastColumn="0" w:oddVBand="0" w:evenVBand="0" w:oddHBand="1" w:evenHBand="0" w:firstRowFirstColumn="0" w:firstRowLastColumn="0" w:lastRowFirstColumn="0" w:lastRowLastColumn="0"/>
          <w:trHeight w:val="243"/>
          <w:jc w:val="center"/>
        </w:trPr>
        <w:tc>
          <w:tcPr>
            <w:tcW w:w="1461" w:type="dxa"/>
          </w:tcPr>
          <w:p w:rsidR="001C5A94" w:rsidRPr="00697868" w:rsidRDefault="008F24CC" w:rsidP="000F130A">
            <w:pPr>
              <w:rPr>
                <w:rFonts w:asciiTheme="minorHAnsi" w:hAnsiTheme="minorHAnsi" w:cstheme="minorHAnsi"/>
                <w:sz w:val="20"/>
                <w:szCs w:val="20"/>
              </w:rPr>
            </w:pPr>
            <w:r w:rsidRPr="008F24CC">
              <w:rPr>
                <w:rFonts w:asciiTheme="minorHAnsi" w:hAnsiTheme="minorHAnsi" w:cstheme="minorHAnsi"/>
                <w:sz w:val="20"/>
                <w:szCs w:val="20"/>
              </w:rPr>
              <w:t>HV-Evap</w:t>
            </w:r>
          </w:p>
        </w:tc>
        <w:tc>
          <w:tcPr>
            <w:tcW w:w="1731" w:type="dxa"/>
          </w:tcPr>
          <w:p w:rsidR="001C5A94" w:rsidRPr="00697868" w:rsidRDefault="008F24CC" w:rsidP="000F130A">
            <w:pPr>
              <w:rPr>
                <w:rFonts w:asciiTheme="minorHAnsi" w:hAnsiTheme="minorHAnsi" w:cstheme="minorHAnsi"/>
                <w:sz w:val="20"/>
                <w:szCs w:val="20"/>
              </w:rPr>
            </w:pPr>
            <w:r>
              <w:rPr>
                <w:rFonts w:asciiTheme="minorHAnsi" w:hAnsiTheme="minorHAnsi" w:cstheme="minorHAnsi"/>
                <w:sz w:val="20"/>
                <w:szCs w:val="20"/>
              </w:rPr>
              <w:t>Residential</w:t>
            </w:r>
          </w:p>
        </w:tc>
        <w:tc>
          <w:tcPr>
            <w:tcW w:w="1214" w:type="dxa"/>
          </w:tcPr>
          <w:p w:rsidR="001C5A94" w:rsidRPr="00697868" w:rsidRDefault="008F24CC" w:rsidP="000F130A">
            <w:pPr>
              <w:rPr>
                <w:rFonts w:asciiTheme="minorHAnsi" w:hAnsiTheme="minorHAnsi" w:cstheme="minorHAnsi"/>
                <w:sz w:val="20"/>
                <w:szCs w:val="20"/>
              </w:rPr>
            </w:pPr>
            <w:r>
              <w:rPr>
                <w:rFonts w:asciiTheme="minorHAnsi" w:hAnsiTheme="minorHAnsi" w:cstheme="minorHAnsi"/>
                <w:sz w:val="20"/>
                <w:szCs w:val="20"/>
              </w:rPr>
              <w:t>HVAC</w:t>
            </w:r>
          </w:p>
        </w:tc>
        <w:tc>
          <w:tcPr>
            <w:tcW w:w="2161" w:type="dxa"/>
          </w:tcPr>
          <w:p w:rsidR="001C5A94" w:rsidRPr="00697868" w:rsidRDefault="008F24CC" w:rsidP="000F130A">
            <w:pPr>
              <w:rPr>
                <w:rFonts w:asciiTheme="minorHAnsi" w:hAnsiTheme="minorHAnsi" w:cstheme="minorHAnsi"/>
                <w:sz w:val="20"/>
                <w:szCs w:val="20"/>
              </w:rPr>
            </w:pPr>
            <w:r w:rsidRPr="008F24CC">
              <w:rPr>
                <w:rFonts w:asciiTheme="minorHAnsi" w:hAnsiTheme="minorHAnsi" w:cstheme="minorHAnsi"/>
                <w:sz w:val="20"/>
                <w:szCs w:val="20"/>
              </w:rPr>
              <w:t>Evaporative Cooler</w:t>
            </w:r>
          </w:p>
        </w:tc>
        <w:tc>
          <w:tcPr>
            <w:tcW w:w="1566" w:type="dxa"/>
          </w:tcPr>
          <w:p w:rsidR="001C5A94" w:rsidRPr="00697868" w:rsidRDefault="008F24CC" w:rsidP="000F130A">
            <w:pPr>
              <w:rPr>
                <w:rFonts w:asciiTheme="minorHAnsi" w:hAnsiTheme="minorHAnsi" w:cstheme="minorHAnsi"/>
                <w:sz w:val="20"/>
                <w:szCs w:val="20"/>
              </w:rPr>
            </w:pPr>
            <w:r>
              <w:rPr>
                <w:rFonts w:asciiTheme="minorHAnsi" w:hAnsiTheme="minorHAnsi" w:cstheme="minorHAnsi"/>
                <w:sz w:val="20"/>
                <w:szCs w:val="20"/>
              </w:rPr>
              <w:t>15</w:t>
            </w:r>
          </w:p>
        </w:tc>
        <w:tc>
          <w:tcPr>
            <w:tcW w:w="1443" w:type="dxa"/>
          </w:tcPr>
          <w:p w:rsidR="001C5A94" w:rsidRPr="00697868" w:rsidRDefault="008F24CC" w:rsidP="000F130A">
            <w:pPr>
              <w:rPr>
                <w:rFonts w:asciiTheme="minorHAnsi" w:hAnsiTheme="minorHAnsi" w:cstheme="minorHAnsi"/>
                <w:sz w:val="20"/>
                <w:szCs w:val="20"/>
              </w:rPr>
            </w:pPr>
            <w:r>
              <w:rPr>
                <w:rFonts w:asciiTheme="minorHAnsi" w:hAnsiTheme="minorHAnsi" w:cstheme="minorHAnsi"/>
                <w:sz w:val="20"/>
                <w:szCs w:val="20"/>
              </w:rPr>
              <w:t>5</w:t>
            </w:r>
          </w:p>
        </w:tc>
      </w:tr>
    </w:tbl>
    <w:p w:rsidR="00E16609" w:rsidRPr="00697868" w:rsidRDefault="00E16609" w:rsidP="00560934">
      <w:pPr>
        <w:pStyle w:val="Heading1"/>
        <w:keepNext w:val="0"/>
        <w:rPr>
          <w:rFonts w:asciiTheme="minorHAnsi" w:hAnsiTheme="minorHAnsi" w:cstheme="minorHAnsi"/>
        </w:rPr>
      </w:pPr>
      <w:bookmarkStart w:id="14" w:name="_Toc214003090"/>
      <w:r w:rsidRPr="00697868">
        <w:rPr>
          <w:rFonts w:asciiTheme="minorHAnsi" w:hAnsiTheme="minorHAnsi" w:cstheme="minorHAnsi"/>
        </w:rPr>
        <w:t>Section 2. Energy Savings &amp; Demand Reduction Calculations</w:t>
      </w:r>
      <w:bookmarkEnd w:id="14"/>
    </w:p>
    <w:p w:rsidR="00274FBE" w:rsidRDefault="00325E30" w:rsidP="00325E30">
      <w:pPr>
        <w:pStyle w:val="Reminder"/>
        <w:rPr>
          <w:rFonts w:asciiTheme="minorHAnsi" w:hAnsiTheme="minorHAnsi" w:cstheme="minorHAnsi"/>
          <w:i w:val="0"/>
          <w:color w:val="auto"/>
          <w:sz w:val="22"/>
          <w:szCs w:val="22"/>
        </w:rPr>
      </w:pPr>
      <w:r w:rsidRPr="00325E30">
        <w:rPr>
          <w:rFonts w:asciiTheme="minorHAnsi" w:hAnsiTheme="minorHAnsi" w:cstheme="minorHAnsi"/>
          <w:i w:val="0"/>
          <w:color w:val="auto"/>
          <w:sz w:val="22"/>
          <w:szCs w:val="22"/>
        </w:rPr>
        <w:t xml:space="preserve">The energy savings for the measure contained within this work paper were taken directly from the 2014 DEER READi tool, v.2.0.1. </w:t>
      </w:r>
      <w:r>
        <w:rPr>
          <w:rFonts w:asciiTheme="minorHAnsi" w:hAnsiTheme="minorHAnsi" w:cstheme="minorHAnsi"/>
          <w:i w:val="0"/>
          <w:color w:val="auto"/>
          <w:sz w:val="22"/>
          <w:szCs w:val="22"/>
        </w:rPr>
        <w:t xml:space="preserve">SCE offers the measure on a per 1,000 </w:t>
      </w:r>
      <w:proofErr w:type="spellStart"/>
      <w:r>
        <w:rPr>
          <w:rFonts w:asciiTheme="minorHAnsi" w:hAnsiTheme="minorHAnsi" w:cstheme="minorHAnsi"/>
          <w:i w:val="0"/>
          <w:color w:val="auto"/>
          <w:sz w:val="22"/>
          <w:szCs w:val="22"/>
        </w:rPr>
        <w:t>sq</w:t>
      </w:r>
      <w:proofErr w:type="spellEnd"/>
      <w:r>
        <w:rPr>
          <w:rFonts w:asciiTheme="minorHAnsi" w:hAnsiTheme="minorHAnsi" w:cstheme="minorHAnsi"/>
          <w:i w:val="0"/>
          <w:color w:val="auto"/>
          <w:sz w:val="22"/>
          <w:szCs w:val="22"/>
        </w:rPr>
        <w:t xml:space="preserve"> </w:t>
      </w:r>
      <w:proofErr w:type="spellStart"/>
      <w:r>
        <w:rPr>
          <w:rFonts w:asciiTheme="minorHAnsi" w:hAnsiTheme="minorHAnsi" w:cstheme="minorHAnsi"/>
          <w:i w:val="0"/>
          <w:color w:val="auto"/>
          <w:sz w:val="22"/>
          <w:szCs w:val="22"/>
        </w:rPr>
        <w:t>ft</w:t>
      </w:r>
      <w:proofErr w:type="spellEnd"/>
      <w:r>
        <w:rPr>
          <w:rFonts w:asciiTheme="minorHAnsi" w:hAnsiTheme="minorHAnsi" w:cstheme="minorHAnsi"/>
          <w:i w:val="0"/>
          <w:color w:val="auto"/>
          <w:sz w:val="22"/>
          <w:szCs w:val="22"/>
        </w:rPr>
        <w:t xml:space="preserve"> basis, so the energy savings are taken directly from DEER. PG&amp;E, however, offers the measure on a per home basis, which requires the application of building weights to convert the units.</w:t>
      </w:r>
      <w:r w:rsidR="00FB3DD3">
        <w:rPr>
          <w:rFonts w:asciiTheme="minorHAnsi" w:hAnsiTheme="minorHAnsi" w:cstheme="minorHAnsi"/>
          <w:i w:val="0"/>
          <w:color w:val="auto"/>
          <w:sz w:val="22"/>
          <w:szCs w:val="22"/>
        </w:rPr>
        <w:t xml:space="preserve"> These weights are found in the same DEER READi export under column “K” titled “</w:t>
      </w:r>
      <w:proofErr w:type="spellStart"/>
      <w:r w:rsidR="00FB3DD3" w:rsidRPr="00FB3DD3">
        <w:rPr>
          <w:rFonts w:asciiTheme="minorHAnsi" w:hAnsiTheme="minorHAnsi" w:cstheme="minorHAnsi"/>
          <w:i w:val="0"/>
          <w:color w:val="auto"/>
          <w:sz w:val="22"/>
          <w:szCs w:val="22"/>
        </w:rPr>
        <w:t>NumUnit</w:t>
      </w:r>
      <w:proofErr w:type="spellEnd"/>
      <w:r w:rsidR="00FB3DD3">
        <w:rPr>
          <w:rFonts w:asciiTheme="minorHAnsi" w:hAnsiTheme="minorHAnsi" w:cstheme="minorHAnsi"/>
          <w:i w:val="0"/>
          <w:color w:val="auto"/>
          <w:sz w:val="22"/>
          <w:szCs w:val="22"/>
        </w:rPr>
        <w:t>.” Please see below for a sample calculation.</w:t>
      </w:r>
    </w:p>
    <w:p w:rsidR="004011D3" w:rsidRDefault="004011D3" w:rsidP="00325E30">
      <w:pPr>
        <w:pStyle w:val="Reminder"/>
        <w:rPr>
          <w:rFonts w:asciiTheme="minorHAnsi" w:hAnsiTheme="minorHAnsi" w:cstheme="minorHAnsi"/>
          <w:i w:val="0"/>
          <w:color w:val="auto"/>
          <w:sz w:val="22"/>
          <w:szCs w:val="22"/>
        </w:rPr>
      </w:pPr>
    </w:p>
    <w:p w:rsidR="004011D3" w:rsidRPr="004011D3" w:rsidRDefault="004011D3" w:rsidP="00325E30">
      <w:pPr>
        <w:pStyle w:val="Reminder"/>
        <w:rPr>
          <w:rFonts w:asciiTheme="minorHAnsi" w:hAnsiTheme="minorHAnsi" w:cstheme="minorHAnsi"/>
          <w:b/>
          <w:i w:val="0"/>
          <w:color w:val="auto"/>
          <w:sz w:val="22"/>
          <w:szCs w:val="22"/>
        </w:rPr>
      </w:pPr>
      <w:r w:rsidRPr="004011D3">
        <w:rPr>
          <w:rFonts w:asciiTheme="minorHAnsi" w:hAnsiTheme="minorHAnsi" w:cstheme="minorHAnsi"/>
          <w:b/>
          <w:i w:val="0"/>
          <w:color w:val="auto"/>
          <w:sz w:val="22"/>
          <w:szCs w:val="22"/>
        </w:rPr>
        <w:t xml:space="preserve">Single Family Home in Climate Zone </w:t>
      </w:r>
      <w:r>
        <w:rPr>
          <w:rFonts w:asciiTheme="minorHAnsi" w:hAnsiTheme="minorHAnsi" w:cstheme="minorHAnsi"/>
          <w:b/>
          <w:i w:val="0"/>
          <w:color w:val="auto"/>
          <w:sz w:val="22"/>
          <w:szCs w:val="22"/>
        </w:rPr>
        <w:t>4</w:t>
      </w:r>
      <w:r w:rsidRPr="004011D3">
        <w:rPr>
          <w:rFonts w:asciiTheme="minorHAnsi" w:hAnsiTheme="minorHAnsi" w:cstheme="minorHAnsi"/>
          <w:b/>
          <w:i w:val="0"/>
          <w:color w:val="auto"/>
          <w:sz w:val="22"/>
          <w:szCs w:val="22"/>
        </w:rPr>
        <w:t>:</w:t>
      </w:r>
    </w:p>
    <w:p w:rsidR="004011D3" w:rsidRDefault="004011D3" w:rsidP="00325E30">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 xml:space="preserve">2014 DEER Database kWh: </w:t>
      </w:r>
      <w:r w:rsidR="003B48A8">
        <w:rPr>
          <w:rFonts w:asciiTheme="minorHAnsi" w:hAnsiTheme="minorHAnsi" w:cstheme="minorHAnsi"/>
          <w:i w:val="0"/>
          <w:color w:val="auto"/>
          <w:sz w:val="22"/>
          <w:szCs w:val="22"/>
        </w:rPr>
        <w:t>206</w:t>
      </w:r>
      <w:r>
        <w:rPr>
          <w:rFonts w:asciiTheme="minorHAnsi" w:hAnsiTheme="minorHAnsi" w:cstheme="minorHAnsi"/>
          <w:i w:val="0"/>
          <w:color w:val="auto"/>
          <w:sz w:val="22"/>
          <w:szCs w:val="22"/>
        </w:rPr>
        <w:t xml:space="preserve"> kWh/1,000 </w:t>
      </w:r>
      <w:proofErr w:type="spellStart"/>
      <w:r>
        <w:rPr>
          <w:rFonts w:asciiTheme="minorHAnsi" w:hAnsiTheme="minorHAnsi" w:cstheme="minorHAnsi"/>
          <w:i w:val="0"/>
          <w:color w:val="auto"/>
          <w:sz w:val="22"/>
          <w:szCs w:val="22"/>
        </w:rPr>
        <w:t>sq</w:t>
      </w:r>
      <w:proofErr w:type="spellEnd"/>
      <w:r>
        <w:rPr>
          <w:rFonts w:asciiTheme="minorHAnsi" w:hAnsiTheme="minorHAnsi" w:cstheme="minorHAnsi"/>
          <w:i w:val="0"/>
          <w:color w:val="auto"/>
          <w:sz w:val="22"/>
          <w:szCs w:val="22"/>
        </w:rPr>
        <w:t xml:space="preserve"> </w:t>
      </w:r>
      <w:proofErr w:type="spellStart"/>
      <w:r>
        <w:rPr>
          <w:rFonts w:asciiTheme="minorHAnsi" w:hAnsiTheme="minorHAnsi" w:cstheme="minorHAnsi"/>
          <w:i w:val="0"/>
          <w:color w:val="auto"/>
          <w:sz w:val="22"/>
          <w:szCs w:val="22"/>
        </w:rPr>
        <w:t>ft</w:t>
      </w:r>
      <w:proofErr w:type="spellEnd"/>
    </w:p>
    <w:p w:rsidR="004011D3" w:rsidRDefault="004011D3" w:rsidP="00325E30">
      <w:pPr>
        <w:pStyle w:val="Reminder"/>
        <w:rPr>
          <w:rFonts w:asciiTheme="minorHAnsi" w:hAnsiTheme="minorHAnsi" w:cstheme="minorHAnsi"/>
          <w:i w:val="0"/>
          <w:color w:val="auto"/>
          <w:sz w:val="22"/>
          <w:szCs w:val="22"/>
        </w:rPr>
      </w:pPr>
      <w:proofErr w:type="spellStart"/>
      <w:r>
        <w:rPr>
          <w:rFonts w:asciiTheme="minorHAnsi" w:hAnsiTheme="minorHAnsi" w:cstheme="minorHAnsi"/>
          <w:i w:val="0"/>
          <w:color w:val="auto"/>
          <w:sz w:val="22"/>
          <w:szCs w:val="22"/>
        </w:rPr>
        <w:t>NumUnit</w:t>
      </w:r>
      <w:proofErr w:type="spellEnd"/>
      <w:r>
        <w:rPr>
          <w:rFonts w:asciiTheme="minorHAnsi" w:hAnsiTheme="minorHAnsi" w:cstheme="minorHAnsi"/>
          <w:i w:val="0"/>
          <w:color w:val="auto"/>
          <w:sz w:val="22"/>
          <w:szCs w:val="22"/>
        </w:rPr>
        <w:t xml:space="preserve">: 1,710 </w:t>
      </w:r>
      <w:proofErr w:type="spellStart"/>
      <w:r>
        <w:rPr>
          <w:rFonts w:asciiTheme="minorHAnsi" w:hAnsiTheme="minorHAnsi" w:cstheme="minorHAnsi"/>
          <w:i w:val="0"/>
          <w:color w:val="auto"/>
          <w:sz w:val="22"/>
          <w:szCs w:val="22"/>
        </w:rPr>
        <w:t>sq</w:t>
      </w:r>
      <w:proofErr w:type="spellEnd"/>
      <w:r>
        <w:rPr>
          <w:rFonts w:asciiTheme="minorHAnsi" w:hAnsiTheme="minorHAnsi" w:cstheme="minorHAnsi"/>
          <w:i w:val="0"/>
          <w:color w:val="auto"/>
          <w:sz w:val="22"/>
          <w:szCs w:val="22"/>
        </w:rPr>
        <w:t xml:space="preserve"> </w:t>
      </w:r>
      <w:proofErr w:type="spellStart"/>
      <w:r>
        <w:rPr>
          <w:rFonts w:asciiTheme="minorHAnsi" w:hAnsiTheme="minorHAnsi" w:cstheme="minorHAnsi"/>
          <w:i w:val="0"/>
          <w:color w:val="auto"/>
          <w:sz w:val="22"/>
          <w:szCs w:val="22"/>
        </w:rPr>
        <w:t>ft</w:t>
      </w:r>
      <w:proofErr w:type="spellEnd"/>
      <w:r>
        <w:rPr>
          <w:rFonts w:asciiTheme="minorHAnsi" w:hAnsiTheme="minorHAnsi" w:cstheme="minorHAnsi"/>
          <w:i w:val="0"/>
          <w:color w:val="auto"/>
          <w:sz w:val="22"/>
          <w:szCs w:val="22"/>
        </w:rPr>
        <w:t>/home</w:t>
      </w:r>
    </w:p>
    <w:p w:rsidR="004011D3" w:rsidRDefault="004011D3" w:rsidP="00325E30">
      <w:pPr>
        <w:pStyle w:val="Reminder"/>
        <w:rPr>
          <w:rFonts w:asciiTheme="minorHAnsi" w:hAnsiTheme="minorHAnsi" w:cstheme="minorHAnsi"/>
          <w:i w:val="0"/>
          <w:color w:val="auto"/>
          <w:sz w:val="22"/>
          <w:szCs w:val="22"/>
        </w:rPr>
      </w:pPr>
    </w:p>
    <w:p w:rsidR="004011D3" w:rsidRDefault="004011D3" w:rsidP="00325E30">
      <w:pPr>
        <w:pStyle w:val="Reminder"/>
        <w:rPr>
          <w:rFonts w:asciiTheme="minorHAnsi" w:hAnsiTheme="minorHAnsi" w:cstheme="minorHAnsi"/>
          <w:i w:val="0"/>
          <w:color w:val="auto"/>
          <w:sz w:val="22"/>
          <w:szCs w:val="22"/>
        </w:rPr>
      </w:pPr>
      <m:oMath>
        <m:r>
          <w:rPr>
            <w:rFonts w:ascii="Cambria Math" w:hAnsi="Cambria Math" w:cstheme="minorHAnsi"/>
            <w:color w:val="auto"/>
            <w:sz w:val="22"/>
            <w:szCs w:val="22"/>
          </w:rPr>
          <m:t>kWh Savings=</m:t>
        </m:r>
        <m:d>
          <m:dPr>
            <m:ctrlPr>
              <w:rPr>
                <w:rFonts w:ascii="Cambria Math" w:hAnsi="Cambria Math" w:cstheme="minorHAnsi"/>
                <w:color w:val="auto"/>
                <w:sz w:val="22"/>
                <w:szCs w:val="22"/>
              </w:rPr>
            </m:ctrlPr>
          </m:dPr>
          <m:e>
            <m:r>
              <w:rPr>
                <w:rFonts w:ascii="Cambria Math" w:hAnsi="Cambria Math" w:cstheme="minorHAnsi"/>
                <w:color w:val="auto"/>
                <w:sz w:val="22"/>
                <w:szCs w:val="22"/>
              </w:rPr>
              <m:t>206</m:t>
            </m:r>
            <m:f>
              <m:fPr>
                <m:ctrlPr>
                  <w:rPr>
                    <w:rFonts w:ascii="Cambria Math" w:hAnsi="Cambria Math" w:cstheme="minorHAnsi"/>
                    <w:color w:val="auto"/>
                    <w:sz w:val="22"/>
                    <w:szCs w:val="22"/>
                  </w:rPr>
                </m:ctrlPr>
              </m:fPr>
              <m:num>
                <m:r>
                  <w:rPr>
                    <w:rFonts w:ascii="Cambria Math" w:hAnsi="Cambria Math" w:cstheme="minorHAnsi"/>
                    <w:color w:val="auto"/>
                    <w:sz w:val="22"/>
                    <w:szCs w:val="22"/>
                  </w:rPr>
                  <m:t>kWh</m:t>
                </m:r>
              </m:num>
              <m:den>
                <m:r>
                  <w:rPr>
                    <w:rFonts w:ascii="Cambria Math" w:hAnsi="Cambria Math" w:cstheme="minorHAnsi"/>
                    <w:color w:val="auto"/>
                    <w:sz w:val="22"/>
                    <w:szCs w:val="22"/>
                  </w:rPr>
                  <m:t>1,000 sq ft</m:t>
                </m:r>
              </m:den>
            </m:f>
          </m:e>
        </m:d>
        <m:r>
          <w:rPr>
            <w:rFonts w:ascii="Cambria Math" w:hAnsi="Cambria Math" w:cstheme="minorHAnsi"/>
            <w:color w:val="auto"/>
            <w:sz w:val="22"/>
            <w:szCs w:val="22"/>
          </w:rPr>
          <m:t>x</m:t>
        </m:r>
        <m:d>
          <m:dPr>
            <m:ctrlPr>
              <w:rPr>
                <w:rFonts w:ascii="Cambria Math" w:hAnsi="Cambria Math" w:cstheme="minorHAnsi"/>
                <w:color w:val="auto"/>
                <w:sz w:val="22"/>
                <w:szCs w:val="22"/>
              </w:rPr>
            </m:ctrlPr>
          </m:dPr>
          <m:e>
            <m:r>
              <w:rPr>
                <w:rFonts w:ascii="Cambria Math" w:hAnsi="Cambria Math" w:cstheme="minorHAnsi"/>
                <w:color w:val="auto"/>
                <w:sz w:val="22"/>
                <w:szCs w:val="22"/>
              </w:rPr>
              <m:t xml:space="preserve">1,710 </m:t>
            </m:r>
            <m:f>
              <m:fPr>
                <m:ctrlPr>
                  <w:rPr>
                    <w:rFonts w:ascii="Cambria Math" w:hAnsi="Cambria Math" w:cstheme="minorHAnsi"/>
                    <w:color w:val="auto"/>
                    <w:sz w:val="22"/>
                    <w:szCs w:val="22"/>
                  </w:rPr>
                </m:ctrlPr>
              </m:fPr>
              <m:num>
                <m:r>
                  <w:rPr>
                    <w:rFonts w:ascii="Cambria Math" w:hAnsi="Cambria Math" w:cstheme="minorHAnsi"/>
                    <w:color w:val="auto"/>
                    <w:sz w:val="22"/>
                    <w:szCs w:val="22"/>
                  </w:rPr>
                  <m:t>sq ft</m:t>
                </m:r>
              </m:num>
              <m:den>
                <m:r>
                  <w:rPr>
                    <w:rFonts w:ascii="Cambria Math" w:hAnsi="Cambria Math" w:cstheme="minorHAnsi"/>
                    <w:color w:val="auto"/>
                    <w:sz w:val="22"/>
                    <w:szCs w:val="22"/>
                  </w:rPr>
                  <m:t>home</m:t>
                </m:r>
              </m:den>
            </m:f>
          </m:e>
        </m:d>
        <m:r>
          <w:rPr>
            <w:rFonts w:ascii="Cambria Math" w:hAnsi="Cambria Math" w:cstheme="minorHAnsi"/>
            <w:color w:val="auto"/>
            <w:sz w:val="22"/>
            <w:szCs w:val="22"/>
          </w:rPr>
          <m:t xml:space="preserve">=352.26 </m:t>
        </m:r>
        <m:f>
          <m:fPr>
            <m:ctrlPr>
              <w:rPr>
                <w:rFonts w:ascii="Cambria Math" w:hAnsi="Cambria Math" w:cstheme="minorHAnsi"/>
                <w:color w:val="auto"/>
                <w:sz w:val="22"/>
                <w:szCs w:val="22"/>
              </w:rPr>
            </m:ctrlPr>
          </m:fPr>
          <m:num>
            <m:r>
              <w:rPr>
                <w:rFonts w:ascii="Cambria Math" w:hAnsi="Cambria Math" w:cstheme="minorHAnsi"/>
                <w:color w:val="auto"/>
                <w:sz w:val="22"/>
                <w:szCs w:val="22"/>
              </w:rPr>
              <m:t>kWh</m:t>
            </m:r>
          </m:num>
          <m:den>
            <m:r>
              <w:rPr>
                <w:rFonts w:ascii="Cambria Math" w:hAnsi="Cambria Math" w:cstheme="minorHAnsi"/>
                <w:color w:val="auto"/>
                <w:sz w:val="22"/>
                <w:szCs w:val="22"/>
              </w:rPr>
              <m:t>home</m:t>
            </m:r>
          </m:den>
        </m:f>
      </m:oMath>
      <w:r>
        <w:rPr>
          <w:rFonts w:asciiTheme="minorHAnsi" w:hAnsiTheme="minorHAnsi" w:cstheme="minorHAnsi"/>
          <w:i w:val="0"/>
          <w:color w:val="auto"/>
          <w:sz w:val="22"/>
          <w:szCs w:val="22"/>
        </w:rPr>
        <w:t xml:space="preserve"> </w:t>
      </w:r>
    </w:p>
    <w:p w:rsidR="004011D3" w:rsidRDefault="004011D3" w:rsidP="00325E30">
      <w:pPr>
        <w:pStyle w:val="Reminder"/>
        <w:rPr>
          <w:rFonts w:asciiTheme="minorHAnsi" w:hAnsiTheme="minorHAnsi" w:cstheme="minorHAnsi"/>
          <w:i w:val="0"/>
          <w:color w:val="auto"/>
          <w:sz w:val="22"/>
          <w:szCs w:val="22"/>
        </w:rPr>
      </w:pPr>
    </w:p>
    <w:p w:rsidR="00325E30" w:rsidRDefault="004011D3" w:rsidP="00325E30">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The same calculations are done for both kW and therm savings.</w:t>
      </w:r>
    </w:p>
    <w:p w:rsidR="00325E30" w:rsidRPr="00697868" w:rsidRDefault="00325E30" w:rsidP="00325E30">
      <w:pPr>
        <w:pStyle w:val="Reminder"/>
        <w:rPr>
          <w:rFonts w:asciiTheme="minorHAnsi" w:hAnsiTheme="minorHAnsi" w:cstheme="minorHAnsi"/>
          <w:i w:val="0"/>
          <w:color w:val="auto"/>
          <w:sz w:val="22"/>
          <w:szCs w:val="22"/>
        </w:rPr>
      </w:pPr>
    </w:p>
    <w:p w:rsidR="00274FBE" w:rsidRPr="00697868" w:rsidRDefault="001F05CE" w:rsidP="00274FBE">
      <w:pPr>
        <w:pStyle w:val="Reminders"/>
        <w:rPr>
          <w:rFonts w:asciiTheme="minorHAnsi" w:hAnsiTheme="minorHAnsi" w:cstheme="minorHAnsi"/>
          <w:i w:val="0"/>
          <w:color w:val="auto"/>
          <w:sz w:val="22"/>
          <w:szCs w:val="22"/>
        </w:rPr>
      </w:pPr>
      <w:r w:rsidRPr="00697868">
        <w:rPr>
          <w:rFonts w:asciiTheme="minorHAnsi" w:hAnsiTheme="minorHAnsi" w:cstheme="minorHAnsi"/>
          <w:i w:val="0"/>
          <w:color w:val="auto"/>
          <w:sz w:val="22"/>
          <w:szCs w:val="22"/>
        </w:rPr>
        <w:fldChar w:fldCharType="begin"/>
      </w:r>
      <w:r w:rsidRPr="00697868">
        <w:rPr>
          <w:rFonts w:asciiTheme="minorHAnsi" w:hAnsiTheme="minorHAnsi" w:cstheme="minorHAnsi"/>
          <w:i w:val="0"/>
          <w:color w:val="auto"/>
          <w:sz w:val="22"/>
          <w:szCs w:val="22"/>
        </w:rPr>
        <w:instrText xml:space="preserve"> REF _Ref325630022 \h  \* MERGEFORMAT </w:instrText>
      </w:r>
      <w:r w:rsidRPr="00697868">
        <w:rPr>
          <w:rFonts w:asciiTheme="minorHAnsi" w:hAnsiTheme="minorHAnsi" w:cstheme="minorHAnsi"/>
          <w:i w:val="0"/>
          <w:color w:val="auto"/>
          <w:sz w:val="22"/>
          <w:szCs w:val="22"/>
        </w:rPr>
      </w:r>
      <w:r w:rsidRPr="00697868">
        <w:rPr>
          <w:rFonts w:asciiTheme="minorHAnsi" w:hAnsiTheme="minorHAnsi" w:cstheme="minorHAnsi"/>
          <w:i w:val="0"/>
          <w:color w:val="auto"/>
          <w:sz w:val="22"/>
          <w:szCs w:val="22"/>
        </w:rPr>
        <w:fldChar w:fldCharType="separate"/>
      </w:r>
      <w:r w:rsidR="003B48A8" w:rsidRPr="003B48A8">
        <w:rPr>
          <w:rFonts w:asciiTheme="minorHAnsi" w:hAnsiTheme="minorHAnsi" w:cstheme="minorHAnsi"/>
          <w:i w:val="0"/>
          <w:color w:val="auto"/>
          <w:sz w:val="22"/>
          <w:szCs w:val="22"/>
        </w:rPr>
        <w:t>Table 8</w:t>
      </w:r>
      <w:r w:rsidRPr="00697868">
        <w:rPr>
          <w:rFonts w:asciiTheme="minorHAnsi" w:hAnsiTheme="minorHAnsi" w:cstheme="minorHAnsi"/>
          <w:i w:val="0"/>
          <w:color w:val="auto"/>
          <w:sz w:val="22"/>
          <w:szCs w:val="22"/>
        </w:rPr>
        <w:fldChar w:fldCharType="end"/>
      </w:r>
      <w:r w:rsidRPr="00697868">
        <w:rPr>
          <w:rFonts w:asciiTheme="minorHAnsi" w:hAnsiTheme="minorHAnsi" w:cstheme="minorHAnsi"/>
          <w:i w:val="0"/>
          <w:color w:val="auto"/>
          <w:sz w:val="22"/>
          <w:szCs w:val="22"/>
        </w:rPr>
        <w:t xml:space="preserve"> contains the data files for measures that are taken directly from the DEER 201</w:t>
      </w:r>
      <w:r w:rsidR="00EF086E">
        <w:rPr>
          <w:rFonts w:asciiTheme="minorHAnsi" w:hAnsiTheme="minorHAnsi" w:cstheme="minorHAnsi"/>
          <w:i w:val="0"/>
          <w:color w:val="auto"/>
          <w:sz w:val="22"/>
          <w:szCs w:val="22"/>
        </w:rPr>
        <w:t>4</w:t>
      </w:r>
      <w:r w:rsidRPr="00697868">
        <w:rPr>
          <w:rFonts w:asciiTheme="minorHAnsi" w:hAnsiTheme="minorHAnsi" w:cstheme="minorHAnsi"/>
          <w:i w:val="0"/>
          <w:color w:val="auto"/>
          <w:sz w:val="22"/>
          <w:szCs w:val="22"/>
        </w:rPr>
        <w:t xml:space="preserve"> </w:t>
      </w:r>
      <w:proofErr w:type="spellStart"/>
      <w:r w:rsidRPr="00697868">
        <w:rPr>
          <w:rFonts w:asciiTheme="minorHAnsi" w:hAnsiTheme="minorHAnsi" w:cstheme="minorHAnsi"/>
          <w:i w:val="0"/>
          <w:color w:val="auto"/>
          <w:sz w:val="22"/>
          <w:szCs w:val="22"/>
        </w:rPr>
        <w:t>READi</w:t>
      </w:r>
      <w:proofErr w:type="spellEnd"/>
      <w:r w:rsidRPr="00697868">
        <w:rPr>
          <w:rFonts w:asciiTheme="minorHAnsi" w:hAnsiTheme="minorHAnsi" w:cstheme="minorHAnsi"/>
          <w:i w:val="0"/>
          <w:color w:val="auto"/>
          <w:sz w:val="22"/>
          <w:szCs w:val="22"/>
        </w:rPr>
        <w:t xml:space="preserve"> Tool or were created using the READi Tool. These results have not been modified and are only being included in the workpaper for reference</w:t>
      </w:r>
      <w:r w:rsidR="009B5B7B">
        <w:rPr>
          <w:rFonts w:asciiTheme="minorHAnsi" w:hAnsiTheme="minorHAnsi" w:cstheme="minorHAnsi"/>
          <w:i w:val="0"/>
          <w:color w:val="auto"/>
          <w:sz w:val="22"/>
          <w:szCs w:val="22"/>
        </w:rPr>
        <w:t>.</w:t>
      </w:r>
    </w:p>
    <w:p w:rsidR="00274FBE" w:rsidRPr="00697868" w:rsidRDefault="00274FBE" w:rsidP="00E16609">
      <w:pPr>
        <w:pStyle w:val="Reminder"/>
        <w:rPr>
          <w:rFonts w:asciiTheme="minorHAnsi" w:hAnsiTheme="minorHAnsi" w:cstheme="minorHAnsi"/>
          <w:sz w:val="22"/>
          <w:szCs w:val="22"/>
        </w:rPr>
      </w:pPr>
    </w:p>
    <w:p w:rsidR="00274FBE" w:rsidRPr="00697868" w:rsidRDefault="00274FBE" w:rsidP="00274FBE">
      <w:pPr>
        <w:pStyle w:val="Caption"/>
        <w:keepNext/>
        <w:jc w:val="center"/>
        <w:rPr>
          <w:rFonts w:asciiTheme="minorHAnsi" w:hAnsiTheme="minorHAnsi" w:cstheme="minorHAnsi"/>
          <w:sz w:val="22"/>
          <w:szCs w:val="22"/>
        </w:rPr>
      </w:pPr>
      <w:bookmarkStart w:id="15" w:name="_Ref325630022"/>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3B48A8">
        <w:rPr>
          <w:rFonts w:asciiTheme="minorHAnsi" w:hAnsiTheme="minorHAnsi" w:cstheme="minorHAnsi"/>
          <w:noProof/>
          <w:sz w:val="22"/>
          <w:szCs w:val="22"/>
        </w:rPr>
        <w:t>8</w:t>
      </w:r>
      <w:r w:rsidRPr="00697868">
        <w:rPr>
          <w:rFonts w:asciiTheme="minorHAnsi" w:hAnsiTheme="minorHAnsi" w:cstheme="minorHAnsi"/>
          <w:sz w:val="22"/>
          <w:szCs w:val="22"/>
        </w:rPr>
        <w:fldChar w:fldCharType="end"/>
      </w:r>
      <w:bookmarkEnd w:id="15"/>
      <w:r w:rsidRPr="00697868">
        <w:rPr>
          <w:rFonts w:asciiTheme="minorHAnsi" w:hAnsiTheme="minorHAnsi" w:cstheme="minorHAnsi"/>
          <w:sz w:val="22"/>
          <w:szCs w:val="22"/>
        </w:rPr>
        <w:t xml:space="preserve">  </w:t>
      </w:r>
      <w:r w:rsidR="001F05CE" w:rsidRPr="00697868">
        <w:rPr>
          <w:rFonts w:asciiTheme="minorHAnsi" w:hAnsiTheme="minorHAnsi" w:cstheme="minorHAnsi"/>
          <w:sz w:val="22"/>
          <w:szCs w:val="22"/>
        </w:rPr>
        <w:t>READi Tool Outputs</w:t>
      </w:r>
    </w:p>
    <w:tbl>
      <w:tblPr>
        <w:tblStyle w:val="TableContemporary"/>
        <w:tblW w:w="4240" w:type="pct"/>
        <w:jc w:val="center"/>
        <w:tblLook w:val="01E0" w:firstRow="1" w:lastRow="1" w:firstColumn="1" w:lastColumn="1" w:noHBand="0" w:noVBand="0"/>
      </w:tblPr>
      <w:tblGrid>
        <w:gridCol w:w="2988"/>
        <w:gridCol w:w="2566"/>
        <w:gridCol w:w="2566"/>
      </w:tblGrid>
      <w:tr w:rsidR="00274FBE" w:rsidRPr="00697868" w:rsidTr="001F05CE">
        <w:trPr>
          <w:cnfStyle w:val="100000000000" w:firstRow="1" w:lastRow="0" w:firstColumn="0" w:lastColumn="0" w:oddVBand="0" w:evenVBand="0" w:oddHBand="0" w:evenHBand="0" w:firstRowFirstColumn="0" w:firstRowLastColumn="0" w:lastRowFirstColumn="0" w:lastRowLastColumn="0"/>
          <w:jc w:val="center"/>
        </w:trPr>
        <w:tc>
          <w:tcPr>
            <w:tcW w:w="1840" w:type="pct"/>
          </w:tcPr>
          <w:p w:rsidR="00274FBE" w:rsidRPr="00697868" w:rsidRDefault="00274FBE" w:rsidP="00274FBE">
            <w:pPr>
              <w:jc w:val="center"/>
              <w:rPr>
                <w:rFonts w:asciiTheme="minorHAnsi" w:hAnsiTheme="minorHAnsi" w:cstheme="minorHAnsi"/>
                <w:sz w:val="20"/>
                <w:szCs w:val="20"/>
                <w:highlight w:val="yellow"/>
              </w:rPr>
            </w:pPr>
            <w:r w:rsidRPr="00697868">
              <w:rPr>
                <w:rFonts w:asciiTheme="minorHAnsi" w:hAnsiTheme="minorHAnsi" w:cstheme="minorHAnsi"/>
                <w:sz w:val="20"/>
                <w:szCs w:val="20"/>
              </w:rPr>
              <w:t>Solution Code</w:t>
            </w:r>
          </w:p>
        </w:tc>
        <w:tc>
          <w:tcPr>
            <w:tcW w:w="1580" w:type="pct"/>
          </w:tcPr>
          <w:p w:rsidR="00274FBE" w:rsidRPr="00697868" w:rsidRDefault="00274FBE" w:rsidP="00274FBE">
            <w:pPr>
              <w:jc w:val="center"/>
              <w:rPr>
                <w:rFonts w:asciiTheme="minorHAnsi" w:hAnsiTheme="minorHAnsi" w:cstheme="minorHAnsi"/>
                <w:sz w:val="20"/>
                <w:szCs w:val="20"/>
              </w:rPr>
            </w:pPr>
            <w:r w:rsidRPr="00697868">
              <w:rPr>
                <w:rFonts w:asciiTheme="minorHAnsi" w:hAnsiTheme="minorHAnsi" w:cstheme="minorHAnsi"/>
                <w:sz w:val="20"/>
                <w:szCs w:val="20"/>
              </w:rPr>
              <w:t>Measure Name</w:t>
            </w:r>
          </w:p>
        </w:tc>
        <w:tc>
          <w:tcPr>
            <w:tcW w:w="1580" w:type="pct"/>
          </w:tcPr>
          <w:p w:rsidR="00274FBE" w:rsidRPr="00697868" w:rsidRDefault="00274FBE" w:rsidP="00274FBE">
            <w:pPr>
              <w:jc w:val="center"/>
              <w:rPr>
                <w:rFonts w:asciiTheme="minorHAnsi" w:hAnsiTheme="minorHAnsi" w:cstheme="minorHAnsi"/>
                <w:sz w:val="20"/>
                <w:szCs w:val="20"/>
                <w:highlight w:val="yellow"/>
              </w:rPr>
            </w:pPr>
            <w:r w:rsidRPr="00697868">
              <w:rPr>
                <w:rFonts w:asciiTheme="minorHAnsi" w:hAnsiTheme="minorHAnsi" w:cstheme="minorHAnsi"/>
                <w:sz w:val="20"/>
                <w:szCs w:val="20"/>
              </w:rPr>
              <w:t>READi Results</w:t>
            </w:r>
          </w:p>
        </w:tc>
      </w:tr>
      <w:tr w:rsidR="0073080D" w:rsidRPr="00697868" w:rsidTr="001F05CE">
        <w:trPr>
          <w:cnfStyle w:val="000000100000" w:firstRow="0" w:lastRow="0" w:firstColumn="0" w:lastColumn="0" w:oddVBand="0" w:evenVBand="0" w:oddHBand="1" w:evenHBand="0" w:firstRowFirstColumn="0" w:firstRowLastColumn="0" w:lastRowFirstColumn="0" w:lastRowLastColumn="0"/>
          <w:jc w:val="center"/>
        </w:trPr>
        <w:tc>
          <w:tcPr>
            <w:tcW w:w="1840" w:type="pct"/>
          </w:tcPr>
          <w:p w:rsidR="0073080D" w:rsidRPr="00697868" w:rsidRDefault="0073080D" w:rsidP="00A92041">
            <w:pPr>
              <w:rPr>
                <w:rFonts w:asciiTheme="minorHAnsi" w:hAnsiTheme="minorHAnsi" w:cstheme="minorHAnsi"/>
                <w:sz w:val="20"/>
                <w:szCs w:val="20"/>
              </w:rPr>
            </w:pPr>
            <w:r w:rsidRPr="00D902B0">
              <w:rPr>
                <w:rFonts w:asciiTheme="minorHAnsi" w:hAnsiTheme="minorHAnsi" w:cstheme="minorHAnsi"/>
                <w:sz w:val="20"/>
                <w:szCs w:val="20"/>
              </w:rPr>
              <w:t>AC-50888</w:t>
            </w:r>
          </w:p>
        </w:tc>
        <w:tc>
          <w:tcPr>
            <w:tcW w:w="1580" w:type="pct"/>
          </w:tcPr>
          <w:p w:rsidR="0073080D" w:rsidRPr="00697868" w:rsidRDefault="0073080D" w:rsidP="00A92041">
            <w:pPr>
              <w:rPr>
                <w:rFonts w:asciiTheme="minorHAnsi" w:hAnsiTheme="minorHAnsi" w:cstheme="minorHAnsi"/>
                <w:sz w:val="20"/>
                <w:szCs w:val="20"/>
              </w:rPr>
            </w:pPr>
            <w:r w:rsidRPr="00D902B0">
              <w:rPr>
                <w:rFonts w:asciiTheme="minorHAnsi" w:hAnsiTheme="minorHAnsi" w:cstheme="minorHAnsi"/>
                <w:sz w:val="20"/>
                <w:szCs w:val="20"/>
              </w:rPr>
              <w:t>Two-stage (Indirect-Direct) Evap Cooler replacing standard compressor-based DX space cooling</w:t>
            </w:r>
          </w:p>
        </w:tc>
        <w:bookmarkStart w:id="16" w:name="_MON_1463912956"/>
        <w:bookmarkEnd w:id="16"/>
        <w:tc>
          <w:tcPr>
            <w:tcW w:w="1580" w:type="pct"/>
          </w:tcPr>
          <w:p w:rsidR="0073080D" w:rsidRPr="00697868" w:rsidRDefault="00573379" w:rsidP="0073080D">
            <w:pPr>
              <w:jc w:val="center"/>
              <w:rPr>
                <w:rFonts w:asciiTheme="minorHAnsi" w:hAnsiTheme="minorHAnsi" w:cstheme="minorHAnsi"/>
                <w:sz w:val="20"/>
                <w:szCs w:val="20"/>
              </w:rPr>
            </w:pPr>
            <w:r>
              <w:rPr>
                <w:rFonts w:asciiTheme="minorHAnsi" w:hAnsiTheme="minorHAnsi" w:cstheme="minorHAnsi"/>
                <w:sz w:val="20"/>
                <w:szCs w:val="20"/>
              </w:rPr>
              <w:object w:dxaOrig="2069"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75pt;height:66pt" o:ole="">
                  <v:imagedata r:id="rId21" o:title=""/>
                </v:shape>
                <o:OLEObject Type="Embed" ProgID="Excel.SheetMacroEnabled.12" ShapeID="_x0000_i1025" DrawAspect="Icon" ObjectID="_1466253020" r:id="rId22"/>
              </w:object>
            </w:r>
          </w:p>
        </w:tc>
      </w:tr>
    </w:tbl>
    <w:p w:rsidR="00274FBE" w:rsidRPr="00697868" w:rsidRDefault="00274FBE" w:rsidP="00E16609">
      <w:pPr>
        <w:pStyle w:val="Reminder"/>
        <w:rPr>
          <w:rFonts w:asciiTheme="minorHAnsi" w:hAnsiTheme="minorHAnsi" w:cstheme="minorHAnsi"/>
          <w:sz w:val="22"/>
          <w:szCs w:val="22"/>
        </w:rPr>
      </w:pPr>
    </w:p>
    <w:p w:rsidR="00E16609" w:rsidRPr="00697868" w:rsidRDefault="00E16609" w:rsidP="00E16609">
      <w:pPr>
        <w:pStyle w:val="Heading1"/>
        <w:keepNext w:val="0"/>
        <w:rPr>
          <w:rFonts w:asciiTheme="minorHAnsi" w:hAnsiTheme="minorHAnsi" w:cstheme="minorHAnsi"/>
        </w:rPr>
      </w:pPr>
      <w:bookmarkStart w:id="17" w:name="_Toc214003093"/>
      <w:r w:rsidRPr="00697868">
        <w:rPr>
          <w:rFonts w:asciiTheme="minorHAnsi" w:hAnsiTheme="minorHAnsi" w:cstheme="minorHAnsi"/>
        </w:rPr>
        <w:lastRenderedPageBreak/>
        <w:t>Section 3. Load Shape</w:t>
      </w:r>
      <w:bookmarkEnd w:id="17"/>
      <w:r w:rsidRPr="00697868">
        <w:rPr>
          <w:rFonts w:asciiTheme="minorHAnsi" w:hAnsiTheme="minorHAnsi" w:cstheme="minorHAnsi"/>
        </w:rPr>
        <w:t>s</w:t>
      </w:r>
    </w:p>
    <w:p w:rsidR="00E16609" w:rsidRDefault="00E16609" w:rsidP="00E16609">
      <w:pPr>
        <w:rPr>
          <w:rFonts w:asciiTheme="minorHAnsi" w:hAnsiTheme="minorHAnsi" w:cstheme="minorHAnsi"/>
          <w:sz w:val="22"/>
          <w:szCs w:val="22"/>
        </w:rPr>
      </w:pPr>
      <w:r w:rsidRPr="00697868">
        <w:rPr>
          <w:rFonts w:asciiTheme="minorHAnsi" w:hAnsiTheme="minorHAnsi" w:cstheme="minorHAnsi"/>
          <w:sz w:val="22"/>
          <w:szCs w:val="22"/>
        </w:rPr>
        <w:t>The difference between the base case load shape and the measure load shape would be the most appropriate load shape; however, only end-use profile</w:t>
      </w:r>
      <w:r w:rsidR="0073080D">
        <w:rPr>
          <w:rFonts w:asciiTheme="minorHAnsi" w:hAnsiTheme="minorHAnsi" w:cstheme="minorHAnsi"/>
          <w:sz w:val="22"/>
          <w:szCs w:val="22"/>
        </w:rPr>
        <w:t xml:space="preserve">s are available. </w:t>
      </w:r>
      <w:r w:rsidRPr="00697868">
        <w:rPr>
          <w:rFonts w:asciiTheme="minorHAnsi" w:hAnsiTheme="minorHAnsi" w:cstheme="minorHAnsi"/>
          <w:sz w:val="22"/>
          <w:szCs w:val="22"/>
        </w:rPr>
        <w:t>Therefore,</w:t>
      </w:r>
      <w:r w:rsidR="00EF086E" w:rsidRPr="00697868">
        <w:rPr>
          <w:rFonts w:asciiTheme="minorHAnsi" w:hAnsiTheme="minorHAnsi" w:cstheme="minorHAnsi"/>
          <w:sz w:val="22"/>
          <w:szCs w:val="22"/>
        </w:rPr>
        <w:t xml:space="preserve"> </w:t>
      </w:r>
      <w:r w:rsidRPr="00697868">
        <w:rPr>
          <w:rFonts w:asciiTheme="minorHAnsi" w:hAnsiTheme="minorHAnsi" w:cstheme="minorHAnsi"/>
          <w:sz w:val="22"/>
          <w:szCs w:val="22"/>
        </w:rPr>
        <w:t xml:space="preserve">the closest load shape chosen for this measure is the </w:t>
      </w:r>
      <w:proofErr w:type="spellStart"/>
      <w:r w:rsidR="003F0623" w:rsidRPr="00697868">
        <w:rPr>
          <w:rFonts w:asciiTheme="minorHAnsi" w:hAnsiTheme="minorHAnsi" w:cstheme="minorHAnsi"/>
          <w:sz w:val="22"/>
          <w:szCs w:val="22"/>
        </w:rPr>
        <w:t>DEER</w:t>
      </w:r>
      <w:proofErr w:type="gramStart"/>
      <w:r w:rsidR="003F0623" w:rsidRPr="00697868">
        <w:rPr>
          <w:rFonts w:asciiTheme="minorHAnsi" w:hAnsiTheme="minorHAnsi" w:cstheme="minorHAnsi"/>
          <w:sz w:val="22"/>
          <w:szCs w:val="22"/>
        </w:rPr>
        <w:t>:</w:t>
      </w:r>
      <w:r w:rsidR="0073080D">
        <w:rPr>
          <w:rFonts w:asciiTheme="minorHAnsi" w:hAnsiTheme="minorHAnsi" w:cstheme="minorHAnsi"/>
          <w:sz w:val="22"/>
          <w:szCs w:val="22"/>
        </w:rPr>
        <w:t>HVAC</w:t>
      </w:r>
      <w:proofErr w:type="gramEnd"/>
      <w:r w:rsidR="0073080D">
        <w:rPr>
          <w:rFonts w:asciiTheme="minorHAnsi" w:hAnsiTheme="minorHAnsi" w:cstheme="minorHAnsi"/>
          <w:sz w:val="22"/>
          <w:szCs w:val="22"/>
        </w:rPr>
        <w:t>_Eff_AC</w:t>
      </w:r>
      <w:proofErr w:type="spellEnd"/>
      <w:r w:rsidR="0073080D">
        <w:rPr>
          <w:rFonts w:asciiTheme="minorHAnsi" w:hAnsiTheme="minorHAnsi" w:cstheme="minorHAnsi"/>
          <w:sz w:val="22"/>
          <w:szCs w:val="22"/>
        </w:rPr>
        <w:t xml:space="preserve">. </w:t>
      </w:r>
      <w:r w:rsidR="00EF086E">
        <w:rPr>
          <w:rFonts w:asciiTheme="minorHAnsi" w:hAnsiTheme="minorHAnsi" w:cstheme="minorHAnsi"/>
          <w:sz w:val="22"/>
          <w:szCs w:val="22"/>
        </w:rPr>
        <w:t xml:space="preserve"> </w:t>
      </w:r>
      <w:r w:rsidRPr="00697868">
        <w:rPr>
          <w:rFonts w:asciiTheme="minorHAnsi" w:hAnsiTheme="minorHAnsi" w:cstheme="minorHAnsi"/>
          <w:sz w:val="22"/>
          <w:szCs w:val="22"/>
        </w:rPr>
        <w:t xml:space="preserve">See </w:t>
      </w:r>
      <w:r w:rsidR="003F0623" w:rsidRPr="00697868">
        <w:rPr>
          <w:rFonts w:asciiTheme="minorHAnsi" w:hAnsiTheme="minorHAnsi" w:cstheme="minorHAnsi"/>
          <w:sz w:val="22"/>
          <w:szCs w:val="22"/>
        </w:rPr>
        <w:fldChar w:fldCharType="begin"/>
      </w:r>
      <w:r w:rsidR="003F0623" w:rsidRPr="00697868">
        <w:rPr>
          <w:rFonts w:asciiTheme="minorHAnsi" w:hAnsiTheme="minorHAnsi" w:cstheme="minorHAnsi"/>
          <w:sz w:val="22"/>
          <w:szCs w:val="22"/>
        </w:rPr>
        <w:instrText xml:space="preserve"> REF _Ref296597958 \h </w:instrText>
      </w:r>
      <w:r w:rsidR="00443D32" w:rsidRPr="00697868">
        <w:rPr>
          <w:rFonts w:asciiTheme="minorHAnsi" w:hAnsiTheme="minorHAnsi" w:cstheme="minorHAnsi"/>
          <w:sz w:val="22"/>
          <w:szCs w:val="22"/>
        </w:rPr>
        <w:instrText xml:space="preserve"> \* MERGEFORMAT </w:instrText>
      </w:r>
      <w:r w:rsidR="003F0623" w:rsidRPr="00697868">
        <w:rPr>
          <w:rFonts w:asciiTheme="minorHAnsi" w:hAnsiTheme="minorHAnsi" w:cstheme="minorHAnsi"/>
          <w:sz w:val="22"/>
          <w:szCs w:val="22"/>
        </w:rPr>
      </w:r>
      <w:r w:rsidR="003F0623" w:rsidRPr="00697868">
        <w:rPr>
          <w:rFonts w:asciiTheme="minorHAnsi" w:hAnsiTheme="minorHAnsi" w:cstheme="minorHAnsi"/>
          <w:sz w:val="22"/>
          <w:szCs w:val="22"/>
        </w:rPr>
        <w:fldChar w:fldCharType="separate"/>
      </w:r>
      <w:r w:rsidR="00847A91" w:rsidRPr="00697868">
        <w:rPr>
          <w:rFonts w:asciiTheme="minorHAnsi" w:hAnsiTheme="minorHAnsi" w:cstheme="minorHAnsi"/>
          <w:sz w:val="22"/>
          <w:szCs w:val="22"/>
        </w:rPr>
        <w:t xml:space="preserve">Table </w:t>
      </w:r>
      <w:r w:rsidR="00847A91">
        <w:rPr>
          <w:rFonts w:asciiTheme="minorHAnsi" w:hAnsiTheme="minorHAnsi" w:cstheme="minorHAnsi"/>
          <w:noProof/>
          <w:sz w:val="22"/>
          <w:szCs w:val="22"/>
        </w:rPr>
        <w:t>9</w:t>
      </w:r>
      <w:r w:rsidR="003F0623" w:rsidRPr="00697868">
        <w:rPr>
          <w:rFonts w:asciiTheme="minorHAnsi" w:hAnsiTheme="minorHAnsi" w:cstheme="minorHAnsi"/>
          <w:sz w:val="22"/>
          <w:szCs w:val="22"/>
        </w:rPr>
        <w:fldChar w:fldCharType="end"/>
      </w:r>
      <w:r w:rsidR="003F0623" w:rsidRPr="00697868">
        <w:rPr>
          <w:rFonts w:asciiTheme="minorHAnsi" w:hAnsiTheme="minorHAnsi" w:cstheme="minorHAnsi"/>
          <w:sz w:val="22"/>
          <w:szCs w:val="22"/>
        </w:rPr>
        <w:t xml:space="preserve"> </w:t>
      </w:r>
      <w:r w:rsidRPr="00697868">
        <w:rPr>
          <w:rFonts w:asciiTheme="minorHAnsi" w:hAnsiTheme="minorHAnsi" w:cstheme="minorHAnsi"/>
          <w:sz w:val="22"/>
          <w:szCs w:val="22"/>
        </w:rPr>
        <w:t xml:space="preserve">for a list of all </w:t>
      </w:r>
      <w:r w:rsidR="0073080D">
        <w:rPr>
          <w:rFonts w:asciiTheme="minorHAnsi" w:hAnsiTheme="minorHAnsi" w:cstheme="minorHAnsi"/>
          <w:sz w:val="22"/>
          <w:szCs w:val="22"/>
        </w:rPr>
        <w:t>Building Types and Load Shapes.</w:t>
      </w:r>
      <w:r w:rsidRPr="00697868">
        <w:rPr>
          <w:rFonts w:asciiTheme="minorHAnsi" w:hAnsiTheme="minorHAnsi" w:cstheme="minorHAnsi"/>
          <w:sz w:val="22"/>
          <w:szCs w:val="22"/>
        </w:rPr>
        <w:t xml:space="preserve"> See the KEMA report [31] for a more thorough discussion regarding the load shapes for this measure.</w:t>
      </w:r>
    </w:p>
    <w:p w:rsidR="002B72D5" w:rsidRPr="00697868" w:rsidRDefault="002B72D5" w:rsidP="00E16609">
      <w:pPr>
        <w:rPr>
          <w:rFonts w:asciiTheme="minorHAnsi" w:hAnsiTheme="minorHAnsi" w:cstheme="minorHAnsi"/>
          <w:sz w:val="22"/>
          <w:szCs w:val="22"/>
        </w:rPr>
      </w:pPr>
    </w:p>
    <w:p w:rsidR="00573379" w:rsidRDefault="00573379" w:rsidP="003F0623">
      <w:pPr>
        <w:pStyle w:val="Caption"/>
        <w:jc w:val="center"/>
        <w:rPr>
          <w:rFonts w:asciiTheme="minorHAnsi" w:hAnsiTheme="minorHAnsi" w:cstheme="minorHAnsi"/>
          <w:sz w:val="22"/>
          <w:szCs w:val="22"/>
        </w:rPr>
      </w:pPr>
      <w:bookmarkStart w:id="18" w:name="_Ref296597958"/>
    </w:p>
    <w:p w:rsidR="00E16609" w:rsidRPr="00697868" w:rsidRDefault="003F0623" w:rsidP="003F0623">
      <w:pPr>
        <w:pStyle w:val="Caption"/>
        <w:jc w:val="center"/>
        <w:rPr>
          <w:rFonts w:asciiTheme="minorHAnsi" w:hAnsiTheme="minorHAnsi" w:cstheme="minorHAnsi"/>
          <w:b w:val="0"/>
          <w:sz w:val="22"/>
          <w:szCs w:val="22"/>
        </w:rPr>
      </w:pPr>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847A91">
        <w:rPr>
          <w:rFonts w:asciiTheme="minorHAnsi" w:hAnsiTheme="minorHAnsi" w:cstheme="minorHAnsi"/>
          <w:noProof/>
          <w:sz w:val="22"/>
          <w:szCs w:val="22"/>
        </w:rPr>
        <w:t>9</w:t>
      </w:r>
      <w:r w:rsidRPr="00697868">
        <w:rPr>
          <w:rFonts w:asciiTheme="minorHAnsi" w:hAnsiTheme="minorHAnsi" w:cstheme="minorHAnsi"/>
          <w:sz w:val="22"/>
          <w:szCs w:val="22"/>
        </w:rPr>
        <w:fldChar w:fldCharType="end"/>
      </w:r>
      <w:bookmarkEnd w:id="18"/>
      <w:r w:rsidRPr="00697868">
        <w:rPr>
          <w:rFonts w:asciiTheme="minorHAnsi" w:hAnsiTheme="minorHAnsi" w:cstheme="minorHAnsi"/>
          <w:sz w:val="22"/>
          <w:szCs w:val="22"/>
        </w:rPr>
        <w:t xml:space="preserve"> </w:t>
      </w:r>
      <w:r w:rsidR="002A3D26" w:rsidRPr="00697868">
        <w:rPr>
          <w:rFonts w:asciiTheme="minorHAnsi" w:hAnsiTheme="minorHAnsi" w:cstheme="minorHAnsi"/>
          <w:sz w:val="22"/>
          <w:szCs w:val="22"/>
        </w:rPr>
        <w:t>Building Types</w:t>
      </w:r>
      <w:r w:rsidR="00E16609" w:rsidRPr="00697868">
        <w:rPr>
          <w:rFonts w:asciiTheme="minorHAnsi" w:hAnsiTheme="minorHAnsi" w:cstheme="minorHAnsi"/>
          <w:sz w:val="22"/>
          <w:szCs w:val="22"/>
        </w:rPr>
        <w:t xml:space="preserve"> and Load Shapes</w:t>
      </w:r>
    </w:p>
    <w:tbl>
      <w:tblPr>
        <w:tblStyle w:val="TableContemporary"/>
        <w:tblW w:w="4433" w:type="pct"/>
        <w:jc w:val="center"/>
        <w:tblInd w:w="108" w:type="dxa"/>
        <w:tblLook w:val="01E0" w:firstRow="1" w:lastRow="1" w:firstColumn="1" w:lastColumn="1" w:noHBand="0" w:noVBand="0"/>
      </w:tblPr>
      <w:tblGrid>
        <w:gridCol w:w="3705"/>
        <w:gridCol w:w="2219"/>
        <w:gridCol w:w="2566"/>
      </w:tblGrid>
      <w:tr w:rsidR="00E16609" w:rsidRPr="00697868" w:rsidTr="0073080D">
        <w:trPr>
          <w:cnfStyle w:val="100000000000" w:firstRow="1" w:lastRow="0" w:firstColumn="0" w:lastColumn="0" w:oddVBand="0" w:evenVBand="0" w:oddHBand="0" w:evenHBand="0" w:firstRowFirstColumn="0" w:firstRowLastColumn="0" w:lastRowFirstColumn="0" w:lastRowLastColumn="0"/>
          <w:jc w:val="center"/>
        </w:trPr>
        <w:tc>
          <w:tcPr>
            <w:tcW w:w="2182" w:type="pct"/>
          </w:tcPr>
          <w:p w:rsidR="00E16609" w:rsidRPr="00697868" w:rsidRDefault="00E16609" w:rsidP="007048AC">
            <w:pPr>
              <w:jc w:val="center"/>
              <w:rPr>
                <w:rFonts w:asciiTheme="minorHAnsi" w:hAnsiTheme="minorHAnsi" w:cstheme="minorHAnsi"/>
                <w:sz w:val="20"/>
                <w:szCs w:val="20"/>
                <w:highlight w:val="yellow"/>
              </w:rPr>
            </w:pPr>
            <w:r w:rsidRPr="00697868">
              <w:rPr>
                <w:rFonts w:asciiTheme="minorHAnsi" w:hAnsiTheme="minorHAnsi" w:cstheme="minorHAnsi"/>
                <w:sz w:val="20"/>
                <w:szCs w:val="20"/>
              </w:rPr>
              <w:t>Building Type</w:t>
            </w:r>
          </w:p>
        </w:tc>
        <w:tc>
          <w:tcPr>
            <w:tcW w:w="1307" w:type="pct"/>
          </w:tcPr>
          <w:p w:rsidR="00E16609" w:rsidRPr="00697868" w:rsidRDefault="00E16609" w:rsidP="007048AC">
            <w:pPr>
              <w:jc w:val="center"/>
              <w:rPr>
                <w:rFonts w:asciiTheme="minorHAnsi" w:hAnsiTheme="minorHAnsi" w:cstheme="minorHAnsi"/>
                <w:sz w:val="20"/>
                <w:szCs w:val="20"/>
                <w:highlight w:val="yellow"/>
              </w:rPr>
            </w:pPr>
            <w:r w:rsidRPr="00697868">
              <w:rPr>
                <w:rFonts w:asciiTheme="minorHAnsi" w:hAnsiTheme="minorHAnsi" w:cstheme="minorHAnsi"/>
                <w:sz w:val="20"/>
                <w:szCs w:val="20"/>
              </w:rPr>
              <w:t>E3 Alt. Building Type</w:t>
            </w:r>
          </w:p>
        </w:tc>
        <w:tc>
          <w:tcPr>
            <w:tcW w:w="1511" w:type="pct"/>
          </w:tcPr>
          <w:p w:rsidR="00E16609" w:rsidRPr="00697868" w:rsidRDefault="00E16609" w:rsidP="007048AC">
            <w:pPr>
              <w:jc w:val="center"/>
              <w:rPr>
                <w:rFonts w:asciiTheme="minorHAnsi" w:hAnsiTheme="minorHAnsi" w:cstheme="minorHAnsi"/>
                <w:sz w:val="20"/>
                <w:szCs w:val="20"/>
              </w:rPr>
            </w:pPr>
            <w:r w:rsidRPr="00697868">
              <w:rPr>
                <w:rFonts w:asciiTheme="minorHAnsi" w:hAnsiTheme="minorHAnsi" w:cstheme="minorHAnsi"/>
                <w:sz w:val="20"/>
                <w:szCs w:val="20"/>
              </w:rPr>
              <w:t>Load Shape</w:t>
            </w:r>
          </w:p>
        </w:tc>
      </w:tr>
      <w:tr w:rsidR="0073080D" w:rsidRPr="00697868" w:rsidTr="0073080D">
        <w:trPr>
          <w:cnfStyle w:val="000000100000" w:firstRow="0" w:lastRow="0" w:firstColumn="0" w:lastColumn="0" w:oddVBand="0" w:evenVBand="0" w:oddHBand="1" w:evenHBand="0" w:firstRowFirstColumn="0" w:firstRowLastColumn="0" w:lastRowFirstColumn="0" w:lastRowLastColumn="0"/>
          <w:jc w:val="center"/>
        </w:trPr>
        <w:tc>
          <w:tcPr>
            <w:tcW w:w="2182" w:type="pct"/>
          </w:tcPr>
          <w:p w:rsidR="0073080D" w:rsidRPr="002A3D26" w:rsidRDefault="0073080D" w:rsidP="00A92041">
            <w:pPr>
              <w:rPr>
                <w:rFonts w:asciiTheme="minorHAnsi" w:hAnsiTheme="minorHAnsi" w:cstheme="minorHAnsi"/>
                <w:sz w:val="20"/>
                <w:szCs w:val="20"/>
              </w:rPr>
            </w:pPr>
            <w:r w:rsidRPr="002A3D26">
              <w:rPr>
                <w:rFonts w:asciiTheme="minorHAnsi" w:hAnsiTheme="minorHAnsi" w:cstheme="minorHAnsi"/>
                <w:sz w:val="20"/>
                <w:szCs w:val="20"/>
              </w:rPr>
              <w:t>Re</w:t>
            </w:r>
            <w:r>
              <w:rPr>
                <w:rFonts w:asciiTheme="minorHAnsi" w:hAnsiTheme="minorHAnsi" w:cstheme="minorHAnsi"/>
                <w:sz w:val="20"/>
                <w:szCs w:val="20"/>
              </w:rPr>
              <w:t>sidential – Single Family</w:t>
            </w:r>
          </w:p>
        </w:tc>
        <w:tc>
          <w:tcPr>
            <w:tcW w:w="1307" w:type="pct"/>
          </w:tcPr>
          <w:p w:rsidR="0073080D" w:rsidRPr="002A3D26" w:rsidRDefault="0073080D" w:rsidP="00A92041">
            <w:pPr>
              <w:jc w:val="center"/>
              <w:rPr>
                <w:rFonts w:asciiTheme="minorHAnsi" w:hAnsiTheme="minorHAnsi" w:cstheme="minorHAnsi"/>
                <w:sz w:val="20"/>
                <w:szCs w:val="20"/>
              </w:rPr>
            </w:pPr>
            <w:r>
              <w:rPr>
                <w:rFonts w:asciiTheme="minorHAnsi" w:hAnsiTheme="minorHAnsi" w:cstheme="minorHAnsi"/>
                <w:sz w:val="20"/>
                <w:szCs w:val="20"/>
              </w:rPr>
              <w:t>RES</w:t>
            </w:r>
          </w:p>
        </w:tc>
        <w:tc>
          <w:tcPr>
            <w:tcW w:w="1511" w:type="pct"/>
          </w:tcPr>
          <w:p w:rsidR="0073080D" w:rsidRPr="002A3D26" w:rsidRDefault="0073080D" w:rsidP="00A92041">
            <w:pPr>
              <w:jc w:val="center"/>
              <w:rPr>
                <w:rFonts w:asciiTheme="minorHAnsi" w:hAnsiTheme="minorHAnsi" w:cstheme="minorHAnsi"/>
                <w:sz w:val="20"/>
                <w:szCs w:val="20"/>
              </w:rPr>
            </w:pPr>
            <w:r w:rsidRPr="002A3D26">
              <w:rPr>
                <w:rFonts w:asciiTheme="minorHAnsi" w:hAnsiTheme="minorHAnsi" w:cstheme="minorHAnsi"/>
                <w:sz w:val="20"/>
                <w:szCs w:val="20"/>
              </w:rPr>
              <w:t>DEER:</w:t>
            </w:r>
            <w:r>
              <w:rPr>
                <w:rFonts w:asciiTheme="minorHAnsi" w:hAnsiTheme="minorHAnsi" w:cstheme="minorHAnsi"/>
                <w:sz w:val="20"/>
                <w:szCs w:val="20"/>
              </w:rPr>
              <w:t xml:space="preserve"> HVAC_Eff_AC</w:t>
            </w:r>
          </w:p>
        </w:tc>
      </w:tr>
      <w:tr w:rsidR="0073080D" w:rsidRPr="00697868" w:rsidTr="0073080D">
        <w:trPr>
          <w:cnfStyle w:val="000000010000" w:firstRow="0" w:lastRow="0" w:firstColumn="0" w:lastColumn="0" w:oddVBand="0" w:evenVBand="0" w:oddHBand="0" w:evenHBand="1" w:firstRowFirstColumn="0" w:firstRowLastColumn="0" w:lastRowFirstColumn="0" w:lastRowLastColumn="0"/>
          <w:jc w:val="center"/>
        </w:trPr>
        <w:tc>
          <w:tcPr>
            <w:tcW w:w="2182" w:type="pct"/>
          </w:tcPr>
          <w:p w:rsidR="0073080D" w:rsidRPr="002A3D26" w:rsidRDefault="0073080D" w:rsidP="00A92041">
            <w:pPr>
              <w:rPr>
                <w:rFonts w:asciiTheme="minorHAnsi" w:hAnsiTheme="minorHAnsi" w:cstheme="minorHAnsi"/>
                <w:sz w:val="20"/>
                <w:szCs w:val="20"/>
              </w:rPr>
            </w:pPr>
            <w:r w:rsidRPr="002A3D26">
              <w:rPr>
                <w:rFonts w:asciiTheme="minorHAnsi" w:hAnsiTheme="minorHAnsi" w:cstheme="minorHAnsi"/>
                <w:sz w:val="20"/>
                <w:szCs w:val="20"/>
              </w:rPr>
              <w:t>Re</w:t>
            </w:r>
            <w:r>
              <w:rPr>
                <w:rFonts w:asciiTheme="minorHAnsi" w:hAnsiTheme="minorHAnsi" w:cstheme="minorHAnsi"/>
                <w:sz w:val="20"/>
                <w:szCs w:val="20"/>
              </w:rPr>
              <w:t>sidential – Multi-Family</w:t>
            </w:r>
          </w:p>
        </w:tc>
        <w:tc>
          <w:tcPr>
            <w:tcW w:w="1307" w:type="pct"/>
          </w:tcPr>
          <w:p w:rsidR="0073080D" w:rsidRPr="002A3D26" w:rsidRDefault="0073080D" w:rsidP="00A92041">
            <w:pPr>
              <w:jc w:val="center"/>
              <w:rPr>
                <w:rFonts w:asciiTheme="minorHAnsi" w:hAnsiTheme="minorHAnsi" w:cstheme="minorHAnsi"/>
                <w:sz w:val="20"/>
                <w:szCs w:val="20"/>
              </w:rPr>
            </w:pPr>
            <w:r>
              <w:rPr>
                <w:rFonts w:asciiTheme="minorHAnsi" w:hAnsiTheme="minorHAnsi" w:cstheme="minorHAnsi"/>
                <w:sz w:val="20"/>
                <w:szCs w:val="20"/>
              </w:rPr>
              <w:t>RES</w:t>
            </w:r>
          </w:p>
        </w:tc>
        <w:tc>
          <w:tcPr>
            <w:tcW w:w="1511" w:type="pct"/>
          </w:tcPr>
          <w:p w:rsidR="0073080D" w:rsidRPr="002A3D26" w:rsidRDefault="0073080D" w:rsidP="00A92041">
            <w:pPr>
              <w:jc w:val="center"/>
              <w:rPr>
                <w:rFonts w:asciiTheme="minorHAnsi" w:hAnsiTheme="minorHAnsi" w:cstheme="minorHAnsi"/>
                <w:sz w:val="20"/>
                <w:szCs w:val="20"/>
              </w:rPr>
            </w:pPr>
            <w:r w:rsidRPr="002A3D26">
              <w:rPr>
                <w:rFonts w:asciiTheme="minorHAnsi" w:hAnsiTheme="minorHAnsi" w:cstheme="minorHAnsi"/>
                <w:sz w:val="20"/>
                <w:szCs w:val="20"/>
              </w:rPr>
              <w:t>DEER:</w:t>
            </w:r>
            <w:r>
              <w:rPr>
                <w:rFonts w:asciiTheme="minorHAnsi" w:hAnsiTheme="minorHAnsi" w:cstheme="minorHAnsi"/>
                <w:sz w:val="20"/>
                <w:szCs w:val="20"/>
              </w:rPr>
              <w:t xml:space="preserve"> HVAC_Eff_AC</w:t>
            </w:r>
          </w:p>
        </w:tc>
      </w:tr>
      <w:tr w:rsidR="0073080D" w:rsidRPr="00697868" w:rsidTr="0073080D">
        <w:trPr>
          <w:cnfStyle w:val="000000100000" w:firstRow="0" w:lastRow="0" w:firstColumn="0" w:lastColumn="0" w:oddVBand="0" w:evenVBand="0" w:oddHBand="1" w:evenHBand="0" w:firstRowFirstColumn="0" w:firstRowLastColumn="0" w:lastRowFirstColumn="0" w:lastRowLastColumn="0"/>
          <w:jc w:val="center"/>
        </w:trPr>
        <w:tc>
          <w:tcPr>
            <w:tcW w:w="2182" w:type="pct"/>
          </w:tcPr>
          <w:p w:rsidR="0073080D" w:rsidRPr="002A3D26" w:rsidRDefault="0073080D" w:rsidP="00A92041">
            <w:pPr>
              <w:rPr>
                <w:rFonts w:asciiTheme="minorHAnsi" w:hAnsiTheme="minorHAnsi" w:cstheme="minorHAnsi"/>
                <w:sz w:val="20"/>
                <w:szCs w:val="20"/>
              </w:rPr>
            </w:pPr>
            <w:r w:rsidRPr="002A3D26">
              <w:rPr>
                <w:rFonts w:asciiTheme="minorHAnsi" w:hAnsiTheme="minorHAnsi" w:cstheme="minorHAnsi"/>
                <w:sz w:val="20"/>
                <w:szCs w:val="20"/>
              </w:rPr>
              <w:t>Re</w:t>
            </w:r>
            <w:r>
              <w:rPr>
                <w:rFonts w:asciiTheme="minorHAnsi" w:hAnsiTheme="minorHAnsi" w:cstheme="minorHAnsi"/>
                <w:sz w:val="20"/>
                <w:szCs w:val="20"/>
              </w:rPr>
              <w:t>sidential – Double-wide Mobile Home</w:t>
            </w:r>
          </w:p>
        </w:tc>
        <w:tc>
          <w:tcPr>
            <w:tcW w:w="1307" w:type="pct"/>
          </w:tcPr>
          <w:p w:rsidR="0073080D" w:rsidRPr="002A3D26" w:rsidRDefault="0073080D" w:rsidP="00A92041">
            <w:pPr>
              <w:jc w:val="center"/>
              <w:rPr>
                <w:rFonts w:asciiTheme="minorHAnsi" w:hAnsiTheme="minorHAnsi" w:cstheme="minorHAnsi"/>
                <w:sz w:val="20"/>
                <w:szCs w:val="20"/>
              </w:rPr>
            </w:pPr>
            <w:r>
              <w:rPr>
                <w:rFonts w:asciiTheme="minorHAnsi" w:hAnsiTheme="minorHAnsi" w:cstheme="minorHAnsi"/>
                <w:sz w:val="20"/>
                <w:szCs w:val="20"/>
              </w:rPr>
              <w:t>RES</w:t>
            </w:r>
          </w:p>
        </w:tc>
        <w:tc>
          <w:tcPr>
            <w:tcW w:w="1511" w:type="pct"/>
          </w:tcPr>
          <w:p w:rsidR="0073080D" w:rsidRPr="002A3D26" w:rsidRDefault="0073080D" w:rsidP="00A92041">
            <w:pPr>
              <w:jc w:val="center"/>
              <w:rPr>
                <w:rFonts w:asciiTheme="minorHAnsi" w:hAnsiTheme="minorHAnsi" w:cstheme="minorHAnsi"/>
                <w:sz w:val="20"/>
                <w:szCs w:val="20"/>
              </w:rPr>
            </w:pPr>
            <w:r w:rsidRPr="002A3D26">
              <w:rPr>
                <w:rFonts w:asciiTheme="minorHAnsi" w:hAnsiTheme="minorHAnsi" w:cstheme="minorHAnsi"/>
                <w:sz w:val="20"/>
                <w:szCs w:val="20"/>
              </w:rPr>
              <w:t>DEER:</w:t>
            </w:r>
            <w:r>
              <w:rPr>
                <w:rFonts w:asciiTheme="minorHAnsi" w:hAnsiTheme="minorHAnsi" w:cstheme="minorHAnsi"/>
                <w:sz w:val="20"/>
                <w:szCs w:val="20"/>
              </w:rPr>
              <w:t xml:space="preserve"> HVAC_Eff_AC</w:t>
            </w:r>
          </w:p>
        </w:tc>
      </w:tr>
    </w:tbl>
    <w:p w:rsidR="00E16609" w:rsidRPr="00697868" w:rsidRDefault="00E16609" w:rsidP="00E16609">
      <w:pPr>
        <w:pStyle w:val="Heading1"/>
        <w:keepNext w:val="0"/>
        <w:rPr>
          <w:rFonts w:asciiTheme="minorHAnsi" w:hAnsiTheme="minorHAnsi" w:cstheme="minorHAnsi"/>
        </w:rPr>
      </w:pPr>
      <w:bookmarkStart w:id="19" w:name="_Toc214003096"/>
      <w:r w:rsidRPr="00697868">
        <w:rPr>
          <w:rFonts w:asciiTheme="minorHAnsi" w:hAnsiTheme="minorHAnsi" w:cstheme="minorHAnsi"/>
        </w:rPr>
        <w:t>Section 4. Base Case &amp; Measure Costs</w:t>
      </w:r>
      <w:bookmarkEnd w:id="19"/>
    </w:p>
    <w:p w:rsidR="00E16609" w:rsidRPr="00697868" w:rsidRDefault="00E16609" w:rsidP="00824F1C">
      <w:pPr>
        <w:pStyle w:val="Heading2"/>
        <w:rPr>
          <w:rFonts w:asciiTheme="minorHAnsi" w:hAnsiTheme="minorHAnsi" w:cstheme="minorHAnsi"/>
        </w:rPr>
      </w:pPr>
      <w:bookmarkStart w:id="20" w:name="_MON_1399297811"/>
      <w:bookmarkStart w:id="21" w:name="_Toc214003097"/>
      <w:bookmarkEnd w:id="20"/>
      <w:r w:rsidRPr="00697868">
        <w:rPr>
          <w:rFonts w:asciiTheme="minorHAnsi" w:hAnsiTheme="minorHAnsi" w:cstheme="minorHAnsi"/>
        </w:rPr>
        <w:t>4.1 Base Case Cost</w:t>
      </w:r>
      <w:bookmarkEnd w:id="21"/>
    </w:p>
    <w:p w:rsidR="00E16609" w:rsidRPr="00A77CF1" w:rsidRDefault="00A77CF1" w:rsidP="003D2871">
      <w:pPr>
        <w:pStyle w:val="Reminders"/>
        <w:rPr>
          <w:rFonts w:asciiTheme="minorHAnsi" w:hAnsiTheme="minorHAnsi" w:cstheme="minorHAnsi"/>
          <w:i w:val="0"/>
          <w:color w:val="auto"/>
          <w:sz w:val="22"/>
          <w:szCs w:val="22"/>
        </w:rPr>
      </w:pPr>
      <w:r w:rsidRPr="00A77CF1">
        <w:rPr>
          <w:rFonts w:asciiTheme="minorHAnsi" w:hAnsiTheme="minorHAnsi" w:cstheme="minorHAnsi"/>
          <w:i w:val="0"/>
          <w:color w:val="auto"/>
          <w:sz w:val="22"/>
          <w:szCs w:val="22"/>
        </w:rPr>
        <w:t xml:space="preserve">The base case </w:t>
      </w:r>
      <w:r w:rsidR="00215980" w:rsidRPr="00A77CF1">
        <w:rPr>
          <w:rFonts w:asciiTheme="minorHAnsi" w:hAnsiTheme="minorHAnsi" w:cstheme="minorHAnsi"/>
          <w:i w:val="0"/>
          <w:color w:val="auto"/>
          <w:sz w:val="22"/>
          <w:szCs w:val="22"/>
        </w:rPr>
        <w:t>cost for the measures c</w:t>
      </w:r>
      <w:r w:rsidR="00215980">
        <w:rPr>
          <w:rFonts w:asciiTheme="minorHAnsi" w:hAnsiTheme="minorHAnsi" w:cstheme="minorHAnsi"/>
          <w:i w:val="0"/>
          <w:color w:val="auto"/>
          <w:sz w:val="22"/>
          <w:szCs w:val="22"/>
        </w:rPr>
        <w:t>ontained within this work paper</w:t>
      </w:r>
      <w:r w:rsidR="00215980" w:rsidRPr="00A77CF1">
        <w:rPr>
          <w:rFonts w:asciiTheme="minorHAnsi" w:hAnsiTheme="minorHAnsi" w:cstheme="minorHAnsi"/>
          <w:i w:val="0"/>
          <w:color w:val="auto"/>
          <w:sz w:val="22"/>
          <w:szCs w:val="22"/>
        </w:rPr>
        <w:t xml:space="preserve"> was</w:t>
      </w:r>
      <w:r w:rsidRPr="00A77CF1">
        <w:rPr>
          <w:rFonts w:asciiTheme="minorHAnsi" w:hAnsiTheme="minorHAnsi" w:cstheme="minorHAnsi"/>
          <w:i w:val="0"/>
          <w:color w:val="auto"/>
          <w:sz w:val="22"/>
          <w:szCs w:val="22"/>
        </w:rPr>
        <w:t xml:space="preserve"> taken from DEER</w:t>
      </w:r>
      <w:r w:rsidR="00215980">
        <w:rPr>
          <w:rFonts w:asciiTheme="minorHAnsi" w:hAnsiTheme="minorHAnsi" w:cstheme="minorHAnsi"/>
          <w:i w:val="0"/>
          <w:color w:val="auto"/>
          <w:sz w:val="22"/>
          <w:szCs w:val="22"/>
        </w:rPr>
        <w:t xml:space="preserve"> for D03-407</w:t>
      </w:r>
      <w:r w:rsidRPr="00A77CF1">
        <w:rPr>
          <w:rFonts w:asciiTheme="minorHAnsi" w:hAnsiTheme="minorHAnsi" w:cstheme="minorHAnsi"/>
          <w:i w:val="0"/>
          <w:color w:val="auto"/>
          <w:sz w:val="22"/>
          <w:szCs w:val="22"/>
        </w:rPr>
        <w:t>. Although the measure is included within the 2014 DEER READi Tool, the additional cost documentation “Revised DEER Measure Cost Summary (05_30_2008) Revised (06_02_2008).</w:t>
      </w:r>
      <w:proofErr w:type="spellStart"/>
      <w:r w:rsidRPr="00A77CF1">
        <w:rPr>
          <w:rFonts w:asciiTheme="minorHAnsi" w:hAnsiTheme="minorHAnsi" w:cstheme="minorHAnsi"/>
          <w:i w:val="0"/>
          <w:color w:val="auto"/>
          <w:sz w:val="22"/>
          <w:szCs w:val="22"/>
        </w:rPr>
        <w:t>xls</w:t>
      </w:r>
      <w:proofErr w:type="spellEnd"/>
      <w:r w:rsidRPr="00A77CF1">
        <w:rPr>
          <w:rFonts w:asciiTheme="minorHAnsi" w:hAnsiTheme="minorHAnsi" w:cstheme="minorHAnsi"/>
          <w:i w:val="0"/>
          <w:color w:val="auto"/>
          <w:sz w:val="22"/>
          <w:szCs w:val="22"/>
        </w:rPr>
        <w:t>” only gives the material cost as $0.27 and does not clarify on the normalizing unit, therefore it is not clear what the cost of the equipment actually is. As such, DEER 2005 was consulted</w:t>
      </w:r>
      <w:r>
        <w:rPr>
          <w:rFonts w:asciiTheme="minorHAnsi" w:hAnsiTheme="minorHAnsi" w:cstheme="minorHAnsi"/>
          <w:i w:val="0"/>
          <w:color w:val="auto"/>
          <w:sz w:val="22"/>
          <w:szCs w:val="22"/>
        </w:rPr>
        <w:t xml:space="preserve"> to obtain a cost of </w:t>
      </w:r>
      <w:r w:rsidR="00245B9D">
        <w:rPr>
          <w:rFonts w:asciiTheme="minorHAnsi" w:hAnsiTheme="minorHAnsi" w:cstheme="minorHAnsi"/>
          <w:i w:val="0"/>
          <w:color w:val="auto"/>
          <w:sz w:val="22"/>
          <w:szCs w:val="22"/>
        </w:rPr>
        <w:t xml:space="preserve">$839.17 per 1,000 </w:t>
      </w:r>
      <w:proofErr w:type="spellStart"/>
      <w:r w:rsidR="00245B9D">
        <w:rPr>
          <w:rFonts w:asciiTheme="minorHAnsi" w:hAnsiTheme="minorHAnsi" w:cstheme="minorHAnsi"/>
          <w:i w:val="0"/>
          <w:color w:val="auto"/>
          <w:sz w:val="22"/>
          <w:szCs w:val="22"/>
        </w:rPr>
        <w:t>sq</w:t>
      </w:r>
      <w:proofErr w:type="spellEnd"/>
      <w:r w:rsidR="00245B9D">
        <w:rPr>
          <w:rFonts w:asciiTheme="minorHAnsi" w:hAnsiTheme="minorHAnsi" w:cstheme="minorHAnsi"/>
          <w:i w:val="0"/>
          <w:color w:val="auto"/>
          <w:sz w:val="22"/>
          <w:szCs w:val="22"/>
        </w:rPr>
        <w:t xml:space="preserve"> </w:t>
      </w:r>
      <w:proofErr w:type="spellStart"/>
      <w:r w:rsidR="00245B9D">
        <w:rPr>
          <w:rFonts w:asciiTheme="minorHAnsi" w:hAnsiTheme="minorHAnsi" w:cstheme="minorHAnsi"/>
          <w:i w:val="0"/>
          <w:color w:val="auto"/>
          <w:sz w:val="22"/>
          <w:szCs w:val="22"/>
        </w:rPr>
        <w:t>ft</w:t>
      </w:r>
      <w:proofErr w:type="spellEnd"/>
      <w:r w:rsidR="00245B9D">
        <w:rPr>
          <w:rFonts w:asciiTheme="minorHAnsi" w:hAnsiTheme="minorHAnsi" w:cstheme="minorHAnsi"/>
          <w:i w:val="0"/>
          <w:color w:val="auto"/>
          <w:sz w:val="22"/>
          <w:szCs w:val="22"/>
        </w:rPr>
        <w:t xml:space="preserve"> which is used directly </w:t>
      </w:r>
      <w:r>
        <w:rPr>
          <w:rFonts w:asciiTheme="minorHAnsi" w:hAnsiTheme="minorHAnsi" w:cstheme="minorHAnsi"/>
          <w:i w:val="0"/>
          <w:color w:val="auto"/>
          <w:sz w:val="22"/>
          <w:szCs w:val="22"/>
        </w:rPr>
        <w:t>for SCE’s climate zones</w:t>
      </w:r>
      <w:r w:rsidR="00245B9D">
        <w:rPr>
          <w:rFonts w:asciiTheme="minorHAnsi" w:hAnsiTheme="minorHAnsi" w:cstheme="minorHAnsi"/>
          <w:i w:val="0"/>
          <w:color w:val="auto"/>
          <w:sz w:val="22"/>
          <w:szCs w:val="22"/>
        </w:rPr>
        <w:t xml:space="preserve">. As </w:t>
      </w:r>
      <w:r>
        <w:rPr>
          <w:rFonts w:asciiTheme="minorHAnsi" w:hAnsiTheme="minorHAnsi" w:cstheme="minorHAnsi"/>
          <w:i w:val="0"/>
          <w:color w:val="auto"/>
          <w:sz w:val="22"/>
          <w:szCs w:val="22"/>
        </w:rPr>
        <w:t>PG&amp;E uses unit</w:t>
      </w:r>
      <w:r w:rsidR="00245B9D">
        <w:rPr>
          <w:rFonts w:asciiTheme="minorHAnsi" w:hAnsiTheme="minorHAnsi" w:cstheme="minorHAnsi"/>
          <w:i w:val="0"/>
          <w:color w:val="auto"/>
          <w:sz w:val="22"/>
          <w:szCs w:val="22"/>
        </w:rPr>
        <w:t>s</w:t>
      </w:r>
      <w:r>
        <w:rPr>
          <w:rFonts w:asciiTheme="minorHAnsi" w:hAnsiTheme="minorHAnsi" w:cstheme="minorHAnsi"/>
          <w:i w:val="0"/>
          <w:color w:val="auto"/>
          <w:sz w:val="22"/>
          <w:szCs w:val="22"/>
        </w:rPr>
        <w:t xml:space="preserve"> of per home</w:t>
      </w:r>
      <w:r w:rsidR="00245B9D">
        <w:rPr>
          <w:rFonts w:asciiTheme="minorHAnsi" w:hAnsiTheme="minorHAnsi" w:cstheme="minorHAnsi"/>
          <w:i w:val="0"/>
          <w:color w:val="auto"/>
          <w:sz w:val="22"/>
          <w:szCs w:val="22"/>
        </w:rPr>
        <w:t>, the value is converted in a similar manner as the energy savings.</w:t>
      </w:r>
    </w:p>
    <w:p w:rsidR="005A0E53" w:rsidRPr="00697868" w:rsidRDefault="005A0E53" w:rsidP="005A0E53">
      <w:pPr>
        <w:pStyle w:val="Heading2"/>
        <w:rPr>
          <w:rFonts w:asciiTheme="minorHAnsi" w:hAnsiTheme="minorHAnsi" w:cstheme="minorHAnsi"/>
        </w:rPr>
      </w:pPr>
      <w:bookmarkStart w:id="22" w:name="_Toc214003098"/>
      <w:r w:rsidRPr="00697868">
        <w:rPr>
          <w:rFonts w:asciiTheme="minorHAnsi" w:hAnsiTheme="minorHAnsi" w:cstheme="minorHAnsi"/>
        </w:rPr>
        <w:t>4.</w:t>
      </w:r>
      <w:r>
        <w:rPr>
          <w:rFonts w:asciiTheme="minorHAnsi" w:hAnsiTheme="minorHAnsi" w:cstheme="minorHAnsi"/>
        </w:rPr>
        <w:t>2</w:t>
      </w:r>
      <w:r w:rsidRPr="00697868">
        <w:rPr>
          <w:rFonts w:asciiTheme="minorHAnsi" w:hAnsiTheme="minorHAnsi" w:cstheme="minorHAnsi"/>
        </w:rPr>
        <w:t xml:space="preserve"> </w:t>
      </w:r>
      <w:r>
        <w:rPr>
          <w:rFonts w:asciiTheme="minorHAnsi" w:hAnsiTheme="minorHAnsi" w:cstheme="minorHAnsi"/>
        </w:rPr>
        <w:t>Measure</w:t>
      </w:r>
      <w:r w:rsidRPr="00697868">
        <w:rPr>
          <w:rFonts w:asciiTheme="minorHAnsi" w:hAnsiTheme="minorHAnsi" w:cstheme="minorHAnsi"/>
        </w:rPr>
        <w:t xml:space="preserve"> Case Cost</w:t>
      </w:r>
    </w:p>
    <w:p w:rsidR="005A0E53" w:rsidRPr="00215980" w:rsidRDefault="00215980" w:rsidP="005A0E53">
      <w:pPr>
        <w:pStyle w:val="Reminders"/>
        <w:rPr>
          <w:rFonts w:asciiTheme="minorHAnsi" w:hAnsiTheme="minorHAnsi" w:cstheme="minorHAnsi"/>
          <w:i w:val="0"/>
          <w:color w:val="auto"/>
          <w:sz w:val="22"/>
          <w:szCs w:val="22"/>
        </w:rPr>
      </w:pPr>
      <w:r w:rsidRPr="00215980">
        <w:rPr>
          <w:rFonts w:asciiTheme="minorHAnsi" w:hAnsiTheme="minorHAnsi" w:cstheme="minorHAnsi"/>
          <w:i w:val="0"/>
          <w:color w:val="auto"/>
          <w:sz w:val="22"/>
          <w:szCs w:val="22"/>
        </w:rPr>
        <w:t>The measure case cost for the measures contained within this work paper was taken from DEER.</w:t>
      </w:r>
      <w:r w:rsidR="00546A2E">
        <w:rPr>
          <w:rFonts w:asciiTheme="minorHAnsi" w:hAnsiTheme="minorHAnsi" w:cstheme="minorHAnsi"/>
          <w:i w:val="0"/>
          <w:color w:val="auto"/>
          <w:sz w:val="22"/>
          <w:szCs w:val="22"/>
        </w:rPr>
        <w:t xml:space="preserve"> Similar to the base case cost, the measure case cost was found from DEER 2005 to be $1,553.00 per 1,000 </w:t>
      </w:r>
      <w:proofErr w:type="spellStart"/>
      <w:r w:rsidR="00546A2E">
        <w:rPr>
          <w:rFonts w:asciiTheme="minorHAnsi" w:hAnsiTheme="minorHAnsi" w:cstheme="minorHAnsi"/>
          <w:i w:val="0"/>
          <w:color w:val="auto"/>
          <w:sz w:val="22"/>
          <w:szCs w:val="22"/>
        </w:rPr>
        <w:t>sq</w:t>
      </w:r>
      <w:proofErr w:type="spellEnd"/>
      <w:r w:rsidR="00546A2E">
        <w:rPr>
          <w:rFonts w:asciiTheme="minorHAnsi" w:hAnsiTheme="minorHAnsi" w:cstheme="minorHAnsi"/>
          <w:i w:val="0"/>
          <w:color w:val="auto"/>
          <w:sz w:val="22"/>
          <w:szCs w:val="22"/>
        </w:rPr>
        <w:t xml:space="preserve"> </w:t>
      </w:r>
      <w:proofErr w:type="spellStart"/>
      <w:r w:rsidR="00546A2E">
        <w:rPr>
          <w:rFonts w:asciiTheme="minorHAnsi" w:hAnsiTheme="minorHAnsi" w:cstheme="minorHAnsi"/>
          <w:i w:val="0"/>
          <w:color w:val="auto"/>
          <w:sz w:val="22"/>
          <w:szCs w:val="22"/>
        </w:rPr>
        <w:t>ft</w:t>
      </w:r>
      <w:proofErr w:type="spellEnd"/>
      <w:r w:rsidR="00546A2E">
        <w:rPr>
          <w:rFonts w:asciiTheme="minorHAnsi" w:hAnsiTheme="minorHAnsi" w:cstheme="minorHAnsi"/>
          <w:i w:val="0"/>
          <w:color w:val="auto"/>
          <w:sz w:val="22"/>
          <w:szCs w:val="22"/>
        </w:rPr>
        <w:t xml:space="preserve"> for SCE and converted to a per home basis for PG&amp;E.</w:t>
      </w:r>
    </w:p>
    <w:p w:rsidR="00E16609" w:rsidRDefault="005A0E53" w:rsidP="00E16609">
      <w:pPr>
        <w:pStyle w:val="Heading2"/>
        <w:keepNext w:val="0"/>
        <w:rPr>
          <w:rFonts w:asciiTheme="minorHAnsi" w:hAnsiTheme="minorHAnsi" w:cstheme="minorHAnsi"/>
        </w:rPr>
      </w:pPr>
      <w:r>
        <w:rPr>
          <w:rFonts w:asciiTheme="minorHAnsi" w:hAnsiTheme="minorHAnsi" w:cstheme="minorHAnsi"/>
        </w:rPr>
        <w:t>4.3</w:t>
      </w:r>
      <w:r w:rsidR="00E16609" w:rsidRPr="00697868">
        <w:rPr>
          <w:rFonts w:asciiTheme="minorHAnsi" w:hAnsiTheme="minorHAnsi" w:cstheme="minorHAnsi"/>
        </w:rPr>
        <w:t xml:space="preserve"> Gross</w:t>
      </w:r>
      <w:r>
        <w:rPr>
          <w:rFonts w:asciiTheme="minorHAnsi" w:hAnsiTheme="minorHAnsi" w:cstheme="minorHAnsi"/>
        </w:rPr>
        <w:t xml:space="preserve"> and Incremental</w:t>
      </w:r>
      <w:r w:rsidR="00E16609" w:rsidRPr="00697868">
        <w:rPr>
          <w:rFonts w:asciiTheme="minorHAnsi" w:hAnsiTheme="minorHAnsi" w:cstheme="minorHAnsi"/>
        </w:rPr>
        <w:t xml:space="preserve"> Measure Cost</w:t>
      </w:r>
      <w:bookmarkEnd w:id="22"/>
    </w:p>
    <w:p w:rsidR="005A0E53" w:rsidRPr="005A0E53" w:rsidRDefault="005A0E53" w:rsidP="005A0E53">
      <w:pPr>
        <w:pStyle w:val="Heading3"/>
        <w:rPr>
          <w:rFonts w:asciiTheme="minorHAnsi" w:hAnsiTheme="minorHAnsi"/>
        </w:rPr>
      </w:pPr>
      <w:r w:rsidRPr="005A0E53">
        <w:rPr>
          <w:rFonts w:asciiTheme="minorHAnsi" w:hAnsiTheme="minorHAnsi"/>
        </w:rPr>
        <w:t>4.3.1 Gross Measure Cost</w:t>
      </w:r>
    </w:p>
    <w:p w:rsidR="00AB4649" w:rsidRDefault="00AB4649" w:rsidP="00E16609">
      <w:pPr>
        <w:pStyle w:val="Reminders"/>
        <w:rPr>
          <w:rFonts w:asciiTheme="minorHAnsi" w:hAnsiTheme="minorHAnsi" w:cstheme="minorHAnsi"/>
          <w:i w:val="0"/>
          <w:color w:val="auto"/>
          <w:sz w:val="22"/>
          <w:szCs w:val="22"/>
        </w:rPr>
      </w:pPr>
      <w:r w:rsidRPr="00AB4649">
        <w:rPr>
          <w:rFonts w:asciiTheme="minorHAnsi" w:hAnsiTheme="minorHAnsi" w:cstheme="minorHAnsi"/>
          <w:i w:val="0"/>
          <w:color w:val="auto"/>
          <w:sz w:val="22"/>
          <w:szCs w:val="22"/>
        </w:rPr>
        <w:t xml:space="preserve">For </w:t>
      </w:r>
      <w:r w:rsidR="00BB1505">
        <w:rPr>
          <w:rFonts w:asciiTheme="minorHAnsi" w:hAnsiTheme="minorHAnsi" w:cstheme="minorHAnsi"/>
          <w:i w:val="0"/>
          <w:color w:val="auto"/>
          <w:sz w:val="22"/>
          <w:szCs w:val="22"/>
        </w:rPr>
        <w:t>replace on burnout</w:t>
      </w:r>
      <w:r w:rsidRPr="00AB4649">
        <w:rPr>
          <w:rFonts w:asciiTheme="minorHAnsi" w:hAnsiTheme="minorHAnsi" w:cstheme="minorHAnsi"/>
          <w:i w:val="0"/>
          <w:color w:val="auto"/>
          <w:sz w:val="22"/>
          <w:szCs w:val="22"/>
        </w:rPr>
        <w:t xml:space="preserve"> measures, </w:t>
      </w:r>
      <w:r w:rsidR="00BB1505" w:rsidRPr="00BB1505">
        <w:rPr>
          <w:rFonts w:asciiTheme="minorHAnsi" w:hAnsiTheme="minorHAnsi" w:cstheme="minorHAnsi"/>
          <w:i w:val="0"/>
          <w:color w:val="auto"/>
          <w:sz w:val="22"/>
          <w:szCs w:val="22"/>
        </w:rPr>
        <w:t xml:space="preserve">the equipment being </w:t>
      </w:r>
      <w:proofErr w:type="gramStart"/>
      <w:r w:rsidR="00BB1505" w:rsidRPr="00BB1505">
        <w:rPr>
          <w:rFonts w:asciiTheme="minorHAnsi" w:hAnsiTheme="minorHAnsi" w:cstheme="minorHAnsi"/>
          <w:i w:val="0"/>
          <w:color w:val="auto"/>
          <w:sz w:val="22"/>
          <w:szCs w:val="22"/>
        </w:rPr>
        <w:t>replaced/installed</w:t>
      </w:r>
      <w:proofErr w:type="gramEnd"/>
      <w:r w:rsidR="00BB1505" w:rsidRPr="00BB1505">
        <w:rPr>
          <w:rFonts w:asciiTheme="minorHAnsi" w:hAnsiTheme="minorHAnsi" w:cstheme="minorHAnsi"/>
          <w:i w:val="0"/>
          <w:color w:val="auto"/>
          <w:sz w:val="22"/>
          <w:szCs w:val="22"/>
        </w:rPr>
        <w:t xml:space="preserve"> is assumed to have failed in place or is past its useful life. In this scenario the customer is in the situation of having to </w:t>
      </w:r>
      <w:r w:rsidR="00BB1505">
        <w:rPr>
          <w:rFonts w:asciiTheme="minorHAnsi" w:hAnsiTheme="minorHAnsi" w:cstheme="minorHAnsi"/>
          <w:i w:val="0"/>
          <w:color w:val="auto"/>
          <w:sz w:val="22"/>
          <w:szCs w:val="22"/>
        </w:rPr>
        <w:t>purchase new equipment.</w:t>
      </w:r>
      <w:r w:rsidR="00BB1505" w:rsidRPr="00BB1505">
        <w:rPr>
          <w:rFonts w:asciiTheme="minorHAnsi" w:hAnsiTheme="minorHAnsi" w:cstheme="minorHAnsi"/>
          <w:i w:val="0"/>
          <w:color w:val="auto"/>
          <w:sz w:val="22"/>
          <w:szCs w:val="22"/>
        </w:rPr>
        <w:t xml:space="preserve"> The customer is faced with either purchasing standard efficiency or code baseline equipment vers</w:t>
      </w:r>
      <w:r w:rsidR="00BB1505">
        <w:rPr>
          <w:rFonts w:asciiTheme="minorHAnsi" w:hAnsiTheme="minorHAnsi" w:cstheme="minorHAnsi"/>
          <w:i w:val="0"/>
          <w:color w:val="auto"/>
          <w:sz w:val="22"/>
          <w:szCs w:val="22"/>
        </w:rPr>
        <w:t xml:space="preserve">us energy efficient equipment. </w:t>
      </w:r>
      <w:r w:rsidR="00BB1505" w:rsidRPr="00BB1505">
        <w:rPr>
          <w:rFonts w:asciiTheme="minorHAnsi" w:hAnsiTheme="minorHAnsi" w:cstheme="minorHAnsi"/>
          <w:i w:val="0"/>
          <w:color w:val="auto"/>
          <w:sz w:val="22"/>
          <w:szCs w:val="22"/>
        </w:rPr>
        <w:t>Because the customer will be spending money to replace their equipment anyway, the gross cost for the energy efficient measure is the premium paid above the non-efficient or code baseline equipment.</w:t>
      </w:r>
    </w:p>
    <w:p w:rsidR="00BB1505" w:rsidRDefault="00BB1505" w:rsidP="00E16609">
      <w:pPr>
        <w:pStyle w:val="Reminders"/>
        <w:rPr>
          <w:rFonts w:asciiTheme="minorHAnsi" w:hAnsiTheme="minorHAnsi" w:cstheme="minorHAnsi"/>
          <w:i w:val="0"/>
          <w:color w:val="auto"/>
          <w:sz w:val="22"/>
          <w:szCs w:val="22"/>
        </w:rPr>
      </w:pPr>
    </w:p>
    <w:p w:rsidR="00AB4649" w:rsidRDefault="00AB4649" w:rsidP="00E16609">
      <w:pPr>
        <w:pStyle w:val="Reminders"/>
        <w:rPr>
          <w:rFonts w:asciiTheme="minorHAnsi" w:hAnsiTheme="minorHAnsi" w:cstheme="minorHAnsi"/>
          <w:i w:val="0"/>
          <w:color w:val="auto"/>
          <w:sz w:val="22"/>
          <w:szCs w:val="22"/>
        </w:rPr>
      </w:pPr>
      <w:r w:rsidRPr="00AB4649">
        <w:rPr>
          <w:rFonts w:asciiTheme="minorHAnsi" w:hAnsiTheme="minorHAnsi" w:cstheme="minorHAnsi"/>
          <w:i w:val="0"/>
          <w:color w:val="auto"/>
          <w:sz w:val="22"/>
          <w:szCs w:val="22"/>
        </w:rPr>
        <w:t xml:space="preserve">For </w:t>
      </w:r>
      <w:r w:rsidR="00BB1505">
        <w:rPr>
          <w:rFonts w:asciiTheme="minorHAnsi" w:hAnsiTheme="minorHAnsi" w:cstheme="minorHAnsi"/>
          <w:i w:val="0"/>
          <w:color w:val="auto"/>
          <w:sz w:val="22"/>
          <w:szCs w:val="22"/>
        </w:rPr>
        <w:t>ROB</w:t>
      </w:r>
      <w:r w:rsidRPr="00AB4649">
        <w:rPr>
          <w:rFonts w:asciiTheme="minorHAnsi" w:hAnsiTheme="minorHAnsi" w:cstheme="minorHAnsi"/>
          <w:i w:val="0"/>
          <w:color w:val="auto"/>
          <w:sz w:val="22"/>
          <w:szCs w:val="22"/>
        </w:rPr>
        <w:t>, the Gross Measure Cost is represented by the equation below:</w:t>
      </w:r>
    </w:p>
    <w:p w:rsidR="00AB4649" w:rsidRDefault="00AB4649" w:rsidP="00AB4649">
      <w:pPr>
        <w:pStyle w:val="NormalParagraph"/>
        <w:spacing w:before="240"/>
        <w:ind w:left="1080"/>
        <w:rPr>
          <w:rFonts w:ascii="Calibri" w:hAnsi="Calibri" w:cs="Calibri"/>
          <w:sz w:val="22"/>
        </w:rPr>
      </w:pPr>
      <w:r w:rsidRPr="00BB1505">
        <w:rPr>
          <w:rFonts w:ascii="Calibri" w:hAnsi="Calibri" w:cs="Calibri"/>
          <w:i/>
          <w:sz w:val="22"/>
        </w:rPr>
        <w:t>GMC =</w:t>
      </w:r>
      <w:r w:rsidRPr="00713810">
        <w:rPr>
          <w:rFonts w:ascii="Calibri" w:hAnsi="Calibri" w:cs="Calibri"/>
          <w:sz w:val="22"/>
        </w:rPr>
        <w:t xml:space="preserve"> </w:t>
      </w:r>
      <w:r w:rsidR="00BB1505" w:rsidRPr="0037121C">
        <w:rPr>
          <w:rFonts w:asciiTheme="minorHAnsi" w:hAnsiTheme="minorHAnsi" w:cstheme="minorHAnsi"/>
          <w:i/>
          <w:sz w:val="22"/>
          <w:szCs w:val="22"/>
        </w:rPr>
        <w:t>Measure Equipment Cost – Base Case Equipment Cost</w:t>
      </w:r>
    </w:p>
    <w:p w:rsidR="00AB4649" w:rsidRDefault="00AB4649" w:rsidP="00E16609">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lastRenderedPageBreak/>
        <w:t>For SCE, the GMC is $</w:t>
      </w:r>
      <w:r w:rsidR="004051A2">
        <w:rPr>
          <w:rFonts w:asciiTheme="minorHAnsi" w:hAnsiTheme="minorHAnsi" w:cstheme="minorHAnsi"/>
          <w:i w:val="0"/>
          <w:color w:val="auto"/>
          <w:sz w:val="22"/>
          <w:szCs w:val="22"/>
        </w:rPr>
        <w:t>713.83</w:t>
      </w:r>
      <w:r>
        <w:rPr>
          <w:rFonts w:asciiTheme="minorHAnsi" w:hAnsiTheme="minorHAnsi" w:cstheme="minorHAnsi"/>
          <w:i w:val="0"/>
          <w:color w:val="auto"/>
          <w:sz w:val="22"/>
          <w:szCs w:val="22"/>
        </w:rPr>
        <w:t xml:space="preserve"> per 1,000 </w:t>
      </w:r>
      <w:proofErr w:type="spellStart"/>
      <w:r>
        <w:rPr>
          <w:rFonts w:asciiTheme="minorHAnsi" w:hAnsiTheme="minorHAnsi" w:cstheme="minorHAnsi"/>
          <w:i w:val="0"/>
          <w:color w:val="auto"/>
          <w:sz w:val="22"/>
          <w:szCs w:val="22"/>
        </w:rPr>
        <w:t>sq</w:t>
      </w:r>
      <w:proofErr w:type="spellEnd"/>
      <w:r>
        <w:rPr>
          <w:rFonts w:asciiTheme="minorHAnsi" w:hAnsiTheme="minorHAnsi" w:cstheme="minorHAnsi"/>
          <w:i w:val="0"/>
          <w:color w:val="auto"/>
          <w:sz w:val="22"/>
          <w:szCs w:val="22"/>
        </w:rPr>
        <w:t xml:space="preserve"> ft. </w:t>
      </w:r>
      <w:r w:rsidRPr="00AB4649">
        <w:rPr>
          <w:rFonts w:asciiTheme="minorHAnsi" w:hAnsiTheme="minorHAnsi" w:cstheme="minorHAnsi"/>
          <w:i w:val="0"/>
          <w:color w:val="auto"/>
          <w:sz w:val="22"/>
          <w:szCs w:val="22"/>
        </w:rPr>
        <w:t>For PG&amp;E, since the measure unit is per household, the cost data is converted according to the methodology described in Section 2.</w:t>
      </w:r>
    </w:p>
    <w:p w:rsidR="005A0E53" w:rsidRPr="005A0E53" w:rsidRDefault="005A0E53" w:rsidP="005A0E53">
      <w:pPr>
        <w:pStyle w:val="Heading3"/>
        <w:rPr>
          <w:rFonts w:asciiTheme="minorHAnsi" w:hAnsiTheme="minorHAnsi"/>
        </w:rPr>
      </w:pPr>
      <w:bookmarkStart w:id="23" w:name="_Toc214003099"/>
      <w:r w:rsidRPr="005A0E53">
        <w:rPr>
          <w:rFonts w:asciiTheme="minorHAnsi" w:hAnsiTheme="minorHAnsi"/>
        </w:rPr>
        <w:t>4.3.</w:t>
      </w:r>
      <w:r>
        <w:rPr>
          <w:rFonts w:asciiTheme="minorHAnsi" w:hAnsiTheme="minorHAnsi"/>
        </w:rPr>
        <w:t>2</w:t>
      </w:r>
      <w:r w:rsidRPr="005A0E53">
        <w:rPr>
          <w:rFonts w:asciiTheme="minorHAnsi" w:hAnsiTheme="minorHAnsi"/>
        </w:rPr>
        <w:t xml:space="preserve"> </w:t>
      </w:r>
      <w:r>
        <w:rPr>
          <w:rFonts w:asciiTheme="minorHAnsi" w:hAnsiTheme="minorHAnsi"/>
        </w:rPr>
        <w:t>Incremental</w:t>
      </w:r>
      <w:r w:rsidRPr="005A0E53">
        <w:rPr>
          <w:rFonts w:asciiTheme="minorHAnsi" w:hAnsiTheme="minorHAnsi"/>
        </w:rPr>
        <w:t xml:space="preserve"> Measure Cost</w:t>
      </w:r>
    </w:p>
    <w:p w:rsidR="00705467" w:rsidRDefault="00705467" w:rsidP="00705467">
      <w:pPr>
        <w:pStyle w:val="Reminders"/>
        <w:rPr>
          <w:rFonts w:asciiTheme="minorHAnsi" w:hAnsiTheme="minorHAnsi" w:cstheme="minorHAnsi"/>
          <w:i w:val="0"/>
          <w:color w:val="auto"/>
          <w:sz w:val="22"/>
          <w:szCs w:val="22"/>
        </w:rPr>
      </w:pPr>
      <w:r w:rsidRPr="00705467">
        <w:rPr>
          <w:rFonts w:asciiTheme="minorHAnsi" w:hAnsiTheme="minorHAnsi" w:cstheme="minorHAnsi"/>
          <w:i w:val="0"/>
          <w:color w:val="auto"/>
          <w:sz w:val="22"/>
          <w:szCs w:val="22"/>
        </w:rPr>
        <w:t xml:space="preserve">For this measure category, the incremental measure cost is used strictly for providing insight to program managers to assist in determining rebates for deemed measures. </w:t>
      </w:r>
    </w:p>
    <w:p w:rsidR="00705467" w:rsidRDefault="00705467" w:rsidP="00705467">
      <w:pPr>
        <w:pStyle w:val="Reminders"/>
        <w:rPr>
          <w:rFonts w:asciiTheme="minorHAnsi" w:hAnsiTheme="minorHAnsi" w:cstheme="minorHAnsi"/>
          <w:i w:val="0"/>
          <w:color w:val="auto"/>
          <w:sz w:val="22"/>
          <w:szCs w:val="22"/>
        </w:rPr>
      </w:pPr>
    </w:p>
    <w:p w:rsidR="00E16609" w:rsidRPr="00705467" w:rsidRDefault="00705467" w:rsidP="00705467">
      <w:pPr>
        <w:pStyle w:val="Reminders"/>
        <w:rPr>
          <w:rFonts w:asciiTheme="minorHAnsi" w:hAnsiTheme="minorHAnsi" w:cstheme="minorHAnsi"/>
          <w:i w:val="0"/>
          <w:color w:val="auto"/>
          <w:sz w:val="22"/>
          <w:szCs w:val="22"/>
        </w:rPr>
      </w:pPr>
      <w:r w:rsidRPr="00705467">
        <w:rPr>
          <w:rFonts w:asciiTheme="minorHAnsi" w:hAnsiTheme="minorHAnsi" w:cstheme="minorHAnsi"/>
          <w:i w:val="0"/>
          <w:color w:val="auto"/>
          <w:sz w:val="22"/>
          <w:szCs w:val="22"/>
        </w:rPr>
        <w:t xml:space="preserve">For </w:t>
      </w:r>
      <w:r w:rsidR="004C39BB">
        <w:rPr>
          <w:rFonts w:asciiTheme="minorHAnsi" w:hAnsiTheme="minorHAnsi" w:cstheme="minorHAnsi"/>
          <w:i w:val="0"/>
          <w:color w:val="auto"/>
          <w:sz w:val="22"/>
          <w:szCs w:val="22"/>
        </w:rPr>
        <w:t>ROB</w:t>
      </w:r>
      <w:r w:rsidRPr="00705467">
        <w:rPr>
          <w:rFonts w:asciiTheme="minorHAnsi" w:hAnsiTheme="minorHAnsi" w:cstheme="minorHAnsi"/>
          <w:i w:val="0"/>
          <w:color w:val="auto"/>
          <w:sz w:val="22"/>
          <w:szCs w:val="22"/>
        </w:rPr>
        <w:t xml:space="preserve">, the </w:t>
      </w:r>
      <w:r>
        <w:rPr>
          <w:rFonts w:asciiTheme="minorHAnsi" w:hAnsiTheme="minorHAnsi" w:cstheme="minorHAnsi"/>
          <w:i w:val="0"/>
          <w:color w:val="auto"/>
          <w:sz w:val="22"/>
          <w:szCs w:val="22"/>
        </w:rPr>
        <w:t>Incremental</w:t>
      </w:r>
      <w:r w:rsidRPr="00705467">
        <w:rPr>
          <w:rFonts w:asciiTheme="minorHAnsi" w:hAnsiTheme="minorHAnsi" w:cstheme="minorHAnsi"/>
          <w:i w:val="0"/>
          <w:color w:val="auto"/>
          <w:sz w:val="22"/>
          <w:szCs w:val="22"/>
        </w:rPr>
        <w:t xml:space="preserve"> Measure Cost is </w:t>
      </w:r>
      <w:r w:rsidR="004C39BB">
        <w:rPr>
          <w:rFonts w:asciiTheme="minorHAnsi" w:hAnsiTheme="minorHAnsi" w:cstheme="minorHAnsi"/>
          <w:i w:val="0"/>
          <w:color w:val="auto"/>
          <w:sz w:val="22"/>
          <w:szCs w:val="22"/>
        </w:rPr>
        <w:t>equal to the gross measure cost reported in section 4.3.1.</w:t>
      </w:r>
      <w:r w:rsidR="00E16609" w:rsidRPr="00705467">
        <w:rPr>
          <w:rFonts w:asciiTheme="minorHAnsi" w:hAnsiTheme="minorHAnsi" w:cstheme="minorHAnsi"/>
          <w:i w:val="0"/>
          <w:color w:val="auto"/>
          <w:sz w:val="22"/>
          <w:szCs w:val="22"/>
        </w:rPr>
        <w:br w:type="page"/>
      </w:r>
    </w:p>
    <w:bookmarkEnd w:id="23"/>
    <w:p w:rsidR="00E16609" w:rsidRPr="00697868" w:rsidRDefault="00E16609" w:rsidP="00E16609">
      <w:pPr>
        <w:pStyle w:val="Heading1"/>
        <w:rPr>
          <w:rFonts w:asciiTheme="minorHAnsi" w:hAnsiTheme="minorHAnsi" w:cstheme="minorHAnsi"/>
        </w:rPr>
      </w:pPr>
      <w:r w:rsidRPr="00697868">
        <w:rPr>
          <w:rFonts w:asciiTheme="minorHAnsi" w:hAnsiTheme="minorHAnsi" w:cstheme="minorHAnsi"/>
        </w:rPr>
        <w:lastRenderedPageBreak/>
        <w:t>Attachments</w:t>
      </w:r>
    </w:p>
    <w:p w:rsidR="00E16609" w:rsidRPr="00A118A1" w:rsidRDefault="00A118A1" w:rsidP="00327212">
      <w:pPr>
        <w:pStyle w:val="Reminders"/>
        <w:rPr>
          <w:rFonts w:asciiTheme="minorHAnsi" w:hAnsiTheme="minorHAnsi" w:cstheme="minorHAnsi"/>
          <w:i w:val="0"/>
          <w:color w:val="auto"/>
        </w:rPr>
      </w:pPr>
      <w:r w:rsidRPr="00A118A1">
        <w:rPr>
          <w:rFonts w:asciiTheme="minorHAnsi" w:hAnsiTheme="minorHAnsi" w:cstheme="minorHAnsi"/>
          <w:i w:val="0"/>
          <w:color w:val="auto"/>
        </w:rPr>
        <w:t xml:space="preserve">See accompanying files </w:t>
      </w:r>
    </w:p>
    <w:p w:rsidR="00327212" w:rsidRPr="00327212" w:rsidRDefault="00A118A1" w:rsidP="00327212">
      <w:pPr>
        <w:pStyle w:val="Reminders"/>
        <w:rPr>
          <w:rFonts w:asciiTheme="minorHAnsi" w:hAnsiTheme="minorHAnsi" w:cstheme="minorHAnsi"/>
          <w:i w:val="0"/>
          <w:color w:val="auto"/>
        </w:rPr>
      </w:pPr>
      <w:r w:rsidRPr="00327212">
        <w:rPr>
          <w:rFonts w:asciiTheme="minorHAnsi" w:hAnsiTheme="minorHAnsi" w:cstheme="minorHAnsi"/>
          <w:i w:val="0"/>
          <w:color w:val="auto"/>
        </w:rPr>
        <w:t xml:space="preserve"> </w:t>
      </w:r>
    </w:p>
    <w:p w:rsidR="00A500D6" w:rsidRPr="00697868" w:rsidRDefault="00A500D6" w:rsidP="00E16609">
      <w:pPr>
        <w:rPr>
          <w:rFonts w:asciiTheme="minorHAnsi" w:hAnsiTheme="minorHAnsi" w:cstheme="minorHAnsi"/>
        </w:rPr>
      </w:pPr>
    </w:p>
    <w:p w:rsidR="00612041" w:rsidRPr="00697868" w:rsidRDefault="00612041" w:rsidP="00E16609">
      <w:pPr>
        <w:rPr>
          <w:rFonts w:asciiTheme="minorHAnsi" w:hAnsiTheme="minorHAnsi" w:cstheme="minorHAnsi"/>
        </w:rPr>
      </w:pPr>
    </w:p>
    <w:p w:rsidR="00C54EFF" w:rsidRPr="00697868" w:rsidRDefault="00C54EFF" w:rsidP="00E16609">
      <w:pPr>
        <w:rPr>
          <w:rFonts w:asciiTheme="minorHAnsi" w:hAnsiTheme="minorHAnsi" w:cstheme="minorHAnsi"/>
        </w:rPr>
      </w:pPr>
    </w:p>
    <w:p w:rsidR="00C54EFF" w:rsidRPr="00697868" w:rsidRDefault="00C54EFF">
      <w:pPr>
        <w:spacing w:after="200" w:line="276" w:lineRule="auto"/>
        <w:rPr>
          <w:rFonts w:asciiTheme="minorHAnsi" w:hAnsiTheme="minorHAnsi" w:cstheme="minorHAnsi"/>
        </w:rPr>
      </w:pPr>
      <w:r w:rsidRPr="00697868">
        <w:rPr>
          <w:rFonts w:asciiTheme="minorHAnsi" w:hAnsiTheme="minorHAnsi" w:cstheme="minorHAnsi"/>
        </w:rPr>
        <w:br w:type="page"/>
      </w:r>
    </w:p>
    <w:p w:rsidR="00C54EFF" w:rsidRPr="00697868" w:rsidRDefault="00C54EFF" w:rsidP="00C54EFF">
      <w:pPr>
        <w:pStyle w:val="Heading1"/>
        <w:rPr>
          <w:rFonts w:asciiTheme="minorHAnsi" w:hAnsiTheme="minorHAnsi" w:cstheme="minorHAnsi"/>
        </w:rPr>
      </w:pPr>
      <w:r w:rsidRPr="00697868">
        <w:rPr>
          <w:rFonts w:asciiTheme="minorHAnsi" w:hAnsiTheme="minorHAnsi" w:cstheme="minorHAnsi"/>
        </w:rPr>
        <w:lastRenderedPageBreak/>
        <w:t>References</w:t>
      </w:r>
    </w:p>
    <w:p w:rsidR="00327212" w:rsidRPr="00A118A1" w:rsidRDefault="00A118A1" w:rsidP="009824E9">
      <w:pPr>
        <w:rPr>
          <w:rFonts w:asciiTheme="minorHAnsi" w:hAnsiTheme="minorHAnsi"/>
          <w:sz w:val="22"/>
          <w:szCs w:val="22"/>
        </w:rPr>
      </w:pPr>
      <w:r w:rsidRPr="00A118A1">
        <w:rPr>
          <w:rFonts w:asciiTheme="minorHAnsi" w:hAnsiTheme="minorHAnsi" w:cstheme="minorHAnsi"/>
        </w:rPr>
        <w:t>See accompanying files</w:t>
      </w:r>
    </w:p>
    <w:p w:rsidR="00327212" w:rsidRPr="00327212" w:rsidRDefault="00327212" w:rsidP="009824E9">
      <w:pPr>
        <w:rPr>
          <w:rFonts w:asciiTheme="minorHAnsi" w:hAnsiTheme="minorHAnsi"/>
          <w:sz w:val="22"/>
          <w:szCs w:val="22"/>
        </w:rPr>
      </w:pPr>
    </w:p>
    <w:p w:rsidR="00327212" w:rsidRDefault="00327212" w:rsidP="009824E9">
      <w:pPr>
        <w:rPr>
          <w:rFonts w:asciiTheme="minorHAnsi" w:hAnsiTheme="minorHAnsi"/>
          <w:sz w:val="22"/>
          <w:szCs w:val="22"/>
        </w:rPr>
      </w:pPr>
      <w:r w:rsidRPr="00327212">
        <w:rPr>
          <w:rFonts w:asciiTheme="minorHAnsi" w:hAnsiTheme="minorHAnsi"/>
          <w:sz w:val="22"/>
          <w:szCs w:val="22"/>
        </w:rPr>
        <w:t>[31]</w:t>
      </w:r>
    </w:p>
    <w:p w:rsidR="00327212" w:rsidRDefault="00327212" w:rsidP="009824E9">
      <w:pPr>
        <w:rPr>
          <w:rFonts w:asciiTheme="minorHAnsi" w:hAnsiTheme="minorHAnsi"/>
          <w:sz w:val="22"/>
          <w:szCs w:val="22"/>
        </w:rPr>
      </w:pPr>
      <w:r>
        <w:rPr>
          <w:rFonts w:asciiTheme="minorHAnsi" w:hAnsiTheme="minorHAnsi"/>
          <w:sz w:val="22"/>
          <w:szCs w:val="22"/>
        </w:rPr>
        <w:t>[351]</w:t>
      </w:r>
    </w:p>
    <w:p w:rsidR="00327212" w:rsidRDefault="00327212" w:rsidP="009824E9">
      <w:pPr>
        <w:rPr>
          <w:rFonts w:asciiTheme="minorHAnsi" w:hAnsiTheme="minorHAnsi"/>
          <w:sz w:val="22"/>
          <w:szCs w:val="22"/>
        </w:rPr>
      </w:pPr>
      <w:r>
        <w:rPr>
          <w:rFonts w:asciiTheme="minorHAnsi" w:hAnsiTheme="minorHAnsi"/>
          <w:sz w:val="22"/>
          <w:szCs w:val="22"/>
        </w:rPr>
        <w:t>[355]</w:t>
      </w:r>
    </w:p>
    <w:p w:rsidR="00327212" w:rsidRDefault="00327212" w:rsidP="009824E9">
      <w:pPr>
        <w:rPr>
          <w:rFonts w:asciiTheme="minorHAnsi" w:hAnsiTheme="minorHAnsi"/>
          <w:sz w:val="22"/>
          <w:szCs w:val="22"/>
        </w:rPr>
      </w:pPr>
      <w:r>
        <w:rPr>
          <w:rFonts w:asciiTheme="minorHAnsi" w:hAnsiTheme="minorHAnsi"/>
          <w:sz w:val="22"/>
          <w:szCs w:val="22"/>
        </w:rPr>
        <w:t>[422]</w:t>
      </w:r>
    </w:p>
    <w:p w:rsidR="00236CDC" w:rsidRDefault="00236CDC" w:rsidP="009824E9">
      <w:pPr>
        <w:rPr>
          <w:rFonts w:asciiTheme="minorHAnsi" w:hAnsiTheme="minorHAnsi"/>
          <w:sz w:val="22"/>
          <w:szCs w:val="22"/>
        </w:rPr>
      </w:pPr>
      <w:r>
        <w:rPr>
          <w:rFonts w:asciiTheme="minorHAnsi" w:hAnsiTheme="minorHAnsi"/>
          <w:sz w:val="22"/>
          <w:szCs w:val="22"/>
        </w:rPr>
        <w:t>[434]</w:t>
      </w:r>
    </w:p>
    <w:p w:rsidR="007E177F" w:rsidRPr="00327212" w:rsidRDefault="007E177F" w:rsidP="009824E9">
      <w:pPr>
        <w:rPr>
          <w:rFonts w:asciiTheme="minorHAnsi" w:hAnsiTheme="minorHAnsi"/>
          <w:sz w:val="22"/>
          <w:szCs w:val="22"/>
        </w:rPr>
        <w:sectPr w:rsidR="007E177F" w:rsidRPr="00327212" w:rsidSect="00CE69E9">
          <w:pgSz w:w="12240" w:h="15840"/>
          <w:pgMar w:top="1440" w:right="1440" w:bottom="1557" w:left="1440" w:header="720" w:footer="720" w:gutter="0"/>
          <w:pgNumType w:start="1"/>
          <w:cols w:space="720"/>
          <w:docGrid w:linePitch="360"/>
        </w:sectPr>
      </w:pPr>
      <w:r>
        <w:rPr>
          <w:rFonts w:asciiTheme="minorHAnsi" w:hAnsiTheme="minorHAnsi"/>
          <w:sz w:val="22"/>
          <w:szCs w:val="22"/>
        </w:rPr>
        <w:t>[436]</w:t>
      </w:r>
    </w:p>
    <w:p w:rsidR="009824E9" w:rsidRDefault="009824E9" w:rsidP="009824E9"/>
    <w:p w:rsidR="009824E9" w:rsidRPr="009824E9" w:rsidRDefault="009824E9" w:rsidP="009824E9">
      <w:pPr>
        <w:pStyle w:val="Heading1"/>
        <w:rPr>
          <w:rFonts w:asciiTheme="minorHAnsi" w:hAnsiTheme="minorHAnsi" w:cstheme="minorHAnsi"/>
        </w:rPr>
      </w:pPr>
      <w:r w:rsidRPr="009824E9">
        <w:rPr>
          <w:rFonts w:asciiTheme="minorHAnsi" w:hAnsiTheme="minorHAnsi" w:cstheme="minorHAnsi"/>
        </w:rPr>
        <w:t xml:space="preserve">Appendix </w:t>
      </w:r>
      <w:r w:rsidR="00CE28CF">
        <w:rPr>
          <w:rFonts w:asciiTheme="minorHAnsi" w:hAnsiTheme="minorHAnsi" w:cstheme="minorHAnsi"/>
        </w:rPr>
        <w:t>A</w:t>
      </w:r>
      <w:r>
        <w:rPr>
          <w:rFonts w:asciiTheme="minorHAnsi" w:hAnsiTheme="minorHAnsi" w:cstheme="minorHAnsi"/>
        </w:rPr>
        <w:t xml:space="preserve"> – SCE/ED </w:t>
      </w:r>
      <w:r w:rsidR="00CE28CF">
        <w:rPr>
          <w:rFonts w:asciiTheme="minorHAnsi" w:hAnsiTheme="minorHAnsi" w:cstheme="minorHAnsi"/>
        </w:rPr>
        <w:t>Application</w:t>
      </w:r>
      <w:r>
        <w:rPr>
          <w:rFonts w:asciiTheme="minorHAnsi" w:hAnsiTheme="minorHAnsi" w:cstheme="minorHAnsi"/>
        </w:rPr>
        <w:t xml:space="preserve"> Types </w:t>
      </w:r>
    </w:p>
    <w:tbl>
      <w:tblPr>
        <w:tblStyle w:val="TableContemporary"/>
        <w:tblW w:w="13068" w:type="dxa"/>
        <w:tblLayout w:type="fixed"/>
        <w:tblLook w:val="04A0" w:firstRow="1" w:lastRow="0" w:firstColumn="1" w:lastColumn="0" w:noHBand="0" w:noVBand="1"/>
      </w:tblPr>
      <w:tblGrid>
        <w:gridCol w:w="1818"/>
        <w:gridCol w:w="1800"/>
        <w:gridCol w:w="1890"/>
        <w:gridCol w:w="1890"/>
        <w:gridCol w:w="1620"/>
        <w:gridCol w:w="1620"/>
        <w:gridCol w:w="1170"/>
        <w:gridCol w:w="1260"/>
      </w:tblGrid>
      <w:tr w:rsidR="0023254A" w:rsidRPr="009824E9" w:rsidTr="0023254A">
        <w:trPr>
          <w:cnfStyle w:val="100000000000" w:firstRow="1" w:lastRow="0" w:firstColumn="0" w:lastColumn="0" w:oddVBand="0" w:evenVBand="0" w:oddHBand="0" w:evenHBand="0" w:firstRowFirstColumn="0" w:firstRowLastColumn="0" w:lastRowFirstColumn="0" w:lastRowLastColumn="0"/>
        </w:trPr>
        <w:tc>
          <w:tcPr>
            <w:tcW w:w="1818" w:type="dxa"/>
          </w:tcPr>
          <w:p w:rsidR="0023254A" w:rsidRPr="009824E9" w:rsidRDefault="0023254A" w:rsidP="00A92041">
            <w:pPr>
              <w:rPr>
                <w:rFonts w:asciiTheme="minorHAnsi" w:hAnsiTheme="minorHAnsi"/>
                <w:sz w:val="20"/>
                <w:szCs w:val="20"/>
              </w:rPr>
            </w:pPr>
            <w:r w:rsidRPr="009824E9">
              <w:rPr>
                <w:rFonts w:asciiTheme="minorHAnsi" w:hAnsiTheme="minorHAnsi"/>
                <w:sz w:val="20"/>
                <w:szCs w:val="20"/>
              </w:rPr>
              <w:t>SCE Program Type</w:t>
            </w:r>
          </w:p>
        </w:tc>
        <w:tc>
          <w:tcPr>
            <w:tcW w:w="1800" w:type="dxa"/>
          </w:tcPr>
          <w:p w:rsidR="0023254A" w:rsidRPr="009824E9" w:rsidRDefault="0023254A" w:rsidP="00A92041">
            <w:pPr>
              <w:rPr>
                <w:rFonts w:asciiTheme="minorHAnsi" w:hAnsiTheme="minorHAnsi"/>
                <w:sz w:val="20"/>
                <w:szCs w:val="20"/>
              </w:rPr>
            </w:pPr>
            <w:r w:rsidRPr="009824E9">
              <w:rPr>
                <w:rFonts w:asciiTheme="minorHAnsi" w:hAnsiTheme="minorHAnsi"/>
                <w:sz w:val="20"/>
                <w:szCs w:val="20"/>
              </w:rPr>
              <w:t>ED Application Type</w:t>
            </w:r>
          </w:p>
        </w:tc>
        <w:tc>
          <w:tcPr>
            <w:tcW w:w="1890" w:type="dxa"/>
          </w:tcPr>
          <w:p w:rsidR="0023254A" w:rsidRPr="009824E9" w:rsidRDefault="0023254A" w:rsidP="00A92041">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Savings</w:t>
            </w:r>
          </w:p>
        </w:tc>
        <w:tc>
          <w:tcPr>
            <w:tcW w:w="1890" w:type="dxa"/>
          </w:tcPr>
          <w:p w:rsidR="0023254A" w:rsidRPr="009824E9" w:rsidRDefault="0023254A" w:rsidP="00A92041">
            <w:pPr>
              <w:rPr>
                <w:rFonts w:asciiTheme="minorHAnsi" w:hAnsiTheme="minorHAnsi"/>
                <w:sz w:val="20"/>
                <w:szCs w:val="20"/>
              </w:rPr>
            </w:pPr>
            <w:r>
              <w:rPr>
                <w:rFonts w:asciiTheme="minorHAnsi" w:hAnsiTheme="minorHAnsi"/>
                <w:sz w:val="20"/>
                <w:szCs w:val="20"/>
              </w:rPr>
              <w:t>2</w:t>
            </w:r>
            <w:r w:rsidRPr="009824E9">
              <w:rPr>
                <w:rFonts w:asciiTheme="minorHAnsi" w:hAnsiTheme="minorHAnsi"/>
                <w:sz w:val="20"/>
                <w:szCs w:val="20"/>
                <w:vertAlign w:val="superscript"/>
              </w:rPr>
              <w:t>nd</w:t>
            </w:r>
            <w:r>
              <w:rPr>
                <w:rFonts w:asciiTheme="minorHAnsi" w:hAnsiTheme="minorHAnsi"/>
                <w:sz w:val="20"/>
                <w:szCs w:val="20"/>
              </w:rPr>
              <w:t xml:space="preserve"> Baseline Savings</w:t>
            </w:r>
          </w:p>
        </w:tc>
        <w:tc>
          <w:tcPr>
            <w:tcW w:w="1620" w:type="dxa"/>
          </w:tcPr>
          <w:p w:rsidR="0023254A" w:rsidRPr="009824E9" w:rsidRDefault="0023254A" w:rsidP="00A92041">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Cost</w:t>
            </w:r>
          </w:p>
        </w:tc>
        <w:tc>
          <w:tcPr>
            <w:tcW w:w="1620" w:type="dxa"/>
          </w:tcPr>
          <w:p w:rsidR="0023254A" w:rsidRPr="009824E9" w:rsidRDefault="0023254A" w:rsidP="00A92041">
            <w:pPr>
              <w:rPr>
                <w:rFonts w:asciiTheme="minorHAnsi" w:hAnsiTheme="minorHAnsi"/>
                <w:sz w:val="20"/>
                <w:szCs w:val="20"/>
              </w:rPr>
            </w:pPr>
            <w:r>
              <w:rPr>
                <w:rFonts w:asciiTheme="minorHAnsi" w:hAnsiTheme="minorHAnsi"/>
                <w:sz w:val="20"/>
                <w:szCs w:val="20"/>
              </w:rPr>
              <w:t>2</w:t>
            </w:r>
            <w:r w:rsidRPr="009824E9">
              <w:rPr>
                <w:rFonts w:asciiTheme="minorHAnsi" w:hAnsiTheme="minorHAnsi"/>
                <w:sz w:val="20"/>
                <w:szCs w:val="20"/>
                <w:vertAlign w:val="superscript"/>
              </w:rPr>
              <w:t>nd</w:t>
            </w:r>
            <w:r>
              <w:rPr>
                <w:rFonts w:asciiTheme="minorHAnsi" w:hAnsiTheme="minorHAnsi"/>
                <w:sz w:val="20"/>
                <w:szCs w:val="20"/>
              </w:rPr>
              <w:t xml:space="preserve"> Baseline Cost</w:t>
            </w:r>
          </w:p>
        </w:tc>
        <w:tc>
          <w:tcPr>
            <w:tcW w:w="1170" w:type="dxa"/>
          </w:tcPr>
          <w:p w:rsidR="0023254A" w:rsidRDefault="0023254A" w:rsidP="00A92041">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Life</w:t>
            </w:r>
          </w:p>
        </w:tc>
        <w:tc>
          <w:tcPr>
            <w:tcW w:w="1260" w:type="dxa"/>
          </w:tcPr>
          <w:p w:rsidR="0023254A" w:rsidRDefault="0023254A" w:rsidP="00A92041">
            <w:pPr>
              <w:rPr>
                <w:rFonts w:asciiTheme="minorHAnsi" w:hAnsiTheme="minorHAnsi"/>
                <w:sz w:val="20"/>
                <w:szCs w:val="20"/>
              </w:rPr>
            </w:pPr>
            <w:r>
              <w:rPr>
                <w:rFonts w:asciiTheme="minorHAnsi" w:hAnsiTheme="minorHAnsi"/>
                <w:sz w:val="20"/>
                <w:szCs w:val="20"/>
              </w:rPr>
              <w:t>2</w:t>
            </w:r>
            <w:r w:rsidRPr="008E647E">
              <w:rPr>
                <w:rFonts w:asciiTheme="minorHAnsi" w:hAnsiTheme="minorHAnsi"/>
                <w:sz w:val="20"/>
                <w:szCs w:val="20"/>
                <w:vertAlign w:val="superscript"/>
              </w:rPr>
              <w:t>nd</w:t>
            </w:r>
            <w:r>
              <w:rPr>
                <w:rFonts w:asciiTheme="minorHAnsi" w:hAnsiTheme="minorHAnsi"/>
                <w:sz w:val="20"/>
                <w:szCs w:val="20"/>
              </w:rPr>
              <w:t xml:space="preserve"> Baseline Life</w:t>
            </w:r>
          </w:p>
        </w:tc>
      </w:tr>
      <w:tr w:rsidR="0023254A" w:rsidRPr="009824E9" w:rsidTr="0023254A">
        <w:trPr>
          <w:cnfStyle w:val="000000100000" w:firstRow="0" w:lastRow="0" w:firstColumn="0" w:lastColumn="0" w:oddVBand="0" w:evenVBand="0" w:oddHBand="1" w:evenHBand="0" w:firstRowFirstColumn="0" w:firstRowLastColumn="0" w:lastRowFirstColumn="0" w:lastRowLastColumn="0"/>
          <w:trHeight w:val="549"/>
        </w:trPr>
        <w:tc>
          <w:tcPr>
            <w:tcW w:w="1818" w:type="dxa"/>
          </w:tcPr>
          <w:p w:rsidR="0023254A" w:rsidRPr="009824E9" w:rsidRDefault="0023254A" w:rsidP="00A92041">
            <w:pPr>
              <w:rPr>
                <w:rFonts w:asciiTheme="minorHAnsi" w:hAnsiTheme="minorHAnsi"/>
                <w:sz w:val="20"/>
                <w:szCs w:val="20"/>
              </w:rPr>
            </w:pPr>
            <w:r w:rsidRPr="009824E9">
              <w:rPr>
                <w:rFonts w:asciiTheme="minorHAnsi" w:hAnsiTheme="minorHAnsi"/>
                <w:sz w:val="20"/>
                <w:szCs w:val="20"/>
              </w:rPr>
              <w:t>New</w:t>
            </w:r>
          </w:p>
        </w:tc>
        <w:tc>
          <w:tcPr>
            <w:tcW w:w="1800" w:type="dxa"/>
          </w:tcPr>
          <w:p w:rsidR="0023254A" w:rsidRPr="009824E9" w:rsidRDefault="0023254A" w:rsidP="00A92041">
            <w:pPr>
              <w:rPr>
                <w:rFonts w:asciiTheme="minorHAnsi" w:hAnsiTheme="minorHAnsi"/>
                <w:sz w:val="20"/>
                <w:szCs w:val="20"/>
              </w:rPr>
            </w:pPr>
            <w:r>
              <w:rPr>
                <w:rFonts w:asciiTheme="minorHAnsi" w:hAnsiTheme="minorHAnsi"/>
                <w:sz w:val="20"/>
                <w:szCs w:val="20"/>
              </w:rPr>
              <w:t>New Construction (Nc)</w:t>
            </w:r>
          </w:p>
        </w:tc>
        <w:tc>
          <w:tcPr>
            <w:tcW w:w="1890" w:type="dxa"/>
          </w:tcPr>
          <w:p w:rsidR="0023254A" w:rsidRPr="009824E9" w:rsidRDefault="0023254A" w:rsidP="00A92041">
            <w:pPr>
              <w:rPr>
                <w:rFonts w:asciiTheme="minorHAnsi" w:hAnsiTheme="minorHAnsi"/>
                <w:sz w:val="20"/>
                <w:szCs w:val="20"/>
              </w:rPr>
            </w:pPr>
            <w:r>
              <w:rPr>
                <w:rFonts w:asciiTheme="minorHAnsi" w:hAnsiTheme="minorHAnsi"/>
                <w:sz w:val="20"/>
                <w:szCs w:val="20"/>
              </w:rPr>
              <w:t>Above Code/Standard</w:t>
            </w:r>
          </w:p>
        </w:tc>
        <w:tc>
          <w:tcPr>
            <w:tcW w:w="1890" w:type="dxa"/>
          </w:tcPr>
          <w:p w:rsidR="0023254A" w:rsidRPr="009824E9" w:rsidRDefault="0023254A" w:rsidP="00A92041">
            <w:pPr>
              <w:rPr>
                <w:rFonts w:asciiTheme="minorHAnsi" w:hAnsiTheme="minorHAnsi"/>
                <w:sz w:val="20"/>
                <w:szCs w:val="20"/>
              </w:rPr>
            </w:pPr>
            <w:r>
              <w:rPr>
                <w:rFonts w:asciiTheme="minorHAnsi" w:hAnsiTheme="minorHAnsi"/>
                <w:sz w:val="20"/>
                <w:szCs w:val="20"/>
              </w:rPr>
              <w:t>N/A</w:t>
            </w:r>
          </w:p>
        </w:tc>
        <w:tc>
          <w:tcPr>
            <w:tcW w:w="1620" w:type="dxa"/>
          </w:tcPr>
          <w:p w:rsidR="0023254A" w:rsidRPr="009824E9" w:rsidRDefault="0023254A" w:rsidP="00A92041">
            <w:pPr>
              <w:rPr>
                <w:rFonts w:asciiTheme="minorHAnsi" w:hAnsiTheme="minorHAnsi"/>
                <w:sz w:val="20"/>
                <w:szCs w:val="20"/>
              </w:rPr>
            </w:pPr>
            <w:r>
              <w:rPr>
                <w:rFonts w:asciiTheme="minorHAnsi" w:hAnsiTheme="minorHAnsi"/>
                <w:sz w:val="20"/>
                <w:szCs w:val="20"/>
              </w:rPr>
              <w:t>Incremental Cost</w:t>
            </w:r>
          </w:p>
        </w:tc>
        <w:tc>
          <w:tcPr>
            <w:tcW w:w="1620" w:type="dxa"/>
          </w:tcPr>
          <w:p w:rsidR="0023254A" w:rsidRPr="009824E9" w:rsidRDefault="0023254A" w:rsidP="00A92041">
            <w:pPr>
              <w:rPr>
                <w:rFonts w:asciiTheme="minorHAnsi" w:hAnsiTheme="minorHAnsi"/>
                <w:sz w:val="20"/>
                <w:szCs w:val="20"/>
              </w:rPr>
            </w:pPr>
            <w:r>
              <w:rPr>
                <w:rFonts w:asciiTheme="minorHAnsi" w:hAnsiTheme="minorHAnsi"/>
                <w:sz w:val="20"/>
                <w:szCs w:val="20"/>
              </w:rPr>
              <w:t>N/A</w:t>
            </w:r>
          </w:p>
        </w:tc>
        <w:tc>
          <w:tcPr>
            <w:tcW w:w="1170" w:type="dxa"/>
          </w:tcPr>
          <w:p w:rsidR="0023254A" w:rsidRDefault="0023254A" w:rsidP="00A92041">
            <w:pPr>
              <w:rPr>
                <w:rFonts w:asciiTheme="minorHAnsi" w:hAnsiTheme="minorHAnsi"/>
                <w:sz w:val="20"/>
                <w:szCs w:val="20"/>
              </w:rPr>
            </w:pPr>
            <w:r>
              <w:rPr>
                <w:rFonts w:asciiTheme="minorHAnsi" w:hAnsiTheme="minorHAnsi"/>
                <w:sz w:val="20"/>
                <w:szCs w:val="20"/>
              </w:rPr>
              <w:t>EUL</w:t>
            </w:r>
          </w:p>
        </w:tc>
        <w:tc>
          <w:tcPr>
            <w:tcW w:w="1260" w:type="dxa"/>
          </w:tcPr>
          <w:p w:rsidR="0023254A" w:rsidRDefault="0023254A" w:rsidP="00A92041">
            <w:pPr>
              <w:rPr>
                <w:rFonts w:asciiTheme="minorHAnsi" w:hAnsiTheme="minorHAnsi"/>
                <w:sz w:val="20"/>
                <w:szCs w:val="20"/>
              </w:rPr>
            </w:pPr>
            <w:r>
              <w:rPr>
                <w:rFonts w:asciiTheme="minorHAnsi" w:hAnsiTheme="minorHAnsi"/>
                <w:sz w:val="20"/>
                <w:szCs w:val="20"/>
              </w:rPr>
              <w:t>0</w:t>
            </w:r>
          </w:p>
        </w:tc>
      </w:tr>
      <w:tr w:rsidR="0023254A" w:rsidRPr="009824E9" w:rsidTr="0023254A">
        <w:trPr>
          <w:cnfStyle w:val="000000010000" w:firstRow="0" w:lastRow="0" w:firstColumn="0" w:lastColumn="0" w:oddVBand="0" w:evenVBand="0" w:oddHBand="0" w:evenHBand="1" w:firstRowFirstColumn="0" w:firstRowLastColumn="0" w:lastRowFirstColumn="0" w:lastRowLastColumn="0"/>
        </w:trPr>
        <w:tc>
          <w:tcPr>
            <w:tcW w:w="1818" w:type="dxa"/>
          </w:tcPr>
          <w:p w:rsidR="0023254A" w:rsidRPr="009824E9" w:rsidRDefault="0023254A" w:rsidP="00A92041">
            <w:pPr>
              <w:rPr>
                <w:rFonts w:asciiTheme="minorHAnsi" w:hAnsiTheme="minorHAnsi"/>
                <w:sz w:val="20"/>
                <w:szCs w:val="20"/>
              </w:rPr>
            </w:pPr>
            <w:r w:rsidRPr="009824E9">
              <w:rPr>
                <w:rFonts w:asciiTheme="minorHAnsi" w:hAnsiTheme="minorHAnsi"/>
                <w:sz w:val="20"/>
                <w:szCs w:val="20"/>
              </w:rPr>
              <w:t>Replace on Burnout (ROB)</w:t>
            </w:r>
          </w:p>
        </w:tc>
        <w:tc>
          <w:tcPr>
            <w:tcW w:w="1800" w:type="dxa"/>
          </w:tcPr>
          <w:p w:rsidR="0023254A" w:rsidRPr="009824E9" w:rsidRDefault="0023254A" w:rsidP="00A92041">
            <w:pPr>
              <w:rPr>
                <w:rFonts w:asciiTheme="minorHAnsi" w:hAnsiTheme="minorHAnsi"/>
                <w:sz w:val="20"/>
                <w:szCs w:val="20"/>
              </w:rPr>
            </w:pPr>
            <w:r w:rsidRPr="009824E9">
              <w:rPr>
                <w:rFonts w:asciiTheme="minorHAnsi" w:hAnsiTheme="minorHAnsi"/>
                <w:sz w:val="20"/>
                <w:szCs w:val="20"/>
              </w:rPr>
              <w:t>Replace on Burnout</w:t>
            </w:r>
            <w:r>
              <w:rPr>
                <w:rFonts w:asciiTheme="minorHAnsi" w:hAnsiTheme="minorHAnsi"/>
                <w:sz w:val="20"/>
                <w:szCs w:val="20"/>
              </w:rPr>
              <w:t xml:space="preserve"> (Rob)/Normal Replacement (NR</w:t>
            </w:r>
            <w:r w:rsidRPr="009824E9">
              <w:rPr>
                <w:rFonts w:asciiTheme="minorHAnsi" w:hAnsiTheme="minorHAnsi"/>
                <w:sz w:val="20"/>
                <w:szCs w:val="20"/>
              </w:rPr>
              <w:t>)</w:t>
            </w:r>
          </w:p>
        </w:tc>
        <w:tc>
          <w:tcPr>
            <w:tcW w:w="1890" w:type="dxa"/>
          </w:tcPr>
          <w:p w:rsidR="0023254A" w:rsidRPr="009824E9" w:rsidRDefault="0023254A" w:rsidP="00A92041">
            <w:pPr>
              <w:rPr>
                <w:rFonts w:asciiTheme="minorHAnsi" w:hAnsiTheme="minorHAnsi"/>
                <w:sz w:val="20"/>
                <w:szCs w:val="20"/>
              </w:rPr>
            </w:pPr>
            <w:r>
              <w:rPr>
                <w:rFonts w:asciiTheme="minorHAnsi" w:hAnsiTheme="minorHAnsi"/>
                <w:sz w:val="20"/>
                <w:szCs w:val="20"/>
              </w:rPr>
              <w:t>Above Code/Standard</w:t>
            </w:r>
          </w:p>
        </w:tc>
        <w:tc>
          <w:tcPr>
            <w:tcW w:w="1890" w:type="dxa"/>
          </w:tcPr>
          <w:p w:rsidR="0023254A" w:rsidRPr="009824E9" w:rsidRDefault="0023254A" w:rsidP="00A92041">
            <w:pPr>
              <w:rPr>
                <w:rFonts w:asciiTheme="minorHAnsi" w:hAnsiTheme="minorHAnsi"/>
                <w:sz w:val="20"/>
                <w:szCs w:val="20"/>
              </w:rPr>
            </w:pPr>
            <w:r>
              <w:rPr>
                <w:rFonts w:asciiTheme="minorHAnsi" w:hAnsiTheme="minorHAnsi"/>
                <w:sz w:val="20"/>
                <w:szCs w:val="20"/>
              </w:rPr>
              <w:t>N/A</w:t>
            </w:r>
          </w:p>
        </w:tc>
        <w:tc>
          <w:tcPr>
            <w:tcW w:w="1620" w:type="dxa"/>
          </w:tcPr>
          <w:p w:rsidR="0023254A" w:rsidRPr="009824E9" w:rsidRDefault="0023254A" w:rsidP="00A92041">
            <w:pPr>
              <w:rPr>
                <w:rFonts w:asciiTheme="minorHAnsi" w:hAnsiTheme="minorHAnsi"/>
                <w:sz w:val="20"/>
                <w:szCs w:val="20"/>
              </w:rPr>
            </w:pPr>
            <w:r>
              <w:rPr>
                <w:rFonts w:asciiTheme="minorHAnsi" w:hAnsiTheme="minorHAnsi"/>
                <w:sz w:val="20"/>
                <w:szCs w:val="20"/>
              </w:rPr>
              <w:t>Incremental Cost</w:t>
            </w:r>
          </w:p>
        </w:tc>
        <w:tc>
          <w:tcPr>
            <w:tcW w:w="1620" w:type="dxa"/>
          </w:tcPr>
          <w:p w:rsidR="0023254A" w:rsidRPr="009824E9" w:rsidRDefault="0023254A" w:rsidP="00A92041">
            <w:pPr>
              <w:rPr>
                <w:rFonts w:asciiTheme="minorHAnsi" w:hAnsiTheme="minorHAnsi"/>
                <w:sz w:val="20"/>
                <w:szCs w:val="20"/>
              </w:rPr>
            </w:pPr>
            <w:r>
              <w:rPr>
                <w:rFonts w:asciiTheme="minorHAnsi" w:hAnsiTheme="minorHAnsi"/>
                <w:sz w:val="20"/>
                <w:szCs w:val="20"/>
              </w:rPr>
              <w:t>N/A</w:t>
            </w:r>
          </w:p>
        </w:tc>
        <w:tc>
          <w:tcPr>
            <w:tcW w:w="1170" w:type="dxa"/>
          </w:tcPr>
          <w:p w:rsidR="0023254A" w:rsidRDefault="0023254A" w:rsidP="00A92041">
            <w:pPr>
              <w:rPr>
                <w:rFonts w:asciiTheme="minorHAnsi" w:hAnsiTheme="minorHAnsi"/>
                <w:sz w:val="20"/>
                <w:szCs w:val="20"/>
              </w:rPr>
            </w:pPr>
            <w:r>
              <w:rPr>
                <w:rFonts w:asciiTheme="minorHAnsi" w:hAnsiTheme="minorHAnsi"/>
                <w:sz w:val="20"/>
                <w:szCs w:val="20"/>
              </w:rPr>
              <w:t>EUL</w:t>
            </w:r>
          </w:p>
        </w:tc>
        <w:tc>
          <w:tcPr>
            <w:tcW w:w="1260" w:type="dxa"/>
          </w:tcPr>
          <w:p w:rsidR="0023254A" w:rsidRDefault="0023254A" w:rsidP="00A92041">
            <w:pPr>
              <w:rPr>
                <w:rFonts w:asciiTheme="minorHAnsi" w:hAnsiTheme="minorHAnsi"/>
                <w:sz w:val="20"/>
                <w:szCs w:val="20"/>
              </w:rPr>
            </w:pPr>
            <w:r>
              <w:rPr>
                <w:rFonts w:asciiTheme="minorHAnsi" w:hAnsiTheme="minorHAnsi"/>
                <w:sz w:val="20"/>
                <w:szCs w:val="20"/>
              </w:rPr>
              <w:t>0</w:t>
            </w:r>
          </w:p>
        </w:tc>
      </w:tr>
      <w:tr w:rsidR="0023254A" w:rsidRPr="009824E9" w:rsidTr="0023254A">
        <w:trPr>
          <w:cnfStyle w:val="000000100000" w:firstRow="0" w:lastRow="0" w:firstColumn="0" w:lastColumn="0" w:oddVBand="0" w:evenVBand="0" w:oddHBand="1" w:evenHBand="0" w:firstRowFirstColumn="0" w:firstRowLastColumn="0" w:lastRowFirstColumn="0" w:lastRowLastColumn="0"/>
        </w:trPr>
        <w:tc>
          <w:tcPr>
            <w:tcW w:w="1818" w:type="dxa"/>
          </w:tcPr>
          <w:p w:rsidR="0023254A" w:rsidRPr="009824E9" w:rsidRDefault="0023254A" w:rsidP="00A92041">
            <w:pPr>
              <w:rPr>
                <w:rFonts w:asciiTheme="minorHAnsi" w:hAnsiTheme="minorHAnsi"/>
                <w:sz w:val="20"/>
                <w:szCs w:val="20"/>
              </w:rPr>
            </w:pPr>
            <w:r w:rsidRPr="009824E9">
              <w:rPr>
                <w:rFonts w:asciiTheme="minorHAnsi" w:hAnsiTheme="minorHAnsi"/>
                <w:sz w:val="20"/>
                <w:szCs w:val="20"/>
              </w:rPr>
              <w:t>Retrofit (RET)</w:t>
            </w:r>
          </w:p>
        </w:tc>
        <w:tc>
          <w:tcPr>
            <w:tcW w:w="1800" w:type="dxa"/>
          </w:tcPr>
          <w:p w:rsidR="0023254A" w:rsidRPr="009824E9" w:rsidRDefault="0023254A" w:rsidP="00A92041">
            <w:pPr>
              <w:rPr>
                <w:rFonts w:asciiTheme="minorHAnsi" w:hAnsiTheme="minorHAnsi"/>
                <w:sz w:val="20"/>
                <w:szCs w:val="20"/>
              </w:rPr>
            </w:pPr>
            <w:r>
              <w:rPr>
                <w:rFonts w:asciiTheme="minorHAnsi" w:hAnsiTheme="minorHAnsi"/>
                <w:sz w:val="20"/>
                <w:szCs w:val="20"/>
              </w:rPr>
              <w:t>Early Replacement (ER)</w:t>
            </w:r>
          </w:p>
        </w:tc>
        <w:tc>
          <w:tcPr>
            <w:tcW w:w="1890" w:type="dxa"/>
          </w:tcPr>
          <w:p w:rsidR="0023254A" w:rsidRPr="009824E9" w:rsidRDefault="0023254A" w:rsidP="00A92041">
            <w:pPr>
              <w:rPr>
                <w:rFonts w:asciiTheme="minorHAnsi" w:hAnsiTheme="minorHAnsi"/>
                <w:sz w:val="20"/>
                <w:szCs w:val="20"/>
              </w:rPr>
            </w:pPr>
            <w:r>
              <w:rPr>
                <w:rFonts w:asciiTheme="minorHAnsi" w:hAnsiTheme="minorHAnsi"/>
                <w:sz w:val="20"/>
                <w:szCs w:val="20"/>
              </w:rPr>
              <w:t>Above Cust. Existing</w:t>
            </w:r>
          </w:p>
        </w:tc>
        <w:tc>
          <w:tcPr>
            <w:tcW w:w="1890" w:type="dxa"/>
          </w:tcPr>
          <w:p w:rsidR="0023254A" w:rsidRPr="009824E9" w:rsidRDefault="0023254A" w:rsidP="00A92041">
            <w:pPr>
              <w:rPr>
                <w:rFonts w:asciiTheme="minorHAnsi" w:hAnsiTheme="minorHAnsi"/>
                <w:sz w:val="20"/>
                <w:szCs w:val="20"/>
              </w:rPr>
            </w:pPr>
            <w:r>
              <w:rPr>
                <w:rFonts w:asciiTheme="minorHAnsi" w:hAnsiTheme="minorHAnsi"/>
                <w:sz w:val="20"/>
                <w:szCs w:val="20"/>
              </w:rPr>
              <w:t>Above Code/Standard</w:t>
            </w:r>
          </w:p>
        </w:tc>
        <w:tc>
          <w:tcPr>
            <w:tcW w:w="1620" w:type="dxa"/>
          </w:tcPr>
          <w:p w:rsidR="0023254A" w:rsidRPr="009824E9" w:rsidRDefault="0023254A" w:rsidP="00A92041">
            <w:pPr>
              <w:rPr>
                <w:rFonts w:asciiTheme="minorHAnsi" w:hAnsiTheme="minorHAnsi"/>
                <w:sz w:val="20"/>
                <w:szCs w:val="20"/>
              </w:rPr>
            </w:pPr>
            <w:r>
              <w:rPr>
                <w:rFonts w:asciiTheme="minorHAnsi" w:hAnsiTheme="minorHAnsi"/>
                <w:sz w:val="20"/>
                <w:szCs w:val="20"/>
              </w:rPr>
              <w:t>Full Cost</w:t>
            </w:r>
          </w:p>
        </w:tc>
        <w:tc>
          <w:tcPr>
            <w:tcW w:w="1620" w:type="dxa"/>
          </w:tcPr>
          <w:p w:rsidR="0023254A" w:rsidRPr="009824E9" w:rsidRDefault="0023254A" w:rsidP="00A92041">
            <w:pPr>
              <w:rPr>
                <w:rFonts w:asciiTheme="minorHAnsi" w:hAnsiTheme="minorHAnsi"/>
                <w:sz w:val="20"/>
                <w:szCs w:val="20"/>
              </w:rPr>
            </w:pPr>
            <w:r>
              <w:rPr>
                <w:rFonts w:asciiTheme="minorHAnsi" w:hAnsiTheme="minorHAnsi"/>
                <w:sz w:val="20"/>
                <w:szCs w:val="20"/>
              </w:rPr>
              <w:t>Incremental Cost</w:t>
            </w:r>
          </w:p>
        </w:tc>
        <w:tc>
          <w:tcPr>
            <w:tcW w:w="1170" w:type="dxa"/>
          </w:tcPr>
          <w:p w:rsidR="0023254A" w:rsidRDefault="0023254A" w:rsidP="00A92041">
            <w:pPr>
              <w:rPr>
                <w:rFonts w:asciiTheme="minorHAnsi" w:hAnsiTheme="minorHAnsi"/>
                <w:sz w:val="20"/>
                <w:szCs w:val="20"/>
              </w:rPr>
            </w:pPr>
            <w:r>
              <w:rPr>
                <w:rFonts w:asciiTheme="minorHAnsi" w:hAnsiTheme="minorHAnsi"/>
                <w:sz w:val="20"/>
                <w:szCs w:val="20"/>
              </w:rPr>
              <w:t>RUL</w:t>
            </w:r>
          </w:p>
        </w:tc>
        <w:tc>
          <w:tcPr>
            <w:tcW w:w="1260" w:type="dxa"/>
          </w:tcPr>
          <w:p w:rsidR="0023254A" w:rsidRDefault="0023254A" w:rsidP="00A92041">
            <w:pPr>
              <w:rPr>
                <w:rFonts w:asciiTheme="minorHAnsi" w:hAnsiTheme="minorHAnsi"/>
                <w:sz w:val="20"/>
                <w:szCs w:val="20"/>
              </w:rPr>
            </w:pPr>
            <w:r>
              <w:rPr>
                <w:rFonts w:asciiTheme="minorHAnsi" w:hAnsiTheme="minorHAnsi"/>
                <w:sz w:val="20"/>
                <w:szCs w:val="20"/>
              </w:rPr>
              <w:t>EUL-RUL</w:t>
            </w:r>
          </w:p>
        </w:tc>
      </w:tr>
      <w:tr w:rsidR="0023254A" w:rsidRPr="009824E9" w:rsidTr="0023254A">
        <w:trPr>
          <w:cnfStyle w:val="000000010000" w:firstRow="0" w:lastRow="0" w:firstColumn="0" w:lastColumn="0" w:oddVBand="0" w:evenVBand="0" w:oddHBand="0" w:evenHBand="1" w:firstRowFirstColumn="0" w:firstRowLastColumn="0" w:lastRowFirstColumn="0" w:lastRowLastColumn="0"/>
        </w:trPr>
        <w:tc>
          <w:tcPr>
            <w:tcW w:w="1818" w:type="dxa"/>
          </w:tcPr>
          <w:p w:rsidR="0023254A" w:rsidRPr="009824E9" w:rsidRDefault="0023254A" w:rsidP="00A92041">
            <w:pPr>
              <w:rPr>
                <w:rFonts w:asciiTheme="minorHAnsi" w:hAnsiTheme="minorHAnsi"/>
                <w:sz w:val="20"/>
                <w:szCs w:val="20"/>
              </w:rPr>
            </w:pPr>
            <w:r w:rsidRPr="009824E9">
              <w:rPr>
                <w:rFonts w:asciiTheme="minorHAnsi" w:hAnsiTheme="minorHAnsi"/>
                <w:sz w:val="20"/>
                <w:szCs w:val="20"/>
              </w:rPr>
              <w:t>Retrofit</w:t>
            </w:r>
            <w:r>
              <w:rPr>
                <w:rFonts w:asciiTheme="minorHAnsi" w:hAnsiTheme="minorHAnsi"/>
                <w:sz w:val="20"/>
                <w:szCs w:val="20"/>
              </w:rPr>
              <w:t xml:space="preserve"> – First Baseline Only (REF</w:t>
            </w:r>
            <w:r w:rsidRPr="009824E9">
              <w:rPr>
                <w:rFonts w:asciiTheme="minorHAnsi" w:hAnsiTheme="minorHAnsi"/>
                <w:sz w:val="20"/>
                <w:szCs w:val="20"/>
              </w:rPr>
              <w:t>)</w:t>
            </w:r>
          </w:p>
        </w:tc>
        <w:tc>
          <w:tcPr>
            <w:tcW w:w="1800" w:type="dxa"/>
          </w:tcPr>
          <w:p w:rsidR="0023254A" w:rsidRPr="009824E9" w:rsidRDefault="0023254A" w:rsidP="00A92041">
            <w:pPr>
              <w:rPr>
                <w:rFonts w:asciiTheme="minorHAnsi" w:hAnsiTheme="minorHAnsi"/>
                <w:sz w:val="20"/>
                <w:szCs w:val="20"/>
              </w:rPr>
            </w:pPr>
            <w:r>
              <w:rPr>
                <w:rFonts w:asciiTheme="minorHAnsi" w:hAnsiTheme="minorHAnsi"/>
                <w:sz w:val="20"/>
                <w:szCs w:val="20"/>
              </w:rPr>
              <w:t>Early Replacement RUL (ErRul)</w:t>
            </w:r>
          </w:p>
        </w:tc>
        <w:tc>
          <w:tcPr>
            <w:tcW w:w="1890" w:type="dxa"/>
          </w:tcPr>
          <w:p w:rsidR="0023254A" w:rsidRPr="009824E9" w:rsidRDefault="0023254A" w:rsidP="00A92041">
            <w:pPr>
              <w:rPr>
                <w:rFonts w:asciiTheme="minorHAnsi" w:hAnsiTheme="minorHAnsi"/>
                <w:sz w:val="20"/>
                <w:szCs w:val="20"/>
              </w:rPr>
            </w:pPr>
            <w:r>
              <w:rPr>
                <w:rFonts w:asciiTheme="minorHAnsi" w:hAnsiTheme="minorHAnsi"/>
                <w:sz w:val="20"/>
                <w:szCs w:val="20"/>
              </w:rPr>
              <w:t>Above Cust. Existing</w:t>
            </w:r>
          </w:p>
        </w:tc>
        <w:tc>
          <w:tcPr>
            <w:tcW w:w="1890" w:type="dxa"/>
          </w:tcPr>
          <w:p w:rsidR="0023254A" w:rsidRPr="009824E9" w:rsidRDefault="0023254A" w:rsidP="00A92041">
            <w:pPr>
              <w:rPr>
                <w:rFonts w:asciiTheme="minorHAnsi" w:hAnsiTheme="minorHAnsi"/>
                <w:sz w:val="20"/>
                <w:szCs w:val="20"/>
              </w:rPr>
            </w:pPr>
            <w:r>
              <w:rPr>
                <w:rFonts w:asciiTheme="minorHAnsi" w:hAnsiTheme="minorHAnsi"/>
                <w:sz w:val="20"/>
                <w:szCs w:val="20"/>
              </w:rPr>
              <w:t>N/A</w:t>
            </w:r>
          </w:p>
        </w:tc>
        <w:tc>
          <w:tcPr>
            <w:tcW w:w="1620" w:type="dxa"/>
          </w:tcPr>
          <w:p w:rsidR="0023254A" w:rsidRPr="009824E9" w:rsidRDefault="0023254A" w:rsidP="00A92041">
            <w:pPr>
              <w:rPr>
                <w:rFonts w:asciiTheme="minorHAnsi" w:hAnsiTheme="minorHAnsi"/>
                <w:sz w:val="20"/>
                <w:szCs w:val="20"/>
              </w:rPr>
            </w:pPr>
            <w:r>
              <w:rPr>
                <w:rFonts w:asciiTheme="minorHAnsi" w:hAnsiTheme="minorHAnsi"/>
                <w:sz w:val="20"/>
                <w:szCs w:val="20"/>
              </w:rPr>
              <w:t>Full Cost</w:t>
            </w:r>
          </w:p>
        </w:tc>
        <w:tc>
          <w:tcPr>
            <w:tcW w:w="1620" w:type="dxa"/>
          </w:tcPr>
          <w:p w:rsidR="0023254A" w:rsidRPr="009824E9" w:rsidRDefault="0023254A" w:rsidP="00A92041">
            <w:pPr>
              <w:rPr>
                <w:rFonts w:asciiTheme="minorHAnsi" w:hAnsiTheme="minorHAnsi"/>
                <w:sz w:val="20"/>
                <w:szCs w:val="20"/>
              </w:rPr>
            </w:pPr>
            <w:r>
              <w:rPr>
                <w:rFonts w:asciiTheme="minorHAnsi" w:hAnsiTheme="minorHAnsi"/>
                <w:sz w:val="20"/>
                <w:szCs w:val="20"/>
              </w:rPr>
              <w:t>N/A</w:t>
            </w:r>
          </w:p>
        </w:tc>
        <w:tc>
          <w:tcPr>
            <w:tcW w:w="1170" w:type="dxa"/>
          </w:tcPr>
          <w:p w:rsidR="0023254A" w:rsidRDefault="0023254A" w:rsidP="00A92041">
            <w:pPr>
              <w:rPr>
                <w:rFonts w:asciiTheme="minorHAnsi" w:hAnsiTheme="minorHAnsi"/>
                <w:sz w:val="20"/>
                <w:szCs w:val="20"/>
              </w:rPr>
            </w:pPr>
            <w:r>
              <w:rPr>
                <w:rFonts w:asciiTheme="minorHAnsi" w:hAnsiTheme="minorHAnsi"/>
                <w:sz w:val="20"/>
                <w:szCs w:val="20"/>
              </w:rPr>
              <w:t>EUL</w:t>
            </w:r>
          </w:p>
        </w:tc>
        <w:tc>
          <w:tcPr>
            <w:tcW w:w="1260" w:type="dxa"/>
          </w:tcPr>
          <w:p w:rsidR="0023254A" w:rsidRDefault="0023254A" w:rsidP="00A92041">
            <w:pPr>
              <w:rPr>
                <w:rFonts w:asciiTheme="minorHAnsi" w:hAnsiTheme="minorHAnsi"/>
                <w:sz w:val="20"/>
                <w:szCs w:val="20"/>
              </w:rPr>
            </w:pPr>
            <w:r>
              <w:rPr>
                <w:rFonts w:asciiTheme="minorHAnsi" w:hAnsiTheme="minorHAnsi"/>
                <w:sz w:val="20"/>
                <w:szCs w:val="20"/>
              </w:rPr>
              <w:t>0</w:t>
            </w:r>
          </w:p>
        </w:tc>
      </w:tr>
      <w:tr w:rsidR="0023254A" w:rsidRPr="009824E9" w:rsidTr="0023254A">
        <w:trPr>
          <w:cnfStyle w:val="000000100000" w:firstRow="0" w:lastRow="0" w:firstColumn="0" w:lastColumn="0" w:oddVBand="0" w:evenVBand="0" w:oddHBand="1" w:evenHBand="0" w:firstRowFirstColumn="0" w:firstRowLastColumn="0" w:lastRowFirstColumn="0" w:lastRowLastColumn="0"/>
        </w:trPr>
        <w:tc>
          <w:tcPr>
            <w:tcW w:w="1818" w:type="dxa"/>
          </w:tcPr>
          <w:p w:rsidR="0023254A" w:rsidRPr="009824E9" w:rsidRDefault="0023254A" w:rsidP="00A92041">
            <w:pPr>
              <w:rPr>
                <w:rFonts w:asciiTheme="minorHAnsi" w:hAnsiTheme="minorHAnsi"/>
                <w:sz w:val="20"/>
                <w:szCs w:val="20"/>
              </w:rPr>
            </w:pPr>
            <w:r w:rsidRPr="009824E9">
              <w:rPr>
                <w:rFonts w:asciiTheme="minorHAnsi" w:hAnsiTheme="minorHAnsi"/>
                <w:sz w:val="20"/>
                <w:szCs w:val="20"/>
              </w:rPr>
              <w:t>Retrofit Add-on</w:t>
            </w:r>
            <w:r>
              <w:rPr>
                <w:rFonts w:asciiTheme="minorHAnsi" w:hAnsiTheme="minorHAnsi"/>
                <w:sz w:val="20"/>
                <w:szCs w:val="20"/>
              </w:rPr>
              <w:t xml:space="preserve"> (REA)</w:t>
            </w:r>
          </w:p>
        </w:tc>
        <w:tc>
          <w:tcPr>
            <w:tcW w:w="1800" w:type="dxa"/>
          </w:tcPr>
          <w:p w:rsidR="0023254A" w:rsidRPr="009824E9" w:rsidRDefault="0023254A" w:rsidP="00A92041">
            <w:pPr>
              <w:rPr>
                <w:rFonts w:asciiTheme="minorHAnsi" w:hAnsiTheme="minorHAnsi"/>
                <w:sz w:val="20"/>
                <w:szCs w:val="20"/>
              </w:rPr>
            </w:pPr>
            <w:r>
              <w:rPr>
                <w:rFonts w:asciiTheme="minorHAnsi" w:hAnsiTheme="minorHAnsi"/>
                <w:sz w:val="20"/>
                <w:szCs w:val="20"/>
              </w:rPr>
              <w:t>N/A</w:t>
            </w:r>
          </w:p>
        </w:tc>
        <w:tc>
          <w:tcPr>
            <w:tcW w:w="1890" w:type="dxa"/>
          </w:tcPr>
          <w:p w:rsidR="0023254A" w:rsidRPr="009824E9" w:rsidRDefault="0023254A" w:rsidP="00A92041">
            <w:pPr>
              <w:rPr>
                <w:rFonts w:asciiTheme="minorHAnsi" w:hAnsiTheme="minorHAnsi"/>
                <w:sz w:val="20"/>
                <w:szCs w:val="20"/>
              </w:rPr>
            </w:pPr>
            <w:r>
              <w:rPr>
                <w:rFonts w:asciiTheme="minorHAnsi" w:hAnsiTheme="minorHAnsi"/>
                <w:sz w:val="20"/>
                <w:szCs w:val="20"/>
              </w:rPr>
              <w:t>Above Cust. Existing</w:t>
            </w:r>
          </w:p>
        </w:tc>
        <w:tc>
          <w:tcPr>
            <w:tcW w:w="1890" w:type="dxa"/>
          </w:tcPr>
          <w:p w:rsidR="0023254A" w:rsidRPr="009824E9" w:rsidRDefault="0023254A" w:rsidP="00A92041">
            <w:pPr>
              <w:rPr>
                <w:rFonts w:asciiTheme="minorHAnsi" w:hAnsiTheme="minorHAnsi"/>
                <w:sz w:val="20"/>
                <w:szCs w:val="20"/>
              </w:rPr>
            </w:pPr>
            <w:r>
              <w:rPr>
                <w:rFonts w:asciiTheme="minorHAnsi" w:hAnsiTheme="minorHAnsi"/>
                <w:sz w:val="20"/>
                <w:szCs w:val="20"/>
              </w:rPr>
              <w:t>N/A</w:t>
            </w:r>
          </w:p>
        </w:tc>
        <w:tc>
          <w:tcPr>
            <w:tcW w:w="1620" w:type="dxa"/>
          </w:tcPr>
          <w:p w:rsidR="0023254A" w:rsidRPr="009824E9" w:rsidRDefault="0023254A" w:rsidP="00A92041">
            <w:pPr>
              <w:rPr>
                <w:rFonts w:asciiTheme="minorHAnsi" w:hAnsiTheme="minorHAnsi"/>
                <w:sz w:val="20"/>
                <w:szCs w:val="20"/>
              </w:rPr>
            </w:pPr>
            <w:r>
              <w:rPr>
                <w:rFonts w:asciiTheme="minorHAnsi" w:hAnsiTheme="minorHAnsi"/>
                <w:sz w:val="20"/>
                <w:szCs w:val="20"/>
              </w:rPr>
              <w:t>Full Cost</w:t>
            </w:r>
          </w:p>
        </w:tc>
        <w:tc>
          <w:tcPr>
            <w:tcW w:w="1620" w:type="dxa"/>
          </w:tcPr>
          <w:p w:rsidR="0023254A" w:rsidRPr="009824E9" w:rsidRDefault="0023254A" w:rsidP="00A92041">
            <w:pPr>
              <w:rPr>
                <w:rFonts w:asciiTheme="minorHAnsi" w:hAnsiTheme="minorHAnsi"/>
                <w:sz w:val="20"/>
                <w:szCs w:val="20"/>
              </w:rPr>
            </w:pPr>
            <w:r>
              <w:rPr>
                <w:rFonts w:asciiTheme="minorHAnsi" w:hAnsiTheme="minorHAnsi"/>
                <w:sz w:val="20"/>
                <w:szCs w:val="20"/>
              </w:rPr>
              <w:t>N/A</w:t>
            </w:r>
          </w:p>
        </w:tc>
        <w:tc>
          <w:tcPr>
            <w:tcW w:w="1170" w:type="dxa"/>
          </w:tcPr>
          <w:p w:rsidR="0023254A" w:rsidRDefault="0023254A" w:rsidP="00A92041">
            <w:pPr>
              <w:rPr>
                <w:rFonts w:asciiTheme="minorHAnsi" w:hAnsiTheme="minorHAnsi"/>
                <w:sz w:val="20"/>
                <w:szCs w:val="20"/>
              </w:rPr>
            </w:pPr>
            <w:r>
              <w:rPr>
                <w:rFonts w:asciiTheme="minorHAnsi" w:hAnsiTheme="minorHAnsi"/>
                <w:sz w:val="20"/>
                <w:szCs w:val="20"/>
              </w:rPr>
              <w:t>EUL</w:t>
            </w:r>
          </w:p>
        </w:tc>
        <w:tc>
          <w:tcPr>
            <w:tcW w:w="1260" w:type="dxa"/>
          </w:tcPr>
          <w:p w:rsidR="0023254A" w:rsidRDefault="0023254A" w:rsidP="00A92041">
            <w:pPr>
              <w:rPr>
                <w:rFonts w:asciiTheme="minorHAnsi" w:hAnsiTheme="minorHAnsi"/>
                <w:sz w:val="20"/>
                <w:szCs w:val="20"/>
              </w:rPr>
            </w:pPr>
            <w:r>
              <w:rPr>
                <w:rFonts w:asciiTheme="minorHAnsi" w:hAnsiTheme="minorHAnsi"/>
                <w:sz w:val="20"/>
                <w:szCs w:val="20"/>
              </w:rPr>
              <w:t>0</w:t>
            </w:r>
          </w:p>
        </w:tc>
      </w:tr>
    </w:tbl>
    <w:p w:rsidR="00697868" w:rsidRPr="00697868" w:rsidRDefault="00697868">
      <w:pPr>
        <w:rPr>
          <w:rFonts w:asciiTheme="minorHAnsi" w:hAnsiTheme="minorHAnsi" w:cstheme="minorHAnsi"/>
        </w:rPr>
      </w:pPr>
    </w:p>
    <w:sectPr w:rsidR="00697868" w:rsidRPr="00697868" w:rsidSect="00CE28CF">
      <w:headerReference w:type="even" r:id="rId23"/>
      <w:headerReference w:type="default" r:id="rId24"/>
      <w:footerReference w:type="default" r:id="rId25"/>
      <w:headerReference w:type="first" r:id="rId26"/>
      <w:pgSz w:w="15840" w:h="12240" w:orient="landscape"/>
      <w:pgMar w:top="1440" w:right="1440" w:bottom="1440" w:left="155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A26" w:rsidRDefault="00BB6A26" w:rsidP="00447D6E">
      <w:r>
        <w:separator/>
      </w:r>
    </w:p>
  </w:endnote>
  <w:endnote w:type="continuationSeparator" w:id="0">
    <w:p w:rsidR="00BB6A26" w:rsidRDefault="00BB6A26" w:rsidP="00447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5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913" w:rsidRPr="009500DC" w:rsidRDefault="006D6913" w:rsidP="00447D6E">
    <w:pPr>
      <w:pStyle w:val="Footer"/>
      <w:jc w:val="right"/>
      <w:rPr>
        <w:rFonts w:asciiTheme="minorHAnsi" w:hAnsiTheme="minorHAnsi" w:cstheme="minorHAnsi"/>
      </w:rPr>
    </w:pPr>
    <w:proofErr w:type="gramStart"/>
    <w:r>
      <w:rPr>
        <w:rFonts w:asciiTheme="minorHAnsi" w:hAnsiTheme="minorHAnsi" w:cstheme="minorHAnsi"/>
        <w:b/>
        <w:sz w:val="36"/>
        <w:szCs w:val="36"/>
      </w:rPr>
      <w:t>Ju</w:t>
    </w:r>
    <w:r w:rsidR="00A118A1">
      <w:rPr>
        <w:rFonts w:asciiTheme="minorHAnsi" w:hAnsiTheme="minorHAnsi" w:cstheme="minorHAnsi"/>
        <w:b/>
        <w:sz w:val="36"/>
        <w:szCs w:val="36"/>
      </w:rPr>
      <w:t>ly</w:t>
    </w:r>
    <w:r>
      <w:rPr>
        <w:rFonts w:asciiTheme="minorHAnsi" w:hAnsiTheme="minorHAnsi" w:cstheme="minorHAnsi"/>
        <w:b/>
        <w:sz w:val="36"/>
        <w:szCs w:val="36"/>
      </w:rPr>
      <w:t xml:space="preserve"> ,</w:t>
    </w:r>
    <w:proofErr w:type="gramEnd"/>
    <w:r>
      <w:rPr>
        <w:rFonts w:asciiTheme="minorHAnsi" w:hAnsiTheme="minorHAnsi" w:cstheme="minorHAnsi"/>
        <w:b/>
        <w:sz w:val="36"/>
        <w:szCs w:val="36"/>
      </w:rPr>
      <w:t xml:space="preserve"> 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913" w:rsidRDefault="006D691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8A1" w:rsidRDefault="00A118A1" w:rsidP="0042606E">
    <w:pPr>
      <w:pStyle w:val="Footer"/>
      <w:pBdr>
        <w:top w:val="single" w:sz="4" w:space="1" w:color="auto"/>
      </w:pBdr>
      <w:rPr>
        <w:rFonts w:asciiTheme="minorHAnsi" w:hAnsiTheme="minorHAnsi" w:cstheme="minorHAnsi"/>
        <w:b/>
        <w:sz w:val="20"/>
        <w:szCs w:val="20"/>
      </w:rPr>
    </w:pPr>
    <w:r>
      <w:rPr>
        <w:rFonts w:asciiTheme="minorHAnsi" w:hAnsiTheme="minorHAnsi" w:cstheme="minorHAnsi"/>
        <w:b/>
        <w:sz w:val="20"/>
        <w:szCs w:val="20"/>
      </w:rPr>
      <w:t>PGECOHVC164</w:t>
    </w:r>
    <w:r w:rsidR="006D6913" w:rsidRPr="009500DC">
      <w:rPr>
        <w:rFonts w:asciiTheme="minorHAnsi" w:hAnsiTheme="minorHAnsi" w:cstheme="minorHAnsi"/>
        <w:b/>
        <w:sz w:val="20"/>
        <w:szCs w:val="20"/>
      </w:rPr>
      <w:t xml:space="preserve">, Revision </w:t>
    </w:r>
    <w:r w:rsidR="006D6913">
      <w:rPr>
        <w:rFonts w:asciiTheme="minorHAnsi" w:hAnsiTheme="minorHAnsi" w:cstheme="minorHAnsi"/>
        <w:b/>
        <w:sz w:val="20"/>
        <w:szCs w:val="20"/>
      </w:rPr>
      <w:t>1</w:t>
    </w:r>
  </w:p>
  <w:p w:rsidR="006D6913" w:rsidRPr="009500DC" w:rsidRDefault="00A118A1" w:rsidP="0042606E">
    <w:pPr>
      <w:pStyle w:val="Footer"/>
      <w:pBdr>
        <w:top w:val="single" w:sz="4" w:space="1" w:color="auto"/>
      </w:pBdr>
      <w:rPr>
        <w:rFonts w:asciiTheme="minorHAnsi" w:hAnsiTheme="minorHAnsi" w:cstheme="minorHAnsi"/>
        <w:b/>
        <w:sz w:val="20"/>
        <w:szCs w:val="20"/>
      </w:rPr>
    </w:pPr>
    <w:r>
      <w:rPr>
        <w:rFonts w:asciiTheme="minorHAnsi" w:hAnsiTheme="minorHAnsi" w:cstheme="minorHAnsi"/>
        <w:b/>
        <w:sz w:val="20"/>
        <w:szCs w:val="20"/>
      </w:rPr>
      <w:t>Pacific Gas and Electric Company</w:t>
    </w:r>
    <w:r w:rsidR="006D6913" w:rsidRPr="009500DC">
      <w:rPr>
        <w:rFonts w:asciiTheme="minorHAnsi" w:hAnsiTheme="minorHAnsi" w:cstheme="minorHAnsi"/>
        <w:b/>
        <w:sz w:val="20"/>
        <w:szCs w:val="20"/>
      </w:rPr>
      <w:tab/>
    </w:r>
    <w:r w:rsidR="006D6913" w:rsidRPr="009500DC">
      <w:rPr>
        <w:rFonts w:asciiTheme="minorHAnsi" w:hAnsiTheme="minorHAnsi" w:cstheme="minorHAnsi"/>
        <w:b/>
        <w:sz w:val="20"/>
        <w:szCs w:val="20"/>
      </w:rPr>
      <w:fldChar w:fldCharType="begin"/>
    </w:r>
    <w:r w:rsidR="006D6913" w:rsidRPr="009500DC">
      <w:rPr>
        <w:rFonts w:asciiTheme="minorHAnsi" w:hAnsiTheme="minorHAnsi" w:cstheme="minorHAnsi"/>
        <w:b/>
        <w:sz w:val="20"/>
        <w:szCs w:val="20"/>
      </w:rPr>
      <w:instrText xml:space="preserve"> PAGE   \* MERGEFORMAT </w:instrText>
    </w:r>
    <w:r w:rsidR="006D6913" w:rsidRPr="009500DC">
      <w:rPr>
        <w:rFonts w:asciiTheme="minorHAnsi" w:hAnsiTheme="minorHAnsi" w:cstheme="minorHAnsi"/>
        <w:b/>
        <w:sz w:val="20"/>
        <w:szCs w:val="20"/>
      </w:rPr>
      <w:fldChar w:fldCharType="separate"/>
    </w:r>
    <w:r w:rsidR="001D045D">
      <w:rPr>
        <w:rFonts w:asciiTheme="minorHAnsi" w:hAnsiTheme="minorHAnsi" w:cstheme="minorHAnsi"/>
        <w:b/>
        <w:noProof/>
        <w:sz w:val="20"/>
        <w:szCs w:val="20"/>
      </w:rPr>
      <w:t>ii</w:t>
    </w:r>
    <w:r w:rsidR="006D6913" w:rsidRPr="009500DC">
      <w:rPr>
        <w:rFonts w:asciiTheme="minorHAnsi" w:hAnsiTheme="minorHAnsi" w:cstheme="minorHAnsi"/>
        <w:b/>
        <w:noProof/>
        <w:sz w:val="20"/>
        <w:szCs w:val="20"/>
      </w:rPr>
      <w:fldChar w:fldCharType="end"/>
    </w:r>
    <w:r w:rsidR="006D6913" w:rsidRPr="009500DC">
      <w:rPr>
        <w:rFonts w:asciiTheme="minorHAnsi" w:hAnsiTheme="minorHAnsi" w:cstheme="minorHAnsi"/>
        <w:b/>
        <w:sz w:val="20"/>
        <w:szCs w:val="20"/>
      </w:rPr>
      <w:tab/>
    </w:r>
    <w:r w:rsidR="006D6913">
      <w:rPr>
        <w:rFonts w:asciiTheme="minorHAnsi" w:hAnsiTheme="minorHAnsi" w:cstheme="minorHAnsi"/>
        <w:b/>
        <w:sz w:val="20"/>
        <w:szCs w:val="20"/>
      </w:rPr>
      <w:t>June 2, 2014</w:t>
    </w:r>
  </w:p>
  <w:p w:rsidR="006D6913" w:rsidRPr="009500DC" w:rsidRDefault="006D6913" w:rsidP="0042606E">
    <w:pPr>
      <w:pStyle w:val="Footer"/>
      <w:jc w:val="right"/>
      <w:rPr>
        <w:rFonts w:asciiTheme="minorHAnsi" w:hAnsiTheme="minorHAnsi" w:cstheme="minorHAnsi"/>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913" w:rsidRDefault="006D691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913" w:rsidRPr="009500DC" w:rsidRDefault="00A118A1" w:rsidP="009500DC">
    <w:pPr>
      <w:pStyle w:val="Footer"/>
      <w:pBdr>
        <w:top w:val="single" w:sz="4" w:space="1" w:color="auto"/>
      </w:pBdr>
      <w:rPr>
        <w:rFonts w:asciiTheme="minorHAnsi" w:hAnsiTheme="minorHAnsi" w:cstheme="minorHAnsi"/>
        <w:b/>
        <w:sz w:val="20"/>
        <w:szCs w:val="20"/>
      </w:rPr>
    </w:pPr>
    <w:r>
      <w:rPr>
        <w:rFonts w:asciiTheme="minorHAnsi" w:hAnsiTheme="minorHAnsi" w:cstheme="minorHAnsi"/>
        <w:b/>
        <w:sz w:val="20"/>
        <w:szCs w:val="20"/>
      </w:rPr>
      <w:t>PGECOHVC164</w:t>
    </w:r>
    <w:r w:rsidR="006D6913" w:rsidRPr="009500DC">
      <w:rPr>
        <w:rFonts w:asciiTheme="minorHAnsi" w:hAnsiTheme="minorHAnsi" w:cstheme="minorHAnsi"/>
        <w:b/>
        <w:sz w:val="20"/>
        <w:szCs w:val="20"/>
      </w:rPr>
      <w:t xml:space="preserve">, Revision </w:t>
    </w:r>
    <w:r w:rsidR="006D6913">
      <w:rPr>
        <w:rFonts w:asciiTheme="minorHAnsi" w:hAnsiTheme="minorHAnsi" w:cstheme="minorHAnsi"/>
        <w:b/>
        <w:sz w:val="20"/>
        <w:szCs w:val="20"/>
      </w:rPr>
      <w:t>1</w:t>
    </w:r>
    <w:r w:rsidR="006D6913" w:rsidRPr="009500DC">
      <w:rPr>
        <w:rFonts w:asciiTheme="minorHAnsi" w:hAnsiTheme="minorHAnsi" w:cstheme="minorHAnsi"/>
        <w:b/>
        <w:sz w:val="20"/>
        <w:szCs w:val="20"/>
      </w:rPr>
      <w:tab/>
    </w:r>
    <w:r w:rsidR="006D6913" w:rsidRPr="009500DC">
      <w:rPr>
        <w:rFonts w:asciiTheme="minorHAnsi" w:hAnsiTheme="minorHAnsi" w:cstheme="minorHAnsi"/>
        <w:b/>
        <w:sz w:val="20"/>
        <w:szCs w:val="20"/>
      </w:rPr>
      <w:fldChar w:fldCharType="begin"/>
    </w:r>
    <w:r w:rsidR="006D6913" w:rsidRPr="009500DC">
      <w:rPr>
        <w:rFonts w:asciiTheme="minorHAnsi" w:hAnsiTheme="minorHAnsi" w:cstheme="minorHAnsi"/>
        <w:b/>
        <w:sz w:val="20"/>
        <w:szCs w:val="20"/>
      </w:rPr>
      <w:instrText xml:space="preserve"> PAGE   \* MERGEFORMAT </w:instrText>
    </w:r>
    <w:r w:rsidR="006D6913" w:rsidRPr="009500DC">
      <w:rPr>
        <w:rFonts w:asciiTheme="minorHAnsi" w:hAnsiTheme="minorHAnsi" w:cstheme="minorHAnsi"/>
        <w:b/>
        <w:sz w:val="20"/>
        <w:szCs w:val="20"/>
      </w:rPr>
      <w:fldChar w:fldCharType="separate"/>
    </w:r>
    <w:r w:rsidR="001D045D">
      <w:rPr>
        <w:rFonts w:asciiTheme="minorHAnsi" w:hAnsiTheme="minorHAnsi" w:cstheme="minorHAnsi"/>
        <w:b/>
        <w:noProof/>
        <w:sz w:val="20"/>
        <w:szCs w:val="20"/>
      </w:rPr>
      <w:t>1</w:t>
    </w:r>
    <w:r w:rsidR="006D6913" w:rsidRPr="009500DC">
      <w:rPr>
        <w:rFonts w:asciiTheme="minorHAnsi" w:hAnsiTheme="minorHAnsi" w:cstheme="minorHAnsi"/>
        <w:b/>
        <w:noProof/>
        <w:sz w:val="20"/>
        <w:szCs w:val="20"/>
      </w:rPr>
      <w:fldChar w:fldCharType="end"/>
    </w:r>
    <w:r w:rsidR="006D6913" w:rsidRPr="009500DC">
      <w:rPr>
        <w:rFonts w:asciiTheme="minorHAnsi" w:hAnsiTheme="minorHAnsi" w:cstheme="minorHAnsi"/>
        <w:b/>
        <w:sz w:val="20"/>
        <w:szCs w:val="20"/>
      </w:rPr>
      <w:tab/>
    </w:r>
    <w:r w:rsidR="006D6913">
      <w:rPr>
        <w:rFonts w:asciiTheme="minorHAnsi" w:hAnsiTheme="minorHAnsi" w:cstheme="minorHAnsi"/>
        <w:b/>
        <w:sz w:val="20"/>
        <w:szCs w:val="20"/>
      </w:rPr>
      <w:t>June 2, 2014</w:t>
    </w:r>
  </w:p>
  <w:p w:rsidR="006D6913" w:rsidRPr="009500DC" w:rsidRDefault="00A118A1" w:rsidP="009500DC">
    <w:pPr>
      <w:pStyle w:val="Footer"/>
      <w:pBdr>
        <w:top w:val="single" w:sz="4" w:space="1" w:color="auto"/>
      </w:pBdr>
      <w:rPr>
        <w:rFonts w:asciiTheme="minorHAnsi" w:hAnsiTheme="minorHAnsi" w:cstheme="minorHAnsi"/>
      </w:rPr>
    </w:pPr>
    <w:r>
      <w:rPr>
        <w:rFonts w:asciiTheme="minorHAnsi" w:hAnsiTheme="minorHAnsi" w:cstheme="minorHAnsi"/>
        <w:b/>
        <w:sz w:val="20"/>
        <w:szCs w:val="20"/>
      </w:rPr>
      <w:t>Pacific Gas and Electric Company</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913" w:rsidRPr="009500DC" w:rsidRDefault="006D6913" w:rsidP="00CE28CF">
    <w:pPr>
      <w:pStyle w:val="Footer"/>
      <w:pBdr>
        <w:top w:val="single" w:sz="4" w:space="1" w:color="auto"/>
      </w:pBdr>
      <w:tabs>
        <w:tab w:val="clear" w:pos="4680"/>
        <w:tab w:val="clear" w:pos="9360"/>
        <w:tab w:val="center" w:pos="6480"/>
        <w:tab w:val="right" w:pos="12870"/>
      </w:tabs>
      <w:rPr>
        <w:rFonts w:asciiTheme="minorHAnsi" w:hAnsiTheme="minorHAnsi" w:cstheme="minorHAnsi"/>
        <w:b/>
        <w:sz w:val="20"/>
        <w:szCs w:val="20"/>
      </w:rPr>
    </w:pPr>
    <w:r>
      <w:rPr>
        <w:rFonts w:asciiTheme="minorHAnsi" w:hAnsiTheme="minorHAnsi" w:cstheme="minorHAnsi"/>
        <w:b/>
        <w:sz w:val="20"/>
        <w:szCs w:val="20"/>
      </w:rPr>
      <w:t>SCE13HC017</w:t>
    </w:r>
    <w:r w:rsidRPr="009500DC">
      <w:rPr>
        <w:rFonts w:asciiTheme="minorHAnsi" w:hAnsiTheme="minorHAnsi" w:cstheme="minorHAnsi"/>
        <w:b/>
        <w:sz w:val="20"/>
        <w:szCs w:val="20"/>
      </w:rPr>
      <w:t xml:space="preserve">, Revision </w:t>
    </w:r>
    <w:r>
      <w:rPr>
        <w:rFonts w:asciiTheme="minorHAnsi" w:hAnsiTheme="minorHAnsi" w:cstheme="minorHAnsi"/>
        <w:b/>
        <w:sz w:val="20"/>
        <w:szCs w:val="20"/>
      </w:rPr>
      <w:t>1</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1D045D">
      <w:rPr>
        <w:rFonts w:asciiTheme="minorHAnsi" w:hAnsiTheme="minorHAnsi" w:cstheme="minorHAnsi"/>
        <w:b/>
        <w:noProof/>
        <w:sz w:val="20"/>
        <w:szCs w:val="20"/>
      </w:rPr>
      <w:t>10</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June 2, 2014</w:t>
    </w:r>
  </w:p>
  <w:p w:rsidR="006D6913" w:rsidRPr="009500DC" w:rsidRDefault="006D6913" w:rsidP="00CE28CF">
    <w:pPr>
      <w:pStyle w:val="Footer"/>
      <w:pBdr>
        <w:top w:val="single" w:sz="4" w:space="1" w:color="auto"/>
      </w:pBdr>
      <w:tabs>
        <w:tab w:val="clear" w:pos="9360"/>
        <w:tab w:val="right" w:pos="12870"/>
      </w:tabs>
      <w:rPr>
        <w:rFonts w:asciiTheme="minorHAnsi" w:hAnsiTheme="minorHAnsi" w:cstheme="minorHAnsi"/>
      </w:rPr>
    </w:pPr>
    <w:r w:rsidRPr="009500DC">
      <w:rPr>
        <w:rFonts w:asciiTheme="minorHAnsi" w:hAnsiTheme="minorHAnsi" w:cstheme="minorHAnsi"/>
        <w:b/>
        <w:sz w:val="20"/>
        <w:szCs w:val="20"/>
      </w:rPr>
      <w:t>Southern California Edison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A26" w:rsidRDefault="00BB6A26" w:rsidP="00447D6E">
      <w:r>
        <w:separator/>
      </w:r>
    </w:p>
  </w:footnote>
  <w:footnote w:type="continuationSeparator" w:id="0">
    <w:p w:rsidR="00BB6A26" w:rsidRDefault="00BB6A26" w:rsidP="00447D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913" w:rsidRDefault="006D69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913" w:rsidRDefault="006D691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913" w:rsidRDefault="006D691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913" w:rsidRDefault="006D691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913" w:rsidRDefault="006D691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913" w:rsidRDefault="006D6913">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913" w:rsidRDefault="006D6913">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913" w:rsidRDefault="006D6913">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913" w:rsidRDefault="006D69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59A5"/>
    <w:multiLevelType w:val="hybridMultilevel"/>
    <w:tmpl w:val="B6D23B28"/>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3">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90B1E84"/>
    <w:multiLevelType w:val="hybridMultilevel"/>
    <w:tmpl w:val="54B8A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7C85048"/>
    <w:multiLevelType w:val="hybridMultilevel"/>
    <w:tmpl w:val="07FA6F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76501B1D"/>
    <w:multiLevelType w:val="hybridMultilevel"/>
    <w:tmpl w:val="9A6A44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1"/>
  </w:num>
  <w:num w:numId="5">
    <w:abstractNumId w:val="1"/>
  </w:num>
  <w:num w:numId="6">
    <w:abstractNumId w:val="0"/>
  </w:num>
  <w:num w:numId="7">
    <w:abstractNumId w:val="5"/>
  </w:num>
  <w:num w:numId="8">
    <w:abstractNumId w:val="2"/>
  </w:num>
  <w:num w:numId="9">
    <w:abstractNumId w:val="8"/>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5902"/>
    <w:rsid w:val="00027183"/>
    <w:rsid w:val="00033EA1"/>
    <w:rsid w:val="00056947"/>
    <w:rsid w:val="00076DF4"/>
    <w:rsid w:val="00082DF3"/>
    <w:rsid w:val="00085F1B"/>
    <w:rsid w:val="0009074D"/>
    <w:rsid w:val="0009592B"/>
    <w:rsid w:val="000968C6"/>
    <w:rsid w:val="000A63C9"/>
    <w:rsid w:val="000C0000"/>
    <w:rsid w:val="000C18CC"/>
    <w:rsid w:val="000F130A"/>
    <w:rsid w:val="00107242"/>
    <w:rsid w:val="001206F7"/>
    <w:rsid w:val="00147155"/>
    <w:rsid w:val="00153CB3"/>
    <w:rsid w:val="00160AF6"/>
    <w:rsid w:val="00165357"/>
    <w:rsid w:val="001811EE"/>
    <w:rsid w:val="00181D0C"/>
    <w:rsid w:val="001A0EB4"/>
    <w:rsid w:val="001A5F62"/>
    <w:rsid w:val="001B5FBB"/>
    <w:rsid w:val="001B618B"/>
    <w:rsid w:val="001C4140"/>
    <w:rsid w:val="001C5A94"/>
    <w:rsid w:val="001D045D"/>
    <w:rsid w:val="001E0829"/>
    <w:rsid w:val="001F05CE"/>
    <w:rsid w:val="001F2F34"/>
    <w:rsid w:val="001F4A65"/>
    <w:rsid w:val="00215980"/>
    <w:rsid w:val="0023254A"/>
    <w:rsid w:val="00236CDC"/>
    <w:rsid w:val="00240B74"/>
    <w:rsid w:val="00245B9D"/>
    <w:rsid w:val="00274FBE"/>
    <w:rsid w:val="002762E1"/>
    <w:rsid w:val="002811BC"/>
    <w:rsid w:val="00283DE8"/>
    <w:rsid w:val="00285966"/>
    <w:rsid w:val="00285F00"/>
    <w:rsid w:val="00290ED8"/>
    <w:rsid w:val="002A3D26"/>
    <w:rsid w:val="002B1ADF"/>
    <w:rsid w:val="002B72D5"/>
    <w:rsid w:val="002C444C"/>
    <w:rsid w:val="002C6C7A"/>
    <w:rsid w:val="002F1437"/>
    <w:rsid w:val="002F3943"/>
    <w:rsid w:val="0030363A"/>
    <w:rsid w:val="00317EB0"/>
    <w:rsid w:val="00325E30"/>
    <w:rsid w:val="00327212"/>
    <w:rsid w:val="00332700"/>
    <w:rsid w:val="00345D80"/>
    <w:rsid w:val="003471D4"/>
    <w:rsid w:val="003560BA"/>
    <w:rsid w:val="003711E9"/>
    <w:rsid w:val="003832D2"/>
    <w:rsid w:val="003B48A8"/>
    <w:rsid w:val="003C688A"/>
    <w:rsid w:val="003D2871"/>
    <w:rsid w:val="003D5B83"/>
    <w:rsid w:val="003E6E47"/>
    <w:rsid w:val="003F0623"/>
    <w:rsid w:val="003F25C3"/>
    <w:rsid w:val="004011D3"/>
    <w:rsid w:val="004051A2"/>
    <w:rsid w:val="00413CDB"/>
    <w:rsid w:val="004200FE"/>
    <w:rsid w:val="00421183"/>
    <w:rsid w:val="00423440"/>
    <w:rsid w:val="0042606E"/>
    <w:rsid w:val="00437819"/>
    <w:rsid w:val="00441957"/>
    <w:rsid w:val="00443D32"/>
    <w:rsid w:val="00447CE5"/>
    <w:rsid w:val="00447D6E"/>
    <w:rsid w:val="0046286E"/>
    <w:rsid w:val="00471234"/>
    <w:rsid w:val="00477522"/>
    <w:rsid w:val="00493457"/>
    <w:rsid w:val="00494628"/>
    <w:rsid w:val="004B4A3A"/>
    <w:rsid w:val="004C23F1"/>
    <w:rsid w:val="004C39BB"/>
    <w:rsid w:val="004E01F5"/>
    <w:rsid w:val="004E76CA"/>
    <w:rsid w:val="004F14EE"/>
    <w:rsid w:val="0051020F"/>
    <w:rsid w:val="00514530"/>
    <w:rsid w:val="00546A2E"/>
    <w:rsid w:val="00560934"/>
    <w:rsid w:val="00564960"/>
    <w:rsid w:val="00573379"/>
    <w:rsid w:val="005734A4"/>
    <w:rsid w:val="00582DB0"/>
    <w:rsid w:val="005A0E53"/>
    <w:rsid w:val="005A1078"/>
    <w:rsid w:val="005B28C1"/>
    <w:rsid w:val="005C2E48"/>
    <w:rsid w:val="005D4DD7"/>
    <w:rsid w:val="005E12A9"/>
    <w:rsid w:val="005F4C8D"/>
    <w:rsid w:val="00601059"/>
    <w:rsid w:val="00602799"/>
    <w:rsid w:val="00612041"/>
    <w:rsid w:val="00631157"/>
    <w:rsid w:val="006333C5"/>
    <w:rsid w:val="006404E6"/>
    <w:rsid w:val="00647ABE"/>
    <w:rsid w:val="00664B05"/>
    <w:rsid w:val="00697868"/>
    <w:rsid w:val="006A055F"/>
    <w:rsid w:val="006A5293"/>
    <w:rsid w:val="006A6F9F"/>
    <w:rsid w:val="006B0DF3"/>
    <w:rsid w:val="006B4A48"/>
    <w:rsid w:val="006C430A"/>
    <w:rsid w:val="006D2809"/>
    <w:rsid w:val="006D6913"/>
    <w:rsid w:val="006E3342"/>
    <w:rsid w:val="006E4B12"/>
    <w:rsid w:val="007048AC"/>
    <w:rsid w:val="00705467"/>
    <w:rsid w:val="0073080D"/>
    <w:rsid w:val="00733C7D"/>
    <w:rsid w:val="00740761"/>
    <w:rsid w:val="00745F77"/>
    <w:rsid w:val="00761CE9"/>
    <w:rsid w:val="007645F0"/>
    <w:rsid w:val="00764D0D"/>
    <w:rsid w:val="007933F1"/>
    <w:rsid w:val="007A37B8"/>
    <w:rsid w:val="007E177F"/>
    <w:rsid w:val="007E43F8"/>
    <w:rsid w:val="007E656B"/>
    <w:rsid w:val="007F50E8"/>
    <w:rsid w:val="007F7FBA"/>
    <w:rsid w:val="00800319"/>
    <w:rsid w:val="00801F7F"/>
    <w:rsid w:val="00824F1C"/>
    <w:rsid w:val="00847A91"/>
    <w:rsid w:val="00881A42"/>
    <w:rsid w:val="00885E0A"/>
    <w:rsid w:val="0088603B"/>
    <w:rsid w:val="00891804"/>
    <w:rsid w:val="00893FC3"/>
    <w:rsid w:val="0089577B"/>
    <w:rsid w:val="008C2E0E"/>
    <w:rsid w:val="008D1B1F"/>
    <w:rsid w:val="008E17CC"/>
    <w:rsid w:val="008F24CC"/>
    <w:rsid w:val="008F33B4"/>
    <w:rsid w:val="0090077A"/>
    <w:rsid w:val="009138A0"/>
    <w:rsid w:val="00922B85"/>
    <w:rsid w:val="009500DC"/>
    <w:rsid w:val="00951923"/>
    <w:rsid w:val="00972C81"/>
    <w:rsid w:val="009824E9"/>
    <w:rsid w:val="00995479"/>
    <w:rsid w:val="00995CB0"/>
    <w:rsid w:val="00997E77"/>
    <w:rsid w:val="009A2734"/>
    <w:rsid w:val="009A7C1B"/>
    <w:rsid w:val="009B5B7B"/>
    <w:rsid w:val="009C1777"/>
    <w:rsid w:val="009C2C86"/>
    <w:rsid w:val="009D0753"/>
    <w:rsid w:val="009E1802"/>
    <w:rsid w:val="009E1CDE"/>
    <w:rsid w:val="009E51E2"/>
    <w:rsid w:val="009F7A61"/>
    <w:rsid w:val="00A118A1"/>
    <w:rsid w:val="00A11C16"/>
    <w:rsid w:val="00A1423E"/>
    <w:rsid w:val="00A24520"/>
    <w:rsid w:val="00A473EB"/>
    <w:rsid w:val="00A500D6"/>
    <w:rsid w:val="00A65809"/>
    <w:rsid w:val="00A73F9E"/>
    <w:rsid w:val="00A77CF1"/>
    <w:rsid w:val="00A84127"/>
    <w:rsid w:val="00A86DA2"/>
    <w:rsid w:val="00A92041"/>
    <w:rsid w:val="00AA2666"/>
    <w:rsid w:val="00AB21F5"/>
    <w:rsid w:val="00AB3386"/>
    <w:rsid w:val="00AB4649"/>
    <w:rsid w:val="00AB7B01"/>
    <w:rsid w:val="00AC5309"/>
    <w:rsid w:val="00AD4DD0"/>
    <w:rsid w:val="00AF6342"/>
    <w:rsid w:val="00B053FB"/>
    <w:rsid w:val="00B07EE5"/>
    <w:rsid w:val="00B26778"/>
    <w:rsid w:val="00B26B83"/>
    <w:rsid w:val="00B32479"/>
    <w:rsid w:val="00B403ED"/>
    <w:rsid w:val="00B866B4"/>
    <w:rsid w:val="00B94226"/>
    <w:rsid w:val="00BA2BC1"/>
    <w:rsid w:val="00BA590A"/>
    <w:rsid w:val="00BB0B39"/>
    <w:rsid w:val="00BB1505"/>
    <w:rsid w:val="00BB5F75"/>
    <w:rsid w:val="00BB6A26"/>
    <w:rsid w:val="00BD3931"/>
    <w:rsid w:val="00BD5B88"/>
    <w:rsid w:val="00C24D03"/>
    <w:rsid w:val="00C25E61"/>
    <w:rsid w:val="00C54EFF"/>
    <w:rsid w:val="00C57793"/>
    <w:rsid w:val="00C72B8B"/>
    <w:rsid w:val="00CA2AB4"/>
    <w:rsid w:val="00CB0100"/>
    <w:rsid w:val="00CB74B0"/>
    <w:rsid w:val="00CE28CF"/>
    <w:rsid w:val="00CE5BEB"/>
    <w:rsid w:val="00CE69E9"/>
    <w:rsid w:val="00D0089C"/>
    <w:rsid w:val="00D06BF7"/>
    <w:rsid w:val="00D13C4C"/>
    <w:rsid w:val="00D25074"/>
    <w:rsid w:val="00D32F81"/>
    <w:rsid w:val="00D36798"/>
    <w:rsid w:val="00D457A0"/>
    <w:rsid w:val="00D634BC"/>
    <w:rsid w:val="00D7380B"/>
    <w:rsid w:val="00D75D77"/>
    <w:rsid w:val="00D902B0"/>
    <w:rsid w:val="00DA11A0"/>
    <w:rsid w:val="00DA3E8E"/>
    <w:rsid w:val="00DA690B"/>
    <w:rsid w:val="00DA7225"/>
    <w:rsid w:val="00DC1966"/>
    <w:rsid w:val="00DF0732"/>
    <w:rsid w:val="00DF2C40"/>
    <w:rsid w:val="00DF2EE9"/>
    <w:rsid w:val="00E07752"/>
    <w:rsid w:val="00E16609"/>
    <w:rsid w:val="00E16F08"/>
    <w:rsid w:val="00E233F3"/>
    <w:rsid w:val="00E37F72"/>
    <w:rsid w:val="00E42A30"/>
    <w:rsid w:val="00E81F3E"/>
    <w:rsid w:val="00E859BD"/>
    <w:rsid w:val="00E924C3"/>
    <w:rsid w:val="00E96759"/>
    <w:rsid w:val="00EB34FC"/>
    <w:rsid w:val="00EB76E1"/>
    <w:rsid w:val="00EF086E"/>
    <w:rsid w:val="00EF5416"/>
    <w:rsid w:val="00F06CCF"/>
    <w:rsid w:val="00F1053D"/>
    <w:rsid w:val="00F20DCF"/>
    <w:rsid w:val="00F4752B"/>
    <w:rsid w:val="00F56792"/>
    <w:rsid w:val="00F57F56"/>
    <w:rsid w:val="00F60E32"/>
    <w:rsid w:val="00F7242E"/>
    <w:rsid w:val="00FB3DD3"/>
    <w:rsid w:val="00FD5A8C"/>
    <w:rsid w:val="00FE32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odyText">
    <w:name w:val="Body Text"/>
    <w:basedOn w:val="Normal"/>
    <w:link w:val="BodyTextChar"/>
    <w:rsid w:val="006333C5"/>
    <w:pPr>
      <w:widowControl w:val="0"/>
      <w:spacing w:after="120"/>
    </w:pPr>
    <w:rPr>
      <w:szCs w:val="20"/>
    </w:rPr>
  </w:style>
  <w:style w:type="character" w:customStyle="1" w:styleId="BodyTextChar">
    <w:name w:val="Body Text Char"/>
    <w:basedOn w:val="DefaultParagraphFont"/>
    <w:link w:val="BodyText"/>
    <w:rsid w:val="006333C5"/>
    <w:rPr>
      <w:rFonts w:ascii="Times New Roman" w:eastAsia="Times New Roman" w:hAnsi="Times New Roman" w:cs="Times New Roman"/>
      <w:sz w:val="24"/>
      <w:szCs w:val="20"/>
    </w:rPr>
  </w:style>
  <w:style w:type="character" w:styleId="PlaceholderText">
    <w:name w:val="Placeholder Text"/>
    <w:basedOn w:val="DefaultParagraphFont"/>
    <w:uiPriority w:val="99"/>
    <w:semiHidden/>
    <w:rsid w:val="004011D3"/>
    <w:rPr>
      <w:color w:val="808080"/>
    </w:rPr>
  </w:style>
  <w:style w:type="paragraph" w:customStyle="1" w:styleId="NormalParagraph">
    <w:name w:val="Normal Paragraph"/>
    <w:basedOn w:val="Normal"/>
    <w:link w:val="NormalParagraphChar"/>
    <w:uiPriority w:val="99"/>
    <w:rsid w:val="00AB4649"/>
    <w:pPr>
      <w:spacing w:after="240"/>
    </w:pPr>
  </w:style>
  <w:style w:type="character" w:customStyle="1" w:styleId="NormalParagraphChar">
    <w:name w:val="Normal Paragraph Char"/>
    <w:link w:val="NormalParagraph"/>
    <w:uiPriority w:val="99"/>
    <w:locked/>
    <w:rsid w:val="00AB4649"/>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odyText">
    <w:name w:val="Body Text"/>
    <w:basedOn w:val="Normal"/>
    <w:link w:val="BodyTextChar"/>
    <w:rsid w:val="006333C5"/>
    <w:pPr>
      <w:widowControl w:val="0"/>
      <w:spacing w:after="120"/>
    </w:pPr>
    <w:rPr>
      <w:szCs w:val="20"/>
    </w:rPr>
  </w:style>
  <w:style w:type="character" w:customStyle="1" w:styleId="BodyTextChar">
    <w:name w:val="Body Text Char"/>
    <w:basedOn w:val="DefaultParagraphFont"/>
    <w:link w:val="BodyText"/>
    <w:rsid w:val="006333C5"/>
    <w:rPr>
      <w:rFonts w:ascii="Times New Roman" w:eastAsia="Times New Roman" w:hAnsi="Times New Roman" w:cs="Times New Roman"/>
      <w:sz w:val="24"/>
      <w:szCs w:val="20"/>
    </w:rPr>
  </w:style>
  <w:style w:type="character" w:styleId="PlaceholderText">
    <w:name w:val="Placeholder Text"/>
    <w:basedOn w:val="DefaultParagraphFont"/>
    <w:uiPriority w:val="99"/>
    <w:semiHidden/>
    <w:rsid w:val="004011D3"/>
    <w:rPr>
      <w:color w:val="808080"/>
    </w:rPr>
  </w:style>
  <w:style w:type="paragraph" w:customStyle="1" w:styleId="NormalParagraph">
    <w:name w:val="Normal Paragraph"/>
    <w:basedOn w:val="Normal"/>
    <w:link w:val="NormalParagraphChar"/>
    <w:uiPriority w:val="99"/>
    <w:rsid w:val="00AB4649"/>
    <w:pPr>
      <w:spacing w:after="240"/>
    </w:pPr>
  </w:style>
  <w:style w:type="character" w:customStyle="1" w:styleId="NormalParagraphChar">
    <w:name w:val="Normal Paragraph Char"/>
    <w:link w:val="NormalParagraph"/>
    <w:uiPriority w:val="99"/>
    <w:locked/>
    <w:rsid w:val="00AB4649"/>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image" Target="media/image1.emf"/><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www.deeresources.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package" Target="embeddings/Microsoft_Excel_Macro-Enabled_Worksheet1.xlsm"/><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A6275-ABC4-433D-A077-7C00A3EA8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7046</TotalTime>
  <Pages>14</Pages>
  <Words>2636</Words>
  <Characters>15030</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Southern California Edison</Company>
  <LinksUpToDate>false</LinksUpToDate>
  <CharactersWithSpaces>17631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O'Keefe, Brian</dc:creator>
  <cp:lastModifiedBy>Li, Christopher H</cp:lastModifiedBy>
  <cp:revision>10</cp:revision>
  <cp:lastPrinted>2014-06-05T19:22:00Z</cp:lastPrinted>
  <dcterms:created xsi:type="dcterms:W3CDTF">2014-07-01T22:00:00Z</dcterms:created>
  <dcterms:modified xsi:type="dcterms:W3CDTF">2014-07-07T22:43:00Z</dcterms:modified>
</cp:coreProperties>
</file>