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E8C" w:rsidRPr="00823230" w:rsidRDefault="00437E8C" w:rsidP="00437E8C">
      <w:pPr>
        <w:jc w:val="right"/>
        <w:rPr>
          <w:rFonts w:ascii="Arial" w:hAnsi="Arial" w:cs="Arial"/>
          <w:b/>
          <w:sz w:val="48"/>
          <w:szCs w:val="48"/>
        </w:rPr>
      </w:pPr>
      <w:bookmarkStart w:id="0" w:name="_Toc214003082"/>
      <w:bookmarkStart w:id="1" w:name="_Toc153189646"/>
      <w:r w:rsidRPr="00823230">
        <w:rPr>
          <w:rFonts w:ascii="Arial" w:hAnsi="Arial" w:cs="Arial"/>
          <w:b/>
          <w:sz w:val="48"/>
          <w:szCs w:val="48"/>
        </w:rPr>
        <w:t xml:space="preserve">Work Paper </w:t>
      </w:r>
      <w:bookmarkEnd w:id="1"/>
      <w:r w:rsidRPr="00823230">
        <w:rPr>
          <w:rFonts w:ascii="Arial" w:hAnsi="Arial" w:cs="Arial"/>
          <w:b/>
          <w:sz w:val="48"/>
          <w:szCs w:val="48"/>
        </w:rPr>
        <w:t>PGE</w:t>
      </w:r>
      <w:r>
        <w:rPr>
          <w:rFonts w:ascii="Arial" w:hAnsi="Arial" w:cs="Arial"/>
          <w:b/>
          <w:sz w:val="48"/>
          <w:szCs w:val="48"/>
        </w:rPr>
        <w:t>COHVC163</w:t>
      </w:r>
    </w:p>
    <w:p w:rsidR="00437E8C" w:rsidRDefault="00437E8C" w:rsidP="00437E8C">
      <w:pPr>
        <w:jc w:val="right"/>
        <w:rPr>
          <w:rFonts w:ascii="Arial" w:hAnsi="Arial" w:cs="Arial"/>
          <w:b/>
          <w:sz w:val="48"/>
          <w:szCs w:val="48"/>
        </w:rPr>
      </w:pPr>
      <w:r>
        <w:rPr>
          <w:rFonts w:ascii="Arial" w:hAnsi="Arial" w:cs="Arial"/>
          <w:b/>
          <w:sz w:val="48"/>
          <w:szCs w:val="48"/>
        </w:rPr>
        <w:t>Advanced Direct</w:t>
      </w:r>
      <w:r w:rsidRPr="00823230">
        <w:rPr>
          <w:rFonts w:ascii="Arial" w:hAnsi="Arial" w:cs="Arial"/>
          <w:b/>
          <w:sz w:val="48"/>
          <w:szCs w:val="48"/>
        </w:rPr>
        <w:t xml:space="preserve"> Evaporative </w:t>
      </w:r>
    </w:p>
    <w:p w:rsidR="00437E8C" w:rsidRPr="00823230" w:rsidRDefault="00437E8C" w:rsidP="00437E8C">
      <w:pPr>
        <w:tabs>
          <w:tab w:val="left" w:pos="6480"/>
          <w:tab w:val="left" w:pos="7290"/>
        </w:tabs>
        <w:jc w:val="right"/>
        <w:rPr>
          <w:rFonts w:ascii="Arial" w:hAnsi="Arial" w:cs="Arial"/>
          <w:b/>
          <w:sz w:val="48"/>
          <w:szCs w:val="48"/>
        </w:rPr>
      </w:pPr>
      <w:r w:rsidRPr="00823230">
        <w:rPr>
          <w:rFonts w:ascii="Arial" w:hAnsi="Arial" w:cs="Arial"/>
          <w:b/>
          <w:sz w:val="48"/>
          <w:szCs w:val="48"/>
        </w:rPr>
        <w:t>Cooler</w:t>
      </w:r>
      <w:r>
        <w:rPr>
          <w:rFonts w:ascii="Arial" w:hAnsi="Arial" w:cs="Arial"/>
          <w:b/>
          <w:sz w:val="48"/>
          <w:szCs w:val="48"/>
        </w:rPr>
        <w:t>s- Residential</w:t>
      </w:r>
    </w:p>
    <w:p w:rsidR="00437E8C" w:rsidRPr="00823230" w:rsidRDefault="00437E8C" w:rsidP="00437E8C">
      <w:pPr>
        <w:jc w:val="right"/>
        <w:rPr>
          <w:rFonts w:ascii="Arial" w:hAnsi="Arial" w:cs="Arial"/>
          <w:b/>
          <w:sz w:val="48"/>
          <w:szCs w:val="48"/>
        </w:rPr>
      </w:pPr>
      <w:bookmarkStart w:id="2" w:name="_Toc153189647"/>
      <w:r w:rsidRPr="00823230">
        <w:rPr>
          <w:rFonts w:ascii="Arial" w:hAnsi="Arial" w:cs="Arial"/>
          <w:b/>
          <w:sz w:val="48"/>
          <w:szCs w:val="48"/>
        </w:rPr>
        <w:t>Revision #</w:t>
      </w:r>
      <w:bookmarkEnd w:id="2"/>
      <w:r w:rsidRPr="00823230">
        <w:rPr>
          <w:rFonts w:ascii="Arial" w:hAnsi="Arial" w:cs="Arial"/>
          <w:b/>
          <w:sz w:val="48"/>
          <w:szCs w:val="48"/>
        </w:rPr>
        <w:t xml:space="preserve"> </w:t>
      </w:r>
      <w:r>
        <w:rPr>
          <w:rFonts w:ascii="Arial" w:hAnsi="Arial" w:cs="Arial"/>
          <w:b/>
          <w:sz w:val="48"/>
          <w:szCs w:val="48"/>
        </w:rPr>
        <w:t>1</w:t>
      </w:r>
    </w:p>
    <w:p w:rsidR="00437E8C" w:rsidRPr="00823230" w:rsidRDefault="00437E8C" w:rsidP="00437E8C"/>
    <w:p w:rsidR="00437E8C" w:rsidRPr="00823230" w:rsidRDefault="00437E8C" w:rsidP="00437E8C"/>
    <w:p w:rsidR="00CF4769" w:rsidRDefault="00CF4769" w:rsidP="00437E8C">
      <w:pPr>
        <w:pBdr>
          <w:bottom w:val="single" w:sz="4" w:space="1" w:color="auto"/>
        </w:pBdr>
      </w:pPr>
    </w:p>
    <w:p w:rsidR="00CF4769" w:rsidRDefault="00CF4769" w:rsidP="00437E8C">
      <w:pPr>
        <w:pBdr>
          <w:bottom w:val="single" w:sz="4" w:space="1" w:color="auto"/>
        </w:pBdr>
      </w:pPr>
    </w:p>
    <w:p w:rsidR="00437E8C" w:rsidRPr="00921B13" w:rsidRDefault="00437E8C" w:rsidP="00437E8C">
      <w:pPr>
        <w:pBdr>
          <w:bottom w:val="single" w:sz="4" w:space="1" w:color="auto"/>
        </w:pBdr>
        <w:rPr>
          <w:rFonts w:ascii="Arial" w:hAnsi="Arial" w:cs="Arial"/>
          <w:b/>
          <w:sz w:val="36"/>
          <w:szCs w:val="36"/>
        </w:rPr>
      </w:pPr>
      <w:r w:rsidRPr="00921B13">
        <w:rPr>
          <w:rFonts w:ascii="Arial" w:hAnsi="Arial" w:cs="Arial"/>
          <w:b/>
          <w:sz w:val="36"/>
          <w:szCs w:val="36"/>
        </w:rPr>
        <w:t>Pacific Gas &amp; Electric Company</w:t>
      </w:r>
    </w:p>
    <w:p w:rsidR="00437E8C" w:rsidRPr="00823230" w:rsidRDefault="00437E8C" w:rsidP="00437E8C">
      <w:pPr>
        <w:rPr>
          <w:rFonts w:ascii="Arial" w:hAnsi="Arial" w:cs="Arial"/>
          <w:b/>
          <w:sz w:val="32"/>
          <w:szCs w:val="32"/>
        </w:rPr>
      </w:pPr>
      <w:r w:rsidRPr="00921B13">
        <w:rPr>
          <w:rFonts w:ascii="Arial" w:hAnsi="Arial" w:cs="Arial"/>
          <w:b/>
          <w:sz w:val="36"/>
          <w:szCs w:val="36"/>
        </w:rPr>
        <w:t>Customer Energy Solutions</w:t>
      </w:r>
    </w:p>
    <w:p w:rsidR="00437E8C" w:rsidRPr="00823230" w:rsidRDefault="00437E8C" w:rsidP="00437E8C"/>
    <w:p w:rsidR="00437E8C" w:rsidRPr="00823230" w:rsidRDefault="00437E8C" w:rsidP="00437E8C"/>
    <w:p w:rsidR="00437E8C" w:rsidRPr="00823230" w:rsidRDefault="00437E8C" w:rsidP="00437E8C"/>
    <w:p w:rsidR="00437E8C" w:rsidRPr="00823230" w:rsidRDefault="00437E8C" w:rsidP="00437E8C"/>
    <w:p w:rsidR="00437E8C" w:rsidRDefault="00437E8C" w:rsidP="00437E8C">
      <w:pPr>
        <w:ind w:right="-720"/>
        <w:rPr>
          <w:rFonts w:ascii="Arial" w:hAnsi="Arial" w:cs="Arial"/>
          <w:b/>
          <w:sz w:val="72"/>
          <w:szCs w:val="72"/>
        </w:rPr>
      </w:pPr>
      <w:r>
        <w:rPr>
          <w:rFonts w:ascii="Arial" w:hAnsi="Arial" w:cs="Arial"/>
          <w:b/>
          <w:sz w:val="72"/>
          <w:szCs w:val="72"/>
        </w:rPr>
        <w:t xml:space="preserve">Advanced Direct </w:t>
      </w:r>
    </w:p>
    <w:p w:rsidR="00437E8C" w:rsidRPr="00823230" w:rsidRDefault="00437E8C" w:rsidP="00437E8C">
      <w:pPr>
        <w:ind w:right="-720"/>
        <w:rPr>
          <w:rFonts w:ascii="Arial" w:hAnsi="Arial" w:cs="Arial"/>
          <w:b/>
          <w:sz w:val="72"/>
          <w:szCs w:val="72"/>
        </w:rPr>
      </w:pPr>
      <w:r w:rsidRPr="00823230">
        <w:rPr>
          <w:rFonts w:ascii="Arial" w:hAnsi="Arial" w:cs="Arial"/>
          <w:b/>
          <w:sz w:val="72"/>
          <w:szCs w:val="72"/>
        </w:rPr>
        <w:t>Evaporative Cooler</w:t>
      </w:r>
      <w:r>
        <w:rPr>
          <w:rFonts w:ascii="Arial" w:hAnsi="Arial" w:cs="Arial"/>
          <w:b/>
          <w:sz w:val="72"/>
          <w:szCs w:val="72"/>
        </w:rPr>
        <w:t>s - Residential</w:t>
      </w:r>
    </w:p>
    <w:p w:rsidR="00437E8C" w:rsidRPr="00823230" w:rsidRDefault="00437E8C" w:rsidP="00437E8C">
      <w:pPr>
        <w:ind w:right="-720"/>
        <w:rPr>
          <w:rFonts w:ascii="Arial" w:hAnsi="Arial" w:cs="Arial"/>
          <w:b/>
        </w:rPr>
      </w:pPr>
      <w:r w:rsidRPr="00823230">
        <w:rPr>
          <w:rFonts w:ascii="Arial" w:hAnsi="Arial" w:cs="Arial"/>
          <w:b/>
        </w:rPr>
        <w:t>Measure Code</w:t>
      </w:r>
      <w:r>
        <w:rPr>
          <w:rFonts w:ascii="Arial" w:hAnsi="Arial" w:cs="Arial"/>
          <w:b/>
        </w:rPr>
        <w:t xml:space="preserve">: </w:t>
      </w:r>
      <w:r w:rsidR="00D92AC5">
        <w:rPr>
          <w:rFonts w:ascii="Arial" w:hAnsi="Arial" w:cs="Arial"/>
          <w:b/>
        </w:rPr>
        <w:t>HB25, HB26</w:t>
      </w:r>
    </w:p>
    <w:p w:rsidR="005E6D00" w:rsidRDefault="005E6D00" w:rsidP="005E6D00">
      <w:pPr>
        <w:rPr>
          <w:rFonts w:asciiTheme="minorHAnsi" w:hAnsiTheme="minorHAnsi" w:cstheme="minorHAnsi"/>
          <w:b/>
          <w:sz w:val="72"/>
          <w:szCs w:val="72"/>
        </w:rPr>
      </w:pPr>
    </w:p>
    <w:p w:rsidR="001B09A5" w:rsidRPr="00250456" w:rsidRDefault="001B09A5" w:rsidP="005E6D00">
      <w:pPr>
        <w:rPr>
          <w:rFonts w:asciiTheme="minorHAnsi" w:hAnsiTheme="minorHAnsi" w:cstheme="minorHAnsi"/>
          <w:b/>
          <w:sz w:val="72"/>
          <w:szCs w:val="72"/>
        </w:rPr>
        <w:sectPr w:rsidR="001B09A5" w:rsidRPr="00250456" w:rsidSect="002246FA">
          <w:footerReference w:type="even" r:id="rId9"/>
          <w:footerReference w:type="default" r:id="rId10"/>
          <w:footerReference w:type="first" r:id="rId11"/>
          <w:pgSz w:w="12240" w:h="15840"/>
          <w:pgMar w:top="1440" w:right="1440" w:bottom="1555" w:left="1440" w:header="720" w:footer="720" w:gutter="0"/>
          <w:pgNumType w:fmt="lowerRoman"/>
          <w:cols w:space="720"/>
          <w:titlePg/>
          <w:docGrid w:linePitch="360"/>
        </w:sectPr>
      </w:pPr>
    </w:p>
    <w:p w:rsidR="003D7E6F" w:rsidRPr="00386FFA" w:rsidRDefault="003D7E6F" w:rsidP="003D7E6F">
      <w:pPr>
        <w:pStyle w:val="Heading1"/>
        <w:rPr>
          <w:rFonts w:ascii="Arial" w:hAnsi="Arial"/>
        </w:rPr>
      </w:pPr>
      <w:bookmarkStart w:id="3" w:name="_Toc327873728"/>
      <w:r w:rsidRPr="00386FFA">
        <w:rPr>
          <w:rFonts w:ascii="Arial" w:hAnsi="Arial"/>
        </w:rPr>
        <w:lastRenderedPageBreak/>
        <w:t>At-a-Glance Summary</w:t>
      </w:r>
      <w:bookmarkEnd w:id="3"/>
    </w:p>
    <w:tbl>
      <w:tblPr>
        <w:tblW w:w="9648" w:type="dxa"/>
        <w:tblBorders>
          <w:insideH w:val="single" w:sz="18" w:space="0" w:color="FFFFFF"/>
          <w:insideV w:val="single" w:sz="18" w:space="0" w:color="FFFFFF"/>
        </w:tblBorders>
        <w:tblLook w:val="01E0" w:firstRow="1" w:lastRow="1" w:firstColumn="1" w:lastColumn="1" w:noHBand="0" w:noVBand="0"/>
      </w:tblPr>
      <w:tblGrid>
        <w:gridCol w:w="3618"/>
        <w:gridCol w:w="6030"/>
      </w:tblGrid>
      <w:tr w:rsidR="003D7E6F" w:rsidRPr="0077159C" w:rsidTr="003D7E6F">
        <w:trPr>
          <w:trHeight w:val="465"/>
        </w:trPr>
        <w:tc>
          <w:tcPr>
            <w:tcW w:w="3618" w:type="dxa"/>
            <w:shd w:val="pct20" w:color="000000" w:fill="FFFFFF"/>
          </w:tcPr>
          <w:p w:rsidR="003D7E6F" w:rsidRPr="00655582" w:rsidRDefault="003D7E6F" w:rsidP="003D7E6F">
            <w:pPr>
              <w:rPr>
                <w:rStyle w:val="Strong"/>
                <w:rFonts w:cs="Arial"/>
                <w:b w:val="0"/>
                <w:sz w:val="20"/>
                <w:szCs w:val="20"/>
              </w:rPr>
            </w:pPr>
            <w:r w:rsidRPr="00655582">
              <w:rPr>
                <w:rStyle w:val="Strong"/>
                <w:rFonts w:cs="Arial"/>
                <w:sz w:val="20"/>
                <w:szCs w:val="20"/>
              </w:rPr>
              <w:t>Applicable Measure Codes:</w:t>
            </w:r>
          </w:p>
        </w:tc>
        <w:tc>
          <w:tcPr>
            <w:tcW w:w="6030" w:type="dxa"/>
            <w:shd w:val="pct20" w:color="000000" w:fill="FFFFFF"/>
          </w:tcPr>
          <w:p w:rsidR="003D7E6F" w:rsidRPr="00CF4769" w:rsidRDefault="00CF4769" w:rsidP="003D7E6F">
            <w:pPr>
              <w:rPr>
                <w:rFonts w:ascii="Arial" w:hAnsi="Arial" w:cs="Arial"/>
                <w:bCs/>
                <w:sz w:val="20"/>
                <w:szCs w:val="20"/>
              </w:rPr>
            </w:pPr>
            <w:r w:rsidRPr="00CF4769">
              <w:rPr>
                <w:rFonts w:ascii="Arial" w:hAnsi="Arial" w:cs="Arial"/>
                <w:sz w:val="20"/>
                <w:szCs w:val="20"/>
              </w:rPr>
              <w:t>HB25, HB26</w:t>
            </w:r>
          </w:p>
        </w:tc>
      </w:tr>
      <w:tr w:rsidR="00CF4769" w:rsidRPr="0077159C" w:rsidTr="003D7E6F">
        <w:trPr>
          <w:trHeight w:val="465"/>
        </w:trPr>
        <w:tc>
          <w:tcPr>
            <w:tcW w:w="3618" w:type="dxa"/>
            <w:shd w:val="pct5" w:color="000000" w:fill="FFFFFF"/>
          </w:tcPr>
          <w:p w:rsidR="00CF4769" w:rsidRPr="00655582" w:rsidRDefault="00CF4769" w:rsidP="003D7E6F">
            <w:pPr>
              <w:rPr>
                <w:rStyle w:val="Strong"/>
                <w:rFonts w:cs="Arial"/>
                <w:b w:val="0"/>
                <w:sz w:val="20"/>
                <w:szCs w:val="20"/>
              </w:rPr>
            </w:pPr>
            <w:r w:rsidRPr="00655582">
              <w:rPr>
                <w:rStyle w:val="Strong"/>
                <w:rFonts w:cs="Arial"/>
                <w:sz w:val="20"/>
                <w:szCs w:val="20"/>
              </w:rPr>
              <w:t xml:space="preserve">Measure Description: </w:t>
            </w:r>
          </w:p>
        </w:tc>
        <w:tc>
          <w:tcPr>
            <w:tcW w:w="6030" w:type="dxa"/>
            <w:shd w:val="pct5" w:color="000000" w:fill="FFFFFF"/>
          </w:tcPr>
          <w:p w:rsidR="00CF4769" w:rsidRPr="00CF4769" w:rsidRDefault="00CF4769" w:rsidP="004826B9">
            <w:pPr>
              <w:rPr>
                <w:rFonts w:ascii="Arial" w:hAnsi="Arial" w:cs="Arial"/>
                <w:sz w:val="20"/>
                <w:szCs w:val="20"/>
              </w:rPr>
            </w:pPr>
            <w:r w:rsidRPr="00CF4769">
              <w:rPr>
                <w:rFonts w:ascii="Arial" w:hAnsi="Arial" w:cs="Arial"/>
                <w:sz w:val="20"/>
                <w:szCs w:val="20"/>
              </w:rPr>
              <w:t xml:space="preserve">The installation of direct evaporative coolers displaces compressor based space cooling in both residential and non-residential buildings. </w:t>
            </w:r>
          </w:p>
        </w:tc>
      </w:tr>
      <w:tr w:rsidR="00CF4769" w:rsidRPr="0077159C" w:rsidTr="003D7E6F">
        <w:trPr>
          <w:trHeight w:val="333"/>
        </w:trPr>
        <w:tc>
          <w:tcPr>
            <w:tcW w:w="3618" w:type="dxa"/>
            <w:shd w:val="pct20" w:color="000000" w:fill="FFFFFF"/>
          </w:tcPr>
          <w:p w:rsidR="00CF4769" w:rsidRPr="00655582" w:rsidRDefault="00CF4769" w:rsidP="003D7E6F">
            <w:pPr>
              <w:rPr>
                <w:rStyle w:val="Strong"/>
                <w:rFonts w:cs="Arial"/>
                <w:b w:val="0"/>
                <w:sz w:val="20"/>
                <w:szCs w:val="20"/>
              </w:rPr>
            </w:pPr>
            <w:r w:rsidRPr="00655582">
              <w:rPr>
                <w:rStyle w:val="Strong"/>
                <w:rFonts w:cs="Arial"/>
                <w:sz w:val="20"/>
                <w:szCs w:val="20"/>
              </w:rPr>
              <w:t xml:space="preserve">Energy Impact Common Units: </w:t>
            </w:r>
          </w:p>
        </w:tc>
        <w:tc>
          <w:tcPr>
            <w:tcW w:w="6030" w:type="dxa"/>
            <w:shd w:val="pct20" w:color="000000" w:fill="FFFFFF"/>
          </w:tcPr>
          <w:p w:rsidR="00CF4769" w:rsidRPr="00CF4769" w:rsidRDefault="00CF4769" w:rsidP="003D7E6F">
            <w:pPr>
              <w:rPr>
                <w:rFonts w:ascii="Arial" w:hAnsi="Arial" w:cs="Arial"/>
                <w:sz w:val="20"/>
                <w:szCs w:val="20"/>
              </w:rPr>
            </w:pPr>
            <w:r w:rsidRPr="00CF4769">
              <w:rPr>
                <w:rFonts w:ascii="Arial" w:hAnsi="Arial" w:cs="Arial"/>
                <w:sz w:val="20"/>
                <w:szCs w:val="20"/>
              </w:rPr>
              <w:t>Savings/household</w:t>
            </w:r>
          </w:p>
        </w:tc>
      </w:tr>
      <w:tr w:rsidR="00CF4769" w:rsidRPr="0077159C" w:rsidTr="003D7E6F">
        <w:trPr>
          <w:trHeight w:val="465"/>
        </w:trPr>
        <w:tc>
          <w:tcPr>
            <w:tcW w:w="3618" w:type="dxa"/>
            <w:shd w:val="pct5" w:color="000000" w:fill="FFFFFF"/>
          </w:tcPr>
          <w:p w:rsidR="00CF4769" w:rsidRPr="00655582" w:rsidRDefault="00CF4769" w:rsidP="003D7E6F">
            <w:pPr>
              <w:rPr>
                <w:rStyle w:val="Strong"/>
                <w:rFonts w:cs="Arial"/>
                <w:b w:val="0"/>
                <w:sz w:val="20"/>
                <w:szCs w:val="20"/>
              </w:rPr>
            </w:pPr>
            <w:r w:rsidRPr="00655582">
              <w:rPr>
                <w:rStyle w:val="Strong"/>
                <w:rFonts w:cs="Arial"/>
                <w:sz w:val="20"/>
                <w:szCs w:val="20"/>
              </w:rPr>
              <w:t>Base Case Description:</w:t>
            </w:r>
          </w:p>
        </w:tc>
        <w:tc>
          <w:tcPr>
            <w:tcW w:w="6030" w:type="dxa"/>
            <w:shd w:val="pct5" w:color="000000" w:fill="FFFFFF"/>
          </w:tcPr>
          <w:p w:rsidR="00CF4769" w:rsidRPr="00CF4769" w:rsidRDefault="00CF4769" w:rsidP="003D7E6F">
            <w:pPr>
              <w:rPr>
                <w:rFonts w:ascii="Arial" w:hAnsi="Arial" w:cs="Arial"/>
                <w:sz w:val="20"/>
                <w:szCs w:val="20"/>
              </w:rPr>
            </w:pPr>
            <w:r w:rsidRPr="00CF4769">
              <w:rPr>
                <w:rFonts w:ascii="Arial" w:hAnsi="Arial" w:cs="Arial"/>
                <w:sz w:val="20"/>
                <w:szCs w:val="20"/>
              </w:rPr>
              <w:t>SCE residential: existing customer equipment. PG&amp;E residential &amp; SCE non-res: code/standard vapor compression air conditioning system.</w:t>
            </w:r>
          </w:p>
        </w:tc>
      </w:tr>
      <w:tr w:rsidR="00CF4769" w:rsidRPr="0077159C" w:rsidTr="003D7E6F">
        <w:trPr>
          <w:trHeight w:val="465"/>
        </w:trPr>
        <w:tc>
          <w:tcPr>
            <w:tcW w:w="3618" w:type="dxa"/>
            <w:shd w:val="pct20" w:color="000000" w:fill="FFFFFF"/>
          </w:tcPr>
          <w:p w:rsidR="00CF4769" w:rsidRPr="00655582" w:rsidRDefault="00CF4769" w:rsidP="003D7E6F">
            <w:pPr>
              <w:rPr>
                <w:rStyle w:val="Strong"/>
                <w:rFonts w:cs="Arial"/>
                <w:b w:val="0"/>
                <w:sz w:val="20"/>
                <w:szCs w:val="20"/>
              </w:rPr>
            </w:pPr>
            <w:r w:rsidRPr="00655582">
              <w:rPr>
                <w:rStyle w:val="Strong"/>
                <w:rFonts w:cs="Arial"/>
                <w:sz w:val="20"/>
                <w:szCs w:val="20"/>
              </w:rPr>
              <w:t xml:space="preserve">Base Case Energy Consumption: </w:t>
            </w:r>
          </w:p>
        </w:tc>
        <w:tc>
          <w:tcPr>
            <w:tcW w:w="6030" w:type="dxa"/>
            <w:shd w:val="pct20" w:color="000000" w:fill="FFFFFF"/>
          </w:tcPr>
          <w:p w:rsidR="00CF4769" w:rsidRPr="00CF4769" w:rsidRDefault="00CF4769" w:rsidP="003D7E6F">
            <w:pPr>
              <w:rPr>
                <w:rFonts w:ascii="Arial" w:hAnsi="Arial" w:cs="Arial"/>
                <w:sz w:val="20"/>
                <w:szCs w:val="20"/>
              </w:rPr>
            </w:pPr>
            <w:r w:rsidRPr="00CF4769">
              <w:rPr>
                <w:rFonts w:ascii="Arial" w:hAnsi="Arial" w:cs="Arial"/>
                <w:sz w:val="20"/>
                <w:szCs w:val="20"/>
              </w:rPr>
              <w:t>DEER2014 does not yet provide the base case energy consumption, only impact savings are provided.</w:t>
            </w:r>
          </w:p>
        </w:tc>
      </w:tr>
      <w:tr w:rsidR="00CF4769" w:rsidRPr="0077159C" w:rsidTr="003D7E6F">
        <w:trPr>
          <w:trHeight w:val="465"/>
        </w:trPr>
        <w:tc>
          <w:tcPr>
            <w:tcW w:w="3618" w:type="dxa"/>
            <w:shd w:val="pct5" w:color="000000" w:fill="FFFFFF"/>
          </w:tcPr>
          <w:p w:rsidR="00CF4769" w:rsidRPr="00655582" w:rsidRDefault="00CF4769" w:rsidP="003D7E6F">
            <w:pPr>
              <w:rPr>
                <w:rStyle w:val="Strong"/>
                <w:rFonts w:cs="Arial"/>
                <w:b w:val="0"/>
                <w:sz w:val="20"/>
                <w:szCs w:val="20"/>
              </w:rPr>
            </w:pPr>
            <w:r w:rsidRPr="00655582">
              <w:rPr>
                <w:rStyle w:val="Strong"/>
                <w:rFonts w:cs="Arial"/>
                <w:sz w:val="20"/>
                <w:szCs w:val="20"/>
              </w:rPr>
              <w:t>Measure Energy Consumption:</w:t>
            </w:r>
          </w:p>
          <w:p w:rsidR="00CF4769" w:rsidRPr="00655582" w:rsidRDefault="00CF4769" w:rsidP="003D7E6F">
            <w:pPr>
              <w:rPr>
                <w:rFonts w:ascii="Arial" w:hAnsi="Arial" w:cs="Arial"/>
                <w:sz w:val="20"/>
                <w:szCs w:val="20"/>
              </w:rPr>
            </w:pPr>
          </w:p>
        </w:tc>
        <w:tc>
          <w:tcPr>
            <w:tcW w:w="6030" w:type="dxa"/>
            <w:shd w:val="pct5" w:color="000000" w:fill="FFFFFF"/>
          </w:tcPr>
          <w:p w:rsidR="00CF4769" w:rsidRPr="00CF4769" w:rsidRDefault="00CF4769" w:rsidP="003D7E6F">
            <w:pPr>
              <w:rPr>
                <w:rFonts w:ascii="Arial" w:hAnsi="Arial" w:cs="Arial"/>
                <w:sz w:val="20"/>
                <w:szCs w:val="20"/>
              </w:rPr>
            </w:pPr>
            <w:r w:rsidRPr="00CF4769">
              <w:rPr>
                <w:rFonts w:ascii="Arial" w:hAnsi="Arial" w:cs="Arial"/>
                <w:sz w:val="20"/>
                <w:szCs w:val="20"/>
              </w:rPr>
              <w:t>DEER2014 does not yet provide the base case energy consumption, only impact savings are provided.</w:t>
            </w:r>
          </w:p>
        </w:tc>
      </w:tr>
      <w:tr w:rsidR="00CF4769" w:rsidRPr="0077159C" w:rsidTr="003D7E6F">
        <w:trPr>
          <w:trHeight w:val="747"/>
        </w:trPr>
        <w:tc>
          <w:tcPr>
            <w:tcW w:w="3618" w:type="dxa"/>
            <w:shd w:val="pct20" w:color="000000" w:fill="FFFFFF"/>
          </w:tcPr>
          <w:p w:rsidR="00CF4769" w:rsidRPr="00655582" w:rsidRDefault="00CF4769" w:rsidP="003D7E6F">
            <w:pPr>
              <w:rPr>
                <w:rStyle w:val="Strong"/>
                <w:rFonts w:cs="Arial"/>
                <w:b w:val="0"/>
                <w:sz w:val="20"/>
                <w:szCs w:val="20"/>
              </w:rPr>
            </w:pPr>
            <w:r w:rsidRPr="00655582">
              <w:rPr>
                <w:rStyle w:val="Strong"/>
                <w:rFonts w:cs="Arial"/>
                <w:sz w:val="20"/>
                <w:szCs w:val="20"/>
              </w:rPr>
              <w:t xml:space="preserve">Energy Savings </w:t>
            </w:r>
          </w:p>
          <w:p w:rsidR="00CF4769" w:rsidRPr="00655582" w:rsidRDefault="00CF4769" w:rsidP="003D7E6F">
            <w:pPr>
              <w:rPr>
                <w:rStyle w:val="Strong1"/>
                <w:rFonts w:ascii="Arial" w:hAnsi="Arial" w:cs="Arial"/>
                <w:b w:val="0"/>
                <w:sz w:val="20"/>
                <w:szCs w:val="20"/>
              </w:rPr>
            </w:pPr>
            <w:r w:rsidRPr="00655582">
              <w:rPr>
                <w:rStyle w:val="Strong"/>
                <w:rFonts w:cs="Arial"/>
                <w:sz w:val="20"/>
                <w:szCs w:val="20"/>
              </w:rPr>
              <w:t>(Base Case – Measure):</w:t>
            </w:r>
          </w:p>
        </w:tc>
        <w:tc>
          <w:tcPr>
            <w:tcW w:w="6030" w:type="dxa"/>
            <w:shd w:val="pct20" w:color="000000" w:fill="FFFFFF"/>
          </w:tcPr>
          <w:p w:rsidR="00CF4769" w:rsidRPr="00CF4769" w:rsidRDefault="00CF4769" w:rsidP="003D7E6F">
            <w:pPr>
              <w:rPr>
                <w:rFonts w:ascii="Arial" w:hAnsi="Arial" w:cs="Arial"/>
                <w:sz w:val="20"/>
                <w:szCs w:val="20"/>
              </w:rPr>
            </w:pPr>
            <w:r w:rsidRPr="00CF4769">
              <w:rPr>
                <w:rFonts w:ascii="Arial" w:hAnsi="Arial" w:cs="Arial"/>
                <w:sz w:val="20"/>
                <w:szCs w:val="20"/>
              </w:rPr>
              <w:t>Source: DEER 2014 and Engineering Calculations</w:t>
            </w:r>
          </w:p>
          <w:p w:rsidR="00CF4769" w:rsidRPr="00CF4769" w:rsidRDefault="00CF4769" w:rsidP="003D7E6F">
            <w:pPr>
              <w:rPr>
                <w:rFonts w:ascii="Arial" w:hAnsi="Arial" w:cs="Arial"/>
                <w:sz w:val="20"/>
                <w:szCs w:val="20"/>
              </w:rPr>
            </w:pPr>
            <w:r w:rsidRPr="00CF4769">
              <w:rPr>
                <w:rFonts w:ascii="Arial" w:hAnsi="Arial" w:cs="Arial"/>
                <w:sz w:val="20"/>
                <w:szCs w:val="20"/>
              </w:rPr>
              <w:t>Varies depending on climate zone, building type, vintage, and system capacity.</w:t>
            </w:r>
          </w:p>
        </w:tc>
      </w:tr>
      <w:tr w:rsidR="00CF4769" w:rsidRPr="0077159C" w:rsidTr="003D7E6F">
        <w:trPr>
          <w:trHeight w:val="378"/>
        </w:trPr>
        <w:tc>
          <w:tcPr>
            <w:tcW w:w="3618" w:type="dxa"/>
            <w:shd w:val="pct5" w:color="000000" w:fill="FFFFFF"/>
          </w:tcPr>
          <w:p w:rsidR="00CF4769" w:rsidRPr="00655582" w:rsidRDefault="00CF4769" w:rsidP="003D7E6F">
            <w:pPr>
              <w:rPr>
                <w:rStyle w:val="Strong"/>
                <w:rFonts w:cs="Arial"/>
                <w:b w:val="0"/>
                <w:sz w:val="20"/>
                <w:szCs w:val="20"/>
              </w:rPr>
            </w:pPr>
            <w:r w:rsidRPr="00655582">
              <w:rPr>
                <w:rStyle w:val="Strong"/>
                <w:rFonts w:cs="Arial"/>
                <w:sz w:val="20"/>
                <w:szCs w:val="20"/>
              </w:rPr>
              <w:t xml:space="preserve">Costs Common Units: </w:t>
            </w:r>
          </w:p>
        </w:tc>
        <w:tc>
          <w:tcPr>
            <w:tcW w:w="6030" w:type="dxa"/>
            <w:shd w:val="pct5" w:color="000000" w:fill="FFFFFF"/>
          </w:tcPr>
          <w:p w:rsidR="00CF4769" w:rsidRPr="00CF4769" w:rsidRDefault="00CF4769" w:rsidP="003D7E6F">
            <w:pPr>
              <w:rPr>
                <w:rFonts w:ascii="Arial" w:hAnsi="Arial" w:cs="Arial"/>
                <w:sz w:val="20"/>
                <w:szCs w:val="20"/>
              </w:rPr>
            </w:pPr>
            <w:r w:rsidRPr="00CF4769">
              <w:rPr>
                <w:rFonts w:ascii="Arial" w:hAnsi="Arial" w:cs="Arial"/>
                <w:sz w:val="20"/>
                <w:szCs w:val="20"/>
              </w:rPr>
              <w:t>$/household</w:t>
            </w:r>
          </w:p>
        </w:tc>
      </w:tr>
      <w:tr w:rsidR="00CF4769" w:rsidRPr="0077159C" w:rsidTr="003D7E6F">
        <w:trPr>
          <w:trHeight w:val="585"/>
        </w:trPr>
        <w:tc>
          <w:tcPr>
            <w:tcW w:w="3618" w:type="dxa"/>
            <w:shd w:val="pct20" w:color="000000" w:fill="FFFFFF"/>
          </w:tcPr>
          <w:p w:rsidR="00CF4769" w:rsidRPr="00655582" w:rsidRDefault="00CF4769" w:rsidP="003D7E6F">
            <w:pPr>
              <w:rPr>
                <w:rStyle w:val="Strong"/>
                <w:rFonts w:cs="Arial"/>
                <w:b w:val="0"/>
                <w:sz w:val="20"/>
                <w:szCs w:val="20"/>
                <w:highlight w:val="cyan"/>
              </w:rPr>
            </w:pPr>
            <w:r w:rsidRPr="00655582">
              <w:rPr>
                <w:rStyle w:val="Strong"/>
                <w:rFonts w:cs="Arial"/>
                <w:sz w:val="20"/>
                <w:szCs w:val="20"/>
              </w:rPr>
              <w:t>Base Case Equipment Cost ($/unit):</w:t>
            </w:r>
          </w:p>
          <w:p w:rsidR="00CF4769" w:rsidRPr="00655582" w:rsidRDefault="00CF4769" w:rsidP="003D7E6F">
            <w:pPr>
              <w:rPr>
                <w:rFonts w:ascii="Arial" w:hAnsi="Arial" w:cs="Arial"/>
                <w:sz w:val="20"/>
                <w:szCs w:val="20"/>
                <w:highlight w:val="cyan"/>
              </w:rPr>
            </w:pPr>
          </w:p>
        </w:tc>
        <w:tc>
          <w:tcPr>
            <w:tcW w:w="6030" w:type="dxa"/>
            <w:shd w:val="pct20" w:color="000000" w:fill="FFFFFF"/>
          </w:tcPr>
          <w:p w:rsidR="00CF4769" w:rsidRPr="00CF4769" w:rsidRDefault="00CF4769" w:rsidP="003D7E6F">
            <w:pPr>
              <w:rPr>
                <w:rFonts w:ascii="Arial" w:hAnsi="Arial" w:cs="Arial"/>
                <w:sz w:val="20"/>
                <w:szCs w:val="20"/>
              </w:rPr>
            </w:pPr>
            <w:r w:rsidRPr="00CF4769">
              <w:rPr>
                <w:rFonts w:ascii="Arial" w:hAnsi="Arial" w:cs="Arial"/>
                <w:sz w:val="20"/>
                <w:szCs w:val="20"/>
              </w:rPr>
              <w:t>Source: DEER2008 and Engineering Calculations.</w:t>
            </w:r>
          </w:p>
          <w:p w:rsidR="00CF4769" w:rsidRPr="00CF4769" w:rsidRDefault="00CF4769" w:rsidP="003D7E6F">
            <w:pPr>
              <w:rPr>
                <w:rFonts w:ascii="Arial" w:hAnsi="Arial" w:cs="Arial"/>
                <w:sz w:val="20"/>
                <w:szCs w:val="20"/>
              </w:rPr>
            </w:pPr>
            <w:r w:rsidRPr="00CF4769">
              <w:rPr>
                <w:rFonts w:ascii="Arial" w:hAnsi="Arial" w:cs="Arial"/>
                <w:sz w:val="20"/>
                <w:szCs w:val="20"/>
              </w:rPr>
              <w:t>Varies depending on system capacity.</w:t>
            </w:r>
          </w:p>
        </w:tc>
      </w:tr>
      <w:tr w:rsidR="00CF4769" w:rsidRPr="0077159C" w:rsidTr="003D7E6F">
        <w:trPr>
          <w:trHeight w:val="465"/>
        </w:trPr>
        <w:tc>
          <w:tcPr>
            <w:tcW w:w="3618" w:type="dxa"/>
            <w:shd w:val="pct5" w:color="000000" w:fill="FFFFFF"/>
          </w:tcPr>
          <w:p w:rsidR="00CF4769" w:rsidRPr="00655582" w:rsidRDefault="00CF4769" w:rsidP="003D7E6F">
            <w:pPr>
              <w:rPr>
                <w:rStyle w:val="Strong"/>
                <w:rFonts w:cs="Arial"/>
                <w:b w:val="0"/>
                <w:sz w:val="20"/>
                <w:szCs w:val="20"/>
              </w:rPr>
            </w:pPr>
            <w:r w:rsidRPr="00655582">
              <w:rPr>
                <w:rStyle w:val="Strong"/>
                <w:rFonts w:cs="Arial"/>
                <w:sz w:val="20"/>
                <w:szCs w:val="20"/>
              </w:rPr>
              <w:t xml:space="preserve">Measure Equipment Cost ($/unit): </w:t>
            </w:r>
          </w:p>
        </w:tc>
        <w:tc>
          <w:tcPr>
            <w:tcW w:w="6030" w:type="dxa"/>
            <w:shd w:val="pct5" w:color="000000" w:fill="FFFFFF"/>
          </w:tcPr>
          <w:p w:rsidR="00CF4769" w:rsidRPr="00CF4769" w:rsidRDefault="00CF4769" w:rsidP="003D7E6F">
            <w:pPr>
              <w:rPr>
                <w:rFonts w:ascii="Arial" w:hAnsi="Arial" w:cs="Arial"/>
                <w:sz w:val="20"/>
                <w:szCs w:val="20"/>
              </w:rPr>
            </w:pPr>
            <w:r w:rsidRPr="00CF4769">
              <w:rPr>
                <w:rFonts w:ascii="Arial" w:hAnsi="Arial" w:cs="Arial"/>
                <w:sz w:val="20"/>
                <w:szCs w:val="20"/>
              </w:rPr>
              <w:t>Source: DEER2008 and Engineering Calculations.</w:t>
            </w:r>
          </w:p>
          <w:p w:rsidR="00CF4769" w:rsidRPr="00CF4769" w:rsidRDefault="00CF4769" w:rsidP="003D7E6F">
            <w:pPr>
              <w:rPr>
                <w:rFonts w:ascii="Arial" w:hAnsi="Arial" w:cs="Arial"/>
                <w:sz w:val="20"/>
                <w:szCs w:val="20"/>
              </w:rPr>
            </w:pPr>
            <w:r w:rsidRPr="00CF4769">
              <w:rPr>
                <w:rFonts w:ascii="Arial" w:hAnsi="Arial" w:cs="Arial"/>
                <w:sz w:val="20"/>
                <w:szCs w:val="20"/>
              </w:rPr>
              <w:t>Varies depending on system capacity.</w:t>
            </w:r>
          </w:p>
        </w:tc>
      </w:tr>
      <w:tr w:rsidR="00CF4769" w:rsidRPr="0077159C" w:rsidTr="003D7E6F">
        <w:trPr>
          <w:trHeight w:val="414"/>
        </w:trPr>
        <w:tc>
          <w:tcPr>
            <w:tcW w:w="3618" w:type="dxa"/>
            <w:shd w:val="pct20" w:color="000000" w:fill="FFFFFF"/>
          </w:tcPr>
          <w:p w:rsidR="00CF4769" w:rsidRPr="00655582" w:rsidRDefault="00CF4769" w:rsidP="003D7E6F">
            <w:pPr>
              <w:rPr>
                <w:rStyle w:val="Strong"/>
                <w:rFonts w:cs="Arial"/>
                <w:b w:val="0"/>
                <w:sz w:val="20"/>
                <w:szCs w:val="20"/>
              </w:rPr>
            </w:pPr>
            <w:r w:rsidRPr="00655582">
              <w:rPr>
                <w:rStyle w:val="Strong"/>
                <w:rFonts w:cs="Arial"/>
                <w:sz w:val="20"/>
                <w:szCs w:val="20"/>
              </w:rPr>
              <w:t>Gross Measure Cost ($/unit)</w:t>
            </w:r>
          </w:p>
        </w:tc>
        <w:tc>
          <w:tcPr>
            <w:tcW w:w="6030" w:type="dxa"/>
            <w:shd w:val="pct20" w:color="000000" w:fill="FFFFFF"/>
          </w:tcPr>
          <w:p w:rsidR="00CF4769" w:rsidRPr="00CF4769" w:rsidRDefault="00CF4769" w:rsidP="003D7E6F">
            <w:pPr>
              <w:rPr>
                <w:rFonts w:ascii="Arial" w:hAnsi="Arial" w:cs="Arial"/>
                <w:sz w:val="20"/>
                <w:szCs w:val="20"/>
              </w:rPr>
            </w:pPr>
            <w:r w:rsidRPr="00CF4769">
              <w:rPr>
                <w:rFonts w:ascii="Arial" w:hAnsi="Arial" w:cs="Arial"/>
                <w:sz w:val="20"/>
                <w:szCs w:val="20"/>
              </w:rPr>
              <w:t>Source: DEER2008 and Engineering Calculations.</w:t>
            </w:r>
          </w:p>
          <w:p w:rsidR="00CF4769" w:rsidRPr="00CF4769" w:rsidRDefault="00CF4769" w:rsidP="003D7E6F">
            <w:pPr>
              <w:rPr>
                <w:rFonts w:ascii="Arial" w:hAnsi="Arial" w:cs="Arial"/>
                <w:sz w:val="20"/>
                <w:szCs w:val="20"/>
              </w:rPr>
            </w:pPr>
            <w:r w:rsidRPr="00CF4769">
              <w:rPr>
                <w:rFonts w:ascii="Arial" w:hAnsi="Arial" w:cs="Arial"/>
                <w:sz w:val="20"/>
                <w:szCs w:val="20"/>
              </w:rPr>
              <w:t>Varies depending on system capacity.</w:t>
            </w:r>
          </w:p>
          <w:p w:rsidR="00CF4769" w:rsidRPr="00CF4769" w:rsidRDefault="00CF4769" w:rsidP="003D7E6F">
            <w:pPr>
              <w:rPr>
                <w:rFonts w:ascii="Arial" w:hAnsi="Arial" w:cs="Arial"/>
                <w:sz w:val="20"/>
                <w:szCs w:val="20"/>
              </w:rPr>
            </w:pPr>
          </w:p>
        </w:tc>
      </w:tr>
      <w:tr w:rsidR="00CF4769" w:rsidRPr="0077159C" w:rsidTr="003D7E6F">
        <w:trPr>
          <w:trHeight w:val="465"/>
        </w:trPr>
        <w:tc>
          <w:tcPr>
            <w:tcW w:w="3618" w:type="dxa"/>
            <w:shd w:val="pct20" w:color="000000" w:fill="FFFFFF"/>
          </w:tcPr>
          <w:p w:rsidR="00CF4769" w:rsidRPr="00655582" w:rsidRDefault="00CF4769" w:rsidP="003D7E6F">
            <w:pPr>
              <w:rPr>
                <w:rStyle w:val="Strong"/>
                <w:rFonts w:cs="Arial"/>
                <w:b w:val="0"/>
                <w:sz w:val="20"/>
                <w:szCs w:val="20"/>
              </w:rPr>
            </w:pPr>
            <w:r w:rsidRPr="00655582">
              <w:rPr>
                <w:rStyle w:val="Strong"/>
                <w:rFonts w:cs="Arial"/>
                <w:sz w:val="20"/>
                <w:szCs w:val="20"/>
              </w:rPr>
              <w:t xml:space="preserve">Measure Incremental Cost ($/unit): </w:t>
            </w:r>
          </w:p>
        </w:tc>
        <w:tc>
          <w:tcPr>
            <w:tcW w:w="6030" w:type="dxa"/>
            <w:shd w:val="pct20" w:color="000000" w:fill="FFFFFF"/>
          </w:tcPr>
          <w:p w:rsidR="00CF4769" w:rsidRPr="00CF4769" w:rsidRDefault="00CF4769" w:rsidP="003D7E6F">
            <w:pPr>
              <w:rPr>
                <w:rFonts w:ascii="Arial" w:hAnsi="Arial" w:cs="Arial"/>
                <w:sz w:val="20"/>
                <w:szCs w:val="20"/>
              </w:rPr>
            </w:pPr>
            <w:r w:rsidRPr="00CF4769">
              <w:rPr>
                <w:rFonts w:ascii="Arial" w:hAnsi="Arial" w:cs="Arial"/>
                <w:sz w:val="20"/>
                <w:szCs w:val="20"/>
              </w:rPr>
              <w:t>Source: DEER2008 and Engineering Calculations.</w:t>
            </w:r>
          </w:p>
          <w:p w:rsidR="00CF4769" w:rsidRPr="00CF4769" w:rsidRDefault="00CF4769" w:rsidP="003D7E6F">
            <w:pPr>
              <w:rPr>
                <w:rFonts w:ascii="Arial" w:hAnsi="Arial" w:cs="Arial"/>
                <w:sz w:val="20"/>
                <w:szCs w:val="20"/>
              </w:rPr>
            </w:pPr>
            <w:r w:rsidRPr="00CF4769">
              <w:rPr>
                <w:rFonts w:ascii="Arial" w:hAnsi="Arial" w:cs="Arial"/>
                <w:sz w:val="20"/>
                <w:szCs w:val="20"/>
              </w:rPr>
              <w:t>Varies depending on system capacity.</w:t>
            </w:r>
          </w:p>
          <w:p w:rsidR="00CF4769" w:rsidRPr="00CF4769" w:rsidRDefault="00CF4769" w:rsidP="003D7E6F">
            <w:pPr>
              <w:rPr>
                <w:rFonts w:ascii="Arial" w:hAnsi="Arial" w:cs="Arial"/>
                <w:sz w:val="20"/>
                <w:szCs w:val="20"/>
              </w:rPr>
            </w:pPr>
          </w:p>
        </w:tc>
      </w:tr>
      <w:tr w:rsidR="00CF4769" w:rsidRPr="0077159C" w:rsidTr="00CF4769">
        <w:trPr>
          <w:trHeight w:val="477"/>
        </w:trPr>
        <w:tc>
          <w:tcPr>
            <w:tcW w:w="3618" w:type="dxa"/>
            <w:shd w:val="pct5" w:color="000000" w:fill="FFFFFF"/>
          </w:tcPr>
          <w:p w:rsidR="00CF4769" w:rsidRPr="00655582" w:rsidRDefault="00CF4769" w:rsidP="003D7E6F">
            <w:pPr>
              <w:rPr>
                <w:rStyle w:val="Strong"/>
                <w:rFonts w:cs="Arial"/>
                <w:b w:val="0"/>
                <w:sz w:val="20"/>
                <w:szCs w:val="20"/>
              </w:rPr>
            </w:pPr>
            <w:r w:rsidRPr="00655582">
              <w:rPr>
                <w:rStyle w:val="Strong"/>
                <w:rFonts w:cs="Arial"/>
                <w:sz w:val="20"/>
                <w:szCs w:val="20"/>
              </w:rPr>
              <w:t xml:space="preserve">Effective Useful Life (years): </w:t>
            </w:r>
          </w:p>
        </w:tc>
        <w:tc>
          <w:tcPr>
            <w:tcW w:w="6030" w:type="dxa"/>
            <w:shd w:val="pct5" w:color="000000" w:fill="FFFFFF"/>
          </w:tcPr>
          <w:p w:rsidR="00CF4769" w:rsidRPr="00CF4769" w:rsidRDefault="00CF4769" w:rsidP="003D7E6F">
            <w:pPr>
              <w:rPr>
                <w:rFonts w:ascii="Arial" w:hAnsi="Arial" w:cs="Arial"/>
                <w:sz w:val="20"/>
                <w:szCs w:val="20"/>
              </w:rPr>
            </w:pPr>
            <w:r w:rsidRPr="00CF4769">
              <w:rPr>
                <w:rFonts w:ascii="Arial" w:hAnsi="Arial" w:cs="Arial"/>
                <w:sz w:val="20"/>
                <w:szCs w:val="20"/>
              </w:rPr>
              <w:t>Source: DEER 2014.</w:t>
            </w:r>
          </w:p>
          <w:p w:rsidR="00CF4769" w:rsidRPr="00CF4769" w:rsidRDefault="00CF4769" w:rsidP="003D7E6F">
            <w:pPr>
              <w:rPr>
                <w:rFonts w:ascii="Arial" w:hAnsi="Arial" w:cs="Arial"/>
                <w:sz w:val="20"/>
                <w:szCs w:val="20"/>
              </w:rPr>
            </w:pPr>
            <w:r w:rsidRPr="00CF4769">
              <w:rPr>
                <w:rFonts w:ascii="Arial" w:hAnsi="Arial" w:cs="Arial"/>
                <w:sz w:val="20"/>
                <w:szCs w:val="20"/>
              </w:rPr>
              <w:t>15 years (EUL ID: HV-</w:t>
            </w:r>
            <w:proofErr w:type="spellStart"/>
            <w:r w:rsidRPr="00CF4769">
              <w:rPr>
                <w:rFonts w:ascii="Arial" w:hAnsi="Arial" w:cs="Arial"/>
                <w:sz w:val="20"/>
                <w:szCs w:val="20"/>
              </w:rPr>
              <w:t>Evap</w:t>
            </w:r>
            <w:proofErr w:type="spellEnd"/>
            <w:r w:rsidRPr="00CF4769">
              <w:rPr>
                <w:rFonts w:ascii="Arial" w:hAnsi="Arial" w:cs="Arial"/>
                <w:sz w:val="20"/>
                <w:szCs w:val="20"/>
              </w:rPr>
              <w:t>)</w:t>
            </w:r>
          </w:p>
        </w:tc>
      </w:tr>
      <w:tr w:rsidR="00CF4769" w:rsidRPr="0077159C" w:rsidTr="003D7E6F">
        <w:trPr>
          <w:trHeight w:val="297"/>
        </w:trPr>
        <w:tc>
          <w:tcPr>
            <w:tcW w:w="3618" w:type="dxa"/>
            <w:shd w:val="pct20" w:color="000000" w:fill="FFFFFF"/>
          </w:tcPr>
          <w:p w:rsidR="00CF4769" w:rsidRPr="00655582" w:rsidRDefault="00CF4769" w:rsidP="003D7E6F">
            <w:pPr>
              <w:rPr>
                <w:rStyle w:val="Strong"/>
                <w:rFonts w:cs="Arial"/>
                <w:b w:val="0"/>
                <w:sz w:val="20"/>
                <w:szCs w:val="20"/>
              </w:rPr>
            </w:pPr>
            <w:r w:rsidRPr="00655582">
              <w:rPr>
                <w:rStyle w:val="Strong"/>
                <w:rFonts w:cs="Arial"/>
                <w:sz w:val="20"/>
                <w:szCs w:val="20"/>
              </w:rPr>
              <w:t>Measure Application Type:</w:t>
            </w:r>
          </w:p>
        </w:tc>
        <w:tc>
          <w:tcPr>
            <w:tcW w:w="6030" w:type="dxa"/>
            <w:shd w:val="pct20" w:color="000000" w:fill="FFFFFF"/>
          </w:tcPr>
          <w:p w:rsidR="00CF4769" w:rsidRPr="00CF4769" w:rsidRDefault="00CF4769" w:rsidP="00CF4769">
            <w:pPr>
              <w:rPr>
                <w:rFonts w:ascii="Arial" w:hAnsi="Arial" w:cs="Arial"/>
                <w:sz w:val="20"/>
                <w:szCs w:val="20"/>
              </w:rPr>
            </w:pPr>
            <w:r w:rsidRPr="00CF4769">
              <w:rPr>
                <w:rFonts w:ascii="Arial" w:hAnsi="Arial" w:cs="Arial"/>
                <w:sz w:val="20"/>
                <w:szCs w:val="20"/>
              </w:rPr>
              <w:t>SCE residential: retrofit add-on (REA). PG&amp;E residential: replace on burnout (ROB).</w:t>
            </w:r>
          </w:p>
          <w:p w:rsidR="00CF4769" w:rsidRPr="00CF4769" w:rsidRDefault="00CF4769" w:rsidP="00CF4769">
            <w:pPr>
              <w:rPr>
                <w:rFonts w:ascii="Arial" w:hAnsi="Arial" w:cs="Arial"/>
                <w:sz w:val="20"/>
                <w:szCs w:val="20"/>
              </w:rPr>
            </w:pPr>
            <w:r w:rsidRPr="00CF4769">
              <w:rPr>
                <w:rFonts w:ascii="Arial" w:hAnsi="Arial" w:cs="Arial"/>
                <w:sz w:val="20"/>
                <w:szCs w:val="20"/>
              </w:rPr>
              <w:t>SCE non-res: replace on burnout (ROB).</w:t>
            </w:r>
          </w:p>
        </w:tc>
      </w:tr>
      <w:tr w:rsidR="00CF4769" w:rsidRPr="0077159C" w:rsidTr="003D7E6F">
        <w:trPr>
          <w:trHeight w:val="465"/>
        </w:trPr>
        <w:tc>
          <w:tcPr>
            <w:tcW w:w="3618" w:type="dxa"/>
            <w:shd w:val="pct5" w:color="000000" w:fill="FFFFFF"/>
          </w:tcPr>
          <w:p w:rsidR="00CF4769" w:rsidRPr="00655582" w:rsidRDefault="00CF4769" w:rsidP="003D7E6F">
            <w:pPr>
              <w:rPr>
                <w:rStyle w:val="Strong"/>
                <w:rFonts w:cs="Arial"/>
                <w:b w:val="0"/>
                <w:sz w:val="20"/>
                <w:szCs w:val="20"/>
              </w:rPr>
            </w:pPr>
            <w:r w:rsidRPr="00655582">
              <w:rPr>
                <w:rStyle w:val="Strong"/>
                <w:rFonts w:cs="Arial"/>
                <w:sz w:val="20"/>
                <w:szCs w:val="20"/>
              </w:rPr>
              <w:t xml:space="preserve">Net-to-Gross Ratios: </w:t>
            </w:r>
          </w:p>
        </w:tc>
        <w:tc>
          <w:tcPr>
            <w:tcW w:w="6030" w:type="dxa"/>
            <w:shd w:val="pct5" w:color="000000" w:fill="FFFFFF"/>
          </w:tcPr>
          <w:p w:rsidR="00CF4769" w:rsidRPr="00CF4769" w:rsidRDefault="00CF4769" w:rsidP="00CF4769">
            <w:pPr>
              <w:rPr>
                <w:rFonts w:ascii="Arial" w:hAnsi="Arial" w:cs="Arial"/>
                <w:sz w:val="20"/>
                <w:szCs w:val="20"/>
              </w:rPr>
            </w:pPr>
            <w:r w:rsidRPr="00CF4769">
              <w:rPr>
                <w:rFonts w:ascii="Arial" w:hAnsi="Arial" w:cs="Arial"/>
                <w:sz w:val="20"/>
                <w:szCs w:val="20"/>
              </w:rPr>
              <w:t>Source: DEER2011</w:t>
            </w:r>
          </w:p>
          <w:p w:rsidR="00CF4769" w:rsidRPr="00CF4769" w:rsidRDefault="00CF4769" w:rsidP="00CF4769">
            <w:pPr>
              <w:rPr>
                <w:rFonts w:ascii="Arial" w:hAnsi="Arial" w:cs="Arial"/>
                <w:sz w:val="20"/>
                <w:szCs w:val="20"/>
              </w:rPr>
            </w:pPr>
            <w:r w:rsidRPr="00CF4769">
              <w:rPr>
                <w:rFonts w:ascii="Arial" w:hAnsi="Arial" w:cs="Arial"/>
                <w:sz w:val="20"/>
                <w:szCs w:val="20"/>
              </w:rPr>
              <w:t xml:space="preserve">Residential: if direct install program (NTGR_ID=Res-Default-HTG-di) 0.85, else (NTGR_ID=Res-Default&gt;2) 0.55. </w:t>
            </w:r>
          </w:p>
          <w:p w:rsidR="00CF4769" w:rsidRPr="00CF4769" w:rsidRDefault="00CF4769" w:rsidP="00CF4769">
            <w:pPr>
              <w:rPr>
                <w:rFonts w:ascii="Arial" w:hAnsi="Arial" w:cs="Arial"/>
                <w:sz w:val="20"/>
                <w:szCs w:val="20"/>
              </w:rPr>
            </w:pPr>
            <w:r w:rsidRPr="00CF4769">
              <w:rPr>
                <w:rFonts w:ascii="Arial" w:hAnsi="Arial" w:cs="Arial"/>
                <w:sz w:val="20"/>
                <w:szCs w:val="20"/>
              </w:rPr>
              <w:t>Non-residential: (NTGR_ID=Com-Default&gt;2yrs) 0.6.</w:t>
            </w:r>
          </w:p>
        </w:tc>
      </w:tr>
      <w:tr w:rsidR="00CF4769" w:rsidRPr="0077159C" w:rsidTr="003D7E6F">
        <w:trPr>
          <w:trHeight w:val="465"/>
        </w:trPr>
        <w:tc>
          <w:tcPr>
            <w:tcW w:w="3618" w:type="dxa"/>
            <w:shd w:val="pct20" w:color="000000" w:fill="FFFFFF"/>
          </w:tcPr>
          <w:p w:rsidR="00CF4769" w:rsidRPr="00655582" w:rsidRDefault="00CF4769" w:rsidP="003D7E6F">
            <w:pPr>
              <w:rPr>
                <w:rStyle w:val="Strong"/>
                <w:rFonts w:cs="Arial"/>
                <w:b w:val="0"/>
                <w:sz w:val="20"/>
                <w:szCs w:val="20"/>
              </w:rPr>
            </w:pPr>
            <w:r w:rsidRPr="00655582">
              <w:rPr>
                <w:rStyle w:val="Strong"/>
                <w:rFonts w:cs="Arial"/>
                <w:sz w:val="20"/>
                <w:szCs w:val="20"/>
              </w:rPr>
              <w:t>Important Comments:</w:t>
            </w:r>
          </w:p>
        </w:tc>
        <w:tc>
          <w:tcPr>
            <w:tcW w:w="6030" w:type="dxa"/>
            <w:shd w:val="pct20" w:color="000000" w:fill="FFFFFF"/>
          </w:tcPr>
          <w:p w:rsidR="00CF4769" w:rsidRPr="00CF4769" w:rsidRDefault="00CF4769" w:rsidP="003D7E6F">
            <w:pPr>
              <w:rPr>
                <w:rFonts w:ascii="Arial" w:hAnsi="Arial" w:cs="Arial"/>
                <w:sz w:val="20"/>
                <w:szCs w:val="20"/>
              </w:rPr>
            </w:pPr>
            <w:r w:rsidRPr="00CF4769">
              <w:rPr>
                <w:rFonts w:ascii="Arial" w:hAnsi="Arial" w:cs="Arial"/>
                <w:sz w:val="20"/>
                <w:szCs w:val="20"/>
              </w:rPr>
              <w:t xml:space="preserve">This is a SCE lead </w:t>
            </w:r>
            <w:proofErr w:type="spellStart"/>
            <w:r w:rsidRPr="00CF4769">
              <w:rPr>
                <w:rFonts w:ascii="Arial" w:hAnsi="Arial" w:cs="Arial"/>
                <w:sz w:val="20"/>
                <w:szCs w:val="20"/>
              </w:rPr>
              <w:t>workpaper</w:t>
            </w:r>
            <w:proofErr w:type="spellEnd"/>
            <w:r w:rsidRPr="00CF4769">
              <w:rPr>
                <w:rFonts w:ascii="Arial" w:hAnsi="Arial" w:cs="Arial"/>
                <w:sz w:val="20"/>
                <w:szCs w:val="20"/>
              </w:rPr>
              <w:t xml:space="preserve"> (SCE </w:t>
            </w:r>
            <w:proofErr w:type="spellStart"/>
            <w:r w:rsidRPr="00CF4769">
              <w:rPr>
                <w:rFonts w:ascii="Arial" w:hAnsi="Arial" w:cs="Arial"/>
                <w:sz w:val="20"/>
                <w:szCs w:val="20"/>
              </w:rPr>
              <w:t>workpaper</w:t>
            </w:r>
            <w:proofErr w:type="spellEnd"/>
            <w:r w:rsidRPr="00CF4769">
              <w:rPr>
                <w:rFonts w:ascii="Arial" w:hAnsi="Arial" w:cs="Arial"/>
                <w:sz w:val="20"/>
                <w:szCs w:val="20"/>
              </w:rPr>
              <w:t xml:space="preserve"> # SCE13HC017.1)</w:t>
            </w:r>
          </w:p>
        </w:tc>
      </w:tr>
    </w:tbl>
    <w:p w:rsidR="003D7E6F" w:rsidRDefault="003D7E6F" w:rsidP="003D7E6F">
      <w:pPr>
        <w:spacing w:after="200" w:line="276" w:lineRule="auto"/>
        <w:rPr>
          <w:rFonts w:asciiTheme="minorHAnsi" w:hAnsiTheme="minorHAnsi" w:cstheme="minorHAnsi"/>
          <w:b/>
          <w:bCs/>
          <w:smallCaps/>
          <w:kern w:val="32"/>
          <w:sz w:val="36"/>
          <w:szCs w:val="32"/>
        </w:rPr>
      </w:pPr>
    </w:p>
    <w:p w:rsidR="00AC5309" w:rsidRPr="00697868" w:rsidRDefault="00AC5309">
      <w:pPr>
        <w:spacing w:after="200" w:line="276" w:lineRule="auto"/>
        <w:rPr>
          <w:rFonts w:asciiTheme="minorHAnsi" w:hAnsiTheme="minorHAnsi" w:cstheme="minorHAnsi"/>
          <w:b/>
          <w:bCs/>
          <w:smallCaps/>
          <w:kern w:val="32"/>
          <w:sz w:val="36"/>
          <w:szCs w:val="32"/>
        </w:rPr>
      </w:pPr>
      <w:r w:rsidRPr="00697868">
        <w:rPr>
          <w:rFonts w:asciiTheme="minorHAnsi" w:hAnsiTheme="minorHAnsi" w:cstheme="minorHAnsi"/>
          <w:b/>
          <w:bCs/>
          <w:smallCaps/>
          <w:kern w:val="32"/>
          <w:sz w:val="36"/>
          <w:szCs w:val="32"/>
        </w:rPr>
        <w:br w:type="page"/>
      </w:r>
    </w:p>
    <w:p w:rsidR="003D7E6F" w:rsidRDefault="003D7E6F" w:rsidP="003D7E6F">
      <w:pPr>
        <w:pStyle w:val="Heading2"/>
      </w:pPr>
      <w:bookmarkStart w:id="4" w:name="_Toc174189524"/>
      <w:bookmarkStart w:id="5" w:name="_Toc380762955"/>
      <w:r>
        <w:lastRenderedPageBreak/>
        <w:t>Work Paper Approvals</w:t>
      </w:r>
      <w:bookmarkEnd w:id="4"/>
      <w:bookmarkEnd w:id="5"/>
    </w:p>
    <w:p w:rsidR="003D7E6F" w:rsidRDefault="003D7E6F" w:rsidP="003D7E6F"/>
    <w:tbl>
      <w:tblPr>
        <w:tblW w:w="5038" w:type="pct"/>
        <w:tblLook w:val="0000" w:firstRow="0" w:lastRow="0" w:firstColumn="0" w:lastColumn="0" w:noHBand="0" w:noVBand="0"/>
      </w:tblPr>
      <w:tblGrid>
        <w:gridCol w:w="5869"/>
        <w:gridCol w:w="3780"/>
      </w:tblGrid>
      <w:tr w:rsidR="003D7E6F" w:rsidTr="003D7E6F">
        <w:tc>
          <w:tcPr>
            <w:tcW w:w="3041" w:type="pct"/>
          </w:tcPr>
          <w:p w:rsidR="003D7E6F" w:rsidRPr="00636012" w:rsidRDefault="003D7E6F" w:rsidP="003D7E6F"/>
        </w:tc>
        <w:tc>
          <w:tcPr>
            <w:tcW w:w="1959" w:type="pct"/>
          </w:tcPr>
          <w:p w:rsidR="003D7E6F" w:rsidRDefault="003D7E6F" w:rsidP="003D7E6F"/>
        </w:tc>
      </w:tr>
      <w:tr w:rsidR="003D7E6F" w:rsidTr="003D7E6F">
        <w:tc>
          <w:tcPr>
            <w:tcW w:w="3041" w:type="pct"/>
          </w:tcPr>
          <w:p w:rsidR="003D7E6F" w:rsidRPr="00636012" w:rsidRDefault="003D7E6F" w:rsidP="003D7E6F">
            <w:r w:rsidRPr="00424A02">
              <w:t xml:space="preserve">The following Manager(s) approved this work paper through the PG&amp;E Electronic Data Routing System under Routing Requisition </w:t>
            </w:r>
            <w:r w:rsidRPr="00BB466A">
              <w:t xml:space="preserve"># </w:t>
            </w:r>
            <w:r w:rsidRPr="008A44F2">
              <w:t>______________</w:t>
            </w:r>
            <w:r w:rsidRPr="00BB466A">
              <w:t>_</w:t>
            </w:r>
          </w:p>
        </w:tc>
        <w:tc>
          <w:tcPr>
            <w:tcW w:w="1959" w:type="pct"/>
          </w:tcPr>
          <w:p w:rsidR="003D7E6F" w:rsidRDefault="003D7E6F" w:rsidP="003D7E6F"/>
        </w:tc>
      </w:tr>
      <w:tr w:rsidR="003D7E6F" w:rsidTr="003D7E6F">
        <w:tc>
          <w:tcPr>
            <w:tcW w:w="3041" w:type="pct"/>
          </w:tcPr>
          <w:tbl>
            <w:tblPr>
              <w:tblW w:w="3064" w:type="pct"/>
              <w:tblCellMar>
                <w:left w:w="0" w:type="dxa"/>
                <w:right w:w="0" w:type="dxa"/>
              </w:tblCellMar>
              <w:tblLook w:val="04A0" w:firstRow="1" w:lastRow="0" w:firstColumn="1" w:lastColumn="0" w:noHBand="0" w:noVBand="1"/>
            </w:tblPr>
            <w:tblGrid>
              <w:gridCol w:w="3464"/>
            </w:tblGrid>
            <w:tr w:rsidR="003D7E6F" w:rsidRPr="00424A02" w:rsidTr="003D7E6F">
              <w:tc>
                <w:tcPr>
                  <w:tcW w:w="5000" w:type="pct"/>
                  <w:tcMar>
                    <w:top w:w="0" w:type="dxa"/>
                    <w:left w:w="108" w:type="dxa"/>
                    <w:bottom w:w="0" w:type="dxa"/>
                    <w:right w:w="108" w:type="dxa"/>
                  </w:tcMar>
                </w:tcPr>
                <w:p w:rsidR="003D7E6F" w:rsidRPr="00424A02" w:rsidRDefault="003D7E6F" w:rsidP="003D7E6F">
                  <w:pPr>
                    <w:rPr>
                      <w:rFonts w:cs="Arial"/>
                    </w:rPr>
                  </w:pPr>
                </w:p>
              </w:tc>
            </w:tr>
            <w:tr w:rsidR="003D7E6F" w:rsidRPr="00424A02" w:rsidTr="003D7E6F">
              <w:tc>
                <w:tcPr>
                  <w:tcW w:w="5000" w:type="pct"/>
                  <w:tcMar>
                    <w:top w:w="0" w:type="dxa"/>
                    <w:left w:w="108" w:type="dxa"/>
                    <w:bottom w:w="0" w:type="dxa"/>
                    <w:right w:w="108" w:type="dxa"/>
                  </w:tcMar>
                  <w:hideMark/>
                </w:tcPr>
                <w:p w:rsidR="003D7E6F" w:rsidRPr="00424A02" w:rsidRDefault="003D7E6F" w:rsidP="003D7E6F">
                  <w:pPr>
                    <w:rPr>
                      <w:rFonts w:cs="Arial"/>
                      <w:b/>
                      <w:bCs/>
                    </w:rPr>
                  </w:pPr>
                  <w:r w:rsidRPr="00424A02">
                    <w:rPr>
                      <w:b/>
                      <w:bCs/>
                    </w:rPr>
                    <w:t>Grant Brohard</w:t>
                  </w:r>
                </w:p>
                <w:p w:rsidR="003D7E6F" w:rsidRPr="00424A02" w:rsidRDefault="003D7E6F" w:rsidP="003D7E6F">
                  <w:pPr>
                    <w:rPr>
                      <w:rFonts w:cs="Arial"/>
                    </w:rPr>
                  </w:pPr>
                  <w:r w:rsidRPr="00424A02">
                    <w:t xml:space="preserve">Manager, </w:t>
                  </w:r>
                  <w:r>
                    <w:t>Engineering Services (</w:t>
                  </w:r>
                  <w:r w:rsidRPr="00424A02">
                    <w:t>Technical Product Support</w:t>
                  </w:r>
                  <w:r>
                    <w:t>)</w:t>
                  </w:r>
                </w:p>
              </w:tc>
            </w:tr>
            <w:tr w:rsidR="003D7E6F" w:rsidRPr="00424A02" w:rsidTr="003D7E6F">
              <w:tc>
                <w:tcPr>
                  <w:tcW w:w="5000" w:type="pct"/>
                  <w:tcMar>
                    <w:top w:w="0" w:type="dxa"/>
                    <w:left w:w="108" w:type="dxa"/>
                    <w:bottom w:w="0" w:type="dxa"/>
                    <w:right w:w="108" w:type="dxa"/>
                  </w:tcMar>
                </w:tcPr>
                <w:p w:rsidR="003D7E6F" w:rsidRPr="00424A02" w:rsidRDefault="003D7E6F" w:rsidP="003D7E6F">
                  <w:pPr>
                    <w:rPr>
                      <w:rFonts w:cs="Arial"/>
                      <w:b/>
                      <w:bCs/>
                    </w:rPr>
                  </w:pPr>
                </w:p>
                <w:p w:rsidR="003D7E6F" w:rsidRPr="00424A02" w:rsidRDefault="003D7E6F" w:rsidP="003D7E6F">
                  <w:pPr>
                    <w:rPr>
                      <w:b/>
                      <w:bCs/>
                    </w:rPr>
                  </w:pPr>
                  <w:r w:rsidRPr="00424A02">
                    <w:rPr>
                      <w:b/>
                      <w:bCs/>
                    </w:rPr>
                    <w:t>Carolyn Weiner</w:t>
                  </w:r>
                </w:p>
                <w:p w:rsidR="003D7E6F" w:rsidRPr="00424A02" w:rsidRDefault="003D7E6F" w:rsidP="003D7E6F">
                  <w:r w:rsidRPr="00424A02">
                    <w:t xml:space="preserve">Manager, </w:t>
                  </w:r>
                  <w:r>
                    <w:t xml:space="preserve">Core </w:t>
                  </w:r>
                  <w:r w:rsidRPr="00424A02">
                    <w:t xml:space="preserve">Products </w:t>
                  </w:r>
                </w:p>
                <w:p w:rsidR="003D7E6F" w:rsidRPr="00424A02" w:rsidRDefault="003D7E6F" w:rsidP="003D7E6F">
                  <w:pPr>
                    <w:rPr>
                      <w:b/>
                      <w:bCs/>
                    </w:rPr>
                  </w:pPr>
                </w:p>
                <w:p w:rsidR="003D7E6F" w:rsidRPr="00424A02" w:rsidRDefault="003D7E6F" w:rsidP="003D7E6F">
                  <w:pPr>
                    <w:rPr>
                      <w:rFonts w:cs="Arial"/>
                    </w:rPr>
                  </w:pPr>
                </w:p>
              </w:tc>
            </w:tr>
          </w:tbl>
          <w:p w:rsidR="003D7E6F" w:rsidRDefault="003D7E6F" w:rsidP="003D7E6F"/>
        </w:tc>
        <w:tc>
          <w:tcPr>
            <w:tcW w:w="1959" w:type="pct"/>
          </w:tcPr>
          <w:p w:rsidR="003D7E6F" w:rsidRPr="00302B74" w:rsidRDefault="003D7E6F" w:rsidP="003D7E6F">
            <w:pPr>
              <w:rPr>
                <w:color w:val="FF0000"/>
              </w:rPr>
            </w:pPr>
          </w:p>
        </w:tc>
      </w:tr>
    </w:tbl>
    <w:p w:rsidR="003D7E6F" w:rsidRDefault="003D7E6F">
      <w:pPr>
        <w:spacing w:after="200" w:line="276" w:lineRule="auto"/>
        <w:rPr>
          <w:rFonts w:asciiTheme="minorHAnsi" w:hAnsiTheme="minorHAnsi" w:cs="Arial"/>
          <w:b/>
          <w:bCs/>
          <w:smallCaps/>
          <w:kern w:val="32"/>
          <w:sz w:val="36"/>
          <w:szCs w:val="32"/>
        </w:rPr>
      </w:pPr>
    </w:p>
    <w:p w:rsidR="003D7E6F" w:rsidRDefault="003D7E6F">
      <w:pPr>
        <w:spacing w:after="200" w:line="276" w:lineRule="auto"/>
        <w:rPr>
          <w:rFonts w:asciiTheme="minorHAnsi" w:hAnsiTheme="minorHAnsi" w:cs="Arial"/>
          <w:b/>
          <w:bCs/>
          <w:smallCaps/>
          <w:kern w:val="32"/>
          <w:sz w:val="36"/>
          <w:szCs w:val="32"/>
        </w:rPr>
      </w:pPr>
      <w:r>
        <w:rPr>
          <w:rFonts w:asciiTheme="minorHAnsi" w:hAnsiTheme="minorHAnsi" w:cs="Arial"/>
          <w:b/>
          <w:bCs/>
          <w:smallCaps/>
          <w:kern w:val="32"/>
          <w:sz w:val="36"/>
          <w:szCs w:val="32"/>
        </w:rPr>
        <w:br w:type="page"/>
      </w:r>
    </w:p>
    <w:p w:rsidR="00EB34FC" w:rsidRPr="00697868" w:rsidRDefault="00EB34FC" w:rsidP="00AC5309">
      <w:pPr>
        <w:pStyle w:val="Heading1"/>
        <w:rPr>
          <w:rFonts w:asciiTheme="minorHAnsi" w:hAnsiTheme="minorHAnsi"/>
        </w:rPr>
      </w:pPr>
      <w:r w:rsidRPr="00697868">
        <w:rPr>
          <w:rFonts w:asciiTheme="minorHAnsi" w:hAnsiTheme="minorHAnsi"/>
        </w:rPr>
        <w:lastRenderedPageBreak/>
        <w:t>Document Revision History</w:t>
      </w:r>
    </w:p>
    <w:tbl>
      <w:tblPr>
        <w:tblStyle w:val="TableContemporary"/>
        <w:tblW w:w="5000" w:type="pct"/>
        <w:tblLayout w:type="fixed"/>
        <w:tblLook w:val="01E0" w:firstRow="1" w:lastRow="1" w:firstColumn="1" w:lastColumn="1" w:noHBand="0" w:noVBand="0"/>
      </w:tblPr>
      <w:tblGrid>
        <w:gridCol w:w="1458"/>
        <w:gridCol w:w="990"/>
        <w:gridCol w:w="1260"/>
        <w:gridCol w:w="1800"/>
        <w:gridCol w:w="4068"/>
      </w:tblGrid>
      <w:tr w:rsidR="00413CDB" w:rsidRPr="00CE28CF" w:rsidTr="00413CDB">
        <w:trPr>
          <w:cnfStyle w:val="100000000000" w:firstRow="1" w:lastRow="0" w:firstColumn="0" w:lastColumn="0" w:oddVBand="0" w:evenVBand="0" w:oddHBand="0" w:evenHBand="0" w:firstRowFirstColumn="0" w:firstRowLastColumn="0" w:lastRowFirstColumn="0" w:lastRowLastColumn="0"/>
          <w:trHeight w:val="298"/>
        </w:trPr>
        <w:tc>
          <w:tcPr>
            <w:tcW w:w="761" w:type="pct"/>
          </w:tcPr>
          <w:p w:rsidR="00CE28CF" w:rsidRPr="00CE28CF" w:rsidRDefault="00413CDB" w:rsidP="00413CDB">
            <w:pPr>
              <w:rPr>
                <w:rFonts w:asciiTheme="minorHAnsi" w:hAnsiTheme="minorHAnsi" w:cstheme="minorHAnsi"/>
                <w:b w:val="0"/>
                <w:bCs w:val="0"/>
                <w:sz w:val="20"/>
                <w:szCs w:val="20"/>
              </w:rPr>
            </w:pPr>
            <w:proofErr w:type="spellStart"/>
            <w:r>
              <w:rPr>
                <w:rFonts w:asciiTheme="minorHAnsi" w:hAnsiTheme="minorHAnsi" w:cstheme="minorHAnsi"/>
                <w:sz w:val="20"/>
                <w:szCs w:val="20"/>
              </w:rPr>
              <w:t>Workpaper</w:t>
            </w:r>
            <w:proofErr w:type="spellEnd"/>
            <w:r>
              <w:rPr>
                <w:rFonts w:asciiTheme="minorHAnsi" w:hAnsiTheme="minorHAnsi" w:cstheme="minorHAnsi"/>
                <w:sz w:val="20"/>
                <w:szCs w:val="20"/>
              </w:rPr>
              <w:t xml:space="preserve"> and </w:t>
            </w:r>
            <w:r w:rsidR="00CE28CF" w:rsidRPr="00CE28CF">
              <w:rPr>
                <w:rFonts w:asciiTheme="minorHAnsi" w:hAnsiTheme="minorHAnsi" w:cstheme="minorHAnsi"/>
                <w:sz w:val="20"/>
                <w:szCs w:val="20"/>
              </w:rPr>
              <w:t>Revision #</w:t>
            </w:r>
          </w:p>
        </w:tc>
        <w:tc>
          <w:tcPr>
            <w:tcW w:w="517" w:type="pct"/>
          </w:tcPr>
          <w:p w:rsidR="00CE28CF" w:rsidRPr="00CE28CF" w:rsidRDefault="00CE28CF" w:rsidP="00413CDB">
            <w:pPr>
              <w:rPr>
                <w:rFonts w:asciiTheme="minorHAnsi" w:hAnsiTheme="minorHAnsi" w:cstheme="minorHAnsi"/>
                <w:sz w:val="20"/>
                <w:szCs w:val="20"/>
              </w:rPr>
            </w:pPr>
            <w:r w:rsidRPr="00CE28CF">
              <w:rPr>
                <w:rFonts w:asciiTheme="minorHAnsi" w:hAnsiTheme="minorHAnsi" w:cstheme="minorHAnsi"/>
                <w:sz w:val="20"/>
                <w:szCs w:val="20"/>
              </w:rPr>
              <w:t>Tech</w:t>
            </w:r>
            <w:r w:rsidR="00413CDB">
              <w:rPr>
                <w:rFonts w:asciiTheme="minorHAnsi" w:hAnsiTheme="minorHAnsi" w:cstheme="minorHAnsi"/>
                <w:sz w:val="20"/>
                <w:szCs w:val="20"/>
              </w:rPr>
              <w:t>.</w:t>
            </w:r>
            <w:r w:rsidRPr="00CE28CF">
              <w:rPr>
                <w:rFonts w:asciiTheme="minorHAnsi" w:hAnsiTheme="minorHAnsi" w:cstheme="minorHAnsi"/>
                <w:sz w:val="20"/>
                <w:szCs w:val="20"/>
              </w:rPr>
              <w:t xml:space="preserve"> Revision</w:t>
            </w:r>
          </w:p>
        </w:tc>
        <w:tc>
          <w:tcPr>
            <w:tcW w:w="658" w:type="pct"/>
          </w:tcPr>
          <w:p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MM/DD/YY</w:t>
            </w:r>
          </w:p>
        </w:tc>
        <w:tc>
          <w:tcPr>
            <w:tcW w:w="940" w:type="pct"/>
          </w:tcPr>
          <w:p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Author/Affiliation</w:t>
            </w:r>
          </w:p>
        </w:tc>
        <w:tc>
          <w:tcPr>
            <w:tcW w:w="2124" w:type="pct"/>
          </w:tcPr>
          <w:p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Summary of Changes</w:t>
            </w:r>
          </w:p>
        </w:tc>
      </w:tr>
      <w:tr w:rsidR="00581C9B" w:rsidRPr="00697868" w:rsidTr="002C5560">
        <w:trPr>
          <w:cnfStyle w:val="000000100000" w:firstRow="0" w:lastRow="0" w:firstColumn="0" w:lastColumn="0" w:oddVBand="0" w:evenVBand="0" w:oddHBand="1" w:evenHBand="0" w:firstRowFirstColumn="0" w:firstRowLastColumn="0" w:lastRowFirstColumn="0" w:lastRowLastColumn="0"/>
          <w:trHeight w:val="325"/>
        </w:trPr>
        <w:tc>
          <w:tcPr>
            <w:tcW w:w="761" w:type="pct"/>
            <w:vMerge w:val="restart"/>
          </w:tcPr>
          <w:p w:rsidR="00FF7B6D" w:rsidRPr="00697868" w:rsidRDefault="00581C9B" w:rsidP="00D36798">
            <w:pPr>
              <w:rPr>
                <w:rFonts w:asciiTheme="minorHAnsi" w:hAnsiTheme="minorHAnsi" w:cstheme="minorHAnsi"/>
                <w:sz w:val="20"/>
                <w:szCs w:val="20"/>
              </w:rPr>
            </w:pPr>
            <w:r>
              <w:rPr>
                <w:rFonts w:asciiTheme="minorHAnsi" w:hAnsiTheme="minorHAnsi" w:cstheme="minorHAnsi"/>
                <w:sz w:val="20"/>
                <w:szCs w:val="20"/>
              </w:rPr>
              <w:t>SCE13HC013.0</w:t>
            </w:r>
          </w:p>
          <w:p w:rsidR="00581C9B" w:rsidRPr="00697868" w:rsidRDefault="00581C9B" w:rsidP="00D36798">
            <w:pPr>
              <w:rPr>
                <w:rFonts w:asciiTheme="minorHAnsi" w:hAnsiTheme="minorHAnsi" w:cstheme="minorHAnsi"/>
                <w:sz w:val="20"/>
                <w:szCs w:val="20"/>
              </w:rPr>
            </w:pPr>
          </w:p>
        </w:tc>
        <w:tc>
          <w:tcPr>
            <w:tcW w:w="517" w:type="pct"/>
          </w:tcPr>
          <w:p w:rsidR="00581C9B" w:rsidRPr="00697868" w:rsidRDefault="00581C9B" w:rsidP="00E81F3E">
            <w:pPr>
              <w:jc w:val="center"/>
              <w:rPr>
                <w:rFonts w:asciiTheme="minorHAnsi" w:hAnsiTheme="minorHAnsi" w:cstheme="minorHAnsi"/>
                <w:sz w:val="20"/>
                <w:szCs w:val="20"/>
              </w:rPr>
            </w:pPr>
            <w:r>
              <w:rPr>
                <w:rFonts w:asciiTheme="minorHAnsi" w:hAnsiTheme="minorHAnsi" w:cstheme="minorHAnsi"/>
                <w:sz w:val="20"/>
                <w:szCs w:val="20"/>
              </w:rPr>
              <w:t>Yes</w:t>
            </w:r>
          </w:p>
        </w:tc>
        <w:tc>
          <w:tcPr>
            <w:tcW w:w="658" w:type="pct"/>
            <w:vAlign w:val="center"/>
          </w:tcPr>
          <w:p w:rsidR="00581C9B" w:rsidRPr="00267EE6" w:rsidRDefault="00581C9B" w:rsidP="00581C9B">
            <w:pPr>
              <w:jc w:val="center"/>
              <w:rPr>
                <w:rFonts w:asciiTheme="minorHAnsi" w:hAnsiTheme="minorHAnsi" w:cstheme="minorHAnsi"/>
                <w:sz w:val="20"/>
                <w:szCs w:val="20"/>
              </w:rPr>
            </w:pPr>
            <w:r>
              <w:rPr>
                <w:rFonts w:asciiTheme="minorHAnsi" w:hAnsiTheme="minorHAnsi" w:cstheme="minorHAnsi"/>
                <w:sz w:val="20"/>
                <w:szCs w:val="20"/>
              </w:rPr>
              <w:t>04/17/12</w:t>
            </w:r>
          </w:p>
          <w:p w:rsidR="00581C9B" w:rsidRPr="00697868" w:rsidRDefault="00581C9B" w:rsidP="00E81F3E">
            <w:pPr>
              <w:jc w:val="center"/>
              <w:rPr>
                <w:rFonts w:asciiTheme="minorHAnsi" w:hAnsiTheme="minorHAnsi" w:cstheme="minorHAnsi"/>
                <w:sz w:val="20"/>
                <w:szCs w:val="20"/>
              </w:rPr>
            </w:pPr>
          </w:p>
        </w:tc>
        <w:tc>
          <w:tcPr>
            <w:tcW w:w="940" w:type="pct"/>
            <w:vAlign w:val="center"/>
          </w:tcPr>
          <w:p w:rsidR="00581C9B" w:rsidRPr="00697868" w:rsidRDefault="00581C9B" w:rsidP="007048AC">
            <w:pPr>
              <w:rPr>
                <w:rFonts w:asciiTheme="minorHAnsi" w:hAnsiTheme="minorHAnsi" w:cstheme="minorHAnsi"/>
                <w:sz w:val="20"/>
                <w:szCs w:val="20"/>
              </w:rPr>
            </w:pPr>
            <w:r>
              <w:rPr>
                <w:rFonts w:asciiTheme="minorHAnsi" w:hAnsiTheme="minorHAnsi" w:cstheme="minorHAnsi"/>
                <w:sz w:val="20"/>
                <w:szCs w:val="20"/>
                <w:lang w:val="fr-FR"/>
              </w:rPr>
              <w:t>Scott Mitchell/DES</w:t>
            </w:r>
          </w:p>
        </w:tc>
        <w:tc>
          <w:tcPr>
            <w:tcW w:w="2124" w:type="pct"/>
          </w:tcPr>
          <w:p w:rsidR="00581C9B" w:rsidRDefault="00581C9B" w:rsidP="00581C9B">
            <w:pPr>
              <w:rPr>
                <w:rFonts w:asciiTheme="minorHAnsi" w:hAnsiTheme="minorHAnsi" w:cstheme="minorHAnsi"/>
                <w:bCs/>
                <w:sz w:val="20"/>
                <w:szCs w:val="20"/>
              </w:rPr>
            </w:pPr>
            <w:r>
              <w:rPr>
                <w:rFonts w:asciiTheme="minorHAnsi" w:hAnsiTheme="minorHAnsi" w:cstheme="minorHAnsi"/>
                <w:bCs/>
                <w:sz w:val="20"/>
                <w:szCs w:val="20"/>
              </w:rPr>
              <w:t xml:space="preserve">Converted </w:t>
            </w:r>
            <w:r w:rsidRPr="00EA2A80">
              <w:rPr>
                <w:rFonts w:asciiTheme="minorHAnsi" w:hAnsiTheme="minorHAnsi" w:cstheme="minorHAnsi"/>
                <w:bCs/>
                <w:sz w:val="20"/>
                <w:szCs w:val="20"/>
              </w:rPr>
              <w:t>WPSCREHC0013</w:t>
            </w:r>
            <w:r>
              <w:rPr>
                <w:rFonts w:asciiTheme="minorHAnsi" w:hAnsiTheme="minorHAnsi" w:cstheme="minorHAnsi"/>
                <w:bCs/>
                <w:sz w:val="20"/>
                <w:szCs w:val="20"/>
              </w:rPr>
              <w:t xml:space="preserve"> Revision 4 into new </w:t>
            </w:r>
            <w:proofErr w:type="spellStart"/>
            <w:r>
              <w:rPr>
                <w:rFonts w:asciiTheme="minorHAnsi" w:hAnsiTheme="minorHAnsi" w:cstheme="minorHAnsi"/>
                <w:bCs/>
                <w:sz w:val="20"/>
                <w:szCs w:val="20"/>
              </w:rPr>
              <w:t>workpaper</w:t>
            </w:r>
            <w:proofErr w:type="spellEnd"/>
            <w:r>
              <w:rPr>
                <w:rFonts w:asciiTheme="minorHAnsi" w:hAnsiTheme="minorHAnsi" w:cstheme="minorHAnsi"/>
                <w:bCs/>
                <w:sz w:val="20"/>
                <w:szCs w:val="20"/>
              </w:rPr>
              <w:t xml:space="preserve"> template.</w:t>
            </w:r>
          </w:p>
          <w:p w:rsidR="00581C9B" w:rsidRDefault="00581C9B" w:rsidP="00581C9B">
            <w:pPr>
              <w:rPr>
                <w:rFonts w:asciiTheme="minorHAnsi" w:hAnsiTheme="minorHAnsi" w:cstheme="minorHAnsi"/>
                <w:bCs/>
                <w:sz w:val="20"/>
                <w:szCs w:val="20"/>
              </w:rPr>
            </w:pPr>
            <w:r>
              <w:rPr>
                <w:rFonts w:asciiTheme="minorHAnsi" w:hAnsiTheme="minorHAnsi" w:cstheme="minorHAnsi"/>
                <w:bCs/>
                <w:sz w:val="20"/>
                <w:szCs w:val="20"/>
              </w:rPr>
              <w:t>Changed Installation Type to RET – Add-on.</w:t>
            </w:r>
          </w:p>
          <w:p w:rsidR="00581C9B" w:rsidRDefault="00581C9B" w:rsidP="00581C9B">
            <w:pPr>
              <w:rPr>
                <w:rFonts w:asciiTheme="minorHAnsi" w:hAnsiTheme="minorHAnsi" w:cstheme="minorHAnsi"/>
                <w:bCs/>
                <w:sz w:val="20"/>
                <w:szCs w:val="20"/>
              </w:rPr>
            </w:pPr>
            <w:r>
              <w:rPr>
                <w:rFonts w:asciiTheme="minorHAnsi" w:hAnsiTheme="minorHAnsi" w:cstheme="minorHAnsi"/>
                <w:bCs/>
                <w:sz w:val="20"/>
                <w:szCs w:val="20"/>
              </w:rPr>
              <w:t>Updated vintage weighting with DEER 2008</w:t>
            </w:r>
          </w:p>
          <w:p w:rsidR="00581C9B" w:rsidRPr="00697868" w:rsidRDefault="00581C9B" w:rsidP="00CE28CF">
            <w:pPr>
              <w:rPr>
                <w:rFonts w:asciiTheme="minorHAnsi" w:hAnsiTheme="minorHAnsi" w:cstheme="minorHAnsi"/>
                <w:bCs/>
                <w:sz w:val="20"/>
                <w:szCs w:val="20"/>
              </w:rPr>
            </w:pPr>
            <w:r>
              <w:rPr>
                <w:rFonts w:asciiTheme="minorHAnsi" w:hAnsiTheme="minorHAnsi" w:cstheme="minorHAnsi"/>
                <w:bCs/>
                <w:sz w:val="20"/>
                <w:szCs w:val="20"/>
              </w:rPr>
              <w:t>Incorporated PG&amp;E climate zones for residential measures</w:t>
            </w:r>
          </w:p>
        </w:tc>
      </w:tr>
      <w:tr w:rsidR="00581C9B" w:rsidRPr="00697868" w:rsidTr="002C5560">
        <w:trPr>
          <w:cnfStyle w:val="000000010000" w:firstRow="0" w:lastRow="0" w:firstColumn="0" w:lastColumn="0" w:oddVBand="0" w:evenVBand="0" w:oddHBand="0" w:evenHBand="1" w:firstRowFirstColumn="0" w:firstRowLastColumn="0" w:lastRowFirstColumn="0" w:lastRowLastColumn="0"/>
          <w:trHeight w:val="325"/>
        </w:trPr>
        <w:tc>
          <w:tcPr>
            <w:tcW w:w="761" w:type="pct"/>
            <w:vMerge/>
          </w:tcPr>
          <w:p w:rsidR="00581C9B" w:rsidRDefault="00581C9B" w:rsidP="00D36798">
            <w:pPr>
              <w:rPr>
                <w:rFonts w:asciiTheme="minorHAnsi" w:hAnsiTheme="minorHAnsi" w:cstheme="minorHAnsi"/>
                <w:sz w:val="20"/>
                <w:szCs w:val="20"/>
              </w:rPr>
            </w:pPr>
          </w:p>
        </w:tc>
        <w:tc>
          <w:tcPr>
            <w:tcW w:w="517" w:type="pct"/>
          </w:tcPr>
          <w:p w:rsidR="00581C9B" w:rsidDel="00581C9B" w:rsidRDefault="00581C9B" w:rsidP="00E81F3E">
            <w:pPr>
              <w:jc w:val="center"/>
              <w:rPr>
                <w:rFonts w:asciiTheme="minorHAnsi" w:hAnsiTheme="minorHAnsi" w:cstheme="minorHAnsi"/>
                <w:sz w:val="20"/>
                <w:szCs w:val="20"/>
              </w:rPr>
            </w:pPr>
            <w:r>
              <w:rPr>
                <w:rFonts w:asciiTheme="minorHAnsi" w:hAnsiTheme="minorHAnsi" w:cstheme="minorHAnsi"/>
                <w:sz w:val="20"/>
                <w:szCs w:val="20"/>
              </w:rPr>
              <w:t>Yes</w:t>
            </w:r>
          </w:p>
        </w:tc>
        <w:tc>
          <w:tcPr>
            <w:tcW w:w="658" w:type="pct"/>
            <w:vAlign w:val="center"/>
          </w:tcPr>
          <w:p w:rsidR="00581C9B" w:rsidRDefault="00581C9B" w:rsidP="00581C9B">
            <w:pPr>
              <w:jc w:val="center"/>
              <w:rPr>
                <w:rFonts w:asciiTheme="minorHAnsi" w:hAnsiTheme="minorHAnsi" w:cstheme="minorHAnsi"/>
                <w:sz w:val="20"/>
                <w:szCs w:val="20"/>
              </w:rPr>
            </w:pPr>
            <w:r>
              <w:rPr>
                <w:rFonts w:asciiTheme="minorHAnsi" w:hAnsiTheme="minorHAnsi" w:cstheme="minorHAnsi"/>
                <w:sz w:val="20"/>
                <w:szCs w:val="20"/>
              </w:rPr>
              <w:t>6/18/12</w:t>
            </w:r>
          </w:p>
        </w:tc>
        <w:tc>
          <w:tcPr>
            <w:tcW w:w="940" w:type="pct"/>
            <w:vAlign w:val="center"/>
          </w:tcPr>
          <w:p w:rsidR="00581C9B" w:rsidRDefault="00581C9B" w:rsidP="007048AC">
            <w:pPr>
              <w:rPr>
                <w:rFonts w:asciiTheme="minorHAnsi" w:hAnsiTheme="minorHAnsi" w:cstheme="minorHAnsi"/>
                <w:sz w:val="20"/>
                <w:szCs w:val="20"/>
                <w:lang w:val="fr-FR"/>
              </w:rPr>
            </w:pPr>
            <w:r>
              <w:rPr>
                <w:rFonts w:asciiTheme="minorHAnsi" w:hAnsiTheme="minorHAnsi" w:cstheme="minorHAnsi"/>
                <w:sz w:val="20"/>
                <w:szCs w:val="20"/>
                <w:lang w:val="fr-FR"/>
              </w:rPr>
              <w:t>Alfredo Gutierrez/EEG</w:t>
            </w:r>
          </w:p>
        </w:tc>
        <w:tc>
          <w:tcPr>
            <w:tcW w:w="2124" w:type="pct"/>
          </w:tcPr>
          <w:p w:rsidR="00581C9B" w:rsidRDefault="00581C9B" w:rsidP="00581C9B">
            <w:pPr>
              <w:rPr>
                <w:rFonts w:asciiTheme="minorHAnsi" w:hAnsiTheme="minorHAnsi" w:cstheme="minorHAnsi"/>
                <w:bCs/>
                <w:sz w:val="20"/>
                <w:szCs w:val="20"/>
              </w:rPr>
            </w:pPr>
            <w:r>
              <w:rPr>
                <w:rFonts w:asciiTheme="minorHAnsi" w:hAnsiTheme="minorHAnsi" w:cstheme="minorHAnsi"/>
                <w:bCs/>
                <w:sz w:val="20"/>
                <w:szCs w:val="20"/>
              </w:rPr>
              <w:t>Updated the load shape for the Residential sector from “</w:t>
            </w:r>
            <w:proofErr w:type="spellStart"/>
            <w:r>
              <w:rPr>
                <w:rFonts w:asciiTheme="minorHAnsi" w:hAnsiTheme="minorHAnsi" w:cstheme="minorHAnsi"/>
                <w:bCs/>
                <w:sz w:val="20"/>
                <w:szCs w:val="20"/>
              </w:rPr>
              <w:t>Reduce_Cooling_Load</w:t>
            </w:r>
            <w:proofErr w:type="spellEnd"/>
            <w:r>
              <w:rPr>
                <w:rFonts w:asciiTheme="minorHAnsi" w:hAnsiTheme="minorHAnsi" w:cstheme="minorHAnsi"/>
                <w:bCs/>
                <w:sz w:val="20"/>
                <w:szCs w:val="20"/>
              </w:rPr>
              <w:t>-RET” to “</w:t>
            </w:r>
            <w:proofErr w:type="spellStart"/>
            <w:r w:rsidRPr="00434E73">
              <w:rPr>
                <w:rFonts w:asciiTheme="minorHAnsi" w:hAnsiTheme="minorHAnsi" w:cstheme="minorHAnsi"/>
                <w:bCs/>
                <w:sz w:val="20"/>
                <w:szCs w:val="20"/>
              </w:rPr>
              <w:t>DEER</w:t>
            </w:r>
            <w:proofErr w:type="gramStart"/>
            <w:r w:rsidRPr="00434E73">
              <w:rPr>
                <w:rFonts w:asciiTheme="minorHAnsi" w:hAnsiTheme="minorHAnsi" w:cstheme="minorHAnsi"/>
                <w:bCs/>
                <w:sz w:val="20"/>
                <w:szCs w:val="20"/>
              </w:rPr>
              <w:t>:HVAC</w:t>
            </w:r>
            <w:proofErr w:type="gramEnd"/>
            <w:r w:rsidRPr="00434E73">
              <w:rPr>
                <w:rFonts w:asciiTheme="minorHAnsi" w:hAnsiTheme="minorHAnsi" w:cstheme="minorHAnsi"/>
                <w:bCs/>
                <w:sz w:val="20"/>
                <w:szCs w:val="20"/>
              </w:rPr>
              <w:t>_Eff_AC</w:t>
            </w:r>
            <w:proofErr w:type="spellEnd"/>
            <w:r>
              <w:rPr>
                <w:rFonts w:asciiTheme="minorHAnsi" w:hAnsiTheme="minorHAnsi" w:cstheme="minorHAnsi"/>
                <w:bCs/>
                <w:sz w:val="20"/>
                <w:szCs w:val="20"/>
              </w:rPr>
              <w:t>.”</w:t>
            </w:r>
          </w:p>
          <w:p w:rsidR="00581C9B" w:rsidRDefault="00581C9B" w:rsidP="00581C9B">
            <w:pPr>
              <w:rPr>
                <w:rFonts w:asciiTheme="minorHAnsi" w:hAnsiTheme="minorHAnsi" w:cstheme="minorHAnsi"/>
                <w:bCs/>
                <w:sz w:val="20"/>
                <w:szCs w:val="20"/>
              </w:rPr>
            </w:pPr>
          </w:p>
          <w:p w:rsidR="00581C9B" w:rsidRDefault="00581C9B" w:rsidP="00581C9B">
            <w:pPr>
              <w:rPr>
                <w:rFonts w:asciiTheme="minorHAnsi" w:hAnsiTheme="minorHAnsi" w:cstheme="minorHAnsi"/>
                <w:bCs/>
                <w:sz w:val="20"/>
                <w:szCs w:val="20"/>
              </w:rPr>
            </w:pPr>
            <w:r>
              <w:rPr>
                <w:rFonts w:asciiTheme="minorHAnsi" w:hAnsiTheme="minorHAnsi" w:cstheme="minorHAnsi"/>
                <w:bCs/>
                <w:sz w:val="20"/>
                <w:szCs w:val="20"/>
              </w:rPr>
              <w:t>Updated the load shape for the Non-Residential sector from “</w:t>
            </w:r>
            <w:proofErr w:type="spellStart"/>
            <w:r w:rsidRPr="00434E73">
              <w:rPr>
                <w:rFonts w:asciiTheme="minorHAnsi" w:hAnsiTheme="minorHAnsi" w:cstheme="minorHAnsi"/>
                <w:bCs/>
                <w:sz w:val="20"/>
                <w:szCs w:val="20"/>
              </w:rPr>
              <w:t>New_AC</w:t>
            </w:r>
            <w:proofErr w:type="spellEnd"/>
            <w:r w:rsidRPr="00434E73">
              <w:rPr>
                <w:rFonts w:asciiTheme="minorHAnsi" w:hAnsiTheme="minorHAnsi" w:cstheme="minorHAnsi"/>
                <w:bCs/>
                <w:sz w:val="20"/>
                <w:szCs w:val="20"/>
              </w:rPr>
              <w:t xml:space="preserve"> – Ret</w:t>
            </w:r>
            <w:r>
              <w:rPr>
                <w:rFonts w:asciiTheme="minorHAnsi" w:hAnsiTheme="minorHAnsi" w:cstheme="minorHAnsi"/>
                <w:bCs/>
                <w:sz w:val="20"/>
                <w:szCs w:val="20"/>
              </w:rPr>
              <w:t>” to “</w:t>
            </w:r>
            <w:proofErr w:type="spellStart"/>
            <w:r w:rsidRPr="00434E73">
              <w:rPr>
                <w:rFonts w:asciiTheme="minorHAnsi" w:hAnsiTheme="minorHAnsi" w:cstheme="minorHAnsi"/>
                <w:bCs/>
                <w:sz w:val="20"/>
                <w:szCs w:val="20"/>
              </w:rPr>
              <w:t>DEER</w:t>
            </w:r>
            <w:proofErr w:type="gramStart"/>
            <w:r w:rsidRPr="00434E73">
              <w:rPr>
                <w:rFonts w:asciiTheme="minorHAnsi" w:hAnsiTheme="minorHAnsi" w:cstheme="minorHAnsi"/>
                <w:bCs/>
                <w:sz w:val="20"/>
                <w:szCs w:val="20"/>
              </w:rPr>
              <w:t>:HVAC</w:t>
            </w:r>
            <w:proofErr w:type="gramEnd"/>
            <w:r w:rsidRPr="00434E73">
              <w:rPr>
                <w:rFonts w:asciiTheme="minorHAnsi" w:hAnsiTheme="minorHAnsi" w:cstheme="minorHAnsi"/>
                <w:bCs/>
                <w:sz w:val="20"/>
                <w:szCs w:val="20"/>
              </w:rPr>
              <w:t>_Split-Package_AC</w:t>
            </w:r>
            <w:proofErr w:type="spellEnd"/>
            <w:r>
              <w:rPr>
                <w:rFonts w:asciiTheme="minorHAnsi" w:hAnsiTheme="minorHAnsi" w:cstheme="minorHAnsi"/>
                <w:bCs/>
                <w:sz w:val="20"/>
                <w:szCs w:val="20"/>
              </w:rPr>
              <w:t>.”</w:t>
            </w:r>
          </w:p>
        </w:tc>
      </w:tr>
      <w:tr w:rsidR="00E332DA" w:rsidRPr="00697868" w:rsidTr="00E332DA">
        <w:trPr>
          <w:cnfStyle w:val="000000100000" w:firstRow="0" w:lastRow="0" w:firstColumn="0" w:lastColumn="0" w:oddVBand="0" w:evenVBand="0" w:oddHBand="1" w:evenHBand="0" w:firstRowFirstColumn="0" w:firstRowLastColumn="0" w:lastRowFirstColumn="0" w:lastRowLastColumn="0"/>
          <w:trHeight w:val="2235"/>
        </w:trPr>
        <w:tc>
          <w:tcPr>
            <w:tcW w:w="761" w:type="pct"/>
            <w:vMerge w:val="restart"/>
          </w:tcPr>
          <w:p w:rsidR="00E332DA" w:rsidRDefault="00E332DA" w:rsidP="00D36798">
            <w:pPr>
              <w:rPr>
                <w:rFonts w:asciiTheme="minorHAnsi" w:hAnsiTheme="minorHAnsi" w:cstheme="minorHAnsi"/>
                <w:sz w:val="20"/>
                <w:szCs w:val="20"/>
              </w:rPr>
            </w:pPr>
            <w:r>
              <w:rPr>
                <w:rFonts w:asciiTheme="minorHAnsi" w:hAnsiTheme="minorHAnsi" w:cstheme="minorHAnsi"/>
                <w:sz w:val="20"/>
                <w:szCs w:val="20"/>
              </w:rPr>
              <w:t>SCE13HC013.1</w:t>
            </w:r>
          </w:p>
        </w:tc>
        <w:tc>
          <w:tcPr>
            <w:tcW w:w="517" w:type="pct"/>
          </w:tcPr>
          <w:p w:rsidR="00E332DA" w:rsidRDefault="00E332DA" w:rsidP="00E81F3E">
            <w:pPr>
              <w:jc w:val="center"/>
              <w:rPr>
                <w:rFonts w:asciiTheme="minorHAnsi" w:hAnsiTheme="minorHAnsi" w:cstheme="minorHAnsi"/>
                <w:sz w:val="20"/>
                <w:szCs w:val="20"/>
              </w:rPr>
            </w:pPr>
            <w:r>
              <w:rPr>
                <w:rFonts w:asciiTheme="minorHAnsi" w:hAnsiTheme="minorHAnsi" w:cstheme="minorHAnsi"/>
                <w:sz w:val="20"/>
                <w:szCs w:val="20"/>
              </w:rPr>
              <w:t>Yes</w:t>
            </w:r>
          </w:p>
        </w:tc>
        <w:tc>
          <w:tcPr>
            <w:tcW w:w="658" w:type="pct"/>
          </w:tcPr>
          <w:p w:rsidR="00E332DA" w:rsidRPr="00697868" w:rsidRDefault="00E332DA" w:rsidP="00E81F3E">
            <w:pPr>
              <w:jc w:val="center"/>
              <w:rPr>
                <w:rFonts w:asciiTheme="minorHAnsi" w:hAnsiTheme="minorHAnsi" w:cstheme="minorHAnsi"/>
                <w:sz w:val="20"/>
                <w:szCs w:val="20"/>
              </w:rPr>
            </w:pPr>
            <w:r>
              <w:rPr>
                <w:rFonts w:asciiTheme="minorHAnsi" w:hAnsiTheme="minorHAnsi" w:cstheme="minorHAnsi"/>
                <w:sz w:val="20"/>
                <w:szCs w:val="20"/>
              </w:rPr>
              <w:t>4/7/2014</w:t>
            </w:r>
          </w:p>
        </w:tc>
        <w:tc>
          <w:tcPr>
            <w:tcW w:w="940" w:type="pct"/>
          </w:tcPr>
          <w:p w:rsidR="00E332DA" w:rsidRPr="00697868" w:rsidRDefault="00E332DA" w:rsidP="007048AC">
            <w:pPr>
              <w:rPr>
                <w:rFonts w:asciiTheme="minorHAnsi" w:hAnsiTheme="minorHAnsi" w:cstheme="minorHAnsi"/>
                <w:sz w:val="20"/>
                <w:szCs w:val="20"/>
              </w:rPr>
            </w:pPr>
            <w:r>
              <w:rPr>
                <w:rFonts w:asciiTheme="minorHAnsi" w:hAnsiTheme="minorHAnsi" w:cstheme="minorHAnsi"/>
                <w:sz w:val="20"/>
                <w:szCs w:val="20"/>
              </w:rPr>
              <w:t>Amber Buhl/PECI</w:t>
            </w:r>
          </w:p>
        </w:tc>
        <w:tc>
          <w:tcPr>
            <w:tcW w:w="2124" w:type="pct"/>
          </w:tcPr>
          <w:p w:rsidR="00E332DA" w:rsidRDefault="00E332DA" w:rsidP="0051696C">
            <w:pPr>
              <w:pStyle w:val="ListParagraph"/>
              <w:numPr>
                <w:ilvl w:val="0"/>
                <w:numId w:val="23"/>
              </w:numPr>
              <w:ind w:left="342"/>
              <w:rPr>
                <w:rFonts w:asciiTheme="minorHAnsi" w:hAnsiTheme="minorHAnsi" w:cstheme="minorHAnsi"/>
                <w:bCs/>
                <w:sz w:val="20"/>
                <w:szCs w:val="20"/>
              </w:rPr>
            </w:pPr>
            <w:r w:rsidRPr="008A4574">
              <w:rPr>
                <w:rFonts w:asciiTheme="minorHAnsi" w:hAnsiTheme="minorHAnsi" w:cstheme="minorHAnsi"/>
                <w:bCs/>
                <w:sz w:val="20"/>
                <w:szCs w:val="20"/>
              </w:rPr>
              <w:t>Work paper updated for reporting period, effective 7/1/2014 – 12/31/2014.</w:t>
            </w:r>
          </w:p>
          <w:p w:rsidR="00E332DA" w:rsidRPr="0051696C" w:rsidRDefault="00E332DA" w:rsidP="0051696C">
            <w:pPr>
              <w:pStyle w:val="ListParagraph"/>
              <w:numPr>
                <w:ilvl w:val="0"/>
                <w:numId w:val="23"/>
              </w:numPr>
              <w:ind w:left="342"/>
              <w:rPr>
                <w:rFonts w:asciiTheme="minorHAnsi" w:hAnsiTheme="minorHAnsi" w:cstheme="minorHAnsi"/>
                <w:bCs/>
                <w:sz w:val="20"/>
                <w:szCs w:val="20"/>
              </w:rPr>
            </w:pPr>
            <w:r w:rsidRPr="0051696C">
              <w:rPr>
                <w:rFonts w:asciiTheme="minorHAnsi" w:hAnsiTheme="minorHAnsi" w:cstheme="minorHAnsi"/>
                <w:bCs/>
                <w:sz w:val="20"/>
                <w:szCs w:val="20"/>
              </w:rPr>
              <w:t xml:space="preserve">Updated to latest template “SCE EAS Work Paper Template </w:t>
            </w:r>
            <w:r>
              <w:rPr>
                <w:rFonts w:asciiTheme="minorHAnsi" w:hAnsiTheme="minorHAnsi" w:cstheme="minorHAnsi"/>
                <w:bCs/>
                <w:sz w:val="20"/>
                <w:szCs w:val="20"/>
              </w:rPr>
              <w:t>2013-14</w:t>
            </w:r>
            <w:r w:rsidRPr="0051696C">
              <w:rPr>
                <w:rFonts w:asciiTheme="minorHAnsi" w:hAnsiTheme="minorHAnsi" w:cstheme="minorHAnsi"/>
                <w:bCs/>
                <w:sz w:val="20"/>
                <w:szCs w:val="20"/>
              </w:rPr>
              <w:t xml:space="preserve"> v0.docx” from SCE13HC013.0</w:t>
            </w:r>
          </w:p>
          <w:p w:rsidR="00E332DA" w:rsidRDefault="00E332DA" w:rsidP="0051696C">
            <w:pPr>
              <w:pStyle w:val="ListParagraph"/>
              <w:numPr>
                <w:ilvl w:val="0"/>
                <w:numId w:val="23"/>
              </w:numPr>
              <w:ind w:left="342"/>
              <w:rPr>
                <w:rFonts w:asciiTheme="minorHAnsi" w:hAnsiTheme="minorHAnsi" w:cstheme="minorHAnsi"/>
                <w:bCs/>
                <w:sz w:val="20"/>
                <w:szCs w:val="20"/>
              </w:rPr>
            </w:pPr>
            <w:r w:rsidRPr="0051696C">
              <w:rPr>
                <w:rFonts w:asciiTheme="minorHAnsi" w:hAnsiTheme="minorHAnsi" w:cstheme="minorHAnsi"/>
                <w:bCs/>
                <w:sz w:val="20"/>
                <w:szCs w:val="20"/>
              </w:rPr>
              <w:t>Updat</w:t>
            </w:r>
            <w:r w:rsidRPr="00821298">
              <w:rPr>
                <w:rFonts w:asciiTheme="minorHAnsi" w:hAnsiTheme="minorHAnsi" w:cstheme="minorHAnsi"/>
                <w:bCs/>
                <w:sz w:val="20"/>
                <w:szCs w:val="20"/>
              </w:rPr>
              <w:t>ed t</w:t>
            </w:r>
            <w:r>
              <w:rPr>
                <w:rFonts w:asciiTheme="minorHAnsi" w:hAnsiTheme="minorHAnsi" w:cstheme="minorHAnsi"/>
                <w:bCs/>
                <w:sz w:val="20"/>
                <w:szCs w:val="20"/>
              </w:rPr>
              <w:t>he</w:t>
            </w:r>
            <w:r w:rsidRPr="00821298">
              <w:rPr>
                <w:rFonts w:asciiTheme="minorHAnsi" w:hAnsiTheme="minorHAnsi" w:cstheme="minorHAnsi"/>
                <w:bCs/>
                <w:sz w:val="20"/>
                <w:szCs w:val="20"/>
              </w:rPr>
              <w:t xml:space="preserve"> base</w:t>
            </w:r>
            <w:r w:rsidRPr="00E336E3">
              <w:rPr>
                <w:rFonts w:asciiTheme="minorHAnsi" w:hAnsiTheme="minorHAnsi" w:cstheme="minorHAnsi"/>
                <w:bCs/>
                <w:sz w:val="20"/>
                <w:szCs w:val="20"/>
              </w:rPr>
              <w:t xml:space="preserve"> case</w:t>
            </w:r>
            <w:r>
              <w:rPr>
                <w:rFonts w:asciiTheme="minorHAnsi" w:hAnsiTheme="minorHAnsi" w:cstheme="minorHAnsi"/>
                <w:bCs/>
                <w:sz w:val="20"/>
                <w:szCs w:val="20"/>
              </w:rPr>
              <w:t xml:space="preserve"> </w:t>
            </w:r>
            <w:proofErr w:type="spellStart"/>
            <w:r>
              <w:rPr>
                <w:rFonts w:asciiTheme="minorHAnsi" w:hAnsiTheme="minorHAnsi" w:cstheme="minorHAnsi"/>
                <w:bCs/>
                <w:sz w:val="20"/>
                <w:szCs w:val="20"/>
              </w:rPr>
              <w:t>sq</w:t>
            </w:r>
            <w:proofErr w:type="spellEnd"/>
            <w:r>
              <w:rPr>
                <w:rFonts w:asciiTheme="minorHAnsi" w:hAnsiTheme="minorHAnsi" w:cstheme="minorHAnsi"/>
                <w:bCs/>
                <w:sz w:val="20"/>
                <w:szCs w:val="20"/>
              </w:rPr>
              <w:t xml:space="preserve"> </w:t>
            </w:r>
            <w:proofErr w:type="spellStart"/>
            <w:r>
              <w:rPr>
                <w:rFonts w:asciiTheme="minorHAnsi" w:hAnsiTheme="minorHAnsi" w:cstheme="minorHAnsi"/>
                <w:bCs/>
                <w:sz w:val="20"/>
                <w:szCs w:val="20"/>
              </w:rPr>
              <w:t>ft</w:t>
            </w:r>
            <w:proofErr w:type="spellEnd"/>
            <w:r>
              <w:rPr>
                <w:rFonts w:asciiTheme="minorHAnsi" w:hAnsiTheme="minorHAnsi" w:cstheme="minorHAnsi"/>
                <w:bCs/>
                <w:sz w:val="20"/>
                <w:szCs w:val="20"/>
              </w:rPr>
              <w:t xml:space="preserve">/ton estimate to reference new </w:t>
            </w:r>
            <w:r w:rsidRPr="00821298">
              <w:rPr>
                <w:rFonts w:asciiTheme="minorHAnsi" w:hAnsiTheme="minorHAnsi" w:cstheme="minorHAnsi"/>
                <w:bCs/>
                <w:sz w:val="20"/>
                <w:szCs w:val="20"/>
              </w:rPr>
              <w:t>DEER measure</w:t>
            </w:r>
            <w:r>
              <w:rPr>
                <w:rFonts w:asciiTheme="minorHAnsi" w:hAnsiTheme="minorHAnsi" w:cstheme="minorHAnsi"/>
                <w:bCs/>
                <w:sz w:val="20"/>
                <w:szCs w:val="20"/>
              </w:rPr>
              <w:t xml:space="preserve"> “</w:t>
            </w:r>
            <w:r w:rsidRPr="002E1767">
              <w:rPr>
                <w:rFonts w:asciiTheme="minorHAnsi" w:hAnsiTheme="minorHAnsi" w:cstheme="minorHAnsi"/>
                <w:sz w:val="22"/>
                <w:szCs w:val="22"/>
              </w:rPr>
              <w:t>‘NE-HVAC-airHP-SpltPkg-65to109kBtuh-11p5eer-3p4cop’</w:t>
            </w:r>
            <w:r>
              <w:rPr>
                <w:rFonts w:asciiTheme="minorHAnsi" w:hAnsiTheme="minorHAnsi" w:cstheme="minorHAnsi"/>
                <w:bCs/>
                <w:sz w:val="20"/>
                <w:szCs w:val="20"/>
              </w:rPr>
              <w:t>” for non-res</w:t>
            </w:r>
            <w:r w:rsidRPr="00821298">
              <w:rPr>
                <w:rFonts w:asciiTheme="minorHAnsi" w:hAnsiTheme="minorHAnsi" w:cstheme="minorHAnsi"/>
                <w:bCs/>
                <w:sz w:val="20"/>
                <w:szCs w:val="20"/>
              </w:rPr>
              <w:t>.</w:t>
            </w:r>
          </w:p>
          <w:p w:rsidR="00E332DA" w:rsidRDefault="00E332DA" w:rsidP="0051696C">
            <w:pPr>
              <w:pStyle w:val="ListParagraph"/>
              <w:numPr>
                <w:ilvl w:val="0"/>
                <w:numId w:val="23"/>
              </w:numPr>
              <w:ind w:left="342"/>
              <w:rPr>
                <w:rFonts w:asciiTheme="minorHAnsi" w:hAnsiTheme="minorHAnsi" w:cstheme="minorHAnsi"/>
                <w:bCs/>
                <w:sz w:val="20"/>
                <w:szCs w:val="20"/>
              </w:rPr>
            </w:pPr>
            <w:r w:rsidRPr="0051696C">
              <w:rPr>
                <w:rFonts w:asciiTheme="minorHAnsi" w:hAnsiTheme="minorHAnsi" w:cstheme="minorHAnsi"/>
                <w:bCs/>
                <w:sz w:val="20"/>
                <w:szCs w:val="20"/>
              </w:rPr>
              <w:t xml:space="preserve">Updated the adjustment factors </w:t>
            </w:r>
            <w:r>
              <w:rPr>
                <w:rFonts w:asciiTheme="minorHAnsi" w:hAnsiTheme="minorHAnsi" w:cstheme="minorHAnsi"/>
                <w:bCs/>
                <w:sz w:val="20"/>
                <w:szCs w:val="20"/>
              </w:rPr>
              <w:t xml:space="preserve">and calc. method </w:t>
            </w:r>
            <w:r w:rsidRPr="0051696C">
              <w:rPr>
                <w:rFonts w:asciiTheme="minorHAnsi" w:hAnsiTheme="minorHAnsi" w:cstheme="minorHAnsi"/>
                <w:bCs/>
                <w:sz w:val="20"/>
                <w:szCs w:val="20"/>
              </w:rPr>
              <w:t>based on new DEER weather data and peak demand periods.</w:t>
            </w:r>
          </w:p>
          <w:p w:rsidR="00E332DA" w:rsidRDefault="00E332DA" w:rsidP="0051696C">
            <w:pPr>
              <w:pStyle w:val="ListParagraph"/>
              <w:numPr>
                <w:ilvl w:val="0"/>
                <w:numId w:val="23"/>
              </w:numPr>
              <w:ind w:left="342"/>
              <w:rPr>
                <w:rFonts w:asciiTheme="minorHAnsi" w:hAnsiTheme="minorHAnsi" w:cstheme="minorHAnsi"/>
                <w:bCs/>
                <w:sz w:val="20"/>
                <w:szCs w:val="20"/>
              </w:rPr>
            </w:pPr>
            <w:r>
              <w:rPr>
                <w:rFonts w:asciiTheme="minorHAnsi" w:hAnsiTheme="minorHAnsi" w:cstheme="minorHAnsi"/>
                <w:bCs/>
                <w:sz w:val="20"/>
                <w:szCs w:val="20"/>
              </w:rPr>
              <w:t xml:space="preserve">Updated retrofit add-on measures to include a human error adjustment factor (HEAF) similar to </w:t>
            </w:r>
            <w:proofErr w:type="spellStart"/>
            <w:r>
              <w:rPr>
                <w:rFonts w:asciiTheme="minorHAnsi" w:hAnsiTheme="minorHAnsi" w:cstheme="minorHAnsi"/>
                <w:bCs/>
                <w:sz w:val="20"/>
                <w:szCs w:val="20"/>
              </w:rPr>
              <w:t>workpaper</w:t>
            </w:r>
            <w:proofErr w:type="spellEnd"/>
            <w:r>
              <w:rPr>
                <w:rFonts w:asciiTheme="minorHAnsi" w:hAnsiTheme="minorHAnsi" w:cstheme="minorHAnsi"/>
                <w:bCs/>
                <w:sz w:val="20"/>
                <w:szCs w:val="20"/>
              </w:rPr>
              <w:t xml:space="preserve"> SCE15HC026.</w:t>
            </w:r>
          </w:p>
          <w:p w:rsidR="00E332DA" w:rsidRPr="0051696C" w:rsidRDefault="00E332DA" w:rsidP="0051696C">
            <w:pPr>
              <w:pStyle w:val="ListParagraph"/>
              <w:numPr>
                <w:ilvl w:val="0"/>
                <w:numId w:val="23"/>
              </w:numPr>
              <w:ind w:left="342"/>
              <w:rPr>
                <w:rFonts w:asciiTheme="minorHAnsi" w:hAnsiTheme="minorHAnsi" w:cstheme="minorHAnsi"/>
                <w:bCs/>
                <w:sz w:val="20"/>
                <w:szCs w:val="20"/>
              </w:rPr>
            </w:pPr>
            <w:r>
              <w:rPr>
                <w:rFonts w:asciiTheme="minorHAnsi" w:hAnsiTheme="minorHAnsi" w:cstheme="minorHAnsi"/>
                <w:bCs/>
                <w:sz w:val="20"/>
                <w:szCs w:val="20"/>
              </w:rPr>
              <w:t xml:space="preserve">Changed Program Type/Application Type for PG&amp;E Residential to ROB per PG&amp;E </w:t>
            </w:r>
            <w:proofErr w:type="spellStart"/>
            <w:r>
              <w:rPr>
                <w:rFonts w:asciiTheme="minorHAnsi" w:hAnsiTheme="minorHAnsi" w:cstheme="minorHAnsi"/>
                <w:bCs/>
                <w:sz w:val="20"/>
                <w:szCs w:val="20"/>
              </w:rPr>
              <w:t>workpaper</w:t>
            </w:r>
            <w:proofErr w:type="spellEnd"/>
            <w:r>
              <w:rPr>
                <w:rFonts w:asciiTheme="minorHAnsi" w:hAnsiTheme="minorHAnsi" w:cstheme="minorHAnsi"/>
                <w:bCs/>
                <w:sz w:val="20"/>
                <w:szCs w:val="20"/>
              </w:rPr>
              <w:t xml:space="preserve"> </w:t>
            </w:r>
            <w:r w:rsidRPr="0051696C">
              <w:rPr>
                <w:rFonts w:asciiTheme="minorHAnsi" w:hAnsiTheme="minorHAnsi" w:cstheme="minorHAnsi"/>
                <w:bCs/>
                <w:sz w:val="20"/>
                <w:szCs w:val="20"/>
              </w:rPr>
              <w:t>PGECOHVC163</w:t>
            </w:r>
            <w:r>
              <w:rPr>
                <w:rFonts w:asciiTheme="minorHAnsi" w:hAnsiTheme="minorHAnsi" w:cstheme="minorHAnsi"/>
                <w:bCs/>
                <w:sz w:val="20"/>
                <w:szCs w:val="20"/>
              </w:rPr>
              <w:t>.</w:t>
            </w:r>
          </w:p>
        </w:tc>
      </w:tr>
      <w:tr w:rsidR="00E332DA" w:rsidRPr="00697868" w:rsidTr="00CF4769">
        <w:trPr>
          <w:cnfStyle w:val="000000010000" w:firstRow="0" w:lastRow="0" w:firstColumn="0" w:lastColumn="0" w:oddVBand="0" w:evenVBand="0" w:oddHBand="0" w:evenHBand="1" w:firstRowFirstColumn="0" w:firstRowLastColumn="0" w:lastRowFirstColumn="0" w:lastRowLastColumn="0"/>
          <w:trHeight w:val="1575"/>
        </w:trPr>
        <w:tc>
          <w:tcPr>
            <w:tcW w:w="761" w:type="pct"/>
            <w:vMerge/>
            <w:shd w:val="pct5" w:color="000000" w:fill="FFFFFF"/>
          </w:tcPr>
          <w:p w:rsidR="00E332DA" w:rsidRDefault="00E332DA" w:rsidP="00D36798">
            <w:pPr>
              <w:rPr>
                <w:rFonts w:asciiTheme="minorHAnsi" w:hAnsiTheme="minorHAnsi" w:cstheme="minorHAnsi"/>
                <w:sz w:val="20"/>
                <w:szCs w:val="20"/>
              </w:rPr>
            </w:pPr>
          </w:p>
        </w:tc>
        <w:tc>
          <w:tcPr>
            <w:tcW w:w="517" w:type="pct"/>
            <w:shd w:val="pct5" w:color="000000" w:fill="FFFFFF"/>
          </w:tcPr>
          <w:p w:rsidR="00E332DA" w:rsidRDefault="00E332DA" w:rsidP="00E81F3E">
            <w:pPr>
              <w:jc w:val="center"/>
              <w:rPr>
                <w:rFonts w:asciiTheme="minorHAnsi" w:hAnsiTheme="minorHAnsi" w:cstheme="minorHAnsi"/>
                <w:sz w:val="20"/>
                <w:szCs w:val="20"/>
              </w:rPr>
            </w:pPr>
            <w:r>
              <w:rPr>
                <w:rFonts w:asciiTheme="minorHAnsi" w:hAnsiTheme="minorHAnsi" w:cstheme="minorHAnsi"/>
                <w:sz w:val="20"/>
                <w:szCs w:val="20"/>
              </w:rPr>
              <w:t>Yes</w:t>
            </w:r>
          </w:p>
        </w:tc>
        <w:tc>
          <w:tcPr>
            <w:tcW w:w="658" w:type="pct"/>
            <w:shd w:val="pct5" w:color="000000" w:fill="FFFFFF"/>
          </w:tcPr>
          <w:p w:rsidR="00E332DA" w:rsidRDefault="00E332DA" w:rsidP="00E81F3E">
            <w:pPr>
              <w:jc w:val="center"/>
              <w:rPr>
                <w:rFonts w:asciiTheme="minorHAnsi" w:hAnsiTheme="minorHAnsi" w:cstheme="minorHAnsi"/>
                <w:sz w:val="20"/>
                <w:szCs w:val="20"/>
              </w:rPr>
            </w:pPr>
            <w:r>
              <w:rPr>
                <w:rFonts w:asciiTheme="minorHAnsi" w:hAnsiTheme="minorHAnsi" w:cstheme="minorHAnsi"/>
                <w:sz w:val="20"/>
                <w:szCs w:val="20"/>
              </w:rPr>
              <w:t>6/17/2014</w:t>
            </w:r>
          </w:p>
        </w:tc>
        <w:tc>
          <w:tcPr>
            <w:tcW w:w="940" w:type="pct"/>
            <w:shd w:val="pct5" w:color="000000" w:fill="FFFFFF"/>
          </w:tcPr>
          <w:p w:rsidR="00E332DA" w:rsidRDefault="00E332DA" w:rsidP="007048AC">
            <w:pPr>
              <w:rPr>
                <w:rFonts w:asciiTheme="minorHAnsi" w:hAnsiTheme="minorHAnsi" w:cstheme="minorHAnsi"/>
                <w:sz w:val="20"/>
                <w:szCs w:val="20"/>
              </w:rPr>
            </w:pPr>
            <w:r>
              <w:rPr>
                <w:rFonts w:asciiTheme="minorHAnsi" w:hAnsiTheme="minorHAnsi" w:cstheme="minorHAnsi"/>
                <w:sz w:val="20"/>
                <w:szCs w:val="20"/>
              </w:rPr>
              <w:t>Alfredo Gutierrez/SCE</w:t>
            </w:r>
          </w:p>
        </w:tc>
        <w:tc>
          <w:tcPr>
            <w:tcW w:w="2124" w:type="pct"/>
            <w:shd w:val="pct5" w:color="000000" w:fill="FFFFFF"/>
          </w:tcPr>
          <w:p w:rsidR="00E332DA" w:rsidRDefault="00E332DA" w:rsidP="0051696C">
            <w:pPr>
              <w:pStyle w:val="ListParagraph"/>
              <w:numPr>
                <w:ilvl w:val="0"/>
                <w:numId w:val="23"/>
              </w:numPr>
              <w:ind w:left="342"/>
              <w:rPr>
                <w:rFonts w:asciiTheme="minorHAnsi" w:hAnsiTheme="minorHAnsi" w:cstheme="minorHAnsi"/>
                <w:bCs/>
                <w:sz w:val="20"/>
                <w:szCs w:val="20"/>
              </w:rPr>
            </w:pPr>
            <w:r>
              <w:rPr>
                <w:rFonts w:asciiTheme="minorHAnsi" w:hAnsiTheme="minorHAnsi" w:cstheme="minorHAnsi"/>
                <w:bCs/>
                <w:sz w:val="20"/>
                <w:szCs w:val="20"/>
              </w:rPr>
              <w:t>Changed installation type for SCE Non-Res measure (AC-19317) to ROB from RET.</w:t>
            </w:r>
          </w:p>
          <w:p w:rsidR="00AE5297" w:rsidRDefault="00AE5297" w:rsidP="0051696C">
            <w:pPr>
              <w:pStyle w:val="ListParagraph"/>
              <w:numPr>
                <w:ilvl w:val="0"/>
                <w:numId w:val="23"/>
              </w:numPr>
              <w:ind w:left="342"/>
              <w:rPr>
                <w:rFonts w:asciiTheme="minorHAnsi" w:hAnsiTheme="minorHAnsi" w:cstheme="minorHAnsi"/>
                <w:bCs/>
                <w:sz w:val="20"/>
                <w:szCs w:val="20"/>
              </w:rPr>
            </w:pPr>
            <w:r>
              <w:rPr>
                <w:rFonts w:asciiTheme="minorHAnsi" w:hAnsiTheme="minorHAnsi" w:cstheme="minorHAnsi"/>
                <w:bCs/>
                <w:sz w:val="20"/>
                <w:szCs w:val="20"/>
              </w:rPr>
              <w:t>Added “(Res)” to solution code AC-17382</w:t>
            </w:r>
            <w:r w:rsidR="00517DE4">
              <w:rPr>
                <w:rFonts w:asciiTheme="minorHAnsi" w:hAnsiTheme="minorHAnsi" w:cstheme="minorHAnsi"/>
                <w:bCs/>
                <w:sz w:val="20"/>
                <w:szCs w:val="20"/>
              </w:rPr>
              <w:t>.</w:t>
            </w:r>
          </w:p>
          <w:p w:rsidR="005036DC" w:rsidRPr="008A4574" w:rsidRDefault="005036DC" w:rsidP="005036DC">
            <w:pPr>
              <w:pStyle w:val="ListParagraph"/>
              <w:numPr>
                <w:ilvl w:val="0"/>
                <w:numId w:val="23"/>
              </w:numPr>
              <w:ind w:left="342"/>
              <w:rPr>
                <w:rFonts w:asciiTheme="minorHAnsi" w:hAnsiTheme="minorHAnsi" w:cstheme="minorHAnsi"/>
                <w:bCs/>
                <w:sz w:val="20"/>
                <w:szCs w:val="20"/>
              </w:rPr>
            </w:pPr>
            <w:r>
              <w:rPr>
                <w:rFonts w:asciiTheme="minorHAnsi" w:hAnsiTheme="minorHAnsi" w:cstheme="minorHAnsi"/>
                <w:bCs/>
                <w:sz w:val="20"/>
                <w:szCs w:val="20"/>
              </w:rPr>
              <w:t>Lodging – Guest Rooms has been changed to Lodging – Hotel as DEER no longer has the Lodging –Guest Room building type.</w:t>
            </w:r>
          </w:p>
        </w:tc>
      </w:tr>
      <w:tr w:rsidR="00CF4769" w:rsidRPr="00697868" w:rsidTr="00CF4769">
        <w:trPr>
          <w:cnfStyle w:val="000000100000" w:firstRow="0" w:lastRow="0" w:firstColumn="0" w:lastColumn="0" w:oddVBand="0" w:evenVBand="0" w:oddHBand="1" w:evenHBand="0" w:firstRowFirstColumn="0" w:firstRowLastColumn="0" w:lastRowFirstColumn="0" w:lastRowLastColumn="0"/>
          <w:trHeight w:val="945"/>
        </w:trPr>
        <w:tc>
          <w:tcPr>
            <w:tcW w:w="761" w:type="pct"/>
          </w:tcPr>
          <w:p w:rsidR="00CF4769" w:rsidRDefault="00CF4769" w:rsidP="00D36798">
            <w:pPr>
              <w:rPr>
                <w:rFonts w:asciiTheme="minorHAnsi" w:hAnsiTheme="minorHAnsi" w:cstheme="minorHAnsi"/>
                <w:sz w:val="20"/>
                <w:szCs w:val="20"/>
              </w:rPr>
            </w:pPr>
          </w:p>
        </w:tc>
        <w:tc>
          <w:tcPr>
            <w:tcW w:w="517" w:type="pct"/>
          </w:tcPr>
          <w:p w:rsidR="00CF4769" w:rsidRDefault="00CF4769" w:rsidP="00E81F3E">
            <w:pPr>
              <w:jc w:val="center"/>
              <w:rPr>
                <w:rFonts w:asciiTheme="minorHAnsi" w:hAnsiTheme="minorHAnsi" w:cstheme="minorHAnsi"/>
                <w:sz w:val="20"/>
                <w:szCs w:val="20"/>
              </w:rPr>
            </w:pPr>
            <w:r>
              <w:rPr>
                <w:rFonts w:asciiTheme="minorHAnsi" w:hAnsiTheme="minorHAnsi" w:cstheme="minorHAnsi"/>
                <w:sz w:val="20"/>
                <w:szCs w:val="20"/>
              </w:rPr>
              <w:t>Yes</w:t>
            </w:r>
          </w:p>
        </w:tc>
        <w:tc>
          <w:tcPr>
            <w:tcW w:w="658" w:type="pct"/>
          </w:tcPr>
          <w:p w:rsidR="00CF4769" w:rsidRDefault="00CF4769" w:rsidP="00E81F3E">
            <w:pPr>
              <w:jc w:val="center"/>
              <w:rPr>
                <w:rFonts w:asciiTheme="minorHAnsi" w:hAnsiTheme="minorHAnsi" w:cstheme="minorHAnsi"/>
                <w:sz w:val="20"/>
                <w:szCs w:val="20"/>
              </w:rPr>
            </w:pPr>
            <w:r>
              <w:rPr>
                <w:rFonts w:asciiTheme="minorHAnsi" w:hAnsiTheme="minorHAnsi" w:cstheme="minorHAnsi"/>
                <w:sz w:val="20"/>
                <w:szCs w:val="20"/>
              </w:rPr>
              <w:t>7/8/14</w:t>
            </w:r>
          </w:p>
        </w:tc>
        <w:tc>
          <w:tcPr>
            <w:tcW w:w="940" w:type="pct"/>
          </w:tcPr>
          <w:p w:rsidR="00CF4769" w:rsidRDefault="00CF4769" w:rsidP="007048AC">
            <w:pPr>
              <w:rPr>
                <w:rFonts w:asciiTheme="minorHAnsi" w:hAnsiTheme="minorHAnsi" w:cstheme="minorHAnsi"/>
                <w:sz w:val="20"/>
                <w:szCs w:val="20"/>
              </w:rPr>
            </w:pPr>
            <w:r>
              <w:rPr>
                <w:rFonts w:asciiTheme="minorHAnsi" w:hAnsiTheme="minorHAnsi" w:cstheme="minorHAnsi"/>
                <w:sz w:val="20"/>
                <w:szCs w:val="20"/>
              </w:rPr>
              <w:t xml:space="preserve">SCE Lead </w:t>
            </w:r>
            <w:proofErr w:type="spellStart"/>
            <w:r>
              <w:rPr>
                <w:rFonts w:asciiTheme="minorHAnsi" w:hAnsiTheme="minorHAnsi" w:cstheme="minorHAnsi"/>
                <w:sz w:val="20"/>
                <w:szCs w:val="20"/>
              </w:rPr>
              <w:t>workpaper</w:t>
            </w:r>
            <w:proofErr w:type="spellEnd"/>
          </w:p>
          <w:p w:rsidR="00CF4769" w:rsidRDefault="00CF4769" w:rsidP="007048AC">
            <w:pPr>
              <w:rPr>
                <w:rFonts w:asciiTheme="minorHAnsi" w:hAnsiTheme="minorHAnsi" w:cstheme="minorHAnsi"/>
                <w:sz w:val="20"/>
                <w:szCs w:val="20"/>
              </w:rPr>
            </w:pPr>
            <w:r>
              <w:rPr>
                <w:rFonts w:asciiTheme="minorHAnsi" w:hAnsiTheme="minorHAnsi" w:cstheme="minorHAnsi"/>
                <w:sz w:val="20"/>
                <w:szCs w:val="20"/>
              </w:rPr>
              <w:t>Chris Li (PG&amp;E)</w:t>
            </w:r>
          </w:p>
        </w:tc>
        <w:tc>
          <w:tcPr>
            <w:tcW w:w="2124" w:type="pct"/>
          </w:tcPr>
          <w:p w:rsidR="00CF4769" w:rsidRDefault="00CF4769" w:rsidP="00CF4769">
            <w:pPr>
              <w:pStyle w:val="ListParagraph"/>
              <w:ind w:left="342"/>
              <w:rPr>
                <w:rFonts w:asciiTheme="minorHAnsi" w:hAnsiTheme="minorHAnsi" w:cstheme="minorHAnsi"/>
                <w:bCs/>
                <w:sz w:val="20"/>
                <w:szCs w:val="20"/>
              </w:rPr>
            </w:pPr>
          </w:p>
        </w:tc>
      </w:tr>
    </w:tbl>
    <w:p w:rsidR="009500DC" w:rsidRPr="00697868" w:rsidRDefault="009500DC" w:rsidP="00DA690B">
      <w:pPr>
        <w:rPr>
          <w:rFonts w:asciiTheme="minorHAnsi" w:hAnsiTheme="minorHAnsi" w:cstheme="minorHAnsi"/>
        </w:rPr>
        <w:sectPr w:rsidR="009500DC" w:rsidRPr="00697868" w:rsidSect="002246FA">
          <w:footerReference w:type="default" r:id="rId12"/>
          <w:pgSz w:w="12240" w:h="15840"/>
          <w:pgMar w:top="1440" w:right="1440" w:bottom="1555" w:left="1440" w:header="720" w:footer="720" w:gutter="0"/>
          <w:pgNumType w:fmt="lowerRoman" w:start="1"/>
          <w:cols w:space="720"/>
          <w:docGrid w:linePitch="360"/>
        </w:sectPr>
      </w:pPr>
    </w:p>
    <w:p w:rsidR="00E16609" w:rsidRDefault="00E16609" w:rsidP="00E16609">
      <w:pPr>
        <w:pStyle w:val="Heading1"/>
        <w:rPr>
          <w:rFonts w:asciiTheme="minorHAnsi" w:hAnsiTheme="minorHAnsi" w:cstheme="minorHAnsi"/>
        </w:rPr>
      </w:pPr>
      <w:proofErr w:type="gramStart"/>
      <w:r w:rsidRPr="00697868">
        <w:rPr>
          <w:rFonts w:asciiTheme="minorHAnsi" w:hAnsiTheme="minorHAnsi" w:cstheme="minorHAnsi"/>
        </w:rPr>
        <w:lastRenderedPageBreak/>
        <w:t>Section 1.</w:t>
      </w:r>
      <w:proofErr w:type="gramEnd"/>
      <w:r w:rsidRPr="00697868">
        <w:rPr>
          <w:rFonts w:asciiTheme="minorHAnsi" w:hAnsiTheme="minorHAnsi" w:cstheme="minorHAnsi"/>
        </w:rPr>
        <w:t xml:space="preserve"> General Measure &amp; Baseline Data</w:t>
      </w:r>
      <w:bookmarkEnd w:id="0"/>
    </w:p>
    <w:p w:rsidR="00E16609" w:rsidRPr="00697868" w:rsidRDefault="00824F1C" w:rsidP="00697868">
      <w:pPr>
        <w:pStyle w:val="Heading2"/>
        <w:rPr>
          <w:rFonts w:asciiTheme="minorHAnsi" w:hAnsiTheme="minorHAnsi"/>
        </w:rPr>
      </w:pPr>
      <w:bookmarkStart w:id="6" w:name="_Toc214003083"/>
      <w:r w:rsidRPr="00697868">
        <w:rPr>
          <w:rFonts w:asciiTheme="minorHAnsi" w:hAnsiTheme="minorHAnsi"/>
        </w:rPr>
        <w:t xml:space="preserve">1.1 </w:t>
      </w:r>
      <w:r w:rsidR="00AC5309" w:rsidRPr="00697868">
        <w:rPr>
          <w:rFonts w:asciiTheme="minorHAnsi" w:hAnsiTheme="minorHAnsi"/>
        </w:rPr>
        <w:t xml:space="preserve">Measure Description </w:t>
      </w:r>
      <w:r w:rsidR="00E16609" w:rsidRPr="00697868">
        <w:rPr>
          <w:rFonts w:asciiTheme="minorHAnsi" w:hAnsiTheme="minorHAnsi"/>
        </w:rPr>
        <w:t xml:space="preserve">&amp; </w:t>
      </w:r>
      <w:r w:rsidR="00AC5309" w:rsidRPr="00697868">
        <w:rPr>
          <w:rFonts w:asciiTheme="minorHAnsi" w:hAnsiTheme="minorHAnsi"/>
        </w:rPr>
        <w:t>Background</w:t>
      </w:r>
      <w:r w:rsidR="00E16609" w:rsidRPr="00697868">
        <w:rPr>
          <w:rFonts w:asciiTheme="minorHAnsi" w:hAnsiTheme="minorHAnsi"/>
        </w:rPr>
        <w:t xml:space="preserve"> </w:t>
      </w:r>
      <w:bookmarkEnd w:id="6"/>
    </w:p>
    <w:p w:rsidR="002612C7" w:rsidRPr="00780F17" w:rsidRDefault="002612C7" w:rsidP="002612C7">
      <w:pPr>
        <w:pStyle w:val="BodyText"/>
        <w:rPr>
          <w:rFonts w:asciiTheme="minorHAnsi" w:hAnsiTheme="minorHAnsi" w:cstheme="minorHAnsi"/>
          <w:sz w:val="22"/>
          <w:szCs w:val="22"/>
        </w:rPr>
      </w:pPr>
      <w:r w:rsidRPr="00780F17">
        <w:rPr>
          <w:rFonts w:asciiTheme="minorHAnsi" w:hAnsiTheme="minorHAnsi" w:cstheme="minorHAnsi"/>
          <w:sz w:val="22"/>
          <w:szCs w:val="22"/>
        </w:rPr>
        <w:t xml:space="preserve">This work paper details the installation of direct evaporative coolers to displace compressor based </w:t>
      </w:r>
      <w:r w:rsidR="00CF4769">
        <w:rPr>
          <w:rFonts w:asciiTheme="minorHAnsi" w:hAnsiTheme="minorHAnsi" w:cstheme="minorHAnsi"/>
          <w:sz w:val="22"/>
          <w:szCs w:val="22"/>
        </w:rPr>
        <w:t xml:space="preserve">DX </w:t>
      </w:r>
      <w:r w:rsidRPr="00780F17">
        <w:rPr>
          <w:rFonts w:asciiTheme="minorHAnsi" w:hAnsiTheme="minorHAnsi" w:cstheme="minorHAnsi"/>
          <w:sz w:val="22"/>
          <w:szCs w:val="22"/>
        </w:rPr>
        <w:t xml:space="preserve">space cooling in both residential and non-residential buildings.  </w:t>
      </w:r>
      <w:r w:rsidRPr="007B4E0B">
        <w:rPr>
          <w:rFonts w:asciiTheme="minorHAnsi" w:hAnsiTheme="minorHAnsi" w:cstheme="minorHAnsi"/>
          <w:sz w:val="22"/>
          <w:szCs w:val="22"/>
        </w:rPr>
        <w:t>The operation of direct evaporative coolers provide</w:t>
      </w:r>
      <w:r>
        <w:rPr>
          <w:rFonts w:asciiTheme="minorHAnsi" w:hAnsiTheme="minorHAnsi" w:cstheme="minorHAnsi"/>
          <w:sz w:val="22"/>
          <w:szCs w:val="22"/>
        </w:rPr>
        <w:t>s</w:t>
      </w:r>
      <w:r w:rsidRPr="007B4E0B">
        <w:rPr>
          <w:rFonts w:asciiTheme="minorHAnsi" w:hAnsiTheme="minorHAnsi" w:cstheme="minorHAnsi"/>
          <w:sz w:val="22"/>
          <w:szCs w:val="22"/>
        </w:rPr>
        <w:t xml:space="preserve"> necessary cooling capacity and comfort with a fraction of the energy required for traditional DX cooling. </w:t>
      </w:r>
      <w:r w:rsidR="00B6606C">
        <w:rPr>
          <w:rFonts w:asciiTheme="minorHAnsi" w:hAnsiTheme="minorHAnsi" w:cstheme="minorHAnsi"/>
          <w:sz w:val="22"/>
          <w:szCs w:val="22"/>
        </w:rPr>
        <w:t>D</w:t>
      </w:r>
      <w:r w:rsidRPr="007B4E0B">
        <w:rPr>
          <w:rFonts w:asciiTheme="minorHAnsi" w:hAnsiTheme="minorHAnsi" w:cstheme="minorHAnsi"/>
          <w:sz w:val="22"/>
          <w:szCs w:val="22"/>
        </w:rPr>
        <w:t xml:space="preserve">irect </w:t>
      </w:r>
      <w:r>
        <w:rPr>
          <w:rFonts w:asciiTheme="minorHAnsi" w:hAnsiTheme="minorHAnsi" w:cstheme="minorHAnsi"/>
          <w:sz w:val="22"/>
          <w:szCs w:val="22"/>
        </w:rPr>
        <w:t xml:space="preserve">evaporative </w:t>
      </w:r>
      <w:r w:rsidRPr="007B4E0B">
        <w:rPr>
          <w:rFonts w:asciiTheme="minorHAnsi" w:hAnsiTheme="minorHAnsi" w:cstheme="minorHAnsi"/>
          <w:sz w:val="22"/>
          <w:szCs w:val="22"/>
        </w:rPr>
        <w:t xml:space="preserve">cooling is achieved by passing </w:t>
      </w:r>
      <w:r>
        <w:rPr>
          <w:rFonts w:asciiTheme="minorHAnsi" w:hAnsiTheme="minorHAnsi" w:cstheme="minorHAnsi"/>
          <w:sz w:val="22"/>
          <w:szCs w:val="22"/>
        </w:rPr>
        <w:t>outdoor</w:t>
      </w:r>
      <w:r w:rsidRPr="007B4E0B">
        <w:rPr>
          <w:rFonts w:asciiTheme="minorHAnsi" w:hAnsiTheme="minorHAnsi" w:cstheme="minorHAnsi"/>
          <w:sz w:val="22"/>
          <w:szCs w:val="22"/>
        </w:rPr>
        <w:t xml:space="preserve"> air over </w:t>
      </w:r>
      <w:r>
        <w:rPr>
          <w:rFonts w:asciiTheme="minorHAnsi" w:hAnsiTheme="minorHAnsi" w:cstheme="minorHAnsi"/>
          <w:sz w:val="22"/>
          <w:szCs w:val="22"/>
        </w:rPr>
        <w:t>a</w:t>
      </w:r>
      <w:r w:rsidRPr="007B4E0B">
        <w:rPr>
          <w:rFonts w:asciiTheme="minorHAnsi" w:hAnsiTheme="minorHAnsi" w:cstheme="minorHAnsi"/>
          <w:sz w:val="22"/>
          <w:szCs w:val="22"/>
        </w:rPr>
        <w:t xml:space="preserve"> cooling media that is saturated with water</w:t>
      </w:r>
      <w:r>
        <w:rPr>
          <w:rFonts w:asciiTheme="minorHAnsi" w:hAnsiTheme="minorHAnsi" w:cstheme="minorHAnsi"/>
          <w:sz w:val="22"/>
          <w:szCs w:val="22"/>
        </w:rPr>
        <w:t xml:space="preserve"> and distributing it into the indoor space</w:t>
      </w:r>
      <w:r w:rsidRPr="007B4E0B">
        <w:rPr>
          <w:rFonts w:asciiTheme="minorHAnsi" w:hAnsiTheme="minorHAnsi" w:cstheme="minorHAnsi"/>
          <w:sz w:val="22"/>
          <w:szCs w:val="22"/>
        </w:rPr>
        <w:t>.</w:t>
      </w:r>
    </w:p>
    <w:p w:rsidR="004D291F" w:rsidRPr="0051696C" w:rsidRDefault="004D7BC8" w:rsidP="004D291F">
      <w:pPr>
        <w:pStyle w:val="BodyText"/>
        <w:rPr>
          <w:rFonts w:asciiTheme="minorHAnsi" w:hAnsiTheme="minorHAnsi" w:cstheme="minorHAnsi"/>
          <w:sz w:val="22"/>
          <w:szCs w:val="22"/>
        </w:rPr>
      </w:pPr>
      <w:r w:rsidRPr="004D291F">
        <w:rPr>
          <w:rFonts w:asciiTheme="minorHAnsi" w:hAnsiTheme="minorHAnsi" w:cstheme="minorHAnsi"/>
          <w:sz w:val="22"/>
          <w:szCs w:val="22"/>
        </w:rPr>
        <w:t xml:space="preserve">For </w:t>
      </w:r>
      <w:r w:rsidR="002612C7" w:rsidRPr="004D291F">
        <w:rPr>
          <w:rFonts w:asciiTheme="minorHAnsi" w:hAnsiTheme="minorHAnsi" w:cstheme="minorHAnsi"/>
          <w:sz w:val="22"/>
          <w:szCs w:val="22"/>
        </w:rPr>
        <w:t xml:space="preserve">the residential sector </w:t>
      </w:r>
      <w:r w:rsidR="008A6319" w:rsidRPr="004D291F">
        <w:rPr>
          <w:rFonts w:asciiTheme="minorHAnsi" w:hAnsiTheme="minorHAnsi" w:cstheme="minorHAnsi"/>
          <w:sz w:val="22"/>
          <w:szCs w:val="22"/>
        </w:rPr>
        <w:t xml:space="preserve">in </w:t>
      </w:r>
      <w:r w:rsidRPr="004D291F">
        <w:rPr>
          <w:rFonts w:asciiTheme="minorHAnsi" w:hAnsiTheme="minorHAnsi" w:cstheme="minorHAnsi"/>
          <w:sz w:val="22"/>
          <w:szCs w:val="22"/>
        </w:rPr>
        <w:t>Southern California Edison</w:t>
      </w:r>
      <w:r w:rsidR="00F35754" w:rsidRPr="004D291F">
        <w:rPr>
          <w:rFonts w:asciiTheme="minorHAnsi" w:hAnsiTheme="minorHAnsi" w:cstheme="minorHAnsi"/>
          <w:sz w:val="22"/>
          <w:szCs w:val="22"/>
        </w:rPr>
        <w:t xml:space="preserve"> (SCE)</w:t>
      </w:r>
      <w:r w:rsidRPr="004D291F">
        <w:rPr>
          <w:rFonts w:asciiTheme="minorHAnsi" w:hAnsiTheme="minorHAnsi" w:cstheme="minorHAnsi"/>
          <w:sz w:val="22"/>
          <w:szCs w:val="22"/>
        </w:rPr>
        <w:t>, this measure assumes that direct evaporative coolers are added equipment to the home, i.e., they are not replacing any existing central air conditioning equipm</w:t>
      </w:r>
      <w:bookmarkStart w:id="7" w:name="OLE_LINK3"/>
      <w:r w:rsidRPr="004D291F">
        <w:rPr>
          <w:rFonts w:asciiTheme="minorHAnsi" w:hAnsiTheme="minorHAnsi" w:cstheme="minorHAnsi"/>
          <w:sz w:val="22"/>
          <w:szCs w:val="22"/>
        </w:rPr>
        <w:t xml:space="preserve">ent. The evaporative coolers are used to displace the use of an existing central air conditioning system when cooling is required and the ambient dew point is less than 55 F. </w:t>
      </w:r>
      <w:r w:rsidR="004D291F" w:rsidRPr="0051696C">
        <w:rPr>
          <w:rFonts w:asciiTheme="minorHAnsi" w:hAnsiTheme="minorHAnsi" w:cstheme="minorHAnsi"/>
          <w:sz w:val="22"/>
          <w:szCs w:val="22"/>
        </w:rPr>
        <w:t xml:space="preserve">The residential measures in this work paper are applicable to all Southern California Edison climate zones and the associated building types shown in </w:t>
      </w:r>
      <w:r w:rsidR="004D291F" w:rsidRPr="0051696C">
        <w:rPr>
          <w:rFonts w:asciiTheme="minorHAnsi" w:hAnsiTheme="minorHAnsi" w:cstheme="minorHAnsi"/>
          <w:sz w:val="22"/>
          <w:szCs w:val="22"/>
        </w:rPr>
        <w:fldChar w:fldCharType="begin"/>
      </w:r>
      <w:r w:rsidR="004D291F" w:rsidRPr="0051696C">
        <w:rPr>
          <w:rFonts w:asciiTheme="minorHAnsi" w:hAnsiTheme="minorHAnsi" w:cstheme="minorHAnsi"/>
          <w:sz w:val="22"/>
          <w:szCs w:val="22"/>
        </w:rPr>
        <w:instrText xml:space="preserve"> REF _Ref326830926 \h  \* MERGEFORMAT </w:instrText>
      </w:r>
      <w:r w:rsidR="004D291F" w:rsidRPr="0051696C">
        <w:rPr>
          <w:rFonts w:asciiTheme="minorHAnsi" w:hAnsiTheme="minorHAnsi" w:cstheme="minorHAnsi"/>
          <w:sz w:val="22"/>
          <w:szCs w:val="22"/>
        </w:rPr>
      </w:r>
      <w:r w:rsidR="004D291F" w:rsidRPr="0051696C">
        <w:rPr>
          <w:rFonts w:asciiTheme="minorHAnsi" w:hAnsiTheme="minorHAnsi" w:cstheme="minorHAnsi"/>
          <w:sz w:val="22"/>
          <w:szCs w:val="22"/>
        </w:rPr>
        <w:fldChar w:fldCharType="separate"/>
      </w:r>
      <w:r w:rsidR="00390CBA" w:rsidRPr="00EE4481">
        <w:rPr>
          <w:rFonts w:asciiTheme="minorHAnsi" w:hAnsiTheme="minorHAnsi" w:cstheme="minorHAnsi"/>
          <w:sz w:val="22"/>
          <w:szCs w:val="22"/>
        </w:rPr>
        <w:t xml:space="preserve">Table </w:t>
      </w:r>
      <w:r w:rsidR="00390CBA">
        <w:rPr>
          <w:rFonts w:asciiTheme="minorHAnsi" w:hAnsiTheme="minorHAnsi" w:cstheme="minorHAnsi"/>
          <w:sz w:val="22"/>
          <w:szCs w:val="22"/>
        </w:rPr>
        <w:t>10</w:t>
      </w:r>
      <w:r w:rsidR="004D291F" w:rsidRPr="0051696C">
        <w:rPr>
          <w:rFonts w:asciiTheme="minorHAnsi" w:hAnsiTheme="minorHAnsi" w:cstheme="minorHAnsi"/>
          <w:sz w:val="22"/>
          <w:szCs w:val="22"/>
        </w:rPr>
        <w:fldChar w:fldCharType="end"/>
      </w:r>
      <w:r w:rsidR="004D291F" w:rsidRPr="0051696C">
        <w:rPr>
          <w:rFonts w:asciiTheme="minorHAnsi" w:hAnsiTheme="minorHAnsi" w:cstheme="minorHAnsi"/>
          <w:sz w:val="22"/>
          <w:szCs w:val="22"/>
        </w:rPr>
        <w:t xml:space="preserve">.  </w:t>
      </w:r>
    </w:p>
    <w:p w:rsidR="004D291F" w:rsidRPr="004D291F" w:rsidRDefault="004D291F" w:rsidP="0051696C">
      <w:pPr>
        <w:pStyle w:val="BodyText"/>
        <w:rPr>
          <w:rFonts w:asciiTheme="minorHAnsi" w:hAnsiTheme="minorHAnsi" w:cstheme="minorHAnsi"/>
          <w:sz w:val="22"/>
          <w:szCs w:val="22"/>
        </w:rPr>
      </w:pPr>
      <w:r w:rsidRPr="00780F17">
        <w:rPr>
          <w:rFonts w:asciiTheme="minorHAnsi" w:hAnsiTheme="minorHAnsi" w:cstheme="minorHAnsi"/>
          <w:sz w:val="22"/>
          <w:szCs w:val="22"/>
        </w:rPr>
        <w:t xml:space="preserve">For </w:t>
      </w:r>
      <w:r>
        <w:rPr>
          <w:rFonts w:asciiTheme="minorHAnsi" w:hAnsiTheme="minorHAnsi" w:cstheme="minorHAnsi"/>
          <w:sz w:val="22"/>
          <w:szCs w:val="22"/>
        </w:rPr>
        <w:t xml:space="preserve">the residential sector in </w:t>
      </w:r>
      <w:r w:rsidRPr="00780F17">
        <w:rPr>
          <w:rFonts w:asciiTheme="minorHAnsi" w:hAnsiTheme="minorHAnsi" w:cstheme="minorHAnsi"/>
          <w:sz w:val="22"/>
          <w:szCs w:val="22"/>
        </w:rPr>
        <w:t>Pacific Gas &amp; Electric</w:t>
      </w:r>
      <w:r>
        <w:rPr>
          <w:rFonts w:asciiTheme="minorHAnsi" w:hAnsiTheme="minorHAnsi" w:cstheme="minorHAnsi"/>
          <w:sz w:val="22"/>
          <w:szCs w:val="22"/>
        </w:rPr>
        <w:t xml:space="preserve"> (PG&amp;E)</w:t>
      </w:r>
      <w:r w:rsidRPr="00780F17">
        <w:rPr>
          <w:rFonts w:asciiTheme="minorHAnsi" w:hAnsiTheme="minorHAnsi" w:cstheme="minorHAnsi"/>
          <w:sz w:val="22"/>
          <w:szCs w:val="22"/>
        </w:rPr>
        <w:t xml:space="preserve">, this measure </w:t>
      </w:r>
      <w:r w:rsidRPr="00EF10DC">
        <w:rPr>
          <w:rFonts w:asciiTheme="minorHAnsi" w:hAnsiTheme="minorHAnsi" w:cstheme="minorHAnsi"/>
          <w:sz w:val="22"/>
          <w:szCs w:val="22"/>
        </w:rPr>
        <w:t>assumes that direct evaporative coolers are replacing</w:t>
      </w:r>
      <w:r>
        <w:rPr>
          <w:rFonts w:asciiTheme="minorHAnsi" w:hAnsiTheme="minorHAnsi" w:cstheme="minorHAnsi"/>
          <w:sz w:val="22"/>
          <w:szCs w:val="22"/>
        </w:rPr>
        <w:t xml:space="preserve"> an</w:t>
      </w:r>
      <w:r w:rsidRPr="00EF10DC">
        <w:rPr>
          <w:rFonts w:asciiTheme="minorHAnsi" w:hAnsiTheme="minorHAnsi" w:cstheme="minorHAnsi"/>
          <w:sz w:val="22"/>
          <w:szCs w:val="22"/>
        </w:rPr>
        <w:t xml:space="preserve"> existing</w:t>
      </w:r>
      <w:r>
        <w:rPr>
          <w:rFonts w:asciiTheme="minorHAnsi" w:hAnsiTheme="minorHAnsi" w:cstheme="minorHAnsi"/>
          <w:sz w:val="22"/>
          <w:szCs w:val="22"/>
        </w:rPr>
        <w:t xml:space="preserve">, whole house vapor-compression air conditioning system. </w:t>
      </w:r>
      <w:r w:rsidRPr="00EF10DC">
        <w:rPr>
          <w:rFonts w:asciiTheme="minorHAnsi" w:hAnsiTheme="minorHAnsi" w:cstheme="minorHAnsi"/>
          <w:sz w:val="22"/>
          <w:szCs w:val="22"/>
        </w:rPr>
        <w:t xml:space="preserve"> </w:t>
      </w:r>
      <w:r w:rsidRPr="004D291F">
        <w:rPr>
          <w:rFonts w:asciiTheme="minorHAnsi" w:hAnsiTheme="minorHAnsi" w:cstheme="minorHAnsi"/>
          <w:sz w:val="22"/>
          <w:szCs w:val="22"/>
        </w:rPr>
        <w:t xml:space="preserve">The residential measures are applicable </w:t>
      </w:r>
      <w:r>
        <w:rPr>
          <w:rFonts w:asciiTheme="minorHAnsi" w:hAnsiTheme="minorHAnsi" w:cstheme="minorHAnsi"/>
          <w:sz w:val="22"/>
          <w:szCs w:val="22"/>
        </w:rPr>
        <w:t>only for</w:t>
      </w:r>
      <w:r w:rsidRPr="004D291F">
        <w:rPr>
          <w:rFonts w:asciiTheme="minorHAnsi" w:hAnsiTheme="minorHAnsi" w:cstheme="minorHAnsi"/>
          <w:sz w:val="22"/>
          <w:szCs w:val="22"/>
        </w:rPr>
        <w:t xml:space="preserve"> multifamily dwellings in </w:t>
      </w:r>
      <w:r>
        <w:rPr>
          <w:rFonts w:asciiTheme="minorHAnsi" w:hAnsiTheme="minorHAnsi" w:cstheme="minorHAnsi"/>
          <w:sz w:val="22"/>
          <w:szCs w:val="22"/>
        </w:rPr>
        <w:t>climate zones 11, 12 and 13</w:t>
      </w:r>
      <w:r w:rsidRPr="004D291F">
        <w:rPr>
          <w:rFonts w:asciiTheme="minorHAnsi" w:hAnsiTheme="minorHAnsi" w:cstheme="minorHAnsi"/>
          <w:sz w:val="22"/>
          <w:szCs w:val="22"/>
        </w:rPr>
        <w:t xml:space="preserve">.  </w:t>
      </w:r>
    </w:p>
    <w:p w:rsidR="004D291F" w:rsidRPr="004D291F" w:rsidRDefault="004D291F" w:rsidP="0051696C">
      <w:pPr>
        <w:pStyle w:val="BodyText"/>
        <w:rPr>
          <w:rFonts w:asciiTheme="minorHAnsi" w:hAnsiTheme="minorHAnsi" w:cstheme="minorHAnsi"/>
          <w:sz w:val="22"/>
          <w:szCs w:val="22"/>
        </w:rPr>
      </w:pPr>
      <w:r w:rsidRPr="004D291F">
        <w:rPr>
          <w:rFonts w:asciiTheme="minorHAnsi" w:hAnsiTheme="minorHAnsi" w:cstheme="minorHAnsi"/>
          <w:sz w:val="22"/>
          <w:szCs w:val="22"/>
        </w:rPr>
        <w:t>Energy savings</w:t>
      </w:r>
      <w:r w:rsidR="00FF6E04">
        <w:rPr>
          <w:rFonts w:asciiTheme="minorHAnsi" w:hAnsiTheme="minorHAnsi" w:cstheme="minorHAnsi"/>
          <w:sz w:val="22"/>
          <w:szCs w:val="22"/>
        </w:rPr>
        <w:t xml:space="preserve"> </w:t>
      </w:r>
      <w:r w:rsidRPr="004D291F">
        <w:rPr>
          <w:rFonts w:asciiTheme="minorHAnsi" w:hAnsiTheme="minorHAnsi" w:cstheme="minorHAnsi"/>
          <w:sz w:val="22"/>
          <w:szCs w:val="22"/>
        </w:rPr>
        <w:t xml:space="preserve">for the residential sector is </w:t>
      </w:r>
      <w:r w:rsidR="00FF6E04">
        <w:rPr>
          <w:rFonts w:asciiTheme="minorHAnsi" w:hAnsiTheme="minorHAnsi" w:cstheme="minorHAnsi"/>
          <w:sz w:val="22"/>
          <w:szCs w:val="22"/>
        </w:rPr>
        <w:t>reported</w:t>
      </w:r>
      <w:r w:rsidRPr="004D291F">
        <w:rPr>
          <w:rFonts w:asciiTheme="minorHAnsi" w:hAnsiTheme="minorHAnsi" w:cstheme="minorHAnsi"/>
          <w:sz w:val="22"/>
          <w:szCs w:val="22"/>
        </w:rPr>
        <w:t xml:space="preserve"> for both cases i.e. with and without pressure relief dampers. The use of pressure relief dampers negates the need to open windows and discharges air into the attic, keeping the attic cool and reduces heat gain in the house.</w:t>
      </w:r>
    </w:p>
    <w:bookmarkEnd w:id="7"/>
    <w:p w:rsidR="0097181E" w:rsidRDefault="0097181E" w:rsidP="0097181E">
      <w:pPr>
        <w:pStyle w:val="Reminders"/>
        <w:tabs>
          <w:tab w:val="num" w:pos="360"/>
        </w:tabs>
        <w:rPr>
          <w:rFonts w:asciiTheme="minorHAnsi" w:hAnsiTheme="minorHAnsi" w:cstheme="minorHAnsi"/>
          <w:i w:val="0"/>
          <w:color w:val="auto"/>
          <w:sz w:val="22"/>
          <w:szCs w:val="22"/>
        </w:rPr>
      </w:pPr>
      <w:r w:rsidRPr="00EF10DC">
        <w:rPr>
          <w:rFonts w:asciiTheme="minorHAnsi" w:hAnsiTheme="minorHAnsi" w:cstheme="minorHAnsi"/>
          <w:i w:val="0"/>
          <w:color w:val="auto"/>
          <w:sz w:val="22"/>
          <w:szCs w:val="22"/>
        </w:rPr>
        <w:t>For the non-residential sector</w:t>
      </w:r>
      <w:r>
        <w:rPr>
          <w:rFonts w:asciiTheme="minorHAnsi" w:hAnsiTheme="minorHAnsi" w:cstheme="minorHAnsi"/>
          <w:i w:val="0"/>
          <w:color w:val="auto"/>
          <w:sz w:val="22"/>
          <w:szCs w:val="22"/>
        </w:rPr>
        <w:t xml:space="preserve"> in Southern California Edison</w:t>
      </w:r>
      <w:r w:rsidRPr="00EF10DC">
        <w:rPr>
          <w:rFonts w:asciiTheme="minorHAnsi" w:hAnsiTheme="minorHAnsi" w:cstheme="minorHAnsi"/>
          <w:i w:val="0"/>
          <w:color w:val="auto"/>
          <w:sz w:val="22"/>
          <w:szCs w:val="22"/>
        </w:rPr>
        <w:t xml:space="preserve">, the </w:t>
      </w:r>
      <w:r w:rsidR="005A6072">
        <w:rPr>
          <w:rFonts w:asciiTheme="minorHAnsi" w:hAnsiTheme="minorHAnsi" w:cstheme="minorHAnsi"/>
          <w:i w:val="0"/>
          <w:color w:val="auto"/>
          <w:sz w:val="22"/>
          <w:szCs w:val="22"/>
        </w:rPr>
        <w:t xml:space="preserve">direct </w:t>
      </w:r>
      <w:r w:rsidRPr="00EF10DC">
        <w:rPr>
          <w:rFonts w:asciiTheme="minorHAnsi" w:hAnsiTheme="minorHAnsi" w:cstheme="minorHAnsi"/>
          <w:i w:val="0"/>
          <w:color w:val="auto"/>
          <w:sz w:val="22"/>
          <w:szCs w:val="22"/>
        </w:rPr>
        <w:t xml:space="preserve">evaporative coolers are </w:t>
      </w:r>
      <w:r>
        <w:rPr>
          <w:rFonts w:asciiTheme="minorHAnsi" w:hAnsiTheme="minorHAnsi" w:cstheme="minorHAnsi"/>
          <w:i w:val="0"/>
          <w:color w:val="auto"/>
          <w:sz w:val="22"/>
          <w:szCs w:val="22"/>
        </w:rPr>
        <w:t xml:space="preserve">replacing an existing air conditioning system.  Pacific Gas &amp; Electric does not include this measure for the non-residential sector.  This measure is only applicable for </w:t>
      </w:r>
      <w:r w:rsidRPr="003D45CE">
        <w:rPr>
          <w:rFonts w:asciiTheme="minorHAnsi" w:hAnsiTheme="minorHAnsi" w:cstheme="minorHAnsi"/>
          <w:i w:val="0"/>
          <w:color w:val="auto"/>
          <w:sz w:val="22"/>
          <w:szCs w:val="22"/>
        </w:rPr>
        <w:t xml:space="preserve">Southern California Edison </w:t>
      </w:r>
      <w:r>
        <w:rPr>
          <w:rFonts w:asciiTheme="minorHAnsi" w:hAnsiTheme="minorHAnsi" w:cstheme="minorHAnsi"/>
          <w:i w:val="0"/>
          <w:color w:val="auto"/>
          <w:sz w:val="22"/>
          <w:szCs w:val="22"/>
        </w:rPr>
        <w:t xml:space="preserve">climate zones 9, 10, 13, 14, and 15 and the associated building types shown </w:t>
      </w:r>
      <w:r w:rsidRPr="001062C6">
        <w:rPr>
          <w:rFonts w:asciiTheme="minorHAnsi" w:hAnsiTheme="minorHAnsi" w:cstheme="minorHAnsi"/>
          <w:i w:val="0"/>
          <w:color w:val="auto"/>
          <w:sz w:val="22"/>
          <w:szCs w:val="22"/>
        </w:rPr>
        <w:t xml:space="preserve">in </w:t>
      </w:r>
      <w:r w:rsidRPr="001062C6">
        <w:rPr>
          <w:rFonts w:asciiTheme="minorHAnsi" w:hAnsiTheme="minorHAnsi" w:cstheme="minorHAnsi"/>
          <w:i w:val="0"/>
          <w:color w:val="auto"/>
          <w:sz w:val="22"/>
          <w:szCs w:val="22"/>
        </w:rPr>
        <w:fldChar w:fldCharType="begin"/>
      </w:r>
      <w:r w:rsidRPr="001062C6">
        <w:rPr>
          <w:rFonts w:asciiTheme="minorHAnsi" w:hAnsiTheme="minorHAnsi" w:cstheme="minorHAnsi"/>
          <w:i w:val="0"/>
          <w:color w:val="auto"/>
          <w:sz w:val="22"/>
          <w:szCs w:val="22"/>
        </w:rPr>
        <w:instrText xml:space="preserve"> REF _Ref326830926 \h </w:instrText>
      </w:r>
      <w:r w:rsidRPr="002E1767">
        <w:rPr>
          <w:rFonts w:asciiTheme="minorHAnsi" w:hAnsiTheme="minorHAnsi" w:cstheme="minorHAnsi"/>
          <w:i w:val="0"/>
          <w:color w:val="auto"/>
          <w:sz w:val="22"/>
          <w:szCs w:val="22"/>
        </w:rPr>
        <w:instrText xml:space="preserve"> \* MERGEFORMAT </w:instrText>
      </w:r>
      <w:r w:rsidRPr="001062C6">
        <w:rPr>
          <w:rFonts w:asciiTheme="minorHAnsi" w:hAnsiTheme="minorHAnsi" w:cstheme="minorHAnsi"/>
          <w:i w:val="0"/>
          <w:color w:val="auto"/>
          <w:sz w:val="22"/>
          <w:szCs w:val="22"/>
        </w:rPr>
      </w:r>
      <w:r w:rsidRPr="001062C6">
        <w:rPr>
          <w:rFonts w:asciiTheme="minorHAnsi" w:hAnsiTheme="minorHAnsi" w:cstheme="minorHAnsi"/>
          <w:i w:val="0"/>
          <w:color w:val="auto"/>
          <w:sz w:val="22"/>
          <w:szCs w:val="22"/>
        </w:rPr>
        <w:fldChar w:fldCharType="separate"/>
      </w:r>
      <w:r w:rsidRPr="002246FA">
        <w:rPr>
          <w:rFonts w:asciiTheme="minorHAnsi" w:hAnsiTheme="minorHAnsi" w:cstheme="minorHAnsi"/>
          <w:i w:val="0"/>
          <w:color w:val="auto"/>
          <w:sz w:val="22"/>
          <w:szCs w:val="22"/>
        </w:rPr>
        <w:t xml:space="preserve">Table </w:t>
      </w:r>
      <w:r w:rsidRPr="002246FA">
        <w:rPr>
          <w:rFonts w:asciiTheme="minorHAnsi" w:hAnsiTheme="minorHAnsi" w:cstheme="minorHAnsi"/>
          <w:i w:val="0"/>
          <w:noProof/>
          <w:color w:val="auto"/>
          <w:sz w:val="22"/>
          <w:szCs w:val="22"/>
        </w:rPr>
        <w:t>9</w:t>
      </w:r>
      <w:r w:rsidRPr="001062C6">
        <w:rPr>
          <w:rFonts w:asciiTheme="minorHAnsi" w:hAnsiTheme="minorHAnsi" w:cstheme="minorHAnsi"/>
          <w:i w:val="0"/>
          <w:color w:val="auto"/>
          <w:sz w:val="22"/>
          <w:szCs w:val="22"/>
        </w:rPr>
        <w:fldChar w:fldCharType="end"/>
      </w:r>
      <w:r w:rsidRPr="001062C6">
        <w:rPr>
          <w:rFonts w:asciiTheme="minorHAnsi" w:hAnsiTheme="minorHAnsi" w:cstheme="minorHAnsi"/>
          <w:i w:val="0"/>
          <w:color w:val="auto"/>
          <w:sz w:val="22"/>
          <w:szCs w:val="22"/>
        </w:rPr>
        <w:t xml:space="preserve">.  </w:t>
      </w:r>
    </w:p>
    <w:p w:rsidR="00F35754" w:rsidRDefault="00F35754" w:rsidP="004D7BC8">
      <w:pPr>
        <w:pStyle w:val="Reminders"/>
        <w:tabs>
          <w:tab w:val="num" w:pos="360"/>
        </w:tabs>
        <w:rPr>
          <w:rFonts w:asciiTheme="minorHAnsi" w:hAnsiTheme="minorHAnsi" w:cstheme="minorHAnsi"/>
          <w:i w:val="0"/>
          <w:color w:val="auto"/>
          <w:sz w:val="22"/>
          <w:szCs w:val="22"/>
        </w:rPr>
      </w:pPr>
    </w:p>
    <w:p w:rsidR="004D7BC8" w:rsidRPr="00EF10DC" w:rsidRDefault="0019420D" w:rsidP="004D7BC8">
      <w:pPr>
        <w:pStyle w:val="Reminders"/>
        <w:tabs>
          <w:tab w:val="num" w:pos="360"/>
        </w:tabs>
        <w:rPr>
          <w:rFonts w:asciiTheme="minorHAnsi" w:hAnsiTheme="minorHAnsi" w:cstheme="minorHAnsi"/>
          <w:i w:val="0"/>
          <w:color w:val="auto"/>
          <w:sz w:val="22"/>
          <w:szCs w:val="22"/>
        </w:rPr>
      </w:pPr>
      <w:r w:rsidRPr="000C7684">
        <w:rPr>
          <w:rFonts w:asciiTheme="minorHAnsi" w:hAnsiTheme="minorHAnsi" w:cstheme="minorHAnsi"/>
          <w:i w:val="0"/>
          <w:sz w:val="22"/>
          <w:szCs w:val="22"/>
        </w:rPr>
        <w:fldChar w:fldCharType="begin"/>
      </w:r>
      <w:r w:rsidRPr="000C7684">
        <w:rPr>
          <w:rFonts w:asciiTheme="minorHAnsi" w:hAnsiTheme="minorHAnsi" w:cstheme="minorHAnsi"/>
          <w:i w:val="0"/>
          <w:color w:val="auto"/>
          <w:sz w:val="22"/>
          <w:szCs w:val="22"/>
        </w:rPr>
        <w:instrText xml:space="preserve"> REF _Ref385416925 \h </w:instrText>
      </w:r>
      <w:r w:rsidR="000C7684" w:rsidRPr="000C7684">
        <w:rPr>
          <w:rFonts w:asciiTheme="minorHAnsi" w:hAnsiTheme="minorHAnsi" w:cstheme="minorHAnsi"/>
          <w:i w:val="0"/>
          <w:color w:val="auto"/>
          <w:sz w:val="22"/>
          <w:szCs w:val="22"/>
        </w:rPr>
        <w:instrText xml:space="preserve"> \* MERGEFORMAT </w:instrText>
      </w:r>
      <w:r w:rsidRPr="000C7684">
        <w:rPr>
          <w:rFonts w:asciiTheme="minorHAnsi" w:hAnsiTheme="minorHAnsi" w:cstheme="minorHAnsi"/>
          <w:i w:val="0"/>
          <w:sz w:val="22"/>
          <w:szCs w:val="22"/>
        </w:rPr>
      </w:r>
      <w:r w:rsidRPr="000C7684">
        <w:rPr>
          <w:rFonts w:asciiTheme="minorHAnsi" w:hAnsiTheme="minorHAnsi" w:cstheme="minorHAnsi"/>
          <w:i w:val="0"/>
          <w:sz w:val="22"/>
          <w:szCs w:val="22"/>
        </w:rPr>
        <w:fldChar w:fldCharType="separate"/>
      </w:r>
      <w:r w:rsidR="00390CBA" w:rsidRPr="00390CBA">
        <w:rPr>
          <w:rFonts w:asciiTheme="minorHAnsi" w:hAnsiTheme="minorHAnsi" w:cstheme="minorHAnsi"/>
          <w:i w:val="0"/>
          <w:color w:val="auto"/>
          <w:sz w:val="22"/>
          <w:szCs w:val="22"/>
        </w:rPr>
        <w:t xml:space="preserve">Table </w:t>
      </w:r>
      <w:r w:rsidR="00390CBA" w:rsidRPr="00390CBA">
        <w:rPr>
          <w:rFonts w:asciiTheme="minorHAnsi" w:hAnsiTheme="minorHAnsi" w:cstheme="minorHAnsi"/>
          <w:i w:val="0"/>
          <w:noProof/>
          <w:color w:val="auto"/>
          <w:sz w:val="22"/>
          <w:szCs w:val="22"/>
        </w:rPr>
        <w:t>1</w:t>
      </w:r>
      <w:r w:rsidRPr="000C7684">
        <w:rPr>
          <w:rFonts w:asciiTheme="minorHAnsi" w:hAnsiTheme="minorHAnsi" w:cstheme="minorHAnsi"/>
          <w:i w:val="0"/>
          <w:sz w:val="22"/>
          <w:szCs w:val="22"/>
        </w:rPr>
        <w:fldChar w:fldCharType="end"/>
      </w:r>
      <w:r w:rsidRPr="0019420D">
        <w:rPr>
          <w:rFonts w:asciiTheme="minorHAnsi" w:hAnsiTheme="minorHAnsi" w:cstheme="minorHAnsi"/>
          <w:i w:val="0"/>
          <w:color w:val="auto"/>
          <w:sz w:val="22"/>
          <w:szCs w:val="22"/>
        </w:rPr>
        <w:t xml:space="preserve"> </w:t>
      </w:r>
      <w:r w:rsidR="008A6319" w:rsidRPr="002246FA">
        <w:rPr>
          <w:rFonts w:asciiTheme="minorHAnsi" w:hAnsiTheme="minorHAnsi" w:cstheme="minorHAnsi"/>
          <w:i w:val="0"/>
          <w:color w:val="auto"/>
          <w:sz w:val="22"/>
          <w:szCs w:val="22"/>
        </w:rPr>
        <w:t xml:space="preserve">lists </w:t>
      </w:r>
      <w:r w:rsidR="008A6319" w:rsidRPr="00EF10DC">
        <w:rPr>
          <w:rFonts w:asciiTheme="minorHAnsi" w:hAnsiTheme="minorHAnsi" w:cstheme="minorHAnsi"/>
          <w:i w:val="0"/>
          <w:color w:val="auto"/>
          <w:sz w:val="22"/>
          <w:szCs w:val="22"/>
        </w:rPr>
        <w:t>the measures contained within this work paper.</w:t>
      </w:r>
    </w:p>
    <w:p w:rsidR="00697868" w:rsidRDefault="00697868" w:rsidP="00697868">
      <w:pPr>
        <w:pStyle w:val="Reminder"/>
        <w:rPr>
          <w:rFonts w:asciiTheme="minorHAnsi" w:hAnsiTheme="minorHAnsi" w:cstheme="minorHAnsi"/>
          <w:sz w:val="22"/>
          <w:szCs w:val="22"/>
        </w:rPr>
      </w:pPr>
    </w:p>
    <w:p w:rsidR="00AC5309" w:rsidRPr="00697868" w:rsidRDefault="00AC5309" w:rsidP="00AC5309">
      <w:pPr>
        <w:pStyle w:val="Caption"/>
        <w:jc w:val="center"/>
        <w:rPr>
          <w:rFonts w:asciiTheme="minorHAnsi" w:hAnsiTheme="minorHAnsi" w:cstheme="minorHAnsi"/>
          <w:sz w:val="22"/>
          <w:szCs w:val="22"/>
        </w:rPr>
      </w:pPr>
      <w:bookmarkStart w:id="8" w:name="_Ref385416925"/>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390CBA">
        <w:rPr>
          <w:rFonts w:asciiTheme="minorHAnsi" w:hAnsiTheme="minorHAnsi" w:cstheme="minorHAnsi"/>
          <w:noProof/>
          <w:sz w:val="22"/>
          <w:szCs w:val="22"/>
        </w:rPr>
        <w:t>1</w:t>
      </w:r>
      <w:r w:rsidRPr="00697868">
        <w:rPr>
          <w:rFonts w:asciiTheme="minorHAnsi" w:hAnsiTheme="minorHAnsi" w:cstheme="minorHAnsi"/>
          <w:sz w:val="22"/>
          <w:szCs w:val="22"/>
        </w:rPr>
        <w:fldChar w:fldCharType="end"/>
      </w:r>
      <w:bookmarkEnd w:id="8"/>
      <w:r w:rsidRPr="00697868">
        <w:rPr>
          <w:rFonts w:asciiTheme="minorHAnsi" w:hAnsiTheme="minorHAnsi" w:cstheme="minorHAnsi"/>
          <w:sz w:val="22"/>
          <w:szCs w:val="22"/>
        </w:rPr>
        <w:t xml:space="preserve"> Measure Names</w:t>
      </w:r>
    </w:p>
    <w:tbl>
      <w:tblPr>
        <w:tblStyle w:val="TableContemporary"/>
        <w:tblW w:w="0" w:type="auto"/>
        <w:jc w:val="center"/>
        <w:tblLook w:val="04A0" w:firstRow="1" w:lastRow="0" w:firstColumn="1" w:lastColumn="0" w:noHBand="0" w:noVBand="1"/>
      </w:tblPr>
      <w:tblGrid>
        <w:gridCol w:w="2289"/>
        <w:gridCol w:w="2002"/>
        <w:gridCol w:w="4109"/>
      </w:tblGrid>
      <w:tr w:rsidR="002244A5" w:rsidRPr="00697868" w:rsidTr="002244A5">
        <w:trPr>
          <w:cnfStyle w:val="100000000000" w:firstRow="1" w:lastRow="0" w:firstColumn="0" w:lastColumn="0" w:oddVBand="0" w:evenVBand="0" w:oddHBand="0" w:evenHBand="0" w:firstRowFirstColumn="0" w:firstRowLastColumn="0" w:lastRowFirstColumn="0" w:lastRowLastColumn="0"/>
          <w:jc w:val="center"/>
        </w:trPr>
        <w:tc>
          <w:tcPr>
            <w:tcW w:w="2289" w:type="dxa"/>
          </w:tcPr>
          <w:p w:rsidR="002244A5" w:rsidRPr="00697868" w:rsidRDefault="002244A5" w:rsidP="009824E9">
            <w:pPr>
              <w:rPr>
                <w:rFonts w:asciiTheme="minorHAnsi" w:hAnsiTheme="minorHAnsi" w:cstheme="minorHAnsi"/>
                <w:sz w:val="20"/>
                <w:szCs w:val="20"/>
              </w:rPr>
            </w:pPr>
            <w:r>
              <w:rPr>
                <w:rFonts w:asciiTheme="minorHAnsi" w:hAnsiTheme="minorHAnsi" w:cstheme="minorHAnsi"/>
                <w:sz w:val="20"/>
                <w:szCs w:val="20"/>
              </w:rPr>
              <w:t>PG&amp;E Measure Code</w:t>
            </w:r>
          </w:p>
        </w:tc>
        <w:tc>
          <w:tcPr>
            <w:tcW w:w="2002" w:type="dxa"/>
          </w:tcPr>
          <w:p w:rsidR="002244A5" w:rsidRPr="00697868" w:rsidRDefault="002244A5" w:rsidP="009824E9">
            <w:pPr>
              <w:rPr>
                <w:rFonts w:asciiTheme="minorHAnsi" w:hAnsiTheme="minorHAnsi" w:cstheme="minorHAnsi"/>
                <w:sz w:val="20"/>
                <w:szCs w:val="20"/>
              </w:rPr>
            </w:pPr>
            <w:r>
              <w:rPr>
                <w:rFonts w:asciiTheme="minorHAnsi" w:hAnsiTheme="minorHAnsi" w:cstheme="minorHAnsi"/>
                <w:sz w:val="20"/>
                <w:szCs w:val="20"/>
              </w:rPr>
              <w:t xml:space="preserve">SCE </w:t>
            </w:r>
            <w:r w:rsidRPr="00697868">
              <w:rPr>
                <w:rFonts w:asciiTheme="minorHAnsi" w:hAnsiTheme="minorHAnsi" w:cstheme="minorHAnsi"/>
                <w:sz w:val="20"/>
                <w:szCs w:val="20"/>
              </w:rPr>
              <w:t>Solution Code</w:t>
            </w:r>
          </w:p>
        </w:tc>
        <w:tc>
          <w:tcPr>
            <w:tcW w:w="4109" w:type="dxa"/>
          </w:tcPr>
          <w:p w:rsidR="002244A5" w:rsidRPr="00697868" w:rsidRDefault="002244A5" w:rsidP="009824E9">
            <w:pPr>
              <w:rPr>
                <w:rFonts w:asciiTheme="minorHAnsi" w:hAnsiTheme="minorHAnsi" w:cstheme="minorHAnsi"/>
                <w:sz w:val="20"/>
                <w:szCs w:val="20"/>
              </w:rPr>
            </w:pPr>
            <w:r w:rsidRPr="00697868">
              <w:rPr>
                <w:rFonts w:asciiTheme="minorHAnsi" w:hAnsiTheme="minorHAnsi" w:cstheme="minorHAnsi"/>
                <w:sz w:val="20"/>
                <w:szCs w:val="20"/>
              </w:rPr>
              <w:t>Measure name</w:t>
            </w:r>
          </w:p>
        </w:tc>
      </w:tr>
      <w:tr w:rsidR="002244A5" w:rsidRPr="00697868" w:rsidTr="002244A5">
        <w:trPr>
          <w:cnfStyle w:val="000000100000" w:firstRow="0" w:lastRow="0" w:firstColumn="0" w:lastColumn="0" w:oddVBand="0" w:evenVBand="0" w:oddHBand="1" w:evenHBand="0" w:firstRowFirstColumn="0" w:firstRowLastColumn="0" w:lastRowFirstColumn="0" w:lastRowLastColumn="0"/>
          <w:trHeight w:val="243"/>
          <w:jc w:val="center"/>
        </w:trPr>
        <w:tc>
          <w:tcPr>
            <w:tcW w:w="2289" w:type="dxa"/>
          </w:tcPr>
          <w:p w:rsidR="002244A5" w:rsidRPr="009350BF" w:rsidRDefault="002244A5" w:rsidP="00FB46BF">
            <w:pPr>
              <w:rPr>
                <w:rFonts w:asciiTheme="minorHAnsi" w:hAnsiTheme="minorHAnsi" w:cstheme="minorHAnsi"/>
                <w:sz w:val="20"/>
                <w:szCs w:val="20"/>
              </w:rPr>
            </w:pPr>
            <w:r>
              <w:rPr>
                <w:rFonts w:asciiTheme="minorHAnsi" w:hAnsiTheme="minorHAnsi" w:cstheme="minorHAnsi"/>
                <w:sz w:val="20"/>
                <w:szCs w:val="20"/>
              </w:rPr>
              <w:t>HB26</w:t>
            </w:r>
          </w:p>
        </w:tc>
        <w:tc>
          <w:tcPr>
            <w:tcW w:w="2002" w:type="dxa"/>
          </w:tcPr>
          <w:p w:rsidR="002244A5" w:rsidRPr="009350BF" w:rsidRDefault="002244A5" w:rsidP="00FB46BF">
            <w:pPr>
              <w:rPr>
                <w:rFonts w:asciiTheme="minorHAnsi" w:hAnsiTheme="minorHAnsi" w:cstheme="minorHAnsi"/>
                <w:sz w:val="20"/>
                <w:szCs w:val="20"/>
              </w:rPr>
            </w:pPr>
            <w:r w:rsidRPr="009350BF">
              <w:rPr>
                <w:rFonts w:asciiTheme="minorHAnsi" w:hAnsiTheme="minorHAnsi" w:cstheme="minorHAnsi"/>
                <w:sz w:val="20"/>
                <w:szCs w:val="20"/>
              </w:rPr>
              <w:t>AC-17382</w:t>
            </w:r>
          </w:p>
        </w:tc>
        <w:tc>
          <w:tcPr>
            <w:tcW w:w="4109" w:type="dxa"/>
          </w:tcPr>
          <w:p w:rsidR="002244A5" w:rsidRPr="009350BF" w:rsidRDefault="002244A5" w:rsidP="00FB46BF">
            <w:pPr>
              <w:rPr>
                <w:rFonts w:asciiTheme="minorHAnsi" w:hAnsiTheme="minorHAnsi" w:cstheme="minorHAnsi"/>
                <w:sz w:val="20"/>
                <w:szCs w:val="20"/>
              </w:rPr>
            </w:pPr>
            <w:r>
              <w:rPr>
                <w:rFonts w:asciiTheme="minorHAnsi" w:hAnsiTheme="minorHAnsi" w:cstheme="minorHAnsi"/>
                <w:sz w:val="20"/>
                <w:szCs w:val="20"/>
              </w:rPr>
              <w:t xml:space="preserve">(Res) </w:t>
            </w:r>
            <w:r w:rsidRPr="009350BF">
              <w:rPr>
                <w:rFonts w:asciiTheme="minorHAnsi" w:hAnsiTheme="minorHAnsi" w:cstheme="minorHAnsi"/>
                <w:sz w:val="20"/>
                <w:szCs w:val="20"/>
              </w:rPr>
              <w:t xml:space="preserve">With Damper Direct </w:t>
            </w:r>
            <w:proofErr w:type="spellStart"/>
            <w:r w:rsidRPr="009350BF">
              <w:rPr>
                <w:rFonts w:asciiTheme="minorHAnsi" w:hAnsiTheme="minorHAnsi" w:cstheme="minorHAnsi"/>
                <w:sz w:val="20"/>
                <w:szCs w:val="20"/>
              </w:rPr>
              <w:t>Evap</w:t>
            </w:r>
            <w:proofErr w:type="spellEnd"/>
            <w:r w:rsidRPr="009350BF">
              <w:rPr>
                <w:rFonts w:asciiTheme="minorHAnsi" w:hAnsiTheme="minorHAnsi" w:cstheme="minorHAnsi"/>
                <w:sz w:val="20"/>
                <w:szCs w:val="20"/>
              </w:rPr>
              <w:t xml:space="preserve"> Cooler</w:t>
            </w:r>
          </w:p>
        </w:tc>
      </w:tr>
      <w:tr w:rsidR="002244A5" w:rsidRPr="00697868" w:rsidTr="002244A5">
        <w:trPr>
          <w:cnfStyle w:val="000000010000" w:firstRow="0" w:lastRow="0" w:firstColumn="0" w:lastColumn="0" w:oddVBand="0" w:evenVBand="0" w:oddHBand="0" w:evenHBand="1" w:firstRowFirstColumn="0" w:firstRowLastColumn="0" w:lastRowFirstColumn="0" w:lastRowLastColumn="0"/>
          <w:trHeight w:val="243"/>
          <w:jc w:val="center"/>
        </w:trPr>
        <w:tc>
          <w:tcPr>
            <w:tcW w:w="2289" w:type="dxa"/>
          </w:tcPr>
          <w:p w:rsidR="002244A5" w:rsidRPr="009350BF" w:rsidRDefault="002244A5" w:rsidP="00FB46BF">
            <w:pPr>
              <w:rPr>
                <w:rFonts w:asciiTheme="minorHAnsi" w:hAnsiTheme="minorHAnsi" w:cstheme="minorHAnsi"/>
                <w:sz w:val="20"/>
                <w:szCs w:val="20"/>
              </w:rPr>
            </w:pPr>
            <w:r>
              <w:rPr>
                <w:rFonts w:asciiTheme="minorHAnsi" w:hAnsiTheme="minorHAnsi" w:cstheme="minorHAnsi"/>
                <w:sz w:val="20"/>
                <w:szCs w:val="20"/>
              </w:rPr>
              <w:t>NA</w:t>
            </w:r>
          </w:p>
        </w:tc>
        <w:tc>
          <w:tcPr>
            <w:tcW w:w="2002" w:type="dxa"/>
          </w:tcPr>
          <w:p w:rsidR="002244A5" w:rsidRPr="009350BF" w:rsidRDefault="002244A5" w:rsidP="00FB46BF">
            <w:pPr>
              <w:rPr>
                <w:rFonts w:asciiTheme="minorHAnsi" w:hAnsiTheme="minorHAnsi" w:cstheme="minorHAnsi"/>
                <w:sz w:val="20"/>
                <w:szCs w:val="20"/>
              </w:rPr>
            </w:pPr>
            <w:r w:rsidRPr="009350BF">
              <w:rPr>
                <w:rFonts w:asciiTheme="minorHAnsi" w:hAnsiTheme="minorHAnsi" w:cstheme="minorHAnsi"/>
                <w:sz w:val="20"/>
                <w:szCs w:val="20"/>
              </w:rPr>
              <w:t>AC-19317</w:t>
            </w:r>
          </w:p>
        </w:tc>
        <w:tc>
          <w:tcPr>
            <w:tcW w:w="4109" w:type="dxa"/>
          </w:tcPr>
          <w:p w:rsidR="002244A5" w:rsidRPr="009350BF" w:rsidRDefault="002244A5" w:rsidP="00FB46BF">
            <w:pPr>
              <w:rPr>
                <w:rFonts w:asciiTheme="minorHAnsi" w:hAnsiTheme="minorHAnsi" w:cstheme="minorHAnsi"/>
                <w:sz w:val="20"/>
                <w:szCs w:val="20"/>
              </w:rPr>
            </w:pPr>
            <w:r w:rsidRPr="009350BF">
              <w:rPr>
                <w:rFonts w:asciiTheme="minorHAnsi" w:hAnsiTheme="minorHAnsi" w:cstheme="minorHAnsi"/>
                <w:sz w:val="20"/>
                <w:szCs w:val="20"/>
              </w:rPr>
              <w:t xml:space="preserve">(Non Res) Direct </w:t>
            </w:r>
            <w:proofErr w:type="spellStart"/>
            <w:r w:rsidRPr="009350BF">
              <w:rPr>
                <w:rFonts w:asciiTheme="minorHAnsi" w:hAnsiTheme="minorHAnsi" w:cstheme="minorHAnsi"/>
                <w:sz w:val="20"/>
                <w:szCs w:val="20"/>
              </w:rPr>
              <w:t>Evap</w:t>
            </w:r>
            <w:proofErr w:type="spellEnd"/>
            <w:r w:rsidRPr="009350BF">
              <w:rPr>
                <w:rFonts w:asciiTheme="minorHAnsi" w:hAnsiTheme="minorHAnsi" w:cstheme="minorHAnsi"/>
                <w:sz w:val="20"/>
                <w:szCs w:val="20"/>
              </w:rPr>
              <w:t xml:space="preserve"> Cooler</w:t>
            </w:r>
          </w:p>
        </w:tc>
      </w:tr>
      <w:tr w:rsidR="002244A5" w:rsidRPr="00697868" w:rsidTr="002244A5">
        <w:trPr>
          <w:cnfStyle w:val="000000100000" w:firstRow="0" w:lastRow="0" w:firstColumn="0" w:lastColumn="0" w:oddVBand="0" w:evenVBand="0" w:oddHBand="1" w:evenHBand="0" w:firstRowFirstColumn="0" w:firstRowLastColumn="0" w:lastRowFirstColumn="0" w:lastRowLastColumn="0"/>
          <w:trHeight w:val="243"/>
          <w:jc w:val="center"/>
        </w:trPr>
        <w:tc>
          <w:tcPr>
            <w:tcW w:w="2289" w:type="dxa"/>
          </w:tcPr>
          <w:p w:rsidR="002244A5" w:rsidRPr="009350BF" w:rsidRDefault="002244A5" w:rsidP="00FB46BF">
            <w:pPr>
              <w:rPr>
                <w:rFonts w:asciiTheme="minorHAnsi" w:hAnsiTheme="minorHAnsi" w:cstheme="minorHAnsi"/>
                <w:sz w:val="20"/>
                <w:szCs w:val="20"/>
              </w:rPr>
            </w:pPr>
            <w:r>
              <w:rPr>
                <w:rFonts w:asciiTheme="minorHAnsi" w:hAnsiTheme="minorHAnsi" w:cstheme="minorHAnsi"/>
                <w:sz w:val="20"/>
                <w:szCs w:val="20"/>
              </w:rPr>
              <w:t>HB25</w:t>
            </w:r>
          </w:p>
        </w:tc>
        <w:tc>
          <w:tcPr>
            <w:tcW w:w="2002" w:type="dxa"/>
          </w:tcPr>
          <w:p w:rsidR="002244A5" w:rsidRPr="009350BF" w:rsidRDefault="002244A5" w:rsidP="00FB46BF">
            <w:pPr>
              <w:rPr>
                <w:rFonts w:asciiTheme="minorHAnsi" w:hAnsiTheme="minorHAnsi" w:cstheme="minorHAnsi"/>
                <w:sz w:val="20"/>
                <w:szCs w:val="20"/>
              </w:rPr>
            </w:pPr>
            <w:r w:rsidRPr="009350BF">
              <w:rPr>
                <w:rFonts w:asciiTheme="minorHAnsi" w:hAnsiTheme="minorHAnsi" w:cstheme="minorHAnsi"/>
                <w:sz w:val="20"/>
                <w:szCs w:val="20"/>
              </w:rPr>
              <w:t>AC-78424</w:t>
            </w:r>
          </w:p>
        </w:tc>
        <w:tc>
          <w:tcPr>
            <w:tcW w:w="4109" w:type="dxa"/>
          </w:tcPr>
          <w:p w:rsidR="002244A5" w:rsidRPr="009350BF" w:rsidRDefault="002244A5" w:rsidP="00FB46BF">
            <w:pPr>
              <w:rPr>
                <w:rFonts w:asciiTheme="minorHAnsi" w:hAnsiTheme="minorHAnsi" w:cstheme="minorHAnsi"/>
                <w:sz w:val="20"/>
                <w:szCs w:val="20"/>
              </w:rPr>
            </w:pPr>
            <w:r w:rsidRPr="009350BF">
              <w:rPr>
                <w:rFonts w:asciiTheme="minorHAnsi" w:hAnsiTheme="minorHAnsi" w:cstheme="minorHAnsi"/>
                <w:sz w:val="20"/>
                <w:szCs w:val="20"/>
              </w:rPr>
              <w:t xml:space="preserve">(Res) Direct </w:t>
            </w:r>
            <w:proofErr w:type="spellStart"/>
            <w:r w:rsidRPr="009350BF">
              <w:rPr>
                <w:rFonts w:asciiTheme="minorHAnsi" w:hAnsiTheme="minorHAnsi" w:cstheme="minorHAnsi"/>
                <w:sz w:val="20"/>
                <w:szCs w:val="20"/>
              </w:rPr>
              <w:t>Evap</w:t>
            </w:r>
            <w:proofErr w:type="spellEnd"/>
            <w:r w:rsidRPr="009350BF">
              <w:rPr>
                <w:rFonts w:asciiTheme="minorHAnsi" w:hAnsiTheme="minorHAnsi" w:cstheme="minorHAnsi"/>
                <w:sz w:val="20"/>
                <w:szCs w:val="20"/>
              </w:rPr>
              <w:t xml:space="preserve"> Cooler</w:t>
            </w:r>
          </w:p>
        </w:tc>
      </w:tr>
    </w:tbl>
    <w:p w:rsidR="004D291F" w:rsidRPr="00390CBA" w:rsidRDefault="004D291F" w:rsidP="004D291F">
      <w:pPr>
        <w:pStyle w:val="Reminders"/>
        <w:tabs>
          <w:tab w:val="num" w:pos="360"/>
        </w:tabs>
        <w:rPr>
          <w:rFonts w:asciiTheme="minorHAnsi" w:hAnsiTheme="minorHAnsi" w:cstheme="minorHAnsi"/>
          <w:i w:val="0"/>
          <w:color w:val="auto"/>
          <w:sz w:val="22"/>
          <w:szCs w:val="22"/>
        </w:rPr>
      </w:pPr>
    </w:p>
    <w:p w:rsidR="004D291F" w:rsidRPr="002612C7" w:rsidRDefault="005A6072" w:rsidP="004D291F">
      <w:pPr>
        <w:pStyle w:val="Reminders"/>
        <w:tabs>
          <w:tab w:val="num" w:pos="360"/>
        </w:tabs>
        <w:rPr>
          <w:rFonts w:asciiTheme="minorHAnsi" w:hAnsiTheme="minorHAnsi" w:cstheme="minorHAnsi"/>
          <w:i w:val="0"/>
          <w:color w:val="auto"/>
          <w:sz w:val="22"/>
          <w:szCs w:val="22"/>
        </w:rPr>
      </w:pPr>
      <w:r>
        <w:rPr>
          <w:rFonts w:asciiTheme="minorHAnsi" w:hAnsiTheme="minorHAnsi" w:cstheme="minorHAnsi"/>
          <w:i w:val="0"/>
          <w:color w:val="auto"/>
          <w:sz w:val="22"/>
          <w:szCs w:val="22"/>
        </w:rPr>
        <w:t>In addition, for the non-residential sector, d</w:t>
      </w:r>
      <w:r w:rsidR="004D291F" w:rsidRPr="00EF10DC">
        <w:rPr>
          <w:rFonts w:asciiTheme="minorHAnsi" w:hAnsiTheme="minorHAnsi" w:cstheme="minorHAnsi"/>
          <w:i w:val="0"/>
          <w:color w:val="auto"/>
          <w:sz w:val="22"/>
          <w:szCs w:val="22"/>
        </w:rPr>
        <w:t>irect evaporative cooler</w:t>
      </w:r>
      <w:r w:rsidR="004D291F">
        <w:rPr>
          <w:rFonts w:asciiTheme="minorHAnsi" w:hAnsiTheme="minorHAnsi" w:cstheme="minorHAnsi"/>
          <w:i w:val="0"/>
          <w:color w:val="auto"/>
          <w:sz w:val="22"/>
          <w:szCs w:val="22"/>
        </w:rPr>
        <w:t>s</w:t>
      </w:r>
      <w:r w:rsidR="004D291F" w:rsidRPr="00EF10DC">
        <w:rPr>
          <w:rFonts w:asciiTheme="minorHAnsi" w:hAnsiTheme="minorHAnsi" w:cstheme="minorHAnsi"/>
          <w:i w:val="0"/>
          <w:color w:val="auto"/>
          <w:sz w:val="22"/>
          <w:szCs w:val="22"/>
        </w:rPr>
        <w:t xml:space="preserve"> must not have a “constant bleed” option. An advanced evaporative cooler (AEC) must have a rigid, manufactured evaporative media with a rated saturation effectiveness of 0.85 or better (a natural fiber pad is not allowed – the rigid media is generally 12” thick), and be equipped with water quality management system that provides positive removal of sump water on a regular interval (a bleed system is not allowed). </w:t>
      </w:r>
    </w:p>
    <w:p w:rsidR="00FB5E26" w:rsidRDefault="00FB5E26" w:rsidP="0051696C">
      <w:pPr>
        <w:pStyle w:val="Reminders"/>
        <w:rPr>
          <w:rFonts w:asciiTheme="minorHAnsi" w:hAnsiTheme="minorHAnsi" w:cstheme="minorHAnsi"/>
          <w:b/>
          <w:i w:val="0"/>
          <w:color w:val="auto"/>
          <w:sz w:val="22"/>
          <w:szCs w:val="22"/>
        </w:rPr>
      </w:pPr>
    </w:p>
    <w:p w:rsidR="00FB5E26" w:rsidRPr="0051696C" w:rsidRDefault="00283DC1" w:rsidP="00FB5E26">
      <w:pPr>
        <w:pStyle w:val="Reminder"/>
        <w:rPr>
          <w:rFonts w:asciiTheme="minorHAnsi" w:hAnsiTheme="minorHAnsi" w:cstheme="minorHAnsi"/>
          <w:b/>
          <w:i w:val="0"/>
          <w:color w:val="auto"/>
          <w:sz w:val="22"/>
          <w:szCs w:val="22"/>
          <w:u w:val="single"/>
        </w:rPr>
      </w:pPr>
      <w:r w:rsidRPr="0051696C">
        <w:rPr>
          <w:rFonts w:asciiTheme="minorHAnsi" w:hAnsiTheme="minorHAnsi" w:cstheme="minorHAnsi"/>
          <w:b/>
          <w:i w:val="0"/>
          <w:color w:val="auto"/>
          <w:sz w:val="22"/>
          <w:szCs w:val="22"/>
          <w:u w:val="single"/>
        </w:rPr>
        <w:t>Southern California Edison</w:t>
      </w:r>
    </w:p>
    <w:p w:rsidR="00FB5E26" w:rsidRPr="004F60B0" w:rsidRDefault="00FB5E26" w:rsidP="00FB5E26">
      <w:pPr>
        <w:pStyle w:val="Reminder"/>
        <w:rPr>
          <w:rFonts w:asciiTheme="minorHAnsi" w:hAnsiTheme="minorHAnsi" w:cstheme="minorHAnsi"/>
          <w:b/>
          <w:i w:val="0"/>
          <w:color w:val="auto"/>
          <w:sz w:val="22"/>
          <w:szCs w:val="22"/>
        </w:rPr>
      </w:pPr>
      <w:r w:rsidRPr="004F60B0">
        <w:rPr>
          <w:rFonts w:asciiTheme="minorHAnsi" w:hAnsiTheme="minorHAnsi" w:cstheme="minorHAnsi"/>
          <w:b/>
          <w:i w:val="0"/>
          <w:color w:val="auto"/>
          <w:sz w:val="22"/>
          <w:szCs w:val="22"/>
        </w:rPr>
        <w:t>Home Energy Efficiency Rebate Program Requirements</w:t>
      </w:r>
      <w:r w:rsidR="00283DC1">
        <w:rPr>
          <w:rFonts w:asciiTheme="minorHAnsi" w:hAnsiTheme="minorHAnsi" w:cstheme="minorHAnsi"/>
          <w:b/>
          <w:i w:val="0"/>
          <w:color w:val="auto"/>
          <w:sz w:val="22"/>
          <w:szCs w:val="22"/>
        </w:rPr>
        <w:t xml:space="preserve"> (Residential)</w:t>
      </w:r>
    </w:p>
    <w:p w:rsidR="00FB5E26" w:rsidRPr="004F60B0" w:rsidRDefault="00FB5E26" w:rsidP="00FB5E26">
      <w:pPr>
        <w:pStyle w:val="Reminder"/>
        <w:rPr>
          <w:rFonts w:asciiTheme="minorHAnsi" w:hAnsiTheme="minorHAnsi" w:cstheme="minorHAnsi"/>
          <w:i w:val="0"/>
          <w:color w:val="auto"/>
          <w:sz w:val="22"/>
          <w:szCs w:val="22"/>
        </w:rPr>
      </w:pPr>
      <w:r w:rsidRPr="004F60B0">
        <w:rPr>
          <w:rFonts w:asciiTheme="minorHAnsi" w:hAnsiTheme="minorHAnsi" w:cstheme="minorHAnsi"/>
          <w:i w:val="0"/>
          <w:color w:val="auto"/>
          <w:sz w:val="22"/>
          <w:szCs w:val="22"/>
        </w:rPr>
        <w:lastRenderedPageBreak/>
        <w:t>This rebate is part of the Home Energy Efficiency R</w:t>
      </w:r>
      <w:r w:rsidR="007345BF">
        <w:rPr>
          <w:rFonts w:asciiTheme="minorHAnsi" w:hAnsiTheme="minorHAnsi" w:cstheme="minorHAnsi"/>
          <w:i w:val="0"/>
          <w:color w:val="auto"/>
          <w:sz w:val="22"/>
          <w:szCs w:val="22"/>
        </w:rPr>
        <w:t>ebate Program. To q</w:t>
      </w:r>
      <w:r w:rsidRPr="004F60B0">
        <w:rPr>
          <w:rFonts w:asciiTheme="minorHAnsi" w:hAnsiTheme="minorHAnsi" w:cstheme="minorHAnsi"/>
          <w:i w:val="0"/>
          <w:color w:val="auto"/>
          <w:sz w:val="22"/>
          <w:szCs w:val="22"/>
        </w:rPr>
        <w:t xml:space="preserve">ualify, </w:t>
      </w:r>
      <w:r w:rsidR="007345BF">
        <w:rPr>
          <w:rFonts w:asciiTheme="minorHAnsi" w:hAnsiTheme="minorHAnsi" w:cstheme="minorHAnsi"/>
          <w:i w:val="0"/>
          <w:color w:val="auto"/>
          <w:sz w:val="22"/>
          <w:szCs w:val="22"/>
        </w:rPr>
        <w:t>your new evaporative cooling s</w:t>
      </w:r>
      <w:r w:rsidRPr="004F60B0">
        <w:rPr>
          <w:rFonts w:asciiTheme="minorHAnsi" w:hAnsiTheme="minorHAnsi" w:cstheme="minorHAnsi"/>
          <w:i w:val="0"/>
          <w:color w:val="auto"/>
          <w:sz w:val="22"/>
          <w:szCs w:val="22"/>
        </w:rPr>
        <w:t xml:space="preserve">ystem </w:t>
      </w:r>
      <w:r w:rsidR="007345BF">
        <w:rPr>
          <w:rFonts w:asciiTheme="minorHAnsi" w:hAnsiTheme="minorHAnsi" w:cstheme="minorHAnsi"/>
          <w:i w:val="0"/>
          <w:color w:val="auto"/>
          <w:sz w:val="22"/>
          <w:szCs w:val="22"/>
        </w:rPr>
        <w:t>must</w:t>
      </w:r>
      <w:r w:rsidRPr="004F60B0">
        <w:rPr>
          <w:rFonts w:asciiTheme="minorHAnsi" w:hAnsiTheme="minorHAnsi" w:cstheme="minorHAnsi"/>
          <w:i w:val="0"/>
          <w:color w:val="auto"/>
          <w:sz w:val="22"/>
          <w:szCs w:val="22"/>
        </w:rPr>
        <w:t>:</w:t>
      </w:r>
    </w:p>
    <w:p w:rsidR="00FB5E26" w:rsidRPr="003B2982" w:rsidRDefault="00FB5E26" w:rsidP="00FB5E26">
      <w:pPr>
        <w:pStyle w:val="Reminder"/>
        <w:rPr>
          <w:rFonts w:asciiTheme="minorHAnsi" w:hAnsiTheme="minorHAnsi" w:cstheme="minorHAnsi"/>
          <w:i w:val="0"/>
          <w:color w:val="auto"/>
          <w:sz w:val="22"/>
          <w:szCs w:val="22"/>
        </w:rPr>
      </w:pPr>
    </w:p>
    <w:p w:rsidR="00131ED1" w:rsidRDefault="00131ED1" w:rsidP="00FB5E26">
      <w:pPr>
        <w:pStyle w:val="Reminder"/>
        <w:numPr>
          <w:ilvl w:val="0"/>
          <w:numId w:val="9"/>
        </w:numPr>
        <w:rPr>
          <w:rFonts w:asciiTheme="minorHAnsi" w:hAnsiTheme="minorHAnsi" w:cstheme="minorHAnsi"/>
          <w:i w:val="0"/>
          <w:color w:val="auto"/>
          <w:sz w:val="22"/>
          <w:szCs w:val="22"/>
        </w:rPr>
      </w:pPr>
      <w:r>
        <w:rPr>
          <w:rFonts w:asciiTheme="minorHAnsi" w:hAnsiTheme="minorHAnsi" w:cstheme="minorHAnsi"/>
          <w:i w:val="0"/>
          <w:color w:val="auto"/>
          <w:sz w:val="22"/>
          <w:szCs w:val="22"/>
        </w:rPr>
        <w:t xml:space="preserve">Appear on the list of qualifying products that can be found at </w:t>
      </w:r>
      <w:hyperlink r:id="rId13" w:history="1">
        <w:r w:rsidRPr="00775251">
          <w:rPr>
            <w:rStyle w:val="Hyperlink"/>
            <w:rFonts w:asciiTheme="minorHAnsi" w:hAnsiTheme="minorHAnsi" w:cstheme="minorHAnsi"/>
            <w:i w:val="0"/>
            <w:sz w:val="22"/>
            <w:szCs w:val="22"/>
          </w:rPr>
          <w:t>www.sce.com/rebates</w:t>
        </w:r>
      </w:hyperlink>
    </w:p>
    <w:p w:rsidR="00131ED1" w:rsidRDefault="00131ED1" w:rsidP="00FB5E26">
      <w:pPr>
        <w:pStyle w:val="Reminder"/>
        <w:numPr>
          <w:ilvl w:val="0"/>
          <w:numId w:val="9"/>
        </w:numPr>
        <w:rPr>
          <w:rFonts w:asciiTheme="minorHAnsi" w:hAnsiTheme="minorHAnsi" w:cstheme="minorHAnsi"/>
          <w:i w:val="0"/>
          <w:color w:val="auto"/>
          <w:sz w:val="22"/>
          <w:szCs w:val="22"/>
        </w:rPr>
      </w:pPr>
      <w:r>
        <w:rPr>
          <w:rFonts w:asciiTheme="minorHAnsi" w:hAnsiTheme="minorHAnsi" w:cstheme="minorHAnsi"/>
          <w:i w:val="0"/>
          <w:color w:val="auto"/>
          <w:sz w:val="22"/>
          <w:szCs w:val="22"/>
        </w:rPr>
        <w:t>Be installed by February 28, 2015</w:t>
      </w:r>
    </w:p>
    <w:p w:rsidR="00FB5E26" w:rsidRPr="004F60B0" w:rsidRDefault="00FB5E26" w:rsidP="00FB5E26">
      <w:pPr>
        <w:pStyle w:val="Reminder"/>
        <w:numPr>
          <w:ilvl w:val="0"/>
          <w:numId w:val="9"/>
        </w:numPr>
        <w:rPr>
          <w:rFonts w:asciiTheme="minorHAnsi" w:hAnsiTheme="minorHAnsi" w:cstheme="minorHAnsi"/>
          <w:i w:val="0"/>
          <w:color w:val="auto"/>
          <w:sz w:val="22"/>
          <w:szCs w:val="22"/>
        </w:rPr>
      </w:pPr>
      <w:r w:rsidRPr="004F60B0">
        <w:rPr>
          <w:rFonts w:asciiTheme="minorHAnsi" w:hAnsiTheme="minorHAnsi" w:cstheme="minorHAnsi"/>
          <w:i w:val="0"/>
          <w:color w:val="auto"/>
          <w:sz w:val="22"/>
          <w:szCs w:val="22"/>
        </w:rPr>
        <w:t xml:space="preserve">Be permanently installed. </w:t>
      </w:r>
    </w:p>
    <w:p w:rsidR="00FB5E26" w:rsidRPr="004F60B0" w:rsidRDefault="00FB5E26" w:rsidP="00FB5E26">
      <w:pPr>
        <w:pStyle w:val="Reminder"/>
        <w:numPr>
          <w:ilvl w:val="0"/>
          <w:numId w:val="9"/>
        </w:numPr>
        <w:rPr>
          <w:rFonts w:asciiTheme="minorHAnsi" w:hAnsiTheme="minorHAnsi" w:cstheme="minorHAnsi"/>
          <w:i w:val="0"/>
          <w:color w:val="auto"/>
          <w:sz w:val="22"/>
          <w:szCs w:val="22"/>
        </w:rPr>
      </w:pPr>
      <w:r w:rsidRPr="004F60B0">
        <w:rPr>
          <w:rFonts w:asciiTheme="minorHAnsi" w:hAnsiTheme="minorHAnsi" w:cstheme="minorHAnsi"/>
          <w:i w:val="0"/>
          <w:color w:val="auto"/>
          <w:sz w:val="22"/>
          <w:szCs w:val="22"/>
        </w:rPr>
        <w:t xml:space="preserve">Have UL recognized electrical components. </w:t>
      </w:r>
    </w:p>
    <w:p w:rsidR="00FB5E26" w:rsidRPr="004F60B0" w:rsidRDefault="00FB5E26" w:rsidP="00FB5E26">
      <w:pPr>
        <w:pStyle w:val="Reminder"/>
        <w:numPr>
          <w:ilvl w:val="0"/>
          <w:numId w:val="9"/>
        </w:numPr>
        <w:rPr>
          <w:rFonts w:asciiTheme="minorHAnsi" w:hAnsiTheme="minorHAnsi" w:cstheme="minorHAnsi"/>
          <w:i w:val="0"/>
          <w:color w:val="auto"/>
          <w:sz w:val="22"/>
          <w:szCs w:val="22"/>
        </w:rPr>
      </w:pPr>
      <w:r w:rsidRPr="004F60B0">
        <w:rPr>
          <w:rFonts w:asciiTheme="minorHAnsi" w:hAnsiTheme="minorHAnsi" w:cstheme="minorHAnsi"/>
          <w:i w:val="0"/>
          <w:color w:val="auto"/>
          <w:sz w:val="22"/>
          <w:szCs w:val="22"/>
        </w:rPr>
        <w:t xml:space="preserve">Come with a water quality management system that provides positive removal of sump water on a regular interval (a bleed system is not allowed). </w:t>
      </w:r>
    </w:p>
    <w:p w:rsidR="00FB5E26" w:rsidRPr="004F60B0" w:rsidRDefault="00FB5E26" w:rsidP="00FB5E26">
      <w:pPr>
        <w:pStyle w:val="Reminder"/>
        <w:numPr>
          <w:ilvl w:val="0"/>
          <w:numId w:val="9"/>
        </w:numPr>
        <w:rPr>
          <w:rFonts w:asciiTheme="minorHAnsi" w:hAnsiTheme="minorHAnsi" w:cstheme="minorHAnsi"/>
          <w:i w:val="0"/>
          <w:color w:val="auto"/>
          <w:sz w:val="22"/>
          <w:szCs w:val="22"/>
        </w:rPr>
      </w:pPr>
      <w:r w:rsidRPr="004F60B0">
        <w:rPr>
          <w:rFonts w:asciiTheme="minorHAnsi" w:hAnsiTheme="minorHAnsi" w:cstheme="minorHAnsi"/>
          <w:i w:val="0"/>
          <w:color w:val="auto"/>
          <w:sz w:val="22"/>
          <w:szCs w:val="22"/>
        </w:rPr>
        <w:t xml:space="preserve">Have a single duct or multi ducted distribution system. </w:t>
      </w:r>
    </w:p>
    <w:p w:rsidR="00FB5E26" w:rsidRPr="004F60B0" w:rsidRDefault="00FB5E26" w:rsidP="00FB5E26">
      <w:pPr>
        <w:pStyle w:val="Reminder"/>
        <w:numPr>
          <w:ilvl w:val="0"/>
          <w:numId w:val="9"/>
        </w:numPr>
        <w:rPr>
          <w:rFonts w:asciiTheme="minorHAnsi" w:hAnsiTheme="minorHAnsi" w:cstheme="minorHAnsi"/>
          <w:i w:val="0"/>
          <w:color w:val="auto"/>
          <w:sz w:val="22"/>
          <w:szCs w:val="22"/>
        </w:rPr>
      </w:pPr>
      <w:r w:rsidRPr="004F60B0">
        <w:rPr>
          <w:rFonts w:asciiTheme="minorHAnsi" w:hAnsiTheme="minorHAnsi" w:cstheme="minorHAnsi"/>
          <w:i w:val="0"/>
          <w:color w:val="auto"/>
          <w:sz w:val="22"/>
          <w:szCs w:val="22"/>
        </w:rPr>
        <w:t xml:space="preserve">Have either: </w:t>
      </w:r>
    </w:p>
    <w:p w:rsidR="00FB5E26" w:rsidRPr="004F60B0" w:rsidRDefault="00FB5E26" w:rsidP="00FB5E26">
      <w:pPr>
        <w:pStyle w:val="Reminder"/>
        <w:numPr>
          <w:ilvl w:val="0"/>
          <w:numId w:val="10"/>
        </w:numPr>
        <w:rPr>
          <w:rFonts w:asciiTheme="minorHAnsi" w:hAnsiTheme="minorHAnsi" w:cstheme="minorHAnsi"/>
          <w:i w:val="0"/>
          <w:color w:val="auto"/>
          <w:sz w:val="22"/>
          <w:szCs w:val="22"/>
        </w:rPr>
      </w:pPr>
      <w:r w:rsidRPr="004F60B0">
        <w:rPr>
          <w:rFonts w:asciiTheme="minorHAnsi" w:hAnsiTheme="minorHAnsi" w:cstheme="minorHAnsi"/>
          <w:i w:val="0"/>
          <w:color w:val="auto"/>
          <w:sz w:val="22"/>
          <w:szCs w:val="22"/>
        </w:rPr>
        <w:t xml:space="preserve">A multi-function manual control switch which offers high and low fan speed, pump on or off and the unit control of on or off. When a multifunction manual control switch is used, pressure relief dampers are not required. </w:t>
      </w:r>
    </w:p>
    <w:p w:rsidR="00FB5E26" w:rsidRPr="004F60B0" w:rsidRDefault="00FB5E26" w:rsidP="00FB5E26">
      <w:pPr>
        <w:pStyle w:val="Reminder"/>
        <w:numPr>
          <w:ilvl w:val="0"/>
          <w:numId w:val="10"/>
        </w:numPr>
        <w:rPr>
          <w:rFonts w:asciiTheme="minorHAnsi" w:hAnsiTheme="minorHAnsi" w:cstheme="minorHAnsi"/>
          <w:i w:val="0"/>
          <w:color w:val="auto"/>
          <w:sz w:val="22"/>
          <w:szCs w:val="22"/>
        </w:rPr>
      </w:pPr>
      <w:r w:rsidRPr="004F60B0">
        <w:rPr>
          <w:rFonts w:asciiTheme="minorHAnsi" w:hAnsiTheme="minorHAnsi" w:cstheme="minorHAnsi"/>
          <w:i w:val="0"/>
          <w:color w:val="auto"/>
          <w:sz w:val="22"/>
          <w:szCs w:val="22"/>
        </w:rPr>
        <w:t xml:space="preserve">A thermostat specifically designed for evaporative </w:t>
      </w:r>
      <w:proofErr w:type="gramStart"/>
      <w:r w:rsidRPr="004F60B0">
        <w:rPr>
          <w:rFonts w:asciiTheme="minorHAnsi" w:hAnsiTheme="minorHAnsi" w:cstheme="minorHAnsi"/>
          <w:i w:val="0"/>
          <w:color w:val="auto"/>
          <w:sz w:val="22"/>
          <w:szCs w:val="22"/>
        </w:rPr>
        <w:t>coolers which automatically controls</w:t>
      </w:r>
      <w:proofErr w:type="gramEnd"/>
      <w:r w:rsidRPr="004F60B0">
        <w:rPr>
          <w:rFonts w:asciiTheme="minorHAnsi" w:hAnsiTheme="minorHAnsi" w:cstheme="minorHAnsi"/>
          <w:i w:val="0"/>
          <w:color w:val="auto"/>
          <w:sz w:val="22"/>
          <w:szCs w:val="22"/>
        </w:rPr>
        <w:t xml:space="preserve"> the unit operation based on the indoor temperature, fan speed, and pump operation. The automatic thermostat must be mounted remotely from the cooler. If new pressure relief dampers are installed, they must be indicated on your proof of purchase. </w:t>
      </w:r>
    </w:p>
    <w:p w:rsidR="00131ED1" w:rsidRPr="00131ED1" w:rsidRDefault="00131ED1" w:rsidP="002C5560">
      <w:pPr>
        <w:pStyle w:val="Reminder"/>
        <w:numPr>
          <w:ilvl w:val="0"/>
          <w:numId w:val="9"/>
        </w:numPr>
        <w:rPr>
          <w:rFonts w:asciiTheme="minorHAnsi" w:hAnsiTheme="minorHAnsi" w:cstheme="minorHAnsi"/>
          <w:i w:val="0"/>
          <w:color w:val="auto"/>
          <w:sz w:val="22"/>
          <w:szCs w:val="22"/>
        </w:rPr>
      </w:pPr>
      <w:r>
        <w:rPr>
          <w:rFonts w:asciiTheme="minorHAnsi" w:hAnsiTheme="minorHAnsi" w:cstheme="minorHAnsi"/>
          <w:i w:val="0"/>
          <w:color w:val="auto"/>
          <w:sz w:val="22"/>
          <w:szCs w:val="22"/>
        </w:rPr>
        <w:t>Note: Evaporative coolers mounted through a window do not qualify for this rebate.</w:t>
      </w:r>
    </w:p>
    <w:p w:rsidR="00FB5E26" w:rsidRPr="004F60B0" w:rsidRDefault="00FB5E26" w:rsidP="00FB5E26">
      <w:pPr>
        <w:pStyle w:val="Reminder"/>
        <w:ind w:left="1080"/>
        <w:rPr>
          <w:rFonts w:asciiTheme="minorHAnsi" w:hAnsiTheme="minorHAnsi" w:cstheme="minorHAnsi"/>
          <w:i w:val="0"/>
          <w:color w:val="auto"/>
          <w:sz w:val="22"/>
          <w:szCs w:val="22"/>
        </w:rPr>
      </w:pPr>
    </w:p>
    <w:p w:rsidR="00FB5E26" w:rsidRDefault="00FB5E26" w:rsidP="00FB5E26">
      <w:pPr>
        <w:pStyle w:val="Reminder"/>
        <w:rPr>
          <w:rFonts w:asciiTheme="minorHAnsi" w:hAnsiTheme="minorHAnsi" w:cstheme="minorHAnsi"/>
          <w:b/>
          <w:i w:val="0"/>
          <w:color w:val="auto"/>
          <w:sz w:val="22"/>
          <w:szCs w:val="22"/>
        </w:rPr>
      </w:pPr>
      <w:r w:rsidRPr="004F60B0">
        <w:rPr>
          <w:rFonts w:asciiTheme="minorHAnsi" w:hAnsiTheme="minorHAnsi" w:cstheme="minorHAnsi"/>
          <w:b/>
          <w:i w:val="0"/>
          <w:color w:val="auto"/>
          <w:sz w:val="22"/>
          <w:szCs w:val="22"/>
        </w:rPr>
        <w:t>Express Solution Rebate Program Requirements</w:t>
      </w:r>
      <w:r w:rsidR="00283DC1">
        <w:rPr>
          <w:rFonts w:asciiTheme="minorHAnsi" w:hAnsiTheme="minorHAnsi" w:cstheme="minorHAnsi"/>
          <w:b/>
          <w:i w:val="0"/>
          <w:color w:val="auto"/>
          <w:sz w:val="22"/>
          <w:szCs w:val="22"/>
        </w:rPr>
        <w:t xml:space="preserve"> (Non-residential)</w:t>
      </w:r>
    </w:p>
    <w:p w:rsidR="00FB5E26" w:rsidRPr="004F60B0" w:rsidRDefault="00FB5E26" w:rsidP="00FB5E26">
      <w:pPr>
        <w:pStyle w:val="Reminders"/>
        <w:rPr>
          <w:rFonts w:asciiTheme="minorHAnsi" w:hAnsiTheme="minorHAnsi" w:cstheme="minorHAnsi"/>
          <w:i w:val="0"/>
          <w:color w:val="auto"/>
          <w:sz w:val="22"/>
          <w:szCs w:val="22"/>
        </w:rPr>
      </w:pPr>
      <w:r w:rsidRPr="004F60B0">
        <w:rPr>
          <w:rFonts w:asciiTheme="minorHAnsi" w:hAnsiTheme="minorHAnsi" w:cstheme="minorHAnsi"/>
          <w:i w:val="0"/>
          <w:color w:val="auto"/>
          <w:sz w:val="22"/>
          <w:szCs w:val="22"/>
        </w:rPr>
        <w:t>Replacement of a vapor-compression air condition system with an evaporative cooler will use rigid, manufactured evaporative media and will be equipped with water quality management systems that provide positive removal of sump water at regular intervals.</w:t>
      </w:r>
    </w:p>
    <w:p w:rsidR="00FB5E26" w:rsidRPr="003B2982" w:rsidRDefault="00FB5E26" w:rsidP="00FB5E26">
      <w:pPr>
        <w:pStyle w:val="Reminders"/>
        <w:rPr>
          <w:rFonts w:asciiTheme="minorHAnsi" w:hAnsiTheme="minorHAnsi" w:cstheme="minorHAnsi"/>
          <w:i w:val="0"/>
          <w:color w:val="auto"/>
          <w:sz w:val="22"/>
          <w:szCs w:val="22"/>
        </w:rPr>
      </w:pPr>
    </w:p>
    <w:p w:rsidR="00FB5E26" w:rsidRPr="0051696C" w:rsidRDefault="00FB5E26" w:rsidP="00FB5E26">
      <w:pPr>
        <w:pStyle w:val="Reminder"/>
        <w:rPr>
          <w:rFonts w:asciiTheme="minorHAnsi" w:hAnsiTheme="minorHAnsi" w:cstheme="minorHAnsi"/>
          <w:b/>
          <w:i w:val="0"/>
          <w:color w:val="auto"/>
          <w:sz w:val="22"/>
          <w:szCs w:val="22"/>
        </w:rPr>
      </w:pPr>
      <w:r w:rsidRPr="0051696C">
        <w:rPr>
          <w:rFonts w:asciiTheme="minorHAnsi" w:hAnsiTheme="minorHAnsi" w:cstheme="minorHAnsi"/>
          <w:b/>
          <w:bCs/>
          <w:i w:val="0"/>
          <w:color w:val="auto"/>
          <w:sz w:val="22"/>
          <w:szCs w:val="22"/>
        </w:rPr>
        <w:t xml:space="preserve">Express Solution Qualifying Questions </w:t>
      </w:r>
    </w:p>
    <w:p w:rsidR="00FB5E26" w:rsidRPr="00BC3362" w:rsidRDefault="00FB5E26" w:rsidP="00FB5E26">
      <w:pPr>
        <w:pStyle w:val="Pa0"/>
        <w:rPr>
          <w:rFonts w:asciiTheme="minorHAnsi" w:eastAsia="Times New Roman" w:hAnsiTheme="minorHAnsi" w:cstheme="minorHAnsi"/>
          <w:sz w:val="22"/>
          <w:szCs w:val="22"/>
        </w:rPr>
      </w:pPr>
      <w:r w:rsidRPr="004F60B0">
        <w:rPr>
          <w:rFonts w:asciiTheme="minorHAnsi" w:eastAsia="Times New Roman" w:hAnsiTheme="minorHAnsi" w:cstheme="minorHAnsi"/>
          <w:sz w:val="22"/>
          <w:szCs w:val="22"/>
        </w:rPr>
        <w:t xml:space="preserve">The answer should be “Yes” to every applicable question in a solution category for a project </w:t>
      </w:r>
      <w:r>
        <w:rPr>
          <w:rFonts w:asciiTheme="minorHAnsi" w:eastAsia="Times New Roman" w:hAnsiTheme="minorHAnsi" w:cstheme="minorHAnsi"/>
          <w:sz w:val="22"/>
          <w:szCs w:val="22"/>
        </w:rPr>
        <w:t xml:space="preserve">to qualify for that incentive. </w:t>
      </w:r>
      <w:r w:rsidRPr="00BC3362">
        <w:rPr>
          <w:rFonts w:asciiTheme="minorHAnsi" w:eastAsia="Times New Roman" w:hAnsiTheme="minorHAnsi" w:cstheme="minorHAnsi"/>
          <w:sz w:val="22"/>
          <w:szCs w:val="22"/>
        </w:rPr>
        <w:t xml:space="preserve">If you answer “No” to any question in the Express Solution section, </w:t>
      </w:r>
      <w:r w:rsidR="007345BF">
        <w:rPr>
          <w:rFonts w:asciiTheme="minorHAnsi" w:eastAsia="Times New Roman" w:hAnsiTheme="minorHAnsi" w:cstheme="minorHAnsi"/>
          <w:sz w:val="22"/>
          <w:szCs w:val="22"/>
        </w:rPr>
        <w:t xml:space="preserve">instead </w:t>
      </w:r>
      <w:r w:rsidRPr="00BC3362">
        <w:rPr>
          <w:rFonts w:asciiTheme="minorHAnsi" w:eastAsia="Times New Roman" w:hAnsiTheme="minorHAnsi" w:cstheme="minorHAnsi"/>
          <w:sz w:val="22"/>
          <w:szCs w:val="22"/>
        </w:rPr>
        <w:t xml:space="preserve">consider a Customized Solution. </w:t>
      </w:r>
    </w:p>
    <w:p w:rsidR="00FB5E26" w:rsidRPr="003B2982" w:rsidRDefault="00FB5E26" w:rsidP="00FB5E26">
      <w:pPr>
        <w:pStyle w:val="Pa13"/>
        <w:rPr>
          <w:rFonts w:cs="Univers LT Std 55"/>
          <w:color w:val="000000"/>
          <w:sz w:val="22"/>
          <w:szCs w:val="22"/>
        </w:rPr>
      </w:pPr>
    </w:p>
    <w:p w:rsidR="00FB5E26" w:rsidRPr="004F60B0" w:rsidRDefault="00FB5E26" w:rsidP="00FB5E26">
      <w:pPr>
        <w:pStyle w:val="Pa13"/>
        <w:numPr>
          <w:ilvl w:val="0"/>
          <w:numId w:val="12"/>
        </w:numPr>
        <w:rPr>
          <w:rFonts w:asciiTheme="minorHAnsi" w:eastAsia="Times New Roman" w:hAnsiTheme="minorHAnsi" w:cstheme="minorHAnsi"/>
          <w:sz w:val="22"/>
          <w:szCs w:val="22"/>
        </w:rPr>
      </w:pPr>
      <w:r w:rsidRPr="004F60B0">
        <w:rPr>
          <w:rFonts w:asciiTheme="minorHAnsi" w:eastAsia="Times New Roman" w:hAnsiTheme="minorHAnsi" w:cstheme="minorHAnsi"/>
          <w:sz w:val="22"/>
          <w:szCs w:val="22"/>
        </w:rPr>
        <w:t xml:space="preserve">Is an existing, vapor-compression air conditioning system being replaced? If not, will the existing compressor be made inoperative? If an existing evaporative cooler is being replaced, is the unit 15 years or older? </w:t>
      </w:r>
    </w:p>
    <w:p w:rsidR="00FB5E26" w:rsidRPr="004F60B0" w:rsidRDefault="00FB5E26" w:rsidP="00FB5E26">
      <w:pPr>
        <w:pStyle w:val="Pa13"/>
        <w:ind w:left="540"/>
        <w:rPr>
          <w:rFonts w:asciiTheme="minorHAnsi" w:eastAsia="Times New Roman" w:hAnsiTheme="minorHAnsi" w:cstheme="minorHAnsi"/>
          <w:sz w:val="22"/>
          <w:szCs w:val="22"/>
        </w:rPr>
      </w:pPr>
    </w:p>
    <w:p w:rsidR="00FB5E26" w:rsidRPr="004F60B0" w:rsidRDefault="00FB5E26" w:rsidP="00FB5E26">
      <w:pPr>
        <w:pStyle w:val="Pa13"/>
        <w:numPr>
          <w:ilvl w:val="0"/>
          <w:numId w:val="11"/>
        </w:numPr>
        <w:ind w:left="540"/>
        <w:rPr>
          <w:rFonts w:asciiTheme="minorHAnsi" w:eastAsia="Times New Roman" w:hAnsiTheme="minorHAnsi" w:cstheme="minorHAnsi"/>
          <w:sz w:val="22"/>
          <w:szCs w:val="22"/>
        </w:rPr>
      </w:pPr>
      <w:r w:rsidRPr="004F60B0">
        <w:rPr>
          <w:rFonts w:asciiTheme="minorHAnsi" w:eastAsia="Times New Roman" w:hAnsiTheme="minorHAnsi" w:cstheme="minorHAnsi"/>
          <w:sz w:val="22"/>
          <w:szCs w:val="22"/>
        </w:rPr>
        <w:t xml:space="preserve">Will retrofitted system not have “constant bleed” option? Constant bleed systems use constant draining to prevent mineral buildup and can use as much 5 gallons of water per hour. Advanced evaporative coolers should include a “sump dump system” that removes water and mineral buildup from the sump every 6 hours of operation. Optionally, water treatment systems may also be used in areas where water is high in mineral content. </w:t>
      </w:r>
    </w:p>
    <w:p w:rsidR="00FB5E26" w:rsidRPr="004F60B0" w:rsidRDefault="00FB5E26" w:rsidP="00FB5E26">
      <w:pPr>
        <w:pStyle w:val="Pa13"/>
        <w:ind w:left="540"/>
        <w:rPr>
          <w:rFonts w:asciiTheme="minorHAnsi" w:eastAsia="Times New Roman" w:hAnsiTheme="minorHAnsi" w:cstheme="minorHAnsi"/>
          <w:sz w:val="22"/>
          <w:szCs w:val="22"/>
        </w:rPr>
      </w:pPr>
    </w:p>
    <w:p w:rsidR="00FB5E26" w:rsidRPr="004F60B0" w:rsidRDefault="00FB5E26" w:rsidP="00FB5E26">
      <w:pPr>
        <w:pStyle w:val="Pa13"/>
        <w:numPr>
          <w:ilvl w:val="0"/>
          <w:numId w:val="11"/>
        </w:numPr>
        <w:ind w:left="540"/>
        <w:rPr>
          <w:rFonts w:asciiTheme="minorHAnsi" w:eastAsia="Times New Roman" w:hAnsiTheme="minorHAnsi" w:cstheme="minorHAnsi"/>
          <w:sz w:val="22"/>
          <w:szCs w:val="22"/>
        </w:rPr>
      </w:pPr>
      <w:r w:rsidRPr="004F60B0">
        <w:rPr>
          <w:rFonts w:asciiTheme="minorHAnsi" w:eastAsia="Times New Roman" w:hAnsiTheme="minorHAnsi" w:cstheme="minorHAnsi"/>
          <w:sz w:val="22"/>
          <w:szCs w:val="22"/>
        </w:rPr>
        <w:t xml:space="preserve">Is the project site in climate zones 9, 10, 13, 14, or 15? </w:t>
      </w:r>
    </w:p>
    <w:p w:rsidR="00FB5E26" w:rsidRPr="004F60B0" w:rsidRDefault="00FB5E26" w:rsidP="00FB5E26">
      <w:pPr>
        <w:pStyle w:val="Pa13"/>
        <w:ind w:left="540"/>
        <w:rPr>
          <w:rFonts w:asciiTheme="minorHAnsi" w:eastAsia="Times New Roman" w:hAnsiTheme="minorHAnsi" w:cstheme="minorHAnsi"/>
          <w:sz w:val="22"/>
          <w:szCs w:val="22"/>
        </w:rPr>
      </w:pPr>
    </w:p>
    <w:p w:rsidR="00FB5E26" w:rsidRPr="004F60B0" w:rsidRDefault="00FB5E26" w:rsidP="00FB5E26">
      <w:pPr>
        <w:pStyle w:val="Pa13"/>
        <w:numPr>
          <w:ilvl w:val="0"/>
          <w:numId w:val="11"/>
        </w:numPr>
        <w:ind w:left="540"/>
        <w:rPr>
          <w:rFonts w:asciiTheme="minorHAnsi" w:eastAsia="Times New Roman" w:hAnsiTheme="minorHAnsi" w:cstheme="minorHAnsi"/>
          <w:sz w:val="22"/>
          <w:szCs w:val="22"/>
        </w:rPr>
      </w:pPr>
      <w:r w:rsidRPr="004F60B0">
        <w:rPr>
          <w:rFonts w:asciiTheme="minorHAnsi" w:eastAsia="Times New Roman" w:hAnsiTheme="minorHAnsi" w:cstheme="minorHAnsi"/>
          <w:sz w:val="22"/>
          <w:szCs w:val="22"/>
        </w:rPr>
        <w:t xml:space="preserve">Is tonnage on Incentives Application based on the capacity of the package unit that is being replaced? For evaporative coolers, one equivalent ton of cooling is defined as 1,300 cfm of 0.1" static pressure. The invoice should contain information describing what is being replaced. </w:t>
      </w:r>
    </w:p>
    <w:p w:rsidR="00FB5E26" w:rsidRPr="004F60B0" w:rsidRDefault="00FB5E26" w:rsidP="00FB5E26">
      <w:pPr>
        <w:pStyle w:val="Pa13"/>
        <w:ind w:left="540"/>
        <w:rPr>
          <w:rFonts w:asciiTheme="minorHAnsi" w:eastAsia="Times New Roman" w:hAnsiTheme="minorHAnsi" w:cstheme="minorHAnsi"/>
          <w:sz w:val="22"/>
          <w:szCs w:val="22"/>
        </w:rPr>
      </w:pPr>
    </w:p>
    <w:p w:rsidR="00FB5E26" w:rsidRPr="004F60B0" w:rsidRDefault="00FB5E26" w:rsidP="00FB5E26">
      <w:pPr>
        <w:pStyle w:val="Pa13"/>
        <w:numPr>
          <w:ilvl w:val="0"/>
          <w:numId w:val="11"/>
        </w:numPr>
        <w:ind w:left="540"/>
        <w:rPr>
          <w:rFonts w:asciiTheme="minorHAnsi" w:hAnsiTheme="minorHAnsi" w:cstheme="minorHAnsi"/>
          <w:sz w:val="22"/>
          <w:szCs w:val="22"/>
        </w:rPr>
      </w:pPr>
      <w:r w:rsidRPr="004F60B0">
        <w:rPr>
          <w:rFonts w:asciiTheme="minorHAnsi" w:hAnsiTheme="minorHAnsi" w:cstheme="minorHAnsi"/>
          <w:sz w:val="22"/>
          <w:szCs w:val="22"/>
        </w:rPr>
        <w:t>Does the advanced evaporative cooler (AEC) have a rigid, manufactured evaporative media with a rated saturation effectiveness of 0.85 or better (a natural fiber pad is not allowed—the rigid media is generally 12” thick), and is equipped with water quality management system that provides positive removal of sump water on a regular interval not to exceed 1 time for every 6 hours of operation (a bleed system is not allowed)?</w:t>
      </w:r>
    </w:p>
    <w:p w:rsidR="00FB5E26" w:rsidRPr="004F60B0" w:rsidRDefault="00FB5E26" w:rsidP="00FB5E26">
      <w:pPr>
        <w:pStyle w:val="Default"/>
        <w:rPr>
          <w:sz w:val="22"/>
          <w:szCs w:val="22"/>
        </w:rPr>
      </w:pPr>
    </w:p>
    <w:p w:rsidR="00FB5E26" w:rsidRPr="0051696C" w:rsidRDefault="00FB5E26" w:rsidP="00FB5E26">
      <w:pPr>
        <w:pStyle w:val="Reminders"/>
        <w:rPr>
          <w:rFonts w:asciiTheme="minorHAnsi" w:hAnsiTheme="minorHAnsi" w:cstheme="minorHAnsi"/>
          <w:b/>
          <w:i w:val="0"/>
          <w:color w:val="auto"/>
          <w:sz w:val="22"/>
          <w:szCs w:val="22"/>
          <w:u w:val="single"/>
        </w:rPr>
      </w:pPr>
      <w:r w:rsidRPr="0051696C">
        <w:rPr>
          <w:rFonts w:asciiTheme="minorHAnsi" w:hAnsiTheme="minorHAnsi" w:cstheme="minorHAnsi"/>
          <w:b/>
          <w:i w:val="0"/>
          <w:color w:val="auto"/>
          <w:sz w:val="22"/>
          <w:szCs w:val="22"/>
          <w:u w:val="single"/>
        </w:rPr>
        <w:t>Pacific Gas and Electric</w:t>
      </w:r>
      <w:r w:rsidR="00E42327" w:rsidRPr="0051696C">
        <w:rPr>
          <w:rFonts w:asciiTheme="minorHAnsi" w:hAnsiTheme="minorHAnsi" w:cstheme="minorHAnsi"/>
          <w:b/>
          <w:i w:val="0"/>
          <w:color w:val="auto"/>
          <w:sz w:val="22"/>
          <w:szCs w:val="22"/>
          <w:u w:val="single"/>
        </w:rPr>
        <w:t xml:space="preserve"> (Residential)</w:t>
      </w:r>
    </w:p>
    <w:p w:rsidR="00FB5E26" w:rsidRPr="0092031B" w:rsidRDefault="00FB5E26" w:rsidP="00FB5E26">
      <w:pPr>
        <w:pStyle w:val="Reminders"/>
        <w:rPr>
          <w:rFonts w:asciiTheme="minorHAnsi" w:hAnsiTheme="minorHAnsi" w:cstheme="minorHAnsi"/>
          <w:i w:val="0"/>
          <w:color w:val="auto"/>
          <w:sz w:val="22"/>
          <w:szCs w:val="22"/>
        </w:rPr>
      </w:pPr>
      <w:r w:rsidRPr="0092031B">
        <w:rPr>
          <w:rFonts w:asciiTheme="minorHAnsi" w:hAnsiTheme="minorHAnsi" w:cstheme="minorHAnsi"/>
          <w:i w:val="0"/>
          <w:color w:val="auto"/>
          <w:sz w:val="22"/>
          <w:szCs w:val="22"/>
        </w:rPr>
        <w:t>An Advanced Evaporative Cooler Level 1</w:t>
      </w:r>
      <w:r>
        <w:rPr>
          <w:rFonts w:asciiTheme="minorHAnsi" w:hAnsiTheme="minorHAnsi" w:cstheme="minorHAnsi"/>
          <w:i w:val="0"/>
          <w:color w:val="auto"/>
          <w:sz w:val="22"/>
          <w:szCs w:val="22"/>
        </w:rPr>
        <w:t xml:space="preserve"> </w:t>
      </w:r>
      <w:r w:rsidRPr="0092031B">
        <w:rPr>
          <w:rFonts w:asciiTheme="minorHAnsi" w:hAnsiTheme="minorHAnsi" w:cstheme="minorHAnsi"/>
          <w:i w:val="0"/>
          <w:color w:val="auto"/>
          <w:sz w:val="22"/>
          <w:szCs w:val="22"/>
        </w:rPr>
        <w:t xml:space="preserve">(AEC-1) must have a rigid media direct stage, manufactured evaporative media with a rated saturation effectiveness of 0.85 or better (a natural fiber pad is not allowed – the rigid media is generally 8” or 12” thick), a two speed fan,  a multi-position control switch that allows two fan speed operation and fan only operation and </w:t>
      </w:r>
      <w:r w:rsidR="002B50C8">
        <w:rPr>
          <w:rFonts w:asciiTheme="minorHAnsi" w:hAnsiTheme="minorHAnsi" w:cstheme="minorHAnsi"/>
          <w:i w:val="0"/>
          <w:color w:val="auto"/>
          <w:sz w:val="22"/>
          <w:szCs w:val="22"/>
        </w:rPr>
        <w:t xml:space="preserve">a </w:t>
      </w:r>
      <w:r w:rsidRPr="0092031B">
        <w:rPr>
          <w:rFonts w:asciiTheme="minorHAnsi" w:hAnsiTheme="minorHAnsi" w:cstheme="minorHAnsi"/>
          <w:i w:val="0"/>
          <w:color w:val="auto"/>
          <w:sz w:val="22"/>
          <w:szCs w:val="22"/>
        </w:rPr>
        <w:t xml:space="preserve">water quality management system that provides positive removal of sump water on a regular interval </w:t>
      </w:r>
      <w:r w:rsidR="002B50C8">
        <w:rPr>
          <w:rFonts w:asciiTheme="minorHAnsi" w:hAnsiTheme="minorHAnsi" w:cstheme="minorHAnsi"/>
          <w:i w:val="0"/>
          <w:color w:val="auto"/>
          <w:sz w:val="22"/>
          <w:szCs w:val="22"/>
        </w:rPr>
        <w:t>(</w:t>
      </w:r>
      <w:r w:rsidRPr="0092031B">
        <w:rPr>
          <w:rFonts w:asciiTheme="minorHAnsi" w:hAnsiTheme="minorHAnsi" w:cstheme="minorHAnsi"/>
          <w:i w:val="0"/>
          <w:color w:val="auto"/>
          <w:sz w:val="22"/>
          <w:szCs w:val="22"/>
        </w:rPr>
        <w:t>a bleed system is not allowed</w:t>
      </w:r>
      <w:r w:rsidR="002B50C8">
        <w:rPr>
          <w:rFonts w:asciiTheme="minorHAnsi" w:hAnsiTheme="minorHAnsi" w:cstheme="minorHAnsi"/>
          <w:i w:val="0"/>
          <w:color w:val="auto"/>
          <w:sz w:val="22"/>
          <w:szCs w:val="22"/>
        </w:rPr>
        <w:t>)</w:t>
      </w:r>
      <w:r w:rsidRPr="0092031B">
        <w:rPr>
          <w:rFonts w:asciiTheme="minorHAnsi" w:hAnsiTheme="minorHAnsi" w:cstheme="minorHAnsi"/>
          <w:i w:val="0"/>
          <w:color w:val="auto"/>
          <w:sz w:val="22"/>
          <w:szCs w:val="22"/>
        </w:rPr>
        <w:t>.</w:t>
      </w:r>
    </w:p>
    <w:p w:rsidR="00FB5E26" w:rsidRDefault="00FB5E26" w:rsidP="00FB5E26">
      <w:pPr>
        <w:pStyle w:val="Reminders"/>
        <w:rPr>
          <w:rFonts w:asciiTheme="minorHAnsi" w:hAnsiTheme="minorHAnsi" w:cstheme="minorHAnsi"/>
          <w:i w:val="0"/>
          <w:color w:val="auto"/>
          <w:sz w:val="22"/>
          <w:szCs w:val="22"/>
        </w:rPr>
      </w:pPr>
    </w:p>
    <w:p w:rsidR="00FB5E26" w:rsidRPr="00320AF2" w:rsidRDefault="00FB5E26" w:rsidP="00FB5E26">
      <w:pPr>
        <w:pStyle w:val="Reminders"/>
        <w:rPr>
          <w:rFonts w:asciiTheme="minorHAnsi" w:hAnsiTheme="minorHAnsi" w:cstheme="minorHAnsi"/>
          <w:i w:val="0"/>
          <w:color w:val="auto"/>
          <w:sz w:val="22"/>
          <w:szCs w:val="22"/>
        </w:rPr>
      </w:pPr>
      <w:r w:rsidRPr="004F60B0">
        <w:rPr>
          <w:rFonts w:asciiTheme="minorHAnsi" w:hAnsiTheme="minorHAnsi" w:cstheme="minorHAnsi"/>
          <w:i w:val="0"/>
          <w:color w:val="auto"/>
          <w:sz w:val="22"/>
          <w:szCs w:val="22"/>
        </w:rPr>
        <w:t>To be eligible for these measures, customers must be a PG&amp;E electric customer, live in a multifamily dwelling and live in Climate Zones 11, 12 or 13</w:t>
      </w:r>
      <w:r w:rsidRPr="00FB5E26">
        <w:rPr>
          <w:rFonts w:asciiTheme="minorHAnsi" w:hAnsiTheme="minorHAnsi" w:cstheme="minorHAnsi"/>
          <w:i w:val="0"/>
          <w:color w:val="auto"/>
          <w:sz w:val="22"/>
          <w:szCs w:val="22"/>
        </w:rPr>
        <w:t>. PG&amp;E currently does not offer a rebate for customers living a single family or mobile homes.</w:t>
      </w:r>
    </w:p>
    <w:p w:rsidR="00E16609" w:rsidRPr="00697868" w:rsidRDefault="00E16609" w:rsidP="00697868">
      <w:pPr>
        <w:pStyle w:val="Heading2"/>
        <w:rPr>
          <w:rFonts w:asciiTheme="minorHAnsi" w:hAnsiTheme="minorHAnsi"/>
        </w:rPr>
      </w:pPr>
      <w:r w:rsidRPr="00697868">
        <w:rPr>
          <w:rFonts w:asciiTheme="minorHAnsi" w:hAnsiTheme="minorHAnsi"/>
        </w:rPr>
        <w:t>1.</w:t>
      </w:r>
      <w:r w:rsidR="00AC5309" w:rsidRPr="00697868">
        <w:rPr>
          <w:rFonts w:asciiTheme="minorHAnsi" w:hAnsiTheme="minorHAnsi"/>
        </w:rPr>
        <w:t>2</w:t>
      </w:r>
      <w:r w:rsidRPr="00697868">
        <w:rPr>
          <w:rFonts w:asciiTheme="minorHAnsi" w:hAnsiTheme="minorHAnsi"/>
        </w:rPr>
        <w:t xml:space="preserve"> </w:t>
      </w:r>
      <w:r w:rsidR="00697868" w:rsidRPr="00697868">
        <w:rPr>
          <w:rFonts w:asciiTheme="minorHAnsi" w:hAnsiTheme="minorHAnsi"/>
        </w:rPr>
        <w:t>Technical</w:t>
      </w:r>
      <w:r w:rsidRPr="00697868">
        <w:rPr>
          <w:rFonts w:asciiTheme="minorHAnsi" w:hAnsiTheme="minorHAnsi"/>
        </w:rPr>
        <w:t xml:space="preserve"> Description</w:t>
      </w:r>
    </w:p>
    <w:p w:rsidR="00186592" w:rsidRPr="0079630A" w:rsidRDefault="00186592" w:rsidP="00186592">
      <w:pPr>
        <w:widowControl w:val="0"/>
        <w:rPr>
          <w:rFonts w:asciiTheme="minorHAnsi" w:hAnsiTheme="minorHAnsi" w:cstheme="minorHAnsi"/>
          <w:sz w:val="22"/>
          <w:szCs w:val="22"/>
        </w:rPr>
      </w:pPr>
      <w:r w:rsidRPr="0079630A">
        <w:rPr>
          <w:rFonts w:asciiTheme="minorHAnsi" w:hAnsiTheme="minorHAnsi" w:cstheme="minorHAnsi"/>
          <w:sz w:val="22"/>
          <w:szCs w:val="22"/>
        </w:rPr>
        <w:t>Direct evaporative cooling is achieved by passing outdoor air through a wetted media and distributing it into the indoor space. Evaporating water from this media removes sensible heat from the airstream, lowering its dry bulb temperature. At the same time, moisture is added to the airstream, raising its relative humidity, which can sometimes reach uncomfortable levels. However, for most conditions throughout a typical cooling season, direct evaporative cooling can adequately meet cooling loads and maintain reasonable humidity levels.</w:t>
      </w:r>
    </w:p>
    <w:p w:rsidR="00697868" w:rsidRPr="00697868" w:rsidRDefault="00697868" w:rsidP="00697868">
      <w:pPr>
        <w:pStyle w:val="Heading2"/>
        <w:rPr>
          <w:rFonts w:asciiTheme="minorHAnsi" w:hAnsiTheme="minorHAnsi"/>
        </w:rPr>
      </w:pPr>
      <w:r w:rsidRPr="00697868">
        <w:rPr>
          <w:rFonts w:asciiTheme="minorHAnsi" w:hAnsiTheme="minorHAnsi"/>
        </w:rPr>
        <w:t>1.</w:t>
      </w:r>
      <w:r>
        <w:rPr>
          <w:rFonts w:asciiTheme="minorHAnsi" w:hAnsiTheme="minorHAnsi"/>
        </w:rPr>
        <w:t>3 Measure Application Type</w:t>
      </w:r>
    </w:p>
    <w:p w:rsidR="004D7BC8" w:rsidRDefault="004D7BC8" w:rsidP="004D7BC8">
      <w:pPr>
        <w:pStyle w:val="Reminder"/>
        <w:rPr>
          <w:rFonts w:asciiTheme="minorHAnsi" w:hAnsiTheme="minorHAnsi" w:cstheme="minorHAnsi"/>
          <w:i w:val="0"/>
          <w:color w:val="auto"/>
          <w:sz w:val="22"/>
          <w:szCs w:val="22"/>
        </w:rPr>
      </w:pPr>
      <w:r w:rsidRPr="00780F17">
        <w:rPr>
          <w:rFonts w:asciiTheme="minorHAnsi" w:hAnsiTheme="minorHAnsi" w:cstheme="minorHAnsi"/>
          <w:i w:val="0"/>
          <w:color w:val="auto"/>
          <w:sz w:val="22"/>
          <w:szCs w:val="22"/>
        </w:rPr>
        <w:t>The delivery method is Financial Support – Down-Stream – Deemed and Financial Support – Direct Install.</w:t>
      </w:r>
    </w:p>
    <w:p w:rsidR="004D7BC8" w:rsidRDefault="004D7BC8" w:rsidP="004D7BC8">
      <w:pPr>
        <w:pStyle w:val="Reminder"/>
        <w:rPr>
          <w:rFonts w:asciiTheme="minorHAnsi" w:hAnsiTheme="minorHAnsi" w:cstheme="minorHAnsi"/>
          <w:i w:val="0"/>
          <w:color w:val="auto"/>
          <w:sz w:val="22"/>
          <w:szCs w:val="22"/>
        </w:rPr>
      </w:pPr>
    </w:p>
    <w:p w:rsidR="004D7BC8" w:rsidRDefault="004D7BC8" w:rsidP="004D7BC8">
      <w:pPr>
        <w:pStyle w:val="Reminder"/>
        <w:rPr>
          <w:rFonts w:asciiTheme="minorHAnsi" w:hAnsiTheme="minorHAnsi" w:cstheme="minorHAnsi"/>
          <w:i w:val="0"/>
          <w:color w:val="auto"/>
          <w:sz w:val="22"/>
          <w:szCs w:val="22"/>
        </w:rPr>
      </w:pPr>
      <w:r w:rsidRPr="00780F17">
        <w:rPr>
          <w:rFonts w:asciiTheme="minorHAnsi" w:hAnsiTheme="minorHAnsi" w:cstheme="minorHAnsi"/>
          <w:i w:val="0"/>
          <w:color w:val="auto"/>
          <w:sz w:val="22"/>
          <w:szCs w:val="22"/>
        </w:rPr>
        <w:t xml:space="preserve">The </w:t>
      </w:r>
      <w:r w:rsidR="002612C7">
        <w:rPr>
          <w:rFonts w:asciiTheme="minorHAnsi" w:hAnsiTheme="minorHAnsi" w:cstheme="minorHAnsi"/>
          <w:i w:val="0"/>
          <w:color w:val="auto"/>
          <w:sz w:val="22"/>
          <w:szCs w:val="22"/>
        </w:rPr>
        <w:t>program type/application type</w:t>
      </w:r>
      <w:r>
        <w:rPr>
          <w:rFonts w:asciiTheme="minorHAnsi" w:hAnsiTheme="minorHAnsi" w:cstheme="minorHAnsi"/>
          <w:i w:val="0"/>
          <w:color w:val="auto"/>
          <w:sz w:val="22"/>
          <w:szCs w:val="22"/>
        </w:rPr>
        <w:t xml:space="preserve"> for these measures</w:t>
      </w:r>
      <w:r w:rsidRPr="00780F17">
        <w:rPr>
          <w:rFonts w:asciiTheme="minorHAnsi" w:hAnsiTheme="minorHAnsi" w:cstheme="minorHAnsi"/>
          <w:i w:val="0"/>
          <w:color w:val="auto"/>
          <w:sz w:val="22"/>
          <w:szCs w:val="22"/>
        </w:rPr>
        <w:t xml:space="preserve"> </w:t>
      </w:r>
      <w:r w:rsidR="00F35754">
        <w:rPr>
          <w:rFonts w:asciiTheme="minorHAnsi" w:hAnsiTheme="minorHAnsi" w:cstheme="minorHAnsi"/>
          <w:i w:val="0"/>
          <w:color w:val="auto"/>
          <w:sz w:val="22"/>
          <w:szCs w:val="22"/>
        </w:rPr>
        <w:t>varies by IOU and building sector as shown in table</w:t>
      </w:r>
      <w:r w:rsidR="00A9674A">
        <w:rPr>
          <w:rFonts w:asciiTheme="minorHAnsi" w:hAnsiTheme="minorHAnsi" w:cstheme="minorHAnsi"/>
          <w:i w:val="0"/>
          <w:color w:val="auto"/>
          <w:sz w:val="22"/>
          <w:szCs w:val="22"/>
        </w:rPr>
        <w:t xml:space="preserve"> 2</w:t>
      </w:r>
      <w:r w:rsidR="00F35754">
        <w:rPr>
          <w:rFonts w:asciiTheme="minorHAnsi" w:hAnsiTheme="minorHAnsi" w:cstheme="minorHAnsi"/>
          <w:i w:val="0"/>
          <w:color w:val="auto"/>
          <w:sz w:val="22"/>
          <w:szCs w:val="22"/>
        </w:rPr>
        <w:t xml:space="preserve"> below.  </w:t>
      </w:r>
    </w:p>
    <w:p w:rsidR="00F35754" w:rsidRDefault="00F35754" w:rsidP="004D7BC8">
      <w:pPr>
        <w:pStyle w:val="Reminder"/>
        <w:rPr>
          <w:rFonts w:asciiTheme="minorHAnsi" w:hAnsiTheme="minorHAnsi" w:cstheme="minorHAnsi"/>
          <w:i w:val="0"/>
          <w:color w:val="auto"/>
          <w:sz w:val="22"/>
          <w:szCs w:val="22"/>
        </w:rPr>
      </w:pPr>
    </w:p>
    <w:p w:rsidR="00131ED1" w:rsidRPr="002C5560" w:rsidRDefault="00131ED1" w:rsidP="002C5560">
      <w:pPr>
        <w:pStyle w:val="Caption"/>
        <w:keepNext/>
        <w:jc w:val="center"/>
        <w:rPr>
          <w:rFonts w:asciiTheme="minorHAnsi" w:hAnsiTheme="minorHAnsi"/>
          <w:sz w:val="22"/>
          <w:szCs w:val="22"/>
        </w:rPr>
      </w:pPr>
      <w:r w:rsidRPr="002C5560">
        <w:rPr>
          <w:rFonts w:asciiTheme="minorHAnsi" w:hAnsiTheme="minorHAnsi"/>
          <w:sz w:val="22"/>
          <w:szCs w:val="22"/>
        </w:rPr>
        <w:t xml:space="preserve">Table </w:t>
      </w:r>
      <w:r w:rsidRPr="002C5560">
        <w:rPr>
          <w:rFonts w:asciiTheme="minorHAnsi" w:hAnsiTheme="minorHAnsi"/>
          <w:sz w:val="22"/>
          <w:szCs w:val="22"/>
        </w:rPr>
        <w:fldChar w:fldCharType="begin"/>
      </w:r>
      <w:r w:rsidRPr="002C5560">
        <w:rPr>
          <w:rFonts w:asciiTheme="minorHAnsi" w:hAnsiTheme="minorHAnsi"/>
          <w:sz w:val="22"/>
          <w:szCs w:val="22"/>
        </w:rPr>
        <w:instrText xml:space="preserve"> SEQ Table \* ARABIC </w:instrText>
      </w:r>
      <w:r w:rsidRPr="002C5560">
        <w:rPr>
          <w:rFonts w:asciiTheme="minorHAnsi" w:hAnsiTheme="minorHAnsi"/>
          <w:sz w:val="22"/>
          <w:szCs w:val="22"/>
        </w:rPr>
        <w:fldChar w:fldCharType="separate"/>
      </w:r>
      <w:r w:rsidRPr="002C5560">
        <w:rPr>
          <w:rFonts w:asciiTheme="minorHAnsi" w:hAnsiTheme="minorHAnsi"/>
          <w:noProof/>
          <w:sz w:val="22"/>
          <w:szCs w:val="22"/>
        </w:rPr>
        <w:t>2</w:t>
      </w:r>
      <w:r w:rsidRPr="002C5560">
        <w:rPr>
          <w:rFonts w:asciiTheme="minorHAnsi" w:hAnsiTheme="minorHAnsi"/>
          <w:sz w:val="22"/>
          <w:szCs w:val="22"/>
        </w:rPr>
        <w:fldChar w:fldCharType="end"/>
      </w:r>
      <w:r>
        <w:rPr>
          <w:rFonts w:asciiTheme="minorHAnsi" w:hAnsiTheme="minorHAnsi"/>
          <w:sz w:val="22"/>
          <w:szCs w:val="22"/>
        </w:rPr>
        <w:t xml:space="preserve"> Program Type by Utility and Sector</w:t>
      </w:r>
    </w:p>
    <w:tbl>
      <w:tblPr>
        <w:tblStyle w:val="TableContemporary"/>
        <w:tblW w:w="0" w:type="auto"/>
        <w:jc w:val="center"/>
        <w:tblLook w:val="04A0" w:firstRow="1" w:lastRow="0" w:firstColumn="1" w:lastColumn="0" w:noHBand="0" w:noVBand="1"/>
      </w:tblPr>
      <w:tblGrid>
        <w:gridCol w:w="2439"/>
        <w:gridCol w:w="2259"/>
        <w:gridCol w:w="2880"/>
      </w:tblGrid>
      <w:tr w:rsidR="00131ED1" w:rsidRPr="00697868" w:rsidTr="002C5560">
        <w:trPr>
          <w:cnfStyle w:val="100000000000" w:firstRow="1" w:lastRow="0" w:firstColumn="0" w:lastColumn="0" w:oddVBand="0" w:evenVBand="0" w:oddHBand="0" w:evenHBand="0" w:firstRowFirstColumn="0" w:firstRowLastColumn="0" w:lastRowFirstColumn="0" w:lastRowLastColumn="0"/>
          <w:jc w:val="center"/>
        </w:trPr>
        <w:tc>
          <w:tcPr>
            <w:tcW w:w="2439" w:type="dxa"/>
          </w:tcPr>
          <w:p w:rsidR="00131ED1" w:rsidRPr="00697868" w:rsidRDefault="00131ED1" w:rsidP="00C3193F">
            <w:pPr>
              <w:rPr>
                <w:rFonts w:asciiTheme="minorHAnsi" w:hAnsiTheme="minorHAnsi" w:cstheme="minorHAnsi"/>
                <w:sz w:val="20"/>
                <w:szCs w:val="20"/>
              </w:rPr>
            </w:pPr>
            <w:r>
              <w:rPr>
                <w:rFonts w:asciiTheme="minorHAnsi" w:hAnsiTheme="minorHAnsi" w:cstheme="minorHAnsi"/>
                <w:sz w:val="20"/>
                <w:szCs w:val="20"/>
              </w:rPr>
              <w:t>IOU</w:t>
            </w:r>
          </w:p>
        </w:tc>
        <w:tc>
          <w:tcPr>
            <w:tcW w:w="2259" w:type="dxa"/>
          </w:tcPr>
          <w:p w:rsidR="00131ED1" w:rsidRPr="00697868" w:rsidRDefault="00131ED1" w:rsidP="00C3193F">
            <w:pPr>
              <w:rPr>
                <w:rFonts w:asciiTheme="minorHAnsi" w:hAnsiTheme="minorHAnsi" w:cstheme="minorHAnsi"/>
                <w:sz w:val="20"/>
                <w:szCs w:val="20"/>
              </w:rPr>
            </w:pPr>
            <w:r>
              <w:rPr>
                <w:rFonts w:asciiTheme="minorHAnsi" w:hAnsiTheme="minorHAnsi" w:cstheme="minorHAnsi"/>
                <w:sz w:val="20"/>
                <w:szCs w:val="20"/>
              </w:rPr>
              <w:t>Building Sector</w:t>
            </w:r>
          </w:p>
        </w:tc>
        <w:tc>
          <w:tcPr>
            <w:tcW w:w="2880" w:type="dxa"/>
          </w:tcPr>
          <w:p w:rsidR="00131ED1" w:rsidRDefault="00131ED1" w:rsidP="00C3193F">
            <w:pPr>
              <w:rPr>
                <w:rFonts w:asciiTheme="minorHAnsi" w:hAnsiTheme="minorHAnsi" w:cstheme="minorHAnsi"/>
                <w:sz w:val="20"/>
                <w:szCs w:val="20"/>
              </w:rPr>
            </w:pPr>
            <w:r>
              <w:rPr>
                <w:rFonts w:asciiTheme="minorHAnsi" w:hAnsiTheme="minorHAnsi" w:cstheme="minorHAnsi"/>
                <w:sz w:val="20"/>
                <w:szCs w:val="20"/>
              </w:rPr>
              <w:t>Program Type/Application Type</w:t>
            </w:r>
          </w:p>
        </w:tc>
      </w:tr>
      <w:tr w:rsidR="00131ED1" w:rsidRPr="00697868" w:rsidTr="002C5560">
        <w:trPr>
          <w:cnfStyle w:val="000000100000" w:firstRow="0" w:lastRow="0" w:firstColumn="0" w:lastColumn="0" w:oddVBand="0" w:evenVBand="0" w:oddHBand="1" w:evenHBand="0" w:firstRowFirstColumn="0" w:firstRowLastColumn="0" w:lastRowFirstColumn="0" w:lastRowLastColumn="0"/>
          <w:trHeight w:val="243"/>
          <w:jc w:val="center"/>
        </w:trPr>
        <w:tc>
          <w:tcPr>
            <w:tcW w:w="2439" w:type="dxa"/>
          </w:tcPr>
          <w:p w:rsidR="00131ED1" w:rsidRPr="009350BF" w:rsidRDefault="00131ED1" w:rsidP="00C3193F">
            <w:pPr>
              <w:rPr>
                <w:rFonts w:asciiTheme="minorHAnsi" w:hAnsiTheme="minorHAnsi" w:cstheme="minorHAnsi"/>
                <w:sz w:val="20"/>
                <w:szCs w:val="20"/>
              </w:rPr>
            </w:pPr>
            <w:r>
              <w:rPr>
                <w:rFonts w:asciiTheme="minorHAnsi" w:hAnsiTheme="minorHAnsi" w:cstheme="minorHAnsi"/>
                <w:sz w:val="20"/>
                <w:szCs w:val="20"/>
              </w:rPr>
              <w:t>Southern California Edison</w:t>
            </w:r>
          </w:p>
        </w:tc>
        <w:tc>
          <w:tcPr>
            <w:tcW w:w="2259" w:type="dxa"/>
          </w:tcPr>
          <w:p w:rsidR="00131ED1" w:rsidRPr="009350BF" w:rsidRDefault="00131ED1" w:rsidP="00C3193F">
            <w:pPr>
              <w:rPr>
                <w:rFonts w:asciiTheme="minorHAnsi" w:hAnsiTheme="minorHAnsi" w:cstheme="minorHAnsi"/>
                <w:sz w:val="20"/>
                <w:szCs w:val="20"/>
              </w:rPr>
            </w:pPr>
            <w:r>
              <w:rPr>
                <w:rFonts w:asciiTheme="minorHAnsi" w:hAnsiTheme="minorHAnsi" w:cstheme="minorHAnsi"/>
                <w:sz w:val="20"/>
                <w:szCs w:val="20"/>
              </w:rPr>
              <w:t>Residential</w:t>
            </w:r>
          </w:p>
        </w:tc>
        <w:tc>
          <w:tcPr>
            <w:tcW w:w="2880" w:type="dxa"/>
          </w:tcPr>
          <w:p w:rsidR="00131ED1" w:rsidRPr="009350BF" w:rsidRDefault="00131ED1" w:rsidP="00C3193F">
            <w:pPr>
              <w:rPr>
                <w:rFonts w:asciiTheme="minorHAnsi" w:hAnsiTheme="minorHAnsi" w:cstheme="minorHAnsi"/>
                <w:sz w:val="20"/>
                <w:szCs w:val="20"/>
              </w:rPr>
            </w:pPr>
            <w:r>
              <w:rPr>
                <w:rFonts w:asciiTheme="minorHAnsi" w:hAnsiTheme="minorHAnsi" w:cstheme="minorHAnsi"/>
                <w:sz w:val="20"/>
                <w:szCs w:val="20"/>
              </w:rPr>
              <w:t>Retrofit Add-On (REA)</w:t>
            </w:r>
          </w:p>
        </w:tc>
      </w:tr>
      <w:tr w:rsidR="00131ED1" w:rsidRPr="00697868" w:rsidTr="002C5560">
        <w:trPr>
          <w:cnfStyle w:val="000000010000" w:firstRow="0" w:lastRow="0" w:firstColumn="0" w:lastColumn="0" w:oddVBand="0" w:evenVBand="0" w:oddHBand="0" w:evenHBand="1" w:firstRowFirstColumn="0" w:firstRowLastColumn="0" w:lastRowFirstColumn="0" w:lastRowLastColumn="0"/>
          <w:trHeight w:val="243"/>
          <w:jc w:val="center"/>
        </w:trPr>
        <w:tc>
          <w:tcPr>
            <w:tcW w:w="2439" w:type="dxa"/>
          </w:tcPr>
          <w:p w:rsidR="00131ED1" w:rsidRPr="009350BF" w:rsidRDefault="00131ED1" w:rsidP="00C3193F">
            <w:pPr>
              <w:rPr>
                <w:rFonts w:asciiTheme="minorHAnsi" w:hAnsiTheme="minorHAnsi" w:cstheme="minorHAnsi"/>
                <w:sz w:val="20"/>
                <w:szCs w:val="20"/>
              </w:rPr>
            </w:pPr>
            <w:r>
              <w:rPr>
                <w:rFonts w:asciiTheme="minorHAnsi" w:hAnsiTheme="minorHAnsi" w:cstheme="minorHAnsi"/>
                <w:sz w:val="20"/>
                <w:szCs w:val="20"/>
              </w:rPr>
              <w:t>Southern California Edison</w:t>
            </w:r>
          </w:p>
        </w:tc>
        <w:tc>
          <w:tcPr>
            <w:tcW w:w="2259" w:type="dxa"/>
          </w:tcPr>
          <w:p w:rsidR="00131ED1" w:rsidRPr="009350BF" w:rsidRDefault="00131ED1" w:rsidP="00C3193F">
            <w:pPr>
              <w:rPr>
                <w:rFonts w:asciiTheme="minorHAnsi" w:hAnsiTheme="minorHAnsi" w:cstheme="minorHAnsi"/>
                <w:sz w:val="20"/>
                <w:szCs w:val="20"/>
              </w:rPr>
            </w:pPr>
            <w:r>
              <w:rPr>
                <w:rFonts w:asciiTheme="minorHAnsi" w:hAnsiTheme="minorHAnsi" w:cstheme="minorHAnsi"/>
                <w:sz w:val="20"/>
                <w:szCs w:val="20"/>
              </w:rPr>
              <w:t>Non-Residential</w:t>
            </w:r>
          </w:p>
        </w:tc>
        <w:tc>
          <w:tcPr>
            <w:tcW w:w="2880" w:type="dxa"/>
          </w:tcPr>
          <w:p w:rsidR="00131ED1" w:rsidRPr="009350BF" w:rsidRDefault="00E332DA" w:rsidP="00C459A5">
            <w:pPr>
              <w:rPr>
                <w:rFonts w:asciiTheme="minorHAnsi" w:hAnsiTheme="minorHAnsi" w:cstheme="minorHAnsi"/>
                <w:sz w:val="20"/>
                <w:szCs w:val="20"/>
              </w:rPr>
            </w:pPr>
            <w:r>
              <w:rPr>
                <w:rFonts w:asciiTheme="minorHAnsi" w:hAnsiTheme="minorHAnsi" w:cstheme="minorHAnsi"/>
                <w:sz w:val="20"/>
                <w:szCs w:val="20"/>
              </w:rPr>
              <w:t>Replace on Burn-out (ROB)</w:t>
            </w:r>
          </w:p>
        </w:tc>
      </w:tr>
      <w:tr w:rsidR="00131ED1" w:rsidRPr="00697868" w:rsidTr="002C5560">
        <w:trPr>
          <w:cnfStyle w:val="000000100000" w:firstRow="0" w:lastRow="0" w:firstColumn="0" w:lastColumn="0" w:oddVBand="0" w:evenVBand="0" w:oddHBand="1" w:evenHBand="0" w:firstRowFirstColumn="0" w:firstRowLastColumn="0" w:lastRowFirstColumn="0" w:lastRowLastColumn="0"/>
          <w:trHeight w:val="243"/>
          <w:jc w:val="center"/>
        </w:trPr>
        <w:tc>
          <w:tcPr>
            <w:tcW w:w="2439" w:type="dxa"/>
          </w:tcPr>
          <w:p w:rsidR="00131ED1" w:rsidRPr="009350BF" w:rsidRDefault="00131ED1" w:rsidP="00C3193F">
            <w:pPr>
              <w:rPr>
                <w:rFonts w:asciiTheme="minorHAnsi" w:hAnsiTheme="minorHAnsi" w:cstheme="minorHAnsi"/>
                <w:sz w:val="20"/>
                <w:szCs w:val="20"/>
              </w:rPr>
            </w:pPr>
            <w:r>
              <w:rPr>
                <w:rFonts w:asciiTheme="minorHAnsi" w:hAnsiTheme="minorHAnsi" w:cstheme="minorHAnsi"/>
                <w:sz w:val="20"/>
                <w:szCs w:val="20"/>
              </w:rPr>
              <w:t>Pacific Gas and Electric</w:t>
            </w:r>
          </w:p>
        </w:tc>
        <w:tc>
          <w:tcPr>
            <w:tcW w:w="2259" w:type="dxa"/>
          </w:tcPr>
          <w:p w:rsidR="00131ED1" w:rsidRPr="009350BF" w:rsidRDefault="00131ED1" w:rsidP="00C3193F">
            <w:pPr>
              <w:rPr>
                <w:rFonts w:asciiTheme="minorHAnsi" w:hAnsiTheme="minorHAnsi" w:cstheme="minorHAnsi"/>
                <w:sz w:val="20"/>
                <w:szCs w:val="20"/>
              </w:rPr>
            </w:pPr>
            <w:r>
              <w:rPr>
                <w:rFonts w:asciiTheme="minorHAnsi" w:hAnsiTheme="minorHAnsi" w:cstheme="minorHAnsi"/>
                <w:sz w:val="20"/>
                <w:szCs w:val="20"/>
              </w:rPr>
              <w:t>Residential</w:t>
            </w:r>
          </w:p>
        </w:tc>
        <w:tc>
          <w:tcPr>
            <w:tcW w:w="2880" w:type="dxa"/>
          </w:tcPr>
          <w:p w:rsidR="00131ED1" w:rsidRPr="009350BF" w:rsidRDefault="00131ED1" w:rsidP="00C3193F">
            <w:pPr>
              <w:rPr>
                <w:rFonts w:asciiTheme="minorHAnsi" w:hAnsiTheme="minorHAnsi" w:cstheme="minorHAnsi"/>
                <w:sz w:val="20"/>
                <w:szCs w:val="20"/>
              </w:rPr>
            </w:pPr>
            <w:r>
              <w:rPr>
                <w:rFonts w:asciiTheme="minorHAnsi" w:hAnsiTheme="minorHAnsi" w:cstheme="minorHAnsi"/>
                <w:sz w:val="20"/>
                <w:szCs w:val="20"/>
              </w:rPr>
              <w:t>Replace on Burn-out (ROB)</w:t>
            </w:r>
          </w:p>
        </w:tc>
      </w:tr>
    </w:tbl>
    <w:p w:rsidR="00F35754" w:rsidRDefault="00F35754" w:rsidP="004D7BC8">
      <w:pPr>
        <w:pStyle w:val="Reminder"/>
        <w:rPr>
          <w:rFonts w:asciiTheme="minorHAnsi" w:hAnsiTheme="minorHAnsi" w:cstheme="minorHAnsi"/>
          <w:i w:val="0"/>
          <w:color w:val="auto"/>
          <w:sz w:val="22"/>
          <w:szCs w:val="22"/>
        </w:rPr>
      </w:pPr>
    </w:p>
    <w:p w:rsidR="00A9674A" w:rsidRPr="00A9674A" w:rsidRDefault="00A9674A" w:rsidP="004D7BC8">
      <w:pPr>
        <w:pStyle w:val="Reminder"/>
        <w:rPr>
          <w:rFonts w:asciiTheme="minorHAnsi" w:hAnsiTheme="minorHAnsi" w:cstheme="minorHAnsi"/>
          <w:i w:val="0"/>
          <w:color w:val="auto"/>
          <w:sz w:val="22"/>
          <w:szCs w:val="22"/>
        </w:rPr>
      </w:pPr>
      <w:r w:rsidRPr="00A9674A">
        <w:rPr>
          <w:rFonts w:asciiTheme="minorHAnsi" w:hAnsiTheme="minorHAnsi" w:cstheme="minorHAnsi"/>
          <w:i w:val="0"/>
          <w:color w:val="auto"/>
          <w:sz w:val="22"/>
          <w:szCs w:val="22"/>
        </w:rPr>
        <w:t xml:space="preserve">Note: See Appendix A for a comparison of the application types used by and incorporated into SCE systems versus the application types available in the newest revision of DEER 2014. Appendix A will serve as a translation between the outputs of this </w:t>
      </w:r>
      <w:proofErr w:type="spellStart"/>
      <w:r w:rsidRPr="00A9674A">
        <w:rPr>
          <w:rFonts w:asciiTheme="minorHAnsi" w:hAnsiTheme="minorHAnsi" w:cstheme="minorHAnsi"/>
          <w:i w:val="0"/>
          <w:color w:val="auto"/>
          <w:sz w:val="22"/>
          <w:szCs w:val="22"/>
        </w:rPr>
        <w:t>workpaper</w:t>
      </w:r>
      <w:proofErr w:type="spellEnd"/>
      <w:r w:rsidRPr="00A9674A">
        <w:rPr>
          <w:rFonts w:asciiTheme="minorHAnsi" w:hAnsiTheme="minorHAnsi" w:cstheme="minorHAnsi"/>
          <w:i w:val="0"/>
          <w:color w:val="auto"/>
          <w:sz w:val="22"/>
          <w:szCs w:val="22"/>
        </w:rPr>
        <w:t xml:space="preserve"> and application types used by </w:t>
      </w:r>
      <w:r w:rsidR="002244A5">
        <w:rPr>
          <w:rFonts w:asciiTheme="minorHAnsi" w:hAnsiTheme="minorHAnsi" w:cstheme="minorHAnsi"/>
          <w:i w:val="0"/>
          <w:color w:val="auto"/>
          <w:sz w:val="22"/>
          <w:szCs w:val="22"/>
        </w:rPr>
        <w:t xml:space="preserve">the DEER </w:t>
      </w:r>
      <w:proofErr w:type="spellStart"/>
      <w:r w:rsidRPr="00A9674A">
        <w:rPr>
          <w:rFonts w:asciiTheme="minorHAnsi" w:hAnsiTheme="minorHAnsi" w:cstheme="minorHAnsi"/>
          <w:i w:val="0"/>
          <w:color w:val="auto"/>
          <w:sz w:val="22"/>
          <w:szCs w:val="22"/>
        </w:rPr>
        <w:t>READi</w:t>
      </w:r>
      <w:proofErr w:type="spellEnd"/>
      <w:r w:rsidR="002244A5">
        <w:rPr>
          <w:rFonts w:asciiTheme="minorHAnsi" w:hAnsiTheme="minorHAnsi" w:cstheme="minorHAnsi"/>
          <w:i w:val="0"/>
          <w:color w:val="auto"/>
          <w:sz w:val="22"/>
          <w:szCs w:val="22"/>
        </w:rPr>
        <w:t xml:space="preserve"> tool</w:t>
      </w:r>
      <w:r w:rsidRPr="00A9674A">
        <w:rPr>
          <w:rFonts w:asciiTheme="minorHAnsi" w:hAnsiTheme="minorHAnsi" w:cstheme="minorHAnsi"/>
          <w:i w:val="0"/>
          <w:color w:val="auto"/>
          <w:sz w:val="22"/>
          <w:szCs w:val="22"/>
        </w:rPr>
        <w:t>.</w:t>
      </w:r>
    </w:p>
    <w:p w:rsidR="00131ED1" w:rsidRDefault="00131ED1" w:rsidP="004D7BC8">
      <w:pPr>
        <w:pStyle w:val="Reminder"/>
        <w:rPr>
          <w:rFonts w:asciiTheme="minorHAnsi" w:hAnsiTheme="minorHAnsi" w:cstheme="minorHAnsi"/>
          <w:i w:val="0"/>
          <w:color w:val="auto"/>
          <w:sz w:val="22"/>
          <w:szCs w:val="22"/>
        </w:rPr>
      </w:pPr>
    </w:p>
    <w:p w:rsidR="00131ED1" w:rsidRDefault="00131ED1" w:rsidP="004D7BC8">
      <w:pPr>
        <w:pStyle w:val="Reminder"/>
        <w:rPr>
          <w:rFonts w:asciiTheme="minorHAnsi" w:hAnsiTheme="minorHAnsi" w:cstheme="minorHAnsi"/>
          <w:i w:val="0"/>
          <w:color w:val="auto"/>
          <w:sz w:val="22"/>
          <w:szCs w:val="22"/>
        </w:rPr>
      </w:pPr>
    </w:p>
    <w:p w:rsidR="00E16609" w:rsidRDefault="00824F1C" w:rsidP="00824F1C">
      <w:pPr>
        <w:pStyle w:val="Heading2"/>
        <w:rPr>
          <w:rFonts w:asciiTheme="minorHAnsi" w:hAnsiTheme="minorHAnsi" w:cstheme="minorHAnsi"/>
        </w:rPr>
      </w:pPr>
      <w:bookmarkStart w:id="9" w:name="_Toc214003084"/>
      <w:proofErr w:type="gramStart"/>
      <w:r w:rsidRPr="00697868">
        <w:rPr>
          <w:rFonts w:asciiTheme="minorHAnsi" w:hAnsiTheme="minorHAnsi" w:cstheme="minorHAnsi"/>
        </w:rPr>
        <w:lastRenderedPageBreak/>
        <w:t>1.</w:t>
      </w:r>
      <w:r w:rsidR="00697868">
        <w:rPr>
          <w:rFonts w:asciiTheme="minorHAnsi" w:hAnsiTheme="minorHAnsi" w:cstheme="minorHAnsi"/>
        </w:rPr>
        <w:t>4</w:t>
      </w:r>
      <w:r w:rsidRPr="00697868">
        <w:rPr>
          <w:rFonts w:asciiTheme="minorHAnsi" w:hAnsiTheme="minorHAnsi" w:cstheme="minorHAnsi"/>
        </w:rPr>
        <w:t xml:space="preserve">  </w:t>
      </w:r>
      <w:r w:rsidR="00697868">
        <w:rPr>
          <w:rFonts w:asciiTheme="minorHAnsi" w:hAnsiTheme="minorHAnsi" w:cstheme="minorHAnsi"/>
        </w:rPr>
        <w:t>Measure</w:t>
      </w:r>
      <w:proofErr w:type="gramEnd"/>
      <w:r w:rsidR="00697868">
        <w:rPr>
          <w:rFonts w:asciiTheme="minorHAnsi" w:hAnsiTheme="minorHAnsi" w:cstheme="minorHAnsi"/>
        </w:rPr>
        <w:t xml:space="preserve"> and Base Case</w:t>
      </w:r>
      <w:r w:rsidR="00E16609" w:rsidRPr="00697868">
        <w:rPr>
          <w:rFonts w:asciiTheme="minorHAnsi" w:hAnsiTheme="minorHAnsi" w:cstheme="minorHAnsi"/>
        </w:rPr>
        <w:t xml:space="preserve"> </w:t>
      </w:r>
      <w:r w:rsidR="00F06CCF">
        <w:rPr>
          <w:rFonts w:asciiTheme="minorHAnsi" w:hAnsiTheme="minorHAnsi" w:cstheme="minorHAnsi"/>
        </w:rPr>
        <w:t>Cost Effectiveness Data</w:t>
      </w:r>
      <w:bookmarkEnd w:id="9"/>
    </w:p>
    <w:p w:rsidR="00F06CCF" w:rsidRPr="00F06CCF" w:rsidRDefault="00F06CCF" w:rsidP="00F06CCF">
      <w:pPr>
        <w:pStyle w:val="Heading3"/>
        <w:rPr>
          <w:rFonts w:asciiTheme="minorHAnsi" w:hAnsiTheme="minorHAnsi"/>
        </w:rPr>
      </w:pPr>
      <w:r w:rsidRPr="00F06CCF">
        <w:rPr>
          <w:rFonts w:asciiTheme="minorHAnsi" w:hAnsiTheme="minorHAnsi"/>
        </w:rPr>
        <w:t>1.4.1</w:t>
      </w:r>
      <w:r>
        <w:rPr>
          <w:rFonts w:asciiTheme="minorHAnsi" w:hAnsiTheme="minorHAnsi"/>
        </w:rPr>
        <w:t xml:space="preserve"> DEER Measure and Base Case Analysis</w:t>
      </w:r>
    </w:p>
    <w:p w:rsidR="00FB46BF" w:rsidRPr="0081069F" w:rsidRDefault="00FB46BF" w:rsidP="0081069F">
      <w:pPr>
        <w:pStyle w:val="Reminder"/>
        <w:rPr>
          <w:rFonts w:asciiTheme="minorHAnsi" w:hAnsiTheme="minorHAnsi" w:cstheme="minorHAnsi"/>
          <w:b/>
          <w:i w:val="0"/>
          <w:color w:val="auto"/>
          <w:sz w:val="22"/>
          <w:szCs w:val="22"/>
        </w:rPr>
      </w:pPr>
      <w:r w:rsidRPr="0081069F">
        <w:rPr>
          <w:rFonts w:asciiTheme="minorHAnsi" w:hAnsiTheme="minorHAnsi" w:cstheme="minorHAnsi"/>
          <w:b/>
          <w:i w:val="0"/>
          <w:color w:val="auto"/>
          <w:sz w:val="22"/>
          <w:szCs w:val="22"/>
        </w:rPr>
        <w:t xml:space="preserve">Residential Sector: </w:t>
      </w:r>
    </w:p>
    <w:p w:rsidR="00FB46BF" w:rsidRDefault="00FB46BF" w:rsidP="00FB46BF">
      <w:pPr>
        <w:rPr>
          <w:rFonts w:asciiTheme="minorHAnsi" w:hAnsiTheme="minorHAnsi" w:cstheme="minorHAnsi"/>
          <w:sz w:val="22"/>
          <w:szCs w:val="22"/>
        </w:rPr>
      </w:pPr>
      <w:r>
        <w:rPr>
          <w:rFonts w:asciiTheme="minorHAnsi" w:hAnsiTheme="minorHAnsi" w:cstheme="minorHAnsi"/>
          <w:sz w:val="22"/>
          <w:szCs w:val="22"/>
        </w:rPr>
        <w:t xml:space="preserve">This measure is included in the </w:t>
      </w:r>
      <w:r w:rsidRPr="0051696C">
        <w:rPr>
          <w:rFonts w:asciiTheme="minorHAnsi" w:hAnsiTheme="minorHAnsi" w:cstheme="minorHAnsi"/>
          <w:sz w:val="22"/>
          <w:szCs w:val="22"/>
        </w:rPr>
        <w:t>201</w:t>
      </w:r>
      <w:r w:rsidR="0062178B" w:rsidRPr="0051696C">
        <w:rPr>
          <w:rFonts w:asciiTheme="minorHAnsi" w:hAnsiTheme="minorHAnsi" w:cstheme="minorHAnsi"/>
          <w:sz w:val="22"/>
          <w:szCs w:val="22"/>
        </w:rPr>
        <w:t>4</w:t>
      </w:r>
      <w:r w:rsidRPr="0051696C">
        <w:rPr>
          <w:rFonts w:asciiTheme="minorHAnsi" w:hAnsiTheme="minorHAnsi" w:cstheme="minorHAnsi"/>
          <w:sz w:val="22"/>
          <w:szCs w:val="22"/>
        </w:rPr>
        <w:t xml:space="preserve"> DEER READI tool, version </w:t>
      </w:r>
      <w:r w:rsidR="002244A5">
        <w:rPr>
          <w:rFonts w:asciiTheme="minorHAnsi" w:hAnsiTheme="minorHAnsi" w:cstheme="minorHAnsi"/>
          <w:sz w:val="22"/>
          <w:szCs w:val="22"/>
        </w:rPr>
        <w:t>2</w:t>
      </w:r>
      <w:r w:rsidRPr="0051696C">
        <w:rPr>
          <w:rFonts w:asciiTheme="minorHAnsi" w:hAnsiTheme="minorHAnsi" w:cstheme="minorHAnsi"/>
          <w:sz w:val="22"/>
          <w:szCs w:val="22"/>
        </w:rPr>
        <w:t>.</w:t>
      </w:r>
      <w:r w:rsidR="0062178B" w:rsidRPr="0051696C">
        <w:rPr>
          <w:rFonts w:asciiTheme="minorHAnsi" w:hAnsiTheme="minorHAnsi" w:cstheme="minorHAnsi"/>
          <w:sz w:val="22"/>
          <w:szCs w:val="22"/>
        </w:rPr>
        <w:t>0</w:t>
      </w:r>
      <w:r w:rsidRPr="0051696C">
        <w:rPr>
          <w:rFonts w:asciiTheme="minorHAnsi" w:hAnsiTheme="minorHAnsi" w:cstheme="minorHAnsi"/>
          <w:sz w:val="22"/>
          <w:szCs w:val="22"/>
        </w:rPr>
        <w:t>.</w:t>
      </w:r>
      <w:r w:rsidR="002244A5">
        <w:rPr>
          <w:rFonts w:asciiTheme="minorHAnsi" w:hAnsiTheme="minorHAnsi" w:cstheme="minorHAnsi"/>
          <w:sz w:val="22"/>
          <w:szCs w:val="22"/>
        </w:rPr>
        <w:t>1</w:t>
      </w:r>
      <w:r>
        <w:rPr>
          <w:rFonts w:asciiTheme="minorHAnsi" w:hAnsiTheme="minorHAnsi" w:cstheme="minorHAnsi"/>
          <w:sz w:val="22"/>
          <w:szCs w:val="22"/>
        </w:rPr>
        <w:t xml:space="preserve">. </w:t>
      </w:r>
      <w:r w:rsidRPr="00780F17">
        <w:rPr>
          <w:rFonts w:asciiTheme="minorHAnsi" w:hAnsiTheme="minorHAnsi" w:cstheme="minorHAnsi"/>
          <w:sz w:val="22"/>
          <w:szCs w:val="22"/>
        </w:rPr>
        <w:t>DEER measure ID D03-405 was used</w:t>
      </w:r>
      <w:r>
        <w:rPr>
          <w:rFonts w:asciiTheme="minorHAnsi" w:hAnsiTheme="minorHAnsi" w:cstheme="minorHAnsi"/>
          <w:sz w:val="22"/>
          <w:szCs w:val="22"/>
        </w:rPr>
        <w:t xml:space="preserve"> for estimating the savings</w:t>
      </w:r>
      <w:r w:rsidRPr="00780F17">
        <w:rPr>
          <w:rFonts w:asciiTheme="minorHAnsi" w:hAnsiTheme="minorHAnsi" w:cstheme="minorHAnsi"/>
          <w:sz w:val="22"/>
          <w:szCs w:val="22"/>
        </w:rPr>
        <w:t xml:space="preserve">. DEER Run IDs can be found in the embedded Excel workbook in the </w:t>
      </w:r>
      <w:r w:rsidR="002F46C2" w:rsidRPr="00780F17">
        <w:rPr>
          <w:rFonts w:asciiTheme="minorHAnsi" w:hAnsiTheme="minorHAnsi" w:cstheme="minorHAnsi"/>
          <w:sz w:val="22"/>
          <w:szCs w:val="22"/>
        </w:rPr>
        <w:t>A</w:t>
      </w:r>
      <w:r w:rsidR="002F46C2">
        <w:rPr>
          <w:rFonts w:asciiTheme="minorHAnsi" w:hAnsiTheme="minorHAnsi" w:cstheme="minorHAnsi"/>
          <w:sz w:val="22"/>
          <w:szCs w:val="22"/>
        </w:rPr>
        <w:t>ttachment</w:t>
      </w:r>
      <w:r w:rsidR="002F46C2" w:rsidRPr="00780F17">
        <w:rPr>
          <w:rFonts w:asciiTheme="minorHAnsi" w:hAnsiTheme="minorHAnsi" w:cstheme="minorHAnsi"/>
          <w:sz w:val="22"/>
          <w:szCs w:val="22"/>
        </w:rPr>
        <w:t xml:space="preserve"> </w:t>
      </w:r>
      <w:r w:rsidRPr="00780F17">
        <w:rPr>
          <w:rFonts w:asciiTheme="minorHAnsi" w:hAnsiTheme="minorHAnsi" w:cstheme="minorHAnsi"/>
          <w:sz w:val="22"/>
          <w:szCs w:val="22"/>
        </w:rPr>
        <w:t>section.</w:t>
      </w:r>
      <w:r>
        <w:rPr>
          <w:rFonts w:asciiTheme="minorHAnsi" w:hAnsiTheme="minorHAnsi" w:cstheme="minorHAnsi"/>
          <w:sz w:val="22"/>
          <w:szCs w:val="22"/>
        </w:rPr>
        <w:t xml:space="preserve"> </w:t>
      </w:r>
      <w:r w:rsidRPr="00780F17">
        <w:rPr>
          <w:rFonts w:asciiTheme="minorHAnsi" w:hAnsiTheme="minorHAnsi" w:cstheme="minorHAnsi"/>
          <w:sz w:val="22"/>
          <w:szCs w:val="22"/>
        </w:rPr>
        <w:t xml:space="preserve">Because DEER assumes HVAC unit replacement, and the </w:t>
      </w:r>
      <w:r w:rsidR="0081069F">
        <w:rPr>
          <w:rFonts w:asciiTheme="minorHAnsi" w:hAnsiTheme="minorHAnsi" w:cstheme="minorHAnsi"/>
          <w:sz w:val="22"/>
          <w:szCs w:val="22"/>
        </w:rPr>
        <w:t xml:space="preserve">SCE </w:t>
      </w:r>
      <w:r w:rsidRPr="00780F17">
        <w:rPr>
          <w:rFonts w:asciiTheme="minorHAnsi" w:hAnsiTheme="minorHAnsi" w:cstheme="minorHAnsi"/>
          <w:sz w:val="22"/>
          <w:szCs w:val="22"/>
        </w:rPr>
        <w:t>program measures are designed to supplement the HVAC unit operation, the DEER values</w:t>
      </w:r>
      <w:r w:rsidR="0081069F">
        <w:rPr>
          <w:rFonts w:asciiTheme="minorHAnsi" w:hAnsiTheme="minorHAnsi" w:cstheme="minorHAnsi"/>
          <w:sz w:val="22"/>
          <w:szCs w:val="22"/>
        </w:rPr>
        <w:t xml:space="preserve"> for the SCE measure</w:t>
      </w:r>
      <w:r w:rsidRPr="00780F17">
        <w:rPr>
          <w:rFonts w:asciiTheme="minorHAnsi" w:hAnsiTheme="minorHAnsi" w:cstheme="minorHAnsi"/>
          <w:sz w:val="22"/>
          <w:szCs w:val="22"/>
        </w:rPr>
        <w:t xml:space="preserve"> are adjusted as indicated in Section 2</w:t>
      </w:r>
      <w:r>
        <w:rPr>
          <w:rFonts w:asciiTheme="minorHAnsi" w:hAnsiTheme="minorHAnsi" w:cstheme="minorHAnsi"/>
          <w:sz w:val="22"/>
          <w:szCs w:val="22"/>
        </w:rPr>
        <w:t xml:space="preserve"> below</w:t>
      </w:r>
      <w:r w:rsidRPr="00780F17">
        <w:rPr>
          <w:rFonts w:asciiTheme="minorHAnsi" w:hAnsiTheme="minorHAnsi" w:cstheme="minorHAnsi"/>
          <w:sz w:val="22"/>
          <w:szCs w:val="22"/>
        </w:rPr>
        <w:t>.</w:t>
      </w:r>
      <w:r>
        <w:rPr>
          <w:rFonts w:asciiTheme="minorHAnsi" w:hAnsiTheme="minorHAnsi" w:cstheme="minorHAnsi"/>
          <w:sz w:val="22"/>
          <w:szCs w:val="22"/>
        </w:rPr>
        <w:t xml:space="preserve"> </w:t>
      </w:r>
      <w:r w:rsidR="00101F83">
        <w:rPr>
          <w:rFonts w:asciiTheme="minorHAnsi" w:hAnsiTheme="minorHAnsi" w:cstheme="minorHAnsi"/>
          <w:sz w:val="22"/>
          <w:szCs w:val="22"/>
        </w:rPr>
        <w:t xml:space="preserve">Because DEER presents savings on 1,000 </w:t>
      </w:r>
      <w:proofErr w:type="spellStart"/>
      <w:r w:rsidR="00101F83">
        <w:rPr>
          <w:rFonts w:asciiTheme="minorHAnsi" w:hAnsiTheme="minorHAnsi" w:cstheme="minorHAnsi"/>
          <w:sz w:val="22"/>
          <w:szCs w:val="22"/>
        </w:rPr>
        <w:t>sqft</w:t>
      </w:r>
      <w:proofErr w:type="spellEnd"/>
      <w:r w:rsidR="00101F83">
        <w:rPr>
          <w:rFonts w:asciiTheme="minorHAnsi" w:hAnsiTheme="minorHAnsi" w:cstheme="minorHAnsi"/>
          <w:sz w:val="22"/>
          <w:szCs w:val="22"/>
        </w:rPr>
        <w:t xml:space="preserve"> basis and PG&amp;E savings are reported on a per household basis, the DEER values for the PG&amp;E measures are adjusted as indicated in Section 2 below.</w:t>
      </w:r>
      <w:r w:rsidR="0081069F">
        <w:rPr>
          <w:rFonts w:asciiTheme="minorHAnsi" w:hAnsiTheme="minorHAnsi" w:cstheme="minorHAnsi"/>
          <w:sz w:val="22"/>
          <w:szCs w:val="22"/>
        </w:rPr>
        <w:t xml:space="preserve"> </w:t>
      </w:r>
      <w:r w:rsidR="00101F83">
        <w:rPr>
          <w:rFonts w:asciiTheme="minorHAnsi" w:hAnsiTheme="minorHAnsi" w:cstheme="minorHAnsi"/>
          <w:sz w:val="22"/>
          <w:szCs w:val="22"/>
        </w:rPr>
        <w:t xml:space="preserve"> </w:t>
      </w:r>
      <w:r w:rsidR="0081069F">
        <w:rPr>
          <w:rFonts w:asciiTheme="minorHAnsi" w:hAnsiTheme="minorHAnsi" w:cstheme="minorHAnsi"/>
          <w:sz w:val="22"/>
          <w:szCs w:val="22"/>
        </w:rPr>
        <w:t xml:space="preserve">In both cases the full </w:t>
      </w:r>
      <w:r w:rsidR="0081069F" w:rsidRPr="00780F17">
        <w:rPr>
          <w:rFonts w:asciiTheme="minorHAnsi" w:hAnsiTheme="minorHAnsi" w:cstheme="minorHAnsi"/>
          <w:sz w:val="22"/>
          <w:szCs w:val="22"/>
        </w:rPr>
        <w:t>DEER costs are used as indicated in Section 4.</w:t>
      </w:r>
      <w:r w:rsidR="0081069F">
        <w:rPr>
          <w:rFonts w:asciiTheme="minorHAnsi" w:hAnsiTheme="minorHAnsi" w:cstheme="minorHAnsi"/>
          <w:sz w:val="22"/>
          <w:szCs w:val="22"/>
        </w:rPr>
        <w:t xml:space="preserve">  </w:t>
      </w:r>
    </w:p>
    <w:p w:rsidR="0081069F" w:rsidRDefault="0081069F" w:rsidP="00FB46BF">
      <w:pPr>
        <w:rPr>
          <w:rFonts w:asciiTheme="minorHAnsi" w:hAnsiTheme="minorHAnsi" w:cstheme="minorHAnsi"/>
        </w:rPr>
      </w:pPr>
    </w:p>
    <w:p w:rsidR="00FB46BF" w:rsidRPr="00697868" w:rsidRDefault="00FB46BF" w:rsidP="00FB46BF">
      <w:pPr>
        <w:pStyle w:val="Caption"/>
        <w:keepNext/>
        <w:jc w:val="center"/>
        <w:rPr>
          <w:rFonts w:asciiTheme="minorHAnsi" w:hAnsiTheme="minorHAnsi" w:cstheme="minorHAnsi"/>
          <w:sz w:val="22"/>
          <w:szCs w:val="22"/>
        </w:rPr>
      </w:pPr>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2B4360">
        <w:rPr>
          <w:rFonts w:asciiTheme="minorHAnsi" w:hAnsiTheme="minorHAnsi" w:cstheme="minorHAnsi"/>
          <w:noProof/>
          <w:sz w:val="22"/>
          <w:szCs w:val="22"/>
        </w:rPr>
        <w:t>3</w:t>
      </w:r>
      <w:r w:rsidRPr="00697868">
        <w:rPr>
          <w:rFonts w:asciiTheme="minorHAnsi" w:hAnsiTheme="minorHAnsi" w:cstheme="minorHAnsi"/>
          <w:sz w:val="22"/>
          <w:szCs w:val="22"/>
        </w:rPr>
        <w:fldChar w:fldCharType="end"/>
      </w:r>
      <w:r w:rsidRPr="00697868">
        <w:rPr>
          <w:rFonts w:asciiTheme="minorHAnsi" w:hAnsiTheme="minorHAnsi" w:cstheme="minorHAnsi"/>
          <w:sz w:val="22"/>
          <w:szCs w:val="22"/>
        </w:rPr>
        <w:t xml:space="preserve"> DEER Difference Summary</w:t>
      </w:r>
    </w:p>
    <w:tbl>
      <w:tblPr>
        <w:tblStyle w:val="TableContemporary"/>
        <w:tblW w:w="0" w:type="auto"/>
        <w:jc w:val="center"/>
        <w:tblInd w:w="-4618" w:type="dxa"/>
        <w:tblLook w:val="04A0" w:firstRow="1" w:lastRow="0" w:firstColumn="1" w:lastColumn="0" w:noHBand="0" w:noVBand="1"/>
      </w:tblPr>
      <w:tblGrid>
        <w:gridCol w:w="3173"/>
        <w:gridCol w:w="5513"/>
      </w:tblGrid>
      <w:tr w:rsidR="00FB46BF" w:rsidRPr="00697868" w:rsidTr="00FB46BF">
        <w:trPr>
          <w:cnfStyle w:val="100000000000" w:firstRow="1" w:lastRow="0" w:firstColumn="0" w:lastColumn="0" w:oddVBand="0" w:evenVBand="0" w:oddHBand="0" w:evenHBand="0" w:firstRowFirstColumn="0" w:firstRowLastColumn="0" w:lastRowFirstColumn="0" w:lastRowLastColumn="0"/>
          <w:jc w:val="center"/>
        </w:trPr>
        <w:tc>
          <w:tcPr>
            <w:tcW w:w="8686" w:type="dxa"/>
            <w:gridSpan w:val="2"/>
            <w:vAlign w:val="center"/>
          </w:tcPr>
          <w:p w:rsidR="00FB46BF" w:rsidRPr="00697868" w:rsidRDefault="00FB46BF" w:rsidP="00FB46BF">
            <w:pPr>
              <w:jc w:val="center"/>
              <w:rPr>
                <w:rFonts w:asciiTheme="minorHAnsi" w:hAnsiTheme="minorHAnsi" w:cstheme="minorHAnsi"/>
                <w:color w:val="FF0000"/>
                <w:sz w:val="20"/>
                <w:szCs w:val="20"/>
              </w:rPr>
            </w:pPr>
            <w:r w:rsidRPr="00697868">
              <w:rPr>
                <w:rFonts w:asciiTheme="minorHAnsi" w:hAnsiTheme="minorHAnsi" w:cstheme="minorHAnsi"/>
                <w:sz w:val="20"/>
                <w:szCs w:val="20"/>
              </w:rPr>
              <w:t>DEER Difference Summary Table</w:t>
            </w:r>
          </w:p>
        </w:tc>
      </w:tr>
      <w:tr w:rsidR="00FB46BF" w:rsidRPr="00697868" w:rsidTr="00FB46BF">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FB46BF" w:rsidRPr="00697868" w:rsidRDefault="00FB46BF" w:rsidP="00FB46BF">
            <w:pPr>
              <w:rPr>
                <w:rFonts w:asciiTheme="minorHAnsi" w:hAnsiTheme="minorHAnsi" w:cstheme="minorHAnsi"/>
                <w:sz w:val="20"/>
                <w:szCs w:val="20"/>
              </w:rPr>
            </w:pPr>
            <w:r w:rsidRPr="00697868">
              <w:rPr>
                <w:rFonts w:asciiTheme="minorHAnsi" w:hAnsiTheme="minorHAnsi" w:cstheme="minorHAnsi"/>
                <w:sz w:val="20"/>
                <w:szCs w:val="20"/>
              </w:rPr>
              <w:t>Modified DEER Methodology</w:t>
            </w:r>
          </w:p>
        </w:tc>
        <w:tc>
          <w:tcPr>
            <w:tcW w:w="5513" w:type="dxa"/>
            <w:vAlign w:val="center"/>
          </w:tcPr>
          <w:p w:rsidR="00FB46BF" w:rsidRPr="00FB46BF" w:rsidRDefault="00FB46BF" w:rsidP="00FB46BF">
            <w:pPr>
              <w:jc w:val="center"/>
              <w:rPr>
                <w:rFonts w:asciiTheme="minorHAnsi" w:hAnsiTheme="minorHAnsi" w:cstheme="minorHAnsi"/>
                <w:b/>
                <w:sz w:val="20"/>
                <w:szCs w:val="20"/>
              </w:rPr>
            </w:pPr>
            <w:r w:rsidRPr="00FB46BF">
              <w:rPr>
                <w:rFonts w:asciiTheme="minorHAnsi" w:hAnsiTheme="minorHAnsi" w:cstheme="minorHAnsi"/>
                <w:sz w:val="20"/>
                <w:szCs w:val="20"/>
              </w:rPr>
              <w:t>Yes</w:t>
            </w:r>
          </w:p>
        </w:tc>
      </w:tr>
      <w:tr w:rsidR="00FB46BF" w:rsidRPr="00697868" w:rsidTr="00FB46BF">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FB46BF" w:rsidRPr="00697868" w:rsidRDefault="00FB46BF" w:rsidP="00FB46BF">
            <w:pPr>
              <w:rPr>
                <w:rFonts w:asciiTheme="minorHAnsi" w:hAnsiTheme="minorHAnsi" w:cstheme="minorHAnsi"/>
                <w:sz w:val="20"/>
                <w:szCs w:val="20"/>
              </w:rPr>
            </w:pPr>
            <w:r w:rsidRPr="00697868">
              <w:rPr>
                <w:rFonts w:asciiTheme="minorHAnsi" w:hAnsiTheme="minorHAnsi" w:cstheme="minorHAnsi"/>
                <w:sz w:val="20"/>
                <w:szCs w:val="20"/>
              </w:rPr>
              <w:t>Scaled DEER Measure</w:t>
            </w:r>
          </w:p>
        </w:tc>
        <w:tc>
          <w:tcPr>
            <w:tcW w:w="5513" w:type="dxa"/>
            <w:vAlign w:val="center"/>
          </w:tcPr>
          <w:p w:rsidR="00FB46BF" w:rsidRPr="00FB46BF" w:rsidRDefault="00FB46BF" w:rsidP="00FB46BF">
            <w:pPr>
              <w:jc w:val="center"/>
              <w:rPr>
                <w:rFonts w:asciiTheme="minorHAnsi" w:hAnsiTheme="minorHAnsi" w:cstheme="minorHAnsi"/>
                <w:sz w:val="20"/>
                <w:szCs w:val="20"/>
              </w:rPr>
            </w:pPr>
            <w:r w:rsidRPr="00FB46BF">
              <w:rPr>
                <w:rFonts w:asciiTheme="minorHAnsi" w:hAnsiTheme="minorHAnsi" w:cstheme="minorHAnsi"/>
                <w:sz w:val="20"/>
                <w:szCs w:val="20"/>
              </w:rPr>
              <w:t>Yes</w:t>
            </w:r>
          </w:p>
        </w:tc>
      </w:tr>
      <w:tr w:rsidR="00FB46BF" w:rsidRPr="00697868" w:rsidTr="00FB46BF">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FB46BF" w:rsidRPr="00697868" w:rsidRDefault="00FB46BF" w:rsidP="00FB46BF">
            <w:pPr>
              <w:rPr>
                <w:rFonts w:asciiTheme="minorHAnsi" w:hAnsiTheme="minorHAnsi" w:cstheme="minorHAnsi"/>
                <w:sz w:val="20"/>
                <w:szCs w:val="20"/>
              </w:rPr>
            </w:pPr>
            <w:r w:rsidRPr="00697868">
              <w:rPr>
                <w:rFonts w:asciiTheme="minorHAnsi" w:hAnsiTheme="minorHAnsi" w:cstheme="minorHAnsi"/>
                <w:sz w:val="20"/>
                <w:szCs w:val="20"/>
              </w:rPr>
              <w:t>DEER Building Prototypes Used</w:t>
            </w:r>
          </w:p>
        </w:tc>
        <w:tc>
          <w:tcPr>
            <w:tcW w:w="5513" w:type="dxa"/>
            <w:vAlign w:val="center"/>
          </w:tcPr>
          <w:p w:rsidR="00FB46BF" w:rsidRPr="00FB46BF" w:rsidRDefault="00FB46BF" w:rsidP="00FB46BF">
            <w:pPr>
              <w:jc w:val="center"/>
              <w:rPr>
                <w:rFonts w:asciiTheme="minorHAnsi" w:hAnsiTheme="minorHAnsi" w:cstheme="minorHAnsi"/>
                <w:sz w:val="20"/>
                <w:szCs w:val="20"/>
              </w:rPr>
            </w:pPr>
            <w:r w:rsidRPr="00FB46BF">
              <w:rPr>
                <w:rFonts w:asciiTheme="minorHAnsi" w:hAnsiTheme="minorHAnsi" w:cstheme="minorHAnsi"/>
                <w:sz w:val="20"/>
                <w:szCs w:val="20"/>
              </w:rPr>
              <w:t>Yes</w:t>
            </w:r>
          </w:p>
        </w:tc>
      </w:tr>
      <w:tr w:rsidR="00FB46BF" w:rsidRPr="00697868" w:rsidTr="00FB46BF">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FB46BF" w:rsidRPr="00697868" w:rsidRDefault="00FB46BF" w:rsidP="00FB46BF">
            <w:pPr>
              <w:rPr>
                <w:rFonts w:asciiTheme="minorHAnsi" w:hAnsiTheme="minorHAnsi" w:cstheme="minorHAnsi"/>
                <w:sz w:val="20"/>
                <w:szCs w:val="20"/>
              </w:rPr>
            </w:pPr>
            <w:r w:rsidRPr="00697868">
              <w:rPr>
                <w:rFonts w:asciiTheme="minorHAnsi" w:hAnsiTheme="minorHAnsi" w:cstheme="minorHAnsi"/>
                <w:sz w:val="20"/>
                <w:szCs w:val="20"/>
              </w:rPr>
              <w:t>Deviation from DEER</w:t>
            </w:r>
          </w:p>
        </w:tc>
        <w:tc>
          <w:tcPr>
            <w:tcW w:w="5513" w:type="dxa"/>
            <w:vAlign w:val="center"/>
          </w:tcPr>
          <w:p w:rsidR="00FB46BF" w:rsidRDefault="00C878F9" w:rsidP="00186592">
            <w:pPr>
              <w:jc w:val="center"/>
              <w:rPr>
                <w:rFonts w:asciiTheme="minorHAnsi" w:hAnsiTheme="minorHAnsi" w:cstheme="minorHAnsi"/>
                <w:sz w:val="20"/>
                <w:szCs w:val="20"/>
              </w:rPr>
            </w:pPr>
            <w:r>
              <w:rPr>
                <w:rFonts w:asciiTheme="minorHAnsi" w:hAnsiTheme="minorHAnsi" w:cstheme="minorHAnsi"/>
                <w:sz w:val="20"/>
                <w:szCs w:val="20"/>
              </w:rPr>
              <w:t xml:space="preserve">SCE: </w:t>
            </w:r>
            <w:r w:rsidR="00186592">
              <w:rPr>
                <w:rFonts w:asciiTheme="minorHAnsi" w:hAnsiTheme="minorHAnsi" w:cstheme="minorHAnsi"/>
                <w:sz w:val="20"/>
                <w:szCs w:val="20"/>
              </w:rPr>
              <w:t>E</w:t>
            </w:r>
            <w:r w:rsidR="00FB46BF">
              <w:rPr>
                <w:rFonts w:asciiTheme="minorHAnsi" w:hAnsiTheme="minorHAnsi" w:cstheme="minorHAnsi"/>
                <w:sz w:val="20"/>
                <w:szCs w:val="20"/>
              </w:rPr>
              <w:t>nergy</w:t>
            </w:r>
            <w:r w:rsidR="00186592">
              <w:rPr>
                <w:rFonts w:asciiTheme="minorHAnsi" w:hAnsiTheme="minorHAnsi" w:cstheme="minorHAnsi"/>
                <w:sz w:val="20"/>
                <w:szCs w:val="20"/>
              </w:rPr>
              <w:t xml:space="preserve"> and demand</w:t>
            </w:r>
            <w:r w:rsidR="00FB46BF">
              <w:rPr>
                <w:rFonts w:asciiTheme="minorHAnsi" w:hAnsiTheme="minorHAnsi" w:cstheme="minorHAnsi"/>
                <w:sz w:val="20"/>
                <w:szCs w:val="20"/>
              </w:rPr>
              <w:t xml:space="preserve"> adjustment factors </w:t>
            </w:r>
            <w:r w:rsidR="00186592">
              <w:rPr>
                <w:rFonts w:asciiTheme="minorHAnsi" w:hAnsiTheme="minorHAnsi" w:cstheme="minorHAnsi"/>
                <w:sz w:val="20"/>
                <w:szCs w:val="20"/>
              </w:rPr>
              <w:t xml:space="preserve">applied </w:t>
            </w:r>
            <w:r w:rsidR="00FB46BF">
              <w:rPr>
                <w:rFonts w:asciiTheme="minorHAnsi" w:hAnsiTheme="minorHAnsi" w:cstheme="minorHAnsi"/>
                <w:sz w:val="20"/>
                <w:szCs w:val="20"/>
              </w:rPr>
              <w:t xml:space="preserve">as the DEER </w:t>
            </w:r>
            <w:r>
              <w:rPr>
                <w:rFonts w:asciiTheme="minorHAnsi" w:hAnsiTheme="minorHAnsi" w:cstheme="minorHAnsi"/>
                <w:sz w:val="20"/>
                <w:szCs w:val="20"/>
              </w:rPr>
              <w:t xml:space="preserve">savings </w:t>
            </w:r>
            <w:r w:rsidR="00FB46BF">
              <w:rPr>
                <w:rFonts w:asciiTheme="minorHAnsi" w:hAnsiTheme="minorHAnsi" w:cstheme="minorHAnsi"/>
                <w:sz w:val="20"/>
                <w:szCs w:val="20"/>
              </w:rPr>
              <w:t xml:space="preserve">values assume replacement whereas the program assumes </w:t>
            </w:r>
            <w:proofErr w:type="gramStart"/>
            <w:r w:rsidR="00FB46BF">
              <w:rPr>
                <w:rFonts w:asciiTheme="minorHAnsi" w:hAnsiTheme="minorHAnsi" w:cstheme="minorHAnsi"/>
                <w:sz w:val="20"/>
                <w:szCs w:val="20"/>
              </w:rPr>
              <w:t>an add</w:t>
            </w:r>
            <w:proofErr w:type="gramEnd"/>
            <w:r w:rsidR="00FB46BF">
              <w:rPr>
                <w:rFonts w:asciiTheme="minorHAnsi" w:hAnsiTheme="minorHAnsi" w:cstheme="minorHAnsi"/>
                <w:sz w:val="20"/>
                <w:szCs w:val="20"/>
              </w:rPr>
              <w:t xml:space="preserve"> on</w:t>
            </w:r>
            <w:r w:rsidR="004A43B0">
              <w:rPr>
                <w:rFonts w:asciiTheme="minorHAnsi" w:hAnsiTheme="minorHAnsi" w:cstheme="minorHAnsi"/>
                <w:sz w:val="20"/>
                <w:szCs w:val="20"/>
              </w:rPr>
              <w:t>.</w:t>
            </w:r>
          </w:p>
          <w:p w:rsidR="00C878F9" w:rsidRPr="00697868" w:rsidRDefault="00C878F9" w:rsidP="00C878F9">
            <w:pPr>
              <w:jc w:val="center"/>
              <w:rPr>
                <w:rFonts w:asciiTheme="minorHAnsi" w:hAnsiTheme="minorHAnsi" w:cstheme="minorHAnsi"/>
                <w:color w:val="FF0000"/>
                <w:sz w:val="20"/>
                <w:szCs w:val="20"/>
              </w:rPr>
            </w:pPr>
            <w:r>
              <w:rPr>
                <w:rFonts w:asciiTheme="minorHAnsi" w:hAnsiTheme="minorHAnsi" w:cstheme="minorHAnsi"/>
                <w:sz w:val="20"/>
                <w:szCs w:val="20"/>
              </w:rPr>
              <w:t>PG&amp;E: DEER savings values converted to a per household basis</w:t>
            </w:r>
            <w:r w:rsidR="004A43B0">
              <w:rPr>
                <w:rFonts w:asciiTheme="minorHAnsi" w:hAnsiTheme="minorHAnsi" w:cstheme="minorHAnsi"/>
                <w:sz w:val="20"/>
                <w:szCs w:val="20"/>
              </w:rPr>
              <w:t>.</w:t>
            </w:r>
          </w:p>
        </w:tc>
      </w:tr>
      <w:tr w:rsidR="00FB46BF" w:rsidRPr="00697868" w:rsidTr="00FB46BF">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FB46BF" w:rsidRPr="00697868" w:rsidRDefault="00FB46BF" w:rsidP="00FB46BF">
            <w:pPr>
              <w:rPr>
                <w:rFonts w:asciiTheme="minorHAnsi" w:hAnsiTheme="minorHAnsi" w:cstheme="minorHAnsi"/>
                <w:sz w:val="20"/>
                <w:szCs w:val="20"/>
              </w:rPr>
            </w:pPr>
            <w:r w:rsidRPr="00697868">
              <w:rPr>
                <w:rFonts w:asciiTheme="minorHAnsi" w:hAnsiTheme="minorHAnsi" w:cstheme="minorHAnsi"/>
                <w:sz w:val="20"/>
                <w:szCs w:val="20"/>
              </w:rPr>
              <w:t>DEER Version</w:t>
            </w:r>
          </w:p>
        </w:tc>
        <w:tc>
          <w:tcPr>
            <w:tcW w:w="5513" w:type="dxa"/>
            <w:vAlign w:val="center"/>
          </w:tcPr>
          <w:p w:rsidR="00FB46BF" w:rsidRPr="00697868" w:rsidRDefault="0062178B" w:rsidP="00186592">
            <w:pPr>
              <w:jc w:val="center"/>
              <w:rPr>
                <w:rFonts w:asciiTheme="minorHAnsi" w:hAnsiTheme="minorHAnsi" w:cstheme="minorHAnsi"/>
                <w:sz w:val="20"/>
                <w:szCs w:val="20"/>
              </w:rPr>
            </w:pPr>
            <w:r w:rsidRPr="0051696C">
              <w:rPr>
                <w:rFonts w:asciiTheme="minorHAnsi" w:hAnsiTheme="minorHAnsi" w:cstheme="minorHAnsi"/>
                <w:sz w:val="20"/>
                <w:szCs w:val="20"/>
              </w:rPr>
              <w:t>DEER 2014</w:t>
            </w:r>
          </w:p>
        </w:tc>
      </w:tr>
      <w:tr w:rsidR="00FB46BF" w:rsidRPr="00697868" w:rsidTr="00FB46BF">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FB46BF" w:rsidRPr="00697868" w:rsidRDefault="00FB46BF" w:rsidP="00FB46BF">
            <w:pPr>
              <w:rPr>
                <w:rFonts w:asciiTheme="minorHAnsi" w:hAnsiTheme="minorHAnsi" w:cstheme="minorHAnsi"/>
                <w:sz w:val="20"/>
                <w:szCs w:val="20"/>
              </w:rPr>
            </w:pPr>
            <w:r w:rsidRPr="00697868">
              <w:rPr>
                <w:rFonts w:asciiTheme="minorHAnsi" w:hAnsiTheme="minorHAnsi" w:cstheme="minorHAnsi"/>
                <w:sz w:val="20"/>
                <w:szCs w:val="20"/>
              </w:rPr>
              <w:t>DEER Run ID and Measure Name (Sample)</w:t>
            </w:r>
          </w:p>
        </w:tc>
        <w:tc>
          <w:tcPr>
            <w:tcW w:w="5513" w:type="dxa"/>
            <w:vAlign w:val="center"/>
          </w:tcPr>
          <w:p w:rsidR="00FB46BF" w:rsidRPr="00697868" w:rsidRDefault="00FB46BF" w:rsidP="00FB46BF">
            <w:pPr>
              <w:jc w:val="center"/>
              <w:rPr>
                <w:rFonts w:asciiTheme="minorHAnsi" w:hAnsiTheme="minorHAnsi" w:cstheme="minorHAnsi"/>
                <w:sz w:val="20"/>
                <w:szCs w:val="20"/>
              </w:rPr>
            </w:pPr>
            <w:r>
              <w:rPr>
                <w:rFonts w:asciiTheme="minorHAnsi" w:hAnsiTheme="minorHAnsi" w:cstheme="minorHAnsi"/>
                <w:sz w:val="20"/>
                <w:szCs w:val="20"/>
              </w:rPr>
              <w:t>D03-405</w:t>
            </w:r>
          </w:p>
        </w:tc>
      </w:tr>
    </w:tbl>
    <w:p w:rsidR="00FB46BF" w:rsidRDefault="00FB46BF" w:rsidP="00FB46BF">
      <w:pPr>
        <w:rPr>
          <w:rFonts w:asciiTheme="minorHAnsi" w:hAnsiTheme="minorHAnsi" w:cstheme="minorHAnsi"/>
          <w:b/>
        </w:rPr>
      </w:pPr>
    </w:p>
    <w:p w:rsidR="00FB46BF" w:rsidRPr="002246FA" w:rsidRDefault="00FB46BF" w:rsidP="002246FA">
      <w:pPr>
        <w:pStyle w:val="Reminder"/>
        <w:rPr>
          <w:rFonts w:asciiTheme="minorHAnsi" w:hAnsiTheme="minorHAnsi" w:cstheme="minorHAnsi"/>
          <w:b/>
          <w:i w:val="0"/>
          <w:color w:val="auto"/>
          <w:sz w:val="22"/>
          <w:szCs w:val="22"/>
        </w:rPr>
      </w:pPr>
      <w:r w:rsidRPr="002246FA">
        <w:rPr>
          <w:rFonts w:asciiTheme="minorHAnsi" w:hAnsiTheme="minorHAnsi" w:cstheme="minorHAnsi"/>
          <w:b/>
          <w:i w:val="0"/>
          <w:color w:val="auto"/>
          <w:sz w:val="22"/>
          <w:szCs w:val="22"/>
        </w:rPr>
        <w:t>Non-Residential Sector:</w:t>
      </w:r>
    </w:p>
    <w:p w:rsidR="00FB46BF" w:rsidRPr="00780F17" w:rsidRDefault="00FB46BF" w:rsidP="00FB46BF">
      <w:pPr>
        <w:rPr>
          <w:rFonts w:asciiTheme="minorHAnsi" w:hAnsiTheme="minorHAnsi" w:cstheme="minorHAnsi"/>
          <w:sz w:val="22"/>
          <w:szCs w:val="22"/>
        </w:rPr>
      </w:pPr>
      <w:r w:rsidRPr="00780F17">
        <w:rPr>
          <w:rFonts w:asciiTheme="minorHAnsi" w:hAnsiTheme="minorHAnsi" w:cstheme="minorHAnsi"/>
          <w:sz w:val="22"/>
          <w:szCs w:val="22"/>
        </w:rPr>
        <w:t>DEER</w:t>
      </w:r>
      <w:r>
        <w:rPr>
          <w:rFonts w:asciiTheme="minorHAnsi" w:hAnsiTheme="minorHAnsi" w:cstheme="minorHAnsi"/>
          <w:sz w:val="22"/>
          <w:szCs w:val="22"/>
        </w:rPr>
        <w:t xml:space="preserve"> 201</w:t>
      </w:r>
      <w:r w:rsidR="0062178B">
        <w:rPr>
          <w:rFonts w:asciiTheme="minorHAnsi" w:hAnsiTheme="minorHAnsi" w:cstheme="minorHAnsi"/>
          <w:sz w:val="22"/>
          <w:szCs w:val="22"/>
        </w:rPr>
        <w:t>4</w:t>
      </w:r>
      <w:r w:rsidRPr="00780F17">
        <w:rPr>
          <w:rFonts w:asciiTheme="minorHAnsi" w:hAnsiTheme="minorHAnsi" w:cstheme="minorHAnsi"/>
          <w:sz w:val="22"/>
          <w:szCs w:val="22"/>
        </w:rPr>
        <w:t xml:space="preserve"> does not provide savings values for direct evaporative coolers installed in nonresidential facilities. Section 2 discusses the methodology used for the non-residential sector.</w:t>
      </w:r>
    </w:p>
    <w:p w:rsidR="009E1CDE" w:rsidRPr="00697868" w:rsidRDefault="009E1CDE" w:rsidP="00E16609">
      <w:pPr>
        <w:rPr>
          <w:rFonts w:asciiTheme="minorHAnsi" w:hAnsiTheme="minorHAnsi" w:cstheme="minorHAnsi"/>
          <w:sz w:val="22"/>
          <w:szCs w:val="22"/>
        </w:rPr>
      </w:pPr>
    </w:p>
    <w:p w:rsidR="000968C6" w:rsidRDefault="000968C6" w:rsidP="000968C6">
      <w:pPr>
        <w:pStyle w:val="Reminders"/>
        <w:rPr>
          <w:rFonts w:asciiTheme="minorHAnsi" w:hAnsiTheme="minorHAnsi" w:cstheme="minorHAnsi"/>
          <w:b/>
          <w:i w:val="0"/>
          <w:color w:val="auto"/>
          <w:sz w:val="22"/>
          <w:szCs w:val="22"/>
        </w:rPr>
      </w:pPr>
      <w:bookmarkStart w:id="10" w:name="_Toc214003087"/>
      <w:r w:rsidRPr="000968C6">
        <w:rPr>
          <w:rFonts w:asciiTheme="minorHAnsi" w:hAnsiTheme="minorHAnsi" w:cstheme="minorHAnsi"/>
          <w:b/>
          <w:i w:val="0"/>
          <w:color w:val="auto"/>
          <w:sz w:val="22"/>
          <w:szCs w:val="22"/>
        </w:rPr>
        <w:t>Net</w:t>
      </w:r>
      <w:r w:rsidR="000548AD">
        <w:rPr>
          <w:rFonts w:asciiTheme="minorHAnsi" w:hAnsiTheme="minorHAnsi" w:cstheme="minorHAnsi"/>
          <w:b/>
          <w:i w:val="0"/>
          <w:color w:val="auto"/>
          <w:sz w:val="22"/>
          <w:szCs w:val="22"/>
        </w:rPr>
        <w:t>-</w:t>
      </w:r>
      <w:r w:rsidRPr="000968C6">
        <w:rPr>
          <w:rFonts w:asciiTheme="minorHAnsi" w:hAnsiTheme="minorHAnsi" w:cstheme="minorHAnsi"/>
          <w:b/>
          <w:i w:val="0"/>
          <w:color w:val="auto"/>
          <w:sz w:val="22"/>
          <w:szCs w:val="22"/>
        </w:rPr>
        <w:t>to</w:t>
      </w:r>
      <w:r w:rsidR="000548AD">
        <w:rPr>
          <w:rFonts w:asciiTheme="minorHAnsi" w:hAnsiTheme="minorHAnsi" w:cstheme="minorHAnsi"/>
          <w:b/>
          <w:i w:val="0"/>
          <w:color w:val="auto"/>
          <w:sz w:val="22"/>
          <w:szCs w:val="22"/>
        </w:rPr>
        <w:t>-</w:t>
      </w:r>
      <w:r w:rsidRPr="000968C6">
        <w:rPr>
          <w:rFonts w:asciiTheme="minorHAnsi" w:hAnsiTheme="minorHAnsi" w:cstheme="minorHAnsi"/>
          <w:b/>
          <w:i w:val="0"/>
          <w:color w:val="auto"/>
          <w:sz w:val="22"/>
          <w:szCs w:val="22"/>
        </w:rPr>
        <w:t>Gross</w:t>
      </w:r>
    </w:p>
    <w:p w:rsidR="004D1D19" w:rsidRDefault="000968C6" w:rsidP="000968C6">
      <w:pPr>
        <w:rPr>
          <w:rFonts w:asciiTheme="minorHAnsi" w:hAnsiTheme="minorHAnsi" w:cstheme="minorHAnsi"/>
          <w:sz w:val="22"/>
          <w:szCs w:val="22"/>
        </w:rPr>
      </w:pPr>
      <w:r w:rsidRPr="00697868">
        <w:rPr>
          <w:rFonts w:asciiTheme="minorHAnsi" w:hAnsiTheme="minorHAnsi" w:cstheme="minorHAnsi"/>
          <w:sz w:val="22"/>
          <w:szCs w:val="22"/>
        </w:rPr>
        <w:t>The NTG value was obtained from the “</w:t>
      </w:r>
      <w:r w:rsidRPr="00101F83">
        <w:rPr>
          <w:rFonts w:asciiTheme="minorHAnsi" w:hAnsiTheme="minorHAnsi" w:cstheme="minorHAnsi"/>
          <w:sz w:val="22"/>
          <w:szCs w:val="22"/>
        </w:rPr>
        <w:t xml:space="preserve">DEER2011_NTGR_2012-05-16.xls” on </w:t>
      </w:r>
      <w:r w:rsidRPr="00697868">
        <w:rPr>
          <w:rFonts w:asciiTheme="minorHAnsi" w:hAnsiTheme="minorHAnsi" w:cstheme="minorHAnsi"/>
          <w:sz w:val="22"/>
          <w:szCs w:val="22"/>
        </w:rPr>
        <w:t xml:space="preserve">the DEER website as required by Version </w:t>
      </w:r>
      <w:r w:rsidR="006B4A48">
        <w:rPr>
          <w:rFonts w:asciiTheme="minorHAnsi" w:hAnsiTheme="minorHAnsi" w:cstheme="minorHAnsi"/>
          <w:sz w:val="22"/>
          <w:szCs w:val="22"/>
        </w:rPr>
        <w:t>5</w:t>
      </w:r>
      <w:r w:rsidRPr="00697868">
        <w:rPr>
          <w:rFonts w:asciiTheme="minorHAnsi" w:hAnsiTheme="minorHAnsi" w:cstheme="minorHAnsi"/>
          <w:sz w:val="22"/>
          <w:szCs w:val="22"/>
        </w:rPr>
        <w:t xml:space="preserve"> of the California Public Utilities Commission (CPUC) Energy Efficiency Policy Manual </w:t>
      </w:r>
      <w:r w:rsidR="009138A0">
        <w:rPr>
          <w:rFonts w:asciiTheme="minorHAnsi" w:hAnsiTheme="minorHAnsi" w:cstheme="minorHAnsi"/>
          <w:sz w:val="22"/>
          <w:szCs w:val="22"/>
        </w:rPr>
        <w:t>[351]</w:t>
      </w:r>
      <w:r w:rsidRPr="00697868">
        <w:rPr>
          <w:rFonts w:asciiTheme="minorHAnsi" w:hAnsiTheme="minorHAnsi" w:cstheme="minorHAnsi"/>
          <w:sz w:val="22"/>
          <w:szCs w:val="22"/>
        </w:rPr>
        <w:t xml:space="preserve">. The relevant NTGR for this measure is shown in </w:t>
      </w:r>
      <w:r w:rsidR="006B4A48">
        <w:rPr>
          <w:rFonts w:asciiTheme="minorHAnsi" w:hAnsiTheme="minorHAnsi" w:cstheme="minorHAnsi"/>
          <w:sz w:val="22"/>
          <w:szCs w:val="22"/>
        </w:rPr>
        <w:fldChar w:fldCharType="begin"/>
      </w:r>
      <w:r w:rsidR="006B4A48">
        <w:rPr>
          <w:rFonts w:asciiTheme="minorHAnsi" w:hAnsiTheme="minorHAnsi" w:cstheme="minorHAnsi"/>
          <w:sz w:val="22"/>
          <w:szCs w:val="22"/>
        </w:rPr>
        <w:instrText xml:space="preserve"> REF _Ref377904128 \h </w:instrText>
      </w:r>
      <w:r w:rsidR="006B4A48">
        <w:rPr>
          <w:rFonts w:asciiTheme="minorHAnsi" w:hAnsiTheme="minorHAnsi" w:cstheme="minorHAnsi"/>
          <w:sz w:val="22"/>
          <w:szCs w:val="22"/>
        </w:rPr>
      </w:r>
      <w:r w:rsidR="006B4A48">
        <w:rPr>
          <w:rFonts w:asciiTheme="minorHAnsi" w:hAnsiTheme="minorHAnsi" w:cstheme="minorHAnsi"/>
          <w:sz w:val="22"/>
          <w:szCs w:val="22"/>
        </w:rPr>
        <w:fldChar w:fldCharType="separate"/>
      </w:r>
      <w:r w:rsidR="0019420D" w:rsidRPr="00697868">
        <w:rPr>
          <w:rFonts w:asciiTheme="minorHAnsi" w:hAnsiTheme="minorHAnsi" w:cstheme="minorHAnsi"/>
          <w:sz w:val="22"/>
          <w:szCs w:val="22"/>
        </w:rPr>
        <w:t xml:space="preserve">Table </w:t>
      </w:r>
      <w:r w:rsidR="0019420D">
        <w:rPr>
          <w:rFonts w:asciiTheme="minorHAnsi" w:hAnsiTheme="minorHAnsi" w:cstheme="minorHAnsi"/>
          <w:noProof/>
          <w:sz w:val="22"/>
          <w:szCs w:val="22"/>
        </w:rPr>
        <w:t>3</w:t>
      </w:r>
      <w:r w:rsidR="006B4A48">
        <w:rPr>
          <w:rFonts w:asciiTheme="minorHAnsi" w:hAnsiTheme="minorHAnsi" w:cstheme="minorHAnsi"/>
          <w:sz w:val="22"/>
          <w:szCs w:val="22"/>
        </w:rPr>
        <w:fldChar w:fldCharType="end"/>
      </w:r>
      <w:r w:rsidR="006B4A48">
        <w:rPr>
          <w:rFonts w:asciiTheme="minorHAnsi" w:hAnsiTheme="minorHAnsi" w:cstheme="minorHAnsi"/>
          <w:sz w:val="22"/>
          <w:szCs w:val="22"/>
        </w:rPr>
        <w:t xml:space="preserve"> </w:t>
      </w:r>
      <w:r w:rsidRPr="00697868">
        <w:rPr>
          <w:rFonts w:asciiTheme="minorHAnsi" w:hAnsiTheme="minorHAnsi" w:cstheme="minorHAnsi"/>
          <w:sz w:val="22"/>
          <w:szCs w:val="22"/>
        </w:rPr>
        <w:t>below.</w:t>
      </w:r>
    </w:p>
    <w:p w:rsidR="000968C6" w:rsidRPr="00697868" w:rsidRDefault="000968C6" w:rsidP="002C5560">
      <w:pPr>
        <w:spacing w:after="200" w:line="276" w:lineRule="auto"/>
        <w:rPr>
          <w:rFonts w:asciiTheme="minorHAnsi" w:hAnsiTheme="minorHAnsi" w:cstheme="minorHAnsi"/>
          <w:sz w:val="22"/>
          <w:szCs w:val="22"/>
        </w:rPr>
      </w:pPr>
    </w:p>
    <w:p w:rsidR="000968C6" w:rsidRPr="00697868" w:rsidRDefault="000968C6" w:rsidP="000968C6">
      <w:pPr>
        <w:pStyle w:val="Caption"/>
        <w:jc w:val="center"/>
        <w:rPr>
          <w:rFonts w:asciiTheme="minorHAnsi" w:hAnsiTheme="minorHAnsi" w:cstheme="minorHAnsi"/>
          <w:sz w:val="22"/>
          <w:szCs w:val="22"/>
        </w:rPr>
      </w:pPr>
      <w:bookmarkStart w:id="11" w:name="_Ref377904128"/>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AD25C5">
        <w:rPr>
          <w:rFonts w:asciiTheme="minorHAnsi" w:hAnsiTheme="minorHAnsi" w:cstheme="minorHAnsi"/>
          <w:noProof/>
          <w:sz w:val="22"/>
          <w:szCs w:val="22"/>
        </w:rPr>
        <w:t>4</w:t>
      </w:r>
      <w:r w:rsidRPr="00697868">
        <w:rPr>
          <w:rFonts w:asciiTheme="minorHAnsi" w:hAnsiTheme="minorHAnsi" w:cstheme="minorHAnsi"/>
          <w:sz w:val="22"/>
          <w:szCs w:val="22"/>
        </w:rPr>
        <w:fldChar w:fldCharType="end"/>
      </w:r>
      <w:bookmarkEnd w:id="11"/>
      <w:r w:rsidRPr="00697868">
        <w:rPr>
          <w:rFonts w:asciiTheme="minorHAnsi" w:hAnsiTheme="minorHAnsi" w:cstheme="minorHAnsi"/>
          <w:sz w:val="22"/>
          <w:szCs w:val="22"/>
        </w:rPr>
        <w:t xml:space="preserve"> Net-to-Gross Ratio</w:t>
      </w:r>
    </w:p>
    <w:tbl>
      <w:tblPr>
        <w:tblStyle w:val="TableContemporary"/>
        <w:tblW w:w="4381" w:type="pct"/>
        <w:jc w:val="center"/>
        <w:tblInd w:w="1186" w:type="dxa"/>
        <w:tblLook w:val="01E0" w:firstRow="1" w:lastRow="1" w:firstColumn="1" w:lastColumn="1" w:noHBand="0" w:noVBand="0"/>
      </w:tblPr>
      <w:tblGrid>
        <w:gridCol w:w="1439"/>
        <w:gridCol w:w="1804"/>
        <w:gridCol w:w="1398"/>
        <w:gridCol w:w="1717"/>
        <w:gridCol w:w="1279"/>
        <w:gridCol w:w="753"/>
      </w:tblGrid>
      <w:tr w:rsidR="000968C6" w:rsidRPr="00697868" w:rsidTr="00E17AFA">
        <w:trPr>
          <w:cnfStyle w:val="100000000000" w:firstRow="1" w:lastRow="0" w:firstColumn="0" w:lastColumn="0" w:oddVBand="0" w:evenVBand="0" w:oddHBand="0" w:evenHBand="0" w:firstRowFirstColumn="0" w:firstRowLastColumn="0" w:lastRowFirstColumn="0" w:lastRowLastColumn="0"/>
          <w:jc w:val="center"/>
        </w:trPr>
        <w:tc>
          <w:tcPr>
            <w:tcW w:w="858"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NTGR_ID*</w:t>
            </w:r>
          </w:p>
        </w:tc>
        <w:tc>
          <w:tcPr>
            <w:tcW w:w="1075"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Description*</w:t>
            </w:r>
          </w:p>
        </w:tc>
        <w:tc>
          <w:tcPr>
            <w:tcW w:w="833"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Sector*</w:t>
            </w:r>
          </w:p>
        </w:tc>
        <w:tc>
          <w:tcPr>
            <w:tcW w:w="1023" w:type="pct"/>
            <w:vAlign w:val="center"/>
          </w:tcPr>
          <w:p w:rsidR="000968C6" w:rsidRPr="00697868" w:rsidRDefault="000968C6" w:rsidP="009824E9">
            <w:pPr>
              <w:jc w:val="center"/>
              <w:rPr>
                <w:rFonts w:asciiTheme="minorHAnsi" w:hAnsiTheme="minorHAnsi" w:cstheme="minorHAnsi"/>
                <w:sz w:val="20"/>
                <w:szCs w:val="20"/>
              </w:rPr>
            </w:pPr>
            <w:proofErr w:type="spellStart"/>
            <w:r w:rsidRPr="00697868">
              <w:rPr>
                <w:rFonts w:asciiTheme="minorHAnsi" w:hAnsiTheme="minorHAnsi" w:cstheme="minorHAnsi"/>
                <w:sz w:val="20"/>
                <w:szCs w:val="20"/>
              </w:rPr>
              <w:t>BldgType</w:t>
            </w:r>
            <w:proofErr w:type="spellEnd"/>
            <w:r w:rsidRPr="00697868">
              <w:rPr>
                <w:rFonts w:asciiTheme="minorHAnsi" w:hAnsiTheme="minorHAnsi" w:cstheme="minorHAnsi"/>
                <w:sz w:val="20"/>
                <w:szCs w:val="20"/>
              </w:rPr>
              <w:t>*</w:t>
            </w:r>
          </w:p>
        </w:tc>
        <w:tc>
          <w:tcPr>
            <w:tcW w:w="762" w:type="pct"/>
          </w:tcPr>
          <w:p w:rsidR="000968C6" w:rsidRPr="00697868" w:rsidRDefault="000968C6" w:rsidP="009824E9">
            <w:pPr>
              <w:jc w:val="center"/>
              <w:rPr>
                <w:rFonts w:asciiTheme="minorHAnsi" w:hAnsiTheme="minorHAnsi" w:cstheme="minorHAnsi"/>
                <w:sz w:val="20"/>
                <w:szCs w:val="20"/>
              </w:rPr>
            </w:pPr>
            <w:proofErr w:type="spellStart"/>
            <w:r w:rsidRPr="00697868">
              <w:rPr>
                <w:rFonts w:asciiTheme="minorHAnsi" w:hAnsiTheme="minorHAnsi" w:cstheme="minorHAnsi"/>
                <w:sz w:val="20"/>
                <w:szCs w:val="20"/>
              </w:rPr>
              <w:t>ProgDelivID</w:t>
            </w:r>
            <w:proofErr w:type="spellEnd"/>
          </w:p>
        </w:tc>
        <w:tc>
          <w:tcPr>
            <w:tcW w:w="449"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NTG*</w:t>
            </w:r>
          </w:p>
        </w:tc>
      </w:tr>
      <w:tr w:rsidR="00E17AFA" w:rsidRPr="000F130A" w:rsidTr="00E905B4">
        <w:trPr>
          <w:cnfStyle w:val="000000100000" w:firstRow="0" w:lastRow="0" w:firstColumn="0" w:lastColumn="0" w:oddVBand="0" w:evenVBand="0" w:oddHBand="1" w:evenHBand="0" w:firstRowFirstColumn="0" w:firstRowLastColumn="0" w:lastRowFirstColumn="0" w:lastRowLastColumn="0"/>
          <w:jc w:val="center"/>
        </w:trPr>
        <w:tc>
          <w:tcPr>
            <w:tcW w:w="858" w:type="pct"/>
            <w:vAlign w:val="center"/>
          </w:tcPr>
          <w:p w:rsidR="00E17AFA" w:rsidRPr="004E76CA" w:rsidRDefault="00E17AFA" w:rsidP="00E905B4">
            <w:pPr>
              <w:jc w:val="center"/>
              <w:rPr>
                <w:rFonts w:asciiTheme="minorHAnsi" w:hAnsiTheme="minorHAnsi" w:cstheme="minorHAnsi"/>
                <w:sz w:val="20"/>
                <w:szCs w:val="20"/>
              </w:rPr>
            </w:pPr>
            <w:r w:rsidRPr="00A871E5">
              <w:rPr>
                <w:rFonts w:asciiTheme="minorHAnsi" w:hAnsiTheme="minorHAnsi" w:cstheme="minorHAnsi"/>
                <w:sz w:val="20"/>
                <w:szCs w:val="20"/>
              </w:rPr>
              <w:t>Res-Default&gt;2</w:t>
            </w:r>
          </w:p>
        </w:tc>
        <w:tc>
          <w:tcPr>
            <w:tcW w:w="1075" w:type="pct"/>
            <w:vAlign w:val="center"/>
          </w:tcPr>
          <w:p w:rsidR="00E17AFA" w:rsidRPr="004E76CA" w:rsidRDefault="00E17AFA" w:rsidP="00E905B4">
            <w:pPr>
              <w:jc w:val="center"/>
              <w:rPr>
                <w:rFonts w:asciiTheme="minorHAnsi" w:hAnsiTheme="minorHAnsi" w:cstheme="minorHAnsi"/>
                <w:sz w:val="20"/>
                <w:szCs w:val="20"/>
              </w:rPr>
            </w:pPr>
            <w:r w:rsidRPr="00A871E5">
              <w:rPr>
                <w:rFonts w:asciiTheme="minorHAnsi" w:hAnsiTheme="minorHAnsi" w:cstheme="minorHAnsi"/>
                <w:sz w:val="20"/>
                <w:szCs w:val="20"/>
              </w:rPr>
              <w:t>All other EEM with no evaluated NTGR; existing EEM with same delivery mechanism for more than 2 years</w:t>
            </w:r>
          </w:p>
        </w:tc>
        <w:tc>
          <w:tcPr>
            <w:tcW w:w="833" w:type="pct"/>
            <w:vAlign w:val="center"/>
          </w:tcPr>
          <w:p w:rsidR="00E17AFA" w:rsidRPr="004E76CA" w:rsidRDefault="00E17AFA" w:rsidP="00E905B4">
            <w:pPr>
              <w:jc w:val="center"/>
              <w:rPr>
                <w:rFonts w:asciiTheme="minorHAnsi" w:hAnsiTheme="minorHAnsi" w:cstheme="minorHAnsi"/>
                <w:sz w:val="20"/>
                <w:szCs w:val="20"/>
              </w:rPr>
            </w:pPr>
            <w:r>
              <w:rPr>
                <w:rFonts w:asciiTheme="minorHAnsi" w:hAnsiTheme="minorHAnsi" w:cstheme="minorHAnsi"/>
                <w:sz w:val="20"/>
                <w:szCs w:val="20"/>
              </w:rPr>
              <w:t>Res</w:t>
            </w:r>
          </w:p>
        </w:tc>
        <w:tc>
          <w:tcPr>
            <w:tcW w:w="1023" w:type="pct"/>
            <w:vAlign w:val="center"/>
          </w:tcPr>
          <w:p w:rsidR="00E17AFA" w:rsidRPr="004E76CA" w:rsidRDefault="00E17AFA" w:rsidP="00E905B4">
            <w:pPr>
              <w:jc w:val="center"/>
              <w:rPr>
                <w:rFonts w:asciiTheme="minorHAnsi" w:hAnsiTheme="minorHAnsi" w:cstheme="minorHAnsi"/>
                <w:sz w:val="20"/>
                <w:szCs w:val="20"/>
              </w:rPr>
            </w:pPr>
            <w:r w:rsidRPr="00C74F63">
              <w:rPr>
                <w:rFonts w:asciiTheme="minorHAnsi" w:hAnsiTheme="minorHAnsi" w:cstheme="minorHAnsi"/>
                <w:sz w:val="20"/>
                <w:szCs w:val="20"/>
              </w:rPr>
              <w:t>Any</w:t>
            </w:r>
          </w:p>
        </w:tc>
        <w:tc>
          <w:tcPr>
            <w:tcW w:w="762" w:type="pct"/>
            <w:vAlign w:val="center"/>
          </w:tcPr>
          <w:p w:rsidR="00E17AFA" w:rsidRDefault="00E17AFA" w:rsidP="00E905B4">
            <w:pPr>
              <w:jc w:val="center"/>
              <w:rPr>
                <w:rFonts w:asciiTheme="minorHAnsi" w:hAnsiTheme="minorHAnsi" w:cstheme="minorHAnsi"/>
                <w:sz w:val="20"/>
                <w:szCs w:val="20"/>
              </w:rPr>
            </w:pPr>
            <w:r>
              <w:rPr>
                <w:rFonts w:asciiTheme="minorHAnsi" w:hAnsiTheme="minorHAnsi" w:cstheme="minorHAnsi"/>
                <w:sz w:val="20"/>
                <w:szCs w:val="20"/>
              </w:rPr>
              <w:t>All</w:t>
            </w:r>
          </w:p>
        </w:tc>
        <w:tc>
          <w:tcPr>
            <w:tcW w:w="449" w:type="pct"/>
            <w:vAlign w:val="center"/>
          </w:tcPr>
          <w:p w:rsidR="00E17AFA" w:rsidRPr="004E76CA" w:rsidRDefault="00E17AFA" w:rsidP="00E905B4">
            <w:pPr>
              <w:jc w:val="center"/>
              <w:rPr>
                <w:rFonts w:asciiTheme="minorHAnsi" w:hAnsiTheme="minorHAnsi" w:cstheme="minorHAnsi"/>
                <w:sz w:val="20"/>
                <w:szCs w:val="20"/>
              </w:rPr>
            </w:pPr>
            <w:r>
              <w:rPr>
                <w:rFonts w:asciiTheme="minorHAnsi" w:hAnsiTheme="minorHAnsi" w:cstheme="minorHAnsi"/>
                <w:sz w:val="20"/>
                <w:szCs w:val="20"/>
              </w:rPr>
              <w:t>0.55</w:t>
            </w:r>
          </w:p>
        </w:tc>
      </w:tr>
      <w:tr w:rsidR="00E17AFA" w:rsidRPr="000F130A" w:rsidTr="00E905B4">
        <w:trPr>
          <w:cnfStyle w:val="000000010000" w:firstRow="0" w:lastRow="0" w:firstColumn="0" w:lastColumn="0" w:oddVBand="0" w:evenVBand="0" w:oddHBand="0" w:evenHBand="1" w:firstRowFirstColumn="0" w:firstRowLastColumn="0" w:lastRowFirstColumn="0" w:lastRowLastColumn="0"/>
          <w:jc w:val="center"/>
        </w:trPr>
        <w:tc>
          <w:tcPr>
            <w:tcW w:w="858" w:type="pct"/>
            <w:vAlign w:val="center"/>
          </w:tcPr>
          <w:p w:rsidR="00E17AFA" w:rsidRPr="00A871E5" w:rsidRDefault="00E17AFA" w:rsidP="00E905B4">
            <w:pPr>
              <w:jc w:val="center"/>
              <w:rPr>
                <w:rFonts w:asciiTheme="minorHAnsi" w:hAnsiTheme="minorHAnsi" w:cstheme="minorHAnsi"/>
                <w:sz w:val="20"/>
                <w:szCs w:val="20"/>
              </w:rPr>
            </w:pPr>
            <w:r w:rsidRPr="003B2982">
              <w:rPr>
                <w:rFonts w:asciiTheme="minorHAnsi" w:hAnsiTheme="minorHAnsi" w:cstheme="minorHAnsi"/>
                <w:sz w:val="20"/>
                <w:szCs w:val="20"/>
              </w:rPr>
              <w:t>Res-Default-HTG-di</w:t>
            </w:r>
          </w:p>
        </w:tc>
        <w:tc>
          <w:tcPr>
            <w:tcW w:w="1075" w:type="pct"/>
            <w:vAlign w:val="center"/>
          </w:tcPr>
          <w:p w:rsidR="00E17AFA" w:rsidRPr="00A871E5" w:rsidRDefault="00E17AFA" w:rsidP="00E905B4">
            <w:pPr>
              <w:jc w:val="center"/>
              <w:rPr>
                <w:rFonts w:asciiTheme="minorHAnsi" w:hAnsiTheme="minorHAnsi" w:cstheme="minorHAnsi"/>
                <w:sz w:val="20"/>
                <w:szCs w:val="20"/>
              </w:rPr>
            </w:pPr>
            <w:r w:rsidRPr="003B2982">
              <w:rPr>
                <w:rFonts w:asciiTheme="minorHAnsi" w:hAnsiTheme="minorHAnsi" w:cstheme="minorHAnsi"/>
                <w:sz w:val="20"/>
                <w:szCs w:val="20"/>
              </w:rPr>
              <w:t xml:space="preserve">All other EEM with no evaluated NTGR; direct install </w:t>
            </w:r>
            <w:r w:rsidRPr="003B2982">
              <w:rPr>
                <w:rFonts w:asciiTheme="minorHAnsi" w:hAnsiTheme="minorHAnsi" w:cstheme="minorHAnsi"/>
                <w:sz w:val="20"/>
                <w:szCs w:val="20"/>
              </w:rPr>
              <w:lastRenderedPageBreak/>
              <w:t>hard-to-reach only.</w:t>
            </w:r>
          </w:p>
        </w:tc>
        <w:tc>
          <w:tcPr>
            <w:tcW w:w="833" w:type="pct"/>
            <w:vAlign w:val="center"/>
          </w:tcPr>
          <w:p w:rsidR="00E17AFA" w:rsidRDefault="00E17AFA" w:rsidP="00E905B4">
            <w:pPr>
              <w:jc w:val="center"/>
              <w:rPr>
                <w:rFonts w:asciiTheme="minorHAnsi" w:hAnsiTheme="minorHAnsi" w:cstheme="minorHAnsi"/>
                <w:sz w:val="20"/>
                <w:szCs w:val="20"/>
              </w:rPr>
            </w:pPr>
            <w:r w:rsidRPr="003B2982">
              <w:rPr>
                <w:rFonts w:asciiTheme="minorHAnsi" w:hAnsiTheme="minorHAnsi" w:cstheme="minorHAnsi"/>
                <w:sz w:val="20"/>
                <w:szCs w:val="20"/>
              </w:rPr>
              <w:lastRenderedPageBreak/>
              <w:t>Res</w:t>
            </w:r>
          </w:p>
        </w:tc>
        <w:tc>
          <w:tcPr>
            <w:tcW w:w="1023" w:type="pct"/>
            <w:vAlign w:val="center"/>
          </w:tcPr>
          <w:p w:rsidR="00E17AFA" w:rsidRPr="00C74F63" w:rsidRDefault="00E17AFA" w:rsidP="00E905B4">
            <w:pPr>
              <w:jc w:val="center"/>
              <w:rPr>
                <w:rFonts w:asciiTheme="minorHAnsi" w:hAnsiTheme="minorHAnsi" w:cstheme="minorHAnsi"/>
                <w:sz w:val="20"/>
                <w:szCs w:val="20"/>
              </w:rPr>
            </w:pPr>
            <w:r>
              <w:rPr>
                <w:rFonts w:asciiTheme="minorHAnsi" w:hAnsiTheme="minorHAnsi" w:cstheme="minorHAnsi"/>
                <w:sz w:val="20"/>
                <w:szCs w:val="20"/>
              </w:rPr>
              <w:t>Any</w:t>
            </w:r>
          </w:p>
        </w:tc>
        <w:tc>
          <w:tcPr>
            <w:tcW w:w="762" w:type="pct"/>
            <w:vAlign w:val="center"/>
          </w:tcPr>
          <w:p w:rsidR="00E17AFA" w:rsidRDefault="00E17AFA" w:rsidP="00E905B4">
            <w:pPr>
              <w:jc w:val="center"/>
              <w:rPr>
                <w:rFonts w:asciiTheme="minorHAnsi" w:hAnsiTheme="minorHAnsi" w:cstheme="minorHAnsi"/>
                <w:sz w:val="20"/>
                <w:szCs w:val="20"/>
              </w:rPr>
            </w:pPr>
            <w:proofErr w:type="spellStart"/>
            <w:r w:rsidRPr="003B2982">
              <w:rPr>
                <w:rFonts w:asciiTheme="minorHAnsi" w:hAnsiTheme="minorHAnsi" w:cstheme="minorHAnsi"/>
                <w:sz w:val="20"/>
                <w:szCs w:val="20"/>
              </w:rPr>
              <w:t>DirInstall</w:t>
            </w:r>
            <w:proofErr w:type="spellEnd"/>
          </w:p>
        </w:tc>
        <w:tc>
          <w:tcPr>
            <w:tcW w:w="449" w:type="pct"/>
            <w:vAlign w:val="center"/>
          </w:tcPr>
          <w:p w:rsidR="00E17AFA" w:rsidRDefault="00E17AFA" w:rsidP="00E905B4">
            <w:pPr>
              <w:jc w:val="center"/>
              <w:rPr>
                <w:rFonts w:asciiTheme="minorHAnsi" w:hAnsiTheme="minorHAnsi" w:cstheme="minorHAnsi"/>
                <w:sz w:val="20"/>
                <w:szCs w:val="20"/>
              </w:rPr>
            </w:pPr>
            <w:r>
              <w:rPr>
                <w:rFonts w:asciiTheme="minorHAnsi" w:hAnsiTheme="minorHAnsi" w:cstheme="minorHAnsi"/>
                <w:sz w:val="20"/>
                <w:szCs w:val="20"/>
              </w:rPr>
              <w:t>0.85</w:t>
            </w:r>
          </w:p>
        </w:tc>
      </w:tr>
      <w:tr w:rsidR="00E17AFA" w:rsidRPr="000F130A" w:rsidTr="00E905B4">
        <w:trPr>
          <w:cnfStyle w:val="000000100000" w:firstRow="0" w:lastRow="0" w:firstColumn="0" w:lastColumn="0" w:oddVBand="0" w:evenVBand="0" w:oddHBand="1" w:evenHBand="0" w:firstRowFirstColumn="0" w:firstRowLastColumn="0" w:lastRowFirstColumn="0" w:lastRowLastColumn="0"/>
          <w:jc w:val="center"/>
        </w:trPr>
        <w:tc>
          <w:tcPr>
            <w:tcW w:w="858" w:type="pct"/>
            <w:vAlign w:val="center"/>
          </w:tcPr>
          <w:p w:rsidR="00E17AFA" w:rsidRPr="00DD083F" w:rsidRDefault="00E17AFA" w:rsidP="00E905B4">
            <w:pPr>
              <w:jc w:val="center"/>
              <w:rPr>
                <w:rFonts w:asciiTheme="minorHAnsi" w:hAnsiTheme="minorHAnsi" w:cstheme="minorHAnsi"/>
                <w:sz w:val="20"/>
                <w:szCs w:val="20"/>
              </w:rPr>
            </w:pPr>
            <w:r w:rsidRPr="00DD083F">
              <w:rPr>
                <w:rFonts w:asciiTheme="minorHAnsi" w:hAnsiTheme="minorHAnsi" w:cstheme="minorHAnsi"/>
                <w:sz w:val="20"/>
                <w:szCs w:val="20"/>
              </w:rPr>
              <w:lastRenderedPageBreak/>
              <w:t>Com-Default&gt;2yrs</w:t>
            </w:r>
          </w:p>
          <w:p w:rsidR="00E17AFA" w:rsidRPr="00A871E5" w:rsidRDefault="00E17AFA" w:rsidP="00E905B4">
            <w:pPr>
              <w:jc w:val="center"/>
              <w:rPr>
                <w:rFonts w:asciiTheme="minorHAnsi" w:hAnsiTheme="minorHAnsi" w:cstheme="minorHAnsi"/>
                <w:sz w:val="20"/>
                <w:szCs w:val="20"/>
              </w:rPr>
            </w:pPr>
          </w:p>
        </w:tc>
        <w:tc>
          <w:tcPr>
            <w:tcW w:w="1075" w:type="pct"/>
            <w:vAlign w:val="center"/>
          </w:tcPr>
          <w:p w:rsidR="00E17AFA" w:rsidRPr="00A871E5" w:rsidRDefault="00E17AFA" w:rsidP="00E905B4">
            <w:pPr>
              <w:jc w:val="center"/>
              <w:rPr>
                <w:rFonts w:asciiTheme="minorHAnsi" w:hAnsiTheme="minorHAnsi" w:cstheme="minorHAnsi"/>
                <w:sz w:val="20"/>
                <w:szCs w:val="20"/>
              </w:rPr>
            </w:pPr>
            <w:r w:rsidRPr="00DD083F">
              <w:rPr>
                <w:rFonts w:asciiTheme="minorHAnsi" w:hAnsiTheme="minorHAnsi" w:cstheme="minorHAnsi"/>
                <w:sz w:val="20"/>
                <w:szCs w:val="20"/>
              </w:rPr>
              <w:t xml:space="preserve">All other EEMs with no evaluated NTGR; existing EEM in programs with same delivery </w:t>
            </w:r>
            <w:r>
              <w:rPr>
                <w:rFonts w:asciiTheme="minorHAnsi" w:hAnsiTheme="minorHAnsi" w:cstheme="minorHAnsi"/>
                <w:sz w:val="20"/>
                <w:szCs w:val="20"/>
              </w:rPr>
              <w:t>mechanism for more than 2 years</w:t>
            </w:r>
          </w:p>
        </w:tc>
        <w:tc>
          <w:tcPr>
            <w:tcW w:w="833" w:type="pct"/>
            <w:vAlign w:val="center"/>
          </w:tcPr>
          <w:p w:rsidR="00E17AFA" w:rsidRDefault="00E17AFA" w:rsidP="00E905B4">
            <w:pPr>
              <w:jc w:val="center"/>
              <w:rPr>
                <w:rFonts w:asciiTheme="minorHAnsi" w:hAnsiTheme="minorHAnsi" w:cstheme="minorHAnsi"/>
                <w:sz w:val="20"/>
                <w:szCs w:val="20"/>
              </w:rPr>
            </w:pPr>
            <w:r>
              <w:rPr>
                <w:rFonts w:asciiTheme="minorHAnsi" w:hAnsiTheme="minorHAnsi" w:cstheme="minorHAnsi"/>
                <w:sz w:val="20"/>
                <w:szCs w:val="20"/>
              </w:rPr>
              <w:t>Com</w:t>
            </w:r>
          </w:p>
        </w:tc>
        <w:tc>
          <w:tcPr>
            <w:tcW w:w="1023" w:type="pct"/>
            <w:vAlign w:val="center"/>
          </w:tcPr>
          <w:p w:rsidR="00E17AFA" w:rsidRPr="00C74F63" w:rsidRDefault="00E17AFA" w:rsidP="00E905B4">
            <w:pPr>
              <w:jc w:val="center"/>
              <w:rPr>
                <w:rFonts w:asciiTheme="minorHAnsi" w:hAnsiTheme="minorHAnsi" w:cstheme="minorHAnsi"/>
                <w:sz w:val="20"/>
                <w:szCs w:val="20"/>
              </w:rPr>
            </w:pPr>
            <w:r>
              <w:rPr>
                <w:rFonts w:asciiTheme="minorHAnsi" w:hAnsiTheme="minorHAnsi" w:cstheme="minorHAnsi"/>
                <w:sz w:val="20"/>
                <w:szCs w:val="20"/>
              </w:rPr>
              <w:t>Any</w:t>
            </w:r>
          </w:p>
        </w:tc>
        <w:tc>
          <w:tcPr>
            <w:tcW w:w="762" w:type="pct"/>
            <w:vAlign w:val="center"/>
          </w:tcPr>
          <w:p w:rsidR="00E17AFA" w:rsidRDefault="00E17AFA" w:rsidP="00E905B4">
            <w:pPr>
              <w:jc w:val="center"/>
              <w:rPr>
                <w:rFonts w:asciiTheme="minorHAnsi" w:hAnsiTheme="minorHAnsi" w:cstheme="minorHAnsi"/>
                <w:sz w:val="20"/>
                <w:szCs w:val="20"/>
              </w:rPr>
            </w:pPr>
            <w:r>
              <w:rPr>
                <w:rFonts w:asciiTheme="minorHAnsi" w:hAnsiTheme="minorHAnsi" w:cstheme="minorHAnsi"/>
                <w:sz w:val="20"/>
                <w:szCs w:val="20"/>
              </w:rPr>
              <w:t>All</w:t>
            </w:r>
          </w:p>
        </w:tc>
        <w:tc>
          <w:tcPr>
            <w:tcW w:w="449" w:type="pct"/>
            <w:vAlign w:val="center"/>
          </w:tcPr>
          <w:p w:rsidR="00E17AFA" w:rsidRDefault="00E17AFA" w:rsidP="00E905B4">
            <w:pPr>
              <w:jc w:val="center"/>
              <w:rPr>
                <w:rFonts w:asciiTheme="minorHAnsi" w:hAnsiTheme="minorHAnsi" w:cstheme="minorHAnsi"/>
                <w:sz w:val="20"/>
                <w:szCs w:val="20"/>
              </w:rPr>
            </w:pPr>
            <w:r>
              <w:rPr>
                <w:rFonts w:asciiTheme="minorHAnsi" w:hAnsiTheme="minorHAnsi" w:cstheme="minorHAnsi"/>
                <w:sz w:val="20"/>
                <w:szCs w:val="20"/>
              </w:rPr>
              <w:t>0.6</w:t>
            </w:r>
          </w:p>
        </w:tc>
      </w:tr>
    </w:tbl>
    <w:p w:rsidR="000968C6" w:rsidRPr="00697868" w:rsidRDefault="000968C6" w:rsidP="000968C6">
      <w:pPr>
        <w:ind w:firstLine="720"/>
        <w:rPr>
          <w:rFonts w:asciiTheme="minorHAnsi" w:hAnsiTheme="minorHAnsi" w:cstheme="minorHAnsi"/>
          <w:sz w:val="20"/>
          <w:szCs w:val="20"/>
        </w:rPr>
      </w:pPr>
      <w:r w:rsidRPr="00697868">
        <w:rPr>
          <w:rFonts w:asciiTheme="minorHAnsi" w:hAnsiTheme="minorHAnsi" w:cstheme="minorHAnsi"/>
          <w:sz w:val="20"/>
          <w:szCs w:val="20"/>
        </w:rPr>
        <w:t>*Denotes that the column is taken from the DEER NTG Table.</w:t>
      </w:r>
    </w:p>
    <w:p w:rsidR="000968C6" w:rsidRPr="000968C6" w:rsidRDefault="000968C6" w:rsidP="000968C6">
      <w:pPr>
        <w:pStyle w:val="Reminders"/>
        <w:rPr>
          <w:rFonts w:asciiTheme="minorHAnsi" w:hAnsiTheme="minorHAnsi" w:cstheme="minorHAnsi"/>
          <w:i w:val="0"/>
          <w:color w:val="auto"/>
          <w:sz w:val="22"/>
          <w:szCs w:val="22"/>
        </w:rPr>
      </w:pPr>
    </w:p>
    <w:p w:rsidR="00410AD4" w:rsidRDefault="00410AD4" w:rsidP="000968C6">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Note that for the direct install delivery mechanism, a distinction between hard to reach and non-hard to reach markets will be made on a project by project basis. This work paper shows the NTG associated with a hard to reach direct install delivery mechanism and the residential defaulted NTG value, where in fact, a measure offered through direct install and is not “hard to reach” will receive a default NTG value.</w:t>
      </w:r>
    </w:p>
    <w:p w:rsidR="00410AD4" w:rsidRPr="000968C6" w:rsidRDefault="00410AD4" w:rsidP="000968C6">
      <w:pPr>
        <w:pStyle w:val="Reminders"/>
        <w:rPr>
          <w:rFonts w:asciiTheme="minorHAnsi" w:hAnsiTheme="minorHAnsi" w:cstheme="minorHAnsi"/>
          <w:i w:val="0"/>
          <w:color w:val="auto"/>
          <w:sz w:val="22"/>
          <w:szCs w:val="22"/>
        </w:rPr>
      </w:pPr>
    </w:p>
    <w:p w:rsidR="000968C6" w:rsidRDefault="000968C6" w:rsidP="000968C6">
      <w:pPr>
        <w:pStyle w:val="Reminders"/>
        <w:rPr>
          <w:rFonts w:asciiTheme="minorHAnsi" w:hAnsiTheme="minorHAnsi" w:cstheme="minorHAnsi"/>
          <w:b/>
          <w:i w:val="0"/>
          <w:color w:val="auto"/>
          <w:sz w:val="22"/>
          <w:szCs w:val="22"/>
        </w:rPr>
      </w:pPr>
      <w:r w:rsidRPr="000968C6">
        <w:rPr>
          <w:rFonts w:asciiTheme="minorHAnsi" w:hAnsiTheme="minorHAnsi" w:cstheme="minorHAnsi"/>
          <w:b/>
          <w:i w:val="0"/>
          <w:color w:val="auto"/>
          <w:sz w:val="22"/>
          <w:szCs w:val="22"/>
        </w:rPr>
        <w:t>Installation Rate</w:t>
      </w:r>
    </w:p>
    <w:p w:rsidR="000968C6" w:rsidRDefault="000968C6" w:rsidP="000968C6">
      <w:pPr>
        <w:pStyle w:val="Reminders"/>
        <w:rPr>
          <w:rFonts w:asciiTheme="minorHAnsi" w:hAnsiTheme="minorHAnsi" w:cstheme="minorHAnsi"/>
          <w:i w:val="0"/>
          <w:color w:val="auto"/>
          <w:sz w:val="22"/>
          <w:szCs w:val="22"/>
        </w:rPr>
      </w:pPr>
      <w:r w:rsidRPr="000968C6">
        <w:rPr>
          <w:rFonts w:asciiTheme="minorHAnsi" w:hAnsiTheme="minorHAnsi" w:cstheme="minorHAnsi"/>
          <w:i w:val="0"/>
          <w:color w:val="auto"/>
          <w:sz w:val="22"/>
          <w:szCs w:val="22"/>
        </w:rPr>
        <w:t xml:space="preserve">The installation rate (IR) is identified in the calculation attachment. This value is obtained from </w:t>
      </w:r>
      <w:r w:rsidR="00240B74">
        <w:rPr>
          <w:rFonts w:asciiTheme="minorHAnsi" w:hAnsiTheme="minorHAnsi" w:cstheme="minorHAnsi"/>
          <w:i w:val="0"/>
          <w:color w:val="auto"/>
          <w:sz w:val="22"/>
          <w:szCs w:val="22"/>
        </w:rPr>
        <w:t xml:space="preserve">the support table available in </w:t>
      </w:r>
      <w:proofErr w:type="spellStart"/>
      <w:r w:rsidR="00240B74">
        <w:rPr>
          <w:rFonts w:asciiTheme="minorHAnsi" w:hAnsiTheme="minorHAnsi" w:cstheme="minorHAnsi"/>
          <w:i w:val="0"/>
          <w:color w:val="auto"/>
          <w:sz w:val="22"/>
          <w:szCs w:val="22"/>
        </w:rPr>
        <w:t>READi</w:t>
      </w:r>
      <w:proofErr w:type="spellEnd"/>
      <w:r w:rsidR="00240B74">
        <w:rPr>
          <w:rFonts w:asciiTheme="minorHAnsi" w:hAnsiTheme="minorHAnsi" w:cstheme="minorHAnsi"/>
          <w:i w:val="0"/>
          <w:color w:val="auto"/>
          <w:sz w:val="22"/>
          <w:szCs w:val="22"/>
        </w:rPr>
        <w:t xml:space="preserve">. Currently </w:t>
      </w:r>
      <w:r w:rsidR="00413CDB">
        <w:rPr>
          <w:rFonts w:asciiTheme="minorHAnsi" w:hAnsiTheme="minorHAnsi" w:cstheme="minorHAnsi"/>
          <w:i w:val="0"/>
          <w:color w:val="auto"/>
          <w:sz w:val="22"/>
          <w:szCs w:val="22"/>
        </w:rPr>
        <w:t>there is no versioning on</w:t>
      </w:r>
      <w:r w:rsidR="00240B74">
        <w:rPr>
          <w:rFonts w:asciiTheme="minorHAnsi" w:hAnsiTheme="minorHAnsi" w:cstheme="minorHAnsi"/>
          <w:i w:val="0"/>
          <w:color w:val="auto"/>
          <w:sz w:val="22"/>
          <w:szCs w:val="22"/>
        </w:rPr>
        <w:t xml:space="preserve"> the installation rate table</w:t>
      </w:r>
      <w:r w:rsidR="00413CDB">
        <w:rPr>
          <w:rFonts w:asciiTheme="minorHAnsi" w:hAnsiTheme="minorHAnsi" w:cstheme="minorHAnsi"/>
          <w:i w:val="0"/>
          <w:color w:val="auto"/>
          <w:sz w:val="22"/>
          <w:szCs w:val="22"/>
        </w:rPr>
        <w:t>. To address appropriate selection of the installation rate</w:t>
      </w:r>
      <w:r w:rsidR="00240B74">
        <w:rPr>
          <w:rFonts w:asciiTheme="minorHAnsi" w:hAnsiTheme="minorHAnsi" w:cstheme="minorHAnsi"/>
          <w:i w:val="0"/>
          <w:color w:val="auto"/>
          <w:sz w:val="22"/>
          <w:szCs w:val="22"/>
        </w:rPr>
        <w:t xml:space="preserve"> the date of the </w:t>
      </w:r>
      <w:proofErr w:type="spellStart"/>
      <w:r w:rsidR="00240B74">
        <w:rPr>
          <w:rFonts w:asciiTheme="minorHAnsi" w:hAnsiTheme="minorHAnsi" w:cstheme="minorHAnsi"/>
          <w:i w:val="0"/>
          <w:color w:val="auto"/>
          <w:sz w:val="22"/>
          <w:szCs w:val="22"/>
        </w:rPr>
        <w:t>workpaper</w:t>
      </w:r>
      <w:proofErr w:type="spellEnd"/>
      <w:r w:rsidR="00240B74">
        <w:rPr>
          <w:rFonts w:asciiTheme="minorHAnsi" w:hAnsiTheme="minorHAnsi" w:cstheme="minorHAnsi"/>
          <w:i w:val="0"/>
          <w:color w:val="auto"/>
          <w:sz w:val="22"/>
          <w:szCs w:val="22"/>
        </w:rPr>
        <w:t xml:space="preserve"> will serve as the last date checked for updated IR values.</w:t>
      </w:r>
      <w:r w:rsidRPr="000968C6">
        <w:rPr>
          <w:rFonts w:asciiTheme="minorHAnsi" w:hAnsiTheme="minorHAnsi" w:cstheme="minorHAnsi"/>
          <w:i w:val="0"/>
          <w:color w:val="auto"/>
          <w:sz w:val="22"/>
          <w:szCs w:val="22"/>
        </w:rPr>
        <w:t xml:space="preserve"> The installation rate varies by end use, sector, technology, application, and delivery method.</w:t>
      </w:r>
      <w:r w:rsidR="006B4A48" w:rsidRPr="006B4A48">
        <w:rPr>
          <w:rFonts w:asciiTheme="minorHAnsi" w:hAnsiTheme="minorHAnsi" w:cstheme="minorHAnsi"/>
          <w:i w:val="0"/>
          <w:color w:val="auto"/>
          <w:sz w:val="22"/>
          <w:szCs w:val="22"/>
        </w:rPr>
        <w:t xml:space="preserve"> The relevant </w:t>
      </w:r>
      <w:r w:rsidR="006B4A48">
        <w:rPr>
          <w:rFonts w:asciiTheme="minorHAnsi" w:hAnsiTheme="minorHAnsi" w:cstheme="minorHAnsi"/>
          <w:i w:val="0"/>
          <w:color w:val="auto"/>
          <w:sz w:val="22"/>
          <w:szCs w:val="22"/>
        </w:rPr>
        <w:t>IR values</w:t>
      </w:r>
      <w:r w:rsidR="006B4A48" w:rsidRPr="006B4A48">
        <w:rPr>
          <w:rFonts w:asciiTheme="minorHAnsi" w:hAnsiTheme="minorHAnsi" w:cstheme="minorHAnsi"/>
          <w:i w:val="0"/>
          <w:color w:val="auto"/>
          <w:sz w:val="22"/>
          <w:szCs w:val="22"/>
        </w:rPr>
        <w:t xml:space="preserve"> for this measure are shown in </w:t>
      </w:r>
      <w:r w:rsidR="00DF52E8">
        <w:rPr>
          <w:rFonts w:asciiTheme="minorHAnsi" w:hAnsiTheme="minorHAnsi" w:cstheme="minorHAnsi"/>
          <w:i w:val="0"/>
          <w:color w:val="auto"/>
          <w:sz w:val="22"/>
          <w:szCs w:val="22"/>
        </w:rPr>
        <w:t xml:space="preserve">Table 5 </w:t>
      </w:r>
      <w:r w:rsidR="006B4A48" w:rsidRPr="006B4A48">
        <w:rPr>
          <w:rFonts w:asciiTheme="minorHAnsi" w:hAnsiTheme="minorHAnsi" w:cstheme="minorHAnsi"/>
          <w:i w:val="0"/>
          <w:color w:val="auto"/>
          <w:sz w:val="22"/>
          <w:szCs w:val="22"/>
        </w:rPr>
        <w:t>below.</w:t>
      </w:r>
    </w:p>
    <w:p w:rsidR="006B4A48" w:rsidRDefault="006B4A48" w:rsidP="000968C6">
      <w:pPr>
        <w:pStyle w:val="Reminders"/>
        <w:rPr>
          <w:rFonts w:asciiTheme="minorHAnsi" w:hAnsiTheme="minorHAnsi" w:cstheme="minorHAnsi"/>
          <w:i w:val="0"/>
          <w:color w:val="auto"/>
          <w:sz w:val="22"/>
          <w:szCs w:val="22"/>
        </w:rPr>
      </w:pPr>
    </w:p>
    <w:p w:rsidR="00240B74" w:rsidRPr="00240B74" w:rsidRDefault="00240B74" w:rsidP="00240B74">
      <w:pPr>
        <w:pStyle w:val="Caption"/>
        <w:jc w:val="center"/>
        <w:rPr>
          <w:rFonts w:asciiTheme="minorHAnsi" w:hAnsiTheme="minorHAnsi" w:cstheme="minorHAnsi"/>
          <w:sz w:val="22"/>
          <w:szCs w:val="22"/>
        </w:rPr>
      </w:pPr>
      <w:bookmarkStart w:id="12" w:name="_Ref377965904"/>
      <w:r w:rsidRPr="00240B74">
        <w:rPr>
          <w:rFonts w:asciiTheme="minorHAnsi" w:hAnsiTheme="minorHAnsi" w:cstheme="minorHAnsi"/>
          <w:sz w:val="22"/>
          <w:szCs w:val="22"/>
        </w:rPr>
        <w:t xml:space="preserve">Table </w:t>
      </w:r>
      <w:r w:rsidRPr="00240B74">
        <w:rPr>
          <w:rFonts w:asciiTheme="minorHAnsi" w:hAnsiTheme="minorHAnsi" w:cstheme="minorHAnsi"/>
          <w:sz w:val="22"/>
          <w:szCs w:val="22"/>
        </w:rPr>
        <w:fldChar w:fldCharType="begin"/>
      </w:r>
      <w:r w:rsidRPr="00240B74">
        <w:rPr>
          <w:rFonts w:asciiTheme="minorHAnsi" w:hAnsiTheme="minorHAnsi" w:cstheme="minorHAnsi"/>
          <w:sz w:val="22"/>
          <w:szCs w:val="22"/>
        </w:rPr>
        <w:instrText xml:space="preserve"> SEQ Table \* ARABIC </w:instrText>
      </w:r>
      <w:r w:rsidRPr="00240B74">
        <w:rPr>
          <w:rFonts w:asciiTheme="minorHAnsi" w:hAnsiTheme="minorHAnsi" w:cstheme="minorHAnsi"/>
          <w:sz w:val="22"/>
          <w:szCs w:val="22"/>
        </w:rPr>
        <w:fldChar w:fldCharType="separate"/>
      </w:r>
      <w:r w:rsidR="00AD25C5">
        <w:rPr>
          <w:rFonts w:asciiTheme="minorHAnsi" w:hAnsiTheme="minorHAnsi" w:cstheme="minorHAnsi"/>
          <w:noProof/>
          <w:sz w:val="22"/>
          <w:szCs w:val="22"/>
        </w:rPr>
        <w:t>5</w:t>
      </w:r>
      <w:r w:rsidRPr="00240B74">
        <w:rPr>
          <w:rFonts w:asciiTheme="minorHAnsi" w:hAnsiTheme="minorHAnsi" w:cstheme="minorHAnsi"/>
          <w:sz w:val="22"/>
          <w:szCs w:val="22"/>
        </w:rPr>
        <w:fldChar w:fldCharType="end"/>
      </w:r>
      <w:bookmarkEnd w:id="12"/>
      <w:r>
        <w:rPr>
          <w:rFonts w:asciiTheme="minorHAnsi" w:hAnsiTheme="minorHAnsi" w:cstheme="minorHAnsi"/>
          <w:sz w:val="22"/>
          <w:szCs w:val="22"/>
        </w:rPr>
        <w:t xml:space="preserve"> Installation Rate</w:t>
      </w:r>
    </w:p>
    <w:tbl>
      <w:tblPr>
        <w:tblStyle w:val="TableContemporary"/>
        <w:tblW w:w="4381" w:type="pct"/>
        <w:jc w:val="center"/>
        <w:tblInd w:w="1186" w:type="dxa"/>
        <w:tblLook w:val="01E0" w:firstRow="1" w:lastRow="1" w:firstColumn="1" w:lastColumn="1" w:noHBand="0" w:noVBand="0"/>
      </w:tblPr>
      <w:tblGrid>
        <w:gridCol w:w="1603"/>
        <w:gridCol w:w="1626"/>
        <w:gridCol w:w="1222"/>
        <w:gridCol w:w="1540"/>
        <w:gridCol w:w="1212"/>
        <w:gridCol w:w="1187"/>
      </w:tblGrid>
      <w:tr w:rsidR="006B4A48" w:rsidRPr="00697868" w:rsidTr="002C5560">
        <w:trPr>
          <w:cnfStyle w:val="100000000000" w:firstRow="1" w:lastRow="0" w:firstColumn="0" w:lastColumn="0" w:oddVBand="0" w:evenVBand="0" w:oddHBand="0" w:evenHBand="0" w:firstRowFirstColumn="0" w:firstRowLastColumn="0" w:lastRowFirstColumn="0" w:lastRowLastColumn="0"/>
          <w:jc w:val="center"/>
        </w:trPr>
        <w:tc>
          <w:tcPr>
            <w:tcW w:w="955" w:type="pct"/>
            <w:vAlign w:val="center"/>
          </w:tcPr>
          <w:p w:rsidR="006B4A48" w:rsidRPr="00697868" w:rsidRDefault="006B4A48" w:rsidP="009824E9">
            <w:pPr>
              <w:jc w:val="center"/>
              <w:rPr>
                <w:rFonts w:asciiTheme="minorHAnsi" w:hAnsiTheme="minorHAnsi" w:cstheme="minorHAnsi"/>
                <w:sz w:val="20"/>
                <w:szCs w:val="20"/>
              </w:rPr>
            </w:pPr>
            <w:r w:rsidRPr="006B4A48">
              <w:rPr>
                <w:rFonts w:asciiTheme="minorHAnsi" w:hAnsiTheme="minorHAnsi" w:cstheme="minorHAnsi"/>
                <w:sz w:val="20"/>
                <w:szCs w:val="20"/>
              </w:rPr>
              <w:t>GSIA_ID</w:t>
            </w:r>
            <w:r w:rsidRPr="00697868">
              <w:rPr>
                <w:rFonts w:asciiTheme="minorHAnsi" w:hAnsiTheme="minorHAnsi" w:cstheme="minorHAnsi"/>
                <w:sz w:val="20"/>
                <w:szCs w:val="20"/>
              </w:rPr>
              <w:t>*</w:t>
            </w:r>
          </w:p>
        </w:tc>
        <w:tc>
          <w:tcPr>
            <w:tcW w:w="969" w:type="pct"/>
            <w:vAlign w:val="center"/>
          </w:tcPr>
          <w:p w:rsidR="006B4A48" w:rsidRPr="00697868" w:rsidRDefault="006B4A48" w:rsidP="009824E9">
            <w:pPr>
              <w:jc w:val="center"/>
              <w:rPr>
                <w:rFonts w:asciiTheme="minorHAnsi" w:hAnsiTheme="minorHAnsi" w:cstheme="minorHAnsi"/>
                <w:sz w:val="20"/>
                <w:szCs w:val="20"/>
              </w:rPr>
            </w:pPr>
            <w:r w:rsidRPr="00697868">
              <w:rPr>
                <w:rFonts w:asciiTheme="minorHAnsi" w:hAnsiTheme="minorHAnsi" w:cstheme="minorHAnsi"/>
                <w:sz w:val="20"/>
                <w:szCs w:val="20"/>
              </w:rPr>
              <w:t>Description*</w:t>
            </w:r>
          </w:p>
        </w:tc>
        <w:tc>
          <w:tcPr>
            <w:tcW w:w="728" w:type="pct"/>
            <w:vAlign w:val="center"/>
          </w:tcPr>
          <w:p w:rsidR="006B4A48" w:rsidRPr="00697868" w:rsidRDefault="006B4A48" w:rsidP="009824E9">
            <w:pPr>
              <w:jc w:val="center"/>
              <w:rPr>
                <w:rFonts w:asciiTheme="minorHAnsi" w:hAnsiTheme="minorHAnsi" w:cstheme="minorHAnsi"/>
                <w:sz w:val="20"/>
                <w:szCs w:val="20"/>
              </w:rPr>
            </w:pPr>
            <w:r w:rsidRPr="00697868">
              <w:rPr>
                <w:rFonts w:asciiTheme="minorHAnsi" w:hAnsiTheme="minorHAnsi" w:cstheme="minorHAnsi"/>
                <w:sz w:val="20"/>
                <w:szCs w:val="20"/>
              </w:rPr>
              <w:t>Sector*</w:t>
            </w:r>
          </w:p>
        </w:tc>
        <w:tc>
          <w:tcPr>
            <w:tcW w:w="918" w:type="pct"/>
            <w:vAlign w:val="center"/>
          </w:tcPr>
          <w:p w:rsidR="006B4A48" w:rsidRPr="00697868" w:rsidRDefault="006B4A48" w:rsidP="009824E9">
            <w:pPr>
              <w:jc w:val="center"/>
              <w:rPr>
                <w:rFonts w:asciiTheme="minorHAnsi" w:hAnsiTheme="minorHAnsi" w:cstheme="minorHAnsi"/>
                <w:sz w:val="20"/>
                <w:szCs w:val="20"/>
              </w:rPr>
            </w:pPr>
            <w:proofErr w:type="spellStart"/>
            <w:r w:rsidRPr="00697868">
              <w:rPr>
                <w:rFonts w:asciiTheme="minorHAnsi" w:hAnsiTheme="minorHAnsi" w:cstheme="minorHAnsi"/>
                <w:sz w:val="20"/>
                <w:szCs w:val="20"/>
              </w:rPr>
              <w:t>BldgType</w:t>
            </w:r>
            <w:proofErr w:type="spellEnd"/>
            <w:r w:rsidRPr="00697868">
              <w:rPr>
                <w:rFonts w:asciiTheme="minorHAnsi" w:hAnsiTheme="minorHAnsi" w:cstheme="minorHAnsi"/>
                <w:sz w:val="20"/>
                <w:szCs w:val="20"/>
              </w:rPr>
              <w:t>*</w:t>
            </w:r>
          </w:p>
        </w:tc>
        <w:tc>
          <w:tcPr>
            <w:tcW w:w="722" w:type="pct"/>
          </w:tcPr>
          <w:p w:rsidR="006B4A48" w:rsidRPr="00697868" w:rsidRDefault="006B4A48" w:rsidP="009824E9">
            <w:pPr>
              <w:jc w:val="center"/>
              <w:rPr>
                <w:rFonts w:asciiTheme="minorHAnsi" w:hAnsiTheme="minorHAnsi" w:cstheme="minorHAnsi"/>
                <w:sz w:val="20"/>
                <w:szCs w:val="20"/>
              </w:rPr>
            </w:pPr>
            <w:proofErr w:type="spellStart"/>
            <w:r w:rsidRPr="00697868">
              <w:rPr>
                <w:rFonts w:asciiTheme="minorHAnsi" w:hAnsiTheme="minorHAnsi" w:cstheme="minorHAnsi"/>
                <w:sz w:val="20"/>
                <w:szCs w:val="20"/>
              </w:rPr>
              <w:t>ProgDelivID</w:t>
            </w:r>
            <w:proofErr w:type="spellEnd"/>
          </w:p>
        </w:tc>
        <w:tc>
          <w:tcPr>
            <w:tcW w:w="707" w:type="pct"/>
            <w:vAlign w:val="center"/>
          </w:tcPr>
          <w:p w:rsidR="006B4A48" w:rsidRPr="00697868" w:rsidRDefault="006B4A48" w:rsidP="009824E9">
            <w:pPr>
              <w:jc w:val="center"/>
              <w:rPr>
                <w:rFonts w:asciiTheme="minorHAnsi" w:hAnsiTheme="minorHAnsi" w:cstheme="minorHAnsi"/>
                <w:sz w:val="20"/>
                <w:szCs w:val="20"/>
              </w:rPr>
            </w:pPr>
            <w:proofErr w:type="spellStart"/>
            <w:r w:rsidRPr="006B4A48">
              <w:rPr>
                <w:rFonts w:asciiTheme="minorHAnsi" w:hAnsiTheme="minorHAnsi" w:cstheme="minorHAnsi"/>
                <w:sz w:val="20"/>
                <w:szCs w:val="20"/>
              </w:rPr>
              <w:t>GSIAValue</w:t>
            </w:r>
            <w:proofErr w:type="spellEnd"/>
            <w:r w:rsidRPr="00697868">
              <w:rPr>
                <w:rFonts w:asciiTheme="minorHAnsi" w:hAnsiTheme="minorHAnsi" w:cstheme="minorHAnsi"/>
                <w:sz w:val="20"/>
                <w:szCs w:val="20"/>
              </w:rPr>
              <w:t>*</w:t>
            </w:r>
          </w:p>
        </w:tc>
      </w:tr>
      <w:tr w:rsidR="006B4A48" w:rsidRPr="00697868" w:rsidTr="002C5560">
        <w:trPr>
          <w:cnfStyle w:val="000000100000" w:firstRow="0" w:lastRow="0" w:firstColumn="0" w:lastColumn="0" w:oddVBand="0" w:evenVBand="0" w:oddHBand="1" w:evenHBand="0" w:firstRowFirstColumn="0" w:firstRowLastColumn="0" w:lastRowFirstColumn="0" w:lastRowLastColumn="0"/>
          <w:jc w:val="center"/>
        </w:trPr>
        <w:tc>
          <w:tcPr>
            <w:tcW w:w="955" w:type="pct"/>
            <w:vAlign w:val="center"/>
          </w:tcPr>
          <w:p w:rsidR="006B4A48" w:rsidRPr="00697868" w:rsidRDefault="00D84627" w:rsidP="009824E9">
            <w:pPr>
              <w:jc w:val="center"/>
              <w:rPr>
                <w:rFonts w:asciiTheme="minorHAnsi" w:hAnsiTheme="minorHAnsi" w:cstheme="minorHAnsi"/>
                <w:sz w:val="20"/>
                <w:szCs w:val="20"/>
              </w:rPr>
            </w:pPr>
            <w:proofErr w:type="spellStart"/>
            <w:r w:rsidRPr="00D84627">
              <w:rPr>
                <w:rFonts w:asciiTheme="minorHAnsi" w:hAnsiTheme="minorHAnsi" w:cstheme="minorHAnsi"/>
                <w:sz w:val="20"/>
                <w:szCs w:val="20"/>
              </w:rPr>
              <w:t>Def</w:t>
            </w:r>
            <w:proofErr w:type="spellEnd"/>
            <w:r w:rsidRPr="00D84627">
              <w:rPr>
                <w:rFonts w:asciiTheme="minorHAnsi" w:hAnsiTheme="minorHAnsi" w:cstheme="minorHAnsi"/>
                <w:sz w:val="20"/>
                <w:szCs w:val="20"/>
              </w:rPr>
              <w:t>-GSIA</w:t>
            </w:r>
          </w:p>
        </w:tc>
        <w:tc>
          <w:tcPr>
            <w:tcW w:w="969" w:type="pct"/>
            <w:vAlign w:val="center"/>
          </w:tcPr>
          <w:p w:rsidR="006B4A48" w:rsidRPr="00697868" w:rsidRDefault="00D84627" w:rsidP="009824E9">
            <w:pPr>
              <w:jc w:val="center"/>
              <w:rPr>
                <w:rFonts w:asciiTheme="minorHAnsi" w:hAnsiTheme="minorHAnsi" w:cstheme="minorHAnsi"/>
                <w:sz w:val="20"/>
                <w:szCs w:val="20"/>
              </w:rPr>
            </w:pPr>
            <w:r w:rsidRPr="00D84627">
              <w:rPr>
                <w:rFonts w:asciiTheme="minorHAnsi" w:hAnsiTheme="minorHAnsi" w:cstheme="minorHAnsi"/>
                <w:sz w:val="20"/>
                <w:szCs w:val="20"/>
              </w:rPr>
              <w:t>Default GSIA values</w:t>
            </w:r>
          </w:p>
        </w:tc>
        <w:tc>
          <w:tcPr>
            <w:tcW w:w="728" w:type="pct"/>
            <w:vAlign w:val="center"/>
          </w:tcPr>
          <w:p w:rsidR="006B4A48" w:rsidRPr="00697868" w:rsidRDefault="00D84627" w:rsidP="009824E9">
            <w:pPr>
              <w:jc w:val="center"/>
              <w:rPr>
                <w:rFonts w:asciiTheme="minorHAnsi" w:hAnsiTheme="minorHAnsi" w:cstheme="minorHAnsi"/>
                <w:sz w:val="20"/>
                <w:szCs w:val="20"/>
              </w:rPr>
            </w:pPr>
            <w:r>
              <w:rPr>
                <w:rFonts w:asciiTheme="minorHAnsi" w:hAnsiTheme="minorHAnsi" w:cstheme="minorHAnsi"/>
                <w:sz w:val="20"/>
                <w:szCs w:val="20"/>
              </w:rPr>
              <w:t>Any</w:t>
            </w:r>
          </w:p>
        </w:tc>
        <w:tc>
          <w:tcPr>
            <w:tcW w:w="918" w:type="pct"/>
            <w:vAlign w:val="center"/>
          </w:tcPr>
          <w:p w:rsidR="006B4A48" w:rsidRPr="00697868" w:rsidRDefault="006B4A48" w:rsidP="009824E9">
            <w:pPr>
              <w:jc w:val="center"/>
              <w:rPr>
                <w:rFonts w:asciiTheme="minorHAnsi" w:hAnsiTheme="minorHAnsi" w:cstheme="minorHAnsi"/>
                <w:sz w:val="20"/>
                <w:szCs w:val="20"/>
              </w:rPr>
            </w:pPr>
            <w:r w:rsidRPr="00697868">
              <w:rPr>
                <w:rFonts w:asciiTheme="minorHAnsi" w:hAnsiTheme="minorHAnsi" w:cstheme="minorHAnsi"/>
                <w:sz w:val="20"/>
                <w:szCs w:val="20"/>
              </w:rPr>
              <w:t>Any</w:t>
            </w:r>
          </w:p>
        </w:tc>
        <w:tc>
          <w:tcPr>
            <w:tcW w:w="722" w:type="pct"/>
            <w:vAlign w:val="center"/>
          </w:tcPr>
          <w:p w:rsidR="006B4A48" w:rsidRPr="00697868" w:rsidRDefault="00D84627" w:rsidP="009824E9">
            <w:pPr>
              <w:jc w:val="center"/>
              <w:rPr>
                <w:rFonts w:asciiTheme="minorHAnsi" w:hAnsiTheme="minorHAnsi" w:cstheme="minorHAnsi"/>
                <w:sz w:val="20"/>
                <w:szCs w:val="20"/>
              </w:rPr>
            </w:pPr>
            <w:r>
              <w:rPr>
                <w:rFonts w:asciiTheme="minorHAnsi" w:hAnsiTheme="minorHAnsi" w:cstheme="minorHAnsi"/>
                <w:sz w:val="20"/>
                <w:szCs w:val="20"/>
              </w:rPr>
              <w:t>Any</w:t>
            </w:r>
          </w:p>
        </w:tc>
        <w:tc>
          <w:tcPr>
            <w:tcW w:w="707" w:type="pct"/>
            <w:vAlign w:val="center"/>
          </w:tcPr>
          <w:p w:rsidR="006B4A48" w:rsidRPr="00697868" w:rsidRDefault="00D84627" w:rsidP="009824E9">
            <w:pPr>
              <w:jc w:val="center"/>
              <w:rPr>
                <w:rFonts w:asciiTheme="minorHAnsi" w:hAnsiTheme="minorHAnsi" w:cstheme="minorHAnsi"/>
                <w:sz w:val="20"/>
                <w:szCs w:val="20"/>
              </w:rPr>
            </w:pPr>
            <w:r>
              <w:rPr>
                <w:rFonts w:asciiTheme="minorHAnsi" w:hAnsiTheme="minorHAnsi" w:cstheme="minorHAnsi"/>
                <w:sz w:val="20"/>
                <w:szCs w:val="20"/>
              </w:rPr>
              <w:t>1</w:t>
            </w:r>
          </w:p>
        </w:tc>
      </w:tr>
      <w:tr w:rsidR="0097181E" w:rsidRPr="00697868" w:rsidTr="002C5560">
        <w:trPr>
          <w:cnfStyle w:val="000000010000" w:firstRow="0" w:lastRow="0" w:firstColumn="0" w:lastColumn="0" w:oddVBand="0" w:evenVBand="0" w:oddHBand="0" w:evenHBand="1" w:firstRowFirstColumn="0" w:firstRowLastColumn="0" w:lastRowFirstColumn="0" w:lastRowLastColumn="0"/>
          <w:jc w:val="center"/>
        </w:trPr>
        <w:tc>
          <w:tcPr>
            <w:tcW w:w="955" w:type="pct"/>
            <w:vAlign w:val="center"/>
          </w:tcPr>
          <w:p w:rsidR="0097181E" w:rsidRPr="00D84627" w:rsidRDefault="0097181E" w:rsidP="009824E9">
            <w:pPr>
              <w:jc w:val="center"/>
              <w:rPr>
                <w:rFonts w:asciiTheme="minorHAnsi" w:hAnsiTheme="minorHAnsi" w:cstheme="minorHAnsi"/>
                <w:sz w:val="20"/>
                <w:szCs w:val="20"/>
              </w:rPr>
            </w:pPr>
            <w:r w:rsidRPr="0097181E">
              <w:rPr>
                <w:rFonts w:asciiTheme="minorHAnsi" w:hAnsiTheme="minorHAnsi" w:cstheme="minorHAnsi"/>
                <w:sz w:val="20"/>
                <w:szCs w:val="20"/>
              </w:rPr>
              <w:t>Com-AC-SCE</w:t>
            </w:r>
          </w:p>
        </w:tc>
        <w:tc>
          <w:tcPr>
            <w:tcW w:w="969" w:type="pct"/>
            <w:vAlign w:val="center"/>
          </w:tcPr>
          <w:p w:rsidR="0097181E" w:rsidRPr="00D84627" w:rsidRDefault="0097181E" w:rsidP="009824E9">
            <w:pPr>
              <w:jc w:val="center"/>
              <w:rPr>
                <w:rFonts w:asciiTheme="minorHAnsi" w:hAnsiTheme="minorHAnsi" w:cstheme="minorHAnsi"/>
                <w:sz w:val="20"/>
                <w:szCs w:val="20"/>
              </w:rPr>
            </w:pPr>
            <w:r w:rsidRPr="0097181E">
              <w:rPr>
                <w:rFonts w:asciiTheme="minorHAnsi" w:hAnsiTheme="minorHAnsi" w:cstheme="minorHAnsi"/>
                <w:sz w:val="20"/>
                <w:szCs w:val="20"/>
              </w:rPr>
              <w:t>Non-Res AC Replacement; Annual Installation Rate</w:t>
            </w:r>
          </w:p>
        </w:tc>
        <w:tc>
          <w:tcPr>
            <w:tcW w:w="728" w:type="pct"/>
            <w:vAlign w:val="center"/>
          </w:tcPr>
          <w:p w:rsidR="0097181E" w:rsidRDefault="0097181E" w:rsidP="009824E9">
            <w:pPr>
              <w:jc w:val="center"/>
              <w:rPr>
                <w:rFonts w:asciiTheme="minorHAnsi" w:hAnsiTheme="minorHAnsi" w:cstheme="minorHAnsi"/>
                <w:sz w:val="20"/>
                <w:szCs w:val="20"/>
              </w:rPr>
            </w:pPr>
            <w:r>
              <w:rPr>
                <w:rFonts w:asciiTheme="minorHAnsi" w:hAnsiTheme="minorHAnsi" w:cstheme="minorHAnsi"/>
                <w:sz w:val="20"/>
                <w:szCs w:val="20"/>
              </w:rPr>
              <w:t>Com</w:t>
            </w:r>
          </w:p>
        </w:tc>
        <w:tc>
          <w:tcPr>
            <w:tcW w:w="918" w:type="pct"/>
            <w:vAlign w:val="center"/>
          </w:tcPr>
          <w:p w:rsidR="0097181E" w:rsidRPr="00697868" w:rsidRDefault="0097181E" w:rsidP="009824E9">
            <w:pPr>
              <w:jc w:val="center"/>
              <w:rPr>
                <w:rFonts w:asciiTheme="minorHAnsi" w:hAnsiTheme="minorHAnsi" w:cstheme="minorHAnsi"/>
                <w:sz w:val="20"/>
                <w:szCs w:val="20"/>
              </w:rPr>
            </w:pPr>
            <w:r>
              <w:rPr>
                <w:rFonts w:asciiTheme="minorHAnsi" w:hAnsiTheme="minorHAnsi" w:cstheme="minorHAnsi"/>
                <w:sz w:val="20"/>
                <w:szCs w:val="20"/>
              </w:rPr>
              <w:t>Any</w:t>
            </w:r>
          </w:p>
        </w:tc>
        <w:tc>
          <w:tcPr>
            <w:tcW w:w="722" w:type="pct"/>
            <w:vAlign w:val="center"/>
          </w:tcPr>
          <w:p w:rsidR="0097181E" w:rsidRDefault="0097181E" w:rsidP="009824E9">
            <w:pPr>
              <w:jc w:val="center"/>
              <w:rPr>
                <w:rFonts w:asciiTheme="minorHAnsi" w:hAnsiTheme="minorHAnsi" w:cstheme="minorHAnsi"/>
                <w:sz w:val="20"/>
                <w:szCs w:val="20"/>
              </w:rPr>
            </w:pPr>
            <w:proofErr w:type="spellStart"/>
            <w:r w:rsidRPr="0097181E">
              <w:rPr>
                <w:rFonts w:asciiTheme="minorHAnsi" w:hAnsiTheme="minorHAnsi" w:cstheme="minorHAnsi"/>
                <w:sz w:val="20"/>
                <w:szCs w:val="20"/>
              </w:rPr>
              <w:t>NonUpStrm</w:t>
            </w:r>
            <w:proofErr w:type="spellEnd"/>
          </w:p>
        </w:tc>
        <w:tc>
          <w:tcPr>
            <w:tcW w:w="707" w:type="pct"/>
            <w:vAlign w:val="center"/>
          </w:tcPr>
          <w:p w:rsidR="0097181E" w:rsidRDefault="0097181E" w:rsidP="009824E9">
            <w:pPr>
              <w:jc w:val="center"/>
              <w:rPr>
                <w:rFonts w:asciiTheme="minorHAnsi" w:hAnsiTheme="minorHAnsi" w:cstheme="minorHAnsi"/>
                <w:sz w:val="20"/>
                <w:szCs w:val="20"/>
              </w:rPr>
            </w:pPr>
            <w:r>
              <w:rPr>
                <w:rFonts w:asciiTheme="minorHAnsi" w:hAnsiTheme="minorHAnsi" w:cstheme="minorHAnsi"/>
                <w:sz w:val="20"/>
                <w:szCs w:val="20"/>
              </w:rPr>
              <w:t>1</w:t>
            </w:r>
          </w:p>
        </w:tc>
      </w:tr>
    </w:tbl>
    <w:p w:rsidR="00955AD7" w:rsidRPr="00697868" w:rsidRDefault="00955AD7" w:rsidP="00955AD7">
      <w:pPr>
        <w:ind w:firstLine="720"/>
        <w:rPr>
          <w:rFonts w:asciiTheme="minorHAnsi" w:hAnsiTheme="minorHAnsi" w:cstheme="minorHAnsi"/>
          <w:sz w:val="20"/>
          <w:szCs w:val="20"/>
        </w:rPr>
      </w:pPr>
      <w:r w:rsidRPr="00697868">
        <w:rPr>
          <w:rFonts w:asciiTheme="minorHAnsi" w:hAnsiTheme="minorHAnsi" w:cstheme="minorHAnsi"/>
          <w:sz w:val="20"/>
          <w:szCs w:val="20"/>
        </w:rPr>
        <w:t>*Denotes that the column is taken from the DEER NTG Table.</w:t>
      </w:r>
    </w:p>
    <w:p w:rsidR="000968C6" w:rsidRDefault="000968C6" w:rsidP="000968C6">
      <w:pPr>
        <w:pStyle w:val="Reminders"/>
        <w:rPr>
          <w:rFonts w:asciiTheme="minorHAnsi" w:hAnsiTheme="minorHAnsi" w:cstheme="minorHAnsi"/>
          <w:b/>
          <w:i w:val="0"/>
          <w:color w:val="auto"/>
          <w:sz w:val="22"/>
          <w:szCs w:val="22"/>
        </w:rPr>
      </w:pPr>
    </w:p>
    <w:p w:rsidR="000968C6" w:rsidRDefault="000968C6" w:rsidP="000968C6">
      <w:pPr>
        <w:pStyle w:val="Reminders"/>
        <w:rPr>
          <w:rFonts w:asciiTheme="minorHAnsi" w:hAnsiTheme="minorHAnsi" w:cstheme="minorHAnsi"/>
          <w:b/>
          <w:i w:val="0"/>
          <w:color w:val="auto"/>
          <w:sz w:val="22"/>
          <w:szCs w:val="22"/>
        </w:rPr>
      </w:pPr>
      <w:r>
        <w:rPr>
          <w:rFonts w:asciiTheme="minorHAnsi" w:hAnsiTheme="minorHAnsi" w:cstheme="minorHAnsi"/>
          <w:b/>
          <w:i w:val="0"/>
          <w:color w:val="auto"/>
          <w:sz w:val="22"/>
          <w:szCs w:val="22"/>
        </w:rPr>
        <w:t>Spillage</w:t>
      </w:r>
      <w:r w:rsidRPr="000968C6">
        <w:rPr>
          <w:rFonts w:asciiTheme="minorHAnsi" w:hAnsiTheme="minorHAnsi" w:cstheme="minorHAnsi"/>
          <w:b/>
          <w:i w:val="0"/>
          <w:color w:val="auto"/>
          <w:sz w:val="22"/>
          <w:szCs w:val="22"/>
        </w:rPr>
        <w:t xml:space="preserve"> Rate</w:t>
      </w:r>
    </w:p>
    <w:p w:rsidR="000968C6" w:rsidRDefault="000968C6" w:rsidP="000968C6">
      <w:pPr>
        <w:pStyle w:val="Reminders"/>
        <w:rPr>
          <w:rFonts w:asciiTheme="minorHAnsi" w:hAnsiTheme="minorHAnsi" w:cstheme="minorHAnsi"/>
          <w:i w:val="0"/>
          <w:color w:val="auto"/>
          <w:sz w:val="22"/>
          <w:szCs w:val="22"/>
        </w:rPr>
      </w:pPr>
      <w:r w:rsidRPr="000968C6">
        <w:rPr>
          <w:rFonts w:asciiTheme="minorHAnsi" w:hAnsiTheme="minorHAnsi" w:cstheme="minorHAnsi"/>
          <w:i w:val="0"/>
          <w:color w:val="auto"/>
          <w:sz w:val="22"/>
          <w:szCs w:val="22"/>
        </w:rPr>
        <w:t xml:space="preserve">Spillage rate will also be applied to measures however the values will not be tracked in the </w:t>
      </w:r>
      <w:proofErr w:type="spellStart"/>
      <w:r w:rsidRPr="000968C6">
        <w:rPr>
          <w:rFonts w:asciiTheme="minorHAnsi" w:hAnsiTheme="minorHAnsi" w:cstheme="minorHAnsi"/>
          <w:i w:val="0"/>
          <w:color w:val="auto"/>
          <w:sz w:val="22"/>
          <w:szCs w:val="22"/>
        </w:rPr>
        <w:t>workpapers</w:t>
      </w:r>
      <w:proofErr w:type="spellEnd"/>
      <w:r w:rsidRPr="000968C6">
        <w:rPr>
          <w:rFonts w:asciiTheme="minorHAnsi" w:hAnsiTheme="minorHAnsi" w:cstheme="minorHAnsi"/>
          <w:i w:val="0"/>
          <w:color w:val="auto"/>
          <w:sz w:val="22"/>
          <w:szCs w:val="22"/>
        </w:rPr>
        <w:t>. The spillage rate will be tracked in an external table to be supplied to the Energy Division</w:t>
      </w:r>
      <w:r w:rsidR="00240B74">
        <w:rPr>
          <w:rFonts w:asciiTheme="minorHAnsi" w:hAnsiTheme="minorHAnsi" w:cstheme="minorHAnsi"/>
          <w:i w:val="0"/>
          <w:color w:val="auto"/>
          <w:sz w:val="22"/>
          <w:szCs w:val="22"/>
        </w:rPr>
        <w:t>.</w:t>
      </w:r>
    </w:p>
    <w:p w:rsidR="00E37F72" w:rsidRDefault="00E37F72" w:rsidP="000968C6">
      <w:pPr>
        <w:pStyle w:val="Reminders"/>
        <w:rPr>
          <w:rFonts w:asciiTheme="minorHAnsi" w:hAnsiTheme="minorHAnsi" w:cstheme="minorHAnsi"/>
          <w:i w:val="0"/>
          <w:color w:val="auto"/>
          <w:sz w:val="22"/>
          <w:szCs w:val="22"/>
        </w:rPr>
      </w:pPr>
    </w:p>
    <w:p w:rsidR="00E37F72" w:rsidRDefault="00E37F72" w:rsidP="000968C6">
      <w:pPr>
        <w:pStyle w:val="Reminders"/>
        <w:rPr>
          <w:rFonts w:asciiTheme="minorHAnsi" w:hAnsiTheme="minorHAnsi" w:cstheme="minorHAnsi"/>
          <w:b/>
          <w:i w:val="0"/>
          <w:color w:val="auto"/>
          <w:sz w:val="22"/>
          <w:szCs w:val="22"/>
        </w:rPr>
      </w:pPr>
      <w:proofErr w:type="spellStart"/>
      <w:r w:rsidRPr="00E37F72">
        <w:rPr>
          <w:rFonts w:asciiTheme="minorHAnsi" w:hAnsiTheme="minorHAnsi" w:cstheme="minorHAnsi"/>
          <w:b/>
          <w:i w:val="0"/>
          <w:color w:val="auto"/>
          <w:sz w:val="22"/>
          <w:szCs w:val="22"/>
        </w:rPr>
        <w:t>READi</w:t>
      </w:r>
      <w:proofErr w:type="spellEnd"/>
      <w:r w:rsidRPr="00E37F72">
        <w:rPr>
          <w:rFonts w:asciiTheme="minorHAnsi" w:hAnsiTheme="minorHAnsi" w:cstheme="minorHAnsi"/>
          <w:b/>
          <w:i w:val="0"/>
          <w:color w:val="auto"/>
          <w:sz w:val="22"/>
          <w:szCs w:val="22"/>
        </w:rPr>
        <w:t xml:space="preserve"> </w:t>
      </w:r>
      <w:r>
        <w:rPr>
          <w:rFonts w:asciiTheme="minorHAnsi" w:hAnsiTheme="minorHAnsi" w:cstheme="minorHAnsi"/>
          <w:b/>
          <w:i w:val="0"/>
          <w:color w:val="auto"/>
          <w:sz w:val="22"/>
          <w:szCs w:val="22"/>
        </w:rPr>
        <w:t>Technology Fields</w:t>
      </w:r>
    </w:p>
    <w:p w:rsidR="004D1D19" w:rsidRDefault="00240B74" w:rsidP="000968C6">
      <w:pPr>
        <w:pStyle w:val="Reminders"/>
        <w:rPr>
          <w:rFonts w:asciiTheme="minorHAnsi" w:hAnsiTheme="minorHAnsi" w:cstheme="minorHAnsi"/>
          <w:i w:val="0"/>
          <w:color w:val="auto"/>
          <w:sz w:val="22"/>
          <w:szCs w:val="22"/>
        </w:rPr>
      </w:pPr>
      <w:r w:rsidRPr="00240B74">
        <w:rPr>
          <w:rFonts w:asciiTheme="minorHAnsi" w:hAnsiTheme="minorHAnsi" w:cstheme="minorHAnsi"/>
          <w:i w:val="0"/>
          <w:color w:val="auto"/>
          <w:sz w:val="22"/>
          <w:szCs w:val="22"/>
        </w:rPr>
        <w:t>To support the development of the ED ex</w:t>
      </w:r>
      <w:r w:rsidR="00AB57CC">
        <w:rPr>
          <w:rFonts w:asciiTheme="minorHAnsi" w:hAnsiTheme="minorHAnsi" w:cstheme="minorHAnsi"/>
          <w:i w:val="0"/>
          <w:color w:val="auto"/>
          <w:sz w:val="22"/>
          <w:szCs w:val="22"/>
        </w:rPr>
        <w:t>-</w:t>
      </w:r>
      <w:r w:rsidRPr="00240B74">
        <w:rPr>
          <w:rFonts w:asciiTheme="minorHAnsi" w:hAnsiTheme="minorHAnsi" w:cstheme="minorHAnsi"/>
          <w:i w:val="0"/>
          <w:color w:val="auto"/>
          <w:sz w:val="22"/>
          <w:szCs w:val="22"/>
        </w:rPr>
        <w:t>ante tables, select fields from the ex</w:t>
      </w:r>
      <w:r w:rsidR="00AB57CC">
        <w:rPr>
          <w:rFonts w:asciiTheme="minorHAnsi" w:hAnsiTheme="minorHAnsi" w:cstheme="minorHAnsi"/>
          <w:i w:val="0"/>
          <w:color w:val="auto"/>
          <w:sz w:val="22"/>
          <w:szCs w:val="22"/>
        </w:rPr>
        <w:t>-</w:t>
      </w:r>
      <w:r w:rsidRPr="00240B74">
        <w:rPr>
          <w:rFonts w:asciiTheme="minorHAnsi" w:hAnsiTheme="minorHAnsi" w:cstheme="minorHAnsi"/>
          <w:i w:val="0"/>
          <w:color w:val="auto"/>
          <w:sz w:val="22"/>
          <w:szCs w:val="22"/>
        </w:rPr>
        <w:t xml:space="preserve">ante database will be identified in the </w:t>
      </w:r>
      <w:proofErr w:type="spellStart"/>
      <w:r w:rsidRPr="00240B74">
        <w:rPr>
          <w:rFonts w:asciiTheme="minorHAnsi" w:hAnsiTheme="minorHAnsi" w:cstheme="minorHAnsi"/>
          <w:i w:val="0"/>
          <w:color w:val="auto"/>
          <w:sz w:val="22"/>
          <w:szCs w:val="22"/>
        </w:rPr>
        <w:t>workpaper</w:t>
      </w:r>
      <w:proofErr w:type="spellEnd"/>
      <w:r w:rsidRPr="00240B74">
        <w:rPr>
          <w:rFonts w:asciiTheme="minorHAnsi" w:hAnsiTheme="minorHAnsi" w:cstheme="minorHAnsi"/>
          <w:i w:val="0"/>
          <w:color w:val="auto"/>
          <w:sz w:val="22"/>
          <w:szCs w:val="22"/>
        </w:rPr>
        <w:t xml:space="preserve">. For a full set of values associated with the measures in the </w:t>
      </w:r>
      <w:proofErr w:type="spellStart"/>
      <w:r w:rsidRPr="00240B74">
        <w:rPr>
          <w:rFonts w:asciiTheme="minorHAnsi" w:hAnsiTheme="minorHAnsi" w:cstheme="minorHAnsi"/>
          <w:i w:val="0"/>
          <w:color w:val="auto"/>
          <w:sz w:val="22"/>
          <w:szCs w:val="22"/>
        </w:rPr>
        <w:t>workpaper</w:t>
      </w:r>
      <w:proofErr w:type="spellEnd"/>
      <w:r w:rsidRPr="00240B74">
        <w:rPr>
          <w:rFonts w:asciiTheme="minorHAnsi" w:hAnsiTheme="minorHAnsi" w:cstheme="minorHAnsi"/>
          <w:i w:val="0"/>
          <w:color w:val="auto"/>
          <w:sz w:val="22"/>
          <w:szCs w:val="22"/>
        </w:rPr>
        <w:t xml:space="preserve"> refer </w:t>
      </w:r>
      <w:r w:rsidR="00186592">
        <w:rPr>
          <w:rFonts w:asciiTheme="minorHAnsi" w:hAnsiTheme="minorHAnsi" w:cstheme="minorHAnsi"/>
          <w:i w:val="0"/>
          <w:color w:val="auto"/>
          <w:sz w:val="22"/>
          <w:szCs w:val="22"/>
        </w:rPr>
        <w:t xml:space="preserve">to </w:t>
      </w:r>
      <w:r w:rsidRPr="00240B74">
        <w:rPr>
          <w:rFonts w:asciiTheme="minorHAnsi" w:hAnsiTheme="minorHAnsi" w:cstheme="minorHAnsi"/>
          <w:i w:val="0"/>
          <w:color w:val="auto"/>
          <w:sz w:val="22"/>
          <w:szCs w:val="22"/>
        </w:rPr>
        <w:t xml:space="preserve">the Excel calculation template. </w:t>
      </w:r>
    </w:p>
    <w:p w:rsidR="000A4BFF" w:rsidRDefault="000A4BFF" w:rsidP="000968C6">
      <w:pPr>
        <w:pStyle w:val="Reminders"/>
        <w:rPr>
          <w:rFonts w:asciiTheme="minorHAnsi" w:hAnsiTheme="minorHAnsi" w:cstheme="minorHAnsi"/>
          <w:i w:val="0"/>
          <w:color w:val="auto"/>
          <w:sz w:val="22"/>
          <w:szCs w:val="22"/>
        </w:rPr>
      </w:pPr>
    </w:p>
    <w:p w:rsidR="000A4BFF" w:rsidRDefault="000A4BFF" w:rsidP="000968C6">
      <w:pPr>
        <w:pStyle w:val="Reminders"/>
        <w:rPr>
          <w:rFonts w:asciiTheme="minorHAnsi" w:hAnsiTheme="minorHAnsi" w:cstheme="minorHAnsi"/>
          <w:i w:val="0"/>
          <w:color w:val="auto"/>
          <w:sz w:val="22"/>
          <w:szCs w:val="22"/>
        </w:rPr>
      </w:pPr>
    </w:p>
    <w:p w:rsidR="000A4BFF" w:rsidRDefault="000A4BFF" w:rsidP="000968C6">
      <w:pPr>
        <w:pStyle w:val="Reminders"/>
        <w:rPr>
          <w:rFonts w:asciiTheme="minorHAnsi" w:hAnsiTheme="minorHAnsi" w:cstheme="minorHAnsi"/>
          <w:i w:val="0"/>
          <w:color w:val="auto"/>
          <w:sz w:val="22"/>
          <w:szCs w:val="22"/>
        </w:rPr>
      </w:pPr>
    </w:p>
    <w:p w:rsidR="000A4BFF" w:rsidRDefault="000A4BFF" w:rsidP="000968C6">
      <w:pPr>
        <w:pStyle w:val="Reminders"/>
        <w:rPr>
          <w:rFonts w:asciiTheme="minorHAnsi" w:hAnsiTheme="minorHAnsi" w:cstheme="minorHAnsi"/>
          <w:i w:val="0"/>
          <w:color w:val="auto"/>
          <w:sz w:val="22"/>
          <w:szCs w:val="22"/>
        </w:rPr>
      </w:pPr>
    </w:p>
    <w:p w:rsidR="000A4BFF" w:rsidRDefault="000A4BFF" w:rsidP="000968C6">
      <w:pPr>
        <w:pStyle w:val="Reminders"/>
        <w:rPr>
          <w:rFonts w:asciiTheme="minorHAnsi" w:hAnsiTheme="minorHAnsi" w:cstheme="minorHAnsi"/>
          <w:i w:val="0"/>
          <w:color w:val="auto"/>
          <w:sz w:val="22"/>
          <w:szCs w:val="22"/>
        </w:rPr>
      </w:pPr>
    </w:p>
    <w:p w:rsidR="00240B74" w:rsidRDefault="00240B74" w:rsidP="000968C6">
      <w:pPr>
        <w:pStyle w:val="Reminders"/>
        <w:rPr>
          <w:rFonts w:asciiTheme="minorHAnsi" w:hAnsiTheme="minorHAnsi" w:cstheme="minorHAnsi"/>
          <w:i w:val="0"/>
          <w:color w:val="auto"/>
          <w:sz w:val="22"/>
          <w:szCs w:val="22"/>
        </w:rPr>
      </w:pPr>
    </w:p>
    <w:p w:rsidR="00240B74" w:rsidRPr="00240B74" w:rsidRDefault="00240B74" w:rsidP="00240B74">
      <w:pPr>
        <w:pStyle w:val="Caption"/>
        <w:jc w:val="center"/>
        <w:rPr>
          <w:rFonts w:asciiTheme="minorHAnsi" w:hAnsiTheme="minorHAnsi" w:cstheme="minorHAnsi"/>
          <w:sz w:val="22"/>
          <w:szCs w:val="22"/>
        </w:rPr>
      </w:pPr>
      <w:r w:rsidRPr="00240B74">
        <w:rPr>
          <w:rFonts w:asciiTheme="minorHAnsi" w:hAnsiTheme="minorHAnsi" w:cstheme="minorHAnsi"/>
          <w:sz w:val="22"/>
          <w:szCs w:val="22"/>
        </w:rPr>
        <w:lastRenderedPageBreak/>
        <w:t xml:space="preserve">Table </w:t>
      </w:r>
      <w:r w:rsidRPr="00240B74">
        <w:rPr>
          <w:rFonts w:asciiTheme="minorHAnsi" w:hAnsiTheme="minorHAnsi" w:cstheme="minorHAnsi"/>
          <w:sz w:val="22"/>
          <w:szCs w:val="22"/>
        </w:rPr>
        <w:fldChar w:fldCharType="begin"/>
      </w:r>
      <w:r w:rsidRPr="00240B74">
        <w:rPr>
          <w:rFonts w:asciiTheme="minorHAnsi" w:hAnsiTheme="minorHAnsi" w:cstheme="minorHAnsi"/>
          <w:sz w:val="22"/>
          <w:szCs w:val="22"/>
        </w:rPr>
        <w:instrText xml:space="preserve"> SEQ Table \* ARABIC </w:instrText>
      </w:r>
      <w:r w:rsidRPr="00240B74">
        <w:rPr>
          <w:rFonts w:asciiTheme="minorHAnsi" w:hAnsiTheme="minorHAnsi" w:cstheme="minorHAnsi"/>
          <w:sz w:val="22"/>
          <w:szCs w:val="22"/>
        </w:rPr>
        <w:fldChar w:fldCharType="separate"/>
      </w:r>
      <w:r w:rsidR="002B4360">
        <w:rPr>
          <w:rFonts w:asciiTheme="minorHAnsi" w:hAnsiTheme="minorHAnsi" w:cstheme="minorHAnsi"/>
          <w:noProof/>
          <w:sz w:val="22"/>
          <w:szCs w:val="22"/>
        </w:rPr>
        <w:t>6</w:t>
      </w:r>
      <w:r w:rsidRPr="00240B74">
        <w:rPr>
          <w:rFonts w:asciiTheme="minorHAnsi" w:hAnsiTheme="minorHAnsi" w:cstheme="minorHAnsi"/>
          <w:sz w:val="22"/>
          <w:szCs w:val="22"/>
        </w:rPr>
        <w:fldChar w:fldCharType="end"/>
      </w:r>
      <w:r w:rsidRPr="00240B74">
        <w:rPr>
          <w:rFonts w:asciiTheme="minorHAnsi" w:hAnsiTheme="minorHAnsi" w:cstheme="minorHAnsi"/>
          <w:sz w:val="22"/>
          <w:szCs w:val="22"/>
        </w:rPr>
        <w:t xml:space="preserve"> </w:t>
      </w:r>
      <w:proofErr w:type="spellStart"/>
      <w:r>
        <w:rPr>
          <w:rFonts w:asciiTheme="minorHAnsi" w:hAnsiTheme="minorHAnsi" w:cstheme="minorHAnsi"/>
          <w:sz w:val="22"/>
          <w:szCs w:val="22"/>
        </w:rPr>
        <w:t>READi</w:t>
      </w:r>
      <w:proofErr w:type="spellEnd"/>
      <w:r>
        <w:rPr>
          <w:rFonts w:asciiTheme="minorHAnsi" w:hAnsiTheme="minorHAnsi" w:cstheme="minorHAnsi"/>
          <w:sz w:val="22"/>
          <w:szCs w:val="22"/>
        </w:rPr>
        <w:t xml:space="preserve"> Tech IDs</w:t>
      </w:r>
    </w:p>
    <w:tbl>
      <w:tblPr>
        <w:tblStyle w:val="TableContemporary"/>
        <w:tblW w:w="0" w:type="auto"/>
        <w:jc w:val="center"/>
        <w:tblLook w:val="04A0" w:firstRow="1" w:lastRow="0" w:firstColumn="1" w:lastColumn="0" w:noHBand="0" w:noVBand="1"/>
      </w:tblPr>
      <w:tblGrid>
        <w:gridCol w:w="2448"/>
        <w:gridCol w:w="6030"/>
      </w:tblGrid>
      <w:tr w:rsidR="00240B74" w:rsidRPr="00240B74" w:rsidTr="00240B74">
        <w:trPr>
          <w:cnfStyle w:val="100000000000" w:firstRow="1" w:lastRow="0" w:firstColumn="0" w:lastColumn="0" w:oddVBand="0" w:evenVBand="0" w:oddHBand="0" w:evenHBand="0"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proofErr w:type="spellStart"/>
            <w:r w:rsidRPr="00240B74">
              <w:rPr>
                <w:rFonts w:asciiTheme="minorHAnsi" w:hAnsiTheme="minorHAnsi" w:cstheme="minorHAnsi"/>
                <w:i w:val="0"/>
                <w:color w:val="auto"/>
                <w:sz w:val="20"/>
                <w:szCs w:val="22"/>
              </w:rPr>
              <w:t>READi</w:t>
            </w:r>
            <w:proofErr w:type="spellEnd"/>
            <w:r w:rsidRPr="00240B74">
              <w:rPr>
                <w:rFonts w:asciiTheme="minorHAnsi" w:hAnsiTheme="minorHAnsi" w:cstheme="minorHAnsi"/>
                <w:i w:val="0"/>
                <w:color w:val="auto"/>
                <w:sz w:val="20"/>
                <w:szCs w:val="22"/>
              </w:rPr>
              <w:t xml:space="preserve"> Field Name</w:t>
            </w:r>
          </w:p>
        </w:tc>
        <w:tc>
          <w:tcPr>
            <w:tcW w:w="6030"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Values included in this </w:t>
            </w:r>
            <w:proofErr w:type="spellStart"/>
            <w:r w:rsidRPr="00240B74">
              <w:rPr>
                <w:rFonts w:asciiTheme="minorHAnsi" w:hAnsiTheme="minorHAnsi" w:cstheme="minorHAnsi"/>
                <w:i w:val="0"/>
                <w:color w:val="auto"/>
                <w:sz w:val="20"/>
                <w:szCs w:val="22"/>
              </w:rPr>
              <w:t>workpaper</w:t>
            </w:r>
            <w:proofErr w:type="spellEnd"/>
          </w:p>
        </w:tc>
      </w:tr>
      <w:tr w:rsidR="00240B74" w:rsidRPr="00240B74" w:rsidTr="00240B74">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proofErr w:type="spellStart"/>
            <w:r w:rsidRPr="00240B74">
              <w:rPr>
                <w:rFonts w:asciiTheme="minorHAnsi" w:hAnsiTheme="minorHAnsi" w:cstheme="minorHAnsi"/>
                <w:i w:val="0"/>
                <w:color w:val="auto"/>
                <w:sz w:val="20"/>
                <w:szCs w:val="22"/>
              </w:rPr>
              <w:t>Measue</w:t>
            </w:r>
            <w:proofErr w:type="spellEnd"/>
            <w:r w:rsidRPr="00240B74">
              <w:rPr>
                <w:rFonts w:asciiTheme="minorHAnsi" w:hAnsiTheme="minorHAnsi" w:cstheme="minorHAnsi"/>
                <w:i w:val="0"/>
                <w:color w:val="auto"/>
                <w:sz w:val="20"/>
                <w:szCs w:val="22"/>
              </w:rPr>
              <w:t xml:space="preserve"> Case </w:t>
            </w:r>
            <w:proofErr w:type="spellStart"/>
            <w:r w:rsidRPr="00240B74">
              <w:rPr>
                <w:rFonts w:asciiTheme="minorHAnsi" w:hAnsiTheme="minorHAnsi" w:cstheme="minorHAnsi"/>
                <w:i w:val="0"/>
                <w:color w:val="auto"/>
                <w:sz w:val="20"/>
                <w:szCs w:val="22"/>
              </w:rPr>
              <w:t>UseCategory</w:t>
            </w:r>
            <w:proofErr w:type="spellEnd"/>
          </w:p>
        </w:tc>
        <w:tc>
          <w:tcPr>
            <w:tcW w:w="6030" w:type="dxa"/>
          </w:tcPr>
          <w:p w:rsidR="00240B74" w:rsidRPr="00240B74" w:rsidRDefault="00186592" w:rsidP="000968C6">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HVAC</w:t>
            </w:r>
          </w:p>
        </w:tc>
      </w:tr>
      <w:tr w:rsidR="00240B74" w:rsidRPr="00240B74" w:rsidTr="00240B74">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Measure Case </w:t>
            </w:r>
            <w:proofErr w:type="spellStart"/>
            <w:r w:rsidRPr="00240B74">
              <w:rPr>
                <w:rFonts w:asciiTheme="minorHAnsi" w:hAnsiTheme="minorHAnsi" w:cstheme="minorHAnsi"/>
                <w:i w:val="0"/>
                <w:color w:val="auto"/>
                <w:sz w:val="20"/>
                <w:szCs w:val="22"/>
              </w:rPr>
              <w:t>UseSubCats</w:t>
            </w:r>
            <w:proofErr w:type="spellEnd"/>
          </w:p>
        </w:tc>
        <w:tc>
          <w:tcPr>
            <w:tcW w:w="6030" w:type="dxa"/>
          </w:tcPr>
          <w:p w:rsidR="00240B74" w:rsidRPr="00240B74" w:rsidRDefault="00186592" w:rsidP="00186592">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Space Cooling</w:t>
            </w:r>
            <w:r w:rsidR="00FE4CB4">
              <w:rPr>
                <w:rFonts w:asciiTheme="minorHAnsi" w:hAnsiTheme="minorHAnsi" w:cstheme="minorHAnsi"/>
                <w:i w:val="0"/>
                <w:color w:val="auto"/>
                <w:sz w:val="20"/>
                <w:szCs w:val="22"/>
              </w:rPr>
              <w:t xml:space="preserve"> (</w:t>
            </w:r>
            <w:proofErr w:type="spellStart"/>
            <w:r w:rsidR="00FE4CB4">
              <w:rPr>
                <w:rFonts w:asciiTheme="minorHAnsi" w:hAnsiTheme="minorHAnsi" w:cstheme="minorHAnsi"/>
                <w:i w:val="0"/>
                <w:color w:val="auto"/>
                <w:sz w:val="20"/>
                <w:szCs w:val="22"/>
              </w:rPr>
              <w:t>SpaceCool</w:t>
            </w:r>
            <w:proofErr w:type="spellEnd"/>
            <w:r w:rsidR="00FE4CB4">
              <w:rPr>
                <w:rFonts w:asciiTheme="minorHAnsi" w:hAnsiTheme="minorHAnsi" w:cstheme="minorHAnsi"/>
                <w:i w:val="0"/>
                <w:color w:val="auto"/>
                <w:sz w:val="20"/>
                <w:szCs w:val="22"/>
              </w:rPr>
              <w:t>)</w:t>
            </w:r>
          </w:p>
        </w:tc>
      </w:tr>
      <w:tr w:rsidR="00240B74" w:rsidRPr="00240B74" w:rsidTr="00240B74">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Measure Case </w:t>
            </w:r>
            <w:proofErr w:type="spellStart"/>
            <w:r w:rsidRPr="00240B74">
              <w:rPr>
                <w:rFonts w:asciiTheme="minorHAnsi" w:hAnsiTheme="minorHAnsi" w:cstheme="minorHAnsi"/>
                <w:i w:val="0"/>
                <w:color w:val="auto"/>
                <w:sz w:val="20"/>
                <w:szCs w:val="22"/>
              </w:rPr>
              <w:t>TechGroups</w:t>
            </w:r>
            <w:proofErr w:type="spellEnd"/>
          </w:p>
        </w:tc>
        <w:tc>
          <w:tcPr>
            <w:tcW w:w="6030" w:type="dxa"/>
          </w:tcPr>
          <w:p w:rsidR="00240B74" w:rsidRPr="00240B74" w:rsidRDefault="00421A0B" w:rsidP="000968C6">
            <w:pPr>
              <w:pStyle w:val="Reminders"/>
              <w:rPr>
                <w:rFonts w:asciiTheme="minorHAnsi" w:hAnsiTheme="minorHAnsi" w:cstheme="minorHAnsi"/>
                <w:i w:val="0"/>
                <w:color w:val="auto"/>
                <w:sz w:val="20"/>
                <w:szCs w:val="22"/>
              </w:rPr>
            </w:pPr>
            <w:r w:rsidRPr="00421A0B">
              <w:rPr>
                <w:rFonts w:asciiTheme="minorHAnsi" w:hAnsiTheme="minorHAnsi" w:cstheme="minorHAnsi"/>
                <w:i w:val="0"/>
                <w:color w:val="auto"/>
                <w:sz w:val="20"/>
                <w:szCs w:val="22"/>
              </w:rPr>
              <w:t>Evaporative Cooling Equipment</w:t>
            </w:r>
            <w:r w:rsidR="00FE4CB4">
              <w:rPr>
                <w:rFonts w:asciiTheme="minorHAnsi" w:hAnsiTheme="minorHAnsi" w:cstheme="minorHAnsi"/>
                <w:i w:val="0"/>
                <w:color w:val="auto"/>
                <w:sz w:val="20"/>
                <w:szCs w:val="22"/>
              </w:rPr>
              <w:t xml:space="preserve"> (</w:t>
            </w:r>
            <w:proofErr w:type="spellStart"/>
            <w:r w:rsidR="00FE4CB4">
              <w:rPr>
                <w:rFonts w:asciiTheme="minorHAnsi" w:hAnsiTheme="minorHAnsi" w:cstheme="minorHAnsi"/>
                <w:i w:val="0"/>
                <w:color w:val="auto"/>
                <w:sz w:val="20"/>
                <w:szCs w:val="22"/>
              </w:rPr>
              <w:t>EvapCool_eq</w:t>
            </w:r>
            <w:proofErr w:type="spellEnd"/>
            <w:r w:rsidR="00FE4CB4">
              <w:rPr>
                <w:rFonts w:asciiTheme="minorHAnsi" w:hAnsiTheme="minorHAnsi" w:cstheme="minorHAnsi"/>
                <w:i w:val="0"/>
                <w:color w:val="auto"/>
                <w:sz w:val="20"/>
                <w:szCs w:val="22"/>
              </w:rPr>
              <w:t>)</w:t>
            </w:r>
          </w:p>
        </w:tc>
      </w:tr>
      <w:tr w:rsidR="00240B74" w:rsidRPr="00240B74" w:rsidTr="00240B74">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Measure Case </w:t>
            </w:r>
            <w:proofErr w:type="spellStart"/>
            <w:r w:rsidRPr="00240B74">
              <w:rPr>
                <w:rFonts w:asciiTheme="minorHAnsi" w:hAnsiTheme="minorHAnsi" w:cstheme="minorHAnsi"/>
                <w:i w:val="0"/>
                <w:color w:val="auto"/>
                <w:sz w:val="20"/>
                <w:szCs w:val="22"/>
              </w:rPr>
              <w:t>TechTypes</w:t>
            </w:r>
            <w:proofErr w:type="spellEnd"/>
          </w:p>
        </w:tc>
        <w:tc>
          <w:tcPr>
            <w:tcW w:w="6030" w:type="dxa"/>
          </w:tcPr>
          <w:p w:rsidR="00186592" w:rsidRPr="00240B74" w:rsidRDefault="00186592" w:rsidP="000968C6">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Residential Evaporative Cooler</w:t>
            </w:r>
            <w:r w:rsidR="00FE4CB4">
              <w:rPr>
                <w:rFonts w:asciiTheme="minorHAnsi" w:hAnsiTheme="minorHAnsi" w:cstheme="minorHAnsi"/>
                <w:i w:val="0"/>
                <w:color w:val="auto"/>
                <w:sz w:val="20"/>
                <w:szCs w:val="22"/>
              </w:rPr>
              <w:t xml:space="preserve"> (</w:t>
            </w:r>
            <w:proofErr w:type="spellStart"/>
            <w:r w:rsidR="00FE4CB4">
              <w:rPr>
                <w:rFonts w:asciiTheme="minorHAnsi" w:hAnsiTheme="minorHAnsi" w:cstheme="minorHAnsi"/>
                <w:i w:val="0"/>
                <w:color w:val="auto"/>
                <w:sz w:val="20"/>
                <w:szCs w:val="22"/>
              </w:rPr>
              <w:t>ResEvap</w:t>
            </w:r>
            <w:proofErr w:type="spellEnd"/>
            <w:r w:rsidR="00FE4CB4">
              <w:rPr>
                <w:rFonts w:asciiTheme="minorHAnsi" w:hAnsiTheme="minorHAnsi" w:cstheme="minorHAnsi"/>
                <w:i w:val="0"/>
                <w:color w:val="auto"/>
                <w:sz w:val="20"/>
                <w:szCs w:val="22"/>
              </w:rPr>
              <w:t>)</w:t>
            </w:r>
            <w:r w:rsidR="00421A0B">
              <w:rPr>
                <w:rFonts w:asciiTheme="minorHAnsi" w:hAnsiTheme="minorHAnsi" w:cstheme="minorHAnsi"/>
                <w:i w:val="0"/>
                <w:color w:val="auto"/>
                <w:sz w:val="20"/>
                <w:szCs w:val="22"/>
              </w:rPr>
              <w:t xml:space="preserve">; </w:t>
            </w:r>
            <w:r w:rsidR="00421A0B" w:rsidRPr="00421A0B">
              <w:rPr>
                <w:rFonts w:asciiTheme="minorHAnsi" w:hAnsiTheme="minorHAnsi" w:cstheme="minorHAnsi"/>
                <w:i w:val="0"/>
                <w:color w:val="auto"/>
                <w:sz w:val="20"/>
                <w:szCs w:val="22"/>
              </w:rPr>
              <w:t>Commercial Evaporative Cooler</w:t>
            </w:r>
            <w:r w:rsidR="00FE4CB4">
              <w:rPr>
                <w:rFonts w:asciiTheme="minorHAnsi" w:hAnsiTheme="minorHAnsi" w:cstheme="minorHAnsi"/>
                <w:i w:val="0"/>
                <w:color w:val="auto"/>
                <w:sz w:val="20"/>
                <w:szCs w:val="22"/>
              </w:rPr>
              <w:t xml:space="preserve"> (</w:t>
            </w:r>
            <w:proofErr w:type="spellStart"/>
            <w:r w:rsidR="00FE4CB4">
              <w:rPr>
                <w:rFonts w:asciiTheme="minorHAnsi" w:hAnsiTheme="minorHAnsi" w:cstheme="minorHAnsi"/>
                <w:i w:val="0"/>
                <w:color w:val="auto"/>
                <w:sz w:val="20"/>
                <w:szCs w:val="22"/>
              </w:rPr>
              <w:t>ComEvap</w:t>
            </w:r>
            <w:proofErr w:type="spellEnd"/>
            <w:r w:rsidR="00FE4CB4">
              <w:rPr>
                <w:rFonts w:asciiTheme="minorHAnsi" w:hAnsiTheme="minorHAnsi" w:cstheme="minorHAnsi"/>
                <w:i w:val="0"/>
                <w:color w:val="auto"/>
                <w:sz w:val="20"/>
                <w:szCs w:val="22"/>
              </w:rPr>
              <w:t>)</w:t>
            </w:r>
          </w:p>
        </w:tc>
      </w:tr>
      <w:tr w:rsidR="00240B74" w:rsidRPr="00240B74" w:rsidTr="00240B74">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Base Case </w:t>
            </w:r>
            <w:proofErr w:type="spellStart"/>
            <w:r w:rsidRPr="00240B74">
              <w:rPr>
                <w:rFonts w:asciiTheme="minorHAnsi" w:hAnsiTheme="minorHAnsi" w:cstheme="minorHAnsi"/>
                <w:i w:val="0"/>
                <w:color w:val="auto"/>
                <w:sz w:val="20"/>
                <w:szCs w:val="22"/>
              </w:rPr>
              <w:t>TechGroups</w:t>
            </w:r>
            <w:proofErr w:type="spellEnd"/>
          </w:p>
        </w:tc>
        <w:tc>
          <w:tcPr>
            <w:tcW w:w="6030" w:type="dxa"/>
          </w:tcPr>
          <w:p w:rsidR="00240B74" w:rsidRPr="00240B74" w:rsidRDefault="00421A0B" w:rsidP="000968C6">
            <w:pPr>
              <w:pStyle w:val="Reminders"/>
              <w:rPr>
                <w:rFonts w:asciiTheme="minorHAnsi" w:hAnsiTheme="minorHAnsi" w:cstheme="minorHAnsi"/>
                <w:i w:val="0"/>
                <w:color w:val="auto"/>
                <w:sz w:val="20"/>
                <w:szCs w:val="22"/>
              </w:rPr>
            </w:pPr>
            <w:proofErr w:type="spellStart"/>
            <w:r w:rsidRPr="00421A0B">
              <w:rPr>
                <w:rFonts w:asciiTheme="minorHAnsi" w:hAnsiTheme="minorHAnsi" w:cstheme="minorHAnsi"/>
                <w:i w:val="0"/>
                <w:color w:val="auto"/>
                <w:sz w:val="20"/>
                <w:szCs w:val="22"/>
              </w:rPr>
              <w:t>dX</w:t>
            </w:r>
            <w:proofErr w:type="spellEnd"/>
            <w:r w:rsidRPr="00421A0B">
              <w:rPr>
                <w:rFonts w:asciiTheme="minorHAnsi" w:hAnsiTheme="minorHAnsi" w:cstheme="minorHAnsi"/>
                <w:i w:val="0"/>
                <w:color w:val="auto"/>
                <w:sz w:val="20"/>
                <w:szCs w:val="22"/>
              </w:rPr>
              <w:t xml:space="preserve"> AC Equipment</w:t>
            </w:r>
            <w:r w:rsidR="00FE4CB4">
              <w:rPr>
                <w:rFonts w:asciiTheme="minorHAnsi" w:hAnsiTheme="minorHAnsi" w:cstheme="minorHAnsi"/>
                <w:i w:val="0"/>
                <w:color w:val="auto"/>
                <w:sz w:val="20"/>
                <w:szCs w:val="22"/>
              </w:rPr>
              <w:t xml:space="preserve"> (</w:t>
            </w:r>
            <w:proofErr w:type="spellStart"/>
            <w:r w:rsidR="00FE4CB4">
              <w:rPr>
                <w:rFonts w:asciiTheme="minorHAnsi" w:hAnsiTheme="minorHAnsi" w:cstheme="minorHAnsi"/>
                <w:i w:val="0"/>
                <w:color w:val="auto"/>
                <w:sz w:val="20"/>
                <w:szCs w:val="22"/>
              </w:rPr>
              <w:t>DxAC_equip</w:t>
            </w:r>
            <w:proofErr w:type="spellEnd"/>
            <w:r w:rsidR="00FE4CB4">
              <w:rPr>
                <w:rFonts w:asciiTheme="minorHAnsi" w:hAnsiTheme="minorHAnsi" w:cstheme="minorHAnsi"/>
                <w:i w:val="0"/>
                <w:color w:val="auto"/>
                <w:sz w:val="20"/>
                <w:szCs w:val="22"/>
              </w:rPr>
              <w:t>)</w:t>
            </w:r>
          </w:p>
        </w:tc>
      </w:tr>
      <w:tr w:rsidR="00240B74" w:rsidRPr="00240B74" w:rsidTr="00240B74">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Base Case </w:t>
            </w:r>
            <w:proofErr w:type="spellStart"/>
            <w:r w:rsidRPr="00240B74">
              <w:rPr>
                <w:rFonts w:asciiTheme="minorHAnsi" w:hAnsiTheme="minorHAnsi" w:cstheme="minorHAnsi"/>
                <w:i w:val="0"/>
                <w:color w:val="auto"/>
                <w:sz w:val="20"/>
                <w:szCs w:val="22"/>
              </w:rPr>
              <w:t>TechTypes</w:t>
            </w:r>
            <w:proofErr w:type="spellEnd"/>
          </w:p>
        </w:tc>
        <w:tc>
          <w:tcPr>
            <w:tcW w:w="6030" w:type="dxa"/>
          </w:tcPr>
          <w:p w:rsidR="00240B74" w:rsidRPr="00240B74" w:rsidRDefault="00186592" w:rsidP="00A03EAE">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SEER rated Split AC System</w:t>
            </w:r>
            <w:r w:rsidR="00A03EAE">
              <w:rPr>
                <w:rFonts w:asciiTheme="minorHAnsi" w:hAnsiTheme="minorHAnsi" w:cstheme="minorHAnsi"/>
                <w:i w:val="0"/>
                <w:color w:val="auto"/>
                <w:sz w:val="20"/>
                <w:szCs w:val="22"/>
              </w:rPr>
              <w:t xml:space="preserve"> (</w:t>
            </w:r>
            <w:proofErr w:type="spellStart"/>
            <w:r w:rsidR="00A03EAE">
              <w:rPr>
                <w:rFonts w:asciiTheme="minorHAnsi" w:hAnsiTheme="minorHAnsi" w:cstheme="minorHAnsi"/>
                <w:i w:val="0"/>
                <w:color w:val="auto"/>
                <w:sz w:val="20"/>
                <w:szCs w:val="22"/>
              </w:rPr>
              <w:t>SpltSEER</w:t>
            </w:r>
            <w:proofErr w:type="spellEnd"/>
            <w:r w:rsidR="00A03EAE">
              <w:rPr>
                <w:rFonts w:asciiTheme="minorHAnsi" w:hAnsiTheme="minorHAnsi" w:cstheme="minorHAnsi"/>
                <w:i w:val="0"/>
                <w:color w:val="auto"/>
                <w:sz w:val="20"/>
                <w:szCs w:val="22"/>
              </w:rPr>
              <w:t>)</w:t>
            </w:r>
          </w:p>
        </w:tc>
      </w:tr>
    </w:tbl>
    <w:p w:rsidR="00240B74" w:rsidRPr="00240B74" w:rsidRDefault="00240B74" w:rsidP="000968C6">
      <w:pPr>
        <w:pStyle w:val="Reminders"/>
        <w:rPr>
          <w:rFonts w:asciiTheme="minorHAnsi" w:hAnsiTheme="minorHAnsi" w:cstheme="minorHAnsi"/>
          <w:i w:val="0"/>
          <w:color w:val="auto"/>
          <w:sz w:val="22"/>
          <w:szCs w:val="22"/>
        </w:rPr>
      </w:pPr>
    </w:p>
    <w:p w:rsidR="00E16609" w:rsidRDefault="00F06CCF" w:rsidP="00F06CCF">
      <w:pPr>
        <w:pStyle w:val="Heading3"/>
        <w:rPr>
          <w:rFonts w:asciiTheme="minorHAnsi" w:hAnsiTheme="minorHAnsi"/>
        </w:rPr>
      </w:pPr>
      <w:r>
        <w:rPr>
          <w:rFonts w:asciiTheme="minorHAnsi" w:hAnsiTheme="minorHAnsi"/>
        </w:rPr>
        <w:t>1.4.2</w:t>
      </w:r>
      <w:r w:rsidR="00824F1C" w:rsidRPr="00F06CCF">
        <w:rPr>
          <w:rFonts w:asciiTheme="minorHAnsi" w:hAnsiTheme="minorHAnsi"/>
        </w:rPr>
        <w:t xml:space="preserve"> </w:t>
      </w:r>
      <w:r w:rsidR="00E16609" w:rsidRPr="00F06CCF">
        <w:rPr>
          <w:rFonts w:asciiTheme="minorHAnsi" w:hAnsiTheme="minorHAnsi"/>
        </w:rPr>
        <w:t>Code</w:t>
      </w:r>
      <w:r w:rsidR="00B26778">
        <w:rPr>
          <w:rFonts w:asciiTheme="minorHAnsi" w:hAnsiTheme="minorHAnsi"/>
        </w:rPr>
        <w:t xml:space="preserve">s and Standards </w:t>
      </w:r>
      <w:r w:rsidR="00E16609" w:rsidRPr="00F06CCF">
        <w:rPr>
          <w:rFonts w:asciiTheme="minorHAnsi" w:hAnsiTheme="minorHAnsi"/>
        </w:rPr>
        <w:t xml:space="preserve">Analysis </w:t>
      </w:r>
      <w:bookmarkEnd w:id="10"/>
    </w:p>
    <w:p w:rsidR="00FB46BF" w:rsidRPr="0051696C" w:rsidRDefault="00FB46BF" w:rsidP="0051696C">
      <w:pPr>
        <w:pStyle w:val="Reminders"/>
        <w:rPr>
          <w:rFonts w:asciiTheme="minorHAnsi" w:hAnsiTheme="minorHAnsi" w:cstheme="minorHAnsi"/>
          <w:i w:val="0"/>
          <w:color w:val="auto"/>
          <w:sz w:val="22"/>
          <w:szCs w:val="22"/>
        </w:rPr>
      </w:pPr>
      <w:r w:rsidRPr="0051696C">
        <w:rPr>
          <w:rFonts w:asciiTheme="minorHAnsi" w:hAnsiTheme="minorHAnsi" w:cstheme="minorHAnsi"/>
          <w:i w:val="0"/>
          <w:color w:val="auto"/>
          <w:sz w:val="22"/>
          <w:szCs w:val="22"/>
        </w:rPr>
        <w:t>There are no energy efficiency standards or energy design standards for this measure.</w:t>
      </w:r>
      <w:r w:rsidR="00D42CA9" w:rsidRPr="0051696C">
        <w:rPr>
          <w:rFonts w:asciiTheme="minorHAnsi" w:hAnsiTheme="minorHAnsi" w:cstheme="minorHAnsi"/>
          <w:i w:val="0"/>
          <w:color w:val="auto"/>
          <w:sz w:val="22"/>
          <w:szCs w:val="22"/>
        </w:rPr>
        <w:t xml:space="preserve"> The</w:t>
      </w:r>
      <w:r w:rsidRPr="0051696C">
        <w:rPr>
          <w:rFonts w:asciiTheme="minorHAnsi" w:hAnsiTheme="minorHAnsi" w:cstheme="minorHAnsi"/>
          <w:i w:val="0"/>
          <w:color w:val="auto"/>
          <w:sz w:val="22"/>
          <w:szCs w:val="22"/>
        </w:rPr>
        <w:t xml:space="preserve"> Title 24 </w:t>
      </w:r>
      <w:r w:rsidR="008E16BE" w:rsidRPr="0051696C">
        <w:rPr>
          <w:rFonts w:asciiTheme="minorHAnsi" w:hAnsiTheme="minorHAnsi" w:cstheme="minorHAnsi"/>
          <w:i w:val="0"/>
          <w:color w:val="auto"/>
          <w:sz w:val="22"/>
          <w:szCs w:val="22"/>
        </w:rPr>
        <w:t>2013</w:t>
      </w:r>
      <w:r w:rsidR="00D42CA9" w:rsidRPr="0051696C">
        <w:rPr>
          <w:rFonts w:asciiTheme="minorHAnsi" w:hAnsiTheme="minorHAnsi" w:cstheme="minorHAnsi"/>
          <w:i w:val="0"/>
          <w:color w:val="auto"/>
          <w:sz w:val="22"/>
          <w:szCs w:val="22"/>
        </w:rPr>
        <w:t xml:space="preserve"> Residential Compliance Manual</w:t>
      </w:r>
      <w:r w:rsidR="00A03EAE">
        <w:rPr>
          <w:rFonts w:asciiTheme="minorHAnsi" w:hAnsiTheme="minorHAnsi" w:cstheme="minorHAnsi"/>
          <w:i w:val="0"/>
          <w:color w:val="auto"/>
          <w:sz w:val="22"/>
          <w:szCs w:val="22"/>
        </w:rPr>
        <w:t xml:space="preserve"> (attached)</w:t>
      </w:r>
      <w:r w:rsidRPr="0051696C">
        <w:rPr>
          <w:rFonts w:asciiTheme="minorHAnsi" w:hAnsiTheme="minorHAnsi" w:cstheme="minorHAnsi"/>
          <w:i w:val="0"/>
          <w:color w:val="auto"/>
          <w:sz w:val="22"/>
          <w:szCs w:val="22"/>
        </w:rPr>
        <w:t xml:space="preserve"> provides indirect</w:t>
      </w:r>
      <w:r w:rsidR="00D42CA9" w:rsidRPr="0051696C">
        <w:rPr>
          <w:rFonts w:asciiTheme="minorHAnsi" w:hAnsiTheme="minorHAnsi" w:cstheme="minorHAnsi"/>
          <w:i w:val="0"/>
          <w:color w:val="auto"/>
          <w:sz w:val="22"/>
          <w:szCs w:val="22"/>
        </w:rPr>
        <w:t xml:space="preserve"> and indirect-direct evaporative</w:t>
      </w:r>
      <w:r w:rsidRPr="0051696C">
        <w:rPr>
          <w:rFonts w:asciiTheme="minorHAnsi" w:hAnsiTheme="minorHAnsi" w:cstheme="minorHAnsi"/>
          <w:i w:val="0"/>
          <w:color w:val="auto"/>
          <w:sz w:val="22"/>
          <w:szCs w:val="22"/>
        </w:rPr>
        <w:t xml:space="preserve"> coolers with compliance credits</w:t>
      </w:r>
      <w:r w:rsidR="00D42CA9" w:rsidRPr="0051696C">
        <w:rPr>
          <w:rFonts w:asciiTheme="minorHAnsi" w:hAnsiTheme="minorHAnsi" w:cstheme="minorHAnsi"/>
          <w:i w:val="0"/>
          <w:color w:val="auto"/>
          <w:sz w:val="22"/>
          <w:szCs w:val="22"/>
        </w:rPr>
        <w:t>, but does not allow compliance credit for direct evaporative coolers</w:t>
      </w:r>
      <w:r w:rsidR="001D1763">
        <w:rPr>
          <w:rFonts w:asciiTheme="minorHAnsi" w:hAnsiTheme="minorHAnsi" w:cstheme="minorHAnsi"/>
          <w:i w:val="0"/>
          <w:color w:val="auto"/>
          <w:sz w:val="22"/>
          <w:szCs w:val="22"/>
        </w:rPr>
        <w:t>.</w:t>
      </w:r>
      <w:r w:rsidRPr="0051696C">
        <w:rPr>
          <w:rFonts w:asciiTheme="minorHAnsi" w:hAnsiTheme="minorHAnsi" w:cstheme="minorHAnsi"/>
          <w:i w:val="0"/>
          <w:color w:val="auto"/>
          <w:sz w:val="22"/>
          <w:szCs w:val="22"/>
        </w:rPr>
        <w:t xml:space="preserve"> </w:t>
      </w:r>
    </w:p>
    <w:p w:rsidR="00FB46BF" w:rsidRPr="00780F17" w:rsidRDefault="00FB46BF" w:rsidP="00FB46BF">
      <w:pPr>
        <w:rPr>
          <w:rFonts w:asciiTheme="minorHAnsi" w:hAnsiTheme="minorHAnsi" w:cstheme="minorHAnsi"/>
          <w:sz w:val="22"/>
          <w:szCs w:val="22"/>
        </w:rPr>
      </w:pPr>
    </w:p>
    <w:p w:rsidR="00FB46BF" w:rsidRPr="003D45CE" w:rsidRDefault="002B4360" w:rsidP="00FB46BF">
      <w:pPr>
        <w:rPr>
          <w:rFonts w:asciiTheme="minorHAnsi" w:hAnsiTheme="minorHAnsi" w:cstheme="minorHAnsi"/>
          <w:sz w:val="22"/>
          <w:szCs w:val="22"/>
        </w:rPr>
      </w:pPr>
      <w:r>
        <w:rPr>
          <w:rFonts w:asciiTheme="minorHAnsi" w:hAnsiTheme="minorHAnsi" w:cstheme="minorHAnsi"/>
          <w:sz w:val="22"/>
          <w:szCs w:val="22"/>
        </w:rPr>
        <w:t xml:space="preserve">2014 </w:t>
      </w:r>
      <w:r w:rsidR="00FB46BF" w:rsidRPr="00780F17">
        <w:rPr>
          <w:rFonts w:asciiTheme="minorHAnsi" w:hAnsiTheme="minorHAnsi" w:cstheme="minorHAnsi"/>
          <w:sz w:val="22"/>
          <w:szCs w:val="22"/>
        </w:rPr>
        <w:t>Title 20 [</w:t>
      </w:r>
      <w:r>
        <w:rPr>
          <w:rFonts w:asciiTheme="minorHAnsi" w:hAnsiTheme="minorHAnsi" w:cstheme="minorHAnsi"/>
          <w:sz w:val="22"/>
          <w:szCs w:val="22"/>
        </w:rPr>
        <w:t>422</w:t>
      </w:r>
      <w:r w:rsidR="00FB46BF" w:rsidRPr="00780F17">
        <w:rPr>
          <w:rFonts w:asciiTheme="minorHAnsi" w:hAnsiTheme="minorHAnsi" w:cstheme="minorHAnsi"/>
          <w:sz w:val="22"/>
          <w:szCs w:val="22"/>
        </w:rPr>
        <w:t xml:space="preserve">] does not cover evaporative coolers, and gives the following language, “There are no energy efficiency standards or energy design standards for spot air conditioners, evaporative coolers, whole house fans, or </w:t>
      </w:r>
      <w:r w:rsidR="00FB46BF" w:rsidRPr="003D45CE">
        <w:rPr>
          <w:rFonts w:asciiTheme="minorHAnsi" w:hAnsiTheme="minorHAnsi" w:cstheme="minorHAnsi"/>
          <w:sz w:val="22"/>
          <w:szCs w:val="22"/>
        </w:rPr>
        <w:t>residential exhaust fans.”</w:t>
      </w:r>
    </w:p>
    <w:p w:rsidR="00FB46BF" w:rsidRPr="003D45CE" w:rsidRDefault="00FB46BF" w:rsidP="00FB46BF">
      <w:pPr>
        <w:rPr>
          <w:rFonts w:asciiTheme="minorHAnsi" w:hAnsiTheme="minorHAnsi" w:cstheme="minorHAnsi"/>
          <w:sz w:val="22"/>
          <w:szCs w:val="22"/>
        </w:rPr>
      </w:pPr>
    </w:p>
    <w:p w:rsidR="00D84627" w:rsidRPr="00697868" w:rsidRDefault="00D84627" w:rsidP="00D84627">
      <w:pPr>
        <w:pStyle w:val="Caption"/>
        <w:keepNext/>
        <w:jc w:val="center"/>
        <w:rPr>
          <w:rFonts w:asciiTheme="minorHAnsi" w:hAnsiTheme="minorHAnsi" w:cstheme="minorHAnsi"/>
          <w:sz w:val="22"/>
          <w:szCs w:val="22"/>
        </w:rPr>
      </w:pPr>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AD25C5">
        <w:rPr>
          <w:rFonts w:asciiTheme="minorHAnsi" w:hAnsiTheme="minorHAnsi" w:cstheme="minorHAnsi"/>
          <w:noProof/>
          <w:sz w:val="22"/>
          <w:szCs w:val="22"/>
        </w:rPr>
        <w:t>7</w:t>
      </w:r>
      <w:r w:rsidRPr="00697868">
        <w:rPr>
          <w:rFonts w:asciiTheme="minorHAnsi" w:hAnsiTheme="minorHAnsi" w:cstheme="minorHAnsi"/>
          <w:sz w:val="22"/>
          <w:szCs w:val="22"/>
        </w:rPr>
        <w:fldChar w:fldCharType="end"/>
      </w:r>
      <w:r w:rsidRPr="00697868">
        <w:rPr>
          <w:rFonts w:asciiTheme="minorHAnsi" w:hAnsiTheme="minorHAnsi" w:cstheme="minorHAnsi"/>
          <w:sz w:val="22"/>
          <w:szCs w:val="22"/>
        </w:rPr>
        <w:t xml:space="preserve"> Code Summary</w:t>
      </w:r>
    </w:p>
    <w:tbl>
      <w:tblPr>
        <w:tblStyle w:val="TableContemporary"/>
        <w:tblW w:w="8027" w:type="dxa"/>
        <w:jc w:val="center"/>
        <w:tblInd w:w="-4933" w:type="dxa"/>
        <w:tblLook w:val="04A0" w:firstRow="1" w:lastRow="0" w:firstColumn="1" w:lastColumn="0" w:noHBand="0" w:noVBand="1"/>
      </w:tblPr>
      <w:tblGrid>
        <w:gridCol w:w="1854"/>
        <w:gridCol w:w="4352"/>
        <w:gridCol w:w="1821"/>
      </w:tblGrid>
      <w:tr w:rsidR="00FB46BF" w:rsidRPr="003D45CE" w:rsidTr="00FB46BF">
        <w:trPr>
          <w:cnfStyle w:val="100000000000" w:firstRow="1" w:lastRow="0" w:firstColumn="0" w:lastColumn="0" w:oddVBand="0" w:evenVBand="0" w:oddHBand="0" w:evenHBand="0" w:firstRowFirstColumn="0" w:firstRowLastColumn="0" w:lastRowFirstColumn="0" w:lastRowLastColumn="0"/>
          <w:jc w:val="center"/>
        </w:trPr>
        <w:tc>
          <w:tcPr>
            <w:tcW w:w="1854" w:type="dxa"/>
          </w:tcPr>
          <w:p w:rsidR="00FB46BF" w:rsidRPr="003D45CE" w:rsidRDefault="00FB46BF" w:rsidP="00FB46BF">
            <w:pPr>
              <w:jc w:val="center"/>
              <w:rPr>
                <w:rFonts w:asciiTheme="minorHAnsi" w:hAnsiTheme="minorHAnsi" w:cstheme="minorHAnsi"/>
                <w:sz w:val="22"/>
                <w:szCs w:val="22"/>
              </w:rPr>
            </w:pPr>
            <w:r w:rsidRPr="003D45CE">
              <w:rPr>
                <w:rFonts w:asciiTheme="minorHAnsi" w:hAnsiTheme="minorHAnsi" w:cstheme="minorHAnsi"/>
                <w:sz w:val="22"/>
                <w:szCs w:val="22"/>
              </w:rPr>
              <w:t>Code</w:t>
            </w:r>
          </w:p>
        </w:tc>
        <w:tc>
          <w:tcPr>
            <w:tcW w:w="4352" w:type="dxa"/>
          </w:tcPr>
          <w:p w:rsidR="00FB46BF" w:rsidRPr="003D45CE" w:rsidRDefault="00FB46BF" w:rsidP="00FB46BF">
            <w:pPr>
              <w:jc w:val="center"/>
              <w:rPr>
                <w:rFonts w:asciiTheme="minorHAnsi" w:hAnsiTheme="minorHAnsi" w:cstheme="minorHAnsi"/>
                <w:sz w:val="22"/>
                <w:szCs w:val="22"/>
              </w:rPr>
            </w:pPr>
            <w:r w:rsidRPr="003D45CE">
              <w:rPr>
                <w:rFonts w:asciiTheme="minorHAnsi" w:hAnsiTheme="minorHAnsi" w:cstheme="minorHAnsi"/>
                <w:sz w:val="22"/>
                <w:szCs w:val="22"/>
              </w:rPr>
              <w:t>Applicable Code Reference</w:t>
            </w:r>
          </w:p>
        </w:tc>
        <w:tc>
          <w:tcPr>
            <w:tcW w:w="1821" w:type="dxa"/>
          </w:tcPr>
          <w:p w:rsidR="00FB46BF" w:rsidRPr="003D45CE" w:rsidRDefault="00FB46BF" w:rsidP="00FB46BF">
            <w:pPr>
              <w:jc w:val="center"/>
              <w:rPr>
                <w:rFonts w:asciiTheme="minorHAnsi" w:hAnsiTheme="minorHAnsi" w:cstheme="minorHAnsi"/>
                <w:sz w:val="22"/>
                <w:szCs w:val="22"/>
              </w:rPr>
            </w:pPr>
            <w:r w:rsidRPr="003D45CE">
              <w:rPr>
                <w:rFonts w:asciiTheme="minorHAnsi" w:hAnsiTheme="minorHAnsi" w:cstheme="minorHAnsi"/>
                <w:sz w:val="22"/>
                <w:szCs w:val="22"/>
              </w:rPr>
              <w:t>Effective Dates</w:t>
            </w:r>
          </w:p>
        </w:tc>
      </w:tr>
      <w:tr w:rsidR="00FB46BF" w:rsidRPr="003920BE" w:rsidTr="00FB46BF">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vAlign w:val="center"/>
          </w:tcPr>
          <w:p w:rsidR="00FB46BF" w:rsidRPr="008E16BE" w:rsidRDefault="00FB46BF" w:rsidP="00494C35">
            <w:pPr>
              <w:jc w:val="center"/>
              <w:rPr>
                <w:rFonts w:asciiTheme="minorHAnsi" w:hAnsiTheme="minorHAnsi" w:cstheme="minorHAnsi"/>
                <w:sz w:val="20"/>
                <w:szCs w:val="20"/>
              </w:rPr>
            </w:pPr>
            <w:r w:rsidRPr="008E16BE">
              <w:rPr>
                <w:rFonts w:asciiTheme="minorHAnsi" w:hAnsiTheme="minorHAnsi" w:cstheme="minorHAnsi"/>
                <w:sz w:val="20"/>
                <w:szCs w:val="20"/>
              </w:rPr>
              <w:t>Title 24 (20</w:t>
            </w:r>
            <w:r w:rsidR="00494C35" w:rsidRPr="008E16BE">
              <w:rPr>
                <w:rFonts w:asciiTheme="minorHAnsi" w:hAnsiTheme="minorHAnsi" w:cstheme="minorHAnsi"/>
                <w:sz w:val="20"/>
                <w:szCs w:val="20"/>
              </w:rPr>
              <w:t>13</w:t>
            </w:r>
            <w:r w:rsidRPr="008E16BE">
              <w:rPr>
                <w:rFonts w:asciiTheme="minorHAnsi" w:hAnsiTheme="minorHAnsi" w:cstheme="minorHAnsi"/>
                <w:sz w:val="20"/>
                <w:szCs w:val="20"/>
              </w:rPr>
              <w:t>)</w:t>
            </w:r>
          </w:p>
        </w:tc>
        <w:tc>
          <w:tcPr>
            <w:tcW w:w="4352" w:type="dxa"/>
            <w:vAlign w:val="center"/>
          </w:tcPr>
          <w:p w:rsidR="00FB46BF" w:rsidRPr="008E16BE" w:rsidRDefault="00D42CA9" w:rsidP="008E16BE">
            <w:pPr>
              <w:jc w:val="center"/>
              <w:rPr>
                <w:rFonts w:asciiTheme="minorHAnsi" w:hAnsiTheme="minorHAnsi" w:cstheme="minorHAnsi"/>
                <w:sz w:val="20"/>
                <w:szCs w:val="20"/>
              </w:rPr>
            </w:pPr>
            <w:r>
              <w:rPr>
                <w:rFonts w:asciiTheme="minorHAnsi" w:hAnsiTheme="minorHAnsi" w:cstheme="minorHAnsi"/>
                <w:sz w:val="20"/>
                <w:szCs w:val="20"/>
              </w:rPr>
              <w:t>N/A</w:t>
            </w:r>
          </w:p>
        </w:tc>
        <w:tc>
          <w:tcPr>
            <w:tcW w:w="1821" w:type="dxa"/>
            <w:vAlign w:val="center"/>
          </w:tcPr>
          <w:p w:rsidR="00FB46BF" w:rsidRPr="003920BE" w:rsidRDefault="00D42CA9" w:rsidP="00FB46BF">
            <w:pPr>
              <w:jc w:val="center"/>
              <w:rPr>
                <w:rFonts w:asciiTheme="minorHAnsi" w:hAnsiTheme="minorHAnsi" w:cstheme="minorHAnsi"/>
                <w:sz w:val="20"/>
                <w:szCs w:val="20"/>
              </w:rPr>
            </w:pPr>
            <w:r>
              <w:rPr>
                <w:rFonts w:asciiTheme="minorHAnsi" w:hAnsiTheme="minorHAnsi" w:cstheme="minorHAnsi"/>
                <w:sz w:val="20"/>
                <w:szCs w:val="20"/>
              </w:rPr>
              <w:t>N/A</w:t>
            </w:r>
          </w:p>
        </w:tc>
      </w:tr>
      <w:tr w:rsidR="00FB46BF" w:rsidRPr="003920BE" w:rsidTr="00FB46BF">
        <w:trPr>
          <w:cnfStyle w:val="000000010000" w:firstRow="0" w:lastRow="0" w:firstColumn="0" w:lastColumn="0" w:oddVBand="0" w:evenVBand="0" w:oddHBand="0" w:evenHBand="1" w:firstRowFirstColumn="0" w:firstRowLastColumn="0" w:lastRowFirstColumn="0" w:lastRowLastColumn="0"/>
          <w:trHeight w:val="243"/>
          <w:jc w:val="center"/>
        </w:trPr>
        <w:tc>
          <w:tcPr>
            <w:tcW w:w="1854" w:type="dxa"/>
            <w:vAlign w:val="center"/>
          </w:tcPr>
          <w:p w:rsidR="00FB46BF" w:rsidRPr="003920BE" w:rsidRDefault="004D38B3" w:rsidP="00FB46BF">
            <w:pPr>
              <w:jc w:val="center"/>
              <w:rPr>
                <w:rFonts w:asciiTheme="minorHAnsi" w:hAnsiTheme="minorHAnsi" w:cstheme="minorHAnsi"/>
                <w:sz w:val="20"/>
                <w:szCs w:val="20"/>
              </w:rPr>
            </w:pPr>
            <w:r>
              <w:rPr>
                <w:rFonts w:asciiTheme="minorHAnsi" w:hAnsiTheme="minorHAnsi" w:cstheme="minorHAnsi"/>
                <w:sz w:val="20"/>
                <w:szCs w:val="20"/>
              </w:rPr>
              <w:t>Title 20 (201</w:t>
            </w:r>
            <w:r w:rsidR="002B4360">
              <w:rPr>
                <w:rFonts w:asciiTheme="minorHAnsi" w:hAnsiTheme="minorHAnsi" w:cstheme="minorHAnsi"/>
                <w:sz w:val="20"/>
                <w:szCs w:val="20"/>
              </w:rPr>
              <w:t>4</w:t>
            </w:r>
            <w:r w:rsidR="00FB46BF">
              <w:rPr>
                <w:rFonts w:asciiTheme="minorHAnsi" w:hAnsiTheme="minorHAnsi" w:cstheme="minorHAnsi"/>
                <w:sz w:val="20"/>
                <w:szCs w:val="20"/>
              </w:rPr>
              <w:t>)</w:t>
            </w:r>
          </w:p>
        </w:tc>
        <w:tc>
          <w:tcPr>
            <w:tcW w:w="4352" w:type="dxa"/>
            <w:vAlign w:val="center"/>
          </w:tcPr>
          <w:p w:rsidR="00FB46BF" w:rsidRPr="003920BE" w:rsidRDefault="00FB46BF" w:rsidP="00FB46BF">
            <w:pPr>
              <w:jc w:val="center"/>
              <w:rPr>
                <w:rFonts w:asciiTheme="minorHAnsi" w:hAnsiTheme="minorHAnsi" w:cstheme="minorHAnsi"/>
                <w:sz w:val="20"/>
                <w:szCs w:val="20"/>
              </w:rPr>
            </w:pPr>
            <w:r>
              <w:rPr>
                <w:rFonts w:asciiTheme="minorHAnsi" w:hAnsiTheme="minorHAnsi" w:cstheme="minorHAnsi"/>
                <w:sz w:val="20"/>
                <w:szCs w:val="20"/>
              </w:rPr>
              <w:t>N/A</w:t>
            </w:r>
          </w:p>
        </w:tc>
        <w:tc>
          <w:tcPr>
            <w:tcW w:w="1821" w:type="dxa"/>
            <w:vAlign w:val="center"/>
          </w:tcPr>
          <w:p w:rsidR="00FB46BF" w:rsidRPr="003920BE" w:rsidRDefault="00FB46BF" w:rsidP="00FB46BF">
            <w:pPr>
              <w:jc w:val="center"/>
              <w:rPr>
                <w:rFonts w:asciiTheme="minorHAnsi" w:hAnsiTheme="minorHAnsi" w:cstheme="minorHAnsi"/>
                <w:sz w:val="20"/>
                <w:szCs w:val="20"/>
              </w:rPr>
            </w:pPr>
            <w:r>
              <w:rPr>
                <w:rFonts w:asciiTheme="minorHAnsi" w:hAnsiTheme="minorHAnsi" w:cstheme="minorHAnsi"/>
                <w:sz w:val="20"/>
                <w:szCs w:val="20"/>
              </w:rPr>
              <w:t>N/A</w:t>
            </w:r>
          </w:p>
        </w:tc>
      </w:tr>
    </w:tbl>
    <w:p w:rsidR="00FB46BF" w:rsidRPr="00697868" w:rsidRDefault="00FB46BF" w:rsidP="00E16609">
      <w:pPr>
        <w:pStyle w:val="Reminders"/>
        <w:rPr>
          <w:rFonts w:asciiTheme="minorHAnsi" w:hAnsiTheme="minorHAnsi" w:cstheme="minorHAnsi"/>
          <w:sz w:val="22"/>
          <w:szCs w:val="22"/>
        </w:rPr>
      </w:pPr>
    </w:p>
    <w:p w:rsidR="00AB21F5" w:rsidRDefault="00AB21F5" w:rsidP="00F06CCF">
      <w:pPr>
        <w:pStyle w:val="Heading3"/>
        <w:rPr>
          <w:rFonts w:asciiTheme="minorHAnsi" w:hAnsiTheme="minorHAnsi"/>
        </w:rPr>
      </w:pPr>
      <w:bookmarkStart w:id="13" w:name="_Toc214003088"/>
      <w:r w:rsidRPr="00AB21F5">
        <w:rPr>
          <w:rFonts w:asciiTheme="minorHAnsi" w:hAnsiTheme="minorHAnsi"/>
        </w:rPr>
        <w:t>1.4.3 Non-DEER Study Review</w:t>
      </w:r>
    </w:p>
    <w:p w:rsidR="00312A45" w:rsidRPr="0051696C" w:rsidRDefault="00312A45" w:rsidP="00AB21F5">
      <w:pPr>
        <w:pStyle w:val="Reminder"/>
        <w:rPr>
          <w:rFonts w:asciiTheme="minorHAnsi" w:hAnsiTheme="minorHAnsi" w:cstheme="minorHAnsi"/>
          <w:i w:val="0"/>
          <w:color w:val="auto"/>
          <w:sz w:val="22"/>
          <w:szCs w:val="22"/>
        </w:rPr>
      </w:pPr>
      <w:r w:rsidRPr="0051696C">
        <w:rPr>
          <w:rFonts w:asciiTheme="minorHAnsi" w:hAnsiTheme="minorHAnsi" w:cstheme="minorHAnsi"/>
          <w:i w:val="0"/>
          <w:color w:val="auto"/>
          <w:sz w:val="22"/>
          <w:szCs w:val="22"/>
        </w:rPr>
        <w:t xml:space="preserve">No other studies were used </w:t>
      </w:r>
      <w:r w:rsidR="005B1205">
        <w:rPr>
          <w:rFonts w:asciiTheme="minorHAnsi" w:hAnsiTheme="minorHAnsi" w:cstheme="minorHAnsi"/>
          <w:i w:val="0"/>
          <w:color w:val="auto"/>
          <w:sz w:val="22"/>
          <w:szCs w:val="22"/>
        </w:rPr>
        <w:t>or reviewed in preparation for thi</w:t>
      </w:r>
      <w:r w:rsidRPr="0051696C">
        <w:rPr>
          <w:rFonts w:asciiTheme="minorHAnsi" w:hAnsiTheme="minorHAnsi" w:cstheme="minorHAnsi"/>
          <w:i w:val="0"/>
          <w:color w:val="auto"/>
          <w:sz w:val="22"/>
          <w:szCs w:val="22"/>
        </w:rPr>
        <w:t xml:space="preserve">s </w:t>
      </w:r>
      <w:proofErr w:type="spellStart"/>
      <w:r w:rsidRPr="0051696C">
        <w:rPr>
          <w:rFonts w:asciiTheme="minorHAnsi" w:hAnsiTheme="minorHAnsi" w:cstheme="minorHAnsi"/>
          <w:i w:val="0"/>
          <w:color w:val="auto"/>
          <w:sz w:val="22"/>
          <w:szCs w:val="22"/>
        </w:rPr>
        <w:t>workpaper</w:t>
      </w:r>
      <w:proofErr w:type="spellEnd"/>
      <w:r w:rsidRPr="0051696C">
        <w:rPr>
          <w:rFonts w:asciiTheme="minorHAnsi" w:hAnsiTheme="minorHAnsi" w:cstheme="minorHAnsi"/>
          <w:i w:val="0"/>
          <w:color w:val="auto"/>
          <w:sz w:val="22"/>
          <w:szCs w:val="22"/>
        </w:rPr>
        <w:t>.</w:t>
      </w:r>
    </w:p>
    <w:p w:rsidR="00E16609" w:rsidRPr="00F06CCF" w:rsidRDefault="00824F1C" w:rsidP="00F06CCF">
      <w:pPr>
        <w:pStyle w:val="Heading3"/>
        <w:rPr>
          <w:rFonts w:asciiTheme="minorHAnsi" w:hAnsiTheme="minorHAnsi"/>
        </w:rPr>
      </w:pPr>
      <w:r w:rsidRPr="00F06CCF">
        <w:rPr>
          <w:rFonts w:asciiTheme="minorHAnsi" w:hAnsiTheme="minorHAnsi"/>
        </w:rPr>
        <w:t>1.4</w:t>
      </w:r>
      <w:r w:rsidR="00F06CCF">
        <w:rPr>
          <w:rFonts w:asciiTheme="minorHAnsi" w:hAnsiTheme="minorHAnsi"/>
        </w:rPr>
        <w:t>.</w:t>
      </w:r>
      <w:r w:rsidR="00AB21F5">
        <w:rPr>
          <w:rFonts w:asciiTheme="minorHAnsi" w:hAnsiTheme="minorHAnsi"/>
        </w:rPr>
        <w:t>4</w:t>
      </w:r>
      <w:r w:rsidRPr="00F06CCF">
        <w:rPr>
          <w:rFonts w:asciiTheme="minorHAnsi" w:hAnsiTheme="minorHAnsi"/>
        </w:rPr>
        <w:t xml:space="preserve"> </w:t>
      </w:r>
      <w:r w:rsidR="00E16609" w:rsidRPr="00F06CCF">
        <w:rPr>
          <w:rFonts w:asciiTheme="minorHAnsi" w:hAnsiTheme="minorHAnsi"/>
        </w:rPr>
        <w:t>Measure</w:t>
      </w:r>
      <w:r w:rsidR="00F06CCF">
        <w:rPr>
          <w:rFonts w:asciiTheme="minorHAnsi" w:hAnsiTheme="minorHAnsi"/>
        </w:rPr>
        <w:t xml:space="preserve"> and Base Case</w:t>
      </w:r>
      <w:r w:rsidR="00E16609" w:rsidRPr="00F06CCF">
        <w:rPr>
          <w:rFonts w:asciiTheme="minorHAnsi" w:hAnsiTheme="minorHAnsi"/>
        </w:rPr>
        <w:t xml:space="preserve"> Effective Useful Life</w:t>
      </w:r>
      <w:bookmarkEnd w:id="13"/>
    </w:p>
    <w:p w:rsidR="005B28C1" w:rsidRPr="00697868" w:rsidRDefault="000F130A" w:rsidP="000F130A">
      <w:pPr>
        <w:rPr>
          <w:rFonts w:asciiTheme="minorHAnsi" w:hAnsiTheme="minorHAnsi" w:cstheme="minorHAnsi"/>
          <w:sz w:val="22"/>
          <w:szCs w:val="22"/>
        </w:rPr>
      </w:pPr>
      <w:r w:rsidRPr="00697868">
        <w:rPr>
          <w:rFonts w:asciiTheme="minorHAnsi" w:hAnsiTheme="minorHAnsi" w:cstheme="minorHAnsi"/>
          <w:sz w:val="22"/>
          <w:szCs w:val="22"/>
        </w:rPr>
        <w:t>DEER</w:t>
      </w:r>
      <w:r w:rsidR="00F06CCF">
        <w:rPr>
          <w:rFonts w:asciiTheme="minorHAnsi" w:hAnsiTheme="minorHAnsi" w:cstheme="minorHAnsi"/>
          <w:sz w:val="22"/>
          <w:szCs w:val="22"/>
        </w:rPr>
        <w:t>14 update</w:t>
      </w:r>
      <w:r w:rsidRPr="00697868">
        <w:rPr>
          <w:rFonts w:asciiTheme="minorHAnsi" w:hAnsiTheme="minorHAnsi" w:cstheme="minorHAnsi"/>
          <w:sz w:val="22"/>
          <w:szCs w:val="22"/>
        </w:rPr>
        <w:t xml:space="preserve"> documentation provides EUL and RUL information to be used for the </w:t>
      </w:r>
      <w:r w:rsidR="00F06CCF">
        <w:rPr>
          <w:rFonts w:asciiTheme="minorHAnsi" w:hAnsiTheme="minorHAnsi" w:cstheme="minorHAnsi"/>
          <w:sz w:val="22"/>
          <w:szCs w:val="22"/>
        </w:rPr>
        <w:t>2015</w:t>
      </w:r>
      <w:r w:rsidRPr="00697868">
        <w:rPr>
          <w:rFonts w:asciiTheme="minorHAnsi" w:hAnsiTheme="minorHAnsi" w:cstheme="minorHAnsi"/>
          <w:sz w:val="22"/>
          <w:szCs w:val="22"/>
        </w:rPr>
        <w:t xml:space="preserve"> program cycle</w:t>
      </w:r>
      <w:r w:rsidR="00F06CCF">
        <w:rPr>
          <w:rFonts w:asciiTheme="minorHAnsi" w:hAnsiTheme="minorHAnsi" w:cstheme="minorHAnsi"/>
          <w:sz w:val="22"/>
          <w:szCs w:val="22"/>
        </w:rPr>
        <w:t xml:space="preserve"> extension</w:t>
      </w:r>
      <w:r w:rsidRPr="00697868">
        <w:rPr>
          <w:rFonts w:asciiTheme="minorHAnsi" w:hAnsiTheme="minorHAnsi" w:cstheme="minorHAnsi"/>
          <w:sz w:val="22"/>
          <w:szCs w:val="22"/>
        </w:rPr>
        <w:t xml:space="preserve"> on </w:t>
      </w:r>
      <w:hyperlink r:id="rId14" w:history="1">
        <w:r w:rsidRPr="00697868">
          <w:rPr>
            <w:rFonts w:asciiTheme="minorHAnsi" w:hAnsiTheme="minorHAnsi" w:cstheme="minorHAnsi"/>
            <w:sz w:val="22"/>
            <w:szCs w:val="22"/>
          </w:rPr>
          <w:t>www.deeresources.com</w:t>
        </w:r>
      </w:hyperlink>
      <w:r w:rsidR="00056947" w:rsidRPr="00697868">
        <w:rPr>
          <w:rFonts w:asciiTheme="minorHAnsi" w:hAnsiTheme="minorHAnsi" w:cstheme="minorHAnsi"/>
          <w:sz w:val="22"/>
          <w:szCs w:val="22"/>
        </w:rPr>
        <w:t xml:space="preserve">. </w:t>
      </w:r>
      <w:r w:rsidRPr="00697868">
        <w:rPr>
          <w:rFonts w:asciiTheme="minorHAnsi" w:hAnsiTheme="minorHAnsi" w:cstheme="minorHAnsi"/>
          <w:sz w:val="22"/>
          <w:szCs w:val="22"/>
        </w:rPr>
        <w:t>The DEER documentation “</w:t>
      </w:r>
      <w:r w:rsidR="00933459" w:rsidRPr="00E86B70">
        <w:rPr>
          <w:rFonts w:asciiTheme="minorHAnsi" w:hAnsiTheme="minorHAnsi" w:cstheme="minorHAnsi"/>
          <w:sz w:val="22"/>
          <w:szCs w:val="22"/>
        </w:rPr>
        <w:t>DEER2014-EUL-table-update_2014-02-05.xlsx</w:t>
      </w:r>
      <w:r w:rsidRPr="00697868">
        <w:rPr>
          <w:rFonts w:asciiTheme="minorHAnsi" w:hAnsiTheme="minorHAnsi" w:cstheme="minorHAnsi"/>
          <w:sz w:val="22"/>
          <w:szCs w:val="22"/>
        </w:rPr>
        <w:t>” provides the RUL value as a flat 1/3 of the EUL value.</w:t>
      </w:r>
      <w:r w:rsidR="009D0753" w:rsidRPr="00697868">
        <w:rPr>
          <w:rFonts w:asciiTheme="minorHAnsi" w:hAnsiTheme="minorHAnsi" w:cstheme="minorHAnsi"/>
          <w:sz w:val="22"/>
          <w:szCs w:val="22"/>
        </w:rPr>
        <w:t xml:space="preserve"> The RUL value will only be applied to the first baseline period for retrofit measures that have applicable code that will affect the energy savings. In all other installation types and retrofit with no applicable code that affects the energy savings, the RUL is not applicable to either the first or second baseline period.</w:t>
      </w:r>
    </w:p>
    <w:p w:rsidR="00056947" w:rsidRPr="00697868" w:rsidRDefault="00056947" w:rsidP="000F130A">
      <w:pPr>
        <w:rPr>
          <w:rFonts w:asciiTheme="minorHAnsi" w:hAnsiTheme="minorHAnsi" w:cstheme="minorHAnsi"/>
          <w:sz w:val="22"/>
          <w:szCs w:val="22"/>
        </w:rPr>
      </w:pPr>
    </w:p>
    <w:p w:rsidR="005B28C1" w:rsidRDefault="005B28C1" w:rsidP="000F130A">
      <w:pPr>
        <w:rPr>
          <w:rFonts w:asciiTheme="minorHAnsi" w:hAnsiTheme="minorHAnsi" w:cstheme="minorHAnsi"/>
          <w:sz w:val="22"/>
          <w:szCs w:val="22"/>
        </w:rPr>
      </w:pPr>
      <w:r w:rsidRPr="00697868">
        <w:rPr>
          <w:rFonts w:asciiTheme="minorHAnsi" w:hAnsiTheme="minorHAnsi" w:cstheme="minorHAnsi"/>
          <w:sz w:val="22"/>
          <w:szCs w:val="22"/>
        </w:rPr>
        <w:t>To obtain the EUL value the DEER</w:t>
      </w:r>
      <w:r w:rsidR="00F06CCF">
        <w:rPr>
          <w:rFonts w:asciiTheme="minorHAnsi" w:hAnsiTheme="minorHAnsi" w:cstheme="minorHAnsi"/>
          <w:sz w:val="22"/>
          <w:szCs w:val="22"/>
        </w:rPr>
        <w:t>14 update</w:t>
      </w:r>
      <w:r w:rsidRPr="00697868">
        <w:rPr>
          <w:rFonts w:asciiTheme="minorHAnsi" w:hAnsiTheme="minorHAnsi" w:cstheme="minorHAnsi"/>
          <w:sz w:val="22"/>
          <w:szCs w:val="22"/>
        </w:rPr>
        <w:t xml:space="preserve"> documentation, </w:t>
      </w:r>
      <w:r w:rsidR="00933459">
        <w:rPr>
          <w:rFonts w:asciiTheme="minorHAnsi" w:hAnsiTheme="minorHAnsi" w:cstheme="minorHAnsi"/>
          <w:sz w:val="22"/>
          <w:szCs w:val="22"/>
        </w:rPr>
        <w:t>“</w:t>
      </w:r>
      <w:r w:rsidR="004B2437">
        <w:rPr>
          <w:rFonts w:asciiTheme="minorHAnsi" w:hAnsiTheme="minorHAnsi" w:cstheme="minorHAnsi"/>
          <w:sz w:val="22"/>
          <w:szCs w:val="22"/>
        </w:rPr>
        <w:t>DEER2014-</w:t>
      </w:r>
      <w:r w:rsidRPr="00697868">
        <w:rPr>
          <w:rFonts w:asciiTheme="minorHAnsi" w:hAnsiTheme="minorHAnsi" w:cstheme="minorHAnsi"/>
          <w:sz w:val="22"/>
          <w:szCs w:val="22"/>
        </w:rPr>
        <w:t>EUL</w:t>
      </w:r>
      <w:r w:rsidR="004B2437">
        <w:rPr>
          <w:rFonts w:asciiTheme="minorHAnsi" w:hAnsiTheme="minorHAnsi" w:cstheme="minorHAnsi"/>
          <w:sz w:val="22"/>
          <w:szCs w:val="22"/>
        </w:rPr>
        <w:t>-table-update</w:t>
      </w:r>
      <w:r w:rsidRPr="00697868">
        <w:rPr>
          <w:rFonts w:asciiTheme="minorHAnsi" w:hAnsiTheme="minorHAnsi" w:cstheme="minorHAnsi"/>
          <w:sz w:val="22"/>
          <w:szCs w:val="22"/>
        </w:rPr>
        <w:t>_</w:t>
      </w:r>
      <w:r w:rsidR="004B2437">
        <w:rPr>
          <w:rFonts w:asciiTheme="minorHAnsi" w:hAnsiTheme="minorHAnsi" w:cstheme="minorHAnsi"/>
          <w:sz w:val="22"/>
          <w:szCs w:val="22"/>
        </w:rPr>
        <w:t>2014-02-05</w:t>
      </w:r>
      <w:r w:rsidRPr="00697868">
        <w:rPr>
          <w:rFonts w:asciiTheme="minorHAnsi" w:hAnsiTheme="minorHAnsi" w:cstheme="minorHAnsi"/>
          <w:sz w:val="22"/>
          <w:szCs w:val="22"/>
        </w:rPr>
        <w:t>.xls</w:t>
      </w:r>
      <w:r w:rsidR="00933459">
        <w:rPr>
          <w:rFonts w:asciiTheme="minorHAnsi" w:hAnsiTheme="minorHAnsi" w:cstheme="minorHAnsi"/>
          <w:sz w:val="22"/>
          <w:szCs w:val="22"/>
        </w:rPr>
        <w:t xml:space="preserve">” [436] </w:t>
      </w:r>
      <w:r w:rsidR="00056947" w:rsidRPr="00697868">
        <w:rPr>
          <w:rFonts w:asciiTheme="minorHAnsi" w:hAnsiTheme="minorHAnsi" w:cstheme="minorHAnsi"/>
          <w:sz w:val="22"/>
          <w:szCs w:val="22"/>
        </w:rPr>
        <w:t>was consulted.</w:t>
      </w:r>
      <w:r w:rsidRPr="00697868">
        <w:rPr>
          <w:rFonts w:asciiTheme="minorHAnsi" w:hAnsiTheme="minorHAnsi" w:cstheme="minorHAnsi"/>
          <w:sz w:val="22"/>
          <w:szCs w:val="22"/>
        </w:rPr>
        <w:t xml:space="preserve"> </w:t>
      </w:r>
      <w:r w:rsidR="00DF52E8">
        <w:rPr>
          <w:rFonts w:asciiTheme="minorHAnsi" w:hAnsiTheme="minorHAnsi" w:cstheme="minorHAnsi"/>
          <w:sz w:val="22"/>
          <w:szCs w:val="22"/>
        </w:rPr>
        <w:t xml:space="preserve">Table 8 </w:t>
      </w:r>
      <w:r w:rsidRPr="00697868">
        <w:rPr>
          <w:rFonts w:asciiTheme="minorHAnsi" w:hAnsiTheme="minorHAnsi" w:cstheme="minorHAnsi"/>
          <w:sz w:val="22"/>
          <w:szCs w:val="22"/>
        </w:rPr>
        <w:t>below identifies the value/methodology used for the measures in this work paper.</w:t>
      </w:r>
      <w:r w:rsidR="002B4360">
        <w:rPr>
          <w:rFonts w:asciiTheme="minorHAnsi" w:hAnsiTheme="minorHAnsi" w:cstheme="minorHAnsi"/>
          <w:sz w:val="22"/>
          <w:szCs w:val="22"/>
        </w:rPr>
        <w:t xml:space="preserve"> </w:t>
      </w:r>
      <w:r w:rsidR="00D84627">
        <w:rPr>
          <w:rFonts w:asciiTheme="minorHAnsi" w:hAnsiTheme="minorHAnsi" w:cstheme="minorHAnsi"/>
          <w:sz w:val="22"/>
          <w:szCs w:val="22"/>
        </w:rPr>
        <w:t>The EUL for the residential sector was used as a proxy for the non-residential sector as DEER does not give a EUL value for non-residential applications.</w:t>
      </w:r>
    </w:p>
    <w:p w:rsidR="00D84627" w:rsidRDefault="00D84627" w:rsidP="000F130A">
      <w:pPr>
        <w:rPr>
          <w:rFonts w:asciiTheme="minorHAnsi" w:hAnsiTheme="minorHAnsi" w:cstheme="minorHAnsi"/>
          <w:sz w:val="22"/>
          <w:szCs w:val="22"/>
        </w:rPr>
      </w:pPr>
    </w:p>
    <w:p w:rsidR="00D84627" w:rsidRPr="00697868" w:rsidRDefault="00D84627" w:rsidP="000F130A">
      <w:pPr>
        <w:rPr>
          <w:rFonts w:asciiTheme="minorHAnsi" w:hAnsiTheme="minorHAnsi" w:cstheme="minorHAnsi"/>
          <w:sz w:val="22"/>
          <w:szCs w:val="22"/>
        </w:rPr>
      </w:pPr>
      <w:r>
        <w:rPr>
          <w:rFonts w:asciiTheme="minorHAnsi" w:hAnsiTheme="minorHAnsi" w:cstheme="minorHAnsi"/>
          <w:sz w:val="22"/>
          <w:szCs w:val="22"/>
        </w:rPr>
        <w:t xml:space="preserve">This </w:t>
      </w:r>
      <w:proofErr w:type="spellStart"/>
      <w:r>
        <w:rPr>
          <w:rFonts w:asciiTheme="minorHAnsi" w:hAnsiTheme="minorHAnsi" w:cstheme="minorHAnsi"/>
          <w:sz w:val="22"/>
          <w:szCs w:val="22"/>
        </w:rPr>
        <w:t>workpaper</w:t>
      </w:r>
      <w:proofErr w:type="spellEnd"/>
      <w:r>
        <w:rPr>
          <w:rFonts w:asciiTheme="minorHAnsi" w:hAnsiTheme="minorHAnsi" w:cstheme="minorHAnsi"/>
          <w:sz w:val="22"/>
          <w:szCs w:val="22"/>
        </w:rPr>
        <w:t xml:space="preserve"> uses DEER EUL_ID HV-Evap.</w:t>
      </w:r>
    </w:p>
    <w:p w:rsidR="00BD3931" w:rsidRPr="00697868" w:rsidRDefault="00BD3931" w:rsidP="000F130A">
      <w:pPr>
        <w:rPr>
          <w:rFonts w:asciiTheme="minorHAnsi" w:hAnsiTheme="minorHAnsi" w:cstheme="minorHAnsi"/>
          <w:sz w:val="22"/>
          <w:szCs w:val="22"/>
        </w:rPr>
      </w:pPr>
    </w:p>
    <w:p w:rsidR="005B28C1" w:rsidRPr="00697868" w:rsidRDefault="005B28C1" w:rsidP="005B28C1">
      <w:pPr>
        <w:pStyle w:val="Caption"/>
        <w:jc w:val="center"/>
        <w:rPr>
          <w:rFonts w:asciiTheme="minorHAnsi" w:hAnsiTheme="minorHAnsi" w:cstheme="minorHAnsi"/>
          <w:sz w:val="22"/>
          <w:szCs w:val="22"/>
        </w:rPr>
      </w:pPr>
      <w:bookmarkStart w:id="14" w:name="_Ref296591307"/>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AD25C5">
        <w:rPr>
          <w:rFonts w:asciiTheme="minorHAnsi" w:hAnsiTheme="minorHAnsi" w:cstheme="minorHAnsi"/>
          <w:noProof/>
          <w:sz w:val="22"/>
          <w:szCs w:val="22"/>
        </w:rPr>
        <w:t>8</w:t>
      </w:r>
      <w:r w:rsidRPr="00697868">
        <w:rPr>
          <w:rFonts w:asciiTheme="minorHAnsi" w:hAnsiTheme="minorHAnsi" w:cstheme="minorHAnsi"/>
          <w:sz w:val="22"/>
          <w:szCs w:val="22"/>
        </w:rPr>
        <w:fldChar w:fldCharType="end"/>
      </w:r>
      <w:bookmarkEnd w:id="14"/>
      <w:r w:rsidRPr="00697868">
        <w:rPr>
          <w:rFonts w:asciiTheme="minorHAnsi" w:hAnsiTheme="minorHAnsi" w:cstheme="minorHAnsi"/>
          <w:sz w:val="22"/>
          <w:szCs w:val="22"/>
        </w:rPr>
        <w:t xml:space="preserve"> DEER</w:t>
      </w:r>
      <w:r w:rsidR="003832D2">
        <w:rPr>
          <w:rFonts w:asciiTheme="minorHAnsi" w:hAnsiTheme="minorHAnsi" w:cstheme="minorHAnsi"/>
          <w:sz w:val="22"/>
          <w:szCs w:val="22"/>
        </w:rPr>
        <w:t>14</w:t>
      </w:r>
      <w:r w:rsidRPr="00697868">
        <w:rPr>
          <w:rFonts w:asciiTheme="minorHAnsi" w:hAnsiTheme="minorHAnsi" w:cstheme="minorHAnsi"/>
          <w:sz w:val="22"/>
          <w:szCs w:val="22"/>
        </w:rPr>
        <w:t xml:space="preserve"> EUL Value/Methodology</w:t>
      </w:r>
    </w:p>
    <w:tbl>
      <w:tblPr>
        <w:tblStyle w:val="TableContemporary"/>
        <w:tblW w:w="0" w:type="auto"/>
        <w:jc w:val="center"/>
        <w:tblLook w:val="04A0" w:firstRow="1" w:lastRow="0" w:firstColumn="1" w:lastColumn="0" w:noHBand="0" w:noVBand="1"/>
      </w:tblPr>
      <w:tblGrid>
        <w:gridCol w:w="1461"/>
        <w:gridCol w:w="1731"/>
        <w:gridCol w:w="1214"/>
        <w:gridCol w:w="2161"/>
        <w:gridCol w:w="1566"/>
        <w:gridCol w:w="1443"/>
      </w:tblGrid>
      <w:tr w:rsidR="001C5A94" w:rsidRPr="00697868" w:rsidTr="001C5A94">
        <w:trPr>
          <w:cnfStyle w:val="100000000000" w:firstRow="1" w:lastRow="0" w:firstColumn="0" w:lastColumn="0" w:oddVBand="0" w:evenVBand="0" w:oddHBand="0" w:evenHBand="0" w:firstRowFirstColumn="0" w:firstRowLastColumn="0" w:lastRowFirstColumn="0" w:lastRowLastColumn="0"/>
          <w:jc w:val="center"/>
        </w:trPr>
        <w:tc>
          <w:tcPr>
            <w:tcW w:w="1461" w:type="dxa"/>
          </w:tcPr>
          <w:p w:rsidR="001C5A94" w:rsidRPr="00697868" w:rsidRDefault="001C5A94" w:rsidP="000F130A">
            <w:pPr>
              <w:rPr>
                <w:rFonts w:asciiTheme="minorHAnsi" w:hAnsiTheme="minorHAnsi" w:cstheme="minorHAnsi"/>
                <w:sz w:val="20"/>
                <w:szCs w:val="20"/>
              </w:rPr>
            </w:pPr>
            <w:proofErr w:type="spellStart"/>
            <w:r w:rsidRPr="0051696C">
              <w:rPr>
                <w:rFonts w:asciiTheme="minorHAnsi" w:hAnsiTheme="minorHAnsi" w:cstheme="minorHAnsi"/>
                <w:sz w:val="20"/>
                <w:szCs w:val="20"/>
              </w:rPr>
              <w:t>READi</w:t>
            </w:r>
            <w:proofErr w:type="spellEnd"/>
            <w:r w:rsidRPr="0051696C">
              <w:rPr>
                <w:rFonts w:asciiTheme="minorHAnsi" w:hAnsiTheme="minorHAnsi" w:cstheme="minorHAnsi"/>
                <w:sz w:val="20"/>
                <w:szCs w:val="20"/>
              </w:rPr>
              <w:t xml:space="preserve"> EUL ID</w:t>
            </w:r>
          </w:p>
        </w:tc>
        <w:tc>
          <w:tcPr>
            <w:tcW w:w="1731"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Market</w:t>
            </w:r>
          </w:p>
        </w:tc>
        <w:tc>
          <w:tcPr>
            <w:tcW w:w="1214" w:type="dxa"/>
          </w:tcPr>
          <w:p w:rsidR="001C5A94" w:rsidRPr="00697868" w:rsidRDefault="001C5A94" w:rsidP="000F130A">
            <w:pPr>
              <w:rPr>
                <w:rFonts w:asciiTheme="minorHAnsi" w:hAnsiTheme="minorHAnsi" w:cstheme="minorHAnsi"/>
                <w:sz w:val="20"/>
                <w:szCs w:val="20"/>
              </w:rPr>
            </w:pPr>
            <w:proofErr w:type="spellStart"/>
            <w:r w:rsidRPr="00697868">
              <w:rPr>
                <w:rFonts w:asciiTheme="minorHAnsi" w:hAnsiTheme="minorHAnsi" w:cstheme="minorHAnsi"/>
                <w:sz w:val="20"/>
                <w:szCs w:val="20"/>
              </w:rPr>
              <w:t>Enduse</w:t>
            </w:r>
            <w:proofErr w:type="spellEnd"/>
          </w:p>
        </w:tc>
        <w:tc>
          <w:tcPr>
            <w:tcW w:w="2161"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Measure</w:t>
            </w:r>
          </w:p>
        </w:tc>
        <w:tc>
          <w:tcPr>
            <w:tcW w:w="1566"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EUL (Years)</w:t>
            </w:r>
          </w:p>
        </w:tc>
        <w:tc>
          <w:tcPr>
            <w:tcW w:w="1443"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RUL (Years)</w:t>
            </w:r>
          </w:p>
        </w:tc>
      </w:tr>
      <w:tr w:rsidR="001C5A94" w:rsidRPr="00697868" w:rsidTr="001C5A94">
        <w:trPr>
          <w:cnfStyle w:val="000000100000" w:firstRow="0" w:lastRow="0" w:firstColumn="0" w:lastColumn="0" w:oddVBand="0" w:evenVBand="0" w:oddHBand="1" w:evenHBand="0" w:firstRowFirstColumn="0" w:firstRowLastColumn="0" w:lastRowFirstColumn="0" w:lastRowLastColumn="0"/>
          <w:trHeight w:val="243"/>
          <w:jc w:val="center"/>
        </w:trPr>
        <w:tc>
          <w:tcPr>
            <w:tcW w:w="1461" w:type="dxa"/>
          </w:tcPr>
          <w:p w:rsidR="001C5A94" w:rsidRPr="00697868" w:rsidRDefault="00312A45" w:rsidP="000F130A">
            <w:pPr>
              <w:rPr>
                <w:rFonts w:asciiTheme="minorHAnsi" w:hAnsiTheme="minorHAnsi" w:cstheme="minorHAnsi"/>
                <w:sz w:val="20"/>
                <w:szCs w:val="20"/>
              </w:rPr>
            </w:pPr>
            <w:r>
              <w:rPr>
                <w:rFonts w:asciiTheme="minorHAnsi" w:hAnsiTheme="minorHAnsi" w:cstheme="minorHAnsi"/>
                <w:sz w:val="20"/>
                <w:szCs w:val="20"/>
              </w:rPr>
              <w:t>HV-</w:t>
            </w:r>
            <w:proofErr w:type="spellStart"/>
            <w:r>
              <w:rPr>
                <w:rFonts w:asciiTheme="minorHAnsi" w:hAnsiTheme="minorHAnsi" w:cstheme="minorHAnsi"/>
                <w:sz w:val="20"/>
                <w:szCs w:val="20"/>
              </w:rPr>
              <w:t>Evap</w:t>
            </w:r>
            <w:proofErr w:type="spellEnd"/>
          </w:p>
        </w:tc>
        <w:tc>
          <w:tcPr>
            <w:tcW w:w="1731"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Residential</w:t>
            </w:r>
          </w:p>
        </w:tc>
        <w:tc>
          <w:tcPr>
            <w:tcW w:w="1214" w:type="dxa"/>
          </w:tcPr>
          <w:p w:rsidR="001C5A94" w:rsidRPr="00697868" w:rsidRDefault="00FB46BF" w:rsidP="000F130A">
            <w:pPr>
              <w:rPr>
                <w:rFonts w:asciiTheme="minorHAnsi" w:hAnsiTheme="minorHAnsi" w:cstheme="minorHAnsi"/>
                <w:sz w:val="20"/>
                <w:szCs w:val="20"/>
              </w:rPr>
            </w:pPr>
            <w:r>
              <w:rPr>
                <w:rFonts w:asciiTheme="minorHAnsi" w:hAnsiTheme="minorHAnsi" w:cstheme="minorHAnsi"/>
                <w:sz w:val="20"/>
                <w:szCs w:val="20"/>
              </w:rPr>
              <w:t>HVAC</w:t>
            </w:r>
          </w:p>
        </w:tc>
        <w:tc>
          <w:tcPr>
            <w:tcW w:w="2161" w:type="dxa"/>
          </w:tcPr>
          <w:p w:rsidR="001C5A94" w:rsidRPr="00697868" w:rsidRDefault="00FB46BF" w:rsidP="000F130A">
            <w:pPr>
              <w:rPr>
                <w:rFonts w:asciiTheme="minorHAnsi" w:hAnsiTheme="minorHAnsi" w:cstheme="minorHAnsi"/>
                <w:sz w:val="20"/>
                <w:szCs w:val="20"/>
              </w:rPr>
            </w:pPr>
            <w:r>
              <w:rPr>
                <w:rFonts w:asciiTheme="minorHAnsi" w:hAnsiTheme="minorHAnsi" w:cstheme="minorHAnsi"/>
                <w:sz w:val="20"/>
                <w:szCs w:val="20"/>
              </w:rPr>
              <w:t>Direct Evaporative Cooler</w:t>
            </w:r>
          </w:p>
        </w:tc>
        <w:tc>
          <w:tcPr>
            <w:tcW w:w="1566" w:type="dxa"/>
          </w:tcPr>
          <w:p w:rsidR="001C5A94" w:rsidRPr="00697868" w:rsidRDefault="00FB46BF" w:rsidP="000F130A">
            <w:pPr>
              <w:rPr>
                <w:rFonts w:asciiTheme="minorHAnsi" w:hAnsiTheme="minorHAnsi" w:cstheme="minorHAnsi"/>
                <w:sz w:val="20"/>
                <w:szCs w:val="20"/>
              </w:rPr>
            </w:pPr>
            <w:r>
              <w:rPr>
                <w:rFonts w:asciiTheme="minorHAnsi" w:hAnsiTheme="minorHAnsi" w:cstheme="minorHAnsi"/>
                <w:sz w:val="20"/>
                <w:szCs w:val="20"/>
              </w:rPr>
              <w:t>15</w:t>
            </w:r>
          </w:p>
        </w:tc>
        <w:tc>
          <w:tcPr>
            <w:tcW w:w="1443" w:type="dxa"/>
          </w:tcPr>
          <w:p w:rsidR="001C5A94" w:rsidRPr="00697868" w:rsidRDefault="00933459" w:rsidP="000F130A">
            <w:pPr>
              <w:rPr>
                <w:rFonts w:asciiTheme="minorHAnsi" w:hAnsiTheme="minorHAnsi" w:cstheme="minorHAnsi"/>
                <w:sz w:val="20"/>
                <w:szCs w:val="20"/>
              </w:rPr>
            </w:pPr>
            <w:r>
              <w:rPr>
                <w:rFonts w:asciiTheme="minorHAnsi" w:hAnsiTheme="minorHAnsi" w:cstheme="minorHAnsi"/>
                <w:sz w:val="20"/>
                <w:szCs w:val="20"/>
              </w:rPr>
              <w:t>5</w:t>
            </w:r>
          </w:p>
        </w:tc>
      </w:tr>
      <w:tr w:rsidR="00FB46BF" w:rsidRPr="00697868" w:rsidTr="001C5A94">
        <w:trPr>
          <w:cnfStyle w:val="000000010000" w:firstRow="0" w:lastRow="0" w:firstColumn="0" w:lastColumn="0" w:oddVBand="0" w:evenVBand="0" w:oddHBand="0" w:evenHBand="1" w:firstRowFirstColumn="0" w:firstRowLastColumn="0" w:lastRowFirstColumn="0" w:lastRowLastColumn="0"/>
          <w:trHeight w:val="243"/>
          <w:jc w:val="center"/>
        </w:trPr>
        <w:tc>
          <w:tcPr>
            <w:tcW w:w="1461" w:type="dxa"/>
          </w:tcPr>
          <w:p w:rsidR="00FB46BF" w:rsidRPr="00697868" w:rsidRDefault="004B2437" w:rsidP="000F130A">
            <w:pPr>
              <w:rPr>
                <w:rFonts w:asciiTheme="minorHAnsi" w:hAnsiTheme="minorHAnsi" w:cstheme="minorHAnsi"/>
                <w:sz w:val="20"/>
                <w:szCs w:val="20"/>
              </w:rPr>
            </w:pPr>
            <w:r>
              <w:rPr>
                <w:rFonts w:asciiTheme="minorHAnsi" w:hAnsiTheme="minorHAnsi" w:cstheme="minorHAnsi"/>
                <w:sz w:val="20"/>
                <w:szCs w:val="20"/>
              </w:rPr>
              <w:t>HV-</w:t>
            </w:r>
            <w:proofErr w:type="spellStart"/>
            <w:r>
              <w:rPr>
                <w:rFonts w:asciiTheme="minorHAnsi" w:hAnsiTheme="minorHAnsi" w:cstheme="minorHAnsi"/>
                <w:sz w:val="20"/>
                <w:szCs w:val="20"/>
              </w:rPr>
              <w:t>Evap</w:t>
            </w:r>
            <w:proofErr w:type="spellEnd"/>
          </w:p>
        </w:tc>
        <w:tc>
          <w:tcPr>
            <w:tcW w:w="1731" w:type="dxa"/>
          </w:tcPr>
          <w:p w:rsidR="00FB46BF" w:rsidRPr="00697868" w:rsidRDefault="00FB46BF" w:rsidP="000F130A">
            <w:pPr>
              <w:rPr>
                <w:rFonts w:asciiTheme="minorHAnsi" w:hAnsiTheme="minorHAnsi" w:cstheme="minorHAnsi"/>
                <w:sz w:val="20"/>
                <w:szCs w:val="20"/>
              </w:rPr>
            </w:pPr>
            <w:r>
              <w:rPr>
                <w:rFonts w:asciiTheme="minorHAnsi" w:hAnsiTheme="minorHAnsi" w:cstheme="minorHAnsi"/>
                <w:sz w:val="20"/>
                <w:szCs w:val="20"/>
              </w:rPr>
              <w:t>Non-Residential</w:t>
            </w:r>
          </w:p>
        </w:tc>
        <w:tc>
          <w:tcPr>
            <w:tcW w:w="1214" w:type="dxa"/>
          </w:tcPr>
          <w:p w:rsidR="00FB46BF" w:rsidRDefault="00FB46BF" w:rsidP="000F130A">
            <w:pPr>
              <w:rPr>
                <w:rFonts w:asciiTheme="minorHAnsi" w:hAnsiTheme="minorHAnsi" w:cstheme="minorHAnsi"/>
                <w:sz w:val="20"/>
                <w:szCs w:val="20"/>
              </w:rPr>
            </w:pPr>
            <w:r>
              <w:rPr>
                <w:rFonts w:asciiTheme="minorHAnsi" w:hAnsiTheme="minorHAnsi" w:cstheme="minorHAnsi"/>
                <w:sz w:val="20"/>
                <w:szCs w:val="20"/>
              </w:rPr>
              <w:t>HVAC</w:t>
            </w:r>
          </w:p>
        </w:tc>
        <w:tc>
          <w:tcPr>
            <w:tcW w:w="2161" w:type="dxa"/>
          </w:tcPr>
          <w:p w:rsidR="00FB46BF" w:rsidRDefault="00FB46BF" w:rsidP="000F130A">
            <w:pPr>
              <w:rPr>
                <w:rFonts w:asciiTheme="minorHAnsi" w:hAnsiTheme="minorHAnsi" w:cstheme="minorHAnsi"/>
                <w:sz w:val="20"/>
                <w:szCs w:val="20"/>
              </w:rPr>
            </w:pPr>
            <w:r>
              <w:rPr>
                <w:rFonts w:asciiTheme="minorHAnsi" w:hAnsiTheme="minorHAnsi" w:cstheme="minorHAnsi"/>
                <w:sz w:val="20"/>
                <w:szCs w:val="20"/>
              </w:rPr>
              <w:t>Direct Evaporative Cooler</w:t>
            </w:r>
          </w:p>
        </w:tc>
        <w:tc>
          <w:tcPr>
            <w:tcW w:w="1566" w:type="dxa"/>
          </w:tcPr>
          <w:p w:rsidR="00FB46BF" w:rsidRDefault="00FB46BF" w:rsidP="000F130A">
            <w:pPr>
              <w:rPr>
                <w:rFonts w:asciiTheme="minorHAnsi" w:hAnsiTheme="minorHAnsi" w:cstheme="minorHAnsi"/>
                <w:sz w:val="20"/>
                <w:szCs w:val="20"/>
              </w:rPr>
            </w:pPr>
            <w:r>
              <w:rPr>
                <w:rFonts w:asciiTheme="minorHAnsi" w:hAnsiTheme="minorHAnsi" w:cstheme="minorHAnsi"/>
                <w:sz w:val="20"/>
                <w:szCs w:val="20"/>
              </w:rPr>
              <w:t>15</w:t>
            </w:r>
          </w:p>
        </w:tc>
        <w:tc>
          <w:tcPr>
            <w:tcW w:w="1443" w:type="dxa"/>
          </w:tcPr>
          <w:p w:rsidR="00FB46BF" w:rsidRDefault="00933459" w:rsidP="000F130A">
            <w:pPr>
              <w:rPr>
                <w:rFonts w:asciiTheme="minorHAnsi" w:hAnsiTheme="minorHAnsi" w:cstheme="minorHAnsi"/>
                <w:sz w:val="20"/>
                <w:szCs w:val="20"/>
              </w:rPr>
            </w:pPr>
            <w:r>
              <w:rPr>
                <w:rFonts w:asciiTheme="minorHAnsi" w:hAnsiTheme="minorHAnsi" w:cstheme="minorHAnsi"/>
                <w:sz w:val="20"/>
                <w:szCs w:val="20"/>
              </w:rPr>
              <w:t>5</w:t>
            </w:r>
          </w:p>
        </w:tc>
      </w:tr>
    </w:tbl>
    <w:p w:rsidR="00E16609" w:rsidRPr="00697868" w:rsidRDefault="00E16609" w:rsidP="00560934">
      <w:pPr>
        <w:pStyle w:val="Heading1"/>
        <w:keepNext w:val="0"/>
        <w:rPr>
          <w:rFonts w:asciiTheme="minorHAnsi" w:hAnsiTheme="minorHAnsi" w:cstheme="minorHAnsi"/>
        </w:rPr>
      </w:pPr>
      <w:bookmarkStart w:id="15" w:name="_Toc214003090"/>
      <w:proofErr w:type="gramStart"/>
      <w:r w:rsidRPr="00697868">
        <w:rPr>
          <w:rFonts w:asciiTheme="minorHAnsi" w:hAnsiTheme="minorHAnsi" w:cstheme="minorHAnsi"/>
        </w:rPr>
        <w:t>Section 2.</w:t>
      </w:r>
      <w:proofErr w:type="gramEnd"/>
      <w:r w:rsidRPr="00697868">
        <w:rPr>
          <w:rFonts w:asciiTheme="minorHAnsi" w:hAnsiTheme="minorHAnsi" w:cstheme="minorHAnsi"/>
        </w:rPr>
        <w:t xml:space="preserve"> Energy Savings &amp; Demand Reduction Calculations</w:t>
      </w:r>
      <w:bookmarkEnd w:id="15"/>
    </w:p>
    <w:p w:rsidR="00955AD7" w:rsidRPr="002246FA" w:rsidRDefault="00276777" w:rsidP="00EB620C">
      <w:pPr>
        <w:pStyle w:val="Reminders"/>
        <w:rPr>
          <w:rFonts w:asciiTheme="minorHAnsi" w:hAnsiTheme="minorHAnsi" w:cstheme="minorHAnsi"/>
          <w:i w:val="0"/>
          <w:color w:val="auto"/>
          <w:sz w:val="22"/>
          <w:szCs w:val="22"/>
        </w:rPr>
      </w:pPr>
      <w:r w:rsidRPr="002246FA">
        <w:rPr>
          <w:rFonts w:asciiTheme="minorHAnsi" w:hAnsiTheme="minorHAnsi" w:cstheme="minorHAnsi"/>
          <w:i w:val="0"/>
          <w:color w:val="auto"/>
          <w:sz w:val="22"/>
          <w:szCs w:val="22"/>
        </w:rPr>
        <w:t>The savings methodology varies by IOU and sector.  The methodology is described below for each.</w:t>
      </w:r>
    </w:p>
    <w:p w:rsidR="00276777" w:rsidRPr="00697868" w:rsidRDefault="00276777" w:rsidP="00EB620C">
      <w:pPr>
        <w:pStyle w:val="Reminders"/>
        <w:rPr>
          <w:rFonts w:asciiTheme="minorHAnsi" w:hAnsiTheme="minorHAnsi" w:cstheme="minorHAnsi"/>
          <w:sz w:val="22"/>
          <w:szCs w:val="22"/>
        </w:rPr>
      </w:pPr>
    </w:p>
    <w:p w:rsidR="00607948" w:rsidRDefault="00607948" w:rsidP="00607948">
      <w:pPr>
        <w:spacing w:before="40" w:after="120"/>
        <w:rPr>
          <w:rFonts w:asciiTheme="minorHAnsi" w:hAnsiTheme="minorHAnsi" w:cstheme="minorHAnsi"/>
          <w:b/>
          <w:sz w:val="22"/>
          <w:szCs w:val="22"/>
          <w:u w:val="single"/>
        </w:rPr>
      </w:pPr>
      <w:r w:rsidRPr="008A2772">
        <w:rPr>
          <w:rFonts w:asciiTheme="minorHAnsi" w:hAnsiTheme="minorHAnsi" w:cstheme="minorHAnsi"/>
          <w:b/>
          <w:sz w:val="22"/>
          <w:szCs w:val="22"/>
          <w:u w:val="single"/>
        </w:rPr>
        <w:t>Residential Sector</w:t>
      </w:r>
    </w:p>
    <w:p w:rsidR="00607948" w:rsidRDefault="00607948" w:rsidP="00607948">
      <w:pPr>
        <w:spacing w:before="40" w:after="120"/>
        <w:rPr>
          <w:rFonts w:asciiTheme="minorHAnsi" w:hAnsiTheme="minorHAnsi" w:cstheme="minorHAnsi"/>
          <w:b/>
          <w:sz w:val="22"/>
          <w:szCs w:val="22"/>
        </w:rPr>
      </w:pPr>
      <w:r>
        <w:rPr>
          <w:rFonts w:asciiTheme="minorHAnsi" w:hAnsiTheme="minorHAnsi" w:cstheme="minorHAnsi"/>
          <w:b/>
          <w:sz w:val="22"/>
          <w:szCs w:val="22"/>
        </w:rPr>
        <w:t>Southern California Edison</w:t>
      </w:r>
    </w:p>
    <w:p w:rsidR="00614418" w:rsidRDefault="00614418" w:rsidP="00614418">
      <w:pPr>
        <w:rPr>
          <w:rFonts w:asciiTheme="minorHAnsi" w:hAnsiTheme="minorHAnsi" w:cstheme="minorHAnsi"/>
          <w:sz w:val="22"/>
          <w:szCs w:val="22"/>
        </w:rPr>
      </w:pPr>
      <w:r>
        <w:rPr>
          <w:rFonts w:asciiTheme="minorHAnsi" w:hAnsiTheme="minorHAnsi" w:cstheme="minorHAnsi"/>
          <w:sz w:val="22"/>
          <w:szCs w:val="22"/>
        </w:rPr>
        <w:t>The residential SCE savings values are represented by the equations below:</w:t>
      </w:r>
    </w:p>
    <w:p w:rsidR="00614418" w:rsidRDefault="00614418" w:rsidP="00614418">
      <w:pPr>
        <w:rPr>
          <w:rFonts w:asciiTheme="minorHAnsi" w:hAnsiTheme="minorHAnsi" w:cstheme="minorHAnsi"/>
          <w:sz w:val="22"/>
          <w:szCs w:val="22"/>
        </w:rPr>
      </w:pPr>
    </w:p>
    <w:p w:rsidR="00614418" w:rsidRPr="008D0D49" w:rsidRDefault="00614418" w:rsidP="00614418">
      <w:pPr>
        <w:ind w:left="720"/>
        <w:rPr>
          <w:rFonts w:asciiTheme="minorHAnsi" w:hAnsiTheme="minorHAnsi" w:cstheme="minorHAnsi"/>
          <w:i/>
          <w:sz w:val="22"/>
          <w:szCs w:val="22"/>
        </w:rPr>
      </w:pPr>
      <w:r w:rsidRPr="00B85305">
        <w:rPr>
          <w:rFonts w:asciiTheme="minorHAnsi" w:hAnsiTheme="minorHAnsi" w:cstheme="minorHAnsi"/>
          <w:i/>
          <w:sz w:val="22"/>
          <w:szCs w:val="22"/>
        </w:rPr>
        <w:t xml:space="preserve">Annual </w:t>
      </w:r>
      <w:r>
        <w:rPr>
          <w:rFonts w:asciiTheme="minorHAnsi" w:hAnsiTheme="minorHAnsi" w:cstheme="minorHAnsi"/>
          <w:i/>
          <w:sz w:val="22"/>
          <w:szCs w:val="22"/>
        </w:rPr>
        <w:t>energy savings</w:t>
      </w:r>
      <w:r>
        <w:rPr>
          <w:rFonts w:asciiTheme="minorHAnsi" w:hAnsiTheme="minorHAnsi" w:cstheme="minorHAnsi"/>
          <w:i/>
          <w:sz w:val="22"/>
          <w:szCs w:val="22"/>
        </w:rPr>
        <w:tab/>
      </w:r>
      <w:r w:rsidRPr="00B85305">
        <w:rPr>
          <w:rFonts w:asciiTheme="minorHAnsi" w:hAnsiTheme="minorHAnsi" w:cstheme="minorHAnsi"/>
          <w:i/>
          <w:sz w:val="22"/>
          <w:szCs w:val="22"/>
        </w:rPr>
        <w:t xml:space="preserve">= </w:t>
      </w:r>
      <w:r w:rsidRPr="008D0D49">
        <w:rPr>
          <w:rFonts w:asciiTheme="minorHAnsi" w:hAnsiTheme="minorHAnsi" w:cstheme="minorHAnsi"/>
          <w:i/>
          <w:sz w:val="22"/>
          <w:szCs w:val="22"/>
        </w:rPr>
        <w:t>DEER 2014 kWh Savings * ESAF * HEAF</w:t>
      </w:r>
    </w:p>
    <w:p w:rsidR="00614418" w:rsidRPr="008D0D49" w:rsidRDefault="00614418" w:rsidP="00614418">
      <w:pPr>
        <w:ind w:left="720"/>
        <w:rPr>
          <w:rFonts w:asciiTheme="minorHAnsi" w:hAnsiTheme="minorHAnsi" w:cstheme="minorHAnsi"/>
          <w:i/>
          <w:sz w:val="22"/>
          <w:szCs w:val="22"/>
        </w:rPr>
      </w:pPr>
      <w:r w:rsidRPr="008D0D49">
        <w:rPr>
          <w:rFonts w:asciiTheme="minorHAnsi" w:hAnsiTheme="minorHAnsi" w:cstheme="minorHAnsi"/>
          <w:i/>
          <w:sz w:val="22"/>
          <w:szCs w:val="22"/>
        </w:rPr>
        <w:t>Demand reduction</w:t>
      </w:r>
      <w:r w:rsidRPr="008D0D49">
        <w:rPr>
          <w:rFonts w:asciiTheme="minorHAnsi" w:hAnsiTheme="minorHAnsi" w:cstheme="minorHAnsi"/>
          <w:i/>
          <w:sz w:val="22"/>
          <w:szCs w:val="22"/>
        </w:rPr>
        <w:tab/>
        <w:t>= DEER 2014 kW reduction * PDAF * HEAF</w:t>
      </w:r>
    </w:p>
    <w:p w:rsidR="00614418" w:rsidRDefault="00614418" w:rsidP="00614418">
      <w:pPr>
        <w:rPr>
          <w:rFonts w:asciiTheme="minorHAnsi" w:hAnsiTheme="minorHAnsi" w:cstheme="minorHAnsi"/>
          <w:sz w:val="22"/>
          <w:szCs w:val="22"/>
        </w:rPr>
      </w:pPr>
    </w:p>
    <w:p w:rsidR="00614418" w:rsidRPr="008D0D49" w:rsidRDefault="00614418" w:rsidP="00614418">
      <w:pPr>
        <w:rPr>
          <w:rFonts w:asciiTheme="minorHAnsi" w:hAnsiTheme="minorHAnsi" w:cstheme="minorHAnsi"/>
          <w:sz w:val="22"/>
          <w:szCs w:val="22"/>
        </w:rPr>
      </w:pPr>
      <w:r w:rsidRPr="008D0D49">
        <w:rPr>
          <w:rFonts w:asciiTheme="minorHAnsi" w:hAnsiTheme="minorHAnsi" w:cstheme="minorHAnsi"/>
          <w:sz w:val="22"/>
          <w:szCs w:val="22"/>
        </w:rPr>
        <w:tab/>
      </w:r>
      <w:proofErr w:type="gramStart"/>
      <w:r w:rsidRPr="008D0D49">
        <w:rPr>
          <w:rFonts w:asciiTheme="minorHAnsi" w:hAnsiTheme="minorHAnsi" w:cstheme="minorHAnsi"/>
          <w:sz w:val="22"/>
          <w:szCs w:val="22"/>
        </w:rPr>
        <w:t>where</w:t>
      </w:r>
      <w:proofErr w:type="gramEnd"/>
      <w:r w:rsidRPr="008D0D49">
        <w:rPr>
          <w:rFonts w:asciiTheme="minorHAnsi" w:hAnsiTheme="minorHAnsi" w:cstheme="minorHAnsi"/>
          <w:sz w:val="22"/>
          <w:szCs w:val="22"/>
        </w:rPr>
        <w:t>:</w:t>
      </w:r>
      <w:r w:rsidRPr="008D0D49">
        <w:rPr>
          <w:rFonts w:asciiTheme="minorHAnsi" w:hAnsiTheme="minorHAnsi" w:cstheme="minorHAnsi"/>
          <w:sz w:val="22"/>
          <w:szCs w:val="22"/>
        </w:rPr>
        <w:tab/>
      </w:r>
      <w:r w:rsidRPr="008D0D49">
        <w:rPr>
          <w:rFonts w:asciiTheme="minorHAnsi" w:hAnsiTheme="minorHAnsi" w:cstheme="minorHAnsi"/>
          <w:sz w:val="22"/>
          <w:szCs w:val="22"/>
        </w:rPr>
        <w:tab/>
      </w:r>
      <w:r w:rsidRPr="008D0D49">
        <w:rPr>
          <w:rFonts w:asciiTheme="minorHAnsi" w:hAnsiTheme="minorHAnsi" w:cstheme="minorHAnsi"/>
          <w:sz w:val="22"/>
          <w:szCs w:val="22"/>
        </w:rPr>
        <w:tab/>
        <w:t>DEER 2014 sav</w:t>
      </w:r>
      <w:r w:rsidR="00DF52E8">
        <w:rPr>
          <w:rFonts w:asciiTheme="minorHAnsi" w:hAnsiTheme="minorHAnsi" w:cstheme="minorHAnsi"/>
          <w:sz w:val="22"/>
          <w:szCs w:val="22"/>
        </w:rPr>
        <w:t xml:space="preserve">ings are from the </w:t>
      </w:r>
      <w:proofErr w:type="spellStart"/>
      <w:r w:rsidR="00DF52E8">
        <w:rPr>
          <w:rFonts w:asciiTheme="minorHAnsi" w:hAnsiTheme="minorHAnsi" w:cstheme="minorHAnsi"/>
          <w:sz w:val="22"/>
          <w:szCs w:val="22"/>
        </w:rPr>
        <w:t>READi</w:t>
      </w:r>
      <w:proofErr w:type="spellEnd"/>
      <w:r w:rsidR="00DF52E8">
        <w:rPr>
          <w:rFonts w:asciiTheme="minorHAnsi" w:hAnsiTheme="minorHAnsi" w:cstheme="minorHAnsi"/>
          <w:sz w:val="22"/>
          <w:szCs w:val="22"/>
        </w:rPr>
        <w:t xml:space="preserve"> tool v.2</w:t>
      </w:r>
      <w:r w:rsidRPr="008D0D49">
        <w:rPr>
          <w:rFonts w:asciiTheme="minorHAnsi" w:hAnsiTheme="minorHAnsi" w:cstheme="minorHAnsi"/>
          <w:sz w:val="22"/>
          <w:szCs w:val="22"/>
        </w:rPr>
        <w:t>.0.</w:t>
      </w:r>
      <w:r w:rsidR="00DF52E8">
        <w:rPr>
          <w:rFonts w:asciiTheme="minorHAnsi" w:hAnsiTheme="minorHAnsi" w:cstheme="minorHAnsi"/>
          <w:sz w:val="22"/>
          <w:szCs w:val="22"/>
        </w:rPr>
        <w:t>1</w:t>
      </w:r>
      <w:r w:rsidRPr="008D0D49">
        <w:rPr>
          <w:rFonts w:asciiTheme="minorHAnsi" w:hAnsiTheme="minorHAnsi" w:cstheme="minorHAnsi"/>
          <w:sz w:val="22"/>
          <w:szCs w:val="22"/>
        </w:rPr>
        <w:t>, measure D03-405</w:t>
      </w:r>
    </w:p>
    <w:p w:rsidR="00614418" w:rsidRDefault="00614418" w:rsidP="00614418">
      <w:pPr>
        <w:rPr>
          <w:rFonts w:asciiTheme="minorHAnsi" w:hAnsiTheme="minorHAnsi" w:cstheme="minorHAnsi"/>
          <w:sz w:val="22"/>
          <w:szCs w:val="22"/>
        </w:rPr>
      </w:pPr>
      <w:r w:rsidRPr="008D0D49">
        <w:rPr>
          <w:rFonts w:asciiTheme="minorHAnsi" w:hAnsiTheme="minorHAnsi" w:cstheme="minorHAnsi"/>
          <w:sz w:val="22"/>
          <w:szCs w:val="22"/>
        </w:rPr>
        <w:tab/>
      </w:r>
      <w:r w:rsidRPr="008D0D49">
        <w:rPr>
          <w:rFonts w:asciiTheme="minorHAnsi" w:hAnsiTheme="minorHAnsi" w:cstheme="minorHAnsi"/>
          <w:sz w:val="22"/>
          <w:szCs w:val="22"/>
        </w:rPr>
        <w:tab/>
      </w:r>
      <w:r w:rsidRPr="008D0D49">
        <w:rPr>
          <w:rFonts w:asciiTheme="minorHAnsi" w:hAnsiTheme="minorHAnsi" w:cstheme="minorHAnsi"/>
          <w:sz w:val="22"/>
          <w:szCs w:val="22"/>
        </w:rPr>
        <w:tab/>
      </w:r>
      <w:r w:rsidRPr="008D0D49">
        <w:rPr>
          <w:rFonts w:asciiTheme="minorHAnsi" w:hAnsiTheme="minorHAnsi" w:cstheme="minorHAnsi"/>
          <w:sz w:val="22"/>
          <w:szCs w:val="22"/>
        </w:rPr>
        <w:tab/>
        <w:t>ESAF is the Energy Savings Adjustment Factor</w:t>
      </w:r>
    </w:p>
    <w:p w:rsidR="00614418" w:rsidRDefault="00614418" w:rsidP="00614418">
      <w:pPr>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PDAF is the Peak Demand Adjustment Factor</w:t>
      </w:r>
    </w:p>
    <w:p w:rsidR="00614418" w:rsidRDefault="00614418" w:rsidP="00614418">
      <w:pPr>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HEAF is the Human Error Adjustment Factor</w:t>
      </w:r>
    </w:p>
    <w:p w:rsidR="00614418" w:rsidRDefault="00614418" w:rsidP="00607948">
      <w:pPr>
        <w:spacing w:before="40" w:after="120"/>
        <w:rPr>
          <w:rFonts w:asciiTheme="minorHAnsi" w:hAnsiTheme="minorHAnsi" w:cstheme="minorHAnsi"/>
          <w:b/>
          <w:sz w:val="22"/>
          <w:szCs w:val="22"/>
        </w:rPr>
      </w:pPr>
    </w:p>
    <w:p w:rsidR="007B4157" w:rsidRDefault="00D01BD9" w:rsidP="00607948">
      <w:pPr>
        <w:rPr>
          <w:rFonts w:asciiTheme="minorHAnsi" w:hAnsiTheme="minorHAnsi" w:cstheme="minorHAnsi"/>
          <w:sz w:val="22"/>
          <w:szCs w:val="22"/>
        </w:rPr>
      </w:pPr>
      <w:r>
        <w:rPr>
          <w:rFonts w:asciiTheme="minorHAnsi" w:hAnsiTheme="minorHAnsi" w:cstheme="minorHAnsi"/>
          <w:sz w:val="22"/>
          <w:szCs w:val="22"/>
        </w:rPr>
        <w:t>The annual energy and demand savings for the residential sector are based on the full DE</w:t>
      </w:r>
      <w:r w:rsidR="004B2437">
        <w:rPr>
          <w:rFonts w:asciiTheme="minorHAnsi" w:hAnsiTheme="minorHAnsi" w:cstheme="minorHAnsi"/>
          <w:sz w:val="22"/>
          <w:szCs w:val="22"/>
        </w:rPr>
        <w:t xml:space="preserve">ER measure savings from D03-405, </w:t>
      </w:r>
      <w:r w:rsidR="004B2437" w:rsidRPr="0051696C">
        <w:rPr>
          <w:rFonts w:asciiTheme="minorHAnsi" w:hAnsiTheme="minorHAnsi" w:cstheme="minorHAnsi"/>
          <w:sz w:val="22"/>
          <w:szCs w:val="22"/>
        </w:rPr>
        <w:t>t</w:t>
      </w:r>
      <w:r w:rsidR="004B2437" w:rsidRPr="004B2437">
        <w:rPr>
          <w:rFonts w:asciiTheme="minorHAnsi" w:hAnsiTheme="minorHAnsi" w:cstheme="minorHAnsi"/>
          <w:sz w:val="22"/>
          <w:szCs w:val="22"/>
        </w:rPr>
        <w:t>aken directly from the DEER 201</w:t>
      </w:r>
      <w:r w:rsidR="004B2437">
        <w:rPr>
          <w:rFonts w:asciiTheme="minorHAnsi" w:hAnsiTheme="minorHAnsi" w:cstheme="minorHAnsi"/>
          <w:sz w:val="22"/>
          <w:szCs w:val="22"/>
        </w:rPr>
        <w:t>4</w:t>
      </w:r>
      <w:r w:rsidR="004B2437" w:rsidRPr="0051696C">
        <w:rPr>
          <w:rFonts w:asciiTheme="minorHAnsi" w:hAnsiTheme="minorHAnsi" w:cstheme="minorHAnsi"/>
          <w:sz w:val="22"/>
          <w:szCs w:val="22"/>
        </w:rPr>
        <w:t xml:space="preserve"> </w:t>
      </w:r>
      <w:proofErr w:type="spellStart"/>
      <w:r w:rsidR="004B2437" w:rsidRPr="0051696C">
        <w:rPr>
          <w:rFonts w:asciiTheme="minorHAnsi" w:hAnsiTheme="minorHAnsi" w:cstheme="minorHAnsi"/>
          <w:sz w:val="22"/>
          <w:szCs w:val="22"/>
        </w:rPr>
        <w:t>READi</w:t>
      </w:r>
      <w:proofErr w:type="spellEnd"/>
      <w:r w:rsidR="004B2437" w:rsidRPr="0051696C">
        <w:rPr>
          <w:rFonts w:asciiTheme="minorHAnsi" w:hAnsiTheme="minorHAnsi" w:cstheme="minorHAnsi"/>
          <w:sz w:val="22"/>
          <w:szCs w:val="22"/>
        </w:rPr>
        <w:t xml:space="preserve"> Tool,</w:t>
      </w:r>
      <w:r w:rsidR="004B2437" w:rsidRPr="00697868">
        <w:rPr>
          <w:rFonts w:asciiTheme="minorHAnsi" w:hAnsiTheme="minorHAnsi" w:cstheme="minorHAnsi"/>
          <w:i/>
          <w:sz w:val="22"/>
          <w:szCs w:val="22"/>
        </w:rPr>
        <w:t xml:space="preserve"> </w:t>
      </w:r>
      <w:r>
        <w:rPr>
          <w:rFonts w:asciiTheme="minorHAnsi" w:hAnsiTheme="minorHAnsi" w:cstheme="minorHAnsi"/>
          <w:sz w:val="22"/>
          <w:szCs w:val="22"/>
        </w:rPr>
        <w:t xml:space="preserve">multiplied by the appropriate adjustment factor to account for the air conditioning system runtime during the year </w:t>
      </w:r>
      <w:r w:rsidR="004B3785">
        <w:rPr>
          <w:rFonts w:asciiTheme="minorHAnsi" w:hAnsiTheme="minorHAnsi" w:cstheme="minorHAnsi"/>
          <w:sz w:val="22"/>
          <w:szCs w:val="22"/>
        </w:rPr>
        <w:t>(see embedded E</w:t>
      </w:r>
      <w:r w:rsidRPr="007E4390">
        <w:rPr>
          <w:rFonts w:asciiTheme="minorHAnsi" w:hAnsiTheme="minorHAnsi" w:cstheme="minorHAnsi"/>
          <w:sz w:val="22"/>
          <w:szCs w:val="22"/>
        </w:rPr>
        <w:t xml:space="preserve">xcel </w:t>
      </w:r>
      <w:r w:rsidRPr="00CE4008">
        <w:rPr>
          <w:rFonts w:asciiTheme="minorHAnsi" w:hAnsiTheme="minorHAnsi" w:cstheme="minorHAnsi"/>
          <w:sz w:val="22"/>
          <w:szCs w:val="22"/>
        </w:rPr>
        <w:t>workbook titled “</w:t>
      </w:r>
      <w:r w:rsidR="005A3857" w:rsidRPr="005A3857">
        <w:rPr>
          <w:rFonts w:asciiTheme="minorHAnsi" w:hAnsiTheme="minorHAnsi" w:cstheme="minorHAnsi"/>
          <w:sz w:val="22"/>
          <w:szCs w:val="22"/>
        </w:rPr>
        <w:t xml:space="preserve">SCE15HC0130_Res_Rev </w:t>
      </w:r>
      <w:r w:rsidR="00566B9E">
        <w:rPr>
          <w:rFonts w:asciiTheme="minorHAnsi" w:hAnsiTheme="minorHAnsi" w:cstheme="minorHAnsi"/>
          <w:sz w:val="22"/>
          <w:szCs w:val="22"/>
        </w:rPr>
        <w:t>4</w:t>
      </w:r>
      <w:r w:rsidRPr="0051696C">
        <w:rPr>
          <w:rFonts w:asciiTheme="minorHAnsi" w:hAnsiTheme="minorHAnsi" w:cstheme="minorHAnsi"/>
          <w:sz w:val="22"/>
          <w:szCs w:val="22"/>
        </w:rPr>
        <w:t>.xlsx”</w:t>
      </w:r>
      <w:r w:rsidR="00E336E3">
        <w:rPr>
          <w:rFonts w:asciiTheme="minorHAnsi" w:hAnsiTheme="minorHAnsi" w:cstheme="minorHAnsi"/>
          <w:sz w:val="22"/>
          <w:szCs w:val="22"/>
        </w:rPr>
        <w:t>)</w:t>
      </w:r>
      <w:r w:rsidRPr="006A26E0">
        <w:rPr>
          <w:rFonts w:asciiTheme="minorHAnsi" w:hAnsiTheme="minorHAnsi" w:cstheme="minorHAnsi"/>
          <w:sz w:val="22"/>
          <w:szCs w:val="22"/>
        </w:rPr>
        <w:t xml:space="preserve">. </w:t>
      </w:r>
      <w:r w:rsidR="00DC45E4" w:rsidRPr="0051696C">
        <w:rPr>
          <w:rFonts w:asciiTheme="minorHAnsi" w:hAnsiTheme="minorHAnsi" w:cstheme="minorHAnsi"/>
          <w:sz w:val="22"/>
          <w:szCs w:val="22"/>
        </w:rPr>
        <w:t>Where dampers are installed</w:t>
      </w:r>
      <w:r w:rsidR="005602F5">
        <w:rPr>
          <w:rFonts w:asciiTheme="minorHAnsi" w:hAnsiTheme="minorHAnsi" w:cstheme="minorHAnsi"/>
          <w:sz w:val="22"/>
          <w:szCs w:val="22"/>
        </w:rPr>
        <w:t>,</w:t>
      </w:r>
      <w:r w:rsidR="00DC45E4" w:rsidRPr="0051696C">
        <w:rPr>
          <w:rFonts w:asciiTheme="minorHAnsi" w:hAnsiTheme="minorHAnsi" w:cstheme="minorHAnsi"/>
          <w:sz w:val="22"/>
          <w:szCs w:val="22"/>
        </w:rPr>
        <w:t xml:space="preserve"> 38 kWh per home </w:t>
      </w:r>
      <w:r w:rsidR="00EF327F">
        <w:rPr>
          <w:rFonts w:asciiTheme="minorHAnsi" w:hAnsiTheme="minorHAnsi" w:cstheme="minorHAnsi"/>
          <w:sz w:val="22"/>
          <w:szCs w:val="22"/>
        </w:rPr>
        <w:t>i</w:t>
      </w:r>
      <w:r w:rsidR="00DC45E4" w:rsidRPr="0051696C">
        <w:rPr>
          <w:rFonts w:asciiTheme="minorHAnsi" w:hAnsiTheme="minorHAnsi" w:cstheme="minorHAnsi"/>
          <w:sz w:val="22"/>
          <w:szCs w:val="22"/>
        </w:rPr>
        <w:t>s added</w:t>
      </w:r>
      <w:r w:rsidR="00614418">
        <w:rPr>
          <w:rFonts w:asciiTheme="minorHAnsi" w:hAnsiTheme="minorHAnsi" w:cstheme="minorHAnsi"/>
          <w:sz w:val="22"/>
          <w:szCs w:val="22"/>
        </w:rPr>
        <w:t xml:space="preserve"> (see embedded Excel workbook titled “</w:t>
      </w:r>
      <w:r w:rsidR="00614418" w:rsidRPr="00614418">
        <w:rPr>
          <w:rFonts w:asciiTheme="minorHAnsi" w:hAnsiTheme="minorHAnsi" w:cstheme="minorHAnsi"/>
          <w:sz w:val="22"/>
          <w:szCs w:val="22"/>
        </w:rPr>
        <w:t>Calculation Template 2015 v</w:t>
      </w:r>
      <w:r w:rsidR="00D323C3">
        <w:rPr>
          <w:rFonts w:asciiTheme="minorHAnsi" w:hAnsiTheme="minorHAnsi" w:cstheme="minorHAnsi"/>
          <w:sz w:val="22"/>
          <w:szCs w:val="22"/>
        </w:rPr>
        <w:t>6</w:t>
      </w:r>
      <w:r w:rsidR="0042334D">
        <w:rPr>
          <w:rFonts w:asciiTheme="minorHAnsi" w:hAnsiTheme="minorHAnsi" w:cstheme="minorHAnsi"/>
          <w:sz w:val="22"/>
          <w:szCs w:val="22"/>
        </w:rPr>
        <w:t>”, worksheet “</w:t>
      </w:r>
      <w:r w:rsidR="0042334D" w:rsidRPr="0042334D">
        <w:rPr>
          <w:rFonts w:asciiTheme="minorHAnsi" w:hAnsiTheme="minorHAnsi" w:cstheme="minorHAnsi"/>
          <w:sz w:val="22"/>
          <w:szCs w:val="22"/>
        </w:rPr>
        <w:t>Impact Matrix</w:t>
      </w:r>
      <w:r w:rsidR="0042334D">
        <w:rPr>
          <w:rFonts w:asciiTheme="minorHAnsi" w:hAnsiTheme="minorHAnsi" w:cstheme="minorHAnsi"/>
          <w:sz w:val="22"/>
          <w:szCs w:val="22"/>
        </w:rPr>
        <w:t>”, column BE</w:t>
      </w:r>
      <w:r w:rsidR="00614418">
        <w:rPr>
          <w:rFonts w:asciiTheme="minorHAnsi" w:hAnsiTheme="minorHAnsi" w:cstheme="minorHAnsi"/>
          <w:sz w:val="22"/>
          <w:szCs w:val="22"/>
        </w:rPr>
        <w:t>)</w:t>
      </w:r>
      <w:r w:rsidR="00DC45E4" w:rsidRPr="0051696C">
        <w:rPr>
          <w:rFonts w:asciiTheme="minorHAnsi" w:hAnsiTheme="minorHAnsi" w:cstheme="minorHAnsi"/>
          <w:sz w:val="22"/>
          <w:szCs w:val="22"/>
        </w:rPr>
        <w:t>.  This value was derived from the 2004-2005 incentive program direct evaporative cooler savings values</w:t>
      </w:r>
      <w:r w:rsidR="00557E39">
        <w:rPr>
          <w:rFonts w:asciiTheme="minorHAnsi" w:hAnsiTheme="minorHAnsi" w:cstheme="minorHAnsi"/>
          <w:sz w:val="22"/>
          <w:szCs w:val="22"/>
        </w:rPr>
        <w:t xml:space="preserve">, as given in </w:t>
      </w:r>
      <w:proofErr w:type="spellStart"/>
      <w:r w:rsidR="00557E39">
        <w:rPr>
          <w:rFonts w:asciiTheme="minorHAnsi" w:hAnsiTheme="minorHAnsi" w:cstheme="minorHAnsi"/>
          <w:sz w:val="22"/>
          <w:szCs w:val="22"/>
        </w:rPr>
        <w:t>workpaper</w:t>
      </w:r>
      <w:proofErr w:type="spellEnd"/>
      <w:r w:rsidR="00557E39">
        <w:rPr>
          <w:rFonts w:asciiTheme="minorHAnsi" w:hAnsiTheme="minorHAnsi" w:cstheme="minorHAnsi"/>
          <w:sz w:val="22"/>
          <w:szCs w:val="22"/>
        </w:rPr>
        <w:t xml:space="preserve"> SCE13HC013</w:t>
      </w:r>
      <w:r w:rsidR="003134AE">
        <w:rPr>
          <w:rFonts w:asciiTheme="minorHAnsi" w:hAnsiTheme="minorHAnsi" w:cstheme="minorHAnsi"/>
          <w:sz w:val="22"/>
          <w:szCs w:val="22"/>
        </w:rPr>
        <w:t>.0</w:t>
      </w:r>
      <w:r w:rsidR="00DC45E4" w:rsidRPr="0051696C">
        <w:rPr>
          <w:rFonts w:asciiTheme="minorHAnsi" w:hAnsiTheme="minorHAnsi" w:cstheme="minorHAnsi"/>
          <w:sz w:val="22"/>
          <w:szCs w:val="22"/>
        </w:rPr>
        <w:t>.</w:t>
      </w:r>
      <w:r w:rsidR="00DC45E4">
        <w:rPr>
          <w:rFonts w:asciiTheme="minorHAnsi" w:hAnsiTheme="minorHAnsi" w:cstheme="minorHAnsi"/>
          <w:sz w:val="22"/>
          <w:szCs w:val="22"/>
        </w:rPr>
        <w:t xml:space="preserve">  </w:t>
      </w:r>
      <w:r w:rsidR="00DC45E4" w:rsidRPr="006A26E0">
        <w:rPr>
          <w:rFonts w:asciiTheme="minorHAnsi" w:hAnsiTheme="minorHAnsi" w:cstheme="minorHAnsi"/>
          <w:sz w:val="22"/>
          <w:szCs w:val="22"/>
        </w:rPr>
        <w:t xml:space="preserve"> </w:t>
      </w:r>
      <w:r w:rsidR="007B4157">
        <w:rPr>
          <w:rFonts w:asciiTheme="minorHAnsi" w:hAnsiTheme="minorHAnsi" w:cstheme="minorHAnsi"/>
          <w:sz w:val="22"/>
          <w:szCs w:val="22"/>
        </w:rPr>
        <w:t xml:space="preserve"> </w:t>
      </w:r>
    </w:p>
    <w:p w:rsidR="007B4157" w:rsidRDefault="007B4157" w:rsidP="00607948">
      <w:pPr>
        <w:rPr>
          <w:rFonts w:asciiTheme="minorHAnsi" w:hAnsiTheme="minorHAnsi" w:cstheme="minorHAnsi"/>
          <w:sz w:val="22"/>
          <w:szCs w:val="22"/>
        </w:rPr>
      </w:pPr>
    </w:p>
    <w:p w:rsidR="00276777" w:rsidRDefault="00D01BD9" w:rsidP="0051696C">
      <w:pPr>
        <w:rPr>
          <w:rFonts w:asciiTheme="minorHAnsi" w:hAnsiTheme="minorHAnsi" w:cstheme="minorHAnsi"/>
          <w:sz w:val="22"/>
          <w:szCs w:val="22"/>
        </w:rPr>
      </w:pPr>
      <w:r>
        <w:rPr>
          <w:rFonts w:asciiTheme="minorHAnsi" w:hAnsiTheme="minorHAnsi" w:cstheme="minorHAnsi"/>
          <w:sz w:val="22"/>
          <w:szCs w:val="22"/>
        </w:rPr>
        <w:t>There are t</w:t>
      </w:r>
      <w:r w:rsidR="00614418">
        <w:rPr>
          <w:rFonts w:asciiTheme="minorHAnsi" w:hAnsiTheme="minorHAnsi" w:cstheme="minorHAnsi"/>
          <w:sz w:val="22"/>
          <w:szCs w:val="22"/>
        </w:rPr>
        <w:t>hree</w:t>
      </w:r>
      <w:r>
        <w:rPr>
          <w:rFonts w:asciiTheme="minorHAnsi" w:hAnsiTheme="minorHAnsi" w:cstheme="minorHAnsi"/>
          <w:sz w:val="22"/>
          <w:szCs w:val="22"/>
        </w:rPr>
        <w:t xml:space="preserve"> adjustment factors: The </w:t>
      </w:r>
      <w:r w:rsidR="00EA4753">
        <w:rPr>
          <w:rFonts w:asciiTheme="minorHAnsi" w:hAnsiTheme="minorHAnsi" w:cstheme="minorHAnsi"/>
          <w:sz w:val="22"/>
          <w:szCs w:val="22"/>
        </w:rPr>
        <w:t>e</w:t>
      </w:r>
      <w:r>
        <w:rPr>
          <w:rFonts w:asciiTheme="minorHAnsi" w:hAnsiTheme="minorHAnsi" w:cstheme="minorHAnsi"/>
          <w:sz w:val="22"/>
          <w:szCs w:val="22"/>
        </w:rPr>
        <w:t xml:space="preserve">nergy savings adjustment factor (ESAF) which is multiplied by the annual energy savings (DEER field: </w:t>
      </w:r>
      <w:proofErr w:type="spellStart"/>
      <w:r w:rsidR="00DD017E">
        <w:rPr>
          <w:rFonts w:asciiTheme="minorHAnsi" w:hAnsiTheme="minorHAnsi" w:cstheme="minorHAnsi"/>
          <w:sz w:val="22"/>
          <w:szCs w:val="22"/>
        </w:rPr>
        <w:t>ACustWBkWh</w:t>
      </w:r>
      <w:proofErr w:type="spellEnd"/>
      <w:r>
        <w:rPr>
          <w:rFonts w:asciiTheme="minorHAnsi" w:hAnsiTheme="minorHAnsi" w:cstheme="minorHAnsi"/>
          <w:sz w:val="22"/>
          <w:szCs w:val="22"/>
        </w:rPr>
        <w:t>)</w:t>
      </w:r>
      <w:r w:rsidR="00614418">
        <w:rPr>
          <w:rFonts w:asciiTheme="minorHAnsi" w:hAnsiTheme="minorHAnsi" w:cstheme="minorHAnsi"/>
          <w:sz w:val="22"/>
          <w:szCs w:val="22"/>
        </w:rPr>
        <w:t>,</w:t>
      </w:r>
      <w:r>
        <w:rPr>
          <w:rFonts w:asciiTheme="minorHAnsi" w:hAnsiTheme="minorHAnsi" w:cstheme="minorHAnsi"/>
          <w:sz w:val="22"/>
          <w:szCs w:val="22"/>
        </w:rPr>
        <w:t xml:space="preserve"> the </w:t>
      </w:r>
      <w:r w:rsidR="00EA4753">
        <w:rPr>
          <w:rFonts w:asciiTheme="minorHAnsi" w:hAnsiTheme="minorHAnsi" w:cstheme="minorHAnsi"/>
          <w:sz w:val="22"/>
          <w:szCs w:val="22"/>
        </w:rPr>
        <w:t>p</w:t>
      </w:r>
      <w:r>
        <w:rPr>
          <w:rFonts w:asciiTheme="minorHAnsi" w:hAnsiTheme="minorHAnsi" w:cstheme="minorHAnsi"/>
          <w:sz w:val="22"/>
          <w:szCs w:val="22"/>
        </w:rPr>
        <w:t xml:space="preserve">eak </w:t>
      </w:r>
      <w:r w:rsidR="00EA4753">
        <w:rPr>
          <w:rFonts w:asciiTheme="minorHAnsi" w:hAnsiTheme="minorHAnsi" w:cstheme="minorHAnsi"/>
          <w:sz w:val="22"/>
          <w:szCs w:val="22"/>
        </w:rPr>
        <w:t>d</w:t>
      </w:r>
      <w:r>
        <w:rPr>
          <w:rFonts w:asciiTheme="minorHAnsi" w:hAnsiTheme="minorHAnsi" w:cstheme="minorHAnsi"/>
          <w:sz w:val="22"/>
          <w:szCs w:val="22"/>
        </w:rPr>
        <w:t xml:space="preserve">emand </w:t>
      </w:r>
      <w:r w:rsidR="00EA4753">
        <w:rPr>
          <w:rFonts w:asciiTheme="minorHAnsi" w:hAnsiTheme="minorHAnsi" w:cstheme="minorHAnsi"/>
          <w:sz w:val="22"/>
          <w:szCs w:val="22"/>
        </w:rPr>
        <w:t>a</w:t>
      </w:r>
      <w:r>
        <w:rPr>
          <w:rFonts w:asciiTheme="minorHAnsi" w:hAnsiTheme="minorHAnsi" w:cstheme="minorHAnsi"/>
          <w:sz w:val="22"/>
          <w:szCs w:val="22"/>
        </w:rPr>
        <w:t xml:space="preserve">djustment </w:t>
      </w:r>
      <w:r w:rsidR="00EA4753">
        <w:rPr>
          <w:rFonts w:asciiTheme="minorHAnsi" w:hAnsiTheme="minorHAnsi" w:cstheme="minorHAnsi"/>
          <w:sz w:val="22"/>
          <w:szCs w:val="22"/>
        </w:rPr>
        <w:t>f</w:t>
      </w:r>
      <w:r>
        <w:rPr>
          <w:rFonts w:asciiTheme="minorHAnsi" w:hAnsiTheme="minorHAnsi" w:cstheme="minorHAnsi"/>
          <w:sz w:val="22"/>
          <w:szCs w:val="22"/>
        </w:rPr>
        <w:t xml:space="preserve">actor </w:t>
      </w:r>
      <w:r w:rsidR="00EF327F">
        <w:rPr>
          <w:rFonts w:asciiTheme="minorHAnsi" w:hAnsiTheme="minorHAnsi" w:cstheme="minorHAnsi"/>
          <w:sz w:val="22"/>
          <w:szCs w:val="22"/>
        </w:rPr>
        <w:t xml:space="preserve">(PDAF) </w:t>
      </w:r>
      <w:r>
        <w:rPr>
          <w:rFonts w:asciiTheme="minorHAnsi" w:hAnsiTheme="minorHAnsi" w:cstheme="minorHAnsi"/>
          <w:sz w:val="22"/>
          <w:szCs w:val="22"/>
        </w:rPr>
        <w:t xml:space="preserve">which is multiplied by the demand reduction (DEER field: </w:t>
      </w:r>
      <w:proofErr w:type="spellStart"/>
      <w:r w:rsidR="00DD017E">
        <w:rPr>
          <w:rFonts w:asciiTheme="minorHAnsi" w:hAnsiTheme="minorHAnsi" w:cstheme="minorHAnsi"/>
          <w:sz w:val="22"/>
          <w:szCs w:val="22"/>
        </w:rPr>
        <w:t>ACustWBkW</w:t>
      </w:r>
      <w:proofErr w:type="spellEnd"/>
      <w:r>
        <w:rPr>
          <w:rFonts w:asciiTheme="minorHAnsi" w:hAnsiTheme="minorHAnsi" w:cstheme="minorHAnsi"/>
          <w:sz w:val="22"/>
          <w:szCs w:val="22"/>
        </w:rPr>
        <w:t>)</w:t>
      </w:r>
      <w:r w:rsidR="00614418">
        <w:rPr>
          <w:rFonts w:asciiTheme="minorHAnsi" w:hAnsiTheme="minorHAnsi" w:cstheme="minorHAnsi"/>
          <w:sz w:val="22"/>
          <w:szCs w:val="22"/>
        </w:rPr>
        <w:t xml:space="preserve"> and the human error adjustment factor (HEAF) which is multiplied by both the annual energy savings and the demand reduction</w:t>
      </w:r>
      <w:r>
        <w:rPr>
          <w:rFonts w:asciiTheme="minorHAnsi" w:hAnsiTheme="minorHAnsi" w:cstheme="minorHAnsi"/>
          <w:sz w:val="22"/>
          <w:szCs w:val="22"/>
        </w:rPr>
        <w:t xml:space="preserve">.  </w:t>
      </w:r>
    </w:p>
    <w:p w:rsidR="00E332DA" w:rsidRDefault="00E332DA" w:rsidP="0051696C">
      <w:pPr>
        <w:rPr>
          <w:rFonts w:asciiTheme="minorHAnsi" w:hAnsiTheme="minorHAnsi" w:cstheme="minorHAnsi"/>
          <w:sz w:val="22"/>
          <w:szCs w:val="22"/>
        </w:rPr>
      </w:pPr>
    </w:p>
    <w:p w:rsidR="00276777" w:rsidRPr="002200EB" w:rsidRDefault="00276777" w:rsidP="00276777">
      <w:pPr>
        <w:rPr>
          <w:rFonts w:asciiTheme="minorHAnsi" w:hAnsiTheme="minorHAnsi" w:cstheme="minorHAnsi"/>
          <w:b/>
          <w:sz w:val="22"/>
          <w:szCs w:val="22"/>
        </w:rPr>
      </w:pPr>
      <w:r>
        <w:rPr>
          <w:rFonts w:asciiTheme="minorHAnsi" w:hAnsiTheme="minorHAnsi" w:cstheme="minorHAnsi"/>
          <w:b/>
          <w:sz w:val="22"/>
          <w:szCs w:val="22"/>
        </w:rPr>
        <w:t>Human Error Adjustment Factor (HEAF)</w:t>
      </w:r>
    </w:p>
    <w:p w:rsidR="00276777" w:rsidRDefault="00276777" w:rsidP="00276777">
      <w:pPr>
        <w:rPr>
          <w:rFonts w:asciiTheme="minorHAnsi" w:hAnsiTheme="minorHAnsi" w:cstheme="minorHAnsi"/>
          <w:sz w:val="22"/>
          <w:szCs w:val="22"/>
        </w:rPr>
      </w:pPr>
      <w:r>
        <w:rPr>
          <w:rFonts w:asciiTheme="minorHAnsi" w:hAnsiTheme="minorHAnsi" w:cstheme="minorHAnsi"/>
          <w:sz w:val="22"/>
          <w:szCs w:val="22"/>
        </w:rPr>
        <w:t>This measure requires that only one mechanical system at a time can operate, and this will be made clear to the customer. However, the customer may forget to do so and end up operating both DX and evaporative systems simultaneously. Therefore, a human error adjustment factor is required to de-rate savings. As there have been no studies performed to measure this particular factor, the HEAF will be arbitrarily set at 75% until a study yields a more conclusive value. This implies that up to 25% of the savings will be lost due to non-ideal operation of the evaporative cooler and DX system.</w:t>
      </w:r>
    </w:p>
    <w:p w:rsidR="00E332DA" w:rsidRDefault="00E332DA" w:rsidP="00276777">
      <w:pPr>
        <w:rPr>
          <w:rFonts w:asciiTheme="minorHAnsi" w:hAnsiTheme="minorHAnsi" w:cstheme="minorHAnsi"/>
          <w:sz w:val="22"/>
          <w:szCs w:val="22"/>
        </w:rPr>
      </w:pPr>
    </w:p>
    <w:p w:rsidR="00276777" w:rsidRPr="002246FA" w:rsidRDefault="00276777" w:rsidP="0051696C">
      <w:pPr>
        <w:rPr>
          <w:rFonts w:asciiTheme="minorHAnsi" w:hAnsiTheme="minorHAnsi" w:cstheme="minorHAnsi"/>
          <w:b/>
          <w:sz w:val="22"/>
          <w:szCs w:val="22"/>
        </w:rPr>
      </w:pPr>
      <w:r w:rsidRPr="002246FA">
        <w:rPr>
          <w:rFonts w:asciiTheme="minorHAnsi" w:hAnsiTheme="minorHAnsi" w:cstheme="minorHAnsi"/>
          <w:b/>
          <w:sz w:val="22"/>
          <w:szCs w:val="22"/>
        </w:rPr>
        <w:t>Energy Savings and Peak Demand Adjustment Factors (ESAF &amp; PDAF)</w:t>
      </w:r>
    </w:p>
    <w:p w:rsidR="00E00407" w:rsidRPr="00612364" w:rsidRDefault="00607948" w:rsidP="0051696C">
      <w:pPr>
        <w:rPr>
          <w:rFonts w:asciiTheme="minorHAnsi" w:hAnsiTheme="minorHAnsi" w:cstheme="minorHAnsi"/>
          <w:sz w:val="22"/>
          <w:szCs w:val="22"/>
        </w:rPr>
      </w:pPr>
      <w:r w:rsidRPr="007E4390">
        <w:rPr>
          <w:rFonts w:asciiTheme="minorHAnsi" w:hAnsiTheme="minorHAnsi" w:cstheme="minorHAnsi"/>
          <w:sz w:val="22"/>
          <w:szCs w:val="22"/>
        </w:rPr>
        <w:lastRenderedPageBreak/>
        <w:t xml:space="preserve">The </w:t>
      </w:r>
      <w:r>
        <w:rPr>
          <w:rFonts w:asciiTheme="minorHAnsi" w:hAnsiTheme="minorHAnsi" w:cstheme="minorHAnsi"/>
          <w:sz w:val="22"/>
          <w:szCs w:val="22"/>
        </w:rPr>
        <w:t>ESAF</w:t>
      </w:r>
      <w:r w:rsidRPr="007E4390">
        <w:rPr>
          <w:rFonts w:asciiTheme="minorHAnsi" w:hAnsiTheme="minorHAnsi" w:cstheme="minorHAnsi"/>
          <w:sz w:val="22"/>
          <w:szCs w:val="22"/>
        </w:rPr>
        <w:t xml:space="preserve"> </w:t>
      </w:r>
      <w:r w:rsidR="00FB1D4A">
        <w:rPr>
          <w:rFonts w:asciiTheme="minorHAnsi" w:hAnsiTheme="minorHAnsi" w:cstheme="minorHAnsi"/>
          <w:sz w:val="22"/>
          <w:szCs w:val="22"/>
        </w:rPr>
        <w:t xml:space="preserve">and PDAF </w:t>
      </w:r>
      <w:r w:rsidRPr="007E4390">
        <w:rPr>
          <w:rFonts w:asciiTheme="minorHAnsi" w:hAnsiTheme="minorHAnsi" w:cstheme="minorHAnsi"/>
          <w:sz w:val="22"/>
          <w:szCs w:val="22"/>
        </w:rPr>
        <w:t xml:space="preserve">varies by climate zone and was estimated using hourly dry bulb, wet bulb, </w:t>
      </w:r>
      <w:r w:rsidR="00FB1D4A">
        <w:rPr>
          <w:rFonts w:asciiTheme="minorHAnsi" w:hAnsiTheme="minorHAnsi" w:cstheme="minorHAnsi"/>
          <w:sz w:val="22"/>
          <w:szCs w:val="22"/>
        </w:rPr>
        <w:t xml:space="preserve">humidity ratio, and </w:t>
      </w:r>
      <w:r w:rsidR="00625B5F">
        <w:rPr>
          <w:rFonts w:asciiTheme="minorHAnsi" w:hAnsiTheme="minorHAnsi" w:cstheme="minorHAnsi"/>
          <w:sz w:val="22"/>
          <w:szCs w:val="22"/>
        </w:rPr>
        <w:t xml:space="preserve">atmospheric </w:t>
      </w:r>
      <w:r w:rsidR="00FB1D4A">
        <w:rPr>
          <w:rFonts w:asciiTheme="minorHAnsi" w:hAnsiTheme="minorHAnsi" w:cstheme="minorHAnsi"/>
          <w:sz w:val="22"/>
          <w:szCs w:val="22"/>
        </w:rPr>
        <w:t xml:space="preserve">pressure </w:t>
      </w:r>
      <w:r w:rsidRPr="007E4390">
        <w:rPr>
          <w:rFonts w:asciiTheme="minorHAnsi" w:hAnsiTheme="minorHAnsi" w:cstheme="minorHAnsi"/>
          <w:sz w:val="22"/>
          <w:szCs w:val="22"/>
        </w:rPr>
        <w:t xml:space="preserve">from </w:t>
      </w:r>
      <w:r w:rsidR="00625B5F">
        <w:rPr>
          <w:rFonts w:asciiTheme="minorHAnsi" w:hAnsiTheme="minorHAnsi" w:cstheme="minorHAnsi"/>
          <w:sz w:val="22"/>
          <w:szCs w:val="22"/>
        </w:rPr>
        <w:t>the</w:t>
      </w:r>
      <w:r w:rsidR="00FB1D4A">
        <w:rPr>
          <w:rFonts w:asciiTheme="minorHAnsi" w:hAnsiTheme="minorHAnsi" w:cstheme="minorHAnsi"/>
          <w:sz w:val="22"/>
          <w:szCs w:val="22"/>
        </w:rPr>
        <w:t xml:space="preserve"> DEER2014 supporting </w:t>
      </w:r>
      <w:r w:rsidR="00625B5F">
        <w:rPr>
          <w:rFonts w:asciiTheme="minorHAnsi" w:hAnsiTheme="minorHAnsi" w:cstheme="minorHAnsi"/>
          <w:sz w:val="22"/>
          <w:szCs w:val="22"/>
        </w:rPr>
        <w:t>E</w:t>
      </w:r>
      <w:r w:rsidR="00FB1D4A">
        <w:rPr>
          <w:rFonts w:asciiTheme="minorHAnsi" w:hAnsiTheme="minorHAnsi" w:cstheme="minorHAnsi"/>
          <w:sz w:val="22"/>
          <w:szCs w:val="22"/>
        </w:rPr>
        <w:t xml:space="preserve">xcel workbook </w:t>
      </w:r>
      <w:r w:rsidR="00FB1D4A" w:rsidRPr="005F5F02">
        <w:rPr>
          <w:rFonts w:asciiTheme="minorHAnsi" w:hAnsiTheme="minorHAnsi" w:cstheme="minorHAnsi"/>
          <w:sz w:val="22"/>
          <w:szCs w:val="22"/>
        </w:rPr>
        <w:t>CompareWeatherData-v4</w:t>
      </w:r>
      <w:r w:rsidR="00FB1D4A">
        <w:rPr>
          <w:rFonts w:asciiTheme="minorHAnsi" w:hAnsiTheme="minorHAnsi" w:cstheme="minorHAnsi"/>
          <w:sz w:val="22"/>
          <w:szCs w:val="22"/>
        </w:rPr>
        <w:t xml:space="preserve">.xls. </w:t>
      </w:r>
      <w:r w:rsidRPr="00C51BB6">
        <w:rPr>
          <w:rFonts w:asciiTheme="minorHAnsi" w:hAnsiTheme="minorHAnsi" w:cstheme="minorHAnsi"/>
          <w:sz w:val="22"/>
          <w:szCs w:val="22"/>
        </w:rPr>
        <w:t xml:space="preserve">The </w:t>
      </w:r>
      <w:r w:rsidR="007B4157" w:rsidRPr="00C51BB6">
        <w:rPr>
          <w:rFonts w:asciiTheme="minorHAnsi" w:hAnsiTheme="minorHAnsi" w:cstheme="minorHAnsi"/>
          <w:sz w:val="22"/>
          <w:szCs w:val="22"/>
        </w:rPr>
        <w:t xml:space="preserve">workbook </w:t>
      </w:r>
      <w:r w:rsidR="003565B2" w:rsidRPr="00C51BB6">
        <w:rPr>
          <w:rFonts w:asciiTheme="minorHAnsi" w:hAnsiTheme="minorHAnsi" w:cstheme="minorHAnsi"/>
          <w:sz w:val="22"/>
          <w:szCs w:val="22"/>
        </w:rPr>
        <w:t>‘</w:t>
      </w:r>
      <w:r w:rsidR="00AA0650" w:rsidRPr="00C51BB6">
        <w:rPr>
          <w:rFonts w:asciiTheme="minorHAnsi" w:hAnsiTheme="minorHAnsi" w:cstheme="minorHAnsi"/>
          <w:sz w:val="22"/>
          <w:szCs w:val="22"/>
        </w:rPr>
        <w:t xml:space="preserve">Weather Data - ESAF and PDAF - REV </w:t>
      </w:r>
      <w:r w:rsidR="00D323C3" w:rsidRPr="00C51BB6">
        <w:rPr>
          <w:rFonts w:asciiTheme="minorHAnsi" w:hAnsiTheme="minorHAnsi" w:cstheme="minorHAnsi"/>
          <w:sz w:val="22"/>
          <w:szCs w:val="22"/>
        </w:rPr>
        <w:t>3</w:t>
      </w:r>
      <w:r w:rsidR="00AA0650" w:rsidRPr="00C51BB6">
        <w:rPr>
          <w:rFonts w:asciiTheme="minorHAnsi" w:hAnsiTheme="minorHAnsi" w:cstheme="minorHAnsi"/>
          <w:sz w:val="22"/>
          <w:szCs w:val="22"/>
        </w:rPr>
        <w:t>.xlsx</w:t>
      </w:r>
      <w:r w:rsidR="003565B2" w:rsidRPr="00C51BB6">
        <w:rPr>
          <w:rFonts w:asciiTheme="minorHAnsi" w:hAnsiTheme="minorHAnsi" w:cstheme="minorHAnsi"/>
          <w:sz w:val="22"/>
          <w:szCs w:val="22"/>
        </w:rPr>
        <w:t>’</w:t>
      </w:r>
      <w:r w:rsidR="00AA0650" w:rsidRPr="00C51BB6">
        <w:rPr>
          <w:rFonts w:asciiTheme="minorHAnsi" w:hAnsiTheme="minorHAnsi" w:cstheme="minorHAnsi"/>
          <w:sz w:val="22"/>
          <w:szCs w:val="22"/>
        </w:rPr>
        <w:t xml:space="preserve"> contains the </w:t>
      </w:r>
      <w:r w:rsidRPr="00C51BB6">
        <w:rPr>
          <w:rFonts w:asciiTheme="minorHAnsi" w:hAnsiTheme="minorHAnsi" w:cstheme="minorHAnsi"/>
          <w:sz w:val="22"/>
          <w:szCs w:val="22"/>
        </w:rPr>
        <w:t>estimation of the</w:t>
      </w:r>
      <w:r w:rsidR="00625B5F" w:rsidRPr="00C51BB6">
        <w:rPr>
          <w:rFonts w:asciiTheme="minorHAnsi" w:hAnsiTheme="minorHAnsi" w:cstheme="minorHAnsi"/>
          <w:sz w:val="22"/>
          <w:szCs w:val="22"/>
        </w:rPr>
        <w:t>se values</w:t>
      </w:r>
      <w:r w:rsidR="00AA0650" w:rsidRPr="00C51BB6">
        <w:rPr>
          <w:rFonts w:asciiTheme="minorHAnsi" w:hAnsiTheme="minorHAnsi" w:cstheme="minorHAnsi"/>
          <w:sz w:val="22"/>
          <w:szCs w:val="22"/>
        </w:rPr>
        <w:t xml:space="preserve"> and is </w:t>
      </w:r>
      <w:r w:rsidR="00D323C3" w:rsidRPr="00C51BB6">
        <w:rPr>
          <w:rFonts w:asciiTheme="minorHAnsi" w:hAnsiTheme="minorHAnsi" w:cstheme="minorHAnsi"/>
          <w:sz w:val="22"/>
          <w:szCs w:val="22"/>
        </w:rPr>
        <w:t>attached</w:t>
      </w:r>
      <w:r>
        <w:rPr>
          <w:rFonts w:asciiTheme="minorHAnsi" w:hAnsiTheme="minorHAnsi" w:cstheme="minorHAnsi"/>
          <w:sz w:val="22"/>
          <w:szCs w:val="22"/>
        </w:rPr>
        <w:t xml:space="preserve">. </w:t>
      </w:r>
      <w:r w:rsidR="00E00407">
        <w:rPr>
          <w:rFonts w:asciiTheme="minorHAnsi" w:hAnsiTheme="minorHAnsi" w:cstheme="minorHAnsi"/>
          <w:sz w:val="22"/>
          <w:szCs w:val="22"/>
        </w:rPr>
        <w:t>T</w:t>
      </w:r>
      <w:r>
        <w:rPr>
          <w:rFonts w:asciiTheme="minorHAnsi" w:hAnsiTheme="minorHAnsi" w:cstheme="minorHAnsi"/>
          <w:sz w:val="22"/>
          <w:szCs w:val="22"/>
        </w:rPr>
        <w:t>wo data filters were used to determine when the direct evaporative cooler would be effective</w:t>
      </w:r>
      <w:r w:rsidR="00E00407">
        <w:rPr>
          <w:rFonts w:asciiTheme="minorHAnsi" w:hAnsiTheme="minorHAnsi" w:cstheme="minorHAnsi"/>
          <w:sz w:val="22"/>
          <w:szCs w:val="22"/>
        </w:rPr>
        <w:t>.</w:t>
      </w:r>
      <w:r w:rsidR="004D7ED1">
        <w:rPr>
          <w:rFonts w:asciiTheme="minorHAnsi" w:hAnsiTheme="minorHAnsi" w:cstheme="minorHAnsi"/>
          <w:sz w:val="22"/>
          <w:szCs w:val="22"/>
        </w:rPr>
        <w:t xml:space="preserve"> </w:t>
      </w:r>
    </w:p>
    <w:p w:rsidR="00607948" w:rsidRPr="004D7ED1" w:rsidRDefault="00607948" w:rsidP="004D7ED1">
      <w:pPr>
        <w:ind w:left="720"/>
        <w:rPr>
          <w:rFonts w:asciiTheme="minorHAnsi" w:hAnsiTheme="minorHAnsi" w:cstheme="minorHAnsi"/>
          <w:sz w:val="22"/>
          <w:szCs w:val="22"/>
        </w:rPr>
      </w:pPr>
    </w:p>
    <w:p w:rsidR="00607948" w:rsidRPr="00CF4451" w:rsidRDefault="00607948" w:rsidP="0051696C">
      <w:pPr>
        <w:numPr>
          <w:ilvl w:val="0"/>
          <w:numId w:val="14"/>
        </w:numPr>
        <w:rPr>
          <w:rFonts w:asciiTheme="minorHAnsi" w:hAnsiTheme="minorHAnsi" w:cstheme="minorHAnsi"/>
          <w:sz w:val="22"/>
          <w:szCs w:val="22"/>
        </w:rPr>
      </w:pPr>
      <w:r w:rsidRPr="00CF4451">
        <w:rPr>
          <w:rFonts w:asciiTheme="minorHAnsi" w:hAnsiTheme="minorHAnsi" w:cstheme="minorHAnsi"/>
          <w:sz w:val="22"/>
          <w:szCs w:val="22"/>
          <w:u w:val="single"/>
        </w:rPr>
        <w:t>Filter #1 (</w:t>
      </w:r>
      <w:r w:rsidR="003565B2">
        <w:rPr>
          <w:rFonts w:asciiTheme="minorHAnsi" w:hAnsiTheme="minorHAnsi" w:cstheme="minorHAnsi"/>
          <w:sz w:val="22"/>
          <w:szCs w:val="22"/>
          <w:u w:val="single"/>
        </w:rPr>
        <w:t>Column G</w:t>
      </w:r>
      <w:r w:rsidR="009B61A7" w:rsidRPr="00CF4451">
        <w:rPr>
          <w:rFonts w:asciiTheme="minorHAnsi" w:hAnsiTheme="minorHAnsi" w:cstheme="minorHAnsi"/>
          <w:sz w:val="22"/>
          <w:szCs w:val="22"/>
          <w:u w:val="single"/>
        </w:rPr>
        <w:t>, worksheet ‘Summary Table’</w:t>
      </w:r>
      <w:r w:rsidRPr="00CF4451">
        <w:rPr>
          <w:rFonts w:asciiTheme="minorHAnsi" w:hAnsiTheme="minorHAnsi" w:cstheme="minorHAnsi"/>
          <w:sz w:val="22"/>
          <w:szCs w:val="22"/>
          <w:u w:val="single"/>
        </w:rPr>
        <w:t>)</w:t>
      </w:r>
      <w:r w:rsidRPr="00CF4451">
        <w:rPr>
          <w:rFonts w:asciiTheme="minorHAnsi" w:hAnsiTheme="minorHAnsi" w:cstheme="minorHAnsi"/>
          <w:sz w:val="22"/>
          <w:szCs w:val="22"/>
        </w:rPr>
        <w:t xml:space="preserve">: The total number of hours that the dry bulb temperature is </w:t>
      </w:r>
      <w:r w:rsidR="003565B2">
        <w:rPr>
          <w:rFonts w:asciiTheme="minorHAnsi" w:hAnsiTheme="minorHAnsi" w:cstheme="minorHAnsi"/>
          <w:sz w:val="22"/>
          <w:szCs w:val="22"/>
        </w:rPr>
        <w:t>greater than or equal to</w:t>
      </w:r>
      <w:r w:rsidRPr="00CF4451">
        <w:rPr>
          <w:rFonts w:asciiTheme="minorHAnsi" w:hAnsiTheme="minorHAnsi" w:cstheme="minorHAnsi"/>
          <w:sz w:val="22"/>
          <w:szCs w:val="22"/>
        </w:rPr>
        <w:t xml:space="preserve"> 80°F was determined by filtering Ambient Dry-Bulb Temp (Column </w:t>
      </w:r>
      <w:r w:rsidR="00FB1D4A" w:rsidRPr="00CF4451">
        <w:rPr>
          <w:rFonts w:asciiTheme="minorHAnsi" w:hAnsiTheme="minorHAnsi" w:cstheme="minorHAnsi"/>
          <w:sz w:val="22"/>
          <w:szCs w:val="22"/>
        </w:rPr>
        <w:t>N, worksheet ‘hourly weather data’</w:t>
      </w:r>
      <w:r w:rsidRPr="00CF4451">
        <w:rPr>
          <w:rFonts w:asciiTheme="minorHAnsi" w:hAnsiTheme="minorHAnsi" w:cstheme="minorHAnsi"/>
          <w:sz w:val="22"/>
          <w:szCs w:val="22"/>
        </w:rPr>
        <w:t>) and the</w:t>
      </w:r>
      <w:r w:rsidR="00FB1D4A" w:rsidRPr="00CF4451">
        <w:rPr>
          <w:rFonts w:asciiTheme="minorHAnsi" w:hAnsiTheme="minorHAnsi" w:cstheme="minorHAnsi"/>
          <w:sz w:val="22"/>
          <w:szCs w:val="22"/>
        </w:rPr>
        <w:t>n</w:t>
      </w:r>
      <w:r w:rsidRPr="00CF4451">
        <w:rPr>
          <w:rFonts w:asciiTheme="minorHAnsi" w:hAnsiTheme="minorHAnsi" w:cstheme="minorHAnsi"/>
          <w:sz w:val="22"/>
          <w:szCs w:val="22"/>
        </w:rPr>
        <w:t xml:space="preserve"> counting the number of hours that met this condition. This gives the total number of hours that cooling is needed (</w:t>
      </w:r>
      <w:proofErr w:type="spellStart"/>
      <w:r w:rsidRPr="00CF4451">
        <w:rPr>
          <w:rFonts w:asciiTheme="minorHAnsi" w:hAnsiTheme="minorHAnsi" w:cstheme="minorHAnsi"/>
          <w:sz w:val="22"/>
          <w:szCs w:val="22"/>
        </w:rPr>
        <w:t>t</w:t>
      </w:r>
      <w:r w:rsidRPr="00CF4451">
        <w:rPr>
          <w:rFonts w:asciiTheme="minorHAnsi" w:hAnsiTheme="minorHAnsi" w:cstheme="minorHAnsi"/>
          <w:sz w:val="22"/>
          <w:szCs w:val="22"/>
          <w:vertAlign w:val="subscript"/>
        </w:rPr>
        <w:t>cool</w:t>
      </w:r>
      <w:proofErr w:type="spellEnd"/>
      <w:r w:rsidRPr="00CF4451">
        <w:rPr>
          <w:rFonts w:asciiTheme="minorHAnsi" w:hAnsiTheme="minorHAnsi" w:cstheme="minorHAnsi"/>
          <w:sz w:val="22"/>
          <w:szCs w:val="22"/>
        </w:rPr>
        <w:t>).</w:t>
      </w:r>
    </w:p>
    <w:p w:rsidR="00607948" w:rsidRPr="00612364" w:rsidRDefault="00607948" w:rsidP="00607948">
      <w:pPr>
        <w:ind w:left="720"/>
        <w:rPr>
          <w:rFonts w:asciiTheme="minorHAnsi" w:hAnsiTheme="minorHAnsi" w:cstheme="minorHAnsi"/>
          <w:sz w:val="22"/>
          <w:szCs w:val="22"/>
        </w:rPr>
      </w:pPr>
    </w:p>
    <w:p w:rsidR="007D6A06" w:rsidRDefault="00607948" w:rsidP="00607948">
      <w:pPr>
        <w:numPr>
          <w:ilvl w:val="0"/>
          <w:numId w:val="15"/>
        </w:numPr>
        <w:rPr>
          <w:rFonts w:asciiTheme="minorHAnsi" w:hAnsiTheme="minorHAnsi" w:cstheme="minorHAnsi"/>
          <w:sz w:val="22"/>
          <w:szCs w:val="22"/>
        </w:rPr>
      </w:pPr>
      <w:r w:rsidRPr="0065117D">
        <w:rPr>
          <w:rFonts w:asciiTheme="minorHAnsi" w:hAnsiTheme="minorHAnsi" w:cstheme="minorHAnsi"/>
          <w:sz w:val="22"/>
          <w:szCs w:val="22"/>
          <w:u w:val="single"/>
        </w:rPr>
        <w:t>Filter #</w:t>
      </w:r>
      <w:r>
        <w:rPr>
          <w:rFonts w:asciiTheme="minorHAnsi" w:hAnsiTheme="minorHAnsi" w:cstheme="minorHAnsi"/>
          <w:sz w:val="22"/>
          <w:szCs w:val="22"/>
          <w:u w:val="single"/>
        </w:rPr>
        <w:t>2 (C</w:t>
      </w:r>
      <w:r w:rsidR="009B61A7">
        <w:rPr>
          <w:rFonts w:asciiTheme="minorHAnsi" w:hAnsiTheme="minorHAnsi" w:cstheme="minorHAnsi"/>
          <w:sz w:val="22"/>
          <w:szCs w:val="22"/>
          <w:u w:val="single"/>
        </w:rPr>
        <w:t xml:space="preserve">olumn </w:t>
      </w:r>
      <w:r w:rsidR="003565B2">
        <w:rPr>
          <w:rFonts w:asciiTheme="minorHAnsi" w:hAnsiTheme="minorHAnsi" w:cstheme="minorHAnsi"/>
          <w:sz w:val="22"/>
          <w:szCs w:val="22"/>
          <w:u w:val="single"/>
        </w:rPr>
        <w:t>H</w:t>
      </w:r>
      <w:r w:rsidR="009B61A7">
        <w:rPr>
          <w:rFonts w:asciiTheme="minorHAnsi" w:hAnsiTheme="minorHAnsi" w:cstheme="minorHAnsi"/>
          <w:sz w:val="22"/>
          <w:szCs w:val="22"/>
          <w:u w:val="single"/>
        </w:rPr>
        <w:t>, worksheet ‘Summary table’</w:t>
      </w:r>
      <w:r>
        <w:rPr>
          <w:rFonts w:asciiTheme="minorHAnsi" w:hAnsiTheme="minorHAnsi" w:cstheme="minorHAnsi"/>
          <w:sz w:val="22"/>
          <w:szCs w:val="22"/>
          <w:u w:val="single"/>
        </w:rPr>
        <w:t>)</w:t>
      </w:r>
      <w:r>
        <w:rPr>
          <w:rFonts w:asciiTheme="minorHAnsi" w:hAnsiTheme="minorHAnsi" w:cstheme="minorHAnsi"/>
          <w:sz w:val="22"/>
          <w:szCs w:val="22"/>
        </w:rPr>
        <w:t xml:space="preserve">: </w:t>
      </w:r>
      <w:r w:rsidR="00FC3BD6">
        <w:rPr>
          <w:rFonts w:asciiTheme="minorHAnsi" w:hAnsiTheme="minorHAnsi" w:cstheme="minorHAnsi"/>
          <w:sz w:val="22"/>
          <w:szCs w:val="22"/>
        </w:rPr>
        <w:t>This filter determines the number of cooling hours that can be satisfied by the direct evaporative cooler (</w:t>
      </w:r>
      <w:proofErr w:type="spellStart"/>
      <w:r w:rsidR="00FC3BD6">
        <w:rPr>
          <w:rFonts w:asciiTheme="minorHAnsi" w:hAnsiTheme="minorHAnsi" w:cstheme="minorHAnsi"/>
          <w:sz w:val="22"/>
          <w:szCs w:val="22"/>
        </w:rPr>
        <w:t>t</w:t>
      </w:r>
      <w:r w:rsidR="00FC3BD6">
        <w:rPr>
          <w:rFonts w:asciiTheme="minorHAnsi" w:hAnsiTheme="minorHAnsi" w:cstheme="minorHAnsi"/>
          <w:sz w:val="22"/>
          <w:szCs w:val="22"/>
          <w:vertAlign w:val="subscript"/>
        </w:rPr>
        <w:t>dir</w:t>
      </w:r>
      <w:proofErr w:type="spellEnd"/>
      <w:r w:rsidR="00FC3BD6">
        <w:rPr>
          <w:rFonts w:asciiTheme="minorHAnsi" w:hAnsiTheme="minorHAnsi" w:cstheme="minorHAnsi"/>
          <w:sz w:val="22"/>
          <w:szCs w:val="22"/>
          <w:vertAlign w:val="subscript"/>
        </w:rPr>
        <w:t xml:space="preserve"> </w:t>
      </w:r>
      <w:proofErr w:type="spellStart"/>
      <w:r w:rsidR="00FC3BD6">
        <w:rPr>
          <w:rFonts w:asciiTheme="minorHAnsi" w:hAnsiTheme="minorHAnsi" w:cstheme="minorHAnsi"/>
          <w:sz w:val="22"/>
          <w:szCs w:val="22"/>
          <w:vertAlign w:val="subscript"/>
        </w:rPr>
        <w:t>evap</w:t>
      </w:r>
      <w:proofErr w:type="spellEnd"/>
      <w:r w:rsidR="00FC3BD6">
        <w:rPr>
          <w:rFonts w:asciiTheme="minorHAnsi" w:hAnsiTheme="minorHAnsi" w:cstheme="minorHAnsi"/>
          <w:sz w:val="22"/>
          <w:szCs w:val="22"/>
        </w:rPr>
        <w:t xml:space="preserve">).  It </w:t>
      </w:r>
      <w:r>
        <w:rPr>
          <w:rFonts w:asciiTheme="minorHAnsi" w:hAnsiTheme="minorHAnsi" w:cstheme="minorHAnsi"/>
          <w:sz w:val="22"/>
          <w:szCs w:val="22"/>
        </w:rPr>
        <w:t>repeat</w:t>
      </w:r>
      <w:r w:rsidR="00FC3BD6">
        <w:rPr>
          <w:rFonts w:asciiTheme="minorHAnsi" w:hAnsiTheme="minorHAnsi" w:cstheme="minorHAnsi"/>
          <w:sz w:val="22"/>
          <w:szCs w:val="22"/>
        </w:rPr>
        <w:t>s</w:t>
      </w:r>
      <w:r>
        <w:rPr>
          <w:rFonts w:asciiTheme="minorHAnsi" w:hAnsiTheme="minorHAnsi" w:cstheme="minorHAnsi"/>
          <w:sz w:val="22"/>
          <w:szCs w:val="22"/>
        </w:rPr>
        <w:t xml:space="preserve"> Filter #1</w:t>
      </w:r>
      <w:r w:rsidR="00FC3BD6">
        <w:rPr>
          <w:rFonts w:asciiTheme="minorHAnsi" w:hAnsiTheme="minorHAnsi" w:cstheme="minorHAnsi"/>
          <w:sz w:val="22"/>
          <w:szCs w:val="22"/>
        </w:rPr>
        <w:t xml:space="preserve"> (T&gt;=80°F)</w:t>
      </w:r>
      <w:r>
        <w:rPr>
          <w:rFonts w:asciiTheme="minorHAnsi" w:hAnsiTheme="minorHAnsi" w:cstheme="minorHAnsi"/>
          <w:sz w:val="22"/>
          <w:szCs w:val="22"/>
        </w:rPr>
        <w:t xml:space="preserve">, </w:t>
      </w:r>
      <w:r w:rsidR="005602F5">
        <w:rPr>
          <w:rFonts w:asciiTheme="minorHAnsi" w:hAnsiTheme="minorHAnsi" w:cstheme="minorHAnsi"/>
          <w:sz w:val="22"/>
          <w:szCs w:val="22"/>
        </w:rPr>
        <w:t>air delivered temperature (</w:t>
      </w:r>
      <w:r>
        <w:rPr>
          <w:rFonts w:asciiTheme="minorHAnsi" w:hAnsiTheme="minorHAnsi" w:cstheme="minorHAnsi"/>
          <w:sz w:val="22"/>
          <w:szCs w:val="22"/>
        </w:rPr>
        <w:t>ADT</w:t>
      </w:r>
      <w:r w:rsidR="005602F5">
        <w:rPr>
          <w:rFonts w:asciiTheme="minorHAnsi" w:hAnsiTheme="minorHAnsi" w:cstheme="minorHAnsi"/>
          <w:sz w:val="22"/>
          <w:szCs w:val="22"/>
        </w:rPr>
        <w:t>)</w:t>
      </w:r>
      <w:r>
        <w:rPr>
          <w:rFonts w:asciiTheme="minorHAnsi" w:hAnsiTheme="minorHAnsi" w:cstheme="minorHAnsi"/>
          <w:sz w:val="22"/>
          <w:szCs w:val="22"/>
        </w:rPr>
        <w:t xml:space="preserve"> less than or equal to 75°</w:t>
      </w:r>
      <w:r w:rsidR="00FC3BD6">
        <w:rPr>
          <w:rFonts w:asciiTheme="minorHAnsi" w:hAnsiTheme="minorHAnsi" w:cstheme="minorHAnsi"/>
          <w:sz w:val="22"/>
          <w:szCs w:val="22"/>
        </w:rPr>
        <w:t>F</w:t>
      </w:r>
      <w:r>
        <w:rPr>
          <w:rFonts w:asciiTheme="minorHAnsi" w:hAnsiTheme="minorHAnsi" w:cstheme="minorHAnsi"/>
          <w:sz w:val="22"/>
          <w:szCs w:val="22"/>
        </w:rPr>
        <w:t xml:space="preserve">, and </w:t>
      </w:r>
      <w:r w:rsidR="005602F5">
        <w:rPr>
          <w:rFonts w:asciiTheme="minorHAnsi" w:hAnsiTheme="minorHAnsi" w:cstheme="minorHAnsi"/>
          <w:sz w:val="22"/>
          <w:szCs w:val="22"/>
        </w:rPr>
        <w:t>d</w:t>
      </w:r>
      <w:r w:rsidRPr="00612364">
        <w:rPr>
          <w:rFonts w:asciiTheme="minorHAnsi" w:hAnsiTheme="minorHAnsi" w:cstheme="minorHAnsi"/>
          <w:sz w:val="22"/>
          <w:szCs w:val="22"/>
        </w:rPr>
        <w:t xml:space="preserve">ew </w:t>
      </w:r>
      <w:r w:rsidR="005602F5">
        <w:rPr>
          <w:rFonts w:asciiTheme="minorHAnsi" w:hAnsiTheme="minorHAnsi" w:cstheme="minorHAnsi"/>
          <w:sz w:val="22"/>
          <w:szCs w:val="22"/>
        </w:rPr>
        <w:t>p</w:t>
      </w:r>
      <w:r w:rsidRPr="00612364">
        <w:rPr>
          <w:rFonts w:asciiTheme="minorHAnsi" w:hAnsiTheme="minorHAnsi" w:cstheme="minorHAnsi"/>
          <w:sz w:val="22"/>
          <w:szCs w:val="22"/>
        </w:rPr>
        <w:t xml:space="preserve">oint </w:t>
      </w:r>
      <w:r w:rsidR="005602F5">
        <w:rPr>
          <w:rFonts w:asciiTheme="minorHAnsi" w:hAnsiTheme="minorHAnsi" w:cstheme="minorHAnsi"/>
          <w:sz w:val="22"/>
          <w:szCs w:val="22"/>
        </w:rPr>
        <w:t>t</w:t>
      </w:r>
      <w:r w:rsidRPr="00612364">
        <w:rPr>
          <w:rFonts w:asciiTheme="minorHAnsi" w:hAnsiTheme="minorHAnsi" w:cstheme="minorHAnsi"/>
          <w:sz w:val="22"/>
          <w:szCs w:val="22"/>
        </w:rPr>
        <w:t xml:space="preserve">emperatures below 55°F.  </w:t>
      </w:r>
      <w:r w:rsidR="007D6A06">
        <w:rPr>
          <w:rFonts w:asciiTheme="minorHAnsi" w:hAnsiTheme="minorHAnsi" w:cstheme="minorHAnsi"/>
          <w:sz w:val="22"/>
          <w:szCs w:val="22"/>
        </w:rPr>
        <w:t>The next</w:t>
      </w:r>
      <w:r w:rsidR="00FB1D4A">
        <w:rPr>
          <w:rFonts w:asciiTheme="minorHAnsi" w:hAnsiTheme="minorHAnsi" w:cstheme="minorHAnsi"/>
          <w:sz w:val="22"/>
          <w:szCs w:val="22"/>
        </w:rPr>
        <w:t xml:space="preserve"> two bullets</w:t>
      </w:r>
      <w:r w:rsidR="00CF4451">
        <w:rPr>
          <w:rFonts w:asciiTheme="minorHAnsi" w:hAnsiTheme="minorHAnsi" w:cstheme="minorHAnsi"/>
          <w:sz w:val="22"/>
          <w:szCs w:val="22"/>
        </w:rPr>
        <w:t xml:space="preserve"> further describe the calculation methodology and reasoning behind th</w:t>
      </w:r>
      <w:r w:rsidR="003565B2">
        <w:rPr>
          <w:rFonts w:asciiTheme="minorHAnsi" w:hAnsiTheme="minorHAnsi" w:cstheme="minorHAnsi"/>
          <w:sz w:val="22"/>
          <w:szCs w:val="22"/>
        </w:rPr>
        <w:t>ese additional filters</w:t>
      </w:r>
      <w:r w:rsidR="007D6A06">
        <w:rPr>
          <w:rFonts w:asciiTheme="minorHAnsi" w:hAnsiTheme="minorHAnsi" w:cstheme="minorHAnsi"/>
          <w:sz w:val="22"/>
          <w:szCs w:val="22"/>
        </w:rPr>
        <w:t>.</w:t>
      </w:r>
    </w:p>
    <w:p w:rsidR="003565B2" w:rsidRDefault="003565B2" w:rsidP="0051696C">
      <w:pPr>
        <w:ind w:left="720"/>
        <w:rPr>
          <w:rFonts w:asciiTheme="minorHAnsi" w:hAnsiTheme="minorHAnsi" w:cstheme="minorHAnsi"/>
          <w:sz w:val="22"/>
          <w:szCs w:val="22"/>
        </w:rPr>
      </w:pPr>
    </w:p>
    <w:p w:rsidR="002F46B8" w:rsidRDefault="002F46B8" w:rsidP="00AD1749">
      <w:pPr>
        <w:numPr>
          <w:ilvl w:val="0"/>
          <w:numId w:val="15"/>
        </w:numPr>
        <w:rPr>
          <w:rFonts w:asciiTheme="minorHAnsi" w:hAnsiTheme="minorHAnsi" w:cstheme="minorHAnsi"/>
          <w:sz w:val="22"/>
          <w:szCs w:val="22"/>
        </w:rPr>
      </w:pPr>
      <w:r>
        <w:rPr>
          <w:rFonts w:asciiTheme="minorHAnsi" w:hAnsiTheme="minorHAnsi" w:cstheme="minorHAnsi"/>
          <w:sz w:val="22"/>
          <w:szCs w:val="22"/>
        </w:rPr>
        <w:t xml:space="preserve">ADT:  This </w:t>
      </w:r>
      <w:r w:rsidRPr="00612364">
        <w:rPr>
          <w:rFonts w:asciiTheme="minorHAnsi" w:hAnsiTheme="minorHAnsi" w:cstheme="minorHAnsi"/>
          <w:sz w:val="22"/>
          <w:szCs w:val="22"/>
        </w:rPr>
        <w:t>value represent</w:t>
      </w:r>
      <w:r>
        <w:rPr>
          <w:rFonts w:asciiTheme="minorHAnsi" w:hAnsiTheme="minorHAnsi" w:cstheme="minorHAnsi"/>
          <w:sz w:val="22"/>
          <w:szCs w:val="22"/>
        </w:rPr>
        <w:t>s</w:t>
      </w:r>
      <w:r w:rsidRPr="00612364">
        <w:rPr>
          <w:rFonts w:asciiTheme="minorHAnsi" w:hAnsiTheme="minorHAnsi" w:cstheme="minorHAnsi"/>
          <w:sz w:val="22"/>
          <w:szCs w:val="22"/>
        </w:rPr>
        <w:t xml:space="preserve"> the estimated potential cooler delivered air temperatures from the corresponding hourly temperatures using the above equatio</w:t>
      </w:r>
      <w:r>
        <w:rPr>
          <w:rFonts w:asciiTheme="minorHAnsi" w:hAnsiTheme="minorHAnsi" w:cstheme="minorHAnsi"/>
          <w:sz w:val="22"/>
          <w:szCs w:val="22"/>
        </w:rPr>
        <w:t xml:space="preserve">n.  </w:t>
      </w:r>
    </w:p>
    <w:p w:rsidR="002F46B8" w:rsidRDefault="002F46B8" w:rsidP="0051696C">
      <w:pPr>
        <w:pStyle w:val="ListParagraph"/>
        <w:rPr>
          <w:rFonts w:asciiTheme="minorHAnsi" w:hAnsiTheme="minorHAnsi" w:cstheme="minorHAnsi"/>
          <w:sz w:val="22"/>
          <w:szCs w:val="22"/>
        </w:rPr>
      </w:pPr>
    </w:p>
    <w:p w:rsidR="00AD1749" w:rsidRPr="00AD1749" w:rsidRDefault="003565B2" w:rsidP="0051696C">
      <w:pPr>
        <w:ind w:left="720"/>
        <w:rPr>
          <w:rFonts w:asciiTheme="minorHAnsi" w:hAnsiTheme="minorHAnsi" w:cstheme="minorHAnsi"/>
          <w:sz w:val="22"/>
          <w:szCs w:val="22"/>
        </w:rPr>
      </w:pPr>
      <w:r>
        <w:rPr>
          <w:rFonts w:asciiTheme="minorHAnsi" w:hAnsiTheme="minorHAnsi" w:cstheme="minorHAnsi"/>
          <w:sz w:val="22"/>
          <w:szCs w:val="22"/>
        </w:rPr>
        <w:t>Column AD</w:t>
      </w:r>
      <w:r w:rsidR="00CF4451" w:rsidRPr="00F248E9">
        <w:rPr>
          <w:rFonts w:asciiTheme="minorHAnsi" w:hAnsiTheme="minorHAnsi" w:cstheme="minorHAnsi"/>
          <w:sz w:val="22"/>
          <w:szCs w:val="22"/>
        </w:rPr>
        <w:t xml:space="preserve"> of worksheet ‘hourly weather data’ calculates the wet bulb depression (WBD):</w:t>
      </w:r>
    </w:p>
    <w:p w:rsidR="00CF4451" w:rsidRPr="00AD1749" w:rsidRDefault="00CF4451" w:rsidP="00CF4451">
      <w:pPr>
        <w:ind w:left="360"/>
        <w:jc w:val="center"/>
        <w:rPr>
          <w:rFonts w:ascii="Cambria Math" w:hAnsi="Cambria Math" w:cstheme="minorHAnsi"/>
          <w:i/>
          <w:sz w:val="22"/>
          <w:szCs w:val="22"/>
        </w:rPr>
      </w:pPr>
      <m:oMathPara>
        <m:oMathParaPr>
          <m:jc m:val="center"/>
        </m:oMathParaPr>
        <m:oMath>
          <m:r>
            <w:rPr>
              <w:rFonts w:ascii="Cambria Math" w:hAnsi="Cambria Math" w:cstheme="minorHAnsi"/>
              <w:sz w:val="22"/>
              <w:szCs w:val="22"/>
            </w:rPr>
            <m:t>WBD=T-</m:t>
          </m:r>
          <m:sSub>
            <m:sSubPr>
              <m:ctrlPr>
                <w:rPr>
                  <w:rFonts w:ascii="Cambria Math" w:hAnsi="Cambria Math" w:cstheme="minorHAnsi"/>
                  <w:i/>
                  <w:sz w:val="22"/>
                  <w:szCs w:val="22"/>
                </w:rPr>
              </m:ctrlPr>
            </m:sSubPr>
            <m:e>
              <m:r>
                <w:rPr>
                  <w:rFonts w:ascii="Cambria Math" w:hAnsi="Cambria Math" w:cstheme="minorHAnsi"/>
                  <w:sz w:val="22"/>
                  <w:szCs w:val="22"/>
                </w:rPr>
                <m:t>T</m:t>
              </m:r>
            </m:e>
            <m:sub>
              <m:r>
                <w:rPr>
                  <w:rFonts w:ascii="Cambria Math" w:hAnsi="Cambria Math" w:cstheme="minorHAnsi"/>
                  <w:sz w:val="22"/>
                  <w:szCs w:val="22"/>
                </w:rPr>
                <m:t>wb</m:t>
              </m:r>
            </m:sub>
          </m:sSub>
        </m:oMath>
      </m:oMathPara>
    </w:p>
    <w:p w:rsidR="00CF4451" w:rsidRDefault="00CF4451" w:rsidP="00CF4451">
      <w:pPr>
        <w:pStyle w:val="ListParagraph"/>
        <w:rPr>
          <w:rFonts w:asciiTheme="minorHAnsi" w:hAnsiTheme="minorHAnsi" w:cstheme="minorHAnsi"/>
          <w:sz w:val="22"/>
          <w:szCs w:val="22"/>
          <w:u w:val="single"/>
        </w:rPr>
      </w:pPr>
    </w:p>
    <w:p w:rsidR="00CF4451" w:rsidRDefault="00CF4451" w:rsidP="0051696C">
      <w:pPr>
        <w:ind w:left="720"/>
        <w:rPr>
          <w:rFonts w:asciiTheme="minorHAnsi" w:hAnsiTheme="minorHAnsi" w:cstheme="minorHAnsi"/>
          <w:sz w:val="22"/>
          <w:szCs w:val="22"/>
        </w:rPr>
      </w:pPr>
      <w:r>
        <w:rPr>
          <w:rFonts w:asciiTheme="minorHAnsi" w:hAnsiTheme="minorHAnsi" w:cstheme="minorHAnsi"/>
          <w:sz w:val="22"/>
          <w:szCs w:val="22"/>
        </w:rPr>
        <w:t>Column AE calculates the achievable air delivery temperature (ADT):</w:t>
      </w:r>
    </w:p>
    <w:p w:rsidR="00CF4451" w:rsidRPr="004D7ED1" w:rsidRDefault="00CF4451" w:rsidP="00CF4451">
      <w:pPr>
        <w:ind w:left="360"/>
        <w:rPr>
          <w:rFonts w:asciiTheme="minorHAnsi" w:hAnsiTheme="minorHAnsi" w:cstheme="minorHAnsi"/>
          <w:sz w:val="22"/>
          <w:szCs w:val="22"/>
        </w:rPr>
      </w:pPr>
      <m:oMathPara>
        <m:oMathParaPr>
          <m:jc m:val="center"/>
        </m:oMathParaPr>
        <m:oMath>
          <m:r>
            <w:rPr>
              <w:rFonts w:ascii="Cambria Math" w:hAnsi="Cambria Math" w:cstheme="minorHAnsi"/>
              <w:sz w:val="22"/>
              <w:szCs w:val="22"/>
            </w:rPr>
            <m:t>ADT=T-(WBD*0.85)</m:t>
          </m:r>
        </m:oMath>
      </m:oMathPara>
    </w:p>
    <w:p w:rsidR="00CF4451" w:rsidRPr="00FB7FEA" w:rsidRDefault="00CF4451" w:rsidP="00CF4451">
      <w:pPr>
        <w:ind w:left="360"/>
        <w:rPr>
          <w:rFonts w:asciiTheme="minorHAnsi" w:hAnsiTheme="minorHAnsi" w:cstheme="minorHAnsi"/>
          <w:sz w:val="22"/>
          <w:szCs w:val="22"/>
        </w:rPr>
      </w:pPr>
    </w:p>
    <w:p w:rsidR="001A3551" w:rsidRDefault="001A3551" w:rsidP="001A3551">
      <w:pPr>
        <w:ind w:left="720"/>
        <w:rPr>
          <w:rFonts w:asciiTheme="minorHAnsi" w:hAnsiTheme="minorHAnsi" w:cstheme="minorHAnsi"/>
          <w:sz w:val="22"/>
          <w:szCs w:val="22"/>
        </w:rPr>
      </w:pPr>
      <w:r>
        <w:rPr>
          <w:rFonts w:asciiTheme="minorHAnsi" w:hAnsiTheme="minorHAnsi" w:cstheme="minorHAnsi"/>
          <w:sz w:val="22"/>
          <w:szCs w:val="22"/>
        </w:rPr>
        <w:t xml:space="preserve">The chart in Figure 1 is a </w:t>
      </w:r>
      <w:r w:rsidRPr="00A37750">
        <w:rPr>
          <w:rFonts w:asciiTheme="minorHAnsi" w:hAnsiTheme="minorHAnsi" w:cstheme="minorHAnsi"/>
          <w:sz w:val="22"/>
          <w:szCs w:val="22"/>
        </w:rPr>
        <w:t>summary tabulation of air temperatures that a direct evaporative cooler can deliver, derived from the psychometric chart using an 85% app</w:t>
      </w:r>
      <w:r>
        <w:rPr>
          <w:rFonts w:asciiTheme="minorHAnsi" w:hAnsiTheme="minorHAnsi" w:cstheme="minorHAnsi"/>
          <w:sz w:val="22"/>
          <w:szCs w:val="22"/>
        </w:rPr>
        <w:t>roa</w:t>
      </w:r>
      <w:r w:rsidR="0042334D">
        <w:rPr>
          <w:rFonts w:asciiTheme="minorHAnsi" w:hAnsiTheme="minorHAnsi" w:cstheme="minorHAnsi"/>
          <w:sz w:val="22"/>
          <w:szCs w:val="22"/>
        </w:rPr>
        <w:t>ch to the wet bulb depression [D</w:t>
      </w:r>
      <w:r>
        <w:rPr>
          <w:rFonts w:asciiTheme="minorHAnsi" w:hAnsiTheme="minorHAnsi" w:cstheme="minorHAnsi"/>
          <w:sz w:val="22"/>
          <w:szCs w:val="22"/>
        </w:rPr>
        <w:t>]. As indicated in the highlighted boxes,</w:t>
      </w:r>
      <w:r w:rsidRPr="000516E8">
        <w:rPr>
          <w:rFonts w:asciiTheme="minorHAnsi" w:hAnsiTheme="minorHAnsi" w:cstheme="minorHAnsi"/>
          <w:sz w:val="22"/>
          <w:szCs w:val="22"/>
        </w:rPr>
        <w:t xml:space="preserve"> 75°F is </w:t>
      </w:r>
      <w:r>
        <w:rPr>
          <w:rFonts w:asciiTheme="minorHAnsi" w:hAnsiTheme="minorHAnsi" w:cstheme="minorHAnsi"/>
          <w:sz w:val="22"/>
          <w:szCs w:val="22"/>
        </w:rPr>
        <w:t xml:space="preserve">estimated to be </w:t>
      </w:r>
      <w:r w:rsidRPr="000516E8">
        <w:rPr>
          <w:rFonts w:asciiTheme="minorHAnsi" w:hAnsiTheme="minorHAnsi" w:cstheme="minorHAnsi"/>
          <w:sz w:val="22"/>
          <w:szCs w:val="22"/>
        </w:rPr>
        <w:t>the highest</w:t>
      </w:r>
      <w:r>
        <w:rPr>
          <w:rFonts w:asciiTheme="minorHAnsi" w:hAnsiTheme="minorHAnsi" w:cstheme="minorHAnsi"/>
          <w:sz w:val="22"/>
          <w:szCs w:val="22"/>
        </w:rPr>
        <w:t xml:space="preserve"> deliverable</w:t>
      </w:r>
      <w:r w:rsidRPr="000516E8">
        <w:rPr>
          <w:rFonts w:asciiTheme="minorHAnsi" w:hAnsiTheme="minorHAnsi" w:cstheme="minorHAnsi"/>
          <w:sz w:val="22"/>
          <w:szCs w:val="22"/>
        </w:rPr>
        <w:t xml:space="preserve"> temperature</w:t>
      </w:r>
      <w:r>
        <w:rPr>
          <w:rFonts w:asciiTheme="minorHAnsi" w:hAnsiTheme="minorHAnsi" w:cstheme="minorHAnsi"/>
          <w:sz w:val="22"/>
          <w:szCs w:val="22"/>
        </w:rPr>
        <w:t xml:space="preserve"> in the optimum conditions range.  </w:t>
      </w:r>
    </w:p>
    <w:p w:rsidR="001A3551" w:rsidRDefault="001A3551" w:rsidP="001A3551">
      <w:pPr>
        <w:rPr>
          <w:rFonts w:asciiTheme="minorHAnsi" w:hAnsiTheme="minorHAnsi" w:cstheme="minorHAnsi"/>
          <w:sz w:val="22"/>
          <w:szCs w:val="22"/>
        </w:rPr>
      </w:pPr>
    </w:p>
    <w:p w:rsidR="00CF4451" w:rsidRDefault="001A3551" w:rsidP="00CF4451">
      <w:pPr>
        <w:keepNext/>
        <w:ind w:left="360"/>
        <w:jc w:val="center"/>
      </w:pPr>
      <w:r>
        <w:rPr>
          <w:noProof/>
        </w:rPr>
        <w:lastRenderedPageBreak/>
        <w:drawing>
          <wp:inline distT="0" distB="0" distL="0" distR="0" wp14:anchorId="5D871778" wp14:editId="229C4C62">
            <wp:extent cx="4389755" cy="28651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89755" cy="2865120"/>
                    </a:xfrm>
                    <a:prstGeom prst="rect">
                      <a:avLst/>
                    </a:prstGeom>
                    <a:noFill/>
                  </pic:spPr>
                </pic:pic>
              </a:graphicData>
            </a:graphic>
          </wp:inline>
        </w:drawing>
      </w:r>
    </w:p>
    <w:p w:rsidR="00CF4451" w:rsidRPr="00A41155" w:rsidRDefault="00CF4451" w:rsidP="00CF4451">
      <w:pPr>
        <w:pStyle w:val="Caption"/>
        <w:keepNext/>
        <w:jc w:val="center"/>
        <w:rPr>
          <w:rFonts w:asciiTheme="minorHAnsi" w:hAnsiTheme="minorHAnsi" w:cstheme="minorHAnsi"/>
          <w:sz w:val="22"/>
          <w:szCs w:val="22"/>
        </w:rPr>
      </w:pPr>
      <w:r w:rsidRPr="00A41155">
        <w:rPr>
          <w:rFonts w:asciiTheme="minorHAnsi" w:hAnsiTheme="minorHAnsi" w:cstheme="minorHAnsi"/>
          <w:sz w:val="22"/>
          <w:szCs w:val="22"/>
        </w:rPr>
        <w:t xml:space="preserve">Figure </w:t>
      </w:r>
      <w:r w:rsidRPr="00A41155">
        <w:rPr>
          <w:rFonts w:asciiTheme="minorHAnsi" w:hAnsiTheme="minorHAnsi" w:cstheme="minorHAnsi"/>
          <w:sz w:val="22"/>
          <w:szCs w:val="22"/>
        </w:rPr>
        <w:fldChar w:fldCharType="begin"/>
      </w:r>
      <w:r w:rsidRPr="00A41155">
        <w:rPr>
          <w:rFonts w:asciiTheme="minorHAnsi" w:hAnsiTheme="minorHAnsi" w:cstheme="minorHAnsi"/>
          <w:sz w:val="22"/>
          <w:szCs w:val="22"/>
        </w:rPr>
        <w:instrText xml:space="preserve"> SEQ Figure \* ARABIC </w:instrText>
      </w:r>
      <w:r w:rsidRPr="00A41155">
        <w:rPr>
          <w:rFonts w:asciiTheme="minorHAnsi" w:hAnsiTheme="minorHAnsi" w:cstheme="minorHAnsi"/>
          <w:sz w:val="22"/>
          <w:szCs w:val="22"/>
        </w:rPr>
        <w:fldChar w:fldCharType="separate"/>
      </w:r>
      <w:r w:rsidR="00B6606C">
        <w:rPr>
          <w:rFonts w:asciiTheme="minorHAnsi" w:hAnsiTheme="minorHAnsi" w:cstheme="minorHAnsi"/>
          <w:noProof/>
          <w:sz w:val="22"/>
          <w:szCs w:val="22"/>
        </w:rPr>
        <w:t>1</w:t>
      </w:r>
      <w:r w:rsidRPr="00A41155">
        <w:rPr>
          <w:rFonts w:asciiTheme="minorHAnsi" w:hAnsiTheme="minorHAnsi" w:cstheme="minorHAnsi"/>
          <w:sz w:val="22"/>
          <w:szCs w:val="22"/>
        </w:rPr>
        <w:fldChar w:fldCharType="end"/>
      </w:r>
      <w:r w:rsidRPr="00A41155">
        <w:rPr>
          <w:rFonts w:asciiTheme="minorHAnsi" w:hAnsiTheme="minorHAnsi" w:cstheme="minorHAnsi"/>
          <w:sz w:val="22"/>
          <w:szCs w:val="22"/>
        </w:rPr>
        <w:t xml:space="preserve"> Direct Evaporative Cooler Operating Range</w:t>
      </w:r>
    </w:p>
    <w:p w:rsidR="00CF4451" w:rsidRPr="00A41155" w:rsidRDefault="00CF4451" w:rsidP="00CF4451">
      <w:pPr>
        <w:ind w:left="360"/>
        <w:jc w:val="center"/>
        <w:rPr>
          <w:sz w:val="22"/>
          <w:szCs w:val="22"/>
        </w:rPr>
      </w:pPr>
    </w:p>
    <w:p w:rsidR="007D6A06" w:rsidRDefault="007D6A06" w:rsidP="0051696C">
      <w:pPr>
        <w:ind w:left="720"/>
        <w:rPr>
          <w:rFonts w:asciiTheme="minorHAnsi" w:hAnsiTheme="minorHAnsi" w:cstheme="minorHAnsi"/>
          <w:sz w:val="22"/>
          <w:szCs w:val="22"/>
          <w:u w:val="single"/>
        </w:rPr>
      </w:pPr>
    </w:p>
    <w:p w:rsidR="00607948" w:rsidRPr="0051696C" w:rsidRDefault="005F5F02" w:rsidP="0051696C">
      <w:pPr>
        <w:pStyle w:val="ListParagraph"/>
        <w:numPr>
          <w:ilvl w:val="0"/>
          <w:numId w:val="15"/>
        </w:numPr>
        <w:rPr>
          <w:rFonts w:asciiTheme="minorHAnsi" w:hAnsiTheme="minorHAnsi" w:cstheme="minorHAnsi"/>
          <w:sz w:val="22"/>
          <w:szCs w:val="22"/>
        </w:rPr>
      </w:pPr>
      <w:r>
        <w:rPr>
          <w:rFonts w:asciiTheme="minorHAnsi" w:hAnsiTheme="minorHAnsi" w:cstheme="minorHAnsi"/>
          <w:sz w:val="22"/>
          <w:szCs w:val="22"/>
        </w:rPr>
        <w:t xml:space="preserve">Dew </w:t>
      </w:r>
      <w:r w:rsidR="00EA4753">
        <w:rPr>
          <w:rFonts w:asciiTheme="minorHAnsi" w:hAnsiTheme="minorHAnsi" w:cstheme="minorHAnsi"/>
          <w:sz w:val="22"/>
          <w:szCs w:val="22"/>
        </w:rPr>
        <w:t>p</w:t>
      </w:r>
      <w:r>
        <w:rPr>
          <w:rFonts w:asciiTheme="minorHAnsi" w:hAnsiTheme="minorHAnsi" w:cstheme="minorHAnsi"/>
          <w:sz w:val="22"/>
          <w:szCs w:val="22"/>
        </w:rPr>
        <w:t xml:space="preserve">oint </w:t>
      </w:r>
      <w:r w:rsidR="00EA4753">
        <w:rPr>
          <w:rFonts w:asciiTheme="minorHAnsi" w:hAnsiTheme="minorHAnsi" w:cstheme="minorHAnsi"/>
          <w:sz w:val="22"/>
          <w:szCs w:val="22"/>
        </w:rPr>
        <w:t>t</w:t>
      </w:r>
      <w:r>
        <w:rPr>
          <w:rFonts w:asciiTheme="minorHAnsi" w:hAnsiTheme="minorHAnsi" w:cstheme="minorHAnsi"/>
          <w:sz w:val="22"/>
          <w:szCs w:val="22"/>
        </w:rPr>
        <w:t xml:space="preserve">emperature: </w:t>
      </w:r>
      <w:r w:rsidR="00607948" w:rsidRPr="0051696C">
        <w:rPr>
          <w:rFonts w:asciiTheme="minorHAnsi" w:hAnsiTheme="minorHAnsi" w:cstheme="minorHAnsi"/>
          <w:sz w:val="22"/>
          <w:szCs w:val="22"/>
        </w:rPr>
        <w:t xml:space="preserve">This criterion originates from the fact that </w:t>
      </w:r>
      <w:r w:rsidR="00EA4753">
        <w:rPr>
          <w:rFonts w:asciiTheme="minorHAnsi" w:hAnsiTheme="minorHAnsi" w:cstheme="minorHAnsi"/>
          <w:sz w:val="22"/>
          <w:szCs w:val="22"/>
        </w:rPr>
        <w:t>direct evaporative coolers are most effective at relatively dry outdoor conditions.</w:t>
      </w:r>
      <w:r w:rsidR="00EA4753" w:rsidRPr="0051696C">
        <w:rPr>
          <w:rFonts w:asciiTheme="minorHAnsi" w:hAnsiTheme="minorHAnsi" w:cstheme="minorHAnsi"/>
          <w:sz w:val="22"/>
          <w:szCs w:val="22"/>
        </w:rPr>
        <w:t xml:space="preserve"> </w:t>
      </w:r>
      <w:r w:rsidR="00EA4753">
        <w:rPr>
          <w:rFonts w:asciiTheme="minorHAnsi" w:hAnsiTheme="minorHAnsi" w:cstheme="minorHAnsi"/>
          <w:sz w:val="22"/>
          <w:szCs w:val="22"/>
        </w:rPr>
        <w:t xml:space="preserve">If the outside dew point is &gt;55°F, a direct evaporative cooler will likely not be able to adequately cool the space, and the indoor humidity level may rise to an unacceptable level. </w:t>
      </w:r>
      <w:r w:rsidR="00607948" w:rsidRPr="0051696C">
        <w:rPr>
          <w:rFonts w:asciiTheme="minorHAnsi" w:hAnsiTheme="minorHAnsi" w:cstheme="minorHAnsi"/>
          <w:sz w:val="22"/>
          <w:szCs w:val="22"/>
        </w:rPr>
        <w:t>This filter gives the number of cooling hours that can be satisfied by the direct evaporative cooler (</w:t>
      </w:r>
      <w:proofErr w:type="spellStart"/>
      <w:r w:rsidR="00607948" w:rsidRPr="0051696C">
        <w:rPr>
          <w:rFonts w:asciiTheme="minorHAnsi" w:hAnsiTheme="minorHAnsi" w:cstheme="minorHAnsi"/>
          <w:sz w:val="22"/>
          <w:szCs w:val="22"/>
        </w:rPr>
        <w:t>t</w:t>
      </w:r>
      <w:r w:rsidR="00607948" w:rsidRPr="0051696C">
        <w:rPr>
          <w:rFonts w:asciiTheme="minorHAnsi" w:hAnsiTheme="minorHAnsi" w:cstheme="minorHAnsi"/>
          <w:sz w:val="22"/>
          <w:szCs w:val="22"/>
          <w:vertAlign w:val="subscript"/>
        </w:rPr>
        <w:t>dir</w:t>
      </w:r>
      <w:proofErr w:type="spellEnd"/>
      <w:r w:rsidR="00607948" w:rsidRPr="0051696C">
        <w:rPr>
          <w:rFonts w:asciiTheme="minorHAnsi" w:hAnsiTheme="minorHAnsi" w:cstheme="minorHAnsi"/>
          <w:sz w:val="22"/>
          <w:szCs w:val="22"/>
          <w:vertAlign w:val="subscript"/>
        </w:rPr>
        <w:t xml:space="preserve"> </w:t>
      </w:r>
      <w:proofErr w:type="spellStart"/>
      <w:r w:rsidR="00607948" w:rsidRPr="0051696C">
        <w:rPr>
          <w:rFonts w:asciiTheme="minorHAnsi" w:hAnsiTheme="minorHAnsi" w:cstheme="minorHAnsi"/>
          <w:sz w:val="22"/>
          <w:szCs w:val="22"/>
          <w:vertAlign w:val="subscript"/>
        </w:rPr>
        <w:t>evap</w:t>
      </w:r>
      <w:proofErr w:type="spellEnd"/>
      <w:r w:rsidR="00607948" w:rsidRPr="0051696C">
        <w:rPr>
          <w:rFonts w:asciiTheme="minorHAnsi" w:hAnsiTheme="minorHAnsi" w:cstheme="minorHAnsi"/>
          <w:sz w:val="22"/>
          <w:szCs w:val="22"/>
        </w:rPr>
        <w:t>).</w:t>
      </w:r>
    </w:p>
    <w:p w:rsidR="007D6A06" w:rsidRDefault="007D6A06" w:rsidP="0051696C">
      <w:pPr>
        <w:ind w:left="720"/>
        <w:rPr>
          <w:rFonts w:asciiTheme="minorHAnsi" w:hAnsiTheme="minorHAnsi" w:cstheme="minorHAnsi"/>
          <w:sz w:val="22"/>
          <w:szCs w:val="22"/>
        </w:rPr>
      </w:pPr>
    </w:p>
    <w:p w:rsidR="007D6A06" w:rsidRDefault="00FB1D4A" w:rsidP="0051696C">
      <w:pPr>
        <w:ind w:left="720"/>
        <w:rPr>
          <w:rFonts w:asciiTheme="minorHAnsi" w:hAnsiTheme="minorHAnsi" w:cstheme="minorHAnsi"/>
          <w:sz w:val="22"/>
          <w:szCs w:val="22"/>
        </w:rPr>
      </w:pPr>
      <w:r>
        <w:rPr>
          <w:rFonts w:asciiTheme="minorHAnsi" w:hAnsiTheme="minorHAnsi" w:cstheme="minorHAnsi"/>
          <w:sz w:val="22"/>
          <w:szCs w:val="22"/>
        </w:rPr>
        <w:t>T</w:t>
      </w:r>
      <w:r w:rsidR="007D6A06">
        <w:rPr>
          <w:rFonts w:asciiTheme="minorHAnsi" w:hAnsiTheme="minorHAnsi" w:cstheme="minorHAnsi"/>
          <w:sz w:val="22"/>
          <w:szCs w:val="22"/>
        </w:rPr>
        <w:t>he humidity ratio (w)</w:t>
      </w:r>
      <w:r w:rsidR="002F46B8">
        <w:rPr>
          <w:rFonts w:asciiTheme="minorHAnsi" w:hAnsiTheme="minorHAnsi" w:cstheme="minorHAnsi"/>
          <w:sz w:val="22"/>
          <w:szCs w:val="22"/>
        </w:rPr>
        <w:t xml:space="preserve"> in units of </w:t>
      </w:r>
      <w:proofErr w:type="spellStart"/>
      <w:r w:rsidR="002F46B8">
        <w:rPr>
          <w:rFonts w:asciiTheme="minorHAnsi" w:hAnsiTheme="minorHAnsi" w:cstheme="minorHAnsi"/>
          <w:sz w:val="22"/>
          <w:szCs w:val="22"/>
        </w:rPr>
        <w:t>lb</w:t>
      </w:r>
      <w:proofErr w:type="spellEnd"/>
      <w:r w:rsidR="00654B95">
        <w:rPr>
          <w:rFonts w:asciiTheme="minorHAnsi" w:hAnsiTheme="minorHAnsi" w:cstheme="minorHAnsi"/>
          <w:sz w:val="22"/>
          <w:szCs w:val="22"/>
        </w:rPr>
        <w:t xml:space="preserve"> water per </w:t>
      </w:r>
      <w:proofErr w:type="spellStart"/>
      <w:r w:rsidR="00654B95">
        <w:rPr>
          <w:rFonts w:asciiTheme="minorHAnsi" w:hAnsiTheme="minorHAnsi" w:cstheme="minorHAnsi"/>
          <w:sz w:val="22"/>
          <w:szCs w:val="22"/>
        </w:rPr>
        <w:t>lb</w:t>
      </w:r>
      <w:proofErr w:type="spellEnd"/>
      <w:r w:rsidR="00654B95">
        <w:rPr>
          <w:rFonts w:asciiTheme="minorHAnsi" w:hAnsiTheme="minorHAnsi" w:cstheme="minorHAnsi"/>
          <w:sz w:val="22"/>
          <w:szCs w:val="22"/>
        </w:rPr>
        <w:t xml:space="preserve"> dry air</w:t>
      </w:r>
      <w:r w:rsidR="007D6A06">
        <w:rPr>
          <w:rFonts w:asciiTheme="minorHAnsi" w:hAnsiTheme="minorHAnsi" w:cstheme="minorHAnsi"/>
          <w:sz w:val="22"/>
          <w:szCs w:val="22"/>
        </w:rPr>
        <w:t>, and the total</w:t>
      </w:r>
      <w:r w:rsidR="002C4407">
        <w:rPr>
          <w:rFonts w:asciiTheme="minorHAnsi" w:hAnsiTheme="minorHAnsi" w:cstheme="minorHAnsi"/>
          <w:sz w:val="22"/>
          <w:szCs w:val="22"/>
        </w:rPr>
        <w:t xml:space="preserve"> atmospheric</w:t>
      </w:r>
      <w:r w:rsidR="007D6A06">
        <w:rPr>
          <w:rFonts w:asciiTheme="minorHAnsi" w:hAnsiTheme="minorHAnsi" w:cstheme="minorHAnsi"/>
          <w:sz w:val="22"/>
          <w:szCs w:val="22"/>
        </w:rPr>
        <w:t xml:space="preserve"> pressure (p)</w:t>
      </w:r>
      <w:r w:rsidR="00654B95">
        <w:rPr>
          <w:rFonts w:asciiTheme="minorHAnsi" w:hAnsiTheme="minorHAnsi" w:cstheme="minorHAnsi"/>
          <w:sz w:val="22"/>
          <w:szCs w:val="22"/>
        </w:rPr>
        <w:t xml:space="preserve"> in units of inches Hg</w:t>
      </w:r>
      <w:r>
        <w:rPr>
          <w:rFonts w:asciiTheme="minorHAnsi" w:hAnsiTheme="minorHAnsi" w:cstheme="minorHAnsi"/>
          <w:sz w:val="22"/>
          <w:szCs w:val="22"/>
        </w:rPr>
        <w:t xml:space="preserve"> </w:t>
      </w:r>
      <w:r w:rsidR="007E153A">
        <w:rPr>
          <w:rFonts w:asciiTheme="minorHAnsi" w:hAnsiTheme="minorHAnsi" w:cstheme="minorHAnsi"/>
          <w:sz w:val="22"/>
          <w:szCs w:val="22"/>
        </w:rPr>
        <w:t>is</w:t>
      </w:r>
      <w:r>
        <w:rPr>
          <w:rFonts w:asciiTheme="minorHAnsi" w:hAnsiTheme="minorHAnsi" w:cstheme="minorHAnsi"/>
          <w:sz w:val="22"/>
          <w:szCs w:val="22"/>
        </w:rPr>
        <w:t xml:space="preserve"> used to calculate the vapor pressure</w:t>
      </w:r>
      <w:r w:rsidR="007D6A06">
        <w:rPr>
          <w:rFonts w:asciiTheme="minorHAnsi" w:hAnsiTheme="minorHAnsi" w:cstheme="minorHAnsi"/>
          <w:sz w:val="22"/>
          <w:szCs w:val="22"/>
        </w:rPr>
        <w:t>.  The vapor</w:t>
      </w:r>
      <w:r>
        <w:rPr>
          <w:rFonts w:asciiTheme="minorHAnsi" w:hAnsiTheme="minorHAnsi" w:cstheme="minorHAnsi"/>
          <w:sz w:val="22"/>
          <w:szCs w:val="22"/>
        </w:rPr>
        <w:t xml:space="preserve"> pressure</w:t>
      </w:r>
      <w:r w:rsidR="007D6A06">
        <w:rPr>
          <w:rFonts w:asciiTheme="minorHAnsi" w:hAnsiTheme="minorHAnsi" w:cstheme="minorHAnsi"/>
          <w:sz w:val="22"/>
          <w:szCs w:val="22"/>
        </w:rPr>
        <w:t xml:space="preserve"> </w:t>
      </w:r>
      <w:r w:rsidR="000F59AC">
        <w:rPr>
          <w:rFonts w:asciiTheme="minorHAnsi" w:hAnsiTheme="minorHAnsi" w:cstheme="minorHAnsi"/>
          <w:sz w:val="22"/>
          <w:szCs w:val="22"/>
        </w:rPr>
        <w:t>(</w:t>
      </w:r>
      <w:proofErr w:type="spellStart"/>
      <w:proofErr w:type="gramStart"/>
      <w:r w:rsidR="000F59AC">
        <w:rPr>
          <w:rFonts w:asciiTheme="minorHAnsi" w:hAnsiTheme="minorHAnsi" w:cstheme="minorHAnsi"/>
          <w:sz w:val="22"/>
          <w:szCs w:val="22"/>
        </w:rPr>
        <w:t>p</w:t>
      </w:r>
      <w:r w:rsidR="000F59AC">
        <w:rPr>
          <w:rFonts w:asciiTheme="minorHAnsi" w:hAnsiTheme="minorHAnsi" w:cstheme="minorHAnsi"/>
          <w:sz w:val="22"/>
          <w:szCs w:val="22"/>
          <w:vertAlign w:val="subscript"/>
        </w:rPr>
        <w:t>v</w:t>
      </w:r>
      <w:proofErr w:type="spellEnd"/>
      <w:proofErr w:type="gramEnd"/>
      <w:r w:rsidR="000F59AC">
        <w:rPr>
          <w:rFonts w:asciiTheme="minorHAnsi" w:hAnsiTheme="minorHAnsi" w:cstheme="minorHAnsi"/>
          <w:sz w:val="22"/>
          <w:szCs w:val="22"/>
        </w:rPr>
        <w:t>)</w:t>
      </w:r>
      <w:r w:rsidR="00654B95">
        <w:rPr>
          <w:rFonts w:asciiTheme="minorHAnsi" w:hAnsiTheme="minorHAnsi" w:cstheme="minorHAnsi"/>
          <w:sz w:val="22"/>
          <w:szCs w:val="22"/>
        </w:rPr>
        <w:t xml:space="preserve"> in units of </w:t>
      </w:r>
      <w:proofErr w:type="spellStart"/>
      <w:r w:rsidR="00654B95">
        <w:rPr>
          <w:rFonts w:asciiTheme="minorHAnsi" w:hAnsiTheme="minorHAnsi" w:cstheme="minorHAnsi"/>
          <w:sz w:val="22"/>
          <w:szCs w:val="22"/>
        </w:rPr>
        <w:t>hPa</w:t>
      </w:r>
      <w:proofErr w:type="spellEnd"/>
      <w:r w:rsidR="000F59AC">
        <w:rPr>
          <w:rFonts w:asciiTheme="minorHAnsi" w:hAnsiTheme="minorHAnsi" w:cstheme="minorHAnsi"/>
          <w:sz w:val="22"/>
          <w:szCs w:val="22"/>
        </w:rPr>
        <w:t xml:space="preserve"> </w:t>
      </w:r>
      <w:r w:rsidR="007E153A">
        <w:rPr>
          <w:rFonts w:asciiTheme="minorHAnsi" w:hAnsiTheme="minorHAnsi" w:cstheme="minorHAnsi"/>
          <w:sz w:val="22"/>
          <w:szCs w:val="22"/>
        </w:rPr>
        <w:t>i</w:t>
      </w:r>
      <w:r w:rsidR="007D6A06">
        <w:rPr>
          <w:rFonts w:asciiTheme="minorHAnsi" w:hAnsiTheme="minorHAnsi" w:cstheme="minorHAnsi"/>
          <w:sz w:val="22"/>
          <w:szCs w:val="22"/>
        </w:rPr>
        <w:t>s calculated from these two values based on th</w:t>
      </w:r>
      <w:r w:rsidR="002544AB">
        <w:rPr>
          <w:rFonts w:asciiTheme="minorHAnsi" w:hAnsiTheme="minorHAnsi" w:cstheme="minorHAnsi"/>
          <w:sz w:val="22"/>
          <w:szCs w:val="22"/>
        </w:rPr>
        <w:t>is</w:t>
      </w:r>
      <w:r w:rsidR="000F59AC">
        <w:rPr>
          <w:rFonts w:asciiTheme="minorHAnsi" w:hAnsiTheme="minorHAnsi" w:cstheme="minorHAnsi"/>
          <w:sz w:val="22"/>
          <w:szCs w:val="22"/>
        </w:rPr>
        <w:t xml:space="preserve"> humidity ratio formula</w:t>
      </w:r>
      <w:r w:rsidR="0042334D">
        <w:rPr>
          <w:rFonts w:asciiTheme="minorHAnsi" w:hAnsiTheme="minorHAnsi" w:cstheme="minorHAnsi"/>
          <w:sz w:val="22"/>
          <w:szCs w:val="22"/>
        </w:rPr>
        <w:t xml:space="preserve"> [E</w:t>
      </w:r>
      <w:r w:rsidR="00712525">
        <w:rPr>
          <w:rFonts w:asciiTheme="minorHAnsi" w:hAnsiTheme="minorHAnsi" w:cstheme="minorHAnsi"/>
          <w:sz w:val="22"/>
          <w:szCs w:val="22"/>
        </w:rPr>
        <w:t>]</w:t>
      </w:r>
      <w:r w:rsidR="000F59AC">
        <w:rPr>
          <w:rFonts w:asciiTheme="minorHAnsi" w:hAnsiTheme="minorHAnsi" w:cstheme="minorHAnsi"/>
          <w:sz w:val="22"/>
          <w:szCs w:val="22"/>
        </w:rPr>
        <w:t>:</w:t>
      </w:r>
    </w:p>
    <w:p w:rsidR="00DF14AE" w:rsidRDefault="00DF14AE" w:rsidP="0051696C">
      <w:pPr>
        <w:ind w:left="720"/>
        <w:rPr>
          <w:rFonts w:asciiTheme="minorHAnsi" w:hAnsiTheme="minorHAnsi" w:cstheme="minorHAnsi"/>
          <w:sz w:val="22"/>
          <w:szCs w:val="22"/>
        </w:rPr>
      </w:pPr>
    </w:p>
    <w:p w:rsidR="00607948" w:rsidRPr="000F59AC" w:rsidRDefault="0040150E" w:rsidP="00607948">
      <w:pPr>
        <w:ind w:left="720"/>
        <w:rPr>
          <w:rFonts w:asciiTheme="minorHAnsi" w:hAnsiTheme="minorHAnsi" w:cstheme="minorHAnsi"/>
          <w:sz w:val="22"/>
          <w:szCs w:val="22"/>
        </w:rPr>
      </w:pPr>
      <m:oMathPara>
        <m:oMath>
          <m:r>
            <w:rPr>
              <w:rFonts w:ascii="Cambria Math" w:hAnsi="Cambria Math" w:cstheme="minorHAnsi"/>
              <w:sz w:val="22"/>
              <w:szCs w:val="22"/>
            </w:rPr>
            <m:t>w=0.622*</m:t>
          </m:r>
          <m:d>
            <m:dPr>
              <m:ctrlPr>
                <w:rPr>
                  <w:rFonts w:ascii="Cambria Math" w:hAnsi="Cambria Math" w:cstheme="minorHAnsi"/>
                  <w:i/>
                  <w:sz w:val="22"/>
                  <w:szCs w:val="22"/>
                </w:rPr>
              </m:ctrlPr>
            </m:dPr>
            <m:e>
              <m:f>
                <m:fPr>
                  <m:ctrlPr>
                    <w:rPr>
                      <w:rFonts w:ascii="Cambria Math" w:hAnsi="Cambria Math" w:cstheme="minorHAnsi"/>
                      <w:i/>
                      <w:sz w:val="22"/>
                      <w:szCs w:val="22"/>
                    </w:rPr>
                  </m:ctrlPr>
                </m:fPr>
                <m:num>
                  <m:sSub>
                    <m:sSubPr>
                      <m:ctrlPr>
                        <w:rPr>
                          <w:rFonts w:ascii="Cambria Math" w:hAnsi="Cambria Math" w:cstheme="minorHAnsi"/>
                          <w:i/>
                          <w:sz w:val="22"/>
                          <w:szCs w:val="22"/>
                        </w:rPr>
                      </m:ctrlPr>
                    </m:sSubPr>
                    <m:e>
                      <m:r>
                        <w:rPr>
                          <w:rFonts w:ascii="Cambria Math" w:hAnsi="Cambria Math" w:cstheme="minorHAnsi"/>
                          <w:sz w:val="22"/>
                          <w:szCs w:val="22"/>
                        </w:rPr>
                        <m:t>p</m:t>
                      </m:r>
                    </m:e>
                    <m:sub>
                      <m:r>
                        <w:rPr>
                          <w:rFonts w:ascii="Cambria Math" w:hAnsi="Cambria Math" w:cstheme="minorHAnsi"/>
                          <w:sz w:val="22"/>
                          <w:szCs w:val="22"/>
                        </w:rPr>
                        <m:t>v</m:t>
                      </m:r>
                    </m:sub>
                  </m:sSub>
                </m:num>
                <m:den>
                  <m:r>
                    <w:rPr>
                      <w:rFonts w:ascii="Cambria Math" w:hAnsi="Cambria Math" w:cstheme="minorHAnsi"/>
                      <w:sz w:val="22"/>
                      <w:szCs w:val="22"/>
                    </w:rPr>
                    <m:t>p-</m:t>
                  </m:r>
                  <m:sSub>
                    <m:sSubPr>
                      <m:ctrlPr>
                        <w:rPr>
                          <w:rFonts w:ascii="Cambria Math" w:hAnsi="Cambria Math" w:cstheme="minorHAnsi"/>
                          <w:i/>
                          <w:sz w:val="22"/>
                          <w:szCs w:val="22"/>
                        </w:rPr>
                      </m:ctrlPr>
                    </m:sSubPr>
                    <m:e>
                      <m:r>
                        <w:rPr>
                          <w:rFonts w:ascii="Cambria Math" w:hAnsi="Cambria Math" w:cstheme="minorHAnsi"/>
                          <w:sz w:val="22"/>
                          <w:szCs w:val="22"/>
                        </w:rPr>
                        <m:t>p</m:t>
                      </m:r>
                    </m:e>
                    <m:sub>
                      <m:r>
                        <w:rPr>
                          <w:rFonts w:ascii="Cambria Math" w:hAnsi="Cambria Math" w:cstheme="minorHAnsi"/>
                          <w:sz w:val="22"/>
                          <w:szCs w:val="22"/>
                        </w:rPr>
                        <m:t>v</m:t>
                      </m:r>
                    </m:sub>
                  </m:sSub>
                </m:den>
              </m:f>
            </m:e>
          </m:d>
        </m:oMath>
      </m:oMathPara>
    </w:p>
    <w:p w:rsidR="00D50673" w:rsidRPr="00612364" w:rsidRDefault="00D50673" w:rsidP="00607948">
      <w:pPr>
        <w:ind w:left="720"/>
        <w:rPr>
          <w:rFonts w:asciiTheme="minorHAnsi" w:hAnsiTheme="minorHAnsi" w:cstheme="minorHAnsi"/>
          <w:sz w:val="22"/>
          <w:szCs w:val="22"/>
        </w:rPr>
      </w:pPr>
    </w:p>
    <w:p w:rsidR="000F59AC" w:rsidRDefault="000F59AC" w:rsidP="0051696C">
      <w:pPr>
        <w:ind w:left="720"/>
        <w:rPr>
          <w:rFonts w:asciiTheme="minorHAnsi" w:hAnsiTheme="minorHAnsi" w:cstheme="minorHAnsi"/>
          <w:sz w:val="22"/>
          <w:szCs w:val="22"/>
        </w:rPr>
      </w:pPr>
      <w:r>
        <w:rPr>
          <w:rFonts w:asciiTheme="minorHAnsi" w:hAnsiTheme="minorHAnsi" w:cstheme="minorHAnsi"/>
          <w:sz w:val="22"/>
          <w:szCs w:val="22"/>
        </w:rPr>
        <w:t>The same equation written to solve for the vapor pressure of water (</w:t>
      </w:r>
      <w:proofErr w:type="spellStart"/>
      <w:proofErr w:type="gramStart"/>
      <w:r>
        <w:rPr>
          <w:rFonts w:asciiTheme="minorHAnsi" w:hAnsiTheme="minorHAnsi" w:cstheme="minorHAnsi"/>
          <w:sz w:val="22"/>
          <w:szCs w:val="22"/>
        </w:rPr>
        <w:t>p</w:t>
      </w:r>
      <w:r>
        <w:rPr>
          <w:rFonts w:asciiTheme="minorHAnsi" w:hAnsiTheme="minorHAnsi" w:cstheme="minorHAnsi"/>
          <w:sz w:val="22"/>
          <w:szCs w:val="22"/>
          <w:vertAlign w:val="subscript"/>
        </w:rPr>
        <w:t>v</w:t>
      </w:r>
      <w:proofErr w:type="spellEnd"/>
      <w:proofErr w:type="gramEnd"/>
      <w:r>
        <w:rPr>
          <w:rFonts w:asciiTheme="minorHAnsi" w:hAnsiTheme="minorHAnsi" w:cstheme="minorHAnsi"/>
          <w:sz w:val="22"/>
          <w:szCs w:val="22"/>
        </w:rPr>
        <w:t xml:space="preserve">) and converting to </w:t>
      </w:r>
      <w:proofErr w:type="spellStart"/>
      <w:r>
        <w:rPr>
          <w:rFonts w:asciiTheme="minorHAnsi" w:hAnsiTheme="minorHAnsi" w:cstheme="minorHAnsi"/>
          <w:sz w:val="22"/>
          <w:szCs w:val="22"/>
        </w:rPr>
        <w:t>hPa</w:t>
      </w:r>
      <w:proofErr w:type="spellEnd"/>
      <w:r>
        <w:rPr>
          <w:rFonts w:asciiTheme="minorHAnsi" w:hAnsiTheme="minorHAnsi" w:cstheme="minorHAnsi"/>
          <w:sz w:val="22"/>
          <w:szCs w:val="22"/>
        </w:rPr>
        <w:t xml:space="preserve"> as required </w:t>
      </w:r>
      <w:r w:rsidR="007229DA">
        <w:rPr>
          <w:rFonts w:asciiTheme="minorHAnsi" w:hAnsiTheme="minorHAnsi" w:cstheme="minorHAnsi"/>
          <w:sz w:val="22"/>
          <w:szCs w:val="22"/>
        </w:rPr>
        <w:t>for</w:t>
      </w:r>
      <w:r>
        <w:rPr>
          <w:rFonts w:asciiTheme="minorHAnsi" w:hAnsiTheme="minorHAnsi" w:cstheme="minorHAnsi"/>
          <w:sz w:val="22"/>
          <w:szCs w:val="22"/>
        </w:rPr>
        <w:t xml:space="preserve"> the dew point temperature</w:t>
      </w:r>
      <w:r w:rsidR="007229DA">
        <w:rPr>
          <w:rFonts w:asciiTheme="minorHAnsi" w:hAnsiTheme="minorHAnsi" w:cstheme="minorHAnsi"/>
          <w:sz w:val="22"/>
          <w:szCs w:val="22"/>
        </w:rPr>
        <w:t xml:space="preserve"> calculation</w:t>
      </w:r>
      <w:r w:rsidR="00B1721C">
        <w:rPr>
          <w:rFonts w:asciiTheme="minorHAnsi" w:hAnsiTheme="minorHAnsi" w:cstheme="minorHAnsi"/>
          <w:sz w:val="22"/>
          <w:szCs w:val="22"/>
        </w:rPr>
        <w:t xml:space="preserve"> (column AG, worksheet ‘</w:t>
      </w:r>
      <w:r w:rsidR="00B1721C" w:rsidRPr="00B1721C">
        <w:rPr>
          <w:rFonts w:asciiTheme="minorHAnsi" w:hAnsiTheme="minorHAnsi" w:cstheme="minorHAnsi"/>
          <w:sz w:val="22"/>
          <w:szCs w:val="22"/>
        </w:rPr>
        <w:t>hourly weather data</w:t>
      </w:r>
      <w:r w:rsidR="00B1721C">
        <w:rPr>
          <w:rFonts w:asciiTheme="minorHAnsi" w:hAnsiTheme="minorHAnsi" w:cstheme="minorHAnsi"/>
          <w:sz w:val="22"/>
          <w:szCs w:val="22"/>
        </w:rPr>
        <w:t>’)</w:t>
      </w:r>
      <w:r>
        <w:rPr>
          <w:rFonts w:asciiTheme="minorHAnsi" w:hAnsiTheme="minorHAnsi" w:cstheme="minorHAnsi"/>
          <w:sz w:val="22"/>
          <w:szCs w:val="22"/>
        </w:rPr>
        <w:t>:</w:t>
      </w:r>
    </w:p>
    <w:p w:rsidR="000F59AC" w:rsidRDefault="003D7E6F" w:rsidP="0051696C">
      <w:pPr>
        <w:ind w:left="720"/>
        <w:rPr>
          <w:rFonts w:asciiTheme="minorHAnsi" w:hAnsiTheme="minorHAnsi" w:cstheme="minorHAnsi"/>
          <w:sz w:val="22"/>
          <w:szCs w:val="22"/>
        </w:rPr>
      </w:pPr>
      <m:oMathPara>
        <m:oMath>
          <m:sSub>
            <m:sSubPr>
              <m:ctrlPr>
                <w:rPr>
                  <w:rFonts w:ascii="Cambria Math" w:hAnsi="Cambria Math" w:cstheme="minorHAnsi"/>
                  <w:i/>
                  <w:sz w:val="22"/>
                  <w:szCs w:val="22"/>
                </w:rPr>
              </m:ctrlPr>
            </m:sSubPr>
            <m:e>
              <m:r>
                <w:rPr>
                  <w:rFonts w:ascii="Cambria Math" w:hAnsi="Cambria Math" w:cstheme="minorHAnsi"/>
                  <w:sz w:val="22"/>
                  <w:szCs w:val="22"/>
                </w:rPr>
                <m:t>p</m:t>
              </m:r>
            </m:e>
            <m:sub>
              <m:r>
                <w:rPr>
                  <w:rFonts w:ascii="Cambria Math" w:hAnsi="Cambria Math" w:cstheme="minorHAnsi"/>
                  <w:sz w:val="22"/>
                  <w:szCs w:val="22"/>
                </w:rPr>
                <m:t>v</m:t>
              </m:r>
            </m:sub>
          </m:sSub>
          <m:r>
            <w:rPr>
              <w:rFonts w:ascii="Cambria Math" w:hAnsi="Cambria Math" w:cstheme="minorHAnsi"/>
              <w:sz w:val="22"/>
              <w:szCs w:val="22"/>
            </w:rPr>
            <m:t>=</m:t>
          </m:r>
          <m:d>
            <m:dPr>
              <m:ctrlPr>
                <w:rPr>
                  <w:rFonts w:ascii="Cambria Math" w:hAnsi="Cambria Math" w:cstheme="minorHAnsi"/>
                  <w:i/>
                  <w:sz w:val="22"/>
                  <w:szCs w:val="22"/>
                </w:rPr>
              </m:ctrlPr>
            </m:dPr>
            <m:e>
              <m:f>
                <m:fPr>
                  <m:ctrlPr>
                    <w:rPr>
                      <w:rFonts w:ascii="Cambria Math" w:hAnsi="Cambria Math" w:cstheme="minorHAnsi"/>
                      <w:i/>
                      <w:sz w:val="22"/>
                      <w:szCs w:val="22"/>
                    </w:rPr>
                  </m:ctrlPr>
                </m:fPr>
                <m:num>
                  <m:r>
                    <w:rPr>
                      <w:rFonts w:ascii="Cambria Math" w:hAnsi="Cambria Math" w:cstheme="minorHAnsi"/>
                      <w:sz w:val="22"/>
                      <w:szCs w:val="22"/>
                    </w:rPr>
                    <m:t>w*p*33.863</m:t>
                  </m:r>
                  <m:box>
                    <m:boxPr>
                      <m:ctrlPr>
                        <w:rPr>
                          <w:rFonts w:ascii="Cambria Math" w:hAnsi="Cambria Math" w:cstheme="minorHAnsi"/>
                          <w:i/>
                          <w:sz w:val="22"/>
                          <w:szCs w:val="22"/>
                        </w:rPr>
                      </m:ctrlPr>
                    </m:boxPr>
                    <m:e>
                      <m:argPr>
                        <m:argSz m:val="-1"/>
                      </m:argPr>
                      <m:f>
                        <m:fPr>
                          <m:ctrlPr>
                            <w:rPr>
                              <w:rFonts w:ascii="Cambria Math" w:hAnsi="Cambria Math" w:cstheme="minorHAnsi"/>
                              <w:i/>
                              <w:sz w:val="22"/>
                              <w:szCs w:val="22"/>
                            </w:rPr>
                          </m:ctrlPr>
                        </m:fPr>
                        <m:num>
                          <m:r>
                            <w:rPr>
                              <w:rFonts w:ascii="Cambria Math" w:hAnsi="Cambria Math" w:cstheme="minorHAnsi"/>
                              <w:sz w:val="22"/>
                              <w:szCs w:val="22"/>
                            </w:rPr>
                            <m:t>hPa</m:t>
                          </m:r>
                        </m:num>
                        <m:den>
                          <m:r>
                            <w:rPr>
                              <w:rFonts w:ascii="Cambria Math" w:hAnsi="Cambria Math" w:cstheme="minorHAnsi"/>
                              <w:sz w:val="22"/>
                              <w:szCs w:val="22"/>
                            </w:rPr>
                            <m:t>in Hg</m:t>
                          </m:r>
                        </m:den>
                      </m:f>
                    </m:e>
                  </m:box>
                </m:num>
                <m:den>
                  <m:r>
                    <w:rPr>
                      <w:rFonts w:ascii="Cambria Math" w:hAnsi="Cambria Math" w:cstheme="minorHAnsi"/>
                      <w:sz w:val="22"/>
                      <w:szCs w:val="22"/>
                    </w:rPr>
                    <m:t>0.622+w</m:t>
                  </m:r>
                </m:den>
              </m:f>
            </m:e>
          </m:d>
        </m:oMath>
      </m:oMathPara>
    </w:p>
    <w:p w:rsidR="00FB1D4A" w:rsidRDefault="00FB1D4A" w:rsidP="0051696C">
      <w:pPr>
        <w:ind w:left="720"/>
        <w:rPr>
          <w:rFonts w:asciiTheme="minorHAnsi" w:hAnsiTheme="minorHAnsi" w:cstheme="minorHAnsi"/>
          <w:sz w:val="22"/>
          <w:szCs w:val="22"/>
        </w:rPr>
      </w:pPr>
    </w:p>
    <w:p w:rsidR="00A62D6D" w:rsidRDefault="00A62D6D" w:rsidP="0051696C">
      <w:pPr>
        <w:ind w:left="720"/>
        <w:rPr>
          <w:rFonts w:asciiTheme="minorHAnsi" w:hAnsiTheme="minorHAnsi" w:cstheme="minorHAnsi"/>
          <w:sz w:val="22"/>
          <w:szCs w:val="22"/>
        </w:rPr>
      </w:pPr>
      <w:r>
        <w:rPr>
          <w:rFonts w:asciiTheme="minorHAnsi" w:hAnsiTheme="minorHAnsi" w:cstheme="minorHAnsi"/>
          <w:sz w:val="22"/>
          <w:szCs w:val="22"/>
        </w:rPr>
        <w:t>N</w:t>
      </w:r>
      <w:r w:rsidR="00B1721C">
        <w:rPr>
          <w:rFonts w:asciiTheme="minorHAnsi" w:hAnsiTheme="minorHAnsi" w:cstheme="minorHAnsi"/>
          <w:sz w:val="22"/>
          <w:szCs w:val="22"/>
        </w:rPr>
        <w:t xml:space="preserve">ext the dew point temperature </w:t>
      </w:r>
      <w:r w:rsidR="00902D2D">
        <w:rPr>
          <w:rFonts w:asciiTheme="minorHAnsi" w:hAnsiTheme="minorHAnsi" w:cstheme="minorHAnsi"/>
          <w:sz w:val="22"/>
          <w:szCs w:val="22"/>
        </w:rPr>
        <w:t xml:space="preserve">(°C) </w:t>
      </w:r>
      <w:r w:rsidR="00B1721C">
        <w:rPr>
          <w:rFonts w:asciiTheme="minorHAnsi" w:hAnsiTheme="minorHAnsi" w:cstheme="minorHAnsi"/>
          <w:sz w:val="22"/>
          <w:szCs w:val="22"/>
        </w:rPr>
        <w:t>i</w:t>
      </w:r>
      <w:r>
        <w:rPr>
          <w:rFonts w:asciiTheme="minorHAnsi" w:hAnsiTheme="minorHAnsi" w:cstheme="minorHAnsi"/>
          <w:sz w:val="22"/>
          <w:szCs w:val="22"/>
        </w:rPr>
        <w:t>s calculated</w:t>
      </w:r>
      <w:r w:rsidR="00B1721C">
        <w:rPr>
          <w:rFonts w:asciiTheme="minorHAnsi" w:hAnsiTheme="minorHAnsi" w:cstheme="minorHAnsi"/>
          <w:sz w:val="22"/>
          <w:szCs w:val="22"/>
        </w:rPr>
        <w:t xml:space="preserve"> </w:t>
      </w:r>
      <w:r w:rsidR="00F147E0">
        <w:rPr>
          <w:rFonts w:asciiTheme="minorHAnsi" w:hAnsiTheme="minorHAnsi" w:cstheme="minorHAnsi"/>
          <w:sz w:val="22"/>
          <w:szCs w:val="22"/>
        </w:rPr>
        <w:t xml:space="preserve">in </w:t>
      </w:r>
      <w:r w:rsidR="00B1721C">
        <w:rPr>
          <w:rFonts w:asciiTheme="minorHAnsi" w:hAnsiTheme="minorHAnsi" w:cstheme="minorHAnsi"/>
          <w:sz w:val="22"/>
          <w:szCs w:val="22"/>
        </w:rPr>
        <w:t xml:space="preserve">column AH, </w:t>
      </w:r>
      <w:r w:rsidR="00F147E0">
        <w:rPr>
          <w:rFonts w:asciiTheme="minorHAnsi" w:hAnsiTheme="minorHAnsi" w:cstheme="minorHAnsi"/>
          <w:sz w:val="22"/>
          <w:szCs w:val="22"/>
        </w:rPr>
        <w:t xml:space="preserve">of </w:t>
      </w:r>
      <w:r w:rsidR="00B1721C">
        <w:rPr>
          <w:rFonts w:asciiTheme="minorHAnsi" w:hAnsiTheme="minorHAnsi" w:cstheme="minorHAnsi"/>
          <w:sz w:val="22"/>
          <w:szCs w:val="22"/>
        </w:rPr>
        <w:t>worksheet ‘</w:t>
      </w:r>
      <w:r w:rsidR="00B1721C" w:rsidRPr="00B1721C">
        <w:rPr>
          <w:rFonts w:asciiTheme="minorHAnsi" w:hAnsiTheme="minorHAnsi" w:cstheme="minorHAnsi"/>
          <w:sz w:val="22"/>
          <w:szCs w:val="22"/>
        </w:rPr>
        <w:t>hourly weather data</w:t>
      </w:r>
      <w:r w:rsidR="00B1721C">
        <w:rPr>
          <w:rFonts w:asciiTheme="minorHAnsi" w:hAnsiTheme="minorHAnsi" w:cstheme="minorHAnsi"/>
          <w:sz w:val="22"/>
          <w:szCs w:val="22"/>
        </w:rPr>
        <w:t>’</w:t>
      </w:r>
      <w:r w:rsidR="00902D2D">
        <w:rPr>
          <w:rFonts w:asciiTheme="minorHAnsi" w:hAnsiTheme="minorHAnsi" w:cstheme="minorHAnsi"/>
          <w:sz w:val="22"/>
          <w:szCs w:val="22"/>
        </w:rPr>
        <w:t xml:space="preserve"> [C]</w:t>
      </w:r>
      <w:r>
        <w:rPr>
          <w:rFonts w:asciiTheme="minorHAnsi" w:hAnsiTheme="minorHAnsi" w:cstheme="minorHAnsi"/>
          <w:sz w:val="22"/>
          <w:szCs w:val="22"/>
        </w:rPr>
        <w:t>:</w:t>
      </w:r>
    </w:p>
    <w:p w:rsidR="000F59AC" w:rsidRDefault="003D7E6F" w:rsidP="0051696C">
      <w:pPr>
        <w:ind w:left="720"/>
        <w:jc w:val="center"/>
        <w:rPr>
          <w:rFonts w:asciiTheme="minorHAnsi" w:hAnsiTheme="minorHAnsi" w:cstheme="minorHAnsi"/>
          <w:sz w:val="22"/>
          <w:szCs w:val="22"/>
        </w:rPr>
      </w:pPr>
      <m:oMathPara>
        <m:oMath>
          <m:sSub>
            <m:sSubPr>
              <m:ctrlPr>
                <w:rPr>
                  <w:rFonts w:ascii="Cambria Math" w:hAnsi="Cambria Math" w:cstheme="minorHAnsi"/>
                  <w:i/>
                  <w:sz w:val="22"/>
                  <w:szCs w:val="22"/>
                </w:rPr>
              </m:ctrlPr>
            </m:sSubPr>
            <m:e>
              <m:r>
                <w:rPr>
                  <w:rFonts w:ascii="Cambria Math" w:hAnsi="Cambria Math" w:cstheme="minorHAnsi"/>
                  <w:sz w:val="22"/>
                  <w:szCs w:val="22"/>
                </w:rPr>
                <m:t>T</m:t>
              </m:r>
            </m:e>
            <m:sub>
              <m:r>
                <w:rPr>
                  <w:rFonts w:ascii="Cambria Math" w:hAnsi="Cambria Math" w:cstheme="minorHAnsi"/>
                  <w:sz w:val="22"/>
                  <w:szCs w:val="22"/>
                </w:rPr>
                <m:t>d, C</m:t>
              </m:r>
            </m:sub>
          </m:sSub>
          <m:r>
            <w:rPr>
              <w:rFonts w:ascii="Cambria Math" w:hAnsi="Cambria Math" w:cstheme="minorHAnsi"/>
              <w:sz w:val="22"/>
              <w:szCs w:val="22"/>
            </w:rPr>
            <m:t>=</m:t>
          </m:r>
          <m:f>
            <m:fPr>
              <m:ctrlPr>
                <w:rPr>
                  <w:rFonts w:ascii="Cambria Math" w:hAnsi="Cambria Math" w:cstheme="minorHAnsi"/>
                  <w:i/>
                  <w:sz w:val="22"/>
                  <w:szCs w:val="22"/>
                </w:rPr>
              </m:ctrlPr>
            </m:fPr>
            <m:num>
              <m:sSub>
                <m:sSubPr>
                  <m:ctrlPr>
                    <w:rPr>
                      <w:rFonts w:ascii="Cambria Math" w:hAnsi="Cambria Math" w:cstheme="minorHAnsi"/>
                      <w:i/>
                      <w:sz w:val="22"/>
                      <w:szCs w:val="22"/>
                    </w:rPr>
                  </m:ctrlPr>
                </m:sSubPr>
                <m:e>
                  <m:r>
                    <w:rPr>
                      <w:rFonts w:ascii="Cambria Math" w:hAnsi="Cambria Math" w:cstheme="minorHAnsi"/>
                      <w:sz w:val="22"/>
                      <w:szCs w:val="22"/>
                    </w:rPr>
                    <m:t>T</m:t>
                  </m:r>
                </m:e>
                <m:sub>
                  <m:r>
                    <w:rPr>
                      <w:rFonts w:ascii="Cambria Math" w:hAnsi="Cambria Math" w:cstheme="minorHAnsi"/>
                      <w:sz w:val="22"/>
                      <w:szCs w:val="22"/>
                    </w:rPr>
                    <m:t>n</m:t>
                  </m:r>
                </m:sub>
              </m:sSub>
            </m:num>
            <m:den>
              <m:d>
                <m:dPr>
                  <m:begChr m:val="["/>
                  <m:endChr m:val="]"/>
                  <m:ctrlPr>
                    <w:rPr>
                      <w:rFonts w:ascii="Cambria Math" w:hAnsi="Cambria Math" w:cstheme="minorHAnsi"/>
                      <w:i/>
                      <w:sz w:val="22"/>
                      <w:szCs w:val="22"/>
                    </w:rPr>
                  </m:ctrlPr>
                </m:dPr>
                <m:e>
                  <m:f>
                    <m:fPr>
                      <m:ctrlPr>
                        <w:rPr>
                          <w:rFonts w:ascii="Cambria Math" w:hAnsi="Cambria Math" w:cstheme="minorHAnsi"/>
                          <w:i/>
                          <w:sz w:val="22"/>
                          <w:szCs w:val="22"/>
                        </w:rPr>
                      </m:ctrlPr>
                    </m:fPr>
                    <m:num>
                      <m:r>
                        <w:rPr>
                          <w:rFonts w:ascii="Cambria Math" w:hAnsi="Cambria Math" w:cstheme="minorHAnsi"/>
                          <w:sz w:val="22"/>
                          <w:szCs w:val="22"/>
                        </w:rPr>
                        <m:t>m</m:t>
                      </m:r>
                    </m:num>
                    <m:den>
                      <m:r>
                        <w:rPr>
                          <w:rFonts w:ascii="Cambria Math" w:hAnsi="Cambria Math" w:cstheme="minorHAnsi"/>
                          <w:sz w:val="22"/>
                          <w:szCs w:val="22"/>
                        </w:rPr>
                        <m:t>log</m:t>
                      </m:r>
                      <m:d>
                        <m:dPr>
                          <m:ctrlPr>
                            <w:rPr>
                              <w:rFonts w:ascii="Cambria Math" w:hAnsi="Cambria Math" w:cstheme="minorHAnsi"/>
                              <w:i/>
                              <w:sz w:val="22"/>
                              <w:szCs w:val="22"/>
                            </w:rPr>
                          </m:ctrlPr>
                        </m:dPr>
                        <m:e>
                          <m:f>
                            <m:fPr>
                              <m:ctrlPr>
                                <w:rPr>
                                  <w:rFonts w:ascii="Cambria Math" w:hAnsi="Cambria Math" w:cstheme="minorHAnsi"/>
                                  <w:i/>
                                  <w:sz w:val="22"/>
                                  <w:szCs w:val="22"/>
                                </w:rPr>
                              </m:ctrlPr>
                            </m:fPr>
                            <m:num>
                              <m:sSub>
                                <m:sSubPr>
                                  <m:ctrlPr>
                                    <w:rPr>
                                      <w:rFonts w:ascii="Cambria Math" w:hAnsi="Cambria Math" w:cstheme="minorHAnsi"/>
                                      <w:i/>
                                      <w:sz w:val="22"/>
                                      <w:szCs w:val="22"/>
                                    </w:rPr>
                                  </m:ctrlPr>
                                </m:sSubPr>
                                <m:e>
                                  <m:r>
                                    <w:rPr>
                                      <w:rFonts w:ascii="Cambria Math" w:hAnsi="Cambria Math" w:cstheme="minorHAnsi"/>
                                      <w:sz w:val="22"/>
                                      <w:szCs w:val="22"/>
                                    </w:rPr>
                                    <m:t>p</m:t>
                                  </m:r>
                                </m:e>
                                <m:sub>
                                  <m:r>
                                    <w:rPr>
                                      <w:rFonts w:ascii="Cambria Math" w:hAnsi="Cambria Math" w:cstheme="minorHAnsi"/>
                                      <w:sz w:val="22"/>
                                      <w:szCs w:val="22"/>
                                    </w:rPr>
                                    <m:t>v</m:t>
                                  </m:r>
                                </m:sub>
                              </m:sSub>
                            </m:num>
                            <m:den>
                              <m:r>
                                <w:rPr>
                                  <w:rFonts w:ascii="Cambria Math" w:hAnsi="Cambria Math" w:cstheme="minorHAnsi"/>
                                  <w:sz w:val="22"/>
                                  <w:szCs w:val="22"/>
                                </w:rPr>
                                <m:t>A</m:t>
                              </m:r>
                            </m:den>
                          </m:f>
                        </m:e>
                      </m:d>
                    </m:den>
                  </m:f>
                  <m:r>
                    <w:rPr>
                      <w:rFonts w:ascii="Cambria Math" w:hAnsi="Cambria Math" w:cstheme="minorHAnsi"/>
                      <w:sz w:val="22"/>
                      <w:szCs w:val="22"/>
                    </w:rPr>
                    <m:t>-1</m:t>
                  </m:r>
                </m:e>
              </m:d>
            </m:den>
          </m:f>
        </m:oMath>
      </m:oMathPara>
    </w:p>
    <w:p w:rsidR="00902D2D" w:rsidRDefault="00902D2D" w:rsidP="0051696C">
      <w:pPr>
        <w:ind w:firstLine="720"/>
        <w:rPr>
          <w:rFonts w:asciiTheme="minorHAnsi" w:hAnsiTheme="minorHAnsi" w:cstheme="minorHAnsi"/>
          <w:sz w:val="22"/>
          <w:szCs w:val="22"/>
        </w:rPr>
      </w:pPr>
    </w:p>
    <w:p w:rsidR="00B1721C" w:rsidRDefault="00BA43A7" w:rsidP="0051696C">
      <w:pPr>
        <w:ind w:firstLine="720"/>
        <w:rPr>
          <w:rFonts w:asciiTheme="minorHAnsi" w:hAnsiTheme="minorHAnsi" w:cstheme="minorHAnsi"/>
          <w:sz w:val="22"/>
          <w:szCs w:val="22"/>
        </w:rPr>
      </w:pPr>
      <w:r>
        <w:rPr>
          <w:rFonts w:asciiTheme="minorHAnsi" w:hAnsiTheme="minorHAnsi" w:cstheme="minorHAnsi"/>
          <w:sz w:val="22"/>
          <w:szCs w:val="22"/>
        </w:rPr>
        <w:t>W</w:t>
      </w:r>
      <w:r w:rsidR="00B1721C">
        <w:rPr>
          <w:rFonts w:asciiTheme="minorHAnsi" w:hAnsiTheme="minorHAnsi" w:cstheme="minorHAnsi"/>
          <w:sz w:val="22"/>
          <w:szCs w:val="22"/>
        </w:rPr>
        <w:t xml:space="preserve">here m, A, and </w:t>
      </w:r>
      <w:proofErr w:type="spellStart"/>
      <w:proofErr w:type="gramStart"/>
      <w:r w:rsidR="00B1721C">
        <w:rPr>
          <w:rFonts w:asciiTheme="minorHAnsi" w:hAnsiTheme="minorHAnsi" w:cstheme="minorHAnsi"/>
          <w:sz w:val="22"/>
          <w:szCs w:val="22"/>
        </w:rPr>
        <w:t>T</w:t>
      </w:r>
      <w:r w:rsidR="00B1721C" w:rsidRPr="0051696C">
        <w:rPr>
          <w:rFonts w:asciiTheme="minorHAnsi" w:hAnsiTheme="minorHAnsi" w:cstheme="minorHAnsi"/>
          <w:sz w:val="22"/>
          <w:szCs w:val="22"/>
          <w:vertAlign w:val="subscript"/>
        </w:rPr>
        <w:t>n</w:t>
      </w:r>
      <w:proofErr w:type="spellEnd"/>
      <w:proofErr w:type="gramEnd"/>
      <w:r w:rsidR="00B1721C">
        <w:rPr>
          <w:rFonts w:asciiTheme="minorHAnsi" w:hAnsiTheme="minorHAnsi" w:cstheme="minorHAnsi"/>
          <w:sz w:val="22"/>
          <w:szCs w:val="22"/>
        </w:rPr>
        <w:t xml:space="preserve"> are constants.</w:t>
      </w:r>
    </w:p>
    <w:p w:rsidR="00B1721C" w:rsidRDefault="00B1721C" w:rsidP="0051696C">
      <w:pPr>
        <w:ind w:left="720"/>
        <w:rPr>
          <w:rFonts w:asciiTheme="minorHAnsi" w:hAnsiTheme="minorHAnsi" w:cstheme="minorHAnsi"/>
          <w:sz w:val="22"/>
          <w:szCs w:val="22"/>
        </w:rPr>
      </w:pPr>
    </w:p>
    <w:p w:rsidR="002A7596" w:rsidRDefault="002A7596" w:rsidP="0051696C">
      <w:pPr>
        <w:ind w:left="720"/>
        <w:rPr>
          <w:rFonts w:asciiTheme="minorHAnsi" w:hAnsiTheme="minorHAnsi" w:cstheme="minorHAnsi"/>
          <w:sz w:val="22"/>
          <w:szCs w:val="22"/>
        </w:rPr>
      </w:pPr>
      <w:r>
        <w:rPr>
          <w:rFonts w:asciiTheme="minorHAnsi" w:hAnsiTheme="minorHAnsi" w:cstheme="minorHAnsi"/>
          <w:sz w:val="22"/>
          <w:szCs w:val="22"/>
        </w:rPr>
        <w:t xml:space="preserve">This </w:t>
      </w:r>
      <w:r w:rsidR="00B1721C">
        <w:rPr>
          <w:rFonts w:asciiTheme="minorHAnsi" w:hAnsiTheme="minorHAnsi" w:cstheme="minorHAnsi"/>
          <w:sz w:val="22"/>
          <w:szCs w:val="22"/>
        </w:rPr>
        <w:t>is</w:t>
      </w:r>
      <w:r>
        <w:rPr>
          <w:rFonts w:asciiTheme="minorHAnsi" w:hAnsiTheme="minorHAnsi" w:cstheme="minorHAnsi"/>
          <w:sz w:val="22"/>
          <w:szCs w:val="22"/>
        </w:rPr>
        <w:t xml:space="preserve"> converted to Fahrenheit (T, °F) </w:t>
      </w:r>
      <w:r w:rsidR="00F147E0">
        <w:rPr>
          <w:rFonts w:asciiTheme="minorHAnsi" w:hAnsiTheme="minorHAnsi" w:cstheme="minorHAnsi"/>
          <w:sz w:val="22"/>
          <w:szCs w:val="22"/>
        </w:rPr>
        <w:t>in column AI, worksheet ‘</w:t>
      </w:r>
      <w:r w:rsidR="00F147E0" w:rsidRPr="00B1721C">
        <w:rPr>
          <w:rFonts w:asciiTheme="minorHAnsi" w:hAnsiTheme="minorHAnsi" w:cstheme="minorHAnsi"/>
          <w:sz w:val="22"/>
          <w:szCs w:val="22"/>
        </w:rPr>
        <w:t>hourly weather data</w:t>
      </w:r>
      <w:r w:rsidR="00F147E0">
        <w:rPr>
          <w:rFonts w:asciiTheme="minorHAnsi" w:hAnsiTheme="minorHAnsi" w:cstheme="minorHAnsi"/>
          <w:sz w:val="22"/>
          <w:szCs w:val="22"/>
        </w:rPr>
        <w:t>’</w:t>
      </w:r>
      <w:r>
        <w:rPr>
          <w:rFonts w:asciiTheme="minorHAnsi" w:hAnsiTheme="minorHAnsi" w:cstheme="minorHAnsi"/>
          <w:sz w:val="22"/>
          <w:szCs w:val="22"/>
        </w:rPr>
        <w:t>:</w:t>
      </w:r>
    </w:p>
    <w:p w:rsidR="002A7596" w:rsidRDefault="002A7596" w:rsidP="002A7596">
      <w:pPr>
        <w:ind w:left="360"/>
        <w:rPr>
          <w:rFonts w:asciiTheme="minorHAnsi" w:hAnsiTheme="minorHAnsi" w:cstheme="minorHAnsi"/>
          <w:sz w:val="22"/>
          <w:szCs w:val="22"/>
        </w:rPr>
      </w:pPr>
    </w:p>
    <w:p w:rsidR="002A7596" w:rsidRPr="0026463E" w:rsidRDefault="003D7E6F" w:rsidP="002A7596">
      <w:pPr>
        <w:ind w:left="360"/>
        <w:rPr>
          <w:rFonts w:ascii="Cambria Math" w:hAnsi="Cambria Math" w:cstheme="minorHAnsi"/>
          <w:i/>
          <w:sz w:val="22"/>
          <w:szCs w:val="22"/>
        </w:rPr>
      </w:pPr>
      <m:oMathPara>
        <m:oMath>
          <m:sSub>
            <m:sSubPr>
              <m:ctrlPr>
                <w:rPr>
                  <w:rFonts w:ascii="Cambria Math" w:hAnsi="Cambria Math" w:cstheme="minorHAnsi"/>
                  <w:i/>
                  <w:sz w:val="22"/>
                  <w:szCs w:val="22"/>
                </w:rPr>
              </m:ctrlPr>
            </m:sSubPr>
            <m:e>
              <m:r>
                <w:rPr>
                  <w:rFonts w:ascii="Cambria Math" w:hAnsi="Cambria Math" w:cstheme="minorHAnsi"/>
                  <w:sz w:val="22"/>
                  <w:szCs w:val="22"/>
                </w:rPr>
                <m:t>T</m:t>
              </m:r>
            </m:e>
            <m:sub>
              <m:r>
                <w:rPr>
                  <w:rFonts w:ascii="Cambria Math" w:hAnsi="Cambria Math" w:cstheme="minorHAnsi"/>
                  <w:sz w:val="22"/>
                  <w:szCs w:val="22"/>
                </w:rPr>
                <m:t>d, F</m:t>
              </m:r>
            </m:sub>
          </m:sSub>
          <m:r>
            <w:rPr>
              <w:rFonts w:ascii="Cambria Math" w:hAnsi="Cambria Math" w:cstheme="minorHAnsi"/>
              <w:sz w:val="22"/>
              <w:szCs w:val="22"/>
            </w:rPr>
            <m:t>=</m:t>
          </m:r>
          <m:d>
            <m:dPr>
              <m:ctrlPr>
                <w:rPr>
                  <w:rFonts w:ascii="Cambria Math" w:hAnsi="Cambria Math" w:cstheme="minorHAnsi"/>
                  <w:i/>
                  <w:sz w:val="22"/>
                  <w:szCs w:val="22"/>
                </w:rPr>
              </m:ctrlPr>
            </m:dPr>
            <m:e>
              <m:f>
                <m:fPr>
                  <m:ctrlPr>
                    <w:rPr>
                      <w:rFonts w:ascii="Cambria Math" w:hAnsi="Cambria Math" w:cstheme="minorHAnsi"/>
                      <w:i/>
                      <w:sz w:val="22"/>
                      <w:szCs w:val="22"/>
                    </w:rPr>
                  </m:ctrlPr>
                </m:fPr>
                <m:num>
                  <m:r>
                    <w:rPr>
                      <w:rFonts w:ascii="Cambria Math" w:hAnsi="Cambria Math" w:cstheme="minorHAnsi"/>
                      <w:sz w:val="22"/>
                      <w:szCs w:val="22"/>
                    </w:rPr>
                    <m:t>9</m:t>
                  </m:r>
                </m:num>
                <m:den>
                  <m:r>
                    <w:rPr>
                      <w:rFonts w:ascii="Cambria Math" w:hAnsi="Cambria Math" w:cstheme="minorHAnsi"/>
                      <w:sz w:val="22"/>
                      <w:szCs w:val="22"/>
                    </w:rPr>
                    <m:t>5</m:t>
                  </m:r>
                </m:den>
              </m:f>
            </m:e>
          </m:d>
          <m:sSub>
            <m:sSubPr>
              <m:ctrlPr>
                <w:rPr>
                  <w:rFonts w:ascii="Cambria Math" w:hAnsi="Cambria Math" w:cstheme="minorHAnsi"/>
                  <w:i/>
                  <w:sz w:val="22"/>
                  <w:szCs w:val="22"/>
                </w:rPr>
              </m:ctrlPr>
            </m:sSubPr>
            <m:e>
              <m:r>
                <w:rPr>
                  <w:rFonts w:ascii="Cambria Math" w:hAnsi="Cambria Math" w:cstheme="minorHAnsi"/>
                  <w:sz w:val="22"/>
                  <w:szCs w:val="22"/>
                </w:rPr>
                <m:t>T</m:t>
              </m:r>
            </m:e>
            <m:sub>
              <m:r>
                <w:rPr>
                  <w:rFonts w:ascii="Cambria Math" w:hAnsi="Cambria Math" w:cstheme="minorHAnsi"/>
                  <w:sz w:val="22"/>
                  <w:szCs w:val="22"/>
                </w:rPr>
                <m:t>d,C</m:t>
              </m:r>
            </m:sub>
          </m:sSub>
          <m:r>
            <w:rPr>
              <w:rFonts w:ascii="Cambria Math" w:hAnsi="Cambria Math" w:cstheme="minorHAnsi"/>
              <w:sz w:val="22"/>
              <w:szCs w:val="22"/>
            </w:rPr>
            <m:t>+32</m:t>
          </m:r>
        </m:oMath>
      </m:oMathPara>
    </w:p>
    <w:p w:rsidR="002A7596" w:rsidRDefault="002A7596" w:rsidP="0051696C">
      <w:pPr>
        <w:ind w:left="720"/>
        <w:rPr>
          <w:rFonts w:asciiTheme="minorHAnsi" w:hAnsiTheme="minorHAnsi" w:cstheme="minorHAnsi"/>
          <w:sz w:val="22"/>
          <w:szCs w:val="22"/>
        </w:rPr>
      </w:pPr>
    </w:p>
    <w:p w:rsidR="00607948" w:rsidRDefault="00607948" w:rsidP="00607948">
      <w:pPr>
        <w:numPr>
          <w:ilvl w:val="0"/>
          <w:numId w:val="15"/>
        </w:numPr>
        <w:rPr>
          <w:rFonts w:asciiTheme="minorHAnsi" w:hAnsiTheme="minorHAnsi" w:cstheme="minorHAnsi"/>
          <w:sz w:val="22"/>
          <w:szCs w:val="22"/>
        </w:rPr>
      </w:pPr>
      <w:r w:rsidRPr="00612364">
        <w:rPr>
          <w:rFonts w:asciiTheme="minorHAnsi" w:hAnsiTheme="minorHAnsi" w:cstheme="minorHAnsi"/>
          <w:sz w:val="22"/>
          <w:szCs w:val="22"/>
        </w:rPr>
        <w:t xml:space="preserve">The </w:t>
      </w:r>
      <w:r w:rsidR="00EA4753">
        <w:rPr>
          <w:rFonts w:asciiTheme="minorHAnsi" w:hAnsiTheme="minorHAnsi" w:cstheme="minorHAnsi"/>
          <w:sz w:val="22"/>
          <w:szCs w:val="22"/>
        </w:rPr>
        <w:t>e</w:t>
      </w:r>
      <w:r w:rsidRPr="00612364">
        <w:rPr>
          <w:rFonts w:asciiTheme="minorHAnsi" w:hAnsiTheme="minorHAnsi" w:cstheme="minorHAnsi"/>
          <w:sz w:val="22"/>
          <w:szCs w:val="22"/>
        </w:rPr>
        <w:t xml:space="preserve">nergy </w:t>
      </w:r>
      <w:r w:rsidR="00EA4753">
        <w:rPr>
          <w:rFonts w:asciiTheme="minorHAnsi" w:hAnsiTheme="minorHAnsi" w:cstheme="minorHAnsi"/>
          <w:sz w:val="22"/>
          <w:szCs w:val="22"/>
        </w:rPr>
        <w:t>s</w:t>
      </w:r>
      <w:r w:rsidRPr="00612364">
        <w:rPr>
          <w:rFonts w:asciiTheme="minorHAnsi" w:hAnsiTheme="minorHAnsi" w:cstheme="minorHAnsi"/>
          <w:sz w:val="22"/>
          <w:szCs w:val="22"/>
        </w:rPr>
        <w:t xml:space="preserve">avings </w:t>
      </w:r>
      <w:r w:rsidR="00EA4753">
        <w:rPr>
          <w:rFonts w:asciiTheme="minorHAnsi" w:hAnsiTheme="minorHAnsi" w:cstheme="minorHAnsi"/>
          <w:sz w:val="22"/>
          <w:szCs w:val="22"/>
        </w:rPr>
        <w:t>a</w:t>
      </w:r>
      <w:r w:rsidRPr="00612364">
        <w:rPr>
          <w:rFonts w:asciiTheme="minorHAnsi" w:hAnsiTheme="minorHAnsi" w:cstheme="minorHAnsi"/>
          <w:sz w:val="22"/>
          <w:szCs w:val="22"/>
        </w:rPr>
        <w:t xml:space="preserve">djustment </w:t>
      </w:r>
      <w:r w:rsidR="00EA4753">
        <w:rPr>
          <w:rFonts w:asciiTheme="minorHAnsi" w:hAnsiTheme="minorHAnsi" w:cstheme="minorHAnsi"/>
          <w:sz w:val="22"/>
          <w:szCs w:val="22"/>
        </w:rPr>
        <w:t>f</w:t>
      </w:r>
      <w:r w:rsidRPr="00612364">
        <w:rPr>
          <w:rFonts w:asciiTheme="minorHAnsi" w:hAnsiTheme="minorHAnsi" w:cstheme="minorHAnsi"/>
          <w:sz w:val="22"/>
          <w:szCs w:val="22"/>
        </w:rPr>
        <w:t xml:space="preserve">actor (ESAF) is calculated as the ratio of the total cooling hours that may be satisfied </w:t>
      </w:r>
      <w:r>
        <w:rPr>
          <w:rFonts w:asciiTheme="minorHAnsi" w:hAnsiTheme="minorHAnsi" w:cstheme="minorHAnsi"/>
          <w:sz w:val="22"/>
          <w:szCs w:val="22"/>
        </w:rPr>
        <w:t xml:space="preserve">by </w:t>
      </w:r>
      <w:r w:rsidRPr="00612364">
        <w:rPr>
          <w:rFonts w:asciiTheme="minorHAnsi" w:hAnsiTheme="minorHAnsi" w:cstheme="minorHAnsi"/>
          <w:sz w:val="22"/>
          <w:szCs w:val="22"/>
        </w:rPr>
        <w:t>a direct evaporative cooler</w:t>
      </w:r>
      <w:r>
        <w:rPr>
          <w:rFonts w:asciiTheme="minorHAnsi" w:hAnsiTheme="minorHAnsi" w:cstheme="minorHAnsi"/>
          <w:sz w:val="22"/>
          <w:szCs w:val="22"/>
        </w:rPr>
        <w:t xml:space="preserve"> </w:t>
      </w:r>
      <w:r w:rsidRPr="00612364">
        <w:rPr>
          <w:rFonts w:asciiTheme="minorHAnsi" w:hAnsiTheme="minorHAnsi" w:cstheme="minorHAnsi"/>
          <w:sz w:val="22"/>
          <w:szCs w:val="22"/>
        </w:rPr>
        <w:t>to the total number of hours in the year that may require cooling</w:t>
      </w:r>
      <w:r>
        <w:rPr>
          <w:rFonts w:asciiTheme="minorHAnsi" w:hAnsiTheme="minorHAnsi" w:cstheme="minorHAnsi"/>
          <w:sz w:val="22"/>
          <w:szCs w:val="22"/>
        </w:rPr>
        <w:t xml:space="preserve">: </w:t>
      </w:r>
    </w:p>
    <w:p w:rsidR="00607948" w:rsidRDefault="00607948" w:rsidP="00607948">
      <w:pPr>
        <w:pStyle w:val="ListParagraph"/>
        <w:rPr>
          <w:rFonts w:asciiTheme="minorHAnsi" w:hAnsiTheme="minorHAnsi" w:cstheme="minorHAnsi"/>
          <w:sz w:val="22"/>
          <w:szCs w:val="22"/>
        </w:rPr>
      </w:pPr>
    </w:p>
    <w:p w:rsidR="00607948" w:rsidRDefault="00607948" w:rsidP="00607948">
      <w:pPr>
        <w:ind w:left="360"/>
        <w:rPr>
          <w:rFonts w:asciiTheme="minorHAnsi" w:hAnsiTheme="minorHAnsi" w:cstheme="minorHAnsi"/>
          <w:sz w:val="22"/>
          <w:szCs w:val="22"/>
        </w:rPr>
      </w:pPr>
      <m:oMathPara>
        <m:oMath>
          <m:r>
            <w:rPr>
              <w:rFonts w:ascii="Cambria Math" w:hAnsi="Cambria Math" w:cstheme="minorHAnsi"/>
              <w:sz w:val="22"/>
              <w:szCs w:val="22"/>
            </w:rPr>
            <m:t>ESAF=</m:t>
          </m:r>
          <m:f>
            <m:fPr>
              <m:ctrlPr>
                <w:rPr>
                  <w:rFonts w:ascii="Cambria Math" w:hAnsi="Cambria Math" w:cstheme="minorHAnsi"/>
                  <w:i/>
                  <w:sz w:val="22"/>
                  <w:szCs w:val="22"/>
                </w:rPr>
              </m:ctrlPr>
            </m:fPr>
            <m:num>
              <m:sSub>
                <m:sSubPr>
                  <m:ctrlPr>
                    <w:rPr>
                      <w:rFonts w:ascii="Cambria Math" w:hAnsi="Cambria Math" w:cstheme="minorHAnsi"/>
                      <w:i/>
                      <w:sz w:val="22"/>
                      <w:szCs w:val="22"/>
                    </w:rPr>
                  </m:ctrlPr>
                </m:sSubPr>
                <m:e>
                  <m:r>
                    <w:rPr>
                      <w:rFonts w:ascii="Cambria Math" w:hAnsi="Cambria Math" w:cstheme="minorHAnsi"/>
                      <w:sz w:val="22"/>
                      <w:szCs w:val="22"/>
                    </w:rPr>
                    <m:t>t</m:t>
                  </m:r>
                </m:e>
                <m:sub>
                  <m:r>
                    <w:rPr>
                      <w:rFonts w:ascii="Cambria Math" w:hAnsi="Cambria Math" w:cstheme="minorHAnsi"/>
                      <w:sz w:val="22"/>
                      <w:szCs w:val="22"/>
                    </w:rPr>
                    <m:t>dir evap</m:t>
                  </m:r>
                </m:sub>
              </m:sSub>
            </m:num>
            <m:den>
              <m:sSub>
                <m:sSubPr>
                  <m:ctrlPr>
                    <w:rPr>
                      <w:rFonts w:ascii="Cambria Math" w:hAnsi="Cambria Math" w:cstheme="minorHAnsi"/>
                      <w:i/>
                      <w:sz w:val="22"/>
                      <w:szCs w:val="22"/>
                    </w:rPr>
                  </m:ctrlPr>
                </m:sSubPr>
                <m:e>
                  <m:r>
                    <w:rPr>
                      <w:rFonts w:ascii="Cambria Math" w:hAnsi="Cambria Math" w:cstheme="minorHAnsi"/>
                      <w:sz w:val="22"/>
                      <w:szCs w:val="22"/>
                    </w:rPr>
                    <m:t>t</m:t>
                  </m:r>
                </m:e>
                <m:sub>
                  <m:r>
                    <w:rPr>
                      <w:rFonts w:ascii="Cambria Math" w:hAnsi="Cambria Math" w:cstheme="minorHAnsi"/>
                      <w:sz w:val="22"/>
                      <w:szCs w:val="22"/>
                    </w:rPr>
                    <m:t>cool</m:t>
                  </m:r>
                </m:sub>
              </m:sSub>
            </m:den>
          </m:f>
        </m:oMath>
      </m:oMathPara>
    </w:p>
    <w:p w:rsidR="00607948" w:rsidRDefault="00607948" w:rsidP="00607948">
      <w:pPr>
        <w:pStyle w:val="ListParagraph"/>
        <w:rPr>
          <w:rFonts w:asciiTheme="minorHAnsi" w:hAnsiTheme="minorHAnsi" w:cstheme="minorHAnsi"/>
          <w:sz w:val="22"/>
          <w:szCs w:val="22"/>
        </w:rPr>
      </w:pPr>
    </w:p>
    <w:p w:rsidR="00607948" w:rsidRDefault="00607948" w:rsidP="00607948">
      <w:pPr>
        <w:ind w:left="720"/>
        <w:rPr>
          <w:rFonts w:asciiTheme="minorHAnsi" w:hAnsiTheme="minorHAnsi" w:cstheme="minorHAnsi"/>
          <w:sz w:val="22"/>
          <w:szCs w:val="22"/>
        </w:rPr>
      </w:pPr>
      <w:r>
        <w:rPr>
          <w:rFonts w:asciiTheme="minorHAnsi" w:hAnsiTheme="minorHAnsi" w:cstheme="minorHAnsi"/>
          <w:sz w:val="22"/>
          <w:szCs w:val="22"/>
        </w:rPr>
        <w:t xml:space="preserve">The calculated ESAF for </w:t>
      </w:r>
      <w:r w:rsidR="00485DE4">
        <w:rPr>
          <w:rFonts w:asciiTheme="minorHAnsi" w:hAnsiTheme="minorHAnsi" w:cstheme="minorHAnsi"/>
          <w:sz w:val="22"/>
          <w:szCs w:val="22"/>
        </w:rPr>
        <w:t>SCE climate zones</w:t>
      </w:r>
      <w:r>
        <w:rPr>
          <w:rFonts w:asciiTheme="minorHAnsi" w:hAnsiTheme="minorHAnsi" w:cstheme="minorHAnsi"/>
          <w:sz w:val="22"/>
          <w:szCs w:val="22"/>
        </w:rPr>
        <w:t xml:space="preserve"> is shown in </w:t>
      </w:r>
      <w:r w:rsidR="00485DE4">
        <w:rPr>
          <w:rFonts w:asciiTheme="minorHAnsi" w:hAnsiTheme="minorHAnsi" w:cstheme="minorHAnsi"/>
          <w:sz w:val="22"/>
          <w:szCs w:val="22"/>
        </w:rPr>
        <w:t>column E</w:t>
      </w:r>
      <w:r w:rsidR="009B61A7">
        <w:rPr>
          <w:rFonts w:asciiTheme="minorHAnsi" w:hAnsiTheme="minorHAnsi" w:cstheme="minorHAnsi"/>
          <w:sz w:val="22"/>
          <w:szCs w:val="22"/>
        </w:rPr>
        <w:t xml:space="preserve"> of worksheet ‘Summary Table’ and in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REF _Ref326232141 \h  \* MERGEFORMAT </w:instrText>
      </w:r>
      <w:r>
        <w:rPr>
          <w:rFonts w:asciiTheme="minorHAnsi" w:hAnsiTheme="minorHAnsi" w:cstheme="minorHAnsi"/>
          <w:sz w:val="22"/>
          <w:szCs w:val="22"/>
        </w:rPr>
      </w:r>
      <w:r>
        <w:rPr>
          <w:rFonts w:asciiTheme="minorHAnsi" w:hAnsiTheme="minorHAnsi" w:cstheme="minorHAnsi"/>
          <w:sz w:val="22"/>
          <w:szCs w:val="22"/>
        </w:rPr>
        <w:fldChar w:fldCharType="separate"/>
      </w:r>
      <w:r w:rsidR="00A44999" w:rsidRPr="00C21405">
        <w:rPr>
          <w:rFonts w:asciiTheme="minorHAnsi" w:hAnsiTheme="minorHAnsi" w:cstheme="minorHAnsi"/>
          <w:sz w:val="22"/>
          <w:szCs w:val="22"/>
        </w:rPr>
        <w:t xml:space="preserve">Table </w:t>
      </w:r>
      <w:r w:rsidR="00A44999">
        <w:rPr>
          <w:rFonts w:asciiTheme="minorHAnsi" w:hAnsiTheme="minorHAnsi" w:cstheme="minorHAnsi"/>
          <w:sz w:val="22"/>
          <w:szCs w:val="22"/>
        </w:rPr>
        <w:t>9</w:t>
      </w:r>
      <w:r>
        <w:rPr>
          <w:rFonts w:asciiTheme="minorHAnsi" w:hAnsiTheme="minorHAnsi" w:cstheme="minorHAnsi"/>
          <w:sz w:val="22"/>
          <w:szCs w:val="22"/>
        </w:rPr>
        <w:fldChar w:fldCharType="end"/>
      </w:r>
      <w:r w:rsidR="009B61A7">
        <w:rPr>
          <w:rFonts w:asciiTheme="minorHAnsi" w:hAnsiTheme="minorHAnsi" w:cstheme="minorHAnsi"/>
          <w:sz w:val="22"/>
          <w:szCs w:val="22"/>
        </w:rPr>
        <w:t>.</w:t>
      </w:r>
    </w:p>
    <w:p w:rsidR="00607948" w:rsidRDefault="00607948" w:rsidP="00607948">
      <w:pPr>
        <w:ind w:left="720"/>
        <w:rPr>
          <w:rFonts w:asciiTheme="minorHAnsi" w:hAnsiTheme="minorHAnsi" w:cstheme="minorHAnsi"/>
          <w:sz w:val="22"/>
          <w:szCs w:val="22"/>
        </w:rPr>
      </w:pPr>
    </w:p>
    <w:p w:rsidR="00607948" w:rsidRPr="0051696C" w:rsidRDefault="00607948" w:rsidP="0051696C">
      <w:pPr>
        <w:pStyle w:val="ListParagraph"/>
        <w:numPr>
          <w:ilvl w:val="0"/>
          <w:numId w:val="15"/>
        </w:numPr>
        <w:rPr>
          <w:rFonts w:asciiTheme="minorHAnsi" w:hAnsiTheme="minorHAnsi" w:cstheme="minorHAnsi"/>
          <w:sz w:val="22"/>
          <w:szCs w:val="22"/>
        </w:rPr>
      </w:pPr>
      <w:r w:rsidRPr="0051696C">
        <w:rPr>
          <w:rFonts w:asciiTheme="minorHAnsi" w:hAnsiTheme="minorHAnsi" w:cstheme="minorHAnsi"/>
          <w:sz w:val="22"/>
          <w:szCs w:val="22"/>
        </w:rPr>
        <w:t xml:space="preserve">Finally, the </w:t>
      </w:r>
      <w:r w:rsidR="00EA4753">
        <w:rPr>
          <w:rFonts w:asciiTheme="minorHAnsi" w:hAnsiTheme="minorHAnsi" w:cstheme="minorHAnsi"/>
          <w:sz w:val="22"/>
          <w:szCs w:val="22"/>
        </w:rPr>
        <w:t>p</w:t>
      </w:r>
      <w:r w:rsidRPr="0051696C">
        <w:rPr>
          <w:rFonts w:asciiTheme="minorHAnsi" w:hAnsiTheme="minorHAnsi" w:cstheme="minorHAnsi"/>
          <w:sz w:val="22"/>
          <w:szCs w:val="22"/>
        </w:rPr>
        <w:t xml:space="preserve">eak </w:t>
      </w:r>
      <w:r w:rsidR="00EA4753">
        <w:rPr>
          <w:rFonts w:asciiTheme="minorHAnsi" w:hAnsiTheme="minorHAnsi" w:cstheme="minorHAnsi"/>
          <w:sz w:val="22"/>
          <w:szCs w:val="22"/>
        </w:rPr>
        <w:t>d</w:t>
      </w:r>
      <w:r w:rsidRPr="0051696C">
        <w:rPr>
          <w:rFonts w:asciiTheme="minorHAnsi" w:hAnsiTheme="minorHAnsi" w:cstheme="minorHAnsi"/>
          <w:sz w:val="22"/>
          <w:szCs w:val="22"/>
        </w:rPr>
        <w:t xml:space="preserve">emand </w:t>
      </w:r>
      <w:r w:rsidR="00EA4753">
        <w:rPr>
          <w:rFonts w:asciiTheme="minorHAnsi" w:hAnsiTheme="minorHAnsi" w:cstheme="minorHAnsi"/>
          <w:sz w:val="22"/>
          <w:szCs w:val="22"/>
        </w:rPr>
        <w:t>a</w:t>
      </w:r>
      <w:r w:rsidRPr="0051696C">
        <w:rPr>
          <w:rFonts w:asciiTheme="minorHAnsi" w:hAnsiTheme="minorHAnsi" w:cstheme="minorHAnsi"/>
          <w:sz w:val="22"/>
          <w:szCs w:val="22"/>
        </w:rPr>
        <w:t xml:space="preserve">djustment </w:t>
      </w:r>
      <w:r w:rsidR="00EA4753">
        <w:rPr>
          <w:rFonts w:asciiTheme="minorHAnsi" w:hAnsiTheme="minorHAnsi" w:cstheme="minorHAnsi"/>
          <w:sz w:val="22"/>
          <w:szCs w:val="22"/>
        </w:rPr>
        <w:t>f</w:t>
      </w:r>
      <w:r w:rsidRPr="0051696C">
        <w:rPr>
          <w:rFonts w:asciiTheme="minorHAnsi" w:hAnsiTheme="minorHAnsi" w:cstheme="minorHAnsi"/>
          <w:sz w:val="22"/>
          <w:szCs w:val="22"/>
        </w:rPr>
        <w:t xml:space="preserve">actor (PDAF) was determined by </w:t>
      </w:r>
      <w:r w:rsidR="004231D2">
        <w:rPr>
          <w:rFonts w:asciiTheme="minorHAnsi" w:hAnsiTheme="minorHAnsi" w:cstheme="minorHAnsi"/>
          <w:sz w:val="22"/>
          <w:szCs w:val="22"/>
        </w:rPr>
        <w:t>applying these same filters but only for</w:t>
      </w:r>
      <w:r w:rsidRPr="0051696C">
        <w:rPr>
          <w:rFonts w:asciiTheme="minorHAnsi" w:hAnsiTheme="minorHAnsi" w:cstheme="minorHAnsi"/>
          <w:sz w:val="22"/>
          <w:szCs w:val="22"/>
        </w:rPr>
        <w:t xml:space="preserve"> the three-day peak heat wave as given by DEER for each climate zone. For example, climate zone 6 would require that </w:t>
      </w:r>
      <w:r w:rsidR="004231D2">
        <w:rPr>
          <w:rFonts w:asciiTheme="minorHAnsi" w:hAnsiTheme="minorHAnsi" w:cstheme="minorHAnsi"/>
          <w:sz w:val="22"/>
          <w:szCs w:val="22"/>
        </w:rPr>
        <w:t xml:space="preserve">the filters are applied only between the hours of </w:t>
      </w:r>
      <w:r w:rsidR="004231D2" w:rsidRPr="00796C75">
        <w:rPr>
          <w:rFonts w:asciiTheme="minorHAnsi" w:hAnsiTheme="minorHAnsi" w:cstheme="minorHAnsi"/>
          <w:sz w:val="22"/>
          <w:szCs w:val="22"/>
        </w:rPr>
        <w:t xml:space="preserve">2:00 p.m. and 5:00 </w:t>
      </w:r>
      <w:proofErr w:type="spellStart"/>
      <w:r w:rsidR="004231D2" w:rsidRPr="00796C75">
        <w:rPr>
          <w:rFonts w:asciiTheme="minorHAnsi" w:hAnsiTheme="minorHAnsi" w:cstheme="minorHAnsi"/>
          <w:sz w:val="22"/>
          <w:szCs w:val="22"/>
        </w:rPr>
        <w:t>p.m</w:t>
      </w:r>
      <w:proofErr w:type="spellEnd"/>
      <w:r w:rsidR="004231D2" w:rsidRPr="00AA48DB" w:rsidDel="004231D2">
        <w:rPr>
          <w:rFonts w:asciiTheme="minorHAnsi" w:hAnsiTheme="minorHAnsi" w:cstheme="minorHAnsi"/>
          <w:sz w:val="22"/>
          <w:szCs w:val="22"/>
        </w:rPr>
        <w:t xml:space="preserve"> </w:t>
      </w:r>
      <w:r w:rsidR="004231D2">
        <w:rPr>
          <w:rFonts w:asciiTheme="minorHAnsi" w:hAnsiTheme="minorHAnsi" w:cstheme="minorHAnsi"/>
          <w:sz w:val="22"/>
          <w:szCs w:val="22"/>
        </w:rPr>
        <w:t>from September 1st</w:t>
      </w:r>
      <w:r w:rsidRPr="0051696C">
        <w:rPr>
          <w:rFonts w:asciiTheme="minorHAnsi" w:hAnsiTheme="minorHAnsi" w:cstheme="minorHAnsi"/>
          <w:sz w:val="22"/>
          <w:szCs w:val="22"/>
        </w:rPr>
        <w:t xml:space="preserve"> – </w:t>
      </w:r>
      <w:r w:rsidR="004231D2">
        <w:rPr>
          <w:rFonts w:asciiTheme="minorHAnsi" w:hAnsiTheme="minorHAnsi" w:cstheme="minorHAnsi"/>
          <w:sz w:val="22"/>
          <w:szCs w:val="22"/>
        </w:rPr>
        <w:t>3rd</w:t>
      </w:r>
      <w:r w:rsidRPr="0051696C">
        <w:rPr>
          <w:rFonts w:asciiTheme="minorHAnsi" w:hAnsiTheme="minorHAnsi" w:cstheme="minorHAnsi"/>
          <w:sz w:val="22"/>
          <w:szCs w:val="22"/>
        </w:rPr>
        <w:t xml:space="preserve">. The PDAF was calculated by the ratio of </w:t>
      </w:r>
      <w:r w:rsidR="00341FAB">
        <w:rPr>
          <w:rFonts w:asciiTheme="minorHAnsi" w:hAnsiTheme="minorHAnsi" w:cstheme="minorHAnsi"/>
          <w:sz w:val="22"/>
          <w:szCs w:val="22"/>
        </w:rPr>
        <w:t xml:space="preserve">the total cooling </w:t>
      </w:r>
      <w:r w:rsidRPr="0051696C">
        <w:rPr>
          <w:rFonts w:asciiTheme="minorHAnsi" w:hAnsiTheme="minorHAnsi" w:cstheme="minorHAnsi"/>
          <w:sz w:val="22"/>
          <w:szCs w:val="22"/>
        </w:rPr>
        <w:t xml:space="preserve">hours that </w:t>
      </w:r>
      <w:r w:rsidR="00341FAB">
        <w:rPr>
          <w:rFonts w:asciiTheme="minorHAnsi" w:hAnsiTheme="minorHAnsi" w:cstheme="minorHAnsi"/>
          <w:sz w:val="22"/>
          <w:szCs w:val="22"/>
        </w:rPr>
        <w:t xml:space="preserve">may be </w:t>
      </w:r>
      <w:r w:rsidRPr="0051696C">
        <w:rPr>
          <w:rFonts w:asciiTheme="minorHAnsi" w:hAnsiTheme="minorHAnsi" w:cstheme="minorHAnsi"/>
          <w:sz w:val="22"/>
          <w:szCs w:val="22"/>
        </w:rPr>
        <w:t xml:space="preserve">satisfied </w:t>
      </w:r>
      <w:r w:rsidR="00341FAB">
        <w:rPr>
          <w:rFonts w:asciiTheme="minorHAnsi" w:hAnsiTheme="minorHAnsi" w:cstheme="minorHAnsi"/>
          <w:sz w:val="22"/>
          <w:szCs w:val="22"/>
        </w:rPr>
        <w:t xml:space="preserve">by a direct evaporative cooler during the peak demand hours </w:t>
      </w:r>
      <w:r w:rsidRPr="0051696C">
        <w:rPr>
          <w:rFonts w:asciiTheme="minorHAnsi" w:hAnsiTheme="minorHAnsi" w:cstheme="minorHAnsi"/>
          <w:sz w:val="22"/>
          <w:szCs w:val="22"/>
        </w:rPr>
        <w:t xml:space="preserve">to the total number of peak demand hours (9). The calculated PDAF for </w:t>
      </w:r>
      <w:r w:rsidR="00485DE4">
        <w:rPr>
          <w:rFonts w:asciiTheme="minorHAnsi" w:hAnsiTheme="minorHAnsi" w:cstheme="minorHAnsi"/>
          <w:sz w:val="22"/>
          <w:szCs w:val="22"/>
        </w:rPr>
        <w:t>SCE climate zones</w:t>
      </w:r>
      <w:r w:rsidRPr="0051696C">
        <w:rPr>
          <w:rFonts w:asciiTheme="minorHAnsi" w:hAnsiTheme="minorHAnsi" w:cstheme="minorHAnsi"/>
          <w:sz w:val="22"/>
          <w:szCs w:val="22"/>
        </w:rPr>
        <w:t xml:space="preserve"> is shown </w:t>
      </w:r>
      <w:r w:rsidR="00F147E0">
        <w:rPr>
          <w:rFonts w:asciiTheme="minorHAnsi" w:hAnsiTheme="minorHAnsi" w:cstheme="minorHAnsi"/>
          <w:sz w:val="22"/>
          <w:szCs w:val="22"/>
        </w:rPr>
        <w:t xml:space="preserve">in column F of worksheet ‘Summary Table’ and </w:t>
      </w:r>
      <w:r w:rsidRPr="0051696C">
        <w:rPr>
          <w:rFonts w:asciiTheme="minorHAnsi" w:hAnsiTheme="minorHAnsi" w:cstheme="minorHAnsi"/>
          <w:sz w:val="22"/>
          <w:szCs w:val="22"/>
        </w:rPr>
        <w:t xml:space="preserve">in </w:t>
      </w:r>
      <w:r w:rsidRPr="0051696C">
        <w:rPr>
          <w:rFonts w:asciiTheme="minorHAnsi" w:hAnsiTheme="minorHAnsi" w:cstheme="minorHAnsi"/>
          <w:sz w:val="22"/>
          <w:szCs w:val="22"/>
        </w:rPr>
        <w:fldChar w:fldCharType="begin"/>
      </w:r>
      <w:r w:rsidRPr="0051696C">
        <w:rPr>
          <w:rFonts w:asciiTheme="minorHAnsi" w:hAnsiTheme="minorHAnsi" w:cstheme="minorHAnsi"/>
          <w:sz w:val="22"/>
          <w:szCs w:val="22"/>
        </w:rPr>
        <w:instrText xml:space="preserve"> REF _Ref326232141 \h  \* MERGEFORMAT </w:instrText>
      </w:r>
      <w:r w:rsidRPr="0051696C">
        <w:rPr>
          <w:rFonts w:asciiTheme="minorHAnsi" w:hAnsiTheme="minorHAnsi" w:cstheme="minorHAnsi"/>
          <w:sz w:val="22"/>
          <w:szCs w:val="22"/>
        </w:rPr>
      </w:r>
      <w:r w:rsidRPr="0051696C">
        <w:rPr>
          <w:rFonts w:asciiTheme="minorHAnsi" w:hAnsiTheme="minorHAnsi" w:cstheme="minorHAnsi"/>
          <w:sz w:val="22"/>
          <w:szCs w:val="22"/>
        </w:rPr>
        <w:fldChar w:fldCharType="separate"/>
      </w:r>
      <w:r w:rsidR="002246FA" w:rsidRPr="00C21405">
        <w:rPr>
          <w:rFonts w:asciiTheme="minorHAnsi" w:hAnsiTheme="minorHAnsi" w:cstheme="minorHAnsi"/>
          <w:sz w:val="22"/>
          <w:szCs w:val="22"/>
        </w:rPr>
        <w:t xml:space="preserve">Table </w:t>
      </w:r>
      <w:r w:rsidR="002246FA">
        <w:rPr>
          <w:rFonts w:asciiTheme="minorHAnsi" w:hAnsiTheme="minorHAnsi" w:cstheme="minorHAnsi"/>
          <w:noProof/>
          <w:sz w:val="22"/>
          <w:szCs w:val="22"/>
        </w:rPr>
        <w:t>8</w:t>
      </w:r>
      <w:r w:rsidRPr="0051696C">
        <w:rPr>
          <w:rFonts w:asciiTheme="minorHAnsi" w:hAnsiTheme="minorHAnsi" w:cstheme="minorHAnsi"/>
          <w:sz w:val="22"/>
          <w:szCs w:val="22"/>
        </w:rPr>
        <w:fldChar w:fldCharType="end"/>
      </w:r>
      <w:r w:rsidRPr="0051696C">
        <w:rPr>
          <w:rFonts w:asciiTheme="minorHAnsi" w:hAnsiTheme="minorHAnsi" w:cstheme="minorHAnsi"/>
          <w:sz w:val="22"/>
          <w:szCs w:val="22"/>
        </w:rPr>
        <w:t>.</w:t>
      </w:r>
    </w:p>
    <w:p w:rsidR="00607948" w:rsidRPr="00C21405" w:rsidRDefault="00607948" w:rsidP="00607948">
      <w:pPr>
        <w:pStyle w:val="ListParagraph"/>
        <w:rPr>
          <w:rFonts w:asciiTheme="minorHAnsi" w:hAnsiTheme="minorHAnsi" w:cstheme="minorHAnsi"/>
          <w:sz w:val="22"/>
          <w:szCs w:val="22"/>
        </w:rPr>
      </w:pPr>
    </w:p>
    <w:p w:rsidR="00607948" w:rsidRPr="00C21405" w:rsidRDefault="00607948" w:rsidP="00607948">
      <w:pPr>
        <w:pStyle w:val="Caption"/>
        <w:keepNext/>
        <w:ind w:left="360"/>
        <w:jc w:val="center"/>
        <w:rPr>
          <w:rFonts w:asciiTheme="minorHAnsi" w:hAnsiTheme="minorHAnsi" w:cstheme="minorHAnsi"/>
          <w:sz w:val="22"/>
          <w:szCs w:val="22"/>
        </w:rPr>
      </w:pPr>
      <w:bookmarkStart w:id="16" w:name="_Ref326232141"/>
      <w:r w:rsidRPr="00C21405">
        <w:rPr>
          <w:rFonts w:asciiTheme="minorHAnsi" w:hAnsiTheme="minorHAnsi" w:cstheme="minorHAnsi"/>
          <w:sz w:val="22"/>
          <w:szCs w:val="22"/>
        </w:rPr>
        <w:t xml:space="preserve">Table </w:t>
      </w:r>
      <w:r w:rsidRPr="00C21405">
        <w:rPr>
          <w:rFonts w:asciiTheme="minorHAnsi" w:hAnsiTheme="minorHAnsi" w:cstheme="minorHAnsi"/>
          <w:sz w:val="22"/>
          <w:szCs w:val="22"/>
        </w:rPr>
        <w:fldChar w:fldCharType="begin"/>
      </w:r>
      <w:r w:rsidRPr="00C21405">
        <w:rPr>
          <w:rFonts w:asciiTheme="minorHAnsi" w:hAnsiTheme="minorHAnsi" w:cstheme="minorHAnsi"/>
          <w:sz w:val="22"/>
          <w:szCs w:val="22"/>
        </w:rPr>
        <w:instrText xml:space="preserve"> SEQ Table \* ARABIC </w:instrText>
      </w:r>
      <w:r w:rsidRPr="00C21405">
        <w:rPr>
          <w:rFonts w:asciiTheme="minorHAnsi" w:hAnsiTheme="minorHAnsi" w:cstheme="minorHAnsi"/>
          <w:sz w:val="22"/>
          <w:szCs w:val="22"/>
        </w:rPr>
        <w:fldChar w:fldCharType="separate"/>
      </w:r>
      <w:r w:rsidR="00AD25C5">
        <w:rPr>
          <w:rFonts w:asciiTheme="minorHAnsi" w:hAnsiTheme="minorHAnsi" w:cstheme="minorHAnsi"/>
          <w:noProof/>
          <w:sz w:val="22"/>
          <w:szCs w:val="22"/>
        </w:rPr>
        <w:t>9</w:t>
      </w:r>
      <w:r w:rsidRPr="00C21405">
        <w:rPr>
          <w:rFonts w:asciiTheme="minorHAnsi" w:hAnsiTheme="minorHAnsi" w:cstheme="minorHAnsi"/>
          <w:sz w:val="22"/>
          <w:szCs w:val="22"/>
        </w:rPr>
        <w:fldChar w:fldCharType="end"/>
      </w:r>
      <w:bookmarkEnd w:id="16"/>
      <w:r w:rsidRPr="00C21405">
        <w:rPr>
          <w:rFonts w:asciiTheme="minorHAnsi" w:hAnsiTheme="minorHAnsi" w:cstheme="minorHAnsi"/>
          <w:sz w:val="22"/>
          <w:szCs w:val="22"/>
        </w:rPr>
        <w:t xml:space="preserve"> ESAF and PDAF Summary Table</w:t>
      </w:r>
    </w:p>
    <w:tbl>
      <w:tblPr>
        <w:tblStyle w:val="TableContemporary"/>
        <w:tblW w:w="3032" w:type="pct"/>
        <w:jc w:val="center"/>
        <w:tblInd w:w="108" w:type="dxa"/>
        <w:tblBorders>
          <w:top w:val="single" w:sz="18" w:space="0" w:color="FFFFFF"/>
          <w:left w:val="single" w:sz="18" w:space="0" w:color="FFFFFF"/>
          <w:bottom w:val="single" w:sz="18" w:space="0" w:color="FFFFFF"/>
          <w:right w:val="single" w:sz="18" w:space="0" w:color="FFFFFF"/>
        </w:tblBorders>
        <w:shd w:val="clear" w:color="auto" w:fill="CCCCCC"/>
        <w:tblLook w:val="01E0" w:firstRow="1" w:lastRow="1" w:firstColumn="1" w:lastColumn="1" w:noHBand="0" w:noVBand="0"/>
      </w:tblPr>
      <w:tblGrid>
        <w:gridCol w:w="2062"/>
        <w:gridCol w:w="1874"/>
        <w:gridCol w:w="1871"/>
      </w:tblGrid>
      <w:tr w:rsidR="00607948" w:rsidRPr="00DA11A0" w:rsidTr="0051696C">
        <w:trPr>
          <w:cnfStyle w:val="100000000000" w:firstRow="1" w:lastRow="0" w:firstColumn="0" w:lastColumn="0" w:oddVBand="0" w:evenVBand="0" w:oddHBand="0" w:evenHBand="0" w:firstRowFirstColumn="0" w:firstRowLastColumn="0" w:lastRowFirstColumn="0" w:lastRowLastColumn="0"/>
          <w:jc w:val="center"/>
        </w:trPr>
        <w:tc>
          <w:tcPr>
            <w:tcW w:w="1775" w:type="pct"/>
            <w:tcBorders>
              <w:bottom w:val="single" w:sz="18" w:space="0" w:color="FFFFFF"/>
            </w:tcBorders>
            <w:shd w:val="clear" w:color="auto" w:fill="CCCCCC"/>
          </w:tcPr>
          <w:p w:rsidR="00607948" w:rsidRPr="00027183" w:rsidRDefault="00607948" w:rsidP="00746F47">
            <w:pPr>
              <w:jc w:val="center"/>
              <w:rPr>
                <w:rFonts w:asciiTheme="minorHAnsi" w:hAnsiTheme="minorHAnsi" w:cstheme="minorHAnsi"/>
                <w:sz w:val="20"/>
                <w:szCs w:val="20"/>
                <w:highlight w:val="yellow"/>
              </w:rPr>
            </w:pPr>
            <w:r>
              <w:rPr>
                <w:rFonts w:asciiTheme="minorHAnsi" w:hAnsiTheme="minorHAnsi" w:cstheme="minorHAnsi"/>
                <w:sz w:val="20"/>
                <w:szCs w:val="20"/>
              </w:rPr>
              <w:t>CZ</w:t>
            </w:r>
          </w:p>
        </w:tc>
        <w:tc>
          <w:tcPr>
            <w:tcW w:w="1614" w:type="pct"/>
            <w:tcBorders>
              <w:bottom w:val="single" w:sz="18" w:space="0" w:color="FFFFFF"/>
            </w:tcBorders>
            <w:shd w:val="clear" w:color="auto" w:fill="CCCCCC"/>
          </w:tcPr>
          <w:p w:rsidR="00607948" w:rsidRPr="00027183" w:rsidRDefault="00607948" w:rsidP="00746F47">
            <w:pPr>
              <w:jc w:val="center"/>
              <w:rPr>
                <w:rFonts w:asciiTheme="minorHAnsi" w:hAnsiTheme="minorHAnsi" w:cstheme="minorHAnsi"/>
                <w:sz w:val="20"/>
                <w:szCs w:val="20"/>
                <w:highlight w:val="yellow"/>
              </w:rPr>
            </w:pPr>
            <w:r>
              <w:rPr>
                <w:rFonts w:asciiTheme="minorHAnsi" w:hAnsiTheme="minorHAnsi" w:cstheme="minorHAnsi"/>
                <w:sz w:val="20"/>
                <w:szCs w:val="20"/>
              </w:rPr>
              <w:t>ESAF</w:t>
            </w:r>
          </w:p>
        </w:tc>
        <w:tc>
          <w:tcPr>
            <w:tcW w:w="1611" w:type="pct"/>
            <w:tcBorders>
              <w:bottom w:val="single" w:sz="18" w:space="0" w:color="FFFFFF"/>
            </w:tcBorders>
            <w:shd w:val="clear" w:color="auto" w:fill="CCCCCC"/>
          </w:tcPr>
          <w:p w:rsidR="00607948" w:rsidRDefault="00607948" w:rsidP="00746F47">
            <w:pPr>
              <w:jc w:val="center"/>
              <w:rPr>
                <w:rFonts w:asciiTheme="minorHAnsi" w:hAnsiTheme="minorHAnsi" w:cstheme="minorHAnsi"/>
                <w:sz w:val="20"/>
                <w:szCs w:val="20"/>
              </w:rPr>
            </w:pPr>
            <w:r>
              <w:rPr>
                <w:rFonts w:asciiTheme="minorHAnsi" w:hAnsiTheme="minorHAnsi" w:cstheme="minorHAnsi"/>
                <w:sz w:val="20"/>
                <w:szCs w:val="20"/>
              </w:rPr>
              <w:t>PDAF</w:t>
            </w:r>
          </w:p>
        </w:tc>
      </w:tr>
      <w:tr w:rsidR="00485DE4" w:rsidRPr="00DA11A0" w:rsidTr="0051696C">
        <w:trPr>
          <w:cnfStyle w:val="000000100000" w:firstRow="0" w:lastRow="0" w:firstColumn="0" w:lastColumn="0" w:oddVBand="0" w:evenVBand="0" w:oddHBand="1" w:evenHBand="0" w:firstRowFirstColumn="0" w:firstRowLastColumn="0" w:lastRowFirstColumn="0" w:lastRowLastColumn="0"/>
          <w:jc w:val="center"/>
        </w:trPr>
        <w:tc>
          <w:tcPr>
            <w:tcW w:w="1775" w:type="pct"/>
            <w:shd w:val="clear" w:color="auto" w:fill="F3F3F3"/>
            <w:vAlign w:val="center"/>
          </w:tcPr>
          <w:p w:rsidR="00485DE4" w:rsidRDefault="00485DE4" w:rsidP="00746F47">
            <w:pPr>
              <w:jc w:val="center"/>
              <w:rPr>
                <w:rFonts w:asciiTheme="minorHAnsi" w:hAnsiTheme="minorHAnsi" w:cstheme="minorHAnsi"/>
                <w:sz w:val="20"/>
                <w:szCs w:val="20"/>
              </w:rPr>
            </w:pPr>
            <w:r>
              <w:rPr>
                <w:rFonts w:ascii="Calibri" w:hAnsi="Calibri"/>
                <w:color w:val="000000"/>
                <w:sz w:val="22"/>
                <w:szCs w:val="22"/>
              </w:rPr>
              <w:t>6</w:t>
            </w:r>
          </w:p>
        </w:tc>
        <w:tc>
          <w:tcPr>
            <w:tcW w:w="1614" w:type="pct"/>
            <w:shd w:val="clear" w:color="auto" w:fill="F3F3F3"/>
            <w:vAlign w:val="center"/>
          </w:tcPr>
          <w:p w:rsidR="00485DE4" w:rsidRPr="00027183" w:rsidRDefault="00485DE4" w:rsidP="00746F47">
            <w:pPr>
              <w:jc w:val="center"/>
              <w:rPr>
                <w:rFonts w:asciiTheme="minorHAnsi" w:hAnsiTheme="minorHAnsi" w:cstheme="minorHAnsi"/>
                <w:sz w:val="20"/>
                <w:szCs w:val="20"/>
              </w:rPr>
            </w:pPr>
            <w:r>
              <w:rPr>
                <w:rFonts w:ascii="Calibri" w:hAnsi="Calibri"/>
                <w:color w:val="000000"/>
                <w:sz w:val="22"/>
                <w:szCs w:val="22"/>
              </w:rPr>
              <w:t>56%</w:t>
            </w:r>
          </w:p>
        </w:tc>
        <w:tc>
          <w:tcPr>
            <w:tcW w:w="1611" w:type="pct"/>
            <w:shd w:val="clear" w:color="auto" w:fill="F3F3F3"/>
            <w:vAlign w:val="center"/>
          </w:tcPr>
          <w:p w:rsidR="00485DE4" w:rsidRPr="00027183" w:rsidRDefault="00F503C1" w:rsidP="00746F47">
            <w:pPr>
              <w:jc w:val="center"/>
              <w:rPr>
                <w:rFonts w:asciiTheme="minorHAnsi" w:hAnsiTheme="minorHAnsi" w:cstheme="minorHAnsi"/>
                <w:sz w:val="20"/>
                <w:szCs w:val="20"/>
              </w:rPr>
            </w:pPr>
            <w:r>
              <w:rPr>
                <w:rFonts w:ascii="Calibri" w:hAnsi="Calibri"/>
                <w:color w:val="000000"/>
                <w:sz w:val="22"/>
                <w:szCs w:val="22"/>
              </w:rPr>
              <w:t>33</w:t>
            </w:r>
            <w:r w:rsidR="00485DE4">
              <w:rPr>
                <w:rFonts w:ascii="Calibri" w:hAnsi="Calibri"/>
                <w:color w:val="000000"/>
                <w:sz w:val="22"/>
                <w:szCs w:val="22"/>
              </w:rPr>
              <w:t>%</w:t>
            </w:r>
          </w:p>
        </w:tc>
      </w:tr>
      <w:tr w:rsidR="00485DE4" w:rsidRPr="00DA11A0" w:rsidTr="0051696C">
        <w:trPr>
          <w:cnfStyle w:val="000000010000" w:firstRow="0" w:lastRow="0" w:firstColumn="0" w:lastColumn="0" w:oddVBand="0" w:evenVBand="0" w:oddHBand="0" w:evenHBand="1" w:firstRowFirstColumn="0" w:firstRowLastColumn="0" w:lastRowFirstColumn="0" w:lastRowLastColumn="0"/>
          <w:jc w:val="center"/>
        </w:trPr>
        <w:tc>
          <w:tcPr>
            <w:tcW w:w="1775" w:type="pct"/>
            <w:shd w:val="clear" w:color="auto" w:fill="F3F3F3"/>
            <w:vAlign w:val="center"/>
          </w:tcPr>
          <w:p w:rsidR="00485DE4" w:rsidRDefault="00485DE4" w:rsidP="00746F47">
            <w:pPr>
              <w:jc w:val="center"/>
              <w:rPr>
                <w:rFonts w:asciiTheme="minorHAnsi" w:hAnsiTheme="minorHAnsi" w:cstheme="minorHAnsi"/>
                <w:sz w:val="20"/>
                <w:szCs w:val="20"/>
              </w:rPr>
            </w:pPr>
            <w:r>
              <w:rPr>
                <w:rFonts w:ascii="Calibri" w:hAnsi="Calibri"/>
                <w:color w:val="000000"/>
                <w:sz w:val="22"/>
                <w:szCs w:val="22"/>
              </w:rPr>
              <w:t>8</w:t>
            </w:r>
          </w:p>
        </w:tc>
        <w:tc>
          <w:tcPr>
            <w:tcW w:w="1614" w:type="pct"/>
            <w:shd w:val="clear" w:color="auto" w:fill="F3F3F3"/>
            <w:vAlign w:val="center"/>
          </w:tcPr>
          <w:p w:rsidR="00485DE4" w:rsidRPr="00027183" w:rsidRDefault="00485DE4" w:rsidP="00746F47">
            <w:pPr>
              <w:jc w:val="center"/>
              <w:rPr>
                <w:rFonts w:asciiTheme="minorHAnsi" w:hAnsiTheme="minorHAnsi" w:cstheme="minorHAnsi"/>
                <w:sz w:val="20"/>
                <w:szCs w:val="20"/>
              </w:rPr>
            </w:pPr>
            <w:r>
              <w:rPr>
                <w:rFonts w:ascii="Calibri" w:hAnsi="Calibri"/>
                <w:color w:val="000000"/>
                <w:sz w:val="22"/>
                <w:szCs w:val="22"/>
              </w:rPr>
              <w:t>33%</w:t>
            </w:r>
          </w:p>
        </w:tc>
        <w:tc>
          <w:tcPr>
            <w:tcW w:w="1611" w:type="pct"/>
            <w:shd w:val="clear" w:color="auto" w:fill="F3F3F3"/>
            <w:vAlign w:val="center"/>
          </w:tcPr>
          <w:p w:rsidR="00485DE4" w:rsidRPr="00027183" w:rsidRDefault="00F503C1" w:rsidP="00746F47">
            <w:pPr>
              <w:jc w:val="center"/>
              <w:rPr>
                <w:rFonts w:asciiTheme="minorHAnsi" w:hAnsiTheme="minorHAnsi" w:cstheme="minorHAnsi"/>
                <w:sz w:val="20"/>
                <w:szCs w:val="20"/>
              </w:rPr>
            </w:pPr>
            <w:r>
              <w:rPr>
                <w:rFonts w:ascii="Calibri" w:hAnsi="Calibri"/>
                <w:color w:val="000000"/>
                <w:sz w:val="22"/>
                <w:szCs w:val="22"/>
              </w:rPr>
              <w:t>33</w:t>
            </w:r>
            <w:r w:rsidR="00485DE4">
              <w:rPr>
                <w:rFonts w:ascii="Calibri" w:hAnsi="Calibri"/>
                <w:color w:val="000000"/>
                <w:sz w:val="22"/>
                <w:szCs w:val="22"/>
              </w:rPr>
              <w:t>%</w:t>
            </w:r>
          </w:p>
        </w:tc>
      </w:tr>
      <w:tr w:rsidR="00485DE4" w:rsidRPr="00DA11A0" w:rsidTr="0051696C">
        <w:trPr>
          <w:cnfStyle w:val="000000100000" w:firstRow="0" w:lastRow="0" w:firstColumn="0" w:lastColumn="0" w:oddVBand="0" w:evenVBand="0" w:oddHBand="1" w:evenHBand="0" w:firstRowFirstColumn="0" w:firstRowLastColumn="0" w:lastRowFirstColumn="0" w:lastRowLastColumn="0"/>
          <w:jc w:val="center"/>
        </w:trPr>
        <w:tc>
          <w:tcPr>
            <w:tcW w:w="1775" w:type="pct"/>
            <w:shd w:val="clear" w:color="auto" w:fill="F3F3F3"/>
            <w:vAlign w:val="center"/>
          </w:tcPr>
          <w:p w:rsidR="00485DE4" w:rsidRDefault="00485DE4" w:rsidP="00746F47">
            <w:pPr>
              <w:jc w:val="center"/>
              <w:rPr>
                <w:rFonts w:asciiTheme="minorHAnsi" w:hAnsiTheme="minorHAnsi" w:cstheme="minorHAnsi"/>
                <w:sz w:val="20"/>
                <w:szCs w:val="20"/>
              </w:rPr>
            </w:pPr>
            <w:r>
              <w:rPr>
                <w:rFonts w:ascii="Calibri" w:hAnsi="Calibri"/>
                <w:color w:val="000000"/>
                <w:sz w:val="22"/>
                <w:szCs w:val="22"/>
              </w:rPr>
              <w:t>9</w:t>
            </w:r>
          </w:p>
        </w:tc>
        <w:tc>
          <w:tcPr>
            <w:tcW w:w="1614" w:type="pct"/>
            <w:shd w:val="clear" w:color="auto" w:fill="F3F3F3"/>
            <w:vAlign w:val="center"/>
          </w:tcPr>
          <w:p w:rsidR="00485DE4" w:rsidRPr="00027183" w:rsidRDefault="00485DE4" w:rsidP="00746F47">
            <w:pPr>
              <w:jc w:val="center"/>
              <w:rPr>
                <w:rFonts w:asciiTheme="minorHAnsi" w:hAnsiTheme="minorHAnsi" w:cstheme="minorHAnsi"/>
                <w:sz w:val="20"/>
                <w:szCs w:val="20"/>
              </w:rPr>
            </w:pPr>
            <w:r>
              <w:rPr>
                <w:rFonts w:ascii="Calibri" w:hAnsi="Calibri"/>
                <w:color w:val="000000"/>
                <w:sz w:val="22"/>
                <w:szCs w:val="22"/>
              </w:rPr>
              <w:t>26%</w:t>
            </w:r>
          </w:p>
        </w:tc>
        <w:tc>
          <w:tcPr>
            <w:tcW w:w="1611" w:type="pct"/>
            <w:shd w:val="clear" w:color="auto" w:fill="F3F3F3"/>
            <w:vAlign w:val="center"/>
          </w:tcPr>
          <w:p w:rsidR="00485DE4" w:rsidRPr="00027183" w:rsidRDefault="00485DE4" w:rsidP="00746F47">
            <w:pPr>
              <w:jc w:val="center"/>
              <w:rPr>
                <w:rFonts w:asciiTheme="minorHAnsi" w:hAnsiTheme="minorHAnsi" w:cstheme="minorHAnsi"/>
                <w:sz w:val="20"/>
                <w:szCs w:val="20"/>
              </w:rPr>
            </w:pPr>
            <w:r>
              <w:rPr>
                <w:rFonts w:ascii="Calibri" w:hAnsi="Calibri"/>
                <w:color w:val="000000"/>
                <w:sz w:val="22"/>
                <w:szCs w:val="22"/>
              </w:rPr>
              <w:t>0%</w:t>
            </w:r>
          </w:p>
        </w:tc>
      </w:tr>
      <w:tr w:rsidR="00485DE4" w:rsidRPr="00DA11A0" w:rsidTr="0051696C">
        <w:trPr>
          <w:cnfStyle w:val="000000010000" w:firstRow="0" w:lastRow="0" w:firstColumn="0" w:lastColumn="0" w:oddVBand="0" w:evenVBand="0" w:oddHBand="0" w:evenHBand="1" w:firstRowFirstColumn="0" w:firstRowLastColumn="0" w:lastRowFirstColumn="0" w:lastRowLastColumn="0"/>
          <w:jc w:val="center"/>
        </w:trPr>
        <w:tc>
          <w:tcPr>
            <w:tcW w:w="1775" w:type="pct"/>
            <w:shd w:val="clear" w:color="auto" w:fill="F3F3F3"/>
            <w:vAlign w:val="center"/>
          </w:tcPr>
          <w:p w:rsidR="00485DE4" w:rsidRDefault="00485DE4" w:rsidP="00746F47">
            <w:pPr>
              <w:jc w:val="center"/>
              <w:rPr>
                <w:rFonts w:asciiTheme="minorHAnsi" w:hAnsiTheme="minorHAnsi" w:cstheme="minorHAnsi"/>
                <w:sz w:val="20"/>
                <w:szCs w:val="20"/>
              </w:rPr>
            </w:pPr>
            <w:r>
              <w:rPr>
                <w:rFonts w:ascii="Calibri" w:hAnsi="Calibri"/>
                <w:color w:val="000000"/>
                <w:sz w:val="22"/>
                <w:szCs w:val="22"/>
              </w:rPr>
              <w:t>10</w:t>
            </w:r>
          </w:p>
        </w:tc>
        <w:tc>
          <w:tcPr>
            <w:tcW w:w="1614" w:type="pct"/>
            <w:shd w:val="clear" w:color="auto" w:fill="F3F3F3"/>
            <w:vAlign w:val="center"/>
          </w:tcPr>
          <w:p w:rsidR="00485DE4" w:rsidRPr="00027183" w:rsidRDefault="00485DE4" w:rsidP="00746F47">
            <w:pPr>
              <w:jc w:val="center"/>
              <w:rPr>
                <w:rFonts w:asciiTheme="minorHAnsi" w:hAnsiTheme="minorHAnsi" w:cstheme="minorHAnsi"/>
                <w:sz w:val="20"/>
                <w:szCs w:val="20"/>
              </w:rPr>
            </w:pPr>
            <w:r>
              <w:rPr>
                <w:rFonts w:ascii="Calibri" w:hAnsi="Calibri"/>
                <w:color w:val="000000"/>
                <w:sz w:val="22"/>
                <w:szCs w:val="22"/>
              </w:rPr>
              <w:t>48%</w:t>
            </w:r>
          </w:p>
        </w:tc>
        <w:tc>
          <w:tcPr>
            <w:tcW w:w="1611" w:type="pct"/>
            <w:shd w:val="clear" w:color="auto" w:fill="F3F3F3"/>
            <w:vAlign w:val="center"/>
          </w:tcPr>
          <w:p w:rsidR="00485DE4" w:rsidRPr="00027183" w:rsidRDefault="00485DE4" w:rsidP="00746F47">
            <w:pPr>
              <w:jc w:val="center"/>
              <w:rPr>
                <w:rFonts w:asciiTheme="minorHAnsi" w:hAnsiTheme="minorHAnsi" w:cstheme="minorHAnsi"/>
                <w:sz w:val="20"/>
                <w:szCs w:val="20"/>
              </w:rPr>
            </w:pPr>
            <w:r>
              <w:rPr>
                <w:rFonts w:ascii="Calibri" w:hAnsi="Calibri"/>
                <w:color w:val="000000"/>
                <w:sz w:val="22"/>
                <w:szCs w:val="22"/>
              </w:rPr>
              <w:t>0%</w:t>
            </w:r>
          </w:p>
        </w:tc>
      </w:tr>
      <w:tr w:rsidR="00485DE4" w:rsidRPr="00DA11A0" w:rsidTr="0051696C">
        <w:trPr>
          <w:cnfStyle w:val="000000100000" w:firstRow="0" w:lastRow="0" w:firstColumn="0" w:lastColumn="0" w:oddVBand="0" w:evenVBand="0" w:oddHBand="1" w:evenHBand="0" w:firstRowFirstColumn="0" w:firstRowLastColumn="0" w:lastRowFirstColumn="0" w:lastRowLastColumn="0"/>
          <w:jc w:val="center"/>
        </w:trPr>
        <w:tc>
          <w:tcPr>
            <w:tcW w:w="1775" w:type="pct"/>
            <w:shd w:val="clear" w:color="auto" w:fill="F3F3F3"/>
            <w:vAlign w:val="center"/>
          </w:tcPr>
          <w:p w:rsidR="00485DE4" w:rsidRDefault="00485DE4" w:rsidP="00746F47">
            <w:pPr>
              <w:jc w:val="center"/>
              <w:rPr>
                <w:rFonts w:asciiTheme="minorHAnsi" w:hAnsiTheme="minorHAnsi" w:cstheme="minorHAnsi"/>
                <w:sz w:val="20"/>
                <w:szCs w:val="20"/>
              </w:rPr>
            </w:pPr>
            <w:r>
              <w:rPr>
                <w:rFonts w:ascii="Calibri" w:hAnsi="Calibri"/>
                <w:color w:val="000000"/>
                <w:sz w:val="22"/>
                <w:szCs w:val="22"/>
              </w:rPr>
              <w:t>13</w:t>
            </w:r>
          </w:p>
        </w:tc>
        <w:tc>
          <w:tcPr>
            <w:tcW w:w="1614" w:type="pct"/>
            <w:shd w:val="clear" w:color="auto" w:fill="F3F3F3"/>
            <w:vAlign w:val="center"/>
          </w:tcPr>
          <w:p w:rsidR="00485DE4" w:rsidRPr="00027183" w:rsidRDefault="00E271C4" w:rsidP="00746F47">
            <w:pPr>
              <w:jc w:val="center"/>
              <w:rPr>
                <w:rFonts w:asciiTheme="minorHAnsi" w:hAnsiTheme="minorHAnsi" w:cstheme="minorHAnsi"/>
                <w:sz w:val="20"/>
                <w:szCs w:val="20"/>
              </w:rPr>
            </w:pPr>
            <w:r>
              <w:rPr>
                <w:rFonts w:ascii="Calibri" w:hAnsi="Calibri"/>
                <w:color w:val="000000"/>
                <w:sz w:val="22"/>
                <w:szCs w:val="22"/>
              </w:rPr>
              <w:t>65%</w:t>
            </w:r>
          </w:p>
        </w:tc>
        <w:tc>
          <w:tcPr>
            <w:tcW w:w="1611" w:type="pct"/>
            <w:shd w:val="clear" w:color="auto" w:fill="F3F3F3"/>
            <w:vAlign w:val="center"/>
          </w:tcPr>
          <w:p w:rsidR="00485DE4" w:rsidRPr="00027183" w:rsidRDefault="00E271C4" w:rsidP="00746F47">
            <w:pPr>
              <w:jc w:val="center"/>
              <w:rPr>
                <w:rFonts w:asciiTheme="minorHAnsi" w:hAnsiTheme="minorHAnsi" w:cstheme="minorHAnsi"/>
                <w:sz w:val="20"/>
                <w:szCs w:val="20"/>
              </w:rPr>
            </w:pPr>
            <w:r>
              <w:rPr>
                <w:rFonts w:ascii="Calibri" w:hAnsi="Calibri"/>
                <w:color w:val="000000"/>
                <w:sz w:val="22"/>
                <w:szCs w:val="22"/>
              </w:rPr>
              <w:t>0%</w:t>
            </w:r>
          </w:p>
        </w:tc>
      </w:tr>
      <w:tr w:rsidR="00485DE4" w:rsidRPr="00DA11A0" w:rsidTr="0051696C">
        <w:trPr>
          <w:cnfStyle w:val="000000010000" w:firstRow="0" w:lastRow="0" w:firstColumn="0" w:lastColumn="0" w:oddVBand="0" w:evenVBand="0" w:oddHBand="0" w:evenHBand="1" w:firstRowFirstColumn="0" w:firstRowLastColumn="0" w:lastRowFirstColumn="0" w:lastRowLastColumn="0"/>
          <w:jc w:val="center"/>
        </w:trPr>
        <w:tc>
          <w:tcPr>
            <w:tcW w:w="1775" w:type="pct"/>
            <w:shd w:val="clear" w:color="auto" w:fill="F3F3F3"/>
            <w:vAlign w:val="center"/>
          </w:tcPr>
          <w:p w:rsidR="00485DE4" w:rsidRDefault="00485DE4" w:rsidP="00746F47">
            <w:pPr>
              <w:jc w:val="center"/>
              <w:rPr>
                <w:rFonts w:asciiTheme="minorHAnsi" w:hAnsiTheme="minorHAnsi" w:cstheme="minorHAnsi"/>
                <w:sz w:val="20"/>
                <w:szCs w:val="20"/>
              </w:rPr>
            </w:pPr>
            <w:r>
              <w:rPr>
                <w:rFonts w:ascii="Calibri" w:hAnsi="Calibri"/>
                <w:color w:val="000000"/>
                <w:sz w:val="22"/>
                <w:szCs w:val="22"/>
              </w:rPr>
              <w:t>14</w:t>
            </w:r>
          </w:p>
        </w:tc>
        <w:tc>
          <w:tcPr>
            <w:tcW w:w="1614" w:type="pct"/>
            <w:shd w:val="clear" w:color="auto" w:fill="F3F3F3"/>
            <w:vAlign w:val="center"/>
          </w:tcPr>
          <w:p w:rsidR="00485DE4" w:rsidRPr="00027183" w:rsidRDefault="00485DE4" w:rsidP="00746F47">
            <w:pPr>
              <w:jc w:val="center"/>
              <w:rPr>
                <w:rFonts w:asciiTheme="minorHAnsi" w:hAnsiTheme="minorHAnsi" w:cstheme="minorHAnsi"/>
                <w:sz w:val="20"/>
                <w:szCs w:val="20"/>
              </w:rPr>
            </w:pPr>
            <w:r>
              <w:rPr>
                <w:rFonts w:ascii="Calibri" w:hAnsi="Calibri"/>
                <w:color w:val="000000"/>
                <w:sz w:val="22"/>
                <w:szCs w:val="22"/>
              </w:rPr>
              <w:t>88%</w:t>
            </w:r>
          </w:p>
        </w:tc>
        <w:tc>
          <w:tcPr>
            <w:tcW w:w="1611" w:type="pct"/>
            <w:shd w:val="clear" w:color="auto" w:fill="F3F3F3"/>
            <w:vAlign w:val="center"/>
          </w:tcPr>
          <w:p w:rsidR="00485DE4" w:rsidRPr="00027183" w:rsidRDefault="00B43B33" w:rsidP="00746F47">
            <w:pPr>
              <w:jc w:val="center"/>
              <w:rPr>
                <w:rFonts w:asciiTheme="minorHAnsi" w:hAnsiTheme="minorHAnsi" w:cstheme="minorHAnsi"/>
                <w:sz w:val="20"/>
                <w:szCs w:val="20"/>
              </w:rPr>
            </w:pPr>
            <w:r>
              <w:rPr>
                <w:rFonts w:ascii="Calibri" w:hAnsi="Calibri"/>
                <w:color w:val="000000"/>
                <w:sz w:val="22"/>
                <w:szCs w:val="22"/>
              </w:rPr>
              <w:t>100</w:t>
            </w:r>
            <w:r w:rsidR="00485DE4">
              <w:rPr>
                <w:rFonts w:ascii="Calibri" w:hAnsi="Calibri"/>
                <w:color w:val="000000"/>
                <w:sz w:val="22"/>
                <w:szCs w:val="22"/>
              </w:rPr>
              <w:t>%</w:t>
            </w:r>
          </w:p>
        </w:tc>
      </w:tr>
      <w:tr w:rsidR="00485DE4" w:rsidRPr="00DA11A0" w:rsidTr="0051696C">
        <w:trPr>
          <w:cnfStyle w:val="000000100000" w:firstRow="0" w:lastRow="0" w:firstColumn="0" w:lastColumn="0" w:oddVBand="0" w:evenVBand="0" w:oddHBand="1" w:evenHBand="0" w:firstRowFirstColumn="0" w:firstRowLastColumn="0" w:lastRowFirstColumn="0" w:lastRowLastColumn="0"/>
          <w:jc w:val="center"/>
        </w:trPr>
        <w:tc>
          <w:tcPr>
            <w:tcW w:w="1775" w:type="pct"/>
            <w:shd w:val="clear" w:color="auto" w:fill="F3F3F3"/>
            <w:vAlign w:val="center"/>
          </w:tcPr>
          <w:p w:rsidR="00485DE4" w:rsidRDefault="00485DE4" w:rsidP="00746F47">
            <w:pPr>
              <w:jc w:val="center"/>
              <w:rPr>
                <w:rFonts w:asciiTheme="minorHAnsi" w:hAnsiTheme="minorHAnsi" w:cstheme="minorHAnsi"/>
                <w:sz w:val="20"/>
                <w:szCs w:val="20"/>
              </w:rPr>
            </w:pPr>
            <w:r>
              <w:rPr>
                <w:rFonts w:ascii="Calibri" w:hAnsi="Calibri"/>
                <w:color w:val="000000"/>
                <w:sz w:val="22"/>
                <w:szCs w:val="22"/>
              </w:rPr>
              <w:t>15</w:t>
            </w:r>
          </w:p>
        </w:tc>
        <w:tc>
          <w:tcPr>
            <w:tcW w:w="1614" w:type="pct"/>
            <w:shd w:val="clear" w:color="auto" w:fill="F3F3F3"/>
            <w:vAlign w:val="center"/>
          </w:tcPr>
          <w:p w:rsidR="00485DE4" w:rsidRPr="00027183" w:rsidRDefault="00485DE4" w:rsidP="00746F47">
            <w:pPr>
              <w:jc w:val="center"/>
              <w:rPr>
                <w:rFonts w:asciiTheme="minorHAnsi" w:hAnsiTheme="minorHAnsi" w:cstheme="minorHAnsi"/>
                <w:sz w:val="20"/>
                <w:szCs w:val="20"/>
              </w:rPr>
            </w:pPr>
            <w:r>
              <w:rPr>
                <w:rFonts w:ascii="Calibri" w:hAnsi="Calibri"/>
                <w:color w:val="000000"/>
                <w:sz w:val="22"/>
                <w:szCs w:val="22"/>
              </w:rPr>
              <w:t>57%</w:t>
            </w:r>
          </w:p>
        </w:tc>
        <w:tc>
          <w:tcPr>
            <w:tcW w:w="1611" w:type="pct"/>
            <w:shd w:val="clear" w:color="auto" w:fill="F3F3F3"/>
            <w:vAlign w:val="center"/>
          </w:tcPr>
          <w:p w:rsidR="00485DE4" w:rsidRPr="00027183" w:rsidRDefault="00485DE4" w:rsidP="00746F47">
            <w:pPr>
              <w:jc w:val="center"/>
              <w:rPr>
                <w:rFonts w:asciiTheme="minorHAnsi" w:hAnsiTheme="minorHAnsi" w:cstheme="minorHAnsi"/>
                <w:sz w:val="20"/>
                <w:szCs w:val="20"/>
              </w:rPr>
            </w:pPr>
            <w:r>
              <w:rPr>
                <w:rFonts w:ascii="Calibri" w:hAnsi="Calibri"/>
                <w:color w:val="000000"/>
                <w:sz w:val="22"/>
                <w:szCs w:val="22"/>
              </w:rPr>
              <w:t>11%</w:t>
            </w:r>
          </w:p>
        </w:tc>
      </w:tr>
    </w:tbl>
    <w:p w:rsidR="00607948" w:rsidRPr="000E255B" w:rsidRDefault="00607948" w:rsidP="00607948">
      <w:pPr>
        <w:ind w:left="360"/>
        <w:rPr>
          <w:rFonts w:asciiTheme="minorHAnsi" w:hAnsiTheme="minorHAnsi" w:cstheme="minorHAnsi"/>
          <w:sz w:val="20"/>
          <w:szCs w:val="20"/>
        </w:rPr>
      </w:pPr>
    </w:p>
    <w:p w:rsidR="00607948" w:rsidRPr="00612364" w:rsidRDefault="00607948" w:rsidP="00607948">
      <w:pPr>
        <w:rPr>
          <w:rFonts w:asciiTheme="minorHAnsi" w:hAnsiTheme="minorHAnsi" w:cstheme="minorHAnsi"/>
          <w:sz w:val="22"/>
          <w:szCs w:val="22"/>
        </w:rPr>
      </w:pPr>
    </w:p>
    <w:p w:rsidR="00607948" w:rsidRDefault="00607948" w:rsidP="00607948">
      <w:pPr>
        <w:spacing w:after="120" w:line="280" w:lineRule="atLeast"/>
        <w:rPr>
          <w:rFonts w:asciiTheme="minorHAnsi" w:hAnsiTheme="minorHAnsi" w:cstheme="minorHAnsi"/>
          <w:b/>
          <w:sz w:val="22"/>
          <w:szCs w:val="22"/>
        </w:rPr>
      </w:pPr>
      <w:r w:rsidRPr="008A38C3">
        <w:rPr>
          <w:rFonts w:asciiTheme="minorHAnsi" w:hAnsiTheme="minorHAnsi" w:cstheme="minorHAnsi"/>
          <w:b/>
          <w:sz w:val="22"/>
          <w:szCs w:val="22"/>
        </w:rPr>
        <w:t>Pacific Gas and Electric</w:t>
      </w:r>
    </w:p>
    <w:p w:rsidR="004545A3" w:rsidRDefault="00424AAC" w:rsidP="00607948">
      <w:pPr>
        <w:spacing w:after="120" w:line="280" w:lineRule="atLeast"/>
        <w:rPr>
          <w:rFonts w:asciiTheme="minorHAnsi" w:hAnsiTheme="minorHAnsi" w:cstheme="minorHAnsi"/>
          <w:sz w:val="22"/>
          <w:szCs w:val="22"/>
        </w:rPr>
      </w:pPr>
      <w:r>
        <w:rPr>
          <w:rFonts w:asciiTheme="minorHAnsi" w:hAnsiTheme="minorHAnsi" w:cstheme="minorHAnsi"/>
          <w:sz w:val="22"/>
          <w:szCs w:val="22"/>
        </w:rPr>
        <w:t>PG&amp;E only offers this measure for multifamily dwellings in climate zones 11, 12, 13. Therefore, the savings are only</w:t>
      </w:r>
      <w:r w:rsidR="00E336E3">
        <w:rPr>
          <w:rFonts w:asciiTheme="minorHAnsi" w:hAnsiTheme="minorHAnsi" w:cstheme="minorHAnsi"/>
          <w:sz w:val="22"/>
          <w:szCs w:val="22"/>
        </w:rPr>
        <w:t xml:space="preserve"> calculated</w:t>
      </w:r>
      <w:r>
        <w:rPr>
          <w:rFonts w:asciiTheme="minorHAnsi" w:hAnsiTheme="minorHAnsi" w:cstheme="minorHAnsi"/>
          <w:sz w:val="22"/>
          <w:szCs w:val="22"/>
        </w:rPr>
        <w:t xml:space="preserve"> </w:t>
      </w:r>
      <w:r w:rsidR="00E336E3">
        <w:rPr>
          <w:rFonts w:asciiTheme="minorHAnsi" w:hAnsiTheme="minorHAnsi" w:cstheme="minorHAnsi"/>
          <w:sz w:val="22"/>
          <w:szCs w:val="22"/>
        </w:rPr>
        <w:t>for instances</w:t>
      </w:r>
      <w:r>
        <w:rPr>
          <w:rFonts w:asciiTheme="minorHAnsi" w:hAnsiTheme="minorHAnsi" w:cstheme="minorHAnsi"/>
          <w:sz w:val="22"/>
          <w:szCs w:val="22"/>
        </w:rPr>
        <w:t xml:space="preserve"> meeting </w:t>
      </w:r>
      <w:r w:rsidR="00FC1C8A">
        <w:rPr>
          <w:rFonts w:asciiTheme="minorHAnsi" w:hAnsiTheme="minorHAnsi" w:cstheme="minorHAnsi"/>
          <w:sz w:val="22"/>
          <w:szCs w:val="22"/>
        </w:rPr>
        <w:t>these criteria</w:t>
      </w:r>
      <w:r w:rsidR="00E336E3">
        <w:rPr>
          <w:rFonts w:asciiTheme="minorHAnsi" w:hAnsiTheme="minorHAnsi" w:cstheme="minorHAnsi"/>
          <w:sz w:val="22"/>
          <w:szCs w:val="22"/>
        </w:rPr>
        <w:t xml:space="preserve"> (column AR, worksheet ‘</w:t>
      </w:r>
      <w:proofErr w:type="spellStart"/>
      <w:r w:rsidR="00E336E3" w:rsidRPr="00E336E3">
        <w:rPr>
          <w:rFonts w:asciiTheme="minorHAnsi" w:hAnsiTheme="minorHAnsi" w:cstheme="minorHAnsi"/>
          <w:sz w:val="22"/>
          <w:szCs w:val="22"/>
        </w:rPr>
        <w:t>EnergyImpacts_RES_EvapCool</w:t>
      </w:r>
      <w:proofErr w:type="spellEnd"/>
      <w:r w:rsidR="00E336E3">
        <w:rPr>
          <w:rFonts w:asciiTheme="minorHAnsi" w:hAnsiTheme="minorHAnsi" w:cstheme="minorHAnsi"/>
          <w:sz w:val="22"/>
          <w:szCs w:val="22"/>
        </w:rPr>
        <w:t>’)</w:t>
      </w:r>
      <w:r>
        <w:rPr>
          <w:rFonts w:asciiTheme="minorHAnsi" w:hAnsiTheme="minorHAnsi" w:cstheme="minorHAnsi"/>
          <w:sz w:val="22"/>
          <w:szCs w:val="22"/>
        </w:rPr>
        <w:t xml:space="preserve">. </w:t>
      </w:r>
      <w:r w:rsidR="00FC1C8A">
        <w:rPr>
          <w:rFonts w:asciiTheme="minorHAnsi" w:hAnsiTheme="minorHAnsi" w:cstheme="minorHAnsi"/>
          <w:sz w:val="22"/>
          <w:szCs w:val="22"/>
        </w:rPr>
        <w:t>T</w:t>
      </w:r>
      <w:r w:rsidR="00607948">
        <w:rPr>
          <w:rFonts w:asciiTheme="minorHAnsi" w:hAnsiTheme="minorHAnsi" w:cstheme="minorHAnsi"/>
          <w:sz w:val="22"/>
          <w:szCs w:val="22"/>
        </w:rPr>
        <w:t>he calculation of the energy savings and demand savings follows the methodology described above for Southern California Edison, except</w:t>
      </w:r>
      <w:r w:rsidR="004545A3">
        <w:rPr>
          <w:rFonts w:asciiTheme="minorHAnsi" w:hAnsiTheme="minorHAnsi" w:cstheme="minorHAnsi"/>
          <w:sz w:val="22"/>
          <w:szCs w:val="22"/>
        </w:rPr>
        <w:t xml:space="preserve"> for the following</w:t>
      </w:r>
      <w:r w:rsidR="00276777">
        <w:rPr>
          <w:rFonts w:asciiTheme="minorHAnsi" w:hAnsiTheme="minorHAnsi" w:cstheme="minorHAnsi"/>
          <w:sz w:val="22"/>
          <w:szCs w:val="22"/>
        </w:rPr>
        <w:t xml:space="preserve"> </w:t>
      </w:r>
      <w:r w:rsidR="004545A3">
        <w:rPr>
          <w:rFonts w:asciiTheme="minorHAnsi" w:hAnsiTheme="minorHAnsi" w:cstheme="minorHAnsi"/>
          <w:sz w:val="22"/>
          <w:szCs w:val="22"/>
        </w:rPr>
        <w:t xml:space="preserve">differences: </w:t>
      </w:r>
    </w:p>
    <w:p w:rsidR="004545A3" w:rsidRDefault="00607948" w:rsidP="0051696C">
      <w:pPr>
        <w:pStyle w:val="ListParagraph"/>
        <w:numPr>
          <w:ilvl w:val="0"/>
          <w:numId w:val="20"/>
        </w:numPr>
        <w:spacing w:after="120" w:line="280" w:lineRule="atLeast"/>
        <w:rPr>
          <w:rFonts w:asciiTheme="minorHAnsi" w:hAnsiTheme="minorHAnsi" w:cstheme="minorHAnsi"/>
          <w:sz w:val="22"/>
          <w:szCs w:val="22"/>
        </w:rPr>
      </w:pPr>
      <w:r w:rsidRPr="0051696C">
        <w:rPr>
          <w:rFonts w:asciiTheme="minorHAnsi" w:hAnsiTheme="minorHAnsi" w:cstheme="minorHAnsi"/>
          <w:sz w:val="22"/>
          <w:szCs w:val="22"/>
        </w:rPr>
        <w:t xml:space="preserve">PG&amp;E savings values are based on the above code savings (DEER field: </w:t>
      </w:r>
      <w:proofErr w:type="spellStart"/>
      <w:r w:rsidR="00AA48DB">
        <w:rPr>
          <w:rFonts w:asciiTheme="minorHAnsi" w:hAnsiTheme="minorHAnsi" w:cstheme="minorHAnsi"/>
          <w:sz w:val="22"/>
          <w:szCs w:val="22"/>
        </w:rPr>
        <w:t>AStdWBkWh</w:t>
      </w:r>
      <w:proofErr w:type="spellEnd"/>
      <w:r w:rsidR="00AA48DB" w:rsidRPr="0051696C">
        <w:rPr>
          <w:rFonts w:asciiTheme="minorHAnsi" w:hAnsiTheme="minorHAnsi" w:cstheme="minorHAnsi"/>
          <w:sz w:val="22"/>
          <w:szCs w:val="22"/>
        </w:rPr>
        <w:t xml:space="preserve"> </w:t>
      </w:r>
      <w:r w:rsidRPr="0051696C">
        <w:rPr>
          <w:rFonts w:asciiTheme="minorHAnsi" w:hAnsiTheme="minorHAnsi" w:cstheme="minorHAnsi"/>
          <w:sz w:val="22"/>
          <w:szCs w:val="22"/>
        </w:rPr>
        <w:t xml:space="preserve">and </w:t>
      </w:r>
      <w:proofErr w:type="spellStart"/>
      <w:r w:rsidR="00AA48DB">
        <w:rPr>
          <w:rFonts w:asciiTheme="minorHAnsi" w:hAnsiTheme="minorHAnsi" w:cstheme="minorHAnsi"/>
          <w:sz w:val="22"/>
          <w:szCs w:val="22"/>
        </w:rPr>
        <w:t>AStdWBkW</w:t>
      </w:r>
      <w:proofErr w:type="spellEnd"/>
      <w:r w:rsidRPr="0051696C">
        <w:rPr>
          <w:rFonts w:asciiTheme="minorHAnsi" w:hAnsiTheme="minorHAnsi" w:cstheme="minorHAnsi"/>
          <w:sz w:val="22"/>
          <w:szCs w:val="22"/>
        </w:rPr>
        <w:t>) for DEER measure D03-405. The above code savings are used as PG&amp;E offers this measure as a complete retr</w:t>
      </w:r>
      <w:r w:rsidRPr="00892904">
        <w:rPr>
          <w:rFonts w:asciiTheme="minorHAnsi" w:hAnsiTheme="minorHAnsi" w:cstheme="minorHAnsi"/>
          <w:sz w:val="22"/>
          <w:szCs w:val="22"/>
        </w:rPr>
        <w:t>ofit</w:t>
      </w:r>
      <w:r w:rsidR="00180AAB" w:rsidRPr="00892904">
        <w:rPr>
          <w:rFonts w:asciiTheme="minorHAnsi" w:hAnsiTheme="minorHAnsi" w:cstheme="minorHAnsi"/>
          <w:sz w:val="22"/>
          <w:szCs w:val="22"/>
        </w:rPr>
        <w:t xml:space="preserve"> (as ROB)</w:t>
      </w:r>
      <w:r w:rsidRPr="00892904">
        <w:rPr>
          <w:rFonts w:asciiTheme="minorHAnsi" w:hAnsiTheme="minorHAnsi" w:cstheme="minorHAnsi"/>
          <w:sz w:val="22"/>
          <w:szCs w:val="22"/>
        </w:rPr>
        <w:t xml:space="preserve"> and not a</w:t>
      </w:r>
      <w:r w:rsidR="003C289C" w:rsidRPr="00892904">
        <w:rPr>
          <w:rFonts w:asciiTheme="minorHAnsi" w:hAnsiTheme="minorHAnsi" w:cstheme="minorHAnsi"/>
          <w:sz w:val="22"/>
          <w:szCs w:val="22"/>
        </w:rPr>
        <w:t xml:space="preserve"> retrofit</w:t>
      </w:r>
      <w:r w:rsidRPr="00892904">
        <w:rPr>
          <w:rFonts w:asciiTheme="minorHAnsi" w:hAnsiTheme="minorHAnsi" w:cstheme="minorHAnsi"/>
          <w:sz w:val="22"/>
          <w:szCs w:val="22"/>
        </w:rPr>
        <w:t xml:space="preserve"> add-on as SCE does. </w:t>
      </w:r>
      <w:r w:rsidR="00276777" w:rsidRPr="00892904">
        <w:rPr>
          <w:rFonts w:asciiTheme="minorHAnsi" w:hAnsiTheme="minorHAnsi" w:cstheme="minorHAnsi"/>
          <w:sz w:val="22"/>
          <w:szCs w:val="22"/>
        </w:rPr>
        <w:t>Also for this reason no adjustment factors are applied</w:t>
      </w:r>
      <w:r w:rsidR="00276777">
        <w:rPr>
          <w:rFonts w:asciiTheme="minorHAnsi" w:hAnsiTheme="minorHAnsi" w:cstheme="minorHAnsi"/>
          <w:sz w:val="22"/>
          <w:szCs w:val="22"/>
        </w:rPr>
        <w:t xml:space="preserve">. </w:t>
      </w:r>
    </w:p>
    <w:p w:rsidR="00607948" w:rsidRPr="0051696C" w:rsidRDefault="00607948" w:rsidP="0051696C">
      <w:pPr>
        <w:pStyle w:val="ListParagraph"/>
        <w:numPr>
          <w:ilvl w:val="0"/>
          <w:numId w:val="20"/>
        </w:numPr>
        <w:spacing w:after="120" w:line="280" w:lineRule="atLeast"/>
        <w:rPr>
          <w:rFonts w:asciiTheme="minorHAnsi" w:hAnsiTheme="minorHAnsi" w:cstheme="minorHAnsi"/>
          <w:sz w:val="22"/>
          <w:szCs w:val="22"/>
        </w:rPr>
      </w:pPr>
      <w:r w:rsidRPr="0051696C">
        <w:rPr>
          <w:rFonts w:asciiTheme="minorHAnsi" w:hAnsiTheme="minorHAnsi" w:cstheme="minorHAnsi"/>
          <w:sz w:val="22"/>
          <w:szCs w:val="22"/>
        </w:rPr>
        <w:lastRenderedPageBreak/>
        <w:t xml:space="preserve">The savings are presented on a per household basis. Since PG&amp;E uses household as the unit measure, DEER savings were converted to per household unit instead of </w:t>
      </w:r>
      <w:r w:rsidR="00AA48DB">
        <w:rPr>
          <w:rFonts w:asciiTheme="minorHAnsi" w:hAnsiTheme="minorHAnsi" w:cstheme="minorHAnsi"/>
          <w:sz w:val="22"/>
          <w:szCs w:val="22"/>
        </w:rPr>
        <w:t xml:space="preserve">the </w:t>
      </w:r>
      <w:r w:rsidRPr="0051696C">
        <w:rPr>
          <w:rFonts w:asciiTheme="minorHAnsi" w:hAnsiTheme="minorHAnsi" w:cstheme="minorHAnsi"/>
          <w:sz w:val="22"/>
          <w:szCs w:val="22"/>
        </w:rPr>
        <w:t xml:space="preserve">DEER common unit of per 1,000 </w:t>
      </w:r>
      <w:proofErr w:type="spellStart"/>
      <w:r w:rsidRPr="0051696C">
        <w:rPr>
          <w:rFonts w:asciiTheme="minorHAnsi" w:hAnsiTheme="minorHAnsi" w:cstheme="minorHAnsi"/>
          <w:sz w:val="22"/>
          <w:szCs w:val="22"/>
        </w:rPr>
        <w:t>sqft</w:t>
      </w:r>
      <w:proofErr w:type="spellEnd"/>
      <w:r w:rsidR="00AA48DB">
        <w:rPr>
          <w:rFonts w:asciiTheme="minorHAnsi" w:hAnsiTheme="minorHAnsi" w:cstheme="minorHAnsi"/>
          <w:sz w:val="22"/>
          <w:szCs w:val="22"/>
        </w:rPr>
        <w:t xml:space="preserve"> by multiplying the savings values by </w:t>
      </w:r>
      <w:r w:rsidRPr="0051696C">
        <w:rPr>
          <w:rFonts w:asciiTheme="minorHAnsi" w:hAnsiTheme="minorHAnsi" w:cstheme="minorHAnsi"/>
          <w:sz w:val="22"/>
          <w:szCs w:val="22"/>
        </w:rPr>
        <w:t>the number of common units.</w:t>
      </w:r>
    </w:p>
    <w:p w:rsidR="00424AAC" w:rsidRDefault="00424AAC" w:rsidP="00607948">
      <w:pPr>
        <w:spacing w:after="120" w:line="280" w:lineRule="atLeast"/>
        <w:rPr>
          <w:rFonts w:asciiTheme="minorHAnsi" w:hAnsiTheme="minorHAnsi" w:cstheme="minorHAnsi"/>
          <w:b/>
          <w:color w:val="FF0000"/>
          <w:sz w:val="22"/>
          <w:szCs w:val="22"/>
          <w:u w:val="single"/>
        </w:rPr>
      </w:pPr>
      <w:r w:rsidRPr="00612364">
        <w:rPr>
          <w:rFonts w:asciiTheme="minorHAnsi" w:hAnsiTheme="minorHAnsi" w:cstheme="minorHAnsi"/>
          <w:sz w:val="22"/>
          <w:szCs w:val="22"/>
        </w:rPr>
        <w:t xml:space="preserve">All residential calculations are shown in the </w:t>
      </w:r>
      <w:r w:rsidR="00F634EB">
        <w:rPr>
          <w:rFonts w:asciiTheme="minorHAnsi" w:hAnsiTheme="minorHAnsi" w:cstheme="minorHAnsi"/>
          <w:sz w:val="22"/>
          <w:szCs w:val="22"/>
        </w:rPr>
        <w:t>embedded</w:t>
      </w:r>
      <w:r w:rsidRPr="00612364">
        <w:rPr>
          <w:rFonts w:asciiTheme="minorHAnsi" w:hAnsiTheme="minorHAnsi" w:cstheme="minorHAnsi"/>
          <w:sz w:val="22"/>
          <w:szCs w:val="22"/>
        </w:rPr>
        <w:t xml:space="preserve"> </w:t>
      </w:r>
      <w:r w:rsidR="004B3785">
        <w:rPr>
          <w:rFonts w:asciiTheme="minorHAnsi" w:hAnsiTheme="minorHAnsi" w:cstheme="minorHAnsi"/>
          <w:sz w:val="22"/>
          <w:szCs w:val="22"/>
        </w:rPr>
        <w:t>E</w:t>
      </w:r>
      <w:r w:rsidRPr="008A2772">
        <w:rPr>
          <w:rFonts w:asciiTheme="minorHAnsi" w:hAnsiTheme="minorHAnsi" w:cstheme="minorHAnsi"/>
          <w:sz w:val="22"/>
          <w:szCs w:val="22"/>
        </w:rPr>
        <w:t>xcel file</w:t>
      </w:r>
      <w:r>
        <w:rPr>
          <w:rFonts w:asciiTheme="minorHAnsi" w:hAnsiTheme="minorHAnsi" w:cstheme="minorHAnsi"/>
          <w:sz w:val="22"/>
          <w:szCs w:val="22"/>
        </w:rPr>
        <w:t xml:space="preserve"> (</w:t>
      </w:r>
      <w:r w:rsidR="00DF14AE" w:rsidRPr="0051696C">
        <w:rPr>
          <w:rFonts w:asciiTheme="minorHAnsi" w:hAnsiTheme="minorHAnsi" w:cstheme="minorHAnsi"/>
          <w:sz w:val="22"/>
          <w:szCs w:val="22"/>
        </w:rPr>
        <w:t>SCE</w:t>
      </w:r>
      <w:r w:rsidR="00DF14AE">
        <w:rPr>
          <w:rFonts w:asciiTheme="minorHAnsi" w:hAnsiTheme="minorHAnsi" w:cstheme="minorHAnsi"/>
          <w:sz w:val="22"/>
          <w:szCs w:val="22"/>
        </w:rPr>
        <w:t>13</w:t>
      </w:r>
      <w:r w:rsidR="00DF14AE" w:rsidRPr="0051696C">
        <w:rPr>
          <w:rFonts w:asciiTheme="minorHAnsi" w:hAnsiTheme="minorHAnsi" w:cstheme="minorHAnsi"/>
          <w:sz w:val="22"/>
          <w:szCs w:val="22"/>
        </w:rPr>
        <w:t>HC0130</w:t>
      </w:r>
      <w:r w:rsidR="00F634EB" w:rsidRPr="0051696C">
        <w:rPr>
          <w:rFonts w:asciiTheme="minorHAnsi" w:hAnsiTheme="minorHAnsi" w:cstheme="minorHAnsi"/>
          <w:sz w:val="22"/>
          <w:szCs w:val="22"/>
        </w:rPr>
        <w:t xml:space="preserve">_Res_Rev </w:t>
      </w:r>
      <w:r w:rsidR="00D323C3">
        <w:rPr>
          <w:rFonts w:asciiTheme="minorHAnsi" w:hAnsiTheme="minorHAnsi" w:cstheme="minorHAnsi"/>
          <w:sz w:val="22"/>
          <w:szCs w:val="22"/>
        </w:rPr>
        <w:t>4</w:t>
      </w:r>
      <w:r w:rsidRPr="0051696C">
        <w:rPr>
          <w:rFonts w:asciiTheme="minorHAnsi" w:hAnsiTheme="minorHAnsi" w:cstheme="minorHAnsi"/>
          <w:sz w:val="22"/>
          <w:szCs w:val="22"/>
        </w:rPr>
        <w:t>.xlsx</w:t>
      </w:r>
      <w:r>
        <w:rPr>
          <w:rFonts w:asciiTheme="minorHAnsi" w:hAnsiTheme="minorHAnsi" w:cstheme="minorHAnsi"/>
          <w:sz w:val="22"/>
          <w:szCs w:val="22"/>
        </w:rPr>
        <w:t>)</w:t>
      </w:r>
      <w:r w:rsidRPr="00612364">
        <w:rPr>
          <w:rFonts w:asciiTheme="minorHAnsi" w:hAnsiTheme="minorHAnsi" w:cstheme="minorHAnsi"/>
          <w:sz w:val="22"/>
          <w:szCs w:val="22"/>
        </w:rPr>
        <w:t>.</w:t>
      </w:r>
      <w:r>
        <w:rPr>
          <w:rFonts w:asciiTheme="minorHAnsi" w:hAnsiTheme="minorHAnsi" w:cstheme="minorHAnsi"/>
          <w:sz w:val="22"/>
          <w:szCs w:val="22"/>
        </w:rPr>
        <w:t xml:space="preserve">  </w:t>
      </w:r>
    </w:p>
    <w:p w:rsidR="00607948" w:rsidRPr="0051696C" w:rsidRDefault="00607948" w:rsidP="00607948">
      <w:pPr>
        <w:spacing w:after="120" w:line="280" w:lineRule="atLeast"/>
        <w:rPr>
          <w:rFonts w:asciiTheme="minorHAnsi" w:hAnsiTheme="minorHAnsi" w:cstheme="minorHAnsi"/>
          <w:b/>
          <w:sz w:val="22"/>
          <w:szCs w:val="22"/>
          <w:u w:val="single"/>
        </w:rPr>
      </w:pPr>
      <w:r w:rsidRPr="0051696C">
        <w:rPr>
          <w:rFonts w:asciiTheme="minorHAnsi" w:hAnsiTheme="minorHAnsi" w:cstheme="minorHAnsi"/>
          <w:b/>
          <w:sz w:val="22"/>
          <w:szCs w:val="22"/>
          <w:u w:val="single"/>
        </w:rPr>
        <w:t>Non Residential Sector</w:t>
      </w:r>
    </w:p>
    <w:p w:rsidR="0062178B" w:rsidRPr="008A2772" w:rsidRDefault="0062178B" w:rsidP="0062178B">
      <w:pPr>
        <w:spacing w:after="120" w:line="280" w:lineRule="atLeast"/>
        <w:rPr>
          <w:rFonts w:asciiTheme="minorHAnsi" w:hAnsiTheme="minorHAnsi" w:cstheme="minorHAnsi"/>
          <w:b/>
          <w:sz w:val="22"/>
          <w:szCs w:val="22"/>
        </w:rPr>
      </w:pPr>
      <w:r w:rsidRPr="008A2772">
        <w:rPr>
          <w:rFonts w:asciiTheme="minorHAnsi" w:hAnsiTheme="minorHAnsi" w:cstheme="minorHAnsi"/>
          <w:b/>
          <w:sz w:val="22"/>
          <w:szCs w:val="22"/>
        </w:rPr>
        <w:t>Southern California Edison</w:t>
      </w:r>
    </w:p>
    <w:p w:rsidR="0062178B" w:rsidRPr="00612364" w:rsidRDefault="0062178B" w:rsidP="0062178B">
      <w:pPr>
        <w:rPr>
          <w:rFonts w:asciiTheme="minorHAnsi" w:hAnsiTheme="minorHAnsi" w:cstheme="minorHAnsi"/>
          <w:sz w:val="22"/>
          <w:szCs w:val="22"/>
        </w:rPr>
      </w:pPr>
      <w:r w:rsidRPr="00612364">
        <w:rPr>
          <w:rFonts w:asciiTheme="minorHAnsi" w:hAnsiTheme="minorHAnsi" w:cstheme="minorHAnsi"/>
          <w:sz w:val="22"/>
          <w:szCs w:val="22"/>
        </w:rPr>
        <w:t xml:space="preserve">The DEER database does not have energy savings values for the Direct Evaporative Cooler (DEC) measure in the non-residential sector. Therefore, </w:t>
      </w:r>
      <w:r w:rsidR="00F634EB">
        <w:rPr>
          <w:rFonts w:asciiTheme="minorHAnsi" w:hAnsiTheme="minorHAnsi" w:cstheme="minorHAnsi"/>
          <w:sz w:val="22"/>
          <w:szCs w:val="22"/>
        </w:rPr>
        <w:t xml:space="preserve">the </w:t>
      </w:r>
      <w:r w:rsidRPr="00612364">
        <w:rPr>
          <w:rFonts w:asciiTheme="minorHAnsi" w:hAnsiTheme="minorHAnsi" w:cstheme="minorHAnsi"/>
          <w:sz w:val="22"/>
          <w:szCs w:val="22"/>
        </w:rPr>
        <w:t xml:space="preserve">following methodology was adopted to estimate the annual energy and peak demand savings. Calculation results are documented in the </w:t>
      </w:r>
      <w:r w:rsidR="005A3857">
        <w:rPr>
          <w:rFonts w:asciiTheme="minorHAnsi" w:hAnsiTheme="minorHAnsi" w:cstheme="minorHAnsi"/>
          <w:sz w:val="22"/>
          <w:szCs w:val="22"/>
        </w:rPr>
        <w:t xml:space="preserve">embedded </w:t>
      </w:r>
      <w:r w:rsidR="004B3785">
        <w:rPr>
          <w:rFonts w:asciiTheme="minorHAnsi" w:hAnsiTheme="minorHAnsi" w:cstheme="minorHAnsi"/>
          <w:sz w:val="22"/>
          <w:szCs w:val="22"/>
        </w:rPr>
        <w:t>E</w:t>
      </w:r>
      <w:r w:rsidRPr="008A2772">
        <w:rPr>
          <w:rFonts w:asciiTheme="minorHAnsi" w:hAnsiTheme="minorHAnsi" w:cstheme="minorHAnsi"/>
          <w:sz w:val="22"/>
          <w:szCs w:val="22"/>
        </w:rPr>
        <w:t xml:space="preserve">xcel </w:t>
      </w:r>
      <w:r w:rsidRPr="005A3857">
        <w:rPr>
          <w:rFonts w:asciiTheme="minorHAnsi" w:hAnsiTheme="minorHAnsi" w:cstheme="minorHAnsi"/>
          <w:sz w:val="22"/>
          <w:szCs w:val="22"/>
        </w:rPr>
        <w:t>workbook (</w:t>
      </w:r>
      <w:r w:rsidR="00DF14AE" w:rsidRPr="005A3857">
        <w:rPr>
          <w:rFonts w:asciiTheme="minorHAnsi" w:hAnsiTheme="minorHAnsi" w:cstheme="minorHAnsi"/>
          <w:sz w:val="22"/>
          <w:szCs w:val="22"/>
        </w:rPr>
        <w:t>SCE1</w:t>
      </w:r>
      <w:r w:rsidR="00DF14AE">
        <w:rPr>
          <w:rFonts w:asciiTheme="minorHAnsi" w:hAnsiTheme="minorHAnsi" w:cstheme="minorHAnsi"/>
          <w:sz w:val="22"/>
          <w:szCs w:val="22"/>
        </w:rPr>
        <w:t xml:space="preserve">3HC013 </w:t>
      </w:r>
      <w:r w:rsidR="00776F28">
        <w:rPr>
          <w:rFonts w:asciiTheme="minorHAnsi" w:hAnsiTheme="minorHAnsi" w:cstheme="minorHAnsi"/>
          <w:sz w:val="22"/>
          <w:szCs w:val="22"/>
        </w:rPr>
        <w:t xml:space="preserve">0_NonRes_Rev </w:t>
      </w:r>
      <w:r w:rsidR="00D323C3">
        <w:rPr>
          <w:rFonts w:asciiTheme="minorHAnsi" w:hAnsiTheme="minorHAnsi" w:cstheme="minorHAnsi"/>
          <w:sz w:val="22"/>
          <w:szCs w:val="22"/>
        </w:rPr>
        <w:t>4</w:t>
      </w:r>
      <w:r w:rsidRPr="005A3857">
        <w:rPr>
          <w:rFonts w:asciiTheme="minorHAnsi" w:hAnsiTheme="minorHAnsi" w:cstheme="minorHAnsi"/>
          <w:sz w:val="22"/>
          <w:szCs w:val="22"/>
        </w:rPr>
        <w:t xml:space="preserve">.xlsx). Below </w:t>
      </w:r>
      <w:r w:rsidRPr="00612364">
        <w:rPr>
          <w:rFonts w:asciiTheme="minorHAnsi" w:hAnsiTheme="minorHAnsi" w:cstheme="minorHAnsi"/>
          <w:sz w:val="22"/>
          <w:szCs w:val="22"/>
        </w:rPr>
        <w:t>is the detailed description of the calculation steps:</w:t>
      </w:r>
    </w:p>
    <w:p w:rsidR="005A3857" w:rsidRPr="005A3857" w:rsidRDefault="005A3857" w:rsidP="005A3857">
      <w:pPr>
        <w:numPr>
          <w:ilvl w:val="0"/>
          <w:numId w:val="16"/>
        </w:numPr>
        <w:rPr>
          <w:rFonts w:asciiTheme="minorHAnsi" w:hAnsiTheme="minorHAnsi" w:cstheme="minorHAnsi"/>
          <w:sz w:val="22"/>
          <w:szCs w:val="22"/>
        </w:rPr>
      </w:pPr>
      <w:r w:rsidRPr="00612364">
        <w:rPr>
          <w:rFonts w:asciiTheme="minorHAnsi" w:hAnsiTheme="minorHAnsi" w:cstheme="minorHAnsi"/>
          <w:sz w:val="22"/>
          <w:szCs w:val="22"/>
        </w:rPr>
        <w:t>Climate zones include</w:t>
      </w:r>
      <w:r>
        <w:rPr>
          <w:rFonts w:asciiTheme="minorHAnsi" w:hAnsiTheme="minorHAnsi" w:cstheme="minorHAnsi"/>
          <w:sz w:val="22"/>
          <w:szCs w:val="22"/>
        </w:rPr>
        <w:t>d</w:t>
      </w:r>
      <w:r w:rsidRPr="00612364">
        <w:rPr>
          <w:rFonts w:asciiTheme="minorHAnsi" w:hAnsiTheme="minorHAnsi" w:cstheme="minorHAnsi"/>
          <w:sz w:val="22"/>
          <w:szCs w:val="22"/>
        </w:rPr>
        <w:t xml:space="preserve"> in this work paper are 9,</w:t>
      </w:r>
      <w:r>
        <w:rPr>
          <w:rFonts w:asciiTheme="minorHAnsi" w:hAnsiTheme="minorHAnsi" w:cstheme="minorHAnsi"/>
          <w:sz w:val="22"/>
          <w:szCs w:val="22"/>
        </w:rPr>
        <w:t xml:space="preserve"> </w:t>
      </w:r>
      <w:r w:rsidRPr="00612364">
        <w:rPr>
          <w:rFonts w:asciiTheme="minorHAnsi" w:hAnsiTheme="minorHAnsi" w:cstheme="minorHAnsi"/>
          <w:sz w:val="22"/>
          <w:szCs w:val="22"/>
        </w:rPr>
        <w:t>10,</w:t>
      </w:r>
      <w:r>
        <w:rPr>
          <w:rFonts w:asciiTheme="minorHAnsi" w:hAnsiTheme="minorHAnsi" w:cstheme="minorHAnsi"/>
          <w:sz w:val="22"/>
          <w:szCs w:val="22"/>
        </w:rPr>
        <w:t xml:space="preserve"> </w:t>
      </w:r>
      <w:r w:rsidRPr="00612364">
        <w:rPr>
          <w:rFonts w:asciiTheme="minorHAnsi" w:hAnsiTheme="minorHAnsi" w:cstheme="minorHAnsi"/>
          <w:sz w:val="22"/>
          <w:szCs w:val="22"/>
        </w:rPr>
        <w:t>13,</w:t>
      </w:r>
      <w:r>
        <w:rPr>
          <w:rFonts w:asciiTheme="minorHAnsi" w:hAnsiTheme="minorHAnsi" w:cstheme="minorHAnsi"/>
          <w:sz w:val="22"/>
          <w:szCs w:val="22"/>
        </w:rPr>
        <w:t xml:space="preserve"> </w:t>
      </w:r>
      <w:r w:rsidRPr="00612364">
        <w:rPr>
          <w:rFonts w:asciiTheme="minorHAnsi" w:hAnsiTheme="minorHAnsi" w:cstheme="minorHAnsi"/>
          <w:sz w:val="22"/>
          <w:szCs w:val="22"/>
        </w:rPr>
        <w:t>14, and 15 based on SCE’s program implementation area.</w:t>
      </w:r>
    </w:p>
    <w:p w:rsidR="00AB6B9B" w:rsidRDefault="00AB6B9B" w:rsidP="004B3785">
      <w:pPr>
        <w:numPr>
          <w:ilvl w:val="0"/>
          <w:numId w:val="16"/>
        </w:numPr>
        <w:rPr>
          <w:rFonts w:asciiTheme="minorHAnsi" w:hAnsiTheme="minorHAnsi" w:cstheme="minorHAnsi"/>
          <w:sz w:val="22"/>
          <w:szCs w:val="22"/>
        </w:rPr>
      </w:pPr>
      <w:r>
        <w:rPr>
          <w:rFonts w:asciiTheme="minorHAnsi" w:hAnsiTheme="minorHAnsi" w:cstheme="minorHAnsi"/>
          <w:sz w:val="22"/>
          <w:szCs w:val="22"/>
        </w:rPr>
        <w:t>Efficiency of the base case system was calculated as a weighted average across vintages of the Title 24 code based EER rating</w:t>
      </w:r>
      <w:r w:rsidR="004B3785">
        <w:rPr>
          <w:rFonts w:asciiTheme="minorHAnsi" w:hAnsiTheme="minorHAnsi" w:cstheme="minorHAnsi"/>
          <w:sz w:val="22"/>
          <w:szCs w:val="22"/>
        </w:rPr>
        <w:t xml:space="preserve"> (column E, worksheet ‘</w:t>
      </w:r>
      <w:r w:rsidR="004B3785" w:rsidRPr="004B3785">
        <w:rPr>
          <w:rFonts w:asciiTheme="minorHAnsi" w:hAnsiTheme="minorHAnsi" w:cstheme="minorHAnsi"/>
          <w:sz w:val="22"/>
          <w:szCs w:val="22"/>
        </w:rPr>
        <w:t>Non Residential_2014</w:t>
      </w:r>
      <w:r w:rsidR="004B3785">
        <w:rPr>
          <w:rFonts w:asciiTheme="minorHAnsi" w:hAnsiTheme="minorHAnsi" w:cstheme="minorHAnsi"/>
          <w:sz w:val="22"/>
          <w:szCs w:val="22"/>
        </w:rPr>
        <w:t>’)</w:t>
      </w:r>
      <w:r>
        <w:rPr>
          <w:rFonts w:asciiTheme="minorHAnsi" w:hAnsiTheme="minorHAnsi" w:cstheme="minorHAnsi"/>
          <w:sz w:val="22"/>
          <w:szCs w:val="22"/>
        </w:rPr>
        <w:t>.  The vintage specific weights are shown on worksheet ‘</w:t>
      </w:r>
      <w:r w:rsidRPr="00AB6B9B">
        <w:rPr>
          <w:rFonts w:asciiTheme="minorHAnsi" w:hAnsiTheme="minorHAnsi" w:cstheme="minorHAnsi"/>
          <w:sz w:val="22"/>
          <w:szCs w:val="22"/>
        </w:rPr>
        <w:t>Vintage Weighting (SCE)</w:t>
      </w:r>
      <w:r>
        <w:rPr>
          <w:rFonts w:asciiTheme="minorHAnsi" w:hAnsiTheme="minorHAnsi" w:cstheme="minorHAnsi"/>
          <w:sz w:val="22"/>
          <w:szCs w:val="22"/>
        </w:rPr>
        <w:t xml:space="preserve">’ and are from the DEER 2014 Excel workbook </w:t>
      </w:r>
      <w:r w:rsidRPr="00AB6B9B">
        <w:rPr>
          <w:rFonts w:asciiTheme="minorHAnsi" w:hAnsiTheme="minorHAnsi" w:cstheme="minorHAnsi"/>
          <w:sz w:val="22"/>
          <w:szCs w:val="22"/>
        </w:rPr>
        <w:t>DEER2014-EnergyImpact-Weights-Tables-v2</w:t>
      </w:r>
      <w:r>
        <w:rPr>
          <w:rFonts w:asciiTheme="minorHAnsi" w:hAnsiTheme="minorHAnsi" w:cstheme="minorHAnsi"/>
          <w:sz w:val="22"/>
          <w:szCs w:val="22"/>
        </w:rPr>
        <w:t>.xls.</w:t>
      </w:r>
    </w:p>
    <w:p w:rsidR="0062178B" w:rsidRPr="007C37BC" w:rsidRDefault="0062178B" w:rsidP="00C459A5">
      <w:pPr>
        <w:numPr>
          <w:ilvl w:val="0"/>
          <w:numId w:val="17"/>
        </w:numPr>
        <w:rPr>
          <w:rFonts w:asciiTheme="minorHAnsi" w:hAnsiTheme="minorHAnsi" w:cstheme="minorHAnsi"/>
          <w:sz w:val="22"/>
          <w:szCs w:val="22"/>
        </w:rPr>
      </w:pPr>
      <w:r w:rsidRPr="006370F5">
        <w:rPr>
          <w:rFonts w:asciiTheme="minorHAnsi" w:hAnsiTheme="minorHAnsi" w:cstheme="minorHAnsi"/>
          <w:sz w:val="22"/>
          <w:szCs w:val="22"/>
        </w:rPr>
        <w:t xml:space="preserve">The annual full load operating hours for both the base and measure case equipment </w:t>
      </w:r>
      <w:r w:rsidR="00E271C4" w:rsidRPr="006370F5">
        <w:rPr>
          <w:rFonts w:asciiTheme="minorHAnsi" w:hAnsiTheme="minorHAnsi" w:cstheme="minorHAnsi"/>
          <w:sz w:val="22"/>
          <w:szCs w:val="22"/>
        </w:rPr>
        <w:t>was</w:t>
      </w:r>
      <w:r w:rsidRPr="006370F5">
        <w:rPr>
          <w:rFonts w:asciiTheme="minorHAnsi" w:hAnsiTheme="minorHAnsi" w:cstheme="minorHAnsi"/>
          <w:sz w:val="22"/>
          <w:szCs w:val="22"/>
        </w:rPr>
        <w:t xml:space="preserve"> obtained </w:t>
      </w:r>
      <w:r w:rsidR="00C459A5">
        <w:rPr>
          <w:rFonts w:asciiTheme="minorHAnsi" w:hAnsiTheme="minorHAnsi" w:cstheme="minorHAnsi"/>
          <w:sz w:val="22"/>
          <w:szCs w:val="22"/>
        </w:rPr>
        <w:t>DEER 2014 using “</w:t>
      </w:r>
      <w:r w:rsidR="00C459A5" w:rsidRPr="00C459A5">
        <w:rPr>
          <w:rFonts w:asciiTheme="minorHAnsi" w:hAnsiTheme="minorHAnsi" w:cstheme="minorHAnsi"/>
          <w:sz w:val="22"/>
          <w:szCs w:val="22"/>
        </w:rPr>
        <w:t>NE-HVAC-airHP-SpltPkg-65to109kBtuh-11p5eer-3p4cop</w:t>
      </w:r>
      <w:r w:rsidR="00C459A5">
        <w:rPr>
          <w:rFonts w:asciiTheme="minorHAnsi" w:hAnsiTheme="minorHAnsi" w:cstheme="minorHAnsi"/>
          <w:sz w:val="22"/>
          <w:szCs w:val="22"/>
        </w:rPr>
        <w:t>” as the basis</w:t>
      </w:r>
      <w:r w:rsidRPr="006370F5">
        <w:rPr>
          <w:rFonts w:asciiTheme="minorHAnsi" w:hAnsiTheme="minorHAnsi" w:cstheme="minorHAnsi"/>
          <w:sz w:val="22"/>
          <w:szCs w:val="22"/>
        </w:rPr>
        <w:t xml:space="preserve">. </w:t>
      </w:r>
      <w:r w:rsidR="00C459A5">
        <w:rPr>
          <w:rFonts w:asciiTheme="minorHAnsi" w:hAnsiTheme="minorHAnsi" w:cstheme="minorHAnsi"/>
          <w:sz w:val="22"/>
          <w:szCs w:val="22"/>
        </w:rPr>
        <w:t xml:space="preserve">The hours were found by dividing the kWh by the kW for both the existing and above code savings. This DEER measure is also used to find the </w:t>
      </w:r>
      <w:proofErr w:type="spellStart"/>
      <w:r w:rsidR="00C459A5">
        <w:rPr>
          <w:rFonts w:asciiTheme="minorHAnsi" w:hAnsiTheme="minorHAnsi" w:cstheme="minorHAnsi"/>
          <w:sz w:val="22"/>
          <w:szCs w:val="22"/>
        </w:rPr>
        <w:t>sq-ft</w:t>
      </w:r>
      <w:proofErr w:type="spellEnd"/>
      <w:r w:rsidR="00C459A5">
        <w:rPr>
          <w:rFonts w:asciiTheme="minorHAnsi" w:hAnsiTheme="minorHAnsi" w:cstheme="minorHAnsi"/>
          <w:sz w:val="22"/>
          <w:szCs w:val="22"/>
        </w:rPr>
        <w:t>/ton estimates explained below.</w:t>
      </w:r>
    </w:p>
    <w:p w:rsidR="0062178B" w:rsidRPr="00612364" w:rsidRDefault="00E947FA" w:rsidP="0051696C">
      <w:pPr>
        <w:numPr>
          <w:ilvl w:val="0"/>
          <w:numId w:val="17"/>
        </w:numPr>
        <w:rPr>
          <w:rFonts w:asciiTheme="minorHAnsi" w:hAnsiTheme="minorHAnsi" w:cstheme="minorHAnsi"/>
          <w:sz w:val="22"/>
          <w:szCs w:val="22"/>
        </w:rPr>
      </w:pPr>
      <w:r>
        <w:rPr>
          <w:rFonts w:asciiTheme="minorHAnsi" w:hAnsiTheme="minorHAnsi" w:cstheme="minorHAnsi"/>
          <w:sz w:val="22"/>
          <w:szCs w:val="22"/>
        </w:rPr>
        <w:t>Typical</w:t>
      </w:r>
      <w:r w:rsidR="0062178B" w:rsidRPr="000529CD">
        <w:rPr>
          <w:rFonts w:asciiTheme="minorHAnsi" w:hAnsiTheme="minorHAnsi" w:cstheme="minorHAnsi"/>
          <w:sz w:val="22"/>
          <w:szCs w:val="22"/>
        </w:rPr>
        <w:t xml:space="preserve"> </w:t>
      </w:r>
      <w:proofErr w:type="spellStart"/>
      <w:r w:rsidR="000529CD">
        <w:rPr>
          <w:rFonts w:asciiTheme="minorHAnsi" w:hAnsiTheme="minorHAnsi" w:cstheme="minorHAnsi"/>
          <w:sz w:val="22"/>
          <w:szCs w:val="22"/>
        </w:rPr>
        <w:t>sq-ft</w:t>
      </w:r>
      <w:proofErr w:type="spellEnd"/>
      <w:r w:rsidR="000529CD">
        <w:rPr>
          <w:rFonts w:asciiTheme="minorHAnsi" w:hAnsiTheme="minorHAnsi" w:cstheme="minorHAnsi"/>
          <w:sz w:val="22"/>
          <w:szCs w:val="22"/>
        </w:rPr>
        <w:t xml:space="preserve">/ton estimates for existing buildings, including </w:t>
      </w:r>
      <w:r>
        <w:rPr>
          <w:rFonts w:asciiTheme="minorHAnsi" w:hAnsiTheme="minorHAnsi" w:cstheme="minorHAnsi"/>
          <w:sz w:val="22"/>
          <w:szCs w:val="22"/>
        </w:rPr>
        <w:t>the</w:t>
      </w:r>
      <w:r w:rsidR="000529CD">
        <w:rPr>
          <w:rFonts w:asciiTheme="minorHAnsi" w:hAnsiTheme="minorHAnsi" w:cstheme="minorHAnsi"/>
          <w:sz w:val="22"/>
          <w:szCs w:val="22"/>
        </w:rPr>
        <w:t xml:space="preserve"> </w:t>
      </w:r>
      <w:r w:rsidR="0062178B" w:rsidRPr="000529CD">
        <w:rPr>
          <w:rFonts w:asciiTheme="minorHAnsi" w:hAnsiTheme="minorHAnsi" w:cstheme="minorHAnsi"/>
          <w:sz w:val="22"/>
          <w:szCs w:val="22"/>
        </w:rPr>
        <w:t>building types</w:t>
      </w:r>
      <w:r w:rsidR="007708C0">
        <w:rPr>
          <w:rFonts w:asciiTheme="minorHAnsi" w:hAnsiTheme="minorHAnsi" w:cstheme="minorHAnsi"/>
          <w:sz w:val="22"/>
          <w:szCs w:val="22"/>
        </w:rPr>
        <w:t xml:space="preserve"> shown in </w:t>
      </w:r>
      <w:r w:rsidR="003E5FEB">
        <w:rPr>
          <w:rFonts w:asciiTheme="minorHAnsi" w:hAnsiTheme="minorHAnsi" w:cstheme="minorHAnsi"/>
          <w:sz w:val="22"/>
          <w:szCs w:val="22"/>
        </w:rPr>
        <w:fldChar w:fldCharType="begin"/>
      </w:r>
      <w:r w:rsidR="003E5FEB">
        <w:rPr>
          <w:rFonts w:asciiTheme="minorHAnsi" w:hAnsiTheme="minorHAnsi" w:cstheme="minorHAnsi"/>
          <w:sz w:val="22"/>
          <w:szCs w:val="22"/>
        </w:rPr>
        <w:instrText xml:space="preserve"> REF _Ref326830926 \h </w:instrText>
      </w:r>
      <w:r w:rsidR="003E5FEB">
        <w:rPr>
          <w:rFonts w:asciiTheme="minorHAnsi" w:hAnsiTheme="minorHAnsi" w:cstheme="minorHAnsi"/>
          <w:sz w:val="22"/>
          <w:szCs w:val="22"/>
        </w:rPr>
      </w:r>
      <w:r w:rsidR="003E5FEB">
        <w:rPr>
          <w:rFonts w:asciiTheme="minorHAnsi" w:hAnsiTheme="minorHAnsi" w:cstheme="minorHAnsi"/>
          <w:sz w:val="22"/>
          <w:szCs w:val="22"/>
        </w:rPr>
        <w:fldChar w:fldCharType="separate"/>
      </w:r>
      <w:r w:rsidR="00AD25C5" w:rsidRPr="00EE4481">
        <w:rPr>
          <w:rFonts w:asciiTheme="minorHAnsi" w:hAnsiTheme="minorHAnsi" w:cstheme="minorHAnsi"/>
          <w:sz w:val="22"/>
          <w:szCs w:val="22"/>
        </w:rPr>
        <w:t xml:space="preserve">Table </w:t>
      </w:r>
      <w:r w:rsidR="00AD25C5">
        <w:rPr>
          <w:rFonts w:asciiTheme="minorHAnsi" w:hAnsiTheme="minorHAnsi" w:cstheme="minorHAnsi"/>
          <w:noProof/>
          <w:sz w:val="22"/>
          <w:szCs w:val="22"/>
        </w:rPr>
        <w:t>10</w:t>
      </w:r>
      <w:r w:rsidR="003E5FEB">
        <w:rPr>
          <w:rFonts w:asciiTheme="minorHAnsi" w:hAnsiTheme="minorHAnsi" w:cstheme="minorHAnsi"/>
          <w:sz w:val="22"/>
          <w:szCs w:val="22"/>
        </w:rPr>
        <w:fldChar w:fldCharType="end"/>
      </w:r>
      <w:r w:rsidR="003E5FEB">
        <w:rPr>
          <w:rFonts w:asciiTheme="minorHAnsi" w:hAnsiTheme="minorHAnsi" w:cstheme="minorHAnsi"/>
          <w:sz w:val="22"/>
          <w:szCs w:val="22"/>
        </w:rPr>
        <w:t xml:space="preserve"> </w:t>
      </w:r>
      <w:r w:rsidR="007257CA">
        <w:rPr>
          <w:rFonts w:asciiTheme="minorHAnsi" w:hAnsiTheme="minorHAnsi" w:cstheme="minorHAnsi"/>
          <w:sz w:val="22"/>
          <w:szCs w:val="22"/>
        </w:rPr>
        <w:t xml:space="preserve"> </w:t>
      </w:r>
      <w:r w:rsidR="0062178B" w:rsidRPr="000529CD">
        <w:rPr>
          <w:rFonts w:asciiTheme="minorHAnsi" w:hAnsiTheme="minorHAnsi" w:cstheme="minorHAnsi"/>
          <w:sz w:val="22"/>
          <w:szCs w:val="22"/>
        </w:rPr>
        <w:t xml:space="preserve">and </w:t>
      </w:r>
      <w:r w:rsidR="007708C0">
        <w:rPr>
          <w:rFonts w:asciiTheme="minorHAnsi" w:hAnsiTheme="minorHAnsi" w:cstheme="minorHAnsi"/>
          <w:sz w:val="22"/>
          <w:szCs w:val="22"/>
        </w:rPr>
        <w:t xml:space="preserve">the above listed </w:t>
      </w:r>
      <w:r w:rsidR="0062178B" w:rsidRPr="000529CD">
        <w:rPr>
          <w:rFonts w:asciiTheme="minorHAnsi" w:hAnsiTheme="minorHAnsi" w:cstheme="minorHAnsi"/>
          <w:sz w:val="22"/>
          <w:szCs w:val="22"/>
        </w:rPr>
        <w:t>climate zones</w:t>
      </w:r>
      <w:r w:rsidR="00985C9A">
        <w:rPr>
          <w:rFonts w:asciiTheme="minorHAnsi" w:hAnsiTheme="minorHAnsi" w:cstheme="minorHAnsi"/>
          <w:sz w:val="22"/>
          <w:szCs w:val="22"/>
        </w:rPr>
        <w:t>,</w:t>
      </w:r>
      <w:r w:rsidR="0062178B" w:rsidRPr="000529CD">
        <w:rPr>
          <w:rFonts w:asciiTheme="minorHAnsi" w:hAnsiTheme="minorHAnsi" w:cstheme="minorHAnsi"/>
          <w:sz w:val="22"/>
          <w:szCs w:val="22"/>
        </w:rPr>
        <w:t xml:space="preserve"> </w:t>
      </w:r>
      <w:r w:rsidR="007257CA">
        <w:rPr>
          <w:rFonts w:asciiTheme="minorHAnsi" w:hAnsiTheme="minorHAnsi" w:cstheme="minorHAnsi"/>
          <w:sz w:val="22"/>
          <w:szCs w:val="22"/>
        </w:rPr>
        <w:t>are</w:t>
      </w:r>
      <w:r w:rsidR="00BA43A7">
        <w:rPr>
          <w:rFonts w:asciiTheme="minorHAnsi" w:hAnsiTheme="minorHAnsi" w:cstheme="minorHAnsi"/>
          <w:sz w:val="22"/>
          <w:szCs w:val="22"/>
        </w:rPr>
        <w:t xml:space="preserve"> </w:t>
      </w:r>
      <w:r w:rsidR="007C37BC">
        <w:rPr>
          <w:rFonts w:asciiTheme="minorHAnsi" w:hAnsiTheme="minorHAnsi" w:cstheme="minorHAnsi"/>
          <w:sz w:val="22"/>
          <w:szCs w:val="22"/>
        </w:rPr>
        <w:t>calculated</w:t>
      </w:r>
      <w:r w:rsidR="000529CD" w:rsidRPr="0051696C">
        <w:rPr>
          <w:rFonts w:asciiTheme="minorHAnsi" w:hAnsiTheme="minorHAnsi" w:cstheme="minorHAnsi"/>
          <w:sz w:val="22"/>
          <w:szCs w:val="22"/>
        </w:rPr>
        <w:t xml:space="preserve"> fr</w:t>
      </w:r>
      <w:r w:rsidR="00ED11F5">
        <w:rPr>
          <w:rFonts w:asciiTheme="minorHAnsi" w:hAnsiTheme="minorHAnsi" w:cstheme="minorHAnsi"/>
          <w:sz w:val="22"/>
          <w:szCs w:val="22"/>
        </w:rPr>
        <w:t>om</w:t>
      </w:r>
      <w:r w:rsidR="000529CD" w:rsidRPr="0051696C">
        <w:rPr>
          <w:rFonts w:asciiTheme="minorHAnsi" w:hAnsiTheme="minorHAnsi" w:cstheme="minorHAnsi"/>
          <w:sz w:val="22"/>
          <w:szCs w:val="22"/>
        </w:rPr>
        <w:t xml:space="preserve"> DEER 2014 </w:t>
      </w:r>
      <w:proofErr w:type="spellStart"/>
      <w:r w:rsidR="000529CD" w:rsidRPr="0051696C">
        <w:rPr>
          <w:rFonts w:asciiTheme="minorHAnsi" w:hAnsiTheme="minorHAnsi" w:cstheme="minorHAnsi"/>
          <w:sz w:val="22"/>
          <w:szCs w:val="22"/>
        </w:rPr>
        <w:t>EnergyImpactID</w:t>
      </w:r>
      <w:proofErr w:type="spellEnd"/>
      <w:r w:rsidR="000529CD" w:rsidRPr="0051696C">
        <w:rPr>
          <w:rFonts w:asciiTheme="minorHAnsi" w:hAnsiTheme="minorHAnsi" w:cstheme="minorHAnsi"/>
          <w:sz w:val="22"/>
          <w:szCs w:val="22"/>
        </w:rPr>
        <w:t xml:space="preserve"> ‘NE-HVAC-airHP-SpltPkg-65to109kBtuh-11p5eer-3p4cop’</w:t>
      </w:r>
      <w:r w:rsidR="00A04462">
        <w:rPr>
          <w:rFonts w:asciiTheme="minorHAnsi" w:hAnsiTheme="minorHAnsi" w:cstheme="minorHAnsi"/>
          <w:sz w:val="22"/>
          <w:szCs w:val="22"/>
        </w:rPr>
        <w:t>.</w:t>
      </w:r>
      <w:r w:rsidR="00ED11F5">
        <w:rPr>
          <w:rFonts w:asciiTheme="minorHAnsi" w:hAnsiTheme="minorHAnsi" w:cstheme="minorHAnsi"/>
          <w:sz w:val="22"/>
          <w:szCs w:val="22"/>
        </w:rPr>
        <w:t xml:space="preserve"> </w:t>
      </w:r>
      <w:r w:rsidR="0094667C">
        <w:rPr>
          <w:rFonts w:asciiTheme="minorHAnsi" w:hAnsiTheme="minorHAnsi" w:cstheme="minorHAnsi"/>
          <w:sz w:val="22"/>
          <w:szCs w:val="22"/>
        </w:rPr>
        <w:t>The</w:t>
      </w:r>
      <w:r w:rsidR="006A26E0">
        <w:rPr>
          <w:rFonts w:asciiTheme="minorHAnsi" w:hAnsiTheme="minorHAnsi" w:cstheme="minorHAnsi"/>
          <w:sz w:val="22"/>
          <w:szCs w:val="22"/>
        </w:rPr>
        <w:t xml:space="preserve"> </w:t>
      </w:r>
      <w:proofErr w:type="spellStart"/>
      <w:r w:rsidR="006A26E0">
        <w:rPr>
          <w:rFonts w:asciiTheme="minorHAnsi" w:hAnsiTheme="minorHAnsi" w:cstheme="minorHAnsi"/>
          <w:sz w:val="22"/>
          <w:szCs w:val="22"/>
        </w:rPr>
        <w:t>sq-ft</w:t>
      </w:r>
      <w:proofErr w:type="spellEnd"/>
      <w:r w:rsidR="006A26E0">
        <w:rPr>
          <w:rFonts w:asciiTheme="minorHAnsi" w:hAnsiTheme="minorHAnsi" w:cstheme="minorHAnsi"/>
          <w:sz w:val="22"/>
          <w:szCs w:val="22"/>
        </w:rPr>
        <w:t>/ton values are the same as D</w:t>
      </w:r>
      <w:r w:rsidR="00ED11F5" w:rsidRPr="007708C0">
        <w:rPr>
          <w:rFonts w:asciiTheme="minorHAnsi" w:hAnsiTheme="minorHAnsi" w:cstheme="minorHAnsi"/>
          <w:sz w:val="22"/>
          <w:szCs w:val="22"/>
        </w:rPr>
        <w:t xml:space="preserve">EER 2014 </w:t>
      </w:r>
      <w:proofErr w:type="spellStart"/>
      <w:r w:rsidR="00ED11F5" w:rsidRPr="007708C0">
        <w:rPr>
          <w:rFonts w:asciiTheme="minorHAnsi" w:hAnsiTheme="minorHAnsi" w:cstheme="minorHAnsi"/>
          <w:sz w:val="22"/>
          <w:szCs w:val="22"/>
        </w:rPr>
        <w:t>EnergyImpactID</w:t>
      </w:r>
      <w:proofErr w:type="spellEnd"/>
      <w:r w:rsidR="00ED11F5" w:rsidRPr="007708C0">
        <w:rPr>
          <w:rFonts w:asciiTheme="minorHAnsi" w:hAnsiTheme="minorHAnsi" w:cstheme="minorHAnsi"/>
          <w:sz w:val="22"/>
          <w:szCs w:val="22"/>
        </w:rPr>
        <w:t xml:space="preserve"> ‘</w:t>
      </w:r>
      <w:r w:rsidR="000529CD" w:rsidRPr="0051696C">
        <w:rPr>
          <w:rFonts w:asciiTheme="minorHAnsi" w:hAnsiTheme="minorHAnsi" w:cstheme="minorHAnsi"/>
          <w:sz w:val="22"/>
          <w:szCs w:val="22"/>
        </w:rPr>
        <w:t>NE-HVAC-airHP-SpltPkg-110to134kBtuh-11p5eer-3p4cop’</w:t>
      </w:r>
      <w:r w:rsidR="0062178B" w:rsidRPr="007708C0">
        <w:rPr>
          <w:rFonts w:asciiTheme="minorHAnsi" w:hAnsiTheme="minorHAnsi" w:cstheme="minorHAnsi"/>
          <w:sz w:val="22"/>
          <w:szCs w:val="22"/>
        </w:rPr>
        <w:t xml:space="preserve">. </w:t>
      </w:r>
      <w:r w:rsidR="005A3857" w:rsidRPr="007708C0">
        <w:rPr>
          <w:rFonts w:asciiTheme="minorHAnsi" w:hAnsiTheme="minorHAnsi" w:cstheme="minorHAnsi"/>
          <w:sz w:val="22"/>
          <w:szCs w:val="22"/>
        </w:rPr>
        <w:t>T</w:t>
      </w:r>
      <w:r w:rsidR="005A3857">
        <w:rPr>
          <w:rFonts w:asciiTheme="minorHAnsi" w:hAnsiTheme="minorHAnsi" w:cstheme="minorHAnsi"/>
          <w:sz w:val="22"/>
          <w:szCs w:val="22"/>
        </w:rPr>
        <w:t>hese values are shown in column AP on worksheet ‘</w:t>
      </w:r>
      <w:r w:rsidR="005A3857" w:rsidRPr="00074161">
        <w:rPr>
          <w:rFonts w:asciiTheme="minorHAnsi" w:hAnsiTheme="minorHAnsi" w:cstheme="minorHAnsi"/>
          <w:sz w:val="22"/>
          <w:szCs w:val="22"/>
        </w:rPr>
        <w:t>DEER 2014</w:t>
      </w:r>
      <w:r w:rsidR="005A3857" w:rsidRPr="007708C0">
        <w:rPr>
          <w:rFonts w:asciiTheme="minorHAnsi" w:hAnsiTheme="minorHAnsi" w:cstheme="minorHAnsi"/>
          <w:sz w:val="22"/>
          <w:szCs w:val="22"/>
        </w:rPr>
        <w:t xml:space="preserve"> sf per ton</w:t>
      </w:r>
      <w:r w:rsidR="005A3857">
        <w:rPr>
          <w:rFonts w:asciiTheme="minorHAnsi" w:hAnsiTheme="minorHAnsi" w:cstheme="minorHAnsi"/>
          <w:sz w:val="22"/>
          <w:szCs w:val="22"/>
        </w:rPr>
        <w:t xml:space="preserve">’.  </w:t>
      </w:r>
    </w:p>
    <w:p w:rsidR="0062178B" w:rsidRPr="00612364" w:rsidRDefault="0062178B" w:rsidP="0062178B">
      <w:pPr>
        <w:ind w:left="720"/>
        <w:rPr>
          <w:rFonts w:asciiTheme="minorHAnsi" w:hAnsiTheme="minorHAnsi" w:cstheme="minorHAnsi"/>
          <w:sz w:val="22"/>
          <w:szCs w:val="22"/>
        </w:rPr>
      </w:pPr>
    </w:p>
    <w:p w:rsidR="0062178B" w:rsidRPr="00612364" w:rsidRDefault="0062178B" w:rsidP="0062178B">
      <w:pPr>
        <w:numPr>
          <w:ilvl w:val="0"/>
          <w:numId w:val="17"/>
        </w:numPr>
        <w:rPr>
          <w:rFonts w:asciiTheme="minorHAnsi" w:hAnsiTheme="minorHAnsi" w:cstheme="minorHAnsi"/>
          <w:sz w:val="22"/>
          <w:szCs w:val="22"/>
        </w:rPr>
      </w:pPr>
      <w:r w:rsidRPr="00612364">
        <w:rPr>
          <w:rFonts w:asciiTheme="minorHAnsi" w:hAnsiTheme="minorHAnsi" w:cstheme="minorHAnsi"/>
          <w:sz w:val="22"/>
          <w:szCs w:val="22"/>
        </w:rPr>
        <w:t>Base case av</w:t>
      </w:r>
      <w:r w:rsidR="00BA43A7">
        <w:rPr>
          <w:rFonts w:asciiTheme="minorHAnsi" w:hAnsiTheme="minorHAnsi" w:cstheme="minorHAnsi"/>
          <w:sz w:val="22"/>
          <w:szCs w:val="22"/>
        </w:rPr>
        <w:t xml:space="preserve">erage kW demand per 1000 </w:t>
      </w:r>
      <w:proofErr w:type="spellStart"/>
      <w:r w:rsidR="00BA43A7">
        <w:rPr>
          <w:rFonts w:asciiTheme="minorHAnsi" w:hAnsiTheme="minorHAnsi" w:cstheme="minorHAnsi"/>
          <w:sz w:val="22"/>
          <w:szCs w:val="22"/>
        </w:rPr>
        <w:t>Sq-ft</w:t>
      </w:r>
      <w:proofErr w:type="spellEnd"/>
      <w:r w:rsidR="00BA43A7">
        <w:rPr>
          <w:rFonts w:asciiTheme="minorHAnsi" w:hAnsiTheme="minorHAnsi" w:cstheme="minorHAnsi"/>
          <w:sz w:val="22"/>
          <w:szCs w:val="22"/>
        </w:rPr>
        <w:t xml:space="preserve"> i</w:t>
      </w:r>
      <w:r w:rsidRPr="00612364">
        <w:rPr>
          <w:rFonts w:asciiTheme="minorHAnsi" w:hAnsiTheme="minorHAnsi" w:cstheme="minorHAnsi"/>
          <w:sz w:val="22"/>
          <w:szCs w:val="22"/>
        </w:rPr>
        <w:t>s calculated using the following equation</w:t>
      </w:r>
      <w:r w:rsidR="009F5884">
        <w:rPr>
          <w:rFonts w:asciiTheme="minorHAnsi" w:hAnsiTheme="minorHAnsi" w:cstheme="minorHAnsi"/>
          <w:sz w:val="22"/>
          <w:szCs w:val="22"/>
        </w:rPr>
        <w:t xml:space="preserve"> (column J, worksheet ‘</w:t>
      </w:r>
      <w:r w:rsidR="009F5884" w:rsidRPr="004B3785">
        <w:rPr>
          <w:rFonts w:asciiTheme="minorHAnsi" w:hAnsiTheme="minorHAnsi" w:cstheme="minorHAnsi"/>
          <w:sz w:val="22"/>
          <w:szCs w:val="22"/>
        </w:rPr>
        <w:t>Non Residential_2014</w:t>
      </w:r>
      <w:r w:rsidR="009F5884">
        <w:rPr>
          <w:rFonts w:asciiTheme="minorHAnsi" w:hAnsiTheme="minorHAnsi" w:cstheme="minorHAnsi"/>
          <w:sz w:val="22"/>
          <w:szCs w:val="22"/>
        </w:rPr>
        <w:t>’)</w:t>
      </w:r>
      <w:r w:rsidRPr="00612364">
        <w:rPr>
          <w:rFonts w:asciiTheme="minorHAnsi" w:hAnsiTheme="minorHAnsi" w:cstheme="minorHAnsi"/>
          <w:sz w:val="22"/>
          <w:szCs w:val="22"/>
        </w:rPr>
        <w:t>.</w:t>
      </w:r>
    </w:p>
    <w:p w:rsidR="00A04462" w:rsidRDefault="00A04462" w:rsidP="00A04462">
      <w:pPr>
        <w:pStyle w:val="ListParagraph"/>
        <w:rPr>
          <w:rFonts w:asciiTheme="minorHAnsi" w:hAnsiTheme="minorHAnsi" w:cstheme="minorHAnsi"/>
          <w:sz w:val="22"/>
          <w:szCs w:val="22"/>
        </w:rPr>
      </w:pPr>
    </w:p>
    <w:p w:rsidR="00A04462" w:rsidRPr="00612364" w:rsidRDefault="00A04462" w:rsidP="00A04462">
      <w:pPr>
        <w:ind w:left="720"/>
        <w:rPr>
          <w:rFonts w:asciiTheme="minorHAnsi" w:hAnsiTheme="minorHAnsi" w:cstheme="minorHAnsi"/>
          <w:sz w:val="22"/>
          <w:szCs w:val="22"/>
        </w:rPr>
      </w:pPr>
    </w:p>
    <w:p w:rsidR="0062178B" w:rsidRPr="00612364" w:rsidRDefault="00E947FA" w:rsidP="0062178B">
      <w:pPr>
        <w:ind w:left="720"/>
        <w:rPr>
          <w:rFonts w:asciiTheme="minorHAnsi" w:hAnsiTheme="minorHAnsi" w:cstheme="minorHAnsi"/>
          <w:sz w:val="22"/>
          <w:szCs w:val="22"/>
        </w:rPr>
      </w:pPr>
      <m:oMathPara>
        <m:oMath>
          <m:r>
            <w:rPr>
              <w:rFonts w:ascii="Cambria Math" w:hAnsi="Cambria Math" w:cstheme="minorHAnsi"/>
              <w:sz w:val="22"/>
              <w:szCs w:val="22"/>
            </w:rPr>
            <m:t xml:space="preserve">Base kW= </m:t>
          </m:r>
          <m:f>
            <m:fPr>
              <m:ctrlPr>
                <w:rPr>
                  <w:rFonts w:ascii="Cambria Math" w:hAnsi="Cambria Math" w:cstheme="minorHAnsi"/>
                  <w:i/>
                  <w:sz w:val="22"/>
                  <w:szCs w:val="22"/>
                </w:rPr>
              </m:ctrlPr>
            </m:fPr>
            <m:num>
              <m:r>
                <w:rPr>
                  <w:rFonts w:ascii="Cambria Math" w:hAnsi="Cambria Math" w:cstheme="minorHAnsi"/>
                  <w:sz w:val="22"/>
                  <w:szCs w:val="22"/>
                </w:rPr>
                <m:t>12</m:t>
              </m:r>
            </m:num>
            <m:den>
              <m:r>
                <w:rPr>
                  <w:rFonts w:ascii="Cambria Math" w:hAnsi="Cambria Math" w:cstheme="minorHAnsi"/>
                  <w:sz w:val="22"/>
                  <w:szCs w:val="22"/>
                </w:rPr>
                <m:t>Avg. EER</m:t>
              </m:r>
            </m:den>
          </m:f>
          <m:d>
            <m:dPr>
              <m:begChr m:val="["/>
              <m:endChr m:val="]"/>
              <m:ctrlPr>
                <w:rPr>
                  <w:rFonts w:ascii="Cambria Math" w:hAnsi="Cambria Math" w:cstheme="minorHAnsi"/>
                  <w:i/>
                  <w:sz w:val="22"/>
                  <w:szCs w:val="22"/>
                </w:rPr>
              </m:ctrlPr>
            </m:dPr>
            <m:e>
              <m:box>
                <m:boxPr>
                  <m:ctrlPr>
                    <w:rPr>
                      <w:rFonts w:ascii="Cambria Math" w:hAnsi="Cambria Math" w:cstheme="minorHAnsi"/>
                      <w:i/>
                      <w:sz w:val="22"/>
                      <w:szCs w:val="22"/>
                    </w:rPr>
                  </m:ctrlPr>
                </m:boxPr>
                <m:e>
                  <m:argPr>
                    <m:argSz m:val="-1"/>
                  </m:argPr>
                  <m:f>
                    <m:fPr>
                      <m:ctrlPr>
                        <w:rPr>
                          <w:rFonts w:ascii="Cambria Math" w:hAnsi="Cambria Math" w:cstheme="minorHAnsi"/>
                          <w:i/>
                          <w:sz w:val="22"/>
                          <w:szCs w:val="22"/>
                        </w:rPr>
                      </m:ctrlPr>
                    </m:fPr>
                    <m:num>
                      <m:r>
                        <w:rPr>
                          <w:rFonts w:ascii="Cambria Math" w:hAnsi="Cambria Math" w:cstheme="minorHAnsi"/>
                          <w:sz w:val="22"/>
                          <w:szCs w:val="22"/>
                        </w:rPr>
                        <m:t>kW</m:t>
                      </m:r>
                    </m:num>
                    <m:den>
                      <m:r>
                        <w:rPr>
                          <w:rFonts w:ascii="Cambria Math" w:hAnsi="Cambria Math" w:cstheme="minorHAnsi"/>
                          <w:sz w:val="22"/>
                          <w:szCs w:val="22"/>
                        </w:rPr>
                        <m:t>ton</m:t>
                      </m:r>
                    </m:den>
                  </m:f>
                </m:e>
              </m:box>
            </m:e>
          </m:d>
          <m:r>
            <w:rPr>
              <w:rFonts w:ascii="Cambria Math" w:hAnsi="Cambria Math" w:cstheme="minorHAnsi"/>
              <w:sz w:val="22"/>
              <w:szCs w:val="22"/>
            </w:rPr>
            <m:t xml:space="preserve"> x </m:t>
          </m:r>
          <m:f>
            <m:fPr>
              <m:ctrlPr>
                <w:rPr>
                  <w:rFonts w:ascii="Cambria Math" w:hAnsi="Cambria Math" w:cstheme="minorHAnsi"/>
                  <w:i/>
                  <w:sz w:val="22"/>
                  <w:szCs w:val="22"/>
                </w:rPr>
              </m:ctrlPr>
            </m:fPr>
            <m:num>
              <m:r>
                <w:rPr>
                  <w:rFonts w:ascii="Cambria Math" w:hAnsi="Cambria Math" w:cstheme="minorHAnsi"/>
                  <w:sz w:val="22"/>
                  <w:szCs w:val="22"/>
                </w:rPr>
                <m:t>ton</m:t>
              </m:r>
            </m:num>
            <m:den>
              <m:r>
                <w:rPr>
                  <w:rFonts w:ascii="Cambria Math" w:hAnsi="Cambria Math" w:cstheme="minorHAnsi"/>
                  <w:sz w:val="22"/>
                  <w:szCs w:val="22"/>
                </w:rPr>
                <m:t>sq-ft</m:t>
              </m:r>
            </m:den>
          </m:f>
          <m:r>
            <w:rPr>
              <w:rFonts w:ascii="Cambria Math" w:hAnsi="Cambria Math" w:cstheme="minorHAnsi"/>
              <w:sz w:val="22"/>
              <w:szCs w:val="22"/>
            </w:rPr>
            <m:t xml:space="preserve"> x 1000</m:t>
          </m:r>
          <m:d>
            <m:dPr>
              <m:begChr m:val="["/>
              <m:endChr m:val="]"/>
              <m:ctrlPr>
                <w:rPr>
                  <w:rFonts w:ascii="Cambria Math" w:hAnsi="Cambria Math" w:cstheme="minorHAnsi"/>
                  <w:i/>
                  <w:sz w:val="22"/>
                  <w:szCs w:val="22"/>
                </w:rPr>
              </m:ctrlPr>
            </m:dPr>
            <m:e>
              <m:r>
                <w:rPr>
                  <w:rFonts w:ascii="Cambria Math" w:hAnsi="Cambria Math" w:cstheme="minorHAnsi"/>
                  <w:sz w:val="22"/>
                  <w:szCs w:val="22"/>
                </w:rPr>
                <m:t>sq-ft</m:t>
              </m:r>
            </m:e>
          </m:d>
        </m:oMath>
      </m:oMathPara>
    </w:p>
    <w:p w:rsidR="0062178B" w:rsidRPr="00612364" w:rsidRDefault="0062178B" w:rsidP="0062178B">
      <w:pPr>
        <w:ind w:left="720"/>
        <w:rPr>
          <w:rFonts w:asciiTheme="minorHAnsi" w:hAnsiTheme="minorHAnsi" w:cstheme="minorHAnsi"/>
          <w:sz w:val="22"/>
          <w:szCs w:val="22"/>
        </w:rPr>
      </w:pPr>
    </w:p>
    <w:p w:rsidR="0062178B" w:rsidRPr="00612364" w:rsidRDefault="0062178B" w:rsidP="0062178B">
      <w:pPr>
        <w:numPr>
          <w:ilvl w:val="0"/>
          <w:numId w:val="18"/>
        </w:numPr>
        <w:rPr>
          <w:rFonts w:asciiTheme="minorHAnsi" w:hAnsiTheme="minorHAnsi" w:cstheme="minorHAnsi"/>
          <w:sz w:val="22"/>
          <w:szCs w:val="22"/>
        </w:rPr>
      </w:pPr>
      <w:r w:rsidRPr="006370F5">
        <w:rPr>
          <w:rFonts w:asciiTheme="minorHAnsi" w:hAnsiTheme="minorHAnsi" w:cstheme="minorHAnsi"/>
          <w:sz w:val="22"/>
          <w:szCs w:val="22"/>
        </w:rPr>
        <w:t>DEC units are typically specified by the cubic feet per minute airflow. The efficiency</w:t>
      </w:r>
      <w:r w:rsidRPr="00612364">
        <w:rPr>
          <w:rFonts w:asciiTheme="minorHAnsi" w:hAnsiTheme="minorHAnsi" w:cstheme="minorHAnsi"/>
          <w:sz w:val="22"/>
          <w:szCs w:val="22"/>
        </w:rPr>
        <w:t xml:space="preserve"> of the DEC units was obtained by averaging the efficiency of currently available DEC systems in the market. DEC efficiency values are shown </w:t>
      </w:r>
      <w:r w:rsidR="009F5884">
        <w:rPr>
          <w:rFonts w:asciiTheme="minorHAnsi" w:hAnsiTheme="minorHAnsi" w:cstheme="minorHAnsi"/>
          <w:sz w:val="22"/>
          <w:szCs w:val="22"/>
        </w:rPr>
        <w:t xml:space="preserve">in column </w:t>
      </w:r>
      <w:r w:rsidR="00D1580A">
        <w:rPr>
          <w:rFonts w:asciiTheme="minorHAnsi" w:hAnsiTheme="minorHAnsi" w:cstheme="minorHAnsi"/>
          <w:sz w:val="22"/>
          <w:szCs w:val="22"/>
        </w:rPr>
        <w:t>F</w:t>
      </w:r>
      <w:r w:rsidR="009F5884">
        <w:rPr>
          <w:rFonts w:asciiTheme="minorHAnsi" w:hAnsiTheme="minorHAnsi" w:cstheme="minorHAnsi"/>
          <w:sz w:val="22"/>
          <w:szCs w:val="22"/>
        </w:rPr>
        <w:t xml:space="preserve"> of worksheet ‘</w:t>
      </w:r>
      <w:r w:rsidRPr="00612364">
        <w:rPr>
          <w:rFonts w:asciiTheme="minorHAnsi" w:hAnsiTheme="minorHAnsi" w:cstheme="minorHAnsi"/>
          <w:sz w:val="22"/>
          <w:szCs w:val="22"/>
        </w:rPr>
        <w:t>DEC Efficiency</w:t>
      </w:r>
      <w:r w:rsidR="009F5884">
        <w:rPr>
          <w:rFonts w:asciiTheme="minorHAnsi" w:hAnsiTheme="minorHAnsi" w:cstheme="minorHAnsi"/>
          <w:sz w:val="22"/>
          <w:szCs w:val="22"/>
        </w:rPr>
        <w:t xml:space="preserve">’ </w:t>
      </w:r>
      <w:r w:rsidRPr="00612364">
        <w:rPr>
          <w:rFonts w:asciiTheme="minorHAnsi" w:hAnsiTheme="minorHAnsi" w:cstheme="minorHAnsi"/>
          <w:sz w:val="22"/>
          <w:szCs w:val="22"/>
        </w:rPr>
        <w:t>and were obtained from the California Energy Commission’s appliance database [A].  Only units above 6500 cfm were selected because they are the ones that typically replace 5 ton unitary AC units or larger unitary AC units (one ton of cooling is typically equivalent to 1300 cfm in a DEC unit). Efficiency values expressed in Evaporative Cooling Efficiency Ratio (ECER) were then converted to watts per cfm by using the following formula which was obtained from the Title 20</w:t>
      </w:r>
      <w:r>
        <w:rPr>
          <w:rFonts w:asciiTheme="minorHAnsi" w:hAnsiTheme="minorHAnsi" w:cstheme="minorHAnsi"/>
          <w:sz w:val="22"/>
          <w:szCs w:val="22"/>
        </w:rPr>
        <w:t xml:space="preserve"> [</w:t>
      </w:r>
      <w:r w:rsidR="00566B9E">
        <w:rPr>
          <w:rFonts w:asciiTheme="minorHAnsi" w:hAnsiTheme="minorHAnsi" w:cstheme="minorHAnsi"/>
          <w:sz w:val="22"/>
          <w:szCs w:val="22"/>
        </w:rPr>
        <w:t>356</w:t>
      </w:r>
      <w:r w:rsidR="008E4374">
        <w:rPr>
          <w:rFonts w:asciiTheme="minorHAnsi" w:hAnsiTheme="minorHAnsi" w:cstheme="minorHAnsi"/>
          <w:sz w:val="22"/>
          <w:szCs w:val="22"/>
        </w:rPr>
        <w:t>, 422</w:t>
      </w:r>
      <w:r>
        <w:rPr>
          <w:rFonts w:asciiTheme="minorHAnsi" w:hAnsiTheme="minorHAnsi" w:cstheme="minorHAnsi"/>
          <w:sz w:val="22"/>
          <w:szCs w:val="22"/>
        </w:rPr>
        <w:t>]</w:t>
      </w:r>
      <w:r w:rsidRPr="00612364">
        <w:rPr>
          <w:rFonts w:asciiTheme="minorHAnsi" w:hAnsiTheme="minorHAnsi" w:cstheme="minorHAnsi"/>
          <w:sz w:val="22"/>
          <w:szCs w:val="22"/>
        </w:rPr>
        <w:t>, Table D</w:t>
      </w:r>
      <w:r w:rsidR="008E4374">
        <w:rPr>
          <w:rFonts w:asciiTheme="minorHAnsi" w:hAnsiTheme="minorHAnsi" w:cstheme="minorHAnsi"/>
          <w:sz w:val="22"/>
          <w:szCs w:val="22"/>
        </w:rPr>
        <w:t>-1</w:t>
      </w:r>
      <w:r w:rsidRPr="00612364">
        <w:rPr>
          <w:rFonts w:asciiTheme="minorHAnsi" w:hAnsiTheme="minorHAnsi" w:cstheme="minorHAnsi"/>
          <w:sz w:val="22"/>
          <w:szCs w:val="22"/>
        </w:rPr>
        <w:t xml:space="preserve"> of section 1604(d).</w:t>
      </w:r>
    </w:p>
    <w:p w:rsidR="0062178B" w:rsidRPr="00612364" w:rsidRDefault="0062178B" w:rsidP="0051696C">
      <w:pPr>
        <w:ind w:left="720"/>
        <w:jc w:val="center"/>
        <w:rPr>
          <w:rFonts w:asciiTheme="minorHAnsi" w:hAnsiTheme="minorHAnsi" w:cstheme="minorHAnsi"/>
          <w:sz w:val="22"/>
          <w:szCs w:val="22"/>
        </w:rPr>
      </w:pPr>
      <w:r w:rsidRPr="00612364">
        <w:rPr>
          <w:rFonts w:asciiTheme="minorHAnsi" w:hAnsiTheme="minorHAnsi" w:cstheme="minorHAnsi"/>
          <w:sz w:val="22"/>
          <w:szCs w:val="22"/>
        </w:rPr>
        <w:object w:dxaOrig="301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75pt;height:30pt" o:ole="">
            <v:imagedata r:id="rId16" o:title=""/>
          </v:shape>
          <o:OLEObject Type="Embed" ProgID="Equation.DSMT4" ShapeID="_x0000_i1025" DrawAspect="Content" ObjectID="_1466325814" r:id="rId17"/>
        </w:object>
      </w:r>
    </w:p>
    <w:p w:rsidR="0062178B" w:rsidRPr="00612364" w:rsidRDefault="0062178B" w:rsidP="0062178B">
      <w:pPr>
        <w:ind w:left="720"/>
        <w:rPr>
          <w:rFonts w:asciiTheme="minorHAnsi" w:hAnsiTheme="minorHAnsi" w:cstheme="minorHAnsi"/>
          <w:sz w:val="22"/>
          <w:szCs w:val="22"/>
        </w:rPr>
      </w:pPr>
    </w:p>
    <w:p w:rsidR="00A96718" w:rsidRPr="00612364" w:rsidRDefault="0062178B">
      <w:pPr>
        <w:ind w:left="720"/>
        <w:rPr>
          <w:rFonts w:asciiTheme="minorHAnsi" w:hAnsiTheme="minorHAnsi" w:cstheme="minorHAnsi"/>
          <w:sz w:val="22"/>
          <w:szCs w:val="22"/>
        </w:rPr>
      </w:pPr>
      <w:r w:rsidRPr="00612364">
        <w:rPr>
          <w:rFonts w:asciiTheme="minorHAnsi" w:hAnsiTheme="minorHAnsi" w:cstheme="minorHAnsi"/>
          <w:sz w:val="22"/>
          <w:szCs w:val="22"/>
        </w:rPr>
        <w:t xml:space="preserve">Where ε is the measured saturation effectiveness divided by 100. In the absence of any relevant M&amp;V study to measure the saturation effectiveness values, </w:t>
      </w:r>
      <w:r w:rsidR="00F375F7">
        <w:rPr>
          <w:rFonts w:asciiTheme="minorHAnsi" w:hAnsiTheme="minorHAnsi" w:cstheme="minorHAnsi"/>
          <w:sz w:val="22"/>
          <w:szCs w:val="22"/>
        </w:rPr>
        <w:t xml:space="preserve">it </w:t>
      </w:r>
      <w:r w:rsidR="000A165B">
        <w:rPr>
          <w:rFonts w:asciiTheme="minorHAnsi" w:hAnsiTheme="minorHAnsi" w:cstheme="minorHAnsi"/>
          <w:sz w:val="22"/>
          <w:szCs w:val="22"/>
        </w:rPr>
        <w:t>i</w:t>
      </w:r>
      <w:r w:rsidR="00F375F7">
        <w:rPr>
          <w:rFonts w:asciiTheme="minorHAnsi" w:hAnsiTheme="minorHAnsi" w:cstheme="minorHAnsi"/>
          <w:sz w:val="22"/>
          <w:szCs w:val="22"/>
        </w:rPr>
        <w:t xml:space="preserve">s assumed to be </w:t>
      </w:r>
      <w:r w:rsidR="000A165B">
        <w:rPr>
          <w:rFonts w:asciiTheme="minorHAnsi" w:hAnsiTheme="minorHAnsi" w:cstheme="minorHAnsi"/>
          <w:sz w:val="22"/>
          <w:szCs w:val="22"/>
        </w:rPr>
        <w:t>85</w:t>
      </w:r>
      <w:r w:rsidR="00F375F7">
        <w:rPr>
          <w:rFonts w:asciiTheme="minorHAnsi" w:hAnsiTheme="minorHAnsi" w:cstheme="minorHAnsi"/>
          <w:sz w:val="22"/>
          <w:szCs w:val="22"/>
        </w:rPr>
        <w:t>% in this</w:t>
      </w:r>
      <w:r w:rsidRPr="00612364">
        <w:rPr>
          <w:rFonts w:asciiTheme="minorHAnsi" w:hAnsiTheme="minorHAnsi" w:cstheme="minorHAnsi"/>
          <w:sz w:val="22"/>
          <w:szCs w:val="22"/>
        </w:rPr>
        <w:t xml:space="preserve"> analysis</w:t>
      </w:r>
      <w:r w:rsidR="000A165B">
        <w:rPr>
          <w:rFonts w:asciiTheme="minorHAnsi" w:hAnsiTheme="minorHAnsi" w:cstheme="minorHAnsi"/>
          <w:sz w:val="22"/>
          <w:szCs w:val="22"/>
        </w:rPr>
        <w:t xml:space="preserve"> to be consistent with the Express Solution Rebate Program minimum requirement.</w:t>
      </w:r>
    </w:p>
    <w:p w:rsidR="0062178B" w:rsidRPr="00612364" w:rsidRDefault="0062178B" w:rsidP="0062178B">
      <w:pPr>
        <w:ind w:left="720"/>
        <w:rPr>
          <w:rFonts w:asciiTheme="minorHAnsi" w:hAnsiTheme="minorHAnsi" w:cstheme="minorHAnsi"/>
          <w:sz w:val="22"/>
          <w:szCs w:val="22"/>
        </w:rPr>
      </w:pPr>
    </w:p>
    <w:p w:rsidR="00A96718" w:rsidRPr="00A40C39" w:rsidRDefault="0062178B" w:rsidP="0051696C">
      <w:pPr>
        <w:numPr>
          <w:ilvl w:val="0"/>
          <w:numId w:val="19"/>
        </w:numPr>
        <w:ind w:left="720"/>
        <w:rPr>
          <w:rFonts w:asciiTheme="minorHAnsi" w:hAnsiTheme="minorHAnsi" w:cstheme="minorHAnsi"/>
          <w:sz w:val="22"/>
          <w:szCs w:val="22"/>
        </w:rPr>
      </w:pPr>
      <w:r w:rsidRPr="00A40C39">
        <w:rPr>
          <w:rFonts w:asciiTheme="minorHAnsi" w:hAnsiTheme="minorHAnsi" w:cstheme="minorHAnsi"/>
          <w:sz w:val="22"/>
          <w:szCs w:val="22"/>
        </w:rPr>
        <w:t xml:space="preserve">Next, </w:t>
      </w:r>
      <w:r w:rsidR="00A96718" w:rsidRPr="00A40C39">
        <w:rPr>
          <w:rFonts w:asciiTheme="minorHAnsi" w:hAnsiTheme="minorHAnsi" w:cstheme="minorHAnsi"/>
          <w:sz w:val="22"/>
          <w:szCs w:val="22"/>
        </w:rPr>
        <w:t xml:space="preserve">the </w:t>
      </w:r>
      <w:r w:rsidR="003C289C" w:rsidRPr="00A40C39">
        <w:rPr>
          <w:rFonts w:asciiTheme="minorHAnsi" w:hAnsiTheme="minorHAnsi" w:cstheme="minorHAnsi"/>
          <w:sz w:val="22"/>
          <w:szCs w:val="22"/>
        </w:rPr>
        <w:t>measure</w:t>
      </w:r>
      <w:r w:rsidRPr="00A40C39">
        <w:rPr>
          <w:rFonts w:asciiTheme="minorHAnsi" w:hAnsiTheme="minorHAnsi" w:cstheme="minorHAnsi"/>
          <w:sz w:val="22"/>
          <w:szCs w:val="22"/>
        </w:rPr>
        <w:t xml:space="preserve"> case average kW demand per </w:t>
      </w:r>
      <w:r w:rsidR="00BA43A7">
        <w:rPr>
          <w:rFonts w:asciiTheme="minorHAnsi" w:hAnsiTheme="minorHAnsi" w:cstheme="minorHAnsi"/>
          <w:sz w:val="22"/>
          <w:szCs w:val="22"/>
        </w:rPr>
        <w:t xml:space="preserve">1000 </w:t>
      </w:r>
      <w:proofErr w:type="spellStart"/>
      <w:r w:rsidR="00BA43A7">
        <w:rPr>
          <w:rFonts w:asciiTheme="minorHAnsi" w:hAnsiTheme="minorHAnsi" w:cstheme="minorHAnsi"/>
          <w:sz w:val="22"/>
          <w:szCs w:val="22"/>
        </w:rPr>
        <w:t>sq-ft</w:t>
      </w:r>
      <w:proofErr w:type="spellEnd"/>
      <w:r w:rsidR="00BA43A7">
        <w:rPr>
          <w:rFonts w:asciiTheme="minorHAnsi" w:hAnsiTheme="minorHAnsi" w:cstheme="minorHAnsi"/>
          <w:sz w:val="22"/>
          <w:szCs w:val="22"/>
        </w:rPr>
        <w:t xml:space="preserve"> for the DEC system i</w:t>
      </w:r>
      <w:r w:rsidRPr="00A40C39">
        <w:rPr>
          <w:rFonts w:asciiTheme="minorHAnsi" w:hAnsiTheme="minorHAnsi" w:cstheme="minorHAnsi"/>
          <w:sz w:val="22"/>
          <w:szCs w:val="22"/>
        </w:rPr>
        <w:t>s ob</w:t>
      </w:r>
      <w:r w:rsidR="00A96718" w:rsidRPr="00A40C39">
        <w:rPr>
          <w:rFonts w:asciiTheme="minorHAnsi" w:hAnsiTheme="minorHAnsi" w:cstheme="minorHAnsi"/>
          <w:sz w:val="22"/>
          <w:szCs w:val="22"/>
        </w:rPr>
        <w:t xml:space="preserve">tained using following equation.  </w:t>
      </w:r>
    </w:p>
    <w:p w:rsidR="00600D7D" w:rsidRDefault="00600D7D" w:rsidP="0062178B">
      <w:pPr>
        <w:ind w:left="720"/>
        <w:rPr>
          <w:rFonts w:asciiTheme="minorHAnsi" w:hAnsiTheme="minorHAnsi" w:cstheme="minorHAnsi"/>
          <w:sz w:val="22"/>
          <w:szCs w:val="22"/>
        </w:rPr>
      </w:pPr>
    </w:p>
    <w:p w:rsidR="0062178B" w:rsidRPr="00612364" w:rsidRDefault="003C289C" w:rsidP="0062178B">
      <w:pPr>
        <w:ind w:left="720"/>
        <w:rPr>
          <w:rFonts w:asciiTheme="minorHAnsi" w:hAnsiTheme="minorHAnsi" w:cstheme="minorHAnsi"/>
          <w:sz w:val="22"/>
          <w:szCs w:val="22"/>
        </w:rPr>
      </w:pPr>
      <m:oMathPara>
        <m:oMath>
          <m:r>
            <w:rPr>
              <w:rFonts w:ascii="Cambria Math" w:hAnsi="Cambria Math" w:cstheme="minorHAnsi"/>
              <w:sz w:val="22"/>
              <w:szCs w:val="22"/>
            </w:rPr>
            <m:t>Measure kW=</m:t>
          </m:r>
          <m:f>
            <m:fPr>
              <m:ctrlPr>
                <w:rPr>
                  <w:rFonts w:ascii="Cambria Math" w:hAnsi="Cambria Math" w:cstheme="minorHAnsi"/>
                  <w:i/>
                  <w:sz w:val="22"/>
                  <w:szCs w:val="22"/>
                </w:rPr>
              </m:ctrlPr>
            </m:fPr>
            <m:num>
              <m:r>
                <w:rPr>
                  <w:rFonts w:ascii="Cambria Math" w:hAnsi="Cambria Math" w:cstheme="minorHAnsi"/>
                  <w:sz w:val="22"/>
                  <w:szCs w:val="22"/>
                </w:rPr>
                <m:t>DEC Watts</m:t>
              </m:r>
            </m:num>
            <m:den>
              <m:r>
                <w:rPr>
                  <w:rFonts w:ascii="Cambria Math" w:hAnsi="Cambria Math" w:cstheme="minorHAnsi"/>
                  <w:sz w:val="22"/>
                  <w:szCs w:val="22"/>
                </w:rPr>
                <m:t>CFM</m:t>
              </m:r>
            </m:den>
          </m:f>
          <m:r>
            <w:rPr>
              <w:rFonts w:ascii="Cambria Math" w:hAnsi="Cambria Math" w:cstheme="minorHAnsi"/>
              <w:sz w:val="22"/>
              <w:szCs w:val="22"/>
            </w:rPr>
            <m:t>x 1300</m:t>
          </m:r>
          <m:d>
            <m:dPr>
              <m:begChr m:val="["/>
              <m:endChr m:val="]"/>
              <m:ctrlPr>
                <w:rPr>
                  <w:rFonts w:ascii="Cambria Math" w:hAnsi="Cambria Math" w:cstheme="minorHAnsi"/>
                  <w:i/>
                  <w:sz w:val="22"/>
                  <w:szCs w:val="22"/>
                </w:rPr>
              </m:ctrlPr>
            </m:dPr>
            <m:e>
              <m:f>
                <m:fPr>
                  <m:ctrlPr>
                    <w:rPr>
                      <w:rFonts w:ascii="Cambria Math" w:hAnsi="Cambria Math" w:cstheme="minorHAnsi"/>
                      <w:i/>
                      <w:sz w:val="22"/>
                      <w:szCs w:val="22"/>
                    </w:rPr>
                  </m:ctrlPr>
                </m:fPr>
                <m:num>
                  <m:r>
                    <w:rPr>
                      <w:rFonts w:ascii="Cambria Math" w:hAnsi="Cambria Math" w:cstheme="minorHAnsi"/>
                      <w:sz w:val="22"/>
                      <w:szCs w:val="22"/>
                    </w:rPr>
                    <m:t>CFM</m:t>
                  </m:r>
                </m:num>
                <m:den>
                  <m:r>
                    <w:rPr>
                      <w:rFonts w:ascii="Cambria Math" w:hAnsi="Cambria Math" w:cstheme="minorHAnsi"/>
                      <w:sz w:val="22"/>
                      <w:szCs w:val="22"/>
                    </w:rPr>
                    <m:t>ton</m:t>
                  </m:r>
                </m:den>
              </m:f>
            </m:e>
          </m:d>
          <m:r>
            <w:rPr>
              <w:rFonts w:ascii="Cambria Math" w:hAnsi="Cambria Math" w:cstheme="minorHAnsi"/>
              <w:sz w:val="22"/>
              <w:szCs w:val="22"/>
            </w:rPr>
            <m:t xml:space="preserve"> x </m:t>
          </m:r>
          <m:f>
            <m:fPr>
              <m:ctrlPr>
                <w:rPr>
                  <w:rFonts w:ascii="Cambria Math" w:hAnsi="Cambria Math" w:cstheme="minorHAnsi"/>
                  <w:i/>
                  <w:sz w:val="22"/>
                  <w:szCs w:val="22"/>
                </w:rPr>
              </m:ctrlPr>
            </m:fPr>
            <m:num>
              <m:r>
                <w:rPr>
                  <w:rFonts w:ascii="Cambria Math" w:hAnsi="Cambria Math" w:cstheme="minorHAnsi"/>
                  <w:sz w:val="22"/>
                  <w:szCs w:val="22"/>
                </w:rPr>
                <m:t>1</m:t>
              </m:r>
            </m:num>
            <m:den>
              <m:r>
                <w:rPr>
                  <w:rFonts w:ascii="Cambria Math" w:hAnsi="Cambria Math" w:cstheme="minorHAnsi"/>
                  <w:sz w:val="22"/>
                  <w:szCs w:val="22"/>
                </w:rPr>
                <m:t>1000</m:t>
              </m:r>
            </m:den>
          </m:f>
          <m:d>
            <m:dPr>
              <m:begChr m:val="["/>
              <m:endChr m:val="]"/>
              <m:ctrlPr>
                <w:rPr>
                  <w:rFonts w:ascii="Cambria Math" w:hAnsi="Cambria Math" w:cstheme="minorHAnsi"/>
                  <w:i/>
                  <w:sz w:val="22"/>
                  <w:szCs w:val="22"/>
                </w:rPr>
              </m:ctrlPr>
            </m:dPr>
            <m:e>
              <m:box>
                <m:boxPr>
                  <m:ctrlPr>
                    <w:rPr>
                      <w:rFonts w:ascii="Cambria Math" w:hAnsi="Cambria Math" w:cstheme="minorHAnsi"/>
                      <w:i/>
                      <w:sz w:val="22"/>
                      <w:szCs w:val="22"/>
                    </w:rPr>
                  </m:ctrlPr>
                </m:boxPr>
                <m:e>
                  <m:argPr>
                    <m:argSz m:val="-1"/>
                  </m:argPr>
                  <m:f>
                    <m:fPr>
                      <m:ctrlPr>
                        <w:rPr>
                          <w:rFonts w:ascii="Cambria Math" w:hAnsi="Cambria Math" w:cstheme="minorHAnsi"/>
                          <w:i/>
                          <w:sz w:val="22"/>
                          <w:szCs w:val="22"/>
                        </w:rPr>
                      </m:ctrlPr>
                    </m:fPr>
                    <m:num>
                      <m:r>
                        <w:rPr>
                          <w:rFonts w:ascii="Cambria Math" w:hAnsi="Cambria Math" w:cstheme="minorHAnsi"/>
                          <w:sz w:val="22"/>
                          <w:szCs w:val="22"/>
                        </w:rPr>
                        <m:t>kW</m:t>
                      </m:r>
                    </m:num>
                    <m:den>
                      <m:r>
                        <w:rPr>
                          <w:rFonts w:ascii="Cambria Math" w:hAnsi="Cambria Math" w:cstheme="minorHAnsi"/>
                          <w:sz w:val="22"/>
                          <w:szCs w:val="22"/>
                        </w:rPr>
                        <m:t>watt</m:t>
                      </m:r>
                    </m:den>
                  </m:f>
                </m:e>
              </m:box>
            </m:e>
          </m:d>
          <m:r>
            <w:rPr>
              <w:rFonts w:ascii="Cambria Math" w:hAnsi="Cambria Math" w:cstheme="minorHAnsi"/>
              <w:sz w:val="22"/>
              <w:szCs w:val="22"/>
            </w:rPr>
            <m:t>x</m:t>
          </m:r>
          <m:f>
            <m:fPr>
              <m:ctrlPr>
                <w:rPr>
                  <w:rFonts w:ascii="Cambria Math" w:hAnsi="Cambria Math" w:cstheme="minorHAnsi"/>
                  <w:i/>
                  <w:sz w:val="22"/>
                  <w:szCs w:val="22"/>
                </w:rPr>
              </m:ctrlPr>
            </m:fPr>
            <m:num>
              <m:r>
                <w:rPr>
                  <w:rFonts w:ascii="Cambria Math" w:hAnsi="Cambria Math" w:cstheme="minorHAnsi"/>
                  <w:sz w:val="22"/>
                  <w:szCs w:val="22"/>
                </w:rPr>
                <m:t>ton</m:t>
              </m:r>
            </m:num>
            <m:den>
              <m:r>
                <w:rPr>
                  <w:rFonts w:ascii="Cambria Math" w:hAnsi="Cambria Math" w:cstheme="minorHAnsi"/>
                  <w:sz w:val="22"/>
                  <w:szCs w:val="22"/>
                </w:rPr>
                <m:t>sq-ft</m:t>
              </m:r>
            </m:den>
          </m:f>
          <m:r>
            <w:rPr>
              <w:rFonts w:ascii="Cambria Math" w:hAnsi="Cambria Math" w:cstheme="minorHAnsi"/>
              <w:sz w:val="22"/>
              <w:szCs w:val="22"/>
            </w:rPr>
            <m:t>x 1000</m:t>
          </m:r>
          <m:d>
            <m:dPr>
              <m:begChr m:val="["/>
              <m:endChr m:val="]"/>
              <m:ctrlPr>
                <w:rPr>
                  <w:rFonts w:ascii="Cambria Math" w:hAnsi="Cambria Math" w:cstheme="minorHAnsi"/>
                  <w:i/>
                  <w:sz w:val="22"/>
                  <w:szCs w:val="22"/>
                </w:rPr>
              </m:ctrlPr>
            </m:dPr>
            <m:e>
              <m:r>
                <w:rPr>
                  <w:rFonts w:ascii="Cambria Math" w:hAnsi="Cambria Math" w:cstheme="minorHAnsi"/>
                  <w:sz w:val="22"/>
                  <w:szCs w:val="22"/>
                </w:rPr>
                <m:t>sq-ft</m:t>
              </m:r>
            </m:e>
          </m:d>
        </m:oMath>
      </m:oMathPara>
    </w:p>
    <w:p w:rsidR="0062178B" w:rsidRPr="00612364" w:rsidRDefault="0062178B" w:rsidP="0062178B">
      <w:pPr>
        <w:ind w:left="720"/>
        <w:rPr>
          <w:rFonts w:asciiTheme="minorHAnsi" w:hAnsiTheme="minorHAnsi" w:cstheme="minorHAnsi"/>
          <w:sz w:val="22"/>
          <w:szCs w:val="22"/>
        </w:rPr>
      </w:pPr>
    </w:p>
    <w:p w:rsidR="0062178B" w:rsidRDefault="0062178B" w:rsidP="00A96718">
      <w:pPr>
        <w:ind w:left="720"/>
        <w:rPr>
          <w:rFonts w:asciiTheme="minorHAnsi" w:hAnsiTheme="minorHAnsi" w:cstheme="minorHAnsi"/>
          <w:sz w:val="22"/>
          <w:szCs w:val="22"/>
        </w:rPr>
      </w:pPr>
      <w:r w:rsidRPr="00612364">
        <w:rPr>
          <w:rFonts w:asciiTheme="minorHAnsi" w:hAnsiTheme="minorHAnsi" w:cstheme="minorHAnsi"/>
          <w:sz w:val="22"/>
          <w:szCs w:val="22"/>
        </w:rPr>
        <w:t>Where</w:t>
      </w:r>
      <w:r w:rsidR="00E9519D">
        <w:rPr>
          <w:rFonts w:asciiTheme="minorHAnsi" w:hAnsiTheme="minorHAnsi" w:cstheme="minorHAnsi"/>
          <w:sz w:val="22"/>
          <w:szCs w:val="22"/>
        </w:rPr>
        <w:t xml:space="preserve"> t</w:t>
      </w:r>
      <w:r w:rsidR="00A96718" w:rsidRPr="00A96718">
        <w:rPr>
          <w:rFonts w:asciiTheme="minorHAnsi" w:hAnsiTheme="minorHAnsi" w:cstheme="minorHAnsi"/>
          <w:sz w:val="22"/>
          <w:szCs w:val="22"/>
        </w:rPr>
        <w:t>he ton/</w:t>
      </w:r>
      <w:proofErr w:type="spellStart"/>
      <w:r w:rsidR="00A96718" w:rsidRPr="00A96718">
        <w:rPr>
          <w:rFonts w:asciiTheme="minorHAnsi" w:hAnsiTheme="minorHAnsi" w:cstheme="minorHAnsi"/>
          <w:sz w:val="22"/>
          <w:szCs w:val="22"/>
        </w:rPr>
        <w:t>sq-ft</w:t>
      </w:r>
      <w:proofErr w:type="spellEnd"/>
      <w:r w:rsidR="00A96718">
        <w:rPr>
          <w:rFonts w:asciiTheme="minorHAnsi" w:hAnsiTheme="minorHAnsi" w:cstheme="minorHAnsi"/>
          <w:sz w:val="22"/>
          <w:szCs w:val="22"/>
        </w:rPr>
        <w:t xml:space="preserve"> is calculated per building type and climate zone and the </w:t>
      </w:r>
      <w:r w:rsidRPr="00612364">
        <w:rPr>
          <w:rFonts w:asciiTheme="minorHAnsi" w:hAnsiTheme="minorHAnsi" w:cstheme="minorHAnsi"/>
          <w:sz w:val="22"/>
          <w:szCs w:val="22"/>
        </w:rPr>
        <w:t xml:space="preserve">CFM/ton </w:t>
      </w:r>
      <w:r w:rsidR="00BA43A7">
        <w:rPr>
          <w:rFonts w:asciiTheme="minorHAnsi" w:hAnsiTheme="minorHAnsi" w:cstheme="minorHAnsi"/>
          <w:sz w:val="22"/>
          <w:szCs w:val="22"/>
        </w:rPr>
        <w:t>is</w:t>
      </w:r>
      <w:r w:rsidRPr="00612364">
        <w:rPr>
          <w:rFonts w:asciiTheme="minorHAnsi" w:hAnsiTheme="minorHAnsi" w:cstheme="minorHAnsi"/>
          <w:sz w:val="22"/>
          <w:szCs w:val="22"/>
        </w:rPr>
        <w:t xml:space="preserve"> assumed </w:t>
      </w:r>
      <w:r w:rsidR="00A96718">
        <w:rPr>
          <w:rFonts w:asciiTheme="minorHAnsi" w:hAnsiTheme="minorHAnsi" w:cstheme="minorHAnsi"/>
          <w:sz w:val="22"/>
          <w:szCs w:val="22"/>
        </w:rPr>
        <w:t>to be 1300 as previously discussed.</w:t>
      </w:r>
    </w:p>
    <w:p w:rsidR="0062178B" w:rsidRPr="00612364" w:rsidRDefault="00A96718" w:rsidP="0062178B">
      <w:pPr>
        <w:ind w:left="720"/>
        <w:rPr>
          <w:rFonts w:asciiTheme="minorHAnsi" w:hAnsiTheme="minorHAnsi" w:cstheme="minorHAnsi"/>
          <w:sz w:val="22"/>
          <w:szCs w:val="22"/>
        </w:rPr>
      </w:pPr>
      <w:r>
        <w:rPr>
          <w:rFonts w:asciiTheme="minorHAnsi" w:hAnsiTheme="minorHAnsi" w:cstheme="minorHAnsi"/>
          <w:sz w:val="22"/>
          <w:szCs w:val="22"/>
        </w:rPr>
        <w:tab/>
      </w:r>
    </w:p>
    <w:p w:rsidR="0062178B" w:rsidRPr="00612364" w:rsidRDefault="00A75291" w:rsidP="0062178B">
      <w:pPr>
        <w:numPr>
          <w:ilvl w:val="0"/>
          <w:numId w:val="15"/>
        </w:numPr>
        <w:rPr>
          <w:rFonts w:asciiTheme="minorHAnsi" w:hAnsiTheme="minorHAnsi" w:cstheme="minorHAnsi"/>
          <w:sz w:val="22"/>
          <w:szCs w:val="22"/>
        </w:rPr>
      </w:pPr>
      <w:r>
        <w:rPr>
          <w:rFonts w:asciiTheme="minorHAnsi" w:hAnsiTheme="minorHAnsi" w:cstheme="minorHAnsi"/>
          <w:sz w:val="22"/>
          <w:szCs w:val="22"/>
        </w:rPr>
        <w:t>The</w:t>
      </w:r>
      <w:r w:rsidR="0062178B" w:rsidRPr="00612364">
        <w:rPr>
          <w:rFonts w:asciiTheme="minorHAnsi" w:hAnsiTheme="minorHAnsi" w:cstheme="minorHAnsi"/>
          <w:sz w:val="22"/>
          <w:szCs w:val="22"/>
        </w:rPr>
        <w:t xml:space="preserve"> annual energy and peak</w:t>
      </w:r>
      <w:r w:rsidR="00BA43A7">
        <w:rPr>
          <w:rFonts w:asciiTheme="minorHAnsi" w:hAnsiTheme="minorHAnsi" w:cstheme="minorHAnsi"/>
          <w:sz w:val="22"/>
          <w:szCs w:val="22"/>
        </w:rPr>
        <w:t xml:space="preserve"> demand savings is</w:t>
      </w:r>
      <w:r w:rsidR="0062178B" w:rsidRPr="00612364">
        <w:rPr>
          <w:rFonts w:asciiTheme="minorHAnsi" w:hAnsiTheme="minorHAnsi" w:cstheme="minorHAnsi"/>
          <w:sz w:val="22"/>
          <w:szCs w:val="22"/>
        </w:rPr>
        <w:t xml:space="preserve"> calculated using the following equations.</w:t>
      </w:r>
    </w:p>
    <w:p w:rsidR="00600D7D" w:rsidRDefault="00600D7D" w:rsidP="0062178B">
      <w:pPr>
        <w:ind w:left="720"/>
        <w:rPr>
          <w:rFonts w:asciiTheme="minorHAnsi" w:hAnsiTheme="minorHAnsi" w:cstheme="minorHAnsi"/>
          <w:sz w:val="22"/>
          <w:szCs w:val="22"/>
        </w:rPr>
      </w:pPr>
    </w:p>
    <w:p w:rsidR="00B51732" w:rsidRPr="00612364" w:rsidRDefault="00B736C6" w:rsidP="0062178B">
      <w:pPr>
        <w:ind w:left="720"/>
        <w:rPr>
          <w:rFonts w:asciiTheme="minorHAnsi" w:hAnsiTheme="minorHAnsi" w:cstheme="minorHAnsi"/>
          <w:sz w:val="22"/>
          <w:szCs w:val="22"/>
        </w:rPr>
      </w:pPr>
      <m:oMathPara>
        <m:oMath>
          <m:r>
            <w:rPr>
              <w:rFonts w:ascii="Cambria Math" w:hAnsi="Cambria Math" w:cstheme="minorHAnsi"/>
              <w:sz w:val="22"/>
              <w:szCs w:val="22"/>
            </w:rPr>
            <m:t>Energy Savings</m:t>
          </m:r>
          <m:d>
            <m:dPr>
              <m:begChr m:val="["/>
              <m:endChr m:val="]"/>
              <m:ctrlPr>
                <w:rPr>
                  <w:rFonts w:ascii="Cambria Math" w:hAnsi="Cambria Math" w:cstheme="minorHAnsi"/>
                  <w:i/>
                  <w:sz w:val="22"/>
                  <w:szCs w:val="22"/>
                </w:rPr>
              </m:ctrlPr>
            </m:dPr>
            <m:e>
              <m:f>
                <m:fPr>
                  <m:ctrlPr>
                    <w:rPr>
                      <w:rFonts w:ascii="Cambria Math" w:hAnsi="Cambria Math" w:cstheme="minorHAnsi"/>
                      <w:i/>
                      <w:sz w:val="22"/>
                      <w:szCs w:val="22"/>
                    </w:rPr>
                  </m:ctrlPr>
                </m:fPr>
                <m:num>
                  <m:r>
                    <w:rPr>
                      <w:rFonts w:ascii="Cambria Math" w:hAnsi="Cambria Math" w:cstheme="minorHAnsi"/>
                      <w:sz w:val="22"/>
                      <w:szCs w:val="22"/>
                    </w:rPr>
                    <m:t>kWh</m:t>
                  </m:r>
                </m:num>
                <m:den>
                  <m:r>
                    <w:rPr>
                      <w:rFonts w:ascii="Cambria Math" w:hAnsi="Cambria Math" w:cstheme="minorHAnsi"/>
                      <w:sz w:val="22"/>
                      <w:szCs w:val="22"/>
                    </w:rPr>
                    <m:t>Unitxyear</m:t>
                  </m:r>
                </m:den>
              </m:f>
            </m:e>
          </m:d>
          <m:r>
            <w:rPr>
              <w:rFonts w:ascii="Cambria Math" w:hAnsi="Cambria Math" w:cstheme="minorHAnsi"/>
              <w:sz w:val="22"/>
              <w:szCs w:val="22"/>
            </w:rPr>
            <m:t>=</m:t>
          </m:r>
          <m:d>
            <m:dPr>
              <m:ctrlPr>
                <w:rPr>
                  <w:rFonts w:ascii="Cambria Math" w:hAnsi="Cambria Math" w:cstheme="minorHAnsi"/>
                  <w:i/>
                  <w:sz w:val="22"/>
                  <w:szCs w:val="22"/>
                </w:rPr>
              </m:ctrlPr>
            </m:dPr>
            <m:e>
              <m:r>
                <w:rPr>
                  <w:rFonts w:ascii="Cambria Math" w:hAnsi="Cambria Math" w:cstheme="minorHAnsi"/>
                  <w:sz w:val="22"/>
                  <w:szCs w:val="22"/>
                </w:rPr>
                <m:t>Base kW-Post kW</m:t>
              </m:r>
            </m:e>
          </m:d>
          <m:r>
            <w:rPr>
              <w:rFonts w:ascii="Cambria Math" w:hAnsi="Cambria Math" w:cstheme="minorHAnsi"/>
              <w:sz w:val="22"/>
              <w:szCs w:val="22"/>
            </w:rPr>
            <m:t>x</m:t>
          </m:r>
          <m:f>
            <m:fPr>
              <m:ctrlPr>
                <w:rPr>
                  <w:rFonts w:ascii="Cambria Math" w:hAnsi="Cambria Math" w:cstheme="minorHAnsi"/>
                  <w:i/>
                  <w:sz w:val="22"/>
                  <w:szCs w:val="22"/>
                </w:rPr>
              </m:ctrlPr>
            </m:fPr>
            <m:num>
              <m:r>
                <w:rPr>
                  <w:rFonts w:ascii="Cambria Math" w:hAnsi="Cambria Math" w:cstheme="minorHAnsi"/>
                  <w:sz w:val="22"/>
                  <w:szCs w:val="22"/>
                </w:rPr>
                <m:t>hours</m:t>
              </m:r>
            </m:num>
            <m:den>
              <m:r>
                <w:rPr>
                  <w:rFonts w:ascii="Cambria Math" w:hAnsi="Cambria Math" w:cstheme="minorHAnsi"/>
                  <w:sz w:val="22"/>
                  <w:szCs w:val="22"/>
                </w:rPr>
                <m:t>year</m:t>
              </m:r>
            </m:den>
          </m:f>
          <m:r>
            <w:rPr>
              <w:rFonts w:ascii="Cambria Math" w:hAnsi="Cambria Math" w:cstheme="minorHAnsi"/>
              <w:sz w:val="22"/>
              <w:szCs w:val="22"/>
            </w:rPr>
            <m:t>xESAF</m:t>
          </m:r>
        </m:oMath>
      </m:oMathPara>
    </w:p>
    <w:p w:rsidR="0062178B" w:rsidRPr="00612364" w:rsidRDefault="0062178B" w:rsidP="0051696C">
      <w:pPr>
        <w:ind w:left="720"/>
        <w:rPr>
          <w:rFonts w:asciiTheme="minorHAnsi" w:hAnsiTheme="minorHAnsi" w:cstheme="minorHAnsi"/>
          <w:sz w:val="22"/>
          <w:szCs w:val="22"/>
        </w:rPr>
      </w:pPr>
    </w:p>
    <w:p w:rsidR="0062178B" w:rsidRPr="00612364" w:rsidRDefault="00523B9A" w:rsidP="0051696C">
      <w:pPr>
        <w:jc w:val="center"/>
        <w:rPr>
          <w:rFonts w:asciiTheme="minorHAnsi" w:hAnsiTheme="minorHAnsi" w:cstheme="minorHAnsi"/>
          <w:sz w:val="22"/>
          <w:szCs w:val="22"/>
        </w:rPr>
      </w:pPr>
      <m:oMathPara>
        <m:oMath>
          <m:r>
            <w:rPr>
              <w:rFonts w:ascii="Cambria Math" w:hAnsi="Cambria Math" w:cstheme="minorHAnsi"/>
              <w:sz w:val="22"/>
              <w:szCs w:val="22"/>
            </w:rPr>
            <m:t>Demand Reduction</m:t>
          </m:r>
          <m:d>
            <m:dPr>
              <m:begChr m:val="["/>
              <m:endChr m:val="]"/>
              <m:ctrlPr>
                <w:rPr>
                  <w:rFonts w:ascii="Cambria Math" w:hAnsi="Cambria Math" w:cstheme="minorHAnsi"/>
                  <w:i/>
                  <w:sz w:val="22"/>
                  <w:szCs w:val="22"/>
                </w:rPr>
              </m:ctrlPr>
            </m:dPr>
            <m:e>
              <m:box>
                <m:boxPr>
                  <m:ctrlPr>
                    <w:rPr>
                      <w:rFonts w:ascii="Cambria Math" w:hAnsi="Cambria Math" w:cstheme="minorHAnsi"/>
                      <w:i/>
                      <w:sz w:val="22"/>
                      <w:szCs w:val="22"/>
                    </w:rPr>
                  </m:ctrlPr>
                </m:boxPr>
                <m:e>
                  <m:argPr>
                    <m:argSz m:val="-1"/>
                  </m:argPr>
                  <m:f>
                    <m:fPr>
                      <m:ctrlPr>
                        <w:rPr>
                          <w:rFonts w:ascii="Cambria Math" w:hAnsi="Cambria Math" w:cstheme="minorHAnsi"/>
                          <w:i/>
                          <w:sz w:val="22"/>
                          <w:szCs w:val="22"/>
                        </w:rPr>
                      </m:ctrlPr>
                    </m:fPr>
                    <m:num>
                      <m:r>
                        <w:rPr>
                          <w:rFonts w:ascii="Cambria Math" w:hAnsi="Cambria Math" w:cstheme="minorHAnsi"/>
                          <w:sz w:val="22"/>
                          <w:szCs w:val="22"/>
                        </w:rPr>
                        <m:t>kW</m:t>
                      </m:r>
                    </m:num>
                    <m:den>
                      <m:r>
                        <w:rPr>
                          <w:rFonts w:ascii="Cambria Math" w:hAnsi="Cambria Math" w:cstheme="minorHAnsi"/>
                          <w:sz w:val="22"/>
                          <w:szCs w:val="22"/>
                        </w:rPr>
                        <m:t>Unit</m:t>
                      </m:r>
                    </m:den>
                  </m:f>
                </m:e>
              </m:box>
            </m:e>
          </m:d>
          <m:r>
            <w:rPr>
              <w:rFonts w:ascii="Cambria Math" w:hAnsi="Cambria Math" w:cstheme="minorHAnsi"/>
              <w:sz w:val="22"/>
              <w:szCs w:val="22"/>
            </w:rPr>
            <m:t>=</m:t>
          </m:r>
          <m:d>
            <m:dPr>
              <m:ctrlPr>
                <w:rPr>
                  <w:rFonts w:ascii="Cambria Math" w:hAnsi="Cambria Math" w:cstheme="minorHAnsi"/>
                  <w:i/>
                  <w:sz w:val="22"/>
                  <w:szCs w:val="22"/>
                </w:rPr>
              </m:ctrlPr>
            </m:dPr>
            <m:e>
              <m:r>
                <w:rPr>
                  <w:rFonts w:ascii="Cambria Math" w:hAnsi="Cambria Math" w:cstheme="minorHAnsi"/>
                  <w:sz w:val="22"/>
                  <w:szCs w:val="22"/>
                </w:rPr>
                <m:t>Base kW-Post kW</m:t>
              </m:r>
            </m:e>
          </m:d>
          <m:r>
            <w:rPr>
              <w:rFonts w:ascii="Cambria Math" w:hAnsi="Cambria Math" w:cstheme="minorHAnsi"/>
              <w:sz w:val="22"/>
              <w:szCs w:val="22"/>
            </w:rPr>
            <m:t xml:space="preserve"> x PDAF</m:t>
          </m:r>
        </m:oMath>
      </m:oMathPara>
    </w:p>
    <w:p w:rsidR="0062178B" w:rsidRPr="00612364" w:rsidRDefault="0062178B" w:rsidP="0062178B">
      <w:pPr>
        <w:tabs>
          <w:tab w:val="left" w:pos="2520"/>
          <w:tab w:val="left" w:pos="5220"/>
        </w:tabs>
        <w:rPr>
          <w:rFonts w:asciiTheme="minorHAnsi" w:hAnsiTheme="minorHAnsi" w:cstheme="minorHAnsi"/>
          <w:sz w:val="22"/>
          <w:szCs w:val="22"/>
        </w:rPr>
      </w:pPr>
    </w:p>
    <w:p w:rsidR="00B51732" w:rsidRPr="0051696C" w:rsidRDefault="00BA43A7" w:rsidP="0051696C">
      <w:pPr>
        <w:ind w:left="720"/>
        <w:rPr>
          <w:rFonts w:asciiTheme="minorHAnsi" w:hAnsiTheme="minorHAnsi" w:cstheme="minorHAnsi"/>
          <w:sz w:val="22"/>
          <w:szCs w:val="22"/>
        </w:rPr>
      </w:pPr>
      <w:r>
        <w:rPr>
          <w:rFonts w:asciiTheme="minorHAnsi" w:hAnsiTheme="minorHAnsi" w:cstheme="minorHAnsi"/>
          <w:sz w:val="22"/>
          <w:szCs w:val="22"/>
        </w:rPr>
        <w:t>W</w:t>
      </w:r>
      <w:r w:rsidR="00FC2340">
        <w:rPr>
          <w:rFonts w:asciiTheme="minorHAnsi" w:hAnsiTheme="minorHAnsi" w:cstheme="minorHAnsi"/>
          <w:sz w:val="22"/>
          <w:szCs w:val="22"/>
        </w:rPr>
        <w:t>here unit is</w:t>
      </w:r>
      <w:r w:rsidR="00A40C39">
        <w:rPr>
          <w:rFonts w:asciiTheme="minorHAnsi" w:hAnsiTheme="minorHAnsi" w:cstheme="minorHAnsi"/>
          <w:sz w:val="22"/>
          <w:szCs w:val="22"/>
        </w:rPr>
        <w:t xml:space="preserve"> per 1000 sq. </w:t>
      </w:r>
      <w:proofErr w:type="spellStart"/>
      <w:r w:rsidR="00A40C39">
        <w:rPr>
          <w:rFonts w:asciiTheme="minorHAnsi" w:hAnsiTheme="minorHAnsi" w:cstheme="minorHAnsi"/>
          <w:sz w:val="22"/>
          <w:szCs w:val="22"/>
        </w:rPr>
        <w:t>ft</w:t>
      </w:r>
      <w:proofErr w:type="spellEnd"/>
      <w:r w:rsidR="00A40C39">
        <w:rPr>
          <w:rFonts w:asciiTheme="minorHAnsi" w:hAnsiTheme="minorHAnsi" w:cstheme="minorHAnsi"/>
          <w:sz w:val="22"/>
          <w:szCs w:val="22"/>
        </w:rPr>
        <w:t xml:space="preserve"> cooled area and</w:t>
      </w:r>
      <w:r w:rsidR="00B51732" w:rsidRPr="0023557A">
        <w:rPr>
          <w:rFonts w:ascii="Calibri" w:hAnsi="Calibri" w:cs="Calibri"/>
          <w:sz w:val="22"/>
          <w:szCs w:val="22"/>
        </w:rPr>
        <w:t xml:space="preserve"> ESAF and PDAF</w:t>
      </w:r>
      <w:r>
        <w:rPr>
          <w:rFonts w:ascii="Calibri" w:hAnsi="Calibri" w:cs="Calibri"/>
          <w:sz w:val="22"/>
          <w:szCs w:val="22"/>
        </w:rPr>
        <w:t xml:space="preserve"> are</w:t>
      </w:r>
      <w:r w:rsidR="00B51732" w:rsidRPr="0023557A">
        <w:rPr>
          <w:rFonts w:ascii="Calibri" w:hAnsi="Calibri" w:cs="Calibri"/>
          <w:sz w:val="22"/>
          <w:szCs w:val="22"/>
        </w:rPr>
        <w:t xml:space="preserve"> calculated as explained in the </w:t>
      </w:r>
      <w:r w:rsidR="00902D2D">
        <w:rPr>
          <w:rFonts w:ascii="Calibri" w:hAnsi="Calibri" w:cs="Calibri"/>
          <w:sz w:val="22"/>
          <w:szCs w:val="22"/>
        </w:rPr>
        <w:t xml:space="preserve">SCE </w:t>
      </w:r>
      <w:r w:rsidR="00B51732" w:rsidRPr="0023557A">
        <w:rPr>
          <w:rFonts w:ascii="Calibri" w:hAnsi="Calibri" w:cs="Calibri"/>
          <w:sz w:val="22"/>
          <w:szCs w:val="22"/>
        </w:rPr>
        <w:t xml:space="preserve">residential sector </w:t>
      </w:r>
      <w:r w:rsidR="00A40C39">
        <w:rPr>
          <w:rFonts w:ascii="Calibri" w:hAnsi="Calibri" w:cs="Calibri"/>
          <w:sz w:val="22"/>
          <w:szCs w:val="22"/>
        </w:rPr>
        <w:t xml:space="preserve">energy savings </w:t>
      </w:r>
      <w:r w:rsidR="00B51732" w:rsidRPr="0023557A">
        <w:rPr>
          <w:rFonts w:ascii="Calibri" w:hAnsi="Calibri" w:cs="Calibri"/>
          <w:sz w:val="22"/>
          <w:szCs w:val="22"/>
        </w:rPr>
        <w:t>calculation</w:t>
      </w:r>
      <w:r w:rsidR="00A40C39">
        <w:rPr>
          <w:rFonts w:ascii="Calibri" w:hAnsi="Calibri" w:cs="Calibri"/>
          <w:sz w:val="22"/>
          <w:szCs w:val="22"/>
        </w:rPr>
        <w:t xml:space="preserve"> section above</w:t>
      </w:r>
      <w:r w:rsidR="00B51732" w:rsidRPr="0023557A">
        <w:rPr>
          <w:rFonts w:ascii="Calibri" w:hAnsi="Calibri" w:cs="Calibri"/>
          <w:sz w:val="22"/>
          <w:szCs w:val="22"/>
        </w:rPr>
        <w:t xml:space="preserve">. </w:t>
      </w:r>
    </w:p>
    <w:p w:rsidR="0062178B" w:rsidRPr="00612364" w:rsidRDefault="0062178B" w:rsidP="0062178B">
      <w:pPr>
        <w:spacing w:before="40" w:after="40"/>
        <w:rPr>
          <w:rFonts w:asciiTheme="minorHAnsi" w:hAnsiTheme="minorHAnsi" w:cstheme="minorHAnsi"/>
          <w:sz w:val="22"/>
          <w:szCs w:val="22"/>
        </w:rPr>
      </w:pPr>
    </w:p>
    <w:p w:rsidR="00FC2340" w:rsidRDefault="00A75291" w:rsidP="0051696C">
      <w:pPr>
        <w:pStyle w:val="ListParagraph"/>
        <w:numPr>
          <w:ilvl w:val="0"/>
          <w:numId w:val="15"/>
        </w:numPr>
        <w:spacing w:before="40" w:after="40"/>
        <w:rPr>
          <w:rFonts w:asciiTheme="minorHAnsi" w:hAnsiTheme="minorHAnsi" w:cstheme="minorHAnsi"/>
          <w:sz w:val="22"/>
          <w:szCs w:val="22"/>
        </w:rPr>
      </w:pPr>
      <w:r>
        <w:rPr>
          <w:rFonts w:asciiTheme="minorHAnsi" w:hAnsiTheme="minorHAnsi" w:cstheme="minorHAnsi"/>
          <w:sz w:val="22"/>
          <w:szCs w:val="22"/>
        </w:rPr>
        <w:t>The</w:t>
      </w:r>
      <w:r w:rsidR="0062178B" w:rsidRPr="0051696C">
        <w:rPr>
          <w:rFonts w:asciiTheme="minorHAnsi" w:hAnsiTheme="minorHAnsi" w:cstheme="minorHAnsi"/>
          <w:sz w:val="22"/>
          <w:szCs w:val="22"/>
        </w:rPr>
        <w:t xml:space="preserve"> annual energy savings and </w:t>
      </w:r>
      <w:r>
        <w:rPr>
          <w:rFonts w:asciiTheme="minorHAnsi" w:hAnsiTheme="minorHAnsi" w:cstheme="minorHAnsi"/>
          <w:sz w:val="22"/>
          <w:szCs w:val="22"/>
        </w:rPr>
        <w:t xml:space="preserve">peak demand savings </w:t>
      </w:r>
      <w:r w:rsidR="00BA43A7">
        <w:rPr>
          <w:rFonts w:asciiTheme="minorHAnsi" w:hAnsiTheme="minorHAnsi" w:cstheme="minorHAnsi"/>
          <w:sz w:val="22"/>
          <w:szCs w:val="22"/>
        </w:rPr>
        <w:t>is</w:t>
      </w:r>
      <w:r>
        <w:rPr>
          <w:rFonts w:asciiTheme="minorHAnsi" w:hAnsiTheme="minorHAnsi" w:cstheme="minorHAnsi"/>
          <w:sz w:val="22"/>
          <w:szCs w:val="22"/>
        </w:rPr>
        <w:t xml:space="preserve"> </w:t>
      </w:r>
      <w:r w:rsidR="0062178B" w:rsidRPr="0051696C">
        <w:rPr>
          <w:rFonts w:asciiTheme="minorHAnsi" w:hAnsiTheme="minorHAnsi" w:cstheme="minorHAnsi"/>
          <w:sz w:val="22"/>
          <w:szCs w:val="22"/>
        </w:rPr>
        <w:t xml:space="preserve">converted </w:t>
      </w:r>
      <w:r w:rsidR="00667F7C">
        <w:rPr>
          <w:rFonts w:asciiTheme="minorHAnsi" w:hAnsiTheme="minorHAnsi" w:cstheme="minorHAnsi"/>
          <w:sz w:val="22"/>
          <w:szCs w:val="22"/>
        </w:rPr>
        <w:t>to savings per t</w:t>
      </w:r>
      <w:r w:rsidR="0062178B" w:rsidRPr="0051696C">
        <w:rPr>
          <w:rFonts w:asciiTheme="minorHAnsi" w:hAnsiTheme="minorHAnsi" w:cstheme="minorHAnsi"/>
          <w:sz w:val="22"/>
          <w:szCs w:val="22"/>
        </w:rPr>
        <w:t>on</w:t>
      </w:r>
      <w:r w:rsidR="00667F7C">
        <w:rPr>
          <w:rFonts w:asciiTheme="minorHAnsi" w:hAnsiTheme="minorHAnsi" w:cstheme="minorHAnsi"/>
          <w:sz w:val="22"/>
          <w:szCs w:val="22"/>
        </w:rPr>
        <w:t xml:space="preserve"> cooling</w:t>
      </w:r>
      <w:r w:rsidR="0062178B" w:rsidRPr="0051696C">
        <w:rPr>
          <w:rFonts w:asciiTheme="minorHAnsi" w:hAnsiTheme="minorHAnsi" w:cstheme="minorHAnsi"/>
          <w:sz w:val="22"/>
          <w:szCs w:val="22"/>
        </w:rPr>
        <w:t xml:space="preserve"> </w:t>
      </w:r>
      <w:r w:rsidR="00667F7C">
        <w:rPr>
          <w:rFonts w:asciiTheme="minorHAnsi" w:hAnsiTheme="minorHAnsi" w:cstheme="minorHAnsi"/>
          <w:sz w:val="22"/>
          <w:szCs w:val="22"/>
        </w:rPr>
        <w:t xml:space="preserve">by multiplying by the </w:t>
      </w:r>
      <w:r>
        <w:rPr>
          <w:rFonts w:asciiTheme="minorHAnsi" w:hAnsiTheme="minorHAnsi" w:cstheme="minorHAnsi"/>
          <w:sz w:val="22"/>
          <w:szCs w:val="22"/>
        </w:rPr>
        <w:t xml:space="preserve">sq. </w:t>
      </w:r>
      <w:proofErr w:type="spellStart"/>
      <w:r>
        <w:rPr>
          <w:rFonts w:asciiTheme="minorHAnsi" w:hAnsiTheme="minorHAnsi" w:cstheme="minorHAnsi"/>
          <w:sz w:val="22"/>
          <w:szCs w:val="22"/>
        </w:rPr>
        <w:t>ft</w:t>
      </w:r>
      <w:proofErr w:type="spellEnd"/>
      <w:r>
        <w:rPr>
          <w:rFonts w:asciiTheme="minorHAnsi" w:hAnsiTheme="minorHAnsi" w:cstheme="minorHAnsi"/>
          <w:sz w:val="22"/>
          <w:szCs w:val="22"/>
        </w:rPr>
        <w:t>/ton value described above</w:t>
      </w:r>
      <w:r w:rsidR="00667F7C">
        <w:rPr>
          <w:rFonts w:asciiTheme="minorHAnsi" w:hAnsiTheme="minorHAnsi" w:cstheme="minorHAnsi"/>
          <w:sz w:val="22"/>
          <w:szCs w:val="22"/>
        </w:rPr>
        <w:t xml:space="preserve"> and dividing by 1,000 sq. </w:t>
      </w:r>
      <w:proofErr w:type="spellStart"/>
      <w:r w:rsidR="00667F7C">
        <w:rPr>
          <w:rFonts w:asciiTheme="minorHAnsi" w:hAnsiTheme="minorHAnsi" w:cstheme="minorHAnsi"/>
          <w:sz w:val="22"/>
          <w:szCs w:val="22"/>
        </w:rPr>
        <w:t>ft</w:t>
      </w:r>
      <w:proofErr w:type="spellEnd"/>
      <w:r w:rsidR="00667F7C">
        <w:rPr>
          <w:rFonts w:asciiTheme="minorHAnsi" w:hAnsiTheme="minorHAnsi" w:cstheme="minorHAnsi"/>
          <w:sz w:val="22"/>
          <w:szCs w:val="22"/>
        </w:rPr>
        <w:t xml:space="preserve"> (column T &amp; U, worksheet ‘</w:t>
      </w:r>
      <w:r w:rsidR="00667F7C" w:rsidRPr="00667F7C">
        <w:rPr>
          <w:rFonts w:asciiTheme="minorHAnsi" w:hAnsiTheme="minorHAnsi" w:cstheme="minorHAnsi"/>
          <w:sz w:val="22"/>
          <w:szCs w:val="22"/>
        </w:rPr>
        <w:t>Non Residential_2014</w:t>
      </w:r>
      <w:r w:rsidR="00667F7C">
        <w:rPr>
          <w:rFonts w:asciiTheme="minorHAnsi" w:hAnsiTheme="minorHAnsi" w:cstheme="minorHAnsi"/>
          <w:sz w:val="22"/>
          <w:szCs w:val="22"/>
        </w:rPr>
        <w:t>’).</w:t>
      </w:r>
    </w:p>
    <w:p w:rsidR="00630B8D" w:rsidRPr="0051696C" w:rsidRDefault="00630B8D" w:rsidP="0051696C">
      <w:pPr>
        <w:pStyle w:val="ListParagraph"/>
        <w:spacing w:before="40" w:after="40"/>
        <w:rPr>
          <w:rFonts w:asciiTheme="minorHAnsi" w:hAnsiTheme="minorHAnsi" w:cstheme="minorHAnsi"/>
          <w:sz w:val="22"/>
          <w:szCs w:val="22"/>
        </w:rPr>
      </w:pPr>
    </w:p>
    <w:p w:rsidR="00CF3229" w:rsidRDefault="00CF3229" w:rsidP="0051696C">
      <w:pPr>
        <w:pStyle w:val="ListParagraph"/>
        <w:spacing w:before="40" w:after="40"/>
        <w:rPr>
          <w:rFonts w:asciiTheme="minorHAnsi" w:hAnsiTheme="minorHAnsi" w:cstheme="minorHAnsi"/>
          <w:sz w:val="22"/>
          <w:szCs w:val="22"/>
        </w:rPr>
      </w:pPr>
      <m:oMathPara>
        <m:oMath>
          <m:r>
            <w:rPr>
              <w:rFonts w:ascii="Cambria Math" w:hAnsi="Cambria Math" w:cstheme="minorHAnsi"/>
              <w:sz w:val="22"/>
              <w:szCs w:val="22"/>
            </w:rPr>
            <m:t xml:space="preserve">Energy Savings </m:t>
          </m:r>
          <m:d>
            <m:dPr>
              <m:begChr m:val="["/>
              <m:endChr m:val="]"/>
              <m:ctrlPr>
                <w:rPr>
                  <w:rFonts w:ascii="Cambria Math" w:hAnsi="Cambria Math" w:cstheme="minorHAnsi"/>
                  <w:i/>
                  <w:sz w:val="22"/>
                  <w:szCs w:val="22"/>
                </w:rPr>
              </m:ctrlPr>
            </m:dPr>
            <m:e>
              <m:f>
                <m:fPr>
                  <m:ctrlPr>
                    <w:rPr>
                      <w:rFonts w:ascii="Cambria Math" w:hAnsi="Cambria Math" w:cstheme="minorHAnsi"/>
                      <w:i/>
                      <w:sz w:val="22"/>
                      <w:szCs w:val="22"/>
                    </w:rPr>
                  </m:ctrlPr>
                </m:fPr>
                <m:num>
                  <m:r>
                    <w:rPr>
                      <w:rFonts w:ascii="Cambria Math" w:hAnsi="Cambria Math" w:cstheme="minorHAnsi"/>
                      <w:sz w:val="22"/>
                      <w:szCs w:val="22"/>
                    </w:rPr>
                    <m:t>kWh</m:t>
                  </m:r>
                </m:num>
                <m:den>
                  <m:r>
                    <w:rPr>
                      <w:rFonts w:ascii="Cambria Math" w:hAnsi="Cambria Math" w:cstheme="minorHAnsi"/>
                      <w:sz w:val="22"/>
                      <w:szCs w:val="22"/>
                    </w:rPr>
                    <m:t>ton x year</m:t>
                  </m:r>
                </m:den>
              </m:f>
            </m:e>
          </m:d>
          <m:r>
            <w:rPr>
              <w:rFonts w:ascii="Cambria Math" w:hAnsi="Cambria Math" w:cstheme="minorHAnsi"/>
              <w:sz w:val="22"/>
              <w:szCs w:val="22"/>
            </w:rPr>
            <m:t>=</m:t>
          </m:r>
          <m:f>
            <m:fPr>
              <m:ctrlPr>
                <w:rPr>
                  <w:rFonts w:ascii="Cambria Math" w:hAnsi="Cambria Math" w:cstheme="minorHAnsi"/>
                  <w:i/>
                  <w:sz w:val="22"/>
                  <w:szCs w:val="22"/>
                </w:rPr>
              </m:ctrlPr>
            </m:fPr>
            <m:num>
              <m:r>
                <w:rPr>
                  <w:rFonts w:ascii="Cambria Math" w:hAnsi="Cambria Math" w:cstheme="minorHAnsi"/>
                  <w:sz w:val="22"/>
                  <w:szCs w:val="22"/>
                </w:rPr>
                <m:t>Energy Savings</m:t>
              </m:r>
            </m:num>
            <m:den>
              <m:r>
                <w:rPr>
                  <w:rFonts w:ascii="Cambria Math" w:hAnsi="Cambria Math" w:cstheme="minorHAnsi"/>
                  <w:sz w:val="22"/>
                  <w:szCs w:val="22"/>
                </w:rPr>
                <m:t>1,000 sq. ft</m:t>
              </m:r>
            </m:den>
          </m:f>
          <m:d>
            <m:dPr>
              <m:begChr m:val="["/>
              <m:endChr m:val="]"/>
              <m:ctrlPr>
                <w:rPr>
                  <w:rFonts w:ascii="Cambria Math" w:hAnsi="Cambria Math" w:cstheme="minorHAnsi"/>
                  <w:i/>
                  <w:sz w:val="22"/>
                  <w:szCs w:val="22"/>
                </w:rPr>
              </m:ctrlPr>
            </m:dPr>
            <m:e>
              <m:f>
                <m:fPr>
                  <m:ctrlPr>
                    <w:rPr>
                      <w:rFonts w:ascii="Cambria Math" w:hAnsi="Cambria Math" w:cstheme="minorHAnsi"/>
                      <w:i/>
                      <w:sz w:val="22"/>
                      <w:szCs w:val="22"/>
                    </w:rPr>
                  </m:ctrlPr>
                </m:fPr>
                <m:num>
                  <m:r>
                    <w:rPr>
                      <w:rFonts w:ascii="Cambria Math" w:hAnsi="Cambria Math" w:cstheme="minorHAnsi"/>
                      <w:sz w:val="22"/>
                      <w:szCs w:val="22"/>
                    </w:rPr>
                    <m:t>kWh</m:t>
                  </m:r>
                </m:num>
                <m:den>
                  <m:r>
                    <w:rPr>
                      <w:rFonts w:ascii="Cambria Math" w:hAnsi="Cambria Math" w:cstheme="minorHAnsi"/>
                      <w:sz w:val="22"/>
                      <w:szCs w:val="22"/>
                    </w:rPr>
                    <m:t>sq. ft x year</m:t>
                  </m:r>
                </m:den>
              </m:f>
            </m:e>
          </m:d>
          <m:r>
            <w:rPr>
              <w:rFonts w:ascii="Cambria Math" w:hAnsi="Cambria Math" w:cstheme="minorHAnsi"/>
              <w:sz w:val="22"/>
              <w:szCs w:val="22"/>
            </w:rPr>
            <m:t>x</m:t>
          </m:r>
          <m:f>
            <m:fPr>
              <m:ctrlPr>
                <w:rPr>
                  <w:rFonts w:ascii="Cambria Math" w:hAnsi="Cambria Math" w:cstheme="minorHAnsi"/>
                  <w:i/>
                  <w:sz w:val="22"/>
                  <w:szCs w:val="22"/>
                </w:rPr>
              </m:ctrlPr>
            </m:fPr>
            <m:num>
              <m:r>
                <w:rPr>
                  <w:rFonts w:ascii="Cambria Math" w:hAnsi="Cambria Math" w:cstheme="minorHAnsi"/>
                  <w:sz w:val="22"/>
                  <w:szCs w:val="22"/>
                </w:rPr>
                <m:t>sq. ft</m:t>
              </m:r>
            </m:num>
            <m:den>
              <m:r>
                <w:rPr>
                  <w:rFonts w:ascii="Cambria Math" w:hAnsi="Cambria Math" w:cstheme="minorHAnsi"/>
                  <w:sz w:val="22"/>
                  <w:szCs w:val="22"/>
                </w:rPr>
                <m:t>ton</m:t>
              </m:r>
            </m:den>
          </m:f>
        </m:oMath>
      </m:oMathPara>
    </w:p>
    <w:p w:rsidR="00FC2340" w:rsidRDefault="00FC2340" w:rsidP="0051696C">
      <w:pPr>
        <w:pStyle w:val="ListParagraph"/>
        <w:spacing w:before="40" w:after="40"/>
        <w:rPr>
          <w:rFonts w:asciiTheme="minorHAnsi" w:hAnsiTheme="minorHAnsi" w:cstheme="minorHAnsi"/>
          <w:sz w:val="22"/>
          <w:szCs w:val="22"/>
        </w:rPr>
      </w:pPr>
    </w:p>
    <w:p w:rsidR="006D7B02" w:rsidRDefault="006D7B02" w:rsidP="0051696C">
      <w:pPr>
        <w:pStyle w:val="ListParagraph"/>
        <w:spacing w:before="40" w:after="40"/>
        <w:rPr>
          <w:rFonts w:asciiTheme="minorHAnsi" w:hAnsiTheme="minorHAnsi" w:cstheme="minorHAnsi"/>
          <w:sz w:val="22"/>
          <w:szCs w:val="22"/>
        </w:rPr>
      </w:pPr>
      <m:oMathPara>
        <m:oMath>
          <m:r>
            <w:rPr>
              <w:rFonts w:ascii="Cambria Math" w:hAnsi="Cambria Math" w:cstheme="minorHAnsi"/>
              <w:sz w:val="22"/>
              <w:szCs w:val="22"/>
            </w:rPr>
            <m:t xml:space="preserve">Demand Reduction </m:t>
          </m:r>
          <m:d>
            <m:dPr>
              <m:begChr m:val="["/>
              <m:endChr m:val="]"/>
              <m:ctrlPr>
                <w:rPr>
                  <w:rFonts w:ascii="Cambria Math" w:hAnsi="Cambria Math" w:cstheme="minorHAnsi"/>
                  <w:i/>
                  <w:sz w:val="22"/>
                  <w:szCs w:val="22"/>
                </w:rPr>
              </m:ctrlPr>
            </m:dPr>
            <m:e>
              <m:f>
                <m:fPr>
                  <m:ctrlPr>
                    <w:rPr>
                      <w:rFonts w:ascii="Cambria Math" w:hAnsi="Cambria Math" w:cstheme="minorHAnsi"/>
                      <w:i/>
                      <w:sz w:val="22"/>
                      <w:szCs w:val="22"/>
                    </w:rPr>
                  </m:ctrlPr>
                </m:fPr>
                <m:num>
                  <m:r>
                    <w:rPr>
                      <w:rFonts w:ascii="Cambria Math" w:hAnsi="Cambria Math" w:cstheme="minorHAnsi"/>
                      <w:sz w:val="22"/>
                      <w:szCs w:val="22"/>
                    </w:rPr>
                    <m:t>kW</m:t>
                  </m:r>
                </m:num>
                <m:den>
                  <m:r>
                    <w:rPr>
                      <w:rFonts w:ascii="Cambria Math" w:hAnsi="Cambria Math" w:cstheme="minorHAnsi"/>
                      <w:sz w:val="22"/>
                      <w:szCs w:val="22"/>
                    </w:rPr>
                    <m:t>ton x year</m:t>
                  </m:r>
                </m:den>
              </m:f>
            </m:e>
          </m:d>
          <m:r>
            <w:rPr>
              <w:rFonts w:ascii="Cambria Math" w:hAnsi="Cambria Math" w:cstheme="minorHAnsi"/>
              <w:sz w:val="22"/>
              <w:szCs w:val="22"/>
            </w:rPr>
            <m:t>=</m:t>
          </m:r>
          <m:f>
            <m:fPr>
              <m:ctrlPr>
                <w:rPr>
                  <w:rFonts w:ascii="Cambria Math" w:hAnsi="Cambria Math" w:cstheme="minorHAnsi"/>
                  <w:i/>
                  <w:sz w:val="22"/>
                  <w:szCs w:val="22"/>
                </w:rPr>
              </m:ctrlPr>
            </m:fPr>
            <m:num>
              <m:r>
                <w:rPr>
                  <w:rFonts w:ascii="Cambria Math" w:hAnsi="Cambria Math" w:cstheme="minorHAnsi"/>
                  <w:sz w:val="22"/>
                  <w:szCs w:val="22"/>
                </w:rPr>
                <m:t>Demand Reduction</m:t>
              </m:r>
            </m:num>
            <m:den>
              <m:r>
                <w:rPr>
                  <w:rFonts w:ascii="Cambria Math" w:hAnsi="Cambria Math" w:cstheme="minorHAnsi"/>
                  <w:sz w:val="22"/>
                  <w:szCs w:val="22"/>
                </w:rPr>
                <m:t>1,000 sq. ft</m:t>
              </m:r>
            </m:den>
          </m:f>
          <m:d>
            <m:dPr>
              <m:begChr m:val="["/>
              <m:endChr m:val="]"/>
              <m:ctrlPr>
                <w:rPr>
                  <w:rFonts w:ascii="Cambria Math" w:hAnsi="Cambria Math" w:cstheme="minorHAnsi"/>
                  <w:i/>
                  <w:sz w:val="22"/>
                  <w:szCs w:val="22"/>
                </w:rPr>
              </m:ctrlPr>
            </m:dPr>
            <m:e>
              <m:f>
                <m:fPr>
                  <m:ctrlPr>
                    <w:rPr>
                      <w:rFonts w:ascii="Cambria Math" w:hAnsi="Cambria Math" w:cstheme="minorHAnsi"/>
                      <w:i/>
                      <w:sz w:val="22"/>
                      <w:szCs w:val="22"/>
                    </w:rPr>
                  </m:ctrlPr>
                </m:fPr>
                <m:num>
                  <m:r>
                    <w:rPr>
                      <w:rFonts w:ascii="Cambria Math" w:hAnsi="Cambria Math" w:cstheme="minorHAnsi"/>
                      <w:sz w:val="22"/>
                      <w:szCs w:val="22"/>
                    </w:rPr>
                    <m:t>kW</m:t>
                  </m:r>
                </m:num>
                <m:den>
                  <m:r>
                    <w:rPr>
                      <w:rFonts w:ascii="Cambria Math" w:hAnsi="Cambria Math" w:cstheme="minorHAnsi"/>
                      <w:sz w:val="22"/>
                      <w:szCs w:val="22"/>
                    </w:rPr>
                    <m:t>sq. ft x year</m:t>
                  </m:r>
                </m:den>
              </m:f>
            </m:e>
          </m:d>
          <m:r>
            <w:rPr>
              <w:rFonts w:ascii="Cambria Math" w:hAnsi="Cambria Math" w:cstheme="minorHAnsi"/>
              <w:sz w:val="22"/>
              <w:szCs w:val="22"/>
            </w:rPr>
            <m:t>x</m:t>
          </m:r>
          <m:f>
            <m:fPr>
              <m:ctrlPr>
                <w:rPr>
                  <w:rFonts w:ascii="Cambria Math" w:hAnsi="Cambria Math" w:cstheme="minorHAnsi"/>
                  <w:i/>
                  <w:sz w:val="22"/>
                  <w:szCs w:val="22"/>
                </w:rPr>
              </m:ctrlPr>
            </m:fPr>
            <m:num>
              <m:r>
                <w:rPr>
                  <w:rFonts w:ascii="Cambria Math" w:hAnsi="Cambria Math" w:cstheme="minorHAnsi"/>
                  <w:sz w:val="22"/>
                  <w:szCs w:val="22"/>
                </w:rPr>
                <m:t>sq. ft</m:t>
              </m:r>
            </m:num>
            <m:den>
              <m:r>
                <w:rPr>
                  <w:rFonts w:ascii="Cambria Math" w:hAnsi="Cambria Math" w:cstheme="minorHAnsi"/>
                  <w:sz w:val="22"/>
                  <w:szCs w:val="22"/>
                </w:rPr>
                <m:t>ton</m:t>
              </m:r>
            </m:den>
          </m:f>
        </m:oMath>
      </m:oMathPara>
    </w:p>
    <w:p w:rsidR="00630B8D" w:rsidRDefault="00630B8D" w:rsidP="0051696C">
      <w:pPr>
        <w:pStyle w:val="ListParagraph"/>
        <w:spacing w:before="40" w:after="40"/>
        <w:rPr>
          <w:rFonts w:asciiTheme="minorHAnsi" w:hAnsiTheme="minorHAnsi" w:cstheme="minorHAnsi"/>
          <w:sz w:val="22"/>
          <w:szCs w:val="22"/>
        </w:rPr>
      </w:pPr>
    </w:p>
    <w:p w:rsidR="0062178B" w:rsidRDefault="0062178B" w:rsidP="0062178B">
      <w:pPr>
        <w:rPr>
          <w:rFonts w:asciiTheme="minorHAnsi" w:hAnsiTheme="minorHAnsi" w:cstheme="minorHAnsi"/>
          <w:sz w:val="22"/>
          <w:szCs w:val="22"/>
        </w:rPr>
      </w:pPr>
      <w:r w:rsidRPr="00612364">
        <w:rPr>
          <w:rFonts w:asciiTheme="minorHAnsi" w:hAnsiTheme="minorHAnsi" w:cstheme="minorHAnsi"/>
          <w:sz w:val="22"/>
          <w:szCs w:val="22"/>
        </w:rPr>
        <w:t>All Non-Residential calculat</w:t>
      </w:r>
      <w:r w:rsidR="00A75291">
        <w:rPr>
          <w:rFonts w:asciiTheme="minorHAnsi" w:hAnsiTheme="minorHAnsi" w:cstheme="minorHAnsi"/>
          <w:sz w:val="22"/>
          <w:szCs w:val="22"/>
        </w:rPr>
        <w:t>ions are shown in the embedded E</w:t>
      </w:r>
      <w:r w:rsidRPr="00612364">
        <w:rPr>
          <w:rFonts w:asciiTheme="minorHAnsi" w:hAnsiTheme="minorHAnsi" w:cstheme="minorHAnsi"/>
          <w:sz w:val="22"/>
          <w:szCs w:val="22"/>
        </w:rPr>
        <w:t>xcel file</w:t>
      </w:r>
      <w:r w:rsidR="00A75291">
        <w:rPr>
          <w:rFonts w:asciiTheme="minorHAnsi" w:hAnsiTheme="minorHAnsi" w:cstheme="minorHAnsi"/>
          <w:sz w:val="22"/>
          <w:szCs w:val="22"/>
        </w:rPr>
        <w:t xml:space="preserve"> </w:t>
      </w:r>
      <w:r w:rsidR="00600D7D" w:rsidRPr="0051696C">
        <w:rPr>
          <w:rFonts w:asciiTheme="minorHAnsi" w:hAnsiTheme="minorHAnsi" w:cstheme="minorHAnsi"/>
          <w:sz w:val="22"/>
          <w:szCs w:val="22"/>
        </w:rPr>
        <w:t>SCE1</w:t>
      </w:r>
      <w:r w:rsidR="00600D7D">
        <w:rPr>
          <w:rFonts w:asciiTheme="minorHAnsi" w:hAnsiTheme="minorHAnsi" w:cstheme="minorHAnsi"/>
          <w:sz w:val="22"/>
          <w:szCs w:val="22"/>
        </w:rPr>
        <w:t>3</w:t>
      </w:r>
      <w:r w:rsidR="00600D7D" w:rsidRPr="0051696C">
        <w:rPr>
          <w:rFonts w:asciiTheme="minorHAnsi" w:hAnsiTheme="minorHAnsi" w:cstheme="minorHAnsi"/>
          <w:sz w:val="22"/>
          <w:szCs w:val="22"/>
        </w:rPr>
        <w:t>HC0130</w:t>
      </w:r>
      <w:r w:rsidR="00BA43A7" w:rsidRPr="0051696C">
        <w:rPr>
          <w:rFonts w:asciiTheme="minorHAnsi" w:hAnsiTheme="minorHAnsi" w:cstheme="minorHAnsi"/>
          <w:sz w:val="22"/>
          <w:szCs w:val="22"/>
        </w:rPr>
        <w:t xml:space="preserve">_NonRes_Rev </w:t>
      </w:r>
      <w:r w:rsidR="00D323C3">
        <w:rPr>
          <w:rFonts w:asciiTheme="minorHAnsi" w:hAnsiTheme="minorHAnsi" w:cstheme="minorHAnsi"/>
          <w:sz w:val="22"/>
          <w:szCs w:val="22"/>
        </w:rPr>
        <w:t>4</w:t>
      </w:r>
      <w:r w:rsidR="00A75291" w:rsidRPr="0051696C">
        <w:rPr>
          <w:rFonts w:asciiTheme="minorHAnsi" w:hAnsiTheme="minorHAnsi" w:cstheme="minorHAnsi"/>
          <w:sz w:val="22"/>
          <w:szCs w:val="22"/>
        </w:rPr>
        <w:t>.xlsx</w:t>
      </w:r>
      <w:r w:rsidRPr="00BA43A7">
        <w:rPr>
          <w:rFonts w:asciiTheme="minorHAnsi" w:hAnsiTheme="minorHAnsi" w:cstheme="minorHAnsi"/>
          <w:sz w:val="22"/>
          <w:szCs w:val="22"/>
        </w:rPr>
        <w:t>.</w:t>
      </w:r>
    </w:p>
    <w:p w:rsidR="0062178B" w:rsidRDefault="0062178B" w:rsidP="0062178B">
      <w:pPr>
        <w:spacing w:after="120" w:line="280" w:lineRule="atLeast"/>
        <w:rPr>
          <w:rFonts w:asciiTheme="minorHAnsi" w:hAnsiTheme="minorHAnsi" w:cstheme="minorHAnsi"/>
          <w:b/>
          <w:sz w:val="22"/>
          <w:szCs w:val="22"/>
        </w:rPr>
      </w:pPr>
    </w:p>
    <w:p w:rsidR="0062178B" w:rsidRPr="00B877A9" w:rsidRDefault="0062178B" w:rsidP="0062178B">
      <w:pPr>
        <w:spacing w:after="120" w:line="280" w:lineRule="atLeast"/>
        <w:rPr>
          <w:rFonts w:asciiTheme="minorHAnsi" w:hAnsiTheme="minorHAnsi" w:cstheme="minorHAnsi"/>
          <w:b/>
          <w:sz w:val="22"/>
          <w:szCs w:val="22"/>
        </w:rPr>
      </w:pPr>
      <w:r w:rsidRPr="00B877A9">
        <w:rPr>
          <w:rFonts w:asciiTheme="minorHAnsi" w:hAnsiTheme="minorHAnsi" w:cstheme="minorHAnsi"/>
          <w:b/>
          <w:sz w:val="22"/>
          <w:szCs w:val="22"/>
        </w:rPr>
        <w:t>Pacific Gas &amp; Electric</w:t>
      </w:r>
    </w:p>
    <w:p w:rsidR="0062178B" w:rsidRPr="00612364" w:rsidRDefault="0062178B" w:rsidP="0062178B">
      <w:pPr>
        <w:rPr>
          <w:rFonts w:asciiTheme="minorHAnsi" w:hAnsiTheme="minorHAnsi" w:cstheme="minorHAnsi"/>
          <w:sz w:val="22"/>
          <w:szCs w:val="22"/>
        </w:rPr>
      </w:pPr>
      <w:r>
        <w:rPr>
          <w:rFonts w:asciiTheme="minorHAnsi" w:hAnsiTheme="minorHAnsi" w:cstheme="minorHAnsi"/>
          <w:sz w:val="22"/>
          <w:szCs w:val="22"/>
        </w:rPr>
        <w:t xml:space="preserve">Pacific Gas &amp; Electric </w:t>
      </w:r>
      <w:r w:rsidR="00BA43A7">
        <w:rPr>
          <w:rFonts w:asciiTheme="minorHAnsi" w:hAnsiTheme="minorHAnsi" w:cstheme="minorHAnsi"/>
          <w:sz w:val="22"/>
          <w:szCs w:val="22"/>
        </w:rPr>
        <w:t>does not offer this measure to n</w:t>
      </w:r>
      <w:r>
        <w:rPr>
          <w:rFonts w:asciiTheme="minorHAnsi" w:hAnsiTheme="minorHAnsi" w:cstheme="minorHAnsi"/>
          <w:sz w:val="22"/>
          <w:szCs w:val="22"/>
        </w:rPr>
        <w:t>on</w:t>
      </w:r>
      <w:r w:rsidR="00BA43A7">
        <w:rPr>
          <w:rFonts w:asciiTheme="minorHAnsi" w:hAnsiTheme="minorHAnsi" w:cstheme="minorHAnsi"/>
          <w:sz w:val="22"/>
          <w:szCs w:val="22"/>
        </w:rPr>
        <w:t>-r</w:t>
      </w:r>
      <w:r>
        <w:rPr>
          <w:rFonts w:asciiTheme="minorHAnsi" w:hAnsiTheme="minorHAnsi" w:cstheme="minorHAnsi"/>
          <w:sz w:val="22"/>
          <w:szCs w:val="22"/>
        </w:rPr>
        <w:t>es</w:t>
      </w:r>
      <w:r w:rsidR="00BA43A7">
        <w:rPr>
          <w:rFonts w:asciiTheme="minorHAnsi" w:hAnsiTheme="minorHAnsi" w:cstheme="minorHAnsi"/>
          <w:sz w:val="22"/>
          <w:szCs w:val="22"/>
        </w:rPr>
        <w:t>idential</w:t>
      </w:r>
      <w:r>
        <w:rPr>
          <w:rFonts w:asciiTheme="minorHAnsi" w:hAnsiTheme="minorHAnsi" w:cstheme="minorHAnsi"/>
          <w:sz w:val="22"/>
          <w:szCs w:val="22"/>
        </w:rPr>
        <w:t xml:space="preserve"> customers.</w:t>
      </w:r>
    </w:p>
    <w:p w:rsidR="00607948" w:rsidRPr="00697868" w:rsidRDefault="00607948" w:rsidP="00E16609">
      <w:pPr>
        <w:pStyle w:val="Reminders"/>
        <w:rPr>
          <w:rFonts w:asciiTheme="minorHAnsi" w:hAnsiTheme="minorHAnsi" w:cstheme="minorHAnsi"/>
          <w:sz w:val="22"/>
          <w:szCs w:val="22"/>
        </w:rPr>
      </w:pPr>
    </w:p>
    <w:p w:rsidR="00E16609" w:rsidRPr="00697868" w:rsidRDefault="00E16609" w:rsidP="00E16609">
      <w:pPr>
        <w:pStyle w:val="Heading1"/>
        <w:keepNext w:val="0"/>
        <w:rPr>
          <w:rFonts w:asciiTheme="minorHAnsi" w:hAnsiTheme="minorHAnsi" w:cstheme="minorHAnsi"/>
        </w:rPr>
      </w:pPr>
      <w:bookmarkStart w:id="17" w:name="_Toc214003093"/>
      <w:proofErr w:type="gramStart"/>
      <w:r w:rsidRPr="00697868">
        <w:rPr>
          <w:rFonts w:asciiTheme="minorHAnsi" w:hAnsiTheme="minorHAnsi" w:cstheme="minorHAnsi"/>
        </w:rPr>
        <w:t>Section 3.</w:t>
      </w:r>
      <w:proofErr w:type="gramEnd"/>
      <w:r w:rsidRPr="00697868">
        <w:rPr>
          <w:rFonts w:asciiTheme="minorHAnsi" w:hAnsiTheme="minorHAnsi" w:cstheme="minorHAnsi"/>
        </w:rPr>
        <w:t xml:space="preserve"> Load Shape</w:t>
      </w:r>
      <w:bookmarkEnd w:id="17"/>
      <w:r w:rsidRPr="00697868">
        <w:rPr>
          <w:rFonts w:asciiTheme="minorHAnsi" w:hAnsiTheme="minorHAnsi" w:cstheme="minorHAnsi"/>
        </w:rPr>
        <w:t>s</w:t>
      </w:r>
    </w:p>
    <w:p w:rsidR="00587481" w:rsidRPr="001D0F32" w:rsidRDefault="00587481" w:rsidP="00587481">
      <w:pPr>
        <w:rPr>
          <w:rFonts w:asciiTheme="minorHAnsi" w:hAnsiTheme="minorHAnsi" w:cstheme="minorHAnsi"/>
          <w:sz w:val="22"/>
          <w:szCs w:val="22"/>
        </w:rPr>
      </w:pPr>
      <w:r w:rsidRPr="001D0F32">
        <w:rPr>
          <w:rFonts w:asciiTheme="minorHAnsi" w:hAnsiTheme="minorHAnsi" w:cstheme="minorHAnsi"/>
          <w:sz w:val="22"/>
          <w:szCs w:val="22"/>
        </w:rPr>
        <w:t>The difference between the base case load shape and the measure load shape would be the most appropriate load shape; however, only end-use profiles are available. Therefore, the closest load shape chosen for this measure is the “</w:t>
      </w:r>
      <w:proofErr w:type="spellStart"/>
      <w:r w:rsidRPr="00741D40">
        <w:rPr>
          <w:rFonts w:asciiTheme="minorHAnsi" w:hAnsiTheme="minorHAnsi" w:cstheme="minorHAnsi"/>
          <w:sz w:val="22"/>
          <w:szCs w:val="22"/>
        </w:rPr>
        <w:t>DEER</w:t>
      </w:r>
      <w:proofErr w:type="gramStart"/>
      <w:r w:rsidRPr="00741D40">
        <w:rPr>
          <w:rFonts w:asciiTheme="minorHAnsi" w:hAnsiTheme="minorHAnsi" w:cstheme="minorHAnsi"/>
          <w:sz w:val="22"/>
          <w:szCs w:val="22"/>
        </w:rPr>
        <w:t>:HVAC</w:t>
      </w:r>
      <w:proofErr w:type="gramEnd"/>
      <w:r w:rsidRPr="00741D40">
        <w:rPr>
          <w:rFonts w:asciiTheme="minorHAnsi" w:hAnsiTheme="minorHAnsi" w:cstheme="minorHAnsi"/>
          <w:sz w:val="22"/>
          <w:szCs w:val="22"/>
        </w:rPr>
        <w:t>_Eff_AC</w:t>
      </w:r>
      <w:proofErr w:type="spellEnd"/>
      <w:r w:rsidRPr="001D0F32">
        <w:rPr>
          <w:rFonts w:asciiTheme="minorHAnsi" w:hAnsiTheme="minorHAnsi" w:cstheme="minorHAnsi"/>
          <w:sz w:val="22"/>
          <w:szCs w:val="22"/>
        </w:rPr>
        <w:t xml:space="preserve">” load shape for Residential target sector and </w:t>
      </w:r>
      <w:r w:rsidRPr="001D0F32">
        <w:rPr>
          <w:rFonts w:asciiTheme="minorHAnsi" w:hAnsiTheme="minorHAnsi" w:cstheme="minorHAnsi"/>
          <w:sz w:val="22"/>
          <w:szCs w:val="22"/>
        </w:rPr>
        <w:lastRenderedPageBreak/>
        <w:t>“</w:t>
      </w:r>
      <w:bookmarkStart w:id="18" w:name="OLE_LINK6"/>
      <w:bookmarkStart w:id="19" w:name="OLE_LINK7"/>
      <w:proofErr w:type="spellStart"/>
      <w:r w:rsidRPr="00741D40">
        <w:rPr>
          <w:rFonts w:asciiTheme="minorHAnsi" w:hAnsiTheme="minorHAnsi" w:cstheme="minorHAnsi"/>
          <w:sz w:val="22"/>
          <w:szCs w:val="22"/>
        </w:rPr>
        <w:t>DEER:HVAC_Split-Package_AC</w:t>
      </w:r>
      <w:bookmarkEnd w:id="18"/>
      <w:bookmarkEnd w:id="19"/>
      <w:proofErr w:type="spellEnd"/>
      <w:r w:rsidRPr="001D0F32">
        <w:rPr>
          <w:rFonts w:asciiTheme="minorHAnsi" w:hAnsiTheme="minorHAnsi" w:cstheme="minorHAnsi"/>
          <w:sz w:val="22"/>
          <w:szCs w:val="22"/>
        </w:rPr>
        <w:t>” for the Non</w:t>
      </w:r>
      <w:r w:rsidR="00BA43A7">
        <w:rPr>
          <w:rFonts w:asciiTheme="minorHAnsi" w:hAnsiTheme="minorHAnsi" w:cstheme="minorHAnsi"/>
          <w:sz w:val="22"/>
          <w:szCs w:val="22"/>
        </w:rPr>
        <w:t>-r</w:t>
      </w:r>
      <w:r w:rsidRPr="001D0F32">
        <w:rPr>
          <w:rFonts w:asciiTheme="minorHAnsi" w:hAnsiTheme="minorHAnsi" w:cstheme="minorHAnsi"/>
          <w:sz w:val="22"/>
          <w:szCs w:val="22"/>
        </w:rPr>
        <w:t xml:space="preserve">esidential target sector. See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REF _Ref326830926 \h </w:instrText>
      </w:r>
      <w:r>
        <w:rPr>
          <w:rFonts w:asciiTheme="minorHAnsi" w:hAnsiTheme="minorHAnsi" w:cstheme="minorHAnsi"/>
          <w:sz w:val="22"/>
          <w:szCs w:val="22"/>
        </w:rPr>
      </w:r>
      <w:r>
        <w:rPr>
          <w:rFonts w:asciiTheme="minorHAnsi" w:hAnsiTheme="minorHAnsi" w:cstheme="minorHAnsi"/>
          <w:sz w:val="22"/>
          <w:szCs w:val="22"/>
        </w:rPr>
        <w:fldChar w:fldCharType="separate"/>
      </w:r>
      <w:r w:rsidR="008E4374" w:rsidRPr="00EE4481">
        <w:rPr>
          <w:rFonts w:asciiTheme="minorHAnsi" w:hAnsiTheme="minorHAnsi" w:cstheme="minorHAnsi"/>
          <w:sz w:val="22"/>
          <w:szCs w:val="22"/>
        </w:rPr>
        <w:t xml:space="preserve">Table </w:t>
      </w:r>
      <w:r w:rsidR="008E4374">
        <w:rPr>
          <w:rFonts w:asciiTheme="minorHAnsi" w:hAnsiTheme="minorHAnsi" w:cstheme="minorHAnsi"/>
          <w:noProof/>
          <w:sz w:val="22"/>
          <w:szCs w:val="22"/>
        </w:rPr>
        <w:t>10</w:t>
      </w:r>
      <w:r>
        <w:rPr>
          <w:rFonts w:asciiTheme="minorHAnsi" w:hAnsiTheme="minorHAnsi" w:cstheme="minorHAnsi"/>
          <w:sz w:val="22"/>
          <w:szCs w:val="22"/>
        </w:rPr>
        <w:fldChar w:fldCharType="end"/>
      </w:r>
      <w:r w:rsidRPr="001D0F32">
        <w:rPr>
          <w:rFonts w:asciiTheme="minorHAnsi" w:hAnsiTheme="minorHAnsi" w:cstheme="minorHAnsi"/>
          <w:sz w:val="22"/>
          <w:szCs w:val="22"/>
        </w:rPr>
        <w:t xml:space="preserve"> for a list of all Building Types and Load Shapes.</w:t>
      </w:r>
      <w:r>
        <w:rPr>
          <w:rFonts w:asciiTheme="minorHAnsi" w:hAnsiTheme="minorHAnsi" w:cstheme="minorHAnsi"/>
          <w:sz w:val="22"/>
          <w:szCs w:val="22"/>
        </w:rPr>
        <w:t xml:space="preserve"> </w:t>
      </w:r>
      <w:r w:rsidRPr="00BD3931">
        <w:rPr>
          <w:rFonts w:asciiTheme="minorHAnsi" w:hAnsiTheme="minorHAnsi" w:cstheme="minorHAnsi"/>
          <w:sz w:val="22"/>
          <w:szCs w:val="22"/>
        </w:rPr>
        <w:t>See the KEMA report [31] for a more thorough discussion regarding the load shapes for this measure.</w:t>
      </w:r>
    </w:p>
    <w:p w:rsidR="00587481" w:rsidRPr="001D0F32" w:rsidRDefault="00587481" w:rsidP="00587481">
      <w:pPr>
        <w:rPr>
          <w:rFonts w:asciiTheme="minorHAnsi" w:hAnsiTheme="minorHAnsi" w:cstheme="minorHAnsi"/>
          <w:sz w:val="22"/>
          <w:szCs w:val="22"/>
        </w:rPr>
      </w:pPr>
      <w:r>
        <w:rPr>
          <w:rFonts w:asciiTheme="minorHAnsi" w:hAnsiTheme="minorHAnsi" w:cstheme="minorHAnsi"/>
          <w:sz w:val="22"/>
          <w:szCs w:val="22"/>
        </w:rPr>
        <w:t xml:space="preserve"> </w:t>
      </w:r>
    </w:p>
    <w:p w:rsidR="00587481" w:rsidRPr="00EE4481" w:rsidRDefault="00587481" w:rsidP="00587481">
      <w:pPr>
        <w:pStyle w:val="Caption"/>
        <w:jc w:val="center"/>
        <w:rPr>
          <w:rFonts w:asciiTheme="minorHAnsi" w:hAnsiTheme="minorHAnsi" w:cstheme="minorHAnsi"/>
          <w:b w:val="0"/>
          <w:sz w:val="22"/>
          <w:szCs w:val="22"/>
        </w:rPr>
      </w:pPr>
      <w:bookmarkStart w:id="20" w:name="_Ref326830926"/>
      <w:r w:rsidRPr="00EE4481">
        <w:rPr>
          <w:rFonts w:asciiTheme="minorHAnsi" w:hAnsiTheme="minorHAnsi" w:cstheme="minorHAnsi"/>
          <w:sz w:val="22"/>
          <w:szCs w:val="22"/>
        </w:rPr>
        <w:t xml:space="preserve">Table </w:t>
      </w:r>
      <w:r w:rsidRPr="00EE4481">
        <w:rPr>
          <w:rFonts w:asciiTheme="minorHAnsi" w:hAnsiTheme="minorHAnsi" w:cstheme="minorHAnsi"/>
          <w:sz w:val="22"/>
          <w:szCs w:val="22"/>
        </w:rPr>
        <w:fldChar w:fldCharType="begin"/>
      </w:r>
      <w:r w:rsidRPr="00EE4481">
        <w:rPr>
          <w:rFonts w:asciiTheme="minorHAnsi" w:hAnsiTheme="minorHAnsi" w:cstheme="minorHAnsi"/>
          <w:sz w:val="22"/>
          <w:szCs w:val="22"/>
        </w:rPr>
        <w:instrText xml:space="preserve"> SEQ Table \* ARABIC </w:instrText>
      </w:r>
      <w:r w:rsidRPr="00EE4481">
        <w:rPr>
          <w:rFonts w:asciiTheme="minorHAnsi" w:hAnsiTheme="minorHAnsi" w:cstheme="minorHAnsi"/>
          <w:sz w:val="22"/>
          <w:szCs w:val="22"/>
        </w:rPr>
        <w:fldChar w:fldCharType="separate"/>
      </w:r>
      <w:r w:rsidR="008E4374">
        <w:rPr>
          <w:rFonts w:asciiTheme="minorHAnsi" w:hAnsiTheme="minorHAnsi" w:cstheme="minorHAnsi"/>
          <w:noProof/>
          <w:sz w:val="22"/>
          <w:szCs w:val="22"/>
        </w:rPr>
        <w:t>10</w:t>
      </w:r>
      <w:r w:rsidRPr="00EE4481">
        <w:rPr>
          <w:rFonts w:asciiTheme="minorHAnsi" w:hAnsiTheme="minorHAnsi" w:cstheme="minorHAnsi"/>
          <w:sz w:val="22"/>
          <w:szCs w:val="22"/>
        </w:rPr>
        <w:fldChar w:fldCharType="end"/>
      </w:r>
      <w:bookmarkEnd w:id="20"/>
      <w:r w:rsidRPr="00EE4481">
        <w:rPr>
          <w:rFonts w:asciiTheme="minorHAnsi" w:hAnsiTheme="minorHAnsi" w:cstheme="minorHAnsi"/>
          <w:sz w:val="22"/>
          <w:szCs w:val="22"/>
        </w:rPr>
        <w:t xml:space="preserve"> Building Types and Load Shapes</w:t>
      </w:r>
    </w:p>
    <w:tbl>
      <w:tblPr>
        <w:tblStyle w:val="TableContemporary"/>
        <w:tblW w:w="4275" w:type="pct"/>
        <w:jc w:val="center"/>
        <w:tblInd w:w="108" w:type="dxa"/>
        <w:tblLook w:val="01E0" w:firstRow="1" w:lastRow="1" w:firstColumn="1" w:lastColumn="1" w:noHBand="0" w:noVBand="0"/>
      </w:tblPr>
      <w:tblGrid>
        <w:gridCol w:w="2988"/>
        <w:gridCol w:w="2181"/>
        <w:gridCol w:w="3018"/>
      </w:tblGrid>
      <w:tr w:rsidR="00587481" w:rsidRPr="000F130A" w:rsidTr="00DF5CB4">
        <w:trPr>
          <w:cnfStyle w:val="100000000000" w:firstRow="1" w:lastRow="0" w:firstColumn="0" w:lastColumn="0" w:oddVBand="0" w:evenVBand="0" w:oddHBand="0" w:evenHBand="0" w:firstRowFirstColumn="0" w:firstRowLastColumn="0" w:lastRowFirstColumn="0" w:lastRowLastColumn="0"/>
          <w:jc w:val="center"/>
        </w:trPr>
        <w:tc>
          <w:tcPr>
            <w:tcW w:w="1825" w:type="pct"/>
          </w:tcPr>
          <w:p w:rsidR="00587481" w:rsidRPr="001D0F32" w:rsidRDefault="00587481" w:rsidP="00DF5CB4">
            <w:pPr>
              <w:jc w:val="center"/>
              <w:rPr>
                <w:rFonts w:asciiTheme="minorHAnsi" w:hAnsiTheme="minorHAnsi" w:cstheme="minorHAnsi"/>
                <w:sz w:val="20"/>
                <w:szCs w:val="20"/>
                <w:highlight w:val="yellow"/>
              </w:rPr>
            </w:pPr>
            <w:r w:rsidRPr="001D0F32">
              <w:rPr>
                <w:rFonts w:asciiTheme="minorHAnsi" w:hAnsiTheme="minorHAnsi" w:cstheme="minorHAnsi"/>
                <w:sz w:val="20"/>
                <w:szCs w:val="20"/>
              </w:rPr>
              <w:t>Building Type</w:t>
            </w:r>
          </w:p>
        </w:tc>
        <w:tc>
          <w:tcPr>
            <w:tcW w:w="1332" w:type="pct"/>
          </w:tcPr>
          <w:p w:rsidR="00587481" w:rsidRPr="001D0F32" w:rsidRDefault="00587481" w:rsidP="00DF5CB4">
            <w:pPr>
              <w:jc w:val="center"/>
              <w:rPr>
                <w:rFonts w:asciiTheme="minorHAnsi" w:hAnsiTheme="minorHAnsi" w:cstheme="minorHAnsi"/>
                <w:sz w:val="20"/>
                <w:szCs w:val="20"/>
                <w:highlight w:val="yellow"/>
              </w:rPr>
            </w:pPr>
            <w:r w:rsidRPr="001D0F32">
              <w:rPr>
                <w:rFonts w:asciiTheme="minorHAnsi" w:hAnsiTheme="minorHAnsi" w:cstheme="minorHAnsi"/>
                <w:sz w:val="20"/>
                <w:szCs w:val="20"/>
              </w:rPr>
              <w:t>E3 Alt. Building Type</w:t>
            </w:r>
          </w:p>
        </w:tc>
        <w:tc>
          <w:tcPr>
            <w:tcW w:w="1844" w:type="pct"/>
          </w:tcPr>
          <w:p w:rsidR="00587481" w:rsidRPr="001D0F32" w:rsidRDefault="00587481" w:rsidP="00DF5CB4">
            <w:pPr>
              <w:jc w:val="center"/>
              <w:rPr>
                <w:rFonts w:asciiTheme="minorHAnsi" w:hAnsiTheme="minorHAnsi" w:cstheme="minorHAnsi"/>
                <w:sz w:val="20"/>
                <w:szCs w:val="20"/>
              </w:rPr>
            </w:pPr>
            <w:r w:rsidRPr="001D0F32">
              <w:rPr>
                <w:rFonts w:asciiTheme="minorHAnsi" w:hAnsiTheme="minorHAnsi" w:cstheme="minorHAnsi"/>
                <w:sz w:val="20"/>
                <w:szCs w:val="20"/>
              </w:rPr>
              <w:t>Load Shape</w:t>
            </w:r>
          </w:p>
        </w:tc>
      </w:tr>
      <w:tr w:rsidR="00587481" w:rsidRPr="002A3D26" w:rsidTr="00DF5CB4">
        <w:trPr>
          <w:cnfStyle w:val="000000100000" w:firstRow="0" w:lastRow="0" w:firstColumn="0" w:lastColumn="0" w:oddVBand="0" w:evenVBand="0" w:oddHBand="1" w:evenHBand="0" w:firstRowFirstColumn="0" w:firstRowLastColumn="0" w:lastRowFirstColumn="0" w:lastRowLastColumn="0"/>
          <w:jc w:val="center"/>
        </w:trPr>
        <w:tc>
          <w:tcPr>
            <w:tcW w:w="1825" w:type="pct"/>
            <w:vAlign w:val="center"/>
          </w:tcPr>
          <w:p w:rsidR="00587481" w:rsidRPr="001D0F32" w:rsidRDefault="00587481" w:rsidP="00DF5CB4">
            <w:pPr>
              <w:jc w:val="center"/>
              <w:rPr>
                <w:rFonts w:asciiTheme="minorHAnsi" w:hAnsiTheme="minorHAnsi" w:cstheme="minorHAnsi"/>
                <w:sz w:val="20"/>
                <w:szCs w:val="20"/>
              </w:rPr>
            </w:pPr>
            <w:r w:rsidRPr="001D0F32">
              <w:rPr>
                <w:rFonts w:asciiTheme="minorHAnsi" w:hAnsiTheme="minorHAnsi" w:cstheme="minorHAnsi"/>
                <w:sz w:val="20"/>
                <w:szCs w:val="20"/>
              </w:rPr>
              <w:t>Assembly</w:t>
            </w:r>
          </w:p>
        </w:tc>
        <w:tc>
          <w:tcPr>
            <w:tcW w:w="1332" w:type="pct"/>
            <w:vAlign w:val="center"/>
          </w:tcPr>
          <w:p w:rsidR="00587481" w:rsidRPr="001D0F32" w:rsidRDefault="00587481" w:rsidP="00DF5CB4">
            <w:pPr>
              <w:jc w:val="center"/>
              <w:rPr>
                <w:rFonts w:asciiTheme="minorHAnsi" w:hAnsiTheme="minorHAnsi" w:cstheme="minorHAnsi"/>
                <w:sz w:val="20"/>
                <w:szCs w:val="20"/>
              </w:rPr>
            </w:pPr>
            <w:r>
              <w:rPr>
                <w:rFonts w:asciiTheme="minorHAnsi" w:hAnsiTheme="minorHAnsi" w:cstheme="minorHAnsi"/>
                <w:sz w:val="20"/>
                <w:szCs w:val="20"/>
              </w:rPr>
              <w:t>NON_RES</w:t>
            </w:r>
          </w:p>
        </w:tc>
        <w:tc>
          <w:tcPr>
            <w:tcW w:w="1844" w:type="pct"/>
            <w:vAlign w:val="center"/>
          </w:tcPr>
          <w:p w:rsidR="00587481" w:rsidRPr="001D0F32" w:rsidRDefault="00587481" w:rsidP="00DF5CB4">
            <w:pPr>
              <w:jc w:val="center"/>
              <w:rPr>
                <w:rFonts w:asciiTheme="minorHAnsi" w:hAnsiTheme="minorHAnsi" w:cstheme="minorHAnsi"/>
                <w:sz w:val="20"/>
                <w:szCs w:val="20"/>
              </w:rPr>
            </w:pPr>
            <w:proofErr w:type="spellStart"/>
            <w:r w:rsidRPr="001E5653">
              <w:rPr>
                <w:rFonts w:asciiTheme="minorHAnsi" w:hAnsiTheme="minorHAnsi" w:cstheme="minorHAnsi"/>
                <w:sz w:val="20"/>
                <w:szCs w:val="20"/>
              </w:rPr>
              <w:t>DEER:HVAC_Split-Package_AC</w:t>
            </w:r>
            <w:proofErr w:type="spellEnd"/>
          </w:p>
        </w:tc>
      </w:tr>
      <w:tr w:rsidR="00587481" w:rsidRPr="000F130A" w:rsidTr="00DF5CB4">
        <w:trPr>
          <w:cnfStyle w:val="000000010000" w:firstRow="0" w:lastRow="0" w:firstColumn="0" w:lastColumn="0" w:oddVBand="0" w:evenVBand="0" w:oddHBand="0" w:evenHBand="1" w:firstRowFirstColumn="0" w:firstRowLastColumn="0" w:lastRowFirstColumn="0" w:lastRowLastColumn="0"/>
          <w:jc w:val="center"/>
        </w:trPr>
        <w:tc>
          <w:tcPr>
            <w:tcW w:w="1825" w:type="pct"/>
            <w:vAlign w:val="center"/>
          </w:tcPr>
          <w:p w:rsidR="00587481" w:rsidRPr="001D0F32" w:rsidRDefault="00587481" w:rsidP="00DF5CB4">
            <w:pPr>
              <w:jc w:val="center"/>
              <w:rPr>
                <w:rFonts w:asciiTheme="minorHAnsi" w:hAnsiTheme="minorHAnsi" w:cstheme="minorHAnsi"/>
                <w:sz w:val="20"/>
                <w:szCs w:val="20"/>
              </w:rPr>
            </w:pPr>
            <w:r w:rsidRPr="001D0F32">
              <w:rPr>
                <w:rFonts w:asciiTheme="minorHAnsi" w:hAnsiTheme="minorHAnsi" w:cstheme="minorHAnsi"/>
                <w:sz w:val="20"/>
                <w:szCs w:val="20"/>
              </w:rPr>
              <w:t>Education - Primary School</w:t>
            </w:r>
          </w:p>
        </w:tc>
        <w:tc>
          <w:tcPr>
            <w:tcW w:w="1332" w:type="pct"/>
            <w:vAlign w:val="center"/>
          </w:tcPr>
          <w:p w:rsidR="00587481" w:rsidRPr="001D0F32" w:rsidRDefault="00587481" w:rsidP="00DF5CB4">
            <w:pPr>
              <w:jc w:val="center"/>
              <w:rPr>
                <w:rFonts w:asciiTheme="minorHAnsi" w:hAnsiTheme="minorHAnsi" w:cstheme="minorHAnsi"/>
                <w:sz w:val="20"/>
                <w:szCs w:val="20"/>
              </w:rPr>
            </w:pPr>
            <w:r>
              <w:rPr>
                <w:rFonts w:asciiTheme="minorHAnsi" w:hAnsiTheme="minorHAnsi" w:cstheme="minorHAnsi"/>
                <w:sz w:val="20"/>
                <w:szCs w:val="20"/>
              </w:rPr>
              <w:t>NON_RES</w:t>
            </w:r>
          </w:p>
        </w:tc>
        <w:tc>
          <w:tcPr>
            <w:tcW w:w="1844" w:type="pct"/>
            <w:vAlign w:val="center"/>
          </w:tcPr>
          <w:p w:rsidR="00587481" w:rsidRPr="001E5653" w:rsidRDefault="00587481" w:rsidP="00DF5CB4">
            <w:pPr>
              <w:jc w:val="center"/>
              <w:rPr>
                <w:rFonts w:asciiTheme="minorHAnsi" w:hAnsiTheme="minorHAnsi" w:cstheme="minorHAnsi"/>
                <w:sz w:val="20"/>
                <w:szCs w:val="20"/>
              </w:rPr>
            </w:pPr>
            <w:proofErr w:type="spellStart"/>
            <w:r w:rsidRPr="00A1087F">
              <w:rPr>
                <w:rFonts w:asciiTheme="minorHAnsi" w:hAnsiTheme="minorHAnsi" w:cstheme="minorHAnsi"/>
                <w:sz w:val="20"/>
                <w:szCs w:val="20"/>
              </w:rPr>
              <w:t>DEER:HVAC_Split-Package_AC</w:t>
            </w:r>
            <w:proofErr w:type="spellEnd"/>
          </w:p>
        </w:tc>
      </w:tr>
      <w:tr w:rsidR="00587481" w:rsidRPr="000F130A" w:rsidTr="00DF5CB4">
        <w:trPr>
          <w:cnfStyle w:val="000000100000" w:firstRow="0" w:lastRow="0" w:firstColumn="0" w:lastColumn="0" w:oddVBand="0" w:evenVBand="0" w:oddHBand="1" w:evenHBand="0" w:firstRowFirstColumn="0" w:firstRowLastColumn="0" w:lastRowFirstColumn="0" w:lastRowLastColumn="0"/>
          <w:jc w:val="center"/>
        </w:trPr>
        <w:tc>
          <w:tcPr>
            <w:tcW w:w="1825" w:type="pct"/>
            <w:vAlign w:val="center"/>
          </w:tcPr>
          <w:p w:rsidR="00587481" w:rsidRPr="001D0F32" w:rsidRDefault="00587481" w:rsidP="00DF5CB4">
            <w:pPr>
              <w:jc w:val="center"/>
              <w:rPr>
                <w:rFonts w:asciiTheme="minorHAnsi" w:hAnsiTheme="minorHAnsi" w:cstheme="minorHAnsi"/>
                <w:sz w:val="20"/>
                <w:szCs w:val="20"/>
              </w:rPr>
            </w:pPr>
            <w:r w:rsidRPr="001D0F32">
              <w:rPr>
                <w:rFonts w:asciiTheme="minorHAnsi" w:hAnsiTheme="minorHAnsi" w:cstheme="minorHAnsi"/>
                <w:sz w:val="20"/>
                <w:szCs w:val="20"/>
              </w:rPr>
              <w:t>Education - Secondary School</w:t>
            </w:r>
          </w:p>
        </w:tc>
        <w:tc>
          <w:tcPr>
            <w:tcW w:w="1332" w:type="pct"/>
            <w:vAlign w:val="center"/>
          </w:tcPr>
          <w:p w:rsidR="00587481" w:rsidRPr="001E5653" w:rsidRDefault="00587481" w:rsidP="00DF5CB4">
            <w:pPr>
              <w:jc w:val="center"/>
              <w:rPr>
                <w:rFonts w:asciiTheme="minorHAnsi" w:hAnsiTheme="minorHAnsi" w:cstheme="minorHAnsi"/>
                <w:sz w:val="20"/>
                <w:szCs w:val="20"/>
              </w:rPr>
            </w:pPr>
            <w:r w:rsidRPr="00993599">
              <w:rPr>
                <w:rFonts w:asciiTheme="minorHAnsi" w:hAnsiTheme="minorHAnsi" w:cstheme="minorHAnsi"/>
                <w:sz w:val="20"/>
                <w:szCs w:val="20"/>
              </w:rPr>
              <w:t>NON_RES</w:t>
            </w:r>
          </w:p>
        </w:tc>
        <w:tc>
          <w:tcPr>
            <w:tcW w:w="1844" w:type="pct"/>
            <w:vAlign w:val="center"/>
          </w:tcPr>
          <w:p w:rsidR="00587481" w:rsidRPr="001E5653" w:rsidRDefault="00587481" w:rsidP="00DF5CB4">
            <w:pPr>
              <w:jc w:val="center"/>
              <w:rPr>
                <w:rFonts w:asciiTheme="minorHAnsi" w:hAnsiTheme="minorHAnsi" w:cstheme="minorHAnsi"/>
                <w:sz w:val="20"/>
                <w:szCs w:val="20"/>
              </w:rPr>
            </w:pPr>
            <w:proofErr w:type="spellStart"/>
            <w:r w:rsidRPr="00A1087F">
              <w:rPr>
                <w:rFonts w:asciiTheme="minorHAnsi" w:hAnsiTheme="minorHAnsi" w:cstheme="minorHAnsi"/>
                <w:sz w:val="20"/>
                <w:szCs w:val="20"/>
              </w:rPr>
              <w:t>DEER:HVAC_Split-Package_AC</w:t>
            </w:r>
            <w:proofErr w:type="spellEnd"/>
          </w:p>
        </w:tc>
      </w:tr>
      <w:tr w:rsidR="00587481" w:rsidRPr="000F130A" w:rsidTr="00DF5CB4">
        <w:trPr>
          <w:cnfStyle w:val="000000010000" w:firstRow="0" w:lastRow="0" w:firstColumn="0" w:lastColumn="0" w:oddVBand="0" w:evenVBand="0" w:oddHBand="0" w:evenHBand="1" w:firstRowFirstColumn="0" w:firstRowLastColumn="0" w:lastRowFirstColumn="0" w:lastRowLastColumn="0"/>
          <w:jc w:val="center"/>
        </w:trPr>
        <w:tc>
          <w:tcPr>
            <w:tcW w:w="1825" w:type="pct"/>
            <w:vAlign w:val="center"/>
          </w:tcPr>
          <w:p w:rsidR="00587481" w:rsidRPr="001D0F32" w:rsidRDefault="00587481" w:rsidP="00DF5CB4">
            <w:pPr>
              <w:jc w:val="center"/>
              <w:rPr>
                <w:rFonts w:asciiTheme="minorHAnsi" w:hAnsiTheme="minorHAnsi" w:cstheme="minorHAnsi"/>
                <w:sz w:val="20"/>
                <w:szCs w:val="20"/>
              </w:rPr>
            </w:pPr>
            <w:r w:rsidRPr="001D0F32">
              <w:rPr>
                <w:rFonts w:asciiTheme="minorHAnsi" w:hAnsiTheme="minorHAnsi" w:cstheme="minorHAnsi"/>
                <w:sz w:val="20"/>
                <w:szCs w:val="20"/>
              </w:rPr>
              <w:t>Education - Community College</w:t>
            </w:r>
          </w:p>
        </w:tc>
        <w:tc>
          <w:tcPr>
            <w:tcW w:w="1332" w:type="pct"/>
            <w:vAlign w:val="center"/>
          </w:tcPr>
          <w:p w:rsidR="00587481" w:rsidRPr="001E5653" w:rsidRDefault="00587481" w:rsidP="00DF5CB4">
            <w:pPr>
              <w:jc w:val="center"/>
              <w:rPr>
                <w:rFonts w:asciiTheme="minorHAnsi" w:hAnsiTheme="minorHAnsi" w:cstheme="minorHAnsi"/>
                <w:sz w:val="20"/>
                <w:szCs w:val="20"/>
              </w:rPr>
            </w:pPr>
            <w:r w:rsidRPr="00993599">
              <w:rPr>
                <w:rFonts w:asciiTheme="minorHAnsi" w:hAnsiTheme="minorHAnsi" w:cstheme="minorHAnsi"/>
                <w:sz w:val="20"/>
                <w:szCs w:val="20"/>
              </w:rPr>
              <w:t>NON_RES</w:t>
            </w:r>
          </w:p>
        </w:tc>
        <w:tc>
          <w:tcPr>
            <w:tcW w:w="1844" w:type="pct"/>
            <w:vAlign w:val="center"/>
          </w:tcPr>
          <w:p w:rsidR="00587481" w:rsidRPr="001E5653" w:rsidRDefault="00587481" w:rsidP="00DF5CB4">
            <w:pPr>
              <w:jc w:val="center"/>
              <w:rPr>
                <w:rFonts w:asciiTheme="minorHAnsi" w:hAnsiTheme="minorHAnsi" w:cstheme="minorHAnsi"/>
                <w:sz w:val="20"/>
                <w:szCs w:val="20"/>
              </w:rPr>
            </w:pPr>
            <w:proofErr w:type="spellStart"/>
            <w:r w:rsidRPr="00A1087F">
              <w:rPr>
                <w:rFonts w:asciiTheme="minorHAnsi" w:hAnsiTheme="minorHAnsi" w:cstheme="minorHAnsi"/>
                <w:sz w:val="20"/>
                <w:szCs w:val="20"/>
              </w:rPr>
              <w:t>DEER:HVAC_Split-Package_AC</w:t>
            </w:r>
            <w:proofErr w:type="spellEnd"/>
          </w:p>
        </w:tc>
      </w:tr>
      <w:tr w:rsidR="00587481" w:rsidRPr="000F130A" w:rsidTr="00DF5CB4">
        <w:trPr>
          <w:cnfStyle w:val="000000100000" w:firstRow="0" w:lastRow="0" w:firstColumn="0" w:lastColumn="0" w:oddVBand="0" w:evenVBand="0" w:oddHBand="1" w:evenHBand="0" w:firstRowFirstColumn="0" w:firstRowLastColumn="0" w:lastRowFirstColumn="0" w:lastRowLastColumn="0"/>
          <w:jc w:val="center"/>
        </w:trPr>
        <w:tc>
          <w:tcPr>
            <w:tcW w:w="1825" w:type="pct"/>
            <w:vAlign w:val="center"/>
          </w:tcPr>
          <w:p w:rsidR="00587481" w:rsidRPr="001D0F32" w:rsidRDefault="00587481" w:rsidP="00DF5CB4">
            <w:pPr>
              <w:jc w:val="center"/>
              <w:rPr>
                <w:rFonts w:asciiTheme="minorHAnsi" w:hAnsiTheme="minorHAnsi" w:cstheme="minorHAnsi"/>
                <w:sz w:val="20"/>
                <w:szCs w:val="20"/>
              </w:rPr>
            </w:pPr>
            <w:r w:rsidRPr="001D0F32">
              <w:rPr>
                <w:rFonts w:asciiTheme="minorHAnsi" w:hAnsiTheme="minorHAnsi" w:cstheme="minorHAnsi"/>
                <w:sz w:val="20"/>
                <w:szCs w:val="20"/>
              </w:rPr>
              <w:t>Health/Medical - Clinic</w:t>
            </w:r>
          </w:p>
        </w:tc>
        <w:tc>
          <w:tcPr>
            <w:tcW w:w="1332" w:type="pct"/>
            <w:vAlign w:val="center"/>
          </w:tcPr>
          <w:p w:rsidR="00587481" w:rsidRPr="001E5653" w:rsidRDefault="00587481" w:rsidP="00DF5CB4">
            <w:pPr>
              <w:jc w:val="center"/>
              <w:rPr>
                <w:rFonts w:asciiTheme="minorHAnsi" w:hAnsiTheme="minorHAnsi" w:cstheme="minorHAnsi"/>
                <w:sz w:val="20"/>
                <w:szCs w:val="20"/>
              </w:rPr>
            </w:pPr>
            <w:r w:rsidRPr="00993599">
              <w:rPr>
                <w:rFonts w:asciiTheme="minorHAnsi" w:hAnsiTheme="minorHAnsi" w:cstheme="minorHAnsi"/>
                <w:sz w:val="20"/>
                <w:szCs w:val="20"/>
              </w:rPr>
              <w:t>NON_RES</w:t>
            </w:r>
          </w:p>
        </w:tc>
        <w:tc>
          <w:tcPr>
            <w:tcW w:w="1844" w:type="pct"/>
            <w:vAlign w:val="center"/>
          </w:tcPr>
          <w:p w:rsidR="00587481" w:rsidRPr="001E5653" w:rsidRDefault="00587481" w:rsidP="00DF5CB4">
            <w:pPr>
              <w:jc w:val="center"/>
              <w:rPr>
                <w:rFonts w:asciiTheme="minorHAnsi" w:hAnsiTheme="minorHAnsi" w:cstheme="minorHAnsi"/>
                <w:sz w:val="20"/>
                <w:szCs w:val="20"/>
              </w:rPr>
            </w:pPr>
            <w:proofErr w:type="spellStart"/>
            <w:r w:rsidRPr="00A1087F">
              <w:rPr>
                <w:rFonts w:asciiTheme="minorHAnsi" w:hAnsiTheme="minorHAnsi" w:cstheme="minorHAnsi"/>
                <w:sz w:val="20"/>
                <w:szCs w:val="20"/>
              </w:rPr>
              <w:t>DEER:HVAC_Split-Package_AC</w:t>
            </w:r>
            <w:proofErr w:type="spellEnd"/>
          </w:p>
        </w:tc>
      </w:tr>
      <w:tr w:rsidR="00587481" w:rsidRPr="000F130A" w:rsidTr="00DF5CB4">
        <w:trPr>
          <w:cnfStyle w:val="000000010000" w:firstRow="0" w:lastRow="0" w:firstColumn="0" w:lastColumn="0" w:oddVBand="0" w:evenVBand="0" w:oddHBand="0" w:evenHBand="1" w:firstRowFirstColumn="0" w:firstRowLastColumn="0" w:lastRowFirstColumn="0" w:lastRowLastColumn="0"/>
          <w:jc w:val="center"/>
        </w:trPr>
        <w:tc>
          <w:tcPr>
            <w:tcW w:w="1825" w:type="pct"/>
            <w:vAlign w:val="center"/>
          </w:tcPr>
          <w:p w:rsidR="00587481" w:rsidRPr="001D0F32" w:rsidRDefault="00587481" w:rsidP="00DF5CB4">
            <w:pPr>
              <w:jc w:val="center"/>
              <w:rPr>
                <w:rFonts w:asciiTheme="minorHAnsi" w:hAnsiTheme="minorHAnsi" w:cstheme="minorHAnsi"/>
                <w:sz w:val="20"/>
                <w:szCs w:val="20"/>
              </w:rPr>
            </w:pPr>
            <w:r w:rsidRPr="001D0F32">
              <w:rPr>
                <w:rFonts w:asciiTheme="minorHAnsi" w:hAnsiTheme="minorHAnsi" w:cstheme="minorHAnsi"/>
                <w:sz w:val="20"/>
                <w:szCs w:val="20"/>
              </w:rPr>
              <w:t>Health/Medical - Hospital</w:t>
            </w:r>
          </w:p>
        </w:tc>
        <w:tc>
          <w:tcPr>
            <w:tcW w:w="1332" w:type="pct"/>
            <w:vAlign w:val="center"/>
          </w:tcPr>
          <w:p w:rsidR="00587481" w:rsidRPr="001E5653" w:rsidRDefault="00587481" w:rsidP="00DF5CB4">
            <w:pPr>
              <w:jc w:val="center"/>
              <w:rPr>
                <w:rFonts w:asciiTheme="minorHAnsi" w:hAnsiTheme="minorHAnsi" w:cstheme="minorHAnsi"/>
                <w:sz w:val="20"/>
                <w:szCs w:val="20"/>
              </w:rPr>
            </w:pPr>
            <w:r w:rsidRPr="00993599">
              <w:rPr>
                <w:rFonts w:asciiTheme="minorHAnsi" w:hAnsiTheme="minorHAnsi" w:cstheme="minorHAnsi"/>
                <w:sz w:val="20"/>
                <w:szCs w:val="20"/>
              </w:rPr>
              <w:t>NON_RES</w:t>
            </w:r>
          </w:p>
        </w:tc>
        <w:tc>
          <w:tcPr>
            <w:tcW w:w="1844" w:type="pct"/>
            <w:vAlign w:val="center"/>
          </w:tcPr>
          <w:p w:rsidR="00587481" w:rsidRPr="001E5653" w:rsidRDefault="00587481" w:rsidP="00DF5CB4">
            <w:pPr>
              <w:jc w:val="center"/>
              <w:rPr>
                <w:rFonts w:asciiTheme="minorHAnsi" w:hAnsiTheme="minorHAnsi" w:cstheme="minorHAnsi"/>
                <w:sz w:val="20"/>
                <w:szCs w:val="20"/>
              </w:rPr>
            </w:pPr>
            <w:proofErr w:type="spellStart"/>
            <w:r w:rsidRPr="00A1087F">
              <w:rPr>
                <w:rFonts w:asciiTheme="minorHAnsi" w:hAnsiTheme="minorHAnsi" w:cstheme="minorHAnsi"/>
                <w:sz w:val="20"/>
                <w:szCs w:val="20"/>
              </w:rPr>
              <w:t>DEER:HVAC_Split-Package_AC</w:t>
            </w:r>
            <w:proofErr w:type="spellEnd"/>
          </w:p>
        </w:tc>
      </w:tr>
      <w:tr w:rsidR="00587481" w:rsidRPr="000F130A" w:rsidTr="00DF5CB4">
        <w:trPr>
          <w:cnfStyle w:val="000000100000" w:firstRow="0" w:lastRow="0" w:firstColumn="0" w:lastColumn="0" w:oddVBand="0" w:evenVBand="0" w:oddHBand="1" w:evenHBand="0" w:firstRowFirstColumn="0" w:firstRowLastColumn="0" w:lastRowFirstColumn="0" w:lastRowLastColumn="0"/>
          <w:jc w:val="center"/>
        </w:trPr>
        <w:tc>
          <w:tcPr>
            <w:tcW w:w="1825" w:type="pct"/>
            <w:vAlign w:val="center"/>
          </w:tcPr>
          <w:p w:rsidR="00587481" w:rsidRPr="001D0F32" w:rsidRDefault="00587481" w:rsidP="00DF5CB4">
            <w:pPr>
              <w:jc w:val="center"/>
              <w:rPr>
                <w:rFonts w:asciiTheme="minorHAnsi" w:hAnsiTheme="minorHAnsi" w:cstheme="minorHAnsi"/>
                <w:sz w:val="20"/>
                <w:szCs w:val="20"/>
              </w:rPr>
            </w:pPr>
            <w:r w:rsidRPr="001D0F32">
              <w:rPr>
                <w:rFonts w:asciiTheme="minorHAnsi" w:hAnsiTheme="minorHAnsi" w:cstheme="minorHAnsi"/>
                <w:sz w:val="20"/>
                <w:szCs w:val="20"/>
              </w:rPr>
              <w:t>Manufacturing - Light Industrial</w:t>
            </w:r>
          </w:p>
        </w:tc>
        <w:tc>
          <w:tcPr>
            <w:tcW w:w="1332" w:type="pct"/>
            <w:vAlign w:val="center"/>
          </w:tcPr>
          <w:p w:rsidR="00587481" w:rsidRPr="001D0F32" w:rsidRDefault="00587481" w:rsidP="00DF5CB4">
            <w:pPr>
              <w:jc w:val="center"/>
              <w:rPr>
                <w:rFonts w:asciiTheme="minorHAnsi" w:hAnsiTheme="minorHAnsi" w:cstheme="minorHAnsi"/>
                <w:sz w:val="20"/>
                <w:szCs w:val="20"/>
              </w:rPr>
            </w:pPr>
            <w:r>
              <w:rPr>
                <w:rFonts w:asciiTheme="minorHAnsi" w:hAnsiTheme="minorHAnsi" w:cstheme="minorHAnsi"/>
                <w:sz w:val="20"/>
                <w:szCs w:val="20"/>
              </w:rPr>
              <w:t>NON_RES</w:t>
            </w:r>
          </w:p>
        </w:tc>
        <w:tc>
          <w:tcPr>
            <w:tcW w:w="1844" w:type="pct"/>
            <w:vAlign w:val="center"/>
          </w:tcPr>
          <w:p w:rsidR="00587481" w:rsidRPr="001E5653" w:rsidRDefault="00587481" w:rsidP="00DF5CB4">
            <w:pPr>
              <w:jc w:val="center"/>
              <w:rPr>
                <w:rFonts w:asciiTheme="minorHAnsi" w:hAnsiTheme="minorHAnsi" w:cstheme="minorHAnsi"/>
                <w:sz w:val="20"/>
                <w:szCs w:val="20"/>
              </w:rPr>
            </w:pPr>
            <w:proofErr w:type="spellStart"/>
            <w:r w:rsidRPr="00A1087F">
              <w:rPr>
                <w:rFonts w:asciiTheme="minorHAnsi" w:hAnsiTheme="minorHAnsi" w:cstheme="minorHAnsi"/>
                <w:sz w:val="20"/>
                <w:szCs w:val="20"/>
              </w:rPr>
              <w:t>DEER:HVAC_Split-Package_AC</w:t>
            </w:r>
            <w:proofErr w:type="spellEnd"/>
          </w:p>
        </w:tc>
      </w:tr>
      <w:tr w:rsidR="00587481" w:rsidRPr="000F130A" w:rsidTr="00DF5CB4">
        <w:trPr>
          <w:cnfStyle w:val="000000010000" w:firstRow="0" w:lastRow="0" w:firstColumn="0" w:lastColumn="0" w:oddVBand="0" w:evenVBand="0" w:oddHBand="0" w:evenHBand="1" w:firstRowFirstColumn="0" w:firstRowLastColumn="0" w:lastRowFirstColumn="0" w:lastRowLastColumn="0"/>
          <w:jc w:val="center"/>
        </w:trPr>
        <w:tc>
          <w:tcPr>
            <w:tcW w:w="1825" w:type="pct"/>
            <w:vAlign w:val="center"/>
          </w:tcPr>
          <w:p w:rsidR="00587481" w:rsidRPr="001D0F32" w:rsidRDefault="00587481" w:rsidP="00DF5CB4">
            <w:pPr>
              <w:jc w:val="center"/>
              <w:rPr>
                <w:rFonts w:asciiTheme="minorHAnsi" w:hAnsiTheme="minorHAnsi" w:cstheme="minorHAnsi"/>
                <w:sz w:val="20"/>
                <w:szCs w:val="20"/>
              </w:rPr>
            </w:pPr>
            <w:r w:rsidRPr="001D0F32">
              <w:rPr>
                <w:rFonts w:asciiTheme="minorHAnsi" w:hAnsiTheme="minorHAnsi" w:cstheme="minorHAnsi"/>
                <w:sz w:val="20"/>
                <w:szCs w:val="20"/>
              </w:rPr>
              <w:t>Industrial</w:t>
            </w:r>
          </w:p>
        </w:tc>
        <w:tc>
          <w:tcPr>
            <w:tcW w:w="1332" w:type="pct"/>
            <w:vAlign w:val="center"/>
          </w:tcPr>
          <w:p w:rsidR="00587481" w:rsidRPr="001D0F32" w:rsidRDefault="00587481" w:rsidP="00DF5CB4">
            <w:pPr>
              <w:jc w:val="center"/>
              <w:rPr>
                <w:rFonts w:asciiTheme="minorHAnsi" w:hAnsiTheme="minorHAnsi" w:cstheme="minorHAnsi"/>
                <w:sz w:val="20"/>
                <w:szCs w:val="20"/>
              </w:rPr>
            </w:pPr>
            <w:r>
              <w:rPr>
                <w:rFonts w:asciiTheme="minorHAnsi" w:hAnsiTheme="minorHAnsi" w:cstheme="minorHAnsi"/>
                <w:sz w:val="20"/>
                <w:szCs w:val="20"/>
              </w:rPr>
              <w:t>NON_RES</w:t>
            </w:r>
          </w:p>
        </w:tc>
        <w:tc>
          <w:tcPr>
            <w:tcW w:w="1844" w:type="pct"/>
            <w:vAlign w:val="center"/>
          </w:tcPr>
          <w:p w:rsidR="00587481" w:rsidRPr="001E5653" w:rsidRDefault="00587481" w:rsidP="00DF5CB4">
            <w:pPr>
              <w:jc w:val="center"/>
              <w:rPr>
                <w:rFonts w:asciiTheme="minorHAnsi" w:hAnsiTheme="minorHAnsi" w:cstheme="minorHAnsi"/>
                <w:sz w:val="20"/>
                <w:szCs w:val="20"/>
              </w:rPr>
            </w:pPr>
            <w:proofErr w:type="spellStart"/>
            <w:r w:rsidRPr="00A1087F">
              <w:rPr>
                <w:rFonts w:asciiTheme="minorHAnsi" w:hAnsiTheme="minorHAnsi" w:cstheme="minorHAnsi"/>
                <w:sz w:val="20"/>
                <w:szCs w:val="20"/>
              </w:rPr>
              <w:t>DEER:HVAC_Split-Package_AC</w:t>
            </w:r>
            <w:proofErr w:type="spellEnd"/>
          </w:p>
        </w:tc>
      </w:tr>
      <w:tr w:rsidR="00587481" w:rsidRPr="000F130A" w:rsidTr="00DF5CB4">
        <w:trPr>
          <w:cnfStyle w:val="000000100000" w:firstRow="0" w:lastRow="0" w:firstColumn="0" w:lastColumn="0" w:oddVBand="0" w:evenVBand="0" w:oddHBand="1" w:evenHBand="0" w:firstRowFirstColumn="0" w:firstRowLastColumn="0" w:lastRowFirstColumn="0" w:lastRowLastColumn="0"/>
          <w:jc w:val="center"/>
        </w:trPr>
        <w:tc>
          <w:tcPr>
            <w:tcW w:w="1825" w:type="pct"/>
            <w:vAlign w:val="center"/>
          </w:tcPr>
          <w:p w:rsidR="00587481" w:rsidRPr="001D0F32" w:rsidRDefault="00587481" w:rsidP="00587481">
            <w:pPr>
              <w:jc w:val="center"/>
              <w:rPr>
                <w:rFonts w:asciiTheme="minorHAnsi" w:hAnsiTheme="minorHAnsi" w:cstheme="minorHAnsi"/>
                <w:sz w:val="20"/>
                <w:szCs w:val="20"/>
              </w:rPr>
            </w:pPr>
            <w:r w:rsidRPr="005036DC">
              <w:rPr>
                <w:rFonts w:asciiTheme="minorHAnsi" w:hAnsiTheme="minorHAnsi" w:cstheme="minorHAnsi"/>
                <w:sz w:val="20"/>
                <w:szCs w:val="20"/>
              </w:rPr>
              <w:t>Lodging - Hotel</w:t>
            </w:r>
          </w:p>
        </w:tc>
        <w:tc>
          <w:tcPr>
            <w:tcW w:w="1332" w:type="pct"/>
            <w:vAlign w:val="center"/>
          </w:tcPr>
          <w:p w:rsidR="00587481" w:rsidRPr="001E5653" w:rsidRDefault="00587481" w:rsidP="00DF5CB4">
            <w:pPr>
              <w:jc w:val="center"/>
              <w:rPr>
                <w:rFonts w:asciiTheme="minorHAnsi" w:hAnsiTheme="minorHAnsi" w:cstheme="minorHAnsi"/>
                <w:sz w:val="20"/>
                <w:szCs w:val="20"/>
              </w:rPr>
            </w:pPr>
            <w:r w:rsidRPr="00993599">
              <w:rPr>
                <w:rFonts w:asciiTheme="minorHAnsi" w:hAnsiTheme="minorHAnsi" w:cstheme="minorHAnsi"/>
                <w:sz w:val="20"/>
                <w:szCs w:val="20"/>
              </w:rPr>
              <w:t>NON_RES</w:t>
            </w:r>
          </w:p>
        </w:tc>
        <w:tc>
          <w:tcPr>
            <w:tcW w:w="1844" w:type="pct"/>
            <w:vAlign w:val="center"/>
          </w:tcPr>
          <w:p w:rsidR="00587481" w:rsidRPr="001E5653" w:rsidRDefault="00587481" w:rsidP="00DF5CB4">
            <w:pPr>
              <w:jc w:val="center"/>
              <w:rPr>
                <w:rFonts w:asciiTheme="minorHAnsi" w:hAnsiTheme="minorHAnsi" w:cstheme="minorHAnsi"/>
                <w:sz w:val="20"/>
                <w:szCs w:val="20"/>
              </w:rPr>
            </w:pPr>
            <w:proofErr w:type="spellStart"/>
            <w:r w:rsidRPr="00A1087F">
              <w:rPr>
                <w:rFonts w:asciiTheme="minorHAnsi" w:hAnsiTheme="minorHAnsi" w:cstheme="minorHAnsi"/>
                <w:sz w:val="20"/>
                <w:szCs w:val="20"/>
              </w:rPr>
              <w:t>DEER:HVAC_Split-Package_AC</w:t>
            </w:r>
            <w:proofErr w:type="spellEnd"/>
          </w:p>
        </w:tc>
      </w:tr>
      <w:tr w:rsidR="00587481" w:rsidRPr="000F130A" w:rsidTr="00DF5CB4">
        <w:trPr>
          <w:cnfStyle w:val="000000010000" w:firstRow="0" w:lastRow="0" w:firstColumn="0" w:lastColumn="0" w:oddVBand="0" w:evenVBand="0" w:oddHBand="0" w:evenHBand="1" w:firstRowFirstColumn="0" w:firstRowLastColumn="0" w:lastRowFirstColumn="0" w:lastRowLastColumn="0"/>
          <w:jc w:val="center"/>
        </w:trPr>
        <w:tc>
          <w:tcPr>
            <w:tcW w:w="1825" w:type="pct"/>
            <w:vAlign w:val="center"/>
          </w:tcPr>
          <w:p w:rsidR="00587481" w:rsidRPr="001D0F32" w:rsidRDefault="00587481" w:rsidP="00DF5CB4">
            <w:pPr>
              <w:jc w:val="center"/>
              <w:rPr>
                <w:rFonts w:asciiTheme="minorHAnsi" w:hAnsiTheme="minorHAnsi" w:cstheme="minorHAnsi"/>
                <w:sz w:val="20"/>
                <w:szCs w:val="20"/>
              </w:rPr>
            </w:pPr>
            <w:r w:rsidRPr="001D0F32">
              <w:rPr>
                <w:rFonts w:asciiTheme="minorHAnsi" w:hAnsiTheme="minorHAnsi" w:cstheme="minorHAnsi"/>
                <w:sz w:val="20"/>
                <w:szCs w:val="20"/>
              </w:rPr>
              <w:t>Office - Small</w:t>
            </w:r>
          </w:p>
        </w:tc>
        <w:tc>
          <w:tcPr>
            <w:tcW w:w="1332" w:type="pct"/>
            <w:vAlign w:val="center"/>
          </w:tcPr>
          <w:p w:rsidR="00587481" w:rsidRPr="001E5653" w:rsidRDefault="00587481" w:rsidP="00DF5CB4">
            <w:pPr>
              <w:jc w:val="center"/>
              <w:rPr>
                <w:rFonts w:asciiTheme="minorHAnsi" w:hAnsiTheme="minorHAnsi" w:cstheme="minorHAnsi"/>
                <w:sz w:val="20"/>
                <w:szCs w:val="20"/>
              </w:rPr>
            </w:pPr>
            <w:r w:rsidRPr="00993599">
              <w:rPr>
                <w:rFonts w:asciiTheme="minorHAnsi" w:hAnsiTheme="minorHAnsi" w:cstheme="minorHAnsi"/>
                <w:sz w:val="20"/>
                <w:szCs w:val="20"/>
              </w:rPr>
              <w:t>NON_RES</w:t>
            </w:r>
          </w:p>
        </w:tc>
        <w:tc>
          <w:tcPr>
            <w:tcW w:w="1844" w:type="pct"/>
            <w:vAlign w:val="center"/>
          </w:tcPr>
          <w:p w:rsidR="00587481" w:rsidRPr="001E5653" w:rsidRDefault="00587481" w:rsidP="00DF5CB4">
            <w:pPr>
              <w:jc w:val="center"/>
              <w:rPr>
                <w:rFonts w:asciiTheme="minorHAnsi" w:hAnsiTheme="minorHAnsi" w:cstheme="minorHAnsi"/>
                <w:sz w:val="20"/>
                <w:szCs w:val="20"/>
              </w:rPr>
            </w:pPr>
            <w:proofErr w:type="spellStart"/>
            <w:r w:rsidRPr="00A1087F">
              <w:rPr>
                <w:rFonts w:asciiTheme="minorHAnsi" w:hAnsiTheme="minorHAnsi" w:cstheme="minorHAnsi"/>
                <w:sz w:val="20"/>
                <w:szCs w:val="20"/>
              </w:rPr>
              <w:t>DEER:HVAC_Split-Package_AC</w:t>
            </w:r>
            <w:proofErr w:type="spellEnd"/>
          </w:p>
        </w:tc>
      </w:tr>
      <w:tr w:rsidR="00587481" w:rsidRPr="000F130A" w:rsidTr="00DF5CB4">
        <w:trPr>
          <w:cnfStyle w:val="000000100000" w:firstRow="0" w:lastRow="0" w:firstColumn="0" w:lastColumn="0" w:oddVBand="0" w:evenVBand="0" w:oddHBand="1" w:evenHBand="0" w:firstRowFirstColumn="0" w:firstRowLastColumn="0" w:lastRowFirstColumn="0" w:lastRowLastColumn="0"/>
          <w:jc w:val="center"/>
        </w:trPr>
        <w:tc>
          <w:tcPr>
            <w:tcW w:w="1825" w:type="pct"/>
            <w:vAlign w:val="center"/>
          </w:tcPr>
          <w:p w:rsidR="00587481" w:rsidRPr="001D0F32" w:rsidRDefault="00587481" w:rsidP="00DF5CB4">
            <w:pPr>
              <w:jc w:val="center"/>
              <w:rPr>
                <w:rFonts w:asciiTheme="minorHAnsi" w:hAnsiTheme="minorHAnsi" w:cstheme="minorHAnsi"/>
                <w:sz w:val="20"/>
                <w:szCs w:val="20"/>
              </w:rPr>
            </w:pPr>
            <w:r w:rsidRPr="001D0F32">
              <w:rPr>
                <w:rFonts w:asciiTheme="minorHAnsi" w:hAnsiTheme="minorHAnsi" w:cstheme="minorHAnsi"/>
                <w:sz w:val="20"/>
                <w:szCs w:val="20"/>
              </w:rPr>
              <w:t>Restaurant - Fast-Food</w:t>
            </w:r>
          </w:p>
        </w:tc>
        <w:tc>
          <w:tcPr>
            <w:tcW w:w="1332" w:type="pct"/>
            <w:vAlign w:val="center"/>
          </w:tcPr>
          <w:p w:rsidR="00587481" w:rsidRPr="001E5653" w:rsidRDefault="00587481" w:rsidP="00DF5CB4">
            <w:pPr>
              <w:jc w:val="center"/>
              <w:rPr>
                <w:rFonts w:asciiTheme="minorHAnsi" w:hAnsiTheme="minorHAnsi" w:cstheme="minorHAnsi"/>
                <w:sz w:val="20"/>
                <w:szCs w:val="20"/>
              </w:rPr>
            </w:pPr>
            <w:r w:rsidRPr="00993599">
              <w:rPr>
                <w:rFonts w:asciiTheme="minorHAnsi" w:hAnsiTheme="minorHAnsi" w:cstheme="minorHAnsi"/>
                <w:sz w:val="20"/>
                <w:szCs w:val="20"/>
              </w:rPr>
              <w:t>NON_RES</w:t>
            </w:r>
          </w:p>
        </w:tc>
        <w:tc>
          <w:tcPr>
            <w:tcW w:w="1844" w:type="pct"/>
            <w:vAlign w:val="center"/>
          </w:tcPr>
          <w:p w:rsidR="00587481" w:rsidRPr="001E5653" w:rsidRDefault="00587481" w:rsidP="00DF5CB4">
            <w:pPr>
              <w:jc w:val="center"/>
              <w:rPr>
                <w:rFonts w:asciiTheme="minorHAnsi" w:hAnsiTheme="minorHAnsi" w:cstheme="minorHAnsi"/>
                <w:sz w:val="20"/>
                <w:szCs w:val="20"/>
              </w:rPr>
            </w:pPr>
            <w:proofErr w:type="spellStart"/>
            <w:r w:rsidRPr="00A1087F">
              <w:rPr>
                <w:rFonts w:asciiTheme="minorHAnsi" w:hAnsiTheme="minorHAnsi" w:cstheme="minorHAnsi"/>
                <w:sz w:val="20"/>
                <w:szCs w:val="20"/>
              </w:rPr>
              <w:t>DEER:HVAC_Split-Package_AC</w:t>
            </w:r>
            <w:proofErr w:type="spellEnd"/>
          </w:p>
        </w:tc>
      </w:tr>
      <w:tr w:rsidR="00587481" w:rsidRPr="000F130A" w:rsidTr="00DF5CB4">
        <w:trPr>
          <w:cnfStyle w:val="000000010000" w:firstRow="0" w:lastRow="0" w:firstColumn="0" w:lastColumn="0" w:oddVBand="0" w:evenVBand="0" w:oddHBand="0" w:evenHBand="1" w:firstRowFirstColumn="0" w:firstRowLastColumn="0" w:lastRowFirstColumn="0" w:lastRowLastColumn="0"/>
          <w:jc w:val="center"/>
        </w:trPr>
        <w:tc>
          <w:tcPr>
            <w:tcW w:w="1825" w:type="pct"/>
            <w:vAlign w:val="center"/>
          </w:tcPr>
          <w:p w:rsidR="00587481" w:rsidRPr="001D0F32" w:rsidRDefault="00587481" w:rsidP="00DF5CB4">
            <w:pPr>
              <w:jc w:val="center"/>
              <w:rPr>
                <w:rFonts w:asciiTheme="minorHAnsi" w:hAnsiTheme="minorHAnsi" w:cstheme="minorHAnsi"/>
                <w:sz w:val="20"/>
                <w:szCs w:val="20"/>
              </w:rPr>
            </w:pPr>
            <w:r w:rsidRPr="001D0F32">
              <w:rPr>
                <w:rFonts w:asciiTheme="minorHAnsi" w:hAnsiTheme="minorHAnsi" w:cstheme="minorHAnsi"/>
                <w:sz w:val="20"/>
                <w:szCs w:val="20"/>
              </w:rPr>
              <w:t>Restaurant - Sit-Down</w:t>
            </w:r>
          </w:p>
        </w:tc>
        <w:tc>
          <w:tcPr>
            <w:tcW w:w="1332" w:type="pct"/>
            <w:vAlign w:val="center"/>
          </w:tcPr>
          <w:p w:rsidR="00587481" w:rsidRPr="001E5653" w:rsidRDefault="00587481" w:rsidP="00DF5CB4">
            <w:pPr>
              <w:jc w:val="center"/>
              <w:rPr>
                <w:rFonts w:asciiTheme="minorHAnsi" w:hAnsiTheme="minorHAnsi" w:cstheme="minorHAnsi"/>
                <w:sz w:val="20"/>
                <w:szCs w:val="20"/>
              </w:rPr>
            </w:pPr>
            <w:r w:rsidRPr="00993599">
              <w:rPr>
                <w:rFonts w:asciiTheme="minorHAnsi" w:hAnsiTheme="minorHAnsi" w:cstheme="minorHAnsi"/>
                <w:sz w:val="20"/>
                <w:szCs w:val="20"/>
              </w:rPr>
              <w:t>NON_RES</w:t>
            </w:r>
          </w:p>
        </w:tc>
        <w:tc>
          <w:tcPr>
            <w:tcW w:w="1844" w:type="pct"/>
            <w:vAlign w:val="center"/>
          </w:tcPr>
          <w:p w:rsidR="00587481" w:rsidRPr="001E5653" w:rsidRDefault="00587481" w:rsidP="00DF5CB4">
            <w:pPr>
              <w:jc w:val="center"/>
              <w:rPr>
                <w:rFonts w:asciiTheme="minorHAnsi" w:hAnsiTheme="minorHAnsi" w:cstheme="minorHAnsi"/>
                <w:sz w:val="20"/>
                <w:szCs w:val="20"/>
              </w:rPr>
            </w:pPr>
            <w:proofErr w:type="spellStart"/>
            <w:r w:rsidRPr="00A1087F">
              <w:rPr>
                <w:rFonts w:asciiTheme="minorHAnsi" w:hAnsiTheme="minorHAnsi" w:cstheme="minorHAnsi"/>
                <w:sz w:val="20"/>
                <w:szCs w:val="20"/>
              </w:rPr>
              <w:t>DEER:HVAC_Split-Package_AC</w:t>
            </w:r>
            <w:proofErr w:type="spellEnd"/>
          </w:p>
        </w:tc>
      </w:tr>
      <w:tr w:rsidR="00587481" w:rsidRPr="000F130A" w:rsidTr="00DF5CB4">
        <w:trPr>
          <w:cnfStyle w:val="000000100000" w:firstRow="0" w:lastRow="0" w:firstColumn="0" w:lastColumn="0" w:oddVBand="0" w:evenVBand="0" w:oddHBand="1" w:evenHBand="0" w:firstRowFirstColumn="0" w:firstRowLastColumn="0" w:lastRowFirstColumn="0" w:lastRowLastColumn="0"/>
          <w:jc w:val="center"/>
        </w:trPr>
        <w:tc>
          <w:tcPr>
            <w:tcW w:w="1825" w:type="pct"/>
            <w:vAlign w:val="center"/>
          </w:tcPr>
          <w:p w:rsidR="00587481" w:rsidRPr="001D0F32" w:rsidRDefault="00587481" w:rsidP="00DF5CB4">
            <w:pPr>
              <w:jc w:val="center"/>
              <w:rPr>
                <w:rFonts w:asciiTheme="minorHAnsi" w:hAnsiTheme="minorHAnsi" w:cstheme="minorHAnsi"/>
                <w:sz w:val="20"/>
                <w:szCs w:val="20"/>
              </w:rPr>
            </w:pPr>
            <w:r w:rsidRPr="001D0F32">
              <w:rPr>
                <w:rFonts w:asciiTheme="minorHAnsi" w:hAnsiTheme="minorHAnsi" w:cstheme="minorHAnsi"/>
                <w:sz w:val="20"/>
                <w:szCs w:val="20"/>
              </w:rPr>
              <w:t>Retail - Small</w:t>
            </w:r>
          </w:p>
        </w:tc>
        <w:tc>
          <w:tcPr>
            <w:tcW w:w="1332" w:type="pct"/>
            <w:vAlign w:val="center"/>
          </w:tcPr>
          <w:p w:rsidR="00587481" w:rsidRPr="001D0F32" w:rsidRDefault="00587481" w:rsidP="00DF5CB4">
            <w:pPr>
              <w:jc w:val="center"/>
              <w:rPr>
                <w:rFonts w:asciiTheme="minorHAnsi" w:hAnsiTheme="minorHAnsi" w:cstheme="minorHAnsi"/>
                <w:sz w:val="20"/>
                <w:szCs w:val="20"/>
              </w:rPr>
            </w:pPr>
            <w:r>
              <w:rPr>
                <w:rFonts w:asciiTheme="minorHAnsi" w:hAnsiTheme="minorHAnsi" w:cstheme="minorHAnsi"/>
                <w:sz w:val="20"/>
                <w:szCs w:val="20"/>
              </w:rPr>
              <w:t>NON_RES</w:t>
            </w:r>
          </w:p>
        </w:tc>
        <w:tc>
          <w:tcPr>
            <w:tcW w:w="1844" w:type="pct"/>
            <w:vAlign w:val="center"/>
          </w:tcPr>
          <w:p w:rsidR="00587481" w:rsidRPr="001E5653" w:rsidRDefault="00587481" w:rsidP="00DF5CB4">
            <w:pPr>
              <w:jc w:val="center"/>
              <w:rPr>
                <w:rFonts w:asciiTheme="minorHAnsi" w:hAnsiTheme="minorHAnsi" w:cstheme="minorHAnsi"/>
                <w:sz w:val="20"/>
                <w:szCs w:val="20"/>
              </w:rPr>
            </w:pPr>
            <w:proofErr w:type="spellStart"/>
            <w:r w:rsidRPr="00A1087F">
              <w:rPr>
                <w:rFonts w:asciiTheme="minorHAnsi" w:hAnsiTheme="minorHAnsi" w:cstheme="minorHAnsi"/>
                <w:sz w:val="20"/>
                <w:szCs w:val="20"/>
              </w:rPr>
              <w:t>DEER:HVAC_Split-Package_AC</w:t>
            </w:r>
            <w:proofErr w:type="spellEnd"/>
          </w:p>
        </w:tc>
      </w:tr>
      <w:tr w:rsidR="00587481" w:rsidRPr="000F130A" w:rsidTr="00DF5CB4">
        <w:trPr>
          <w:cnfStyle w:val="000000010000" w:firstRow="0" w:lastRow="0" w:firstColumn="0" w:lastColumn="0" w:oddVBand="0" w:evenVBand="0" w:oddHBand="0" w:evenHBand="1" w:firstRowFirstColumn="0" w:firstRowLastColumn="0" w:lastRowFirstColumn="0" w:lastRowLastColumn="0"/>
          <w:jc w:val="center"/>
        </w:trPr>
        <w:tc>
          <w:tcPr>
            <w:tcW w:w="1825" w:type="pct"/>
            <w:vAlign w:val="center"/>
          </w:tcPr>
          <w:p w:rsidR="00587481" w:rsidRPr="001D0F32" w:rsidRDefault="00587481" w:rsidP="00DF5CB4">
            <w:pPr>
              <w:jc w:val="center"/>
              <w:rPr>
                <w:rFonts w:asciiTheme="minorHAnsi" w:hAnsiTheme="minorHAnsi" w:cstheme="minorHAnsi"/>
                <w:sz w:val="20"/>
                <w:szCs w:val="20"/>
              </w:rPr>
            </w:pPr>
            <w:r w:rsidRPr="001D0F32">
              <w:rPr>
                <w:rFonts w:asciiTheme="minorHAnsi" w:hAnsiTheme="minorHAnsi" w:cstheme="minorHAnsi"/>
                <w:sz w:val="20"/>
                <w:szCs w:val="20"/>
              </w:rPr>
              <w:t>Retail - Single-Story Large</w:t>
            </w:r>
          </w:p>
        </w:tc>
        <w:tc>
          <w:tcPr>
            <w:tcW w:w="1332" w:type="pct"/>
            <w:vAlign w:val="center"/>
          </w:tcPr>
          <w:p w:rsidR="00587481" w:rsidRPr="001D0F32" w:rsidRDefault="00587481" w:rsidP="00DF5CB4">
            <w:pPr>
              <w:jc w:val="center"/>
              <w:rPr>
                <w:rFonts w:asciiTheme="minorHAnsi" w:hAnsiTheme="minorHAnsi" w:cstheme="minorHAnsi"/>
                <w:sz w:val="20"/>
                <w:szCs w:val="20"/>
              </w:rPr>
            </w:pPr>
            <w:r>
              <w:rPr>
                <w:rFonts w:asciiTheme="minorHAnsi" w:hAnsiTheme="minorHAnsi" w:cstheme="minorHAnsi"/>
                <w:sz w:val="20"/>
                <w:szCs w:val="20"/>
              </w:rPr>
              <w:t>NON_RES</w:t>
            </w:r>
          </w:p>
        </w:tc>
        <w:tc>
          <w:tcPr>
            <w:tcW w:w="1844" w:type="pct"/>
            <w:vAlign w:val="center"/>
          </w:tcPr>
          <w:p w:rsidR="00587481" w:rsidRPr="001E5653" w:rsidRDefault="00587481" w:rsidP="00DF5CB4">
            <w:pPr>
              <w:jc w:val="center"/>
              <w:rPr>
                <w:rFonts w:asciiTheme="minorHAnsi" w:hAnsiTheme="minorHAnsi" w:cstheme="minorHAnsi"/>
                <w:sz w:val="20"/>
                <w:szCs w:val="20"/>
              </w:rPr>
            </w:pPr>
            <w:proofErr w:type="spellStart"/>
            <w:r w:rsidRPr="00A1087F">
              <w:rPr>
                <w:rFonts w:asciiTheme="minorHAnsi" w:hAnsiTheme="minorHAnsi" w:cstheme="minorHAnsi"/>
                <w:sz w:val="20"/>
                <w:szCs w:val="20"/>
              </w:rPr>
              <w:t>DEER:HVAC_Split-Package_AC</w:t>
            </w:r>
            <w:proofErr w:type="spellEnd"/>
          </w:p>
        </w:tc>
      </w:tr>
      <w:tr w:rsidR="00587481" w:rsidRPr="000F130A" w:rsidTr="00DF5CB4">
        <w:trPr>
          <w:cnfStyle w:val="000000100000" w:firstRow="0" w:lastRow="0" w:firstColumn="0" w:lastColumn="0" w:oddVBand="0" w:evenVBand="0" w:oddHBand="1" w:evenHBand="0" w:firstRowFirstColumn="0" w:firstRowLastColumn="0" w:lastRowFirstColumn="0" w:lastRowLastColumn="0"/>
          <w:jc w:val="center"/>
        </w:trPr>
        <w:tc>
          <w:tcPr>
            <w:tcW w:w="1825" w:type="pct"/>
            <w:vAlign w:val="center"/>
          </w:tcPr>
          <w:p w:rsidR="00587481" w:rsidRPr="001D0F32" w:rsidRDefault="00587481" w:rsidP="00DF5CB4">
            <w:pPr>
              <w:jc w:val="center"/>
              <w:rPr>
                <w:rFonts w:asciiTheme="minorHAnsi" w:hAnsiTheme="minorHAnsi" w:cstheme="minorHAnsi"/>
                <w:sz w:val="20"/>
                <w:szCs w:val="20"/>
              </w:rPr>
            </w:pPr>
            <w:r w:rsidRPr="001D0F32">
              <w:rPr>
                <w:rFonts w:asciiTheme="minorHAnsi" w:hAnsiTheme="minorHAnsi" w:cstheme="minorHAnsi"/>
                <w:sz w:val="20"/>
                <w:szCs w:val="20"/>
              </w:rPr>
              <w:t>Storage - Conditioned</w:t>
            </w:r>
          </w:p>
        </w:tc>
        <w:tc>
          <w:tcPr>
            <w:tcW w:w="1332" w:type="pct"/>
            <w:vAlign w:val="center"/>
          </w:tcPr>
          <w:p w:rsidR="00587481" w:rsidRPr="001D0F32" w:rsidRDefault="00587481" w:rsidP="00DF5CB4">
            <w:pPr>
              <w:jc w:val="center"/>
              <w:rPr>
                <w:rFonts w:asciiTheme="minorHAnsi" w:hAnsiTheme="minorHAnsi" w:cstheme="minorHAnsi"/>
                <w:sz w:val="20"/>
                <w:szCs w:val="20"/>
              </w:rPr>
            </w:pPr>
            <w:r>
              <w:rPr>
                <w:rFonts w:asciiTheme="minorHAnsi" w:hAnsiTheme="minorHAnsi" w:cstheme="minorHAnsi"/>
                <w:sz w:val="20"/>
                <w:szCs w:val="20"/>
              </w:rPr>
              <w:t>NON_RES</w:t>
            </w:r>
          </w:p>
        </w:tc>
        <w:tc>
          <w:tcPr>
            <w:tcW w:w="1844" w:type="pct"/>
            <w:vAlign w:val="center"/>
          </w:tcPr>
          <w:p w:rsidR="00587481" w:rsidRPr="001E5653" w:rsidRDefault="00587481" w:rsidP="00DF5CB4">
            <w:pPr>
              <w:jc w:val="center"/>
              <w:rPr>
                <w:rFonts w:asciiTheme="minorHAnsi" w:hAnsiTheme="minorHAnsi" w:cstheme="minorHAnsi"/>
                <w:sz w:val="20"/>
                <w:szCs w:val="20"/>
              </w:rPr>
            </w:pPr>
            <w:proofErr w:type="spellStart"/>
            <w:r w:rsidRPr="00A1087F">
              <w:rPr>
                <w:rFonts w:asciiTheme="minorHAnsi" w:hAnsiTheme="minorHAnsi" w:cstheme="minorHAnsi"/>
                <w:sz w:val="20"/>
                <w:szCs w:val="20"/>
              </w:rPr>
              <w:t>DEER:HVAC_Split-Package_AC</w:t>
            </w:r>
            <w:proofErr w:type="spellEnd"/>
          </w:p>
        </w:tc>
      </w:tr>
      <w:tr w:rsidR="00587481" w:rsidRPr="000F130A" w:rsidTr="00DF5CB4">
        <w:trPr>
          <w:cnfStyle w:val="000000010000" w:firstRow="0" w:lastRow="0" w:firstColumn="0" w:lastColumn="0" w:oddVBand="0" w:evenVBand="0" w:oddHBand="0" w:evenHBand="1" w:firstRowFirstColumn="0" w:firstRowLastColumn="0" w:lastRowFirstColumn="0" w:lastRowLastColumn="0"/>
          <w:jc w:val="center"/>
        </w:trPr>
        <w:tc>
          <w:tcPr>
            <w:tcW w:w="1825" w:type="pct"/>
            <w:vAlign w:val="center"/>
          </w:tcPr>
          <w:p w:rsidR="00587481" w:rsidRPr="001D0F32" w:rsidRDefault="00587481" w:rsidP="00DF5CB4">
            <w:pPr>
              <w:jc w:val="center"/>
              <w:rPr>
                <w:rFonts w:asciiTheme="minorHAnsi" w:hAnsiTheme="minorHAnsi" w:cstheme="minorHAnsi"/>
                <w:sz w:val="20"/>
                <w:szCs w:val="20"/>
              </w:rPr>
            </w:pPr>
            <w:r w:rsidRPr="001D0F32">
              <w:rPr>
                <w:rFonts w:asciiTheme="minorHAnsi" w:hAnsiTheme="minorHAnsi" w:cstheme="minorHAnsi"/>
                <w:sz w:val="20"/>
                <w:szCs w:val="20"/>
              </w:rPr>
              <w:t>Residential Single Family</w:t>
            </w:r>
          </w:p>
        </w:tc>
        <w:tc>
          <w:tcPr>
            <w:tcW w:w="1332" w:type="pct"/>
            <w:vAlign w:val="center"/>
          </w:tcPr>
          <w:p w:rsidR="00587481" w:rsidRPr="005F4BFC" w:rsidRDefault="00587481" w:rsidP="00DF5CB4">
            <w:pPr>
              <w:jc w:val="center"/>
              <w:rPr>
                <w:rFonts w:asciiTheme="minorHAnsi" w:hAnsiTheme="minorHAnsi" w:cstheme="minorHAnsi"/>
                <w:sz w:val="20"/>
                <w:szCs w:val="20"/>
              </w:rPr>
            </w:pPr>
            <w:r>
              <w:rPr>
                <w:rFonts w:asciiTheme="minorHAnsi" w:hAnsiTheme="minorHAnsi" w:cstheme="minorHAnsi"/>
                <w:sz w:val="20"/>
                <w:szCs w:val="20"/>
              </w:rPr>
              <w:t>RES</w:t>
            </w:r>
          </w:p>
        </w:tc>
        <w:tc>
          <w:tcPr>
            <w:tcW w:w="1844" w:type="pct"/>
            <w:vAlign w:val="center"/>
          </w:tcPr>
          <w:p w:rsidR="00587481" w:rsidRPr="001D0F32" w:rsidRDefault="00587481" w:rsidP="00DF5CB4">
            <w:pPr>
              <w:jc w:val="center"/>
              <w:rPr>
                <w:rFonts w:asciiTheme="minorHAnsi" w:hAnsiTheme="minorHAnsi" w:cstheme="minorHAnsi"/>
                <w:sz w:val="20"/>
                <w:szCs w:val="20"/>
              </w:rPr>
            </w:pPr>
            <w:proofErr w:type="spellStart"/>
            <w:r w:rsidRPr="001E5653">
              <w:rPr>
                <w:rFonts w:asciiTheme="minorHAnsi" w:hAnsiTheme="minorHAnsi" w:cstheme="minorHAnsi"/>
                <w:sz w:val="20"/>
                <w:szCs w:val="20"/>
              </w:rPr>
              <w:t>DEER:HVAC_Eff_AC</w:t>
            </w:r>
            <w:proofErr w:type="spellEnd"/>
          </w:p>
        </w:tc>
      </w:tr>
      <w:tr w:rsidR="00587481" w:rsidRPr="000F130A" w:rsidTr="00DF5CB4">
        <w:trPr>
          <w:cnfStyle w:val="000000100000" w:firstRow="0" w:lastRow="0" w:firstColumn="0" w:lastColumn="0" w:oddVBand="0" w:evenVBand="0" w:oddHBand="1" w:evenHBand="0" w:firstRowFirstColumn="0" w:firstRowLastColumn="0" w:lastRowFirstColumn="0" w:lastRowLastColumn="0"/>
          <w:jc w:val="center"/>
        </w:trPr>
        <w:tc>
          <w:tcPr>
            <w:tcW w:w="1825" w:type="pct"/>
            <w:vAlign w:val="center"/>
          </w:tcPr>
          <w:p w:rsidR="00587481" w:rsidRPr="001D0F32" w:rsidRDefault="00587481" w:rsidP="00DF5CB4">
            <w:pPr>
              <w:jc w:val="center"/>
              <w:rPr>
                <w:rFonts w:asciiTheme="minorHAnsi" w:hAnsiTheme="minorHAnsi" w:cstheme="minorHAnsi"/>
                <w:sz w:val="20"/>
                <w:szCs w:val="20"/>
              </w:rPr>
            </w:pPr>
            <w:r w:rsidRPr="001D0F32">
              <w:rPr>
                <w:rFonts w:asciiTheme="minorHAnsi" w:hAnsiTheme="minorHAnsi" w:cstheme="minorHAnsi"/>
                <w:sz w:val="20"/>
                <w:szCs w:val="20"/>
              </w:rPr>
              <w:t>Residential Mobile Home - Double-Wide</w:t>
            </w:r>
          </w:p>
        </w:tc>
        <w:tc>
          <w:tcPr>
            <w:tcW w:w="1332" w:type="pct"/>
            <w:vAlign w:val="center"/>
          </w:tcPr>
          <w:p w:rsidR="00587481" w:rsidRPr="005F4BFC" w:rsidRDefault="00587481" w:rsidP="00DF5CB4">
            <w:pPr>
              <w:jc w:val="center"/>
              <w:rPr>
                <w:rFonts w:asciiTheme="minorHAnsi" w:hAnsiTheme="minorHAnsi" w:cstheme="minorHAnsi"/>
                <w:sz w:val="20"/>
                <w:szCs w:val="20"/>
              </w:rPr>
            </w:pPr>
            <w:r>
              <w:rPr>
                <w:rFonts w:asciiTheme="minorHAnsi" w:hAnsiTheme="minorHAnsi" w:cstheme="minorHAnsi"/>
                <w:sz w:val="20"/>
                <w:szCs w:val="20"/>
              </w:rPr>
              <w:t>RES</w:t>
            </w:r>
          </w:p>
        </w:tc>
        <w:tc>
          <w:tcPr>
            <w:tcW w:w="1844" w:type="pct"/>
            <w:vAlign w:val="center"/>
          </w:tcPr>
          <w:p w:rsidR="00587481" w:rsidRPr="001D0F32" w:rsidRDefault="00587481" w:rsidP="00DF5CB4">
            <w:pPr>
              <w:jc w:val="center"/>
              <w:rPr>
                <w:rFonts w:asciiTheme="minorHAnsi" w:hAnsiTheme="minorHAnsi" w:cstheme="minorHAnsi"/>
                <w:sz w:val="20"/>
                <w:szCs w:val="20"/>
              </w:rPr>
            </w:pPr>
            <w:proofErr w:type="spellStart"/>
            <w:r w:rsidRPr="001E5653">
              <w:rPr>
                <w:rFonts w:asciiTheme="minorHAnsi" w:hAnsiTheme="minorHAnsi" w:cstheme="minorHAnsi"/>
                <w:sz w:val="20"/>
                <w:szCs w:val="20"/>
              </w:rPr>
              <w:t>DEER:HVAC_Eff_AC</w:t>
            </w:r>
            <w:proofErr w:type="spellEnd"/>
          </w:p>
        </w:tc>
      </w:tr>
      <w:tr w:rsidR="00587481" w:rsidRPr="000F130A" w:rsidTr="00DF5CB4">
        <w:trPr>
          <w:cnfStyle w:val="000000010000" w:firstRow="0" w:lastRow="0" w:firstColumn="0" w:lastColumn="0" w:oddVBand="0" w:evenVBand="0" w:oddHBand="0" w:evenHBand="1" w:firstRowFirstColumn="0" w:firstRowLastColumn="0" w:lastRowFirstColumn="0" w:lastRowLastColumn="0"/>
          <w:jc w:val="center"/>
        </w:trPr>
        <w:tc>
          <w:tcPr>
            <w:tcW w:w="1825" w:type="pct"/>
            <w:vAlign w:val="center"/>
          </w:tcPr>
          <w:p w:rsidR="00587481" w:rsidRPr="001D0F32" w:rsidRDefault="00587481" w:rsidP="00DF5CB4">
            <w:pPr>
              <w:jc w:val="center"/>
              <w:rPr>
                <w:rFonts w:asciiTheme="minorHAnsi" w:hAnsiTheme="minorHAnsi" w:cstheme="minorHAnsi"/>
                <w:sz w:val="20"/>
                <w:szCs w:val="20"/>
              </w:rPr>
            </w:pPr>
            <w:r w:rsidRPr="001D0F32">
              <w:rPr>
                <w:rFonts w:asciiTheme="minorHAnsi" w:hAnsiTheme="minorHAnsi" w:cstheme="minorHAnsi"/>
                <w:sz w:val="20"/>
                <w:szCs w:val="20"/>
              </w:rPr>
              <w:t>Residential Multi-family</w:t>
            </w:r>
          </w:p>
        </w:tc>
        <w:tc>
          <w:tcPr>
            <w:tcW w:w="1332" w:type="pct"/>
            <w:vAlign w:val="center"/>
          </w:tcPr>
          <w:p w:rsidR="00587481" w:rsidRPr="005F4BFC" w:rsidRDefault="00587481" w:rsidP="00DF5CB4">
            <w:pPr>
              <w:jc w:val="center"/>
              <w:rPr>
                <w:rFonts w:asciiTheme="minorHAnsi" w:hAnsiTheme="minorHAnsi" w:cstheme="minorHAnsi"/>
                <w:sz w:val="20"/>
                <w:szCs w:val="20"/>
              </w:rPr>
            </w:pPr>
            <w:r>
              <w:rPr>
                <w:rFonts w:asciiTheme="minorHAnsi" w:hAnsiTheme="minorHAnsi" w:cstheme="minorHAnsi"/>
                <w:sz w:val="20"/>
                <w:szCs w:val="20"/>
              </w:rPr>
              <w:t>RES</w:t>
            </w:r>
          </w:p>
        </w:tc>
        <w:tc>
          <w:tcPr>
            <w:tcW w:w="1844" w:type="pct"/>
            <w:vAlign w:val="center"/>
          </w:tcPr>
          <w:p w:rsidR="00587481" w:rsidRPr="001D0F32" w:rsidRDefault="00587481" w:rsidP="00DF5CB4">
            <w:pPr>
              <w:jc w:val="center"/>
              <w:rPr>
                <w:rFonts w:asciiTheme="minorHAnsi" w:hAnsiTheme="minorHAnsi" w:cstheme="minorHAnsi"/>
                <w:sz w:val="20"/>
                <w:szCs w:val="20"/>
              </w:rPr>
            </w:pPr>
            <w:proofErr w:type="spellStart"/>
            <w:r w:rsidRPr="001E5653">
              <w:rPr>
                <w:rFonts w:asciiTheme="minorHAnsi" w:hAnsiTheme="minorHAnsi" w:cstheme="minorHAnsi"/>
                <w:sz w:val="20"/>
                <w:szCs w:val="20"/>
              </w:rPr>
              <w:t>DEER:HVAC_Eff_AC</w:t>
            </w:r>
            <w:proofErr w:type="spellEnd"/>
          </w:p>
        </w:tc>
      </w:tr>
    </w:tbl>
    <w:p w:rsidR="00E16609" w:rsidRPr="00697868" w:rsidRDefault="00E16609" w:rsidP="00E16609">
      <w:pPr>
        <w:pStyle w:val="Heading1"/>
        <w:keepNext w:val="0"/>
        <w:rPr>
          <w:rFonts w:asciiTheme="minorHAnsi" w:hAnsiTheme="minorHAnsi" w:cstheme="minorHAnsi"/>
        </w:rPr>
      </w:pPr>
      <w:bookmarkStart w:id="21" w:name="_Toc214003096"/>
      <w:proofErr w:type="gramStart"/>
      <w:r w:rsidRPr="00697868">
        <w:rPr>
          <w:rFonts w:asciiTheme="minorHAnsi" w:hAnsiTheme="minorHAnsi" w:cstheme="minorHAnsi"/>
        </w:rPr>
        <w:t>Section 4.</w:t>
      </w:r>
      <w:proofErr w:type="gramEnd"/>
      <w:r w:rsidRPr="00697868">
        <w:rPr>
          <w:rFonts w:asciiTheme="minorHAnsi" w:hAnsiTheme="minorHAnsi" w:cstheme="minorHAnsi"/>
        </w:rPr>
        <w:t xml:space="preserve"> Base Case &amp; Measure Costs</w:t>
      </w:r>
      <w:bookmarkEnd w:id="21"/>
    </w:p>
    <w:p w:rsidR="00E16609" w:rsidRPr="00697868" w:rsidRDefault="00E16609" w:rsidP="00824F1C">
      <w:pPr>
        <w:pStyle w:val="Heading2"/>
        <w:rPr>
          <w:rFonts w:asciiTheme="minorHAnsi" w:hAnsiTheme="minorHAnsi" w:cstheme="minorHAnsi"/>
        </w:rPr>
      </w:pPr>
      <w:bookmarkStart w:id="22" w:name="_MON_1399297811"/>
      <w:bookmarkStart w:id="23" w:name="_Toc214003097"/>
      <w:bookmarkEnd w:id="22"/>
      <w:r w:rsidRPr="00697868">
        <w:rPr>
          <w:rFonts w:asciiTheme="minorHAnsi" w:hAnsiTheme="minorHAnsi" w:cstheme="minorHAnsi"/>
        </w:rPr>
        <w:t>4.1 Base Case Cost</w:t>
      </w:r>
      <w:bookmarkEnd w:id="23"/>
    </w:p>
    <w:p w:rsidR="00587481" w:rsidRPr="002246FA" w:rsidRDefault="00587481" w:rsidP="00587481">
      <w:pPr>
        <w:spacing w:after="120" w:line="280" w:lineRule="atLeast"/>
        <w:rPr>
          <w:rFonts w:asciiTheme="minorHAnsi" w:hAnsiTheme="minorHAnsi" w:cstheme="minorHAnsi"/>
          <w:b/>
          <w:sz w:val="22"/>
          <w:szCs w:val="22"/>
          <w:u w:val="single"/>
        </w:rPr>
      </w:pPr>
      <w:r w:rsidRPr="002246FA">
        <w:rPr>
          <w:rFonts w:asciiTheme="minorHAnsi" w:hAnsiTheme="minorHAnsi" w:cstheme="minorHAnsi"/>
          <w:b/>
          <w:sz w:val="22"/>
          <w:szCs w:val="22"/>
          <w:u w:val="single"/>
        </w:rPr>
        <w:t>Residential Sector</w:t>
      </w:r>
    </w:p>
    <w:p w:rsidR="00587481" w:rsidRPr="002246FA" w:rsidRDefault="00587481" w:rsidP="00587481">
      <w:pPr>
        <w:pStyle w:val="Reminders"/>
        <w:rPr>
          <w:rFonts w:asciiTheme="minorHAnsi" w:hAnsiTheme="minorHAnsi" w:cstheme="minorHAnsi"/>
          <w:b/>
          <w:i w:val="0"/>
          <w:color w:val="auto"/>
          <w:sz w:val="22"/>
          <w:szCs w:val="22"/>
        </w:rPr>
      </w:pPr>
      <w:r w:rsidRPr="002246FA">
        <w:rPr>
          <w:rFonts w:asciiTheme="minorHAnsi" w:hAnsiTheme="minorHAnsi" w:cstheme="minorHAnsi"/>
          <w:b/>
          <w:i w:val="0"/>
          <w:color w:val="auto"/>
          <w:sz w:val="22"/>
          <w:szCs w:val="22"/>
        </w:rPr>
        <w:t>Southern California Edison (REA)</w:t>
      </w:r>
    </w:p>
    <w:p w:rsidR="00587481" w:rsidRDefault="00587481" w:rsidP="00587481">
      <w:pPr>
        <w:pStyle w:val="Reminders"/>
        <w:rPr>
          <w:rFonts w:asciiTheme="minorHAnsi" w:hAnsiTheme="minorHAnsi" w:cstheme="minorHAnsi"/>
          <w:i w:val="0"/>
          <w:color w:val="auto"/>
          <w:sz w:val="22"/>
          <w:szCs w:val="22"/>
        </w:rPr>
      </w:pPr>
      <w:r w:rsidRPr="001E1ABC">
        <w:rPr>
          <w:rFonts w:asciiTheme="minorHAnsi" w:hAnsiTheme="minorHAnsi" w:cstheme="minorHAnsi"/>
          <w:i w:val="0"/>
          <w:color w:val="auto"/>
          <w:sz w:val="22"/>
          <w:szCs w:val="22"/>
        </w:rPr>
        <w:t>For this measure category, the base case cost is</w:t>
      </w:r>
      <w:r>
        <w:rPr>
          <w:rFonts w:asciiTheme="minorHAnsi" w:hAnsiTheme="minorHAnsi" w:cstheme="minorHAnsi"/>
          <w:i w:val="0"/>
          <w:color w:val="auto"/>
          <w:sz w:val="22"/>
          <w:szCs w:val="22"/>
        </w:rPr>
        <w:t xml:space="preserve"> taken from DEER documentation [26] which gives a cost of $839.17/1000 </w:t>
      </w:r>
      <w:proofErr w:type="spellStart"/>
      <w:r>
        <w:rPr>
          <w:rFonts w:asciiTheme="minorHAnsi" w:hAnsiTheme="minorHAnsi" w:cstheme="minorHAnsi"/>
          <w:i w:val="0"/>
          <w:color w:val="auto"/>
          <w:sz w:val="22"/>
          <w:szCs w:val="22"/>
        </w:rPr>
        <w:t>sq</w:t>
      </w:r>
      <w:proofErr w:type="spellEnd"/>
      <w:r>
        <w:rPr>
          <w:rFonts w:asciiTheme="minorHAnsi" w:hAnsiTheme="minorHAnsi" w:cstheme="minorHAnsi"/>
          <w:i w:val="0"/>
          <w:color w:val="auto"/>
          <w:sz w:val="22"/>
          <w:szCs w:val="22"/>
        </w:rPr>
        <w:t xml:space="preserve"> ft.</w:t>
      </w:r>
      <w:r w:rsidRPr="001E1ABC">
        <w:rPr>
          <w:rFonts w:asciiTheme="minorHAnsi" w:hAnsiTheme="minorHAnsi" w:cstheme="minorHAnsi"/>
          <w:i w:val="0"/>
          <w:color w:val="auto"/>
          <w:sz w:val="22"/>
          <w:szCs w:val="22"/>
        </w:rPr>
        <w:t xml:space="preserve"> </w:t>
      </w:r>
    </w:p>
    <w:p w:rsidR="00587481" w:rsidRPr="00003B9E" w:rsidRDefault="00587481" w:rsidP="00587481">
      <w:pPr>
        <w:pStyle w:val="Reminders"/>
        <w:rPr>
          <w:rFonts w:asciiTheme="minorHAnsi" w:hAnsiTheme="minorHAnsi" w:cstheme="minorHAnsi"/>
          <w:i w:val="0"/>
          <w:color w:val="auto"/>
          <w:sz w:val="22"/>
          <w:szCs w:val="22"/>
        </w:rPr>
      </w:pPr>
    </w:p>
    <w:p w:rsidR="003A2317" w:rsidRPr="002246FA" w:rsidRDefault="003A2317" w:rsidP="003A2317">
      <w:pPr>
        <w:pStyle w:val="Reminders"/>
        <w:rPr>
          <w:rFonts w:asciiTheme="minorHAnsi" w:hAnsiTheme="minorHAnsi" w:cstheme="minorHAnsi"/>
          <w:b/>
          <w:i w:val="0"/>
          <w:color w:val="auto"/>
          <w:sz w:val="22"/>
          <w:szCs w:val="22"/>
        </w:rPr>
      </w:pPr>
      <w:r w:rsidRPr="002246FA">
        <w:rPr>
          <w:rFonts w:asciiTheme="minorHAnsi" w:hAnsiTheme="minorHAnsi" w:cstheme="minorHAnsi"/>
          <w:b/>
          <w:i w:val="0"/>
          <w:color w:val="auto"/>
          <w:sz w:val="22"/>
          <w:szCs w:val="22"/>
        </w:rPr>
        <w:t>Pacific Gas and Electric (ROB)</w:t>
      </w:r>
    </w:p>
    <w:p w:rsidR="003A2317" w:rsidRDefault="003A2317" w:rsidP="003A2317">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 xml:space="preserve">The base case costs for PG&amp;E are given on a per household basis. The DEER cost values [26] are converted from per 1000 </w:t>
      </w:r>
      <w:proofErr w:type="spellStart"/>
      <w:r>
        <w:rPr>
          <w:rFonts w:asciiTheme="minorHAnsi" w:hAnsiTheme="minorHAnsi" w:cstheme="minorHAnsi"/>
          <w:i w:val="0"/>
          <w:color w:val="auto"/>
          <w:sz w:val="22"/>
          <w:szCs w:val="22"/>
        </w:rPr>
        <w:t>sq</w:t>
      </w:r>
      <w:proofErr w:type="spellEnd"/>
      <w:r>
        <w:rPr>
          <w:rFonts w:asciiTheme="minorHAnsi" w:hAnsiTheme="minorHAnsi" w:cstheme="minorHAnsi"/>
          <w:i w:val="0"/>
          <w:color w:val="auto"/>
          <w:sz w:val="22"/>
          <w:szCs w:val="22"/>
        </w:rPr>
        <w:t xml:space="preserve"> </w:t>
      </w:r>
      <w:proofErr w:type="spellStart"/>
      <w:r>
        <w:rPr>
          <w:rFonts w:asciiTheme="minorHAnsi" w:hAnsiTheme="minorHAnsi" w:cstheme="minorHAnsi"/>
          <w:i w:val="0"/>
          <w:color w:val="auto"/>
          <w:sz w:val="22"/>
          <w:szCs w:val="22"/>
        </w:rPr>
        <w:t>ft</w:t>
      </w:r>
      <w:proofErr w:type="spellEnd"/>
      <w:r>
        <w:rPr>
          <w:rFonts w:asciiTheme="minorHAnsi" w:hAnsiTheme="minorHAnsi" w:cstheme="minorHAnsi"/>
          <w:i w:val="0"/>
          <w:color w:val="auto"/>
          <w:sz w:val="22"/>
          <w:szCs w:val="22"/>
        </w:rPr>
        <w:t xml:space="preserve"> to per household using the methodology outlined in section 2 for the energy savings.</w:t>
      </w:r>
    </w:p>
    <w:p w:rsidR="003A2317" w:rsidRDefault="003A2317" w:rsidP="00587481">
      <w:pPr>
        <w:pStyle w:val="Reminders"/>
        <w:rPr>
          <w:rFonts w:asciiTheme="minorHAnsi" w:hAnsiTheme="minorHAnsi" w:cstheme="minorHAnsi"/>
          <w:i w:val="0"/>
          <w:color w:val="auto"/>
          <w:sz w:val="22"/>
          <w:szCs w:val="22"/>
        </w:rPr>
      </w:pPr>
    </w:p>
    <w:p w:rsidR="00337729" w:rsidRPr="002246FA" w:rsidRDefault="00587481" w:rsidP="00587481">
      <w:pPr>
        <w:spacing w:after="120" w:line="280" w:lineRule="atLeast"/>
        <w:rPr>
          <w:rFonts w:asciiTheme="minorHAnsi" w:hAnsiTheme="minorHAnsi" w:cstheme="minorHAnsi"/>
          <w:b/>
          <w:sz w:val="22"/>
          <w:szCs w:val="22"/>
          <w:u w:val="single"/>
        </w:rPr>
      </w:pPr>
      <w:r w:rsidRPr="002246FA">
        <w:rPr>
          <w:rFonts w:asciiTheme="minorHAnsi" w:hAnsiTheme="minorHAnsi" w:cstheme="minorHAnsi"/>
          <w:b/>
          <w:sz w:val="22"/>
          <w:szCs w:val="22"/>
          <w:u w:val="single"/>
        </w:rPr>
        <w:t>Non-</w:t>
      </w:r>
      <w:r w:rsidR="00337729" w:rsidRPr="002246FA">
        <w:rPr>
          <w:rFonts w:asciiTheme="minorHAnsi" w:hAnsiTheme="minorHAnsi" w:cstheme="minorHAnsi"/>
          <w:b/>
          <w:sz w:val="22"/>
          <w:szCs w:val="22"/>
          <w:u w:val="single"/>
        </w:rPr>
        <w:t>Residential Sector</w:t>
      </w:r>
    </w:p>
    <w:p w:rsidR="00587481" w:rsidRPr="00716084" w:rsidRDefault="00337729" w:rsidP="00587481">
      <w:pPr>
        <w:spacing w:after="120" w:line="280" w:lineRule="atLeast"/>
        <w:rPr>
          <w:rFonts w:asciiTheme="minorHAnsi" w:hAnsiTheme="minorHAnsi" w:cstheme="minorHAnsi"/>
          <w:b/>
          <w:sz w:val="22"/>
          <w:szCs w:val="22"/>
        </w:rPr>
      </w:pPr>
      <w:r>
        <w:rPr>
          <w:rFonts w:asciiTheme="minorHAnsi" w:hAnsiTheme="minorHAnsi" w:cstheme="minorHAnsi"/>
          <w:b/>
          <w:sz w:val="22"/>
          <w:szCs w:val="22"/>
        </w:rPr>
        <w:t xml:space="preserve">Southern California Edison </w:t>
      </w:r>
      <w:r w:rsidR="00587481" w:rsidRPr="00716084">
        <w:rPr>
          <w:rFonts w:asciiTheme="minorHAnsi" w:hAnsiTheme="minorHAnsi" w:cstheme="minorHAnsi"/>
          <w:b/>
          <w:sz w:val="22"/>
          <w:szCs w:val="22"/>
        </w:rPr>
        <w:t>(</w:t>
      </w:r>
      <w:r w:rsidR="00E332DA">
        <w:rPr>
          <w:rFonts w:asciiTheme="minorHAnsi" w:hAnsiTheme="minorHAnsi" w:cstheme="minorHAnsi"/>
          <w:b/>
          <w:sz w:val="22"/>
          <w:szCs w:val="22"/>
        </w:rPr>
        <w:t>ROB</w:t>
      </w:r>
      <w:r w:rsidR="00587481" w:rsidRPr="00716084">
        <w:rPr>
          <w:rFonts w:asciiTheme="minorHAnsi" w:hAnsiTheme="minorHAnsi" w:cstheme="minorHAnsi"/>
          <w:b/>
          <w:sz w:val="22"/>
          <w:szCs w:val="22"/>
        </w:rPr>
        <w:t>)</w:t>
      </w:r>
    </w:p>
    <w:p w:rsidR="00587481" w:rsidRDefault="00337729" w:rsidP="00587481">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T</w:t>
      </w:r>
      <w:r w:rsidR="00587481">
        <w:rPr>
          <w:rFonts w:asciiTheme="minorHAnsi" w:hAnsiTheme="minorHAnsi" w:cstheme="minorHAnsi"/>
          <w:i w:val="0"/>
          <w:color w:val="auto"/>
          <w:sz w:val="22"/>
          <w:szCs w:val="22"/>
        </w:rPr>
        <w:t>he base case cost for</w:t>
      </w:r>
      <w:r>
        <w:rPr>
          <w:rFonts w:asciiTheme="minorHAnsi" w:hAnsiTheme="minorHAnsi" w:cstheme="minorHAnsi"/>
          <w:i w:val="0"/>
          <w:color w:val="auto"/>
          <w:sz w:val="22"/>
          <w:szCs w:val="22"/>
        </w:rPr>
        <w:t xml:space="preserve"> DEER legacy measure D03-081</w:t>
      </w:r>
      <w:r w:rsidR="00587481">
        <w:rPr>
          <w:rFonts w:asciiTheme="minorHAnsi" w:hAnsiTheme="minorHAnsi" w:cstheme="minorHAnsi"/>
          <w:i w:val="0"/>
          <w:color w:val="auto"/>
          <w:sz w:val="22"/>
          <w:szCs w:val="22"/>
        </w:rPr>
        <w:t xml:space="preserve"> is used as a proxy for the base case for the non-residential sector</w:t>
      </w:r>
      <w:r w:rsidR="008E4374">
        <w:rPr>
          <w:rFonts w:asciiTheme="minorHAnsi" w:hAnsiTheme="minorHAnsi" w:cstheme="minorHAnsi"/>
          <w:i w:val="0"/>
          <w:color w:val="auto"/>
          <w:sz w:val="22"/>
          <w:szCs w:val="22"/>
        </w:rPr>
        <w:t xml:space="preserve"> as the savings are based off of D03-081</w:t>
      </w:r>
      <w:r w:rsidR="00587481">
        <w:rPr>
          <w:rFonts w:asciiTheme="minorHAnsi" w:hAnsiTheme="minorHAnsi" w:cstheme="minorHAnsi"/>
          <w:i w:val="0"/>
          <w:color w:val="auto"/>
          <w:sz w:val="22"/>
          <w:szCs w:val="22"/>
        </w:rPr>
        <w:t>. The base case cost is $837.81/Ton.</w:t>
      </w:r>
    </w:p>
    <w:p w:rsidR="00587481" w:rsidRPr="00697868" w:rsidRDefault="00587481" w:rsidP="003D2871">
      <w:pPr>
        <w:pStyle w:val="Reminders"/>
        <w:rPr>
          <w:rFonts w:asciiTheme="minorHAnsi" w:hAnsiTheme="minorHAnsi" w:cstheme="minorHAnsi"/>
          <w:sz w:val="22"/>
          <w:szCs w:val="22"/>
        </w:rPr>
      </w:pPr>
    </w:p>
    <w:p w:rsidR="005A0E53" w:rsidRPr="00697868" w:rsidRDefault="005A0E53" w:rsidP="005A0E53">
      <w:pPr>
        <w:pStyle w:val="Heading2"/>
        <w:rPr>
          <w:rFonts w:asciiTheme="minorHAnsi" w:hAnsiTheme="minorHAnsi" w:cstheme="minorHAnsi"/>
        </w:rPr>
      </w:pPr>
      <w:bookmarkStart w:id="24" w:name="_Toc214003098"/>
      <w:r w:rsidRPr="00697868">
        <w:rPr>
          <w:rFonts w:asciiTheme="minorHAnsi" w:hAnsiTheme="minorHAnsi" w:cstheme="minorHAnsi"/>
        </w:rPr>
        <w:t>4.</w:t>
      </w:r>
      <w:r>
        <w:rPr>
          <w:rFonts w:asciiTheme="minorHAnsi" w:hAnsiTheme="minorHAnsi" w:cstheme="minorHAnsi"/>
        </w:rPr>
        <w:t>2</w:t>
      </w:r>
      <w:r w:rsidRPr="00697868">
        <w:rPr>
          <w:rFonts w:asciiTheme="minorHAnsi" w:hAnsiTheme="minorHAnsi" w:cstheme="minorHAnsi"/>
        </w:rPr>
        <w:t xml:space="preserve"> </w:t>
      </w:r>
      <w:r>
        <w:rPr>
          <w:rFonts w:asciiTheme="minorHAnsi" w:hAnsiTheme="minorHAnsi" w:cstheme="minorHAnsi"/>
        </w:rPr>
        <w:t>Measure</w:t>
      </w:r>
      <w:r w:rsidRPr="00697868">
        <w:rPr>
          <w:rFonts w:asciiTheme="minorHAnsi" w:hAnsiTheme="minorHAnsi" w:cstheme="minorHAnsi"/>
        </w:rPr>
        <w:t xml:space="preserve"> Case Cost</w:t>
      </w:r>
    </w:p>
    <w:p w:rsidR="002342DE" w:rsidRDefault="002342DE" w:rsidP="005A0E53">
      <w:pPr>
        <w:pStyle w:val="Reminders"/>
        <w:rPr>
          <w:rFonts w:asciiTheme="minorHAnsi" w:hAnsiTheme="minorHAnsi" w:cstheme="minorHAnsi"/>
          <w:i w:val="0"/>
          <w:color w:val="auto"/>
          <w:sz w:val="22"/>
          <w:szCs w:val="22"/>
        </w:rPr>
      </w:pPr>
      <w:r w:rsidRPr="0051696C">
        <w:rPr>
          <w:rFonts w:asciiTheme="minorHAnsi" w:hAnsiTheme="minorHAnsi" w:cstheme="minorHAnsi"/>
          <w:i w:val="0"/>
          <w:color w:val="auto"/>
          <w:sz w:val="22"/>
          <w:szCs w:val="22"/>
        </w:rPr>
        <w:t xml:space="preserve">The measure </w:t>
      </w:r>
      <w:r w:rsidR="00BE1668" w:rsidRPr="0051696C">
        <w:rPr>
          <w:rFonts w:asciiTheme="minorHAnsi" w:hAnsiTheme="minorHAnsi" w:cstheme="minorHAnsi"/>
          <w:i w:val="0"/>
          <w:color w:val="auto"/>
          <w:sz w:val="22"/>
          <w:szCs w:val="22"/>
        </w:rPr>
        <w:t>case costs</w:t>
      </w:r>
      <w:r w:rsidRPr="0051696C">
        <w:rPr>
          <w:rFonts w:asciiTheme="minorHAnsi" w:hAnsiTheme="minorHAnsi" w:cstheme="minorHAnsi"/>
          <w:i w:val="0"/>
          <w:color w:val="auto"/>
          <w:sz w:val="22"/>
          <w:szCs w:val="22"/>
        </w:rPr>
        <w:t xml:space="preserve"> </w:t>
      </w:r>
      <w:r w:rsidR="00BE1668" w:rsidRPr="0051696C">
        <w:rPr>
          <w:rFonts w:asciiTheme="minorHAnsi" w:hAnsiTheme="minorHAnsi" w:cstheme="minorHAnsi"/>
          <w:i w:val="0"/>
          <w:color w:val="auto"/>
          <w:sz w:val="22"/>
          <w:szCs w:val="22"/>
        </w:rPr>
        <w:t xml:space="preserve">were taken from </w:t>
      </w:r>
      <w:r w:rsidRPr="0051696C">
        <w:rPr>
          <w:rFonts w:asciiTheme="minorHAnsi" w:hAnsiTheme="minorHAnsi" w:cstheme="minorHAnsi"/>
          <w:i w:val="0"/>
          <w:color w:val="auto"/>
          <w:sz w:val="22"/>
          <w:szCs w:val="22"/>
        </w:rPr>
        <w:t xml:space="preserve">DEER </w:t>
      </w:r>
      <w:r w:rsidR="00BE1668" w:rsidRPr="0051696C">
        <w:rPr>
          <w:rFonts w:asciiTheme="minorHAnsi" w:hAnsiTheme="minorHAnsi" w:cstheme="minorHAnsi"/>
          <w:i w:val="0"/>
          <w:color w:val="auto"/>
          <w:sz w:val="22"/>
          <w:szCs w:val="22"/>
        </w:rPr>
        <w:t>documentation [26] and are further described in the following section</w:t>
      </w:r>
      <w:r w:rsidRPr="0051696C">
        <w:rPr>
          <w:rFonts w:asciiTheme="minorHAnsi" w:hAnsiTheme="minorHAnsi" w:cstheme="minorHAnsi"/>
          <w:i w:val="0"/>
          <w:color w:val="auto"/>
          <w:sz w:val="22"/>
          <w:szCs w:val="22"/>
        </w:rPr>
        <w:t xml:space="preserve">.  </w:t>
      </w:r>
    </w:p>
    <w:p w:rsidR="009D4DE8" w:rsidRDefault="009D4DE8" w:rsidP="009D4DE8">
      <w:pPr>
        <w:pStyle w:val="Reminders"/>
        <w:rPr>
          <w:rFonts w:asciiTheme="minorHAnsi" w:hAnsiTheme="minorHAnsi" w:cstheme="minorHAnsi"/>
          <w:i w:val="0"/>
          <w:color w:val="auto"/>
          <w:sz w:val="22"/>
          <w:szCs w:val="22"/>
        </w:rPr>
      </w:pPr>
    </w:p>
    <w:p w:rsidR="009D4DE8" w:rsidRDefault="009D4DE8" w:rsidP="009D4DE8">
      <w:pPr>
        <w:spacing w:after="120" w:line="280" w:lineRule="atLeast"/>
        <w:rPr>
          <w:rFonts w:asciiTheme="minorHAnsi" w:hAnsiTheme="minorHAnsi" w:cstheme="minorHAnsi"/>
          <w:b/>
          <w:sz w:val="22"/>
          <w:szCs w:val="22"/>
          <w:u w:val="single"/>
        </w:rPr>
      </w:pPr>
      <w:r w:rsidRPr="00043767">
        <w:rPr>
          <w:rFonts w:asciiTheme="minorHAnsi" w:hAnsiTheme="minorHAnsi" w:cstheme="minorHAnsi"/>
          <w:b/>
          <w:sz w:val="22"/>
          <w:szCs w:val="22"/>
          <w:u w:val="single"/>
        </w:rPr>
        <w:t>Residential Sector</w:t>
      </w:r>
    </w:p>
    <w:p w:rsidR="009D4DE8" w:rsidRPr="002246FA" w:rsidRDefault="009D4DE8" w:rsidP="009D4DE8">
      <w:pPr>
        <w:pStyle w:val="Reminders"/>
        <w:rPr>
          <w:rFonts w:asciiTheme="minorHAnsi" w:hAnsiTheme="minorHAnsi" w:cstheme="minorHAnsi"/>
          <w:b/>
          <w:i w:val="0"/>
          <w:color w:val="auto"/>
          <w:sz w:val="22"/>
          <w:szCs w:val="22"/>
        </w:rPr>
      </w:pPr>
      <w:r w:rsidRPr="002246FA">
        <w:rPr>
          <w:rFonts w:asciiTheme="minorHAnsi" w:hAnsiTheme="minorHAnsi" w:cstheme="minorHAnsi"/>
          <w:b/>
          <w:i w:val="0"/>
          <w:color w:val="auto"/>
          <w:sz w:val="22"/>
          <w:szCs w:val="22"/>
        </w:rPr>
        <w:t>Southern California Edison (REA)</w:t>
      </w:r>
    </w:p>
    <w:p w:rsidR="009D4DE8" w:rsidRPr="002B7A8E" w:rsidRDefault="009D4DE8" w:rsidP="009D4DE8">
      <w:pPr>
        <w:pStyle w:val="Reminders"/>
        <w:rPr>
          <w:rFonts w:asciiTheme="minorHAnsi" w:hAnsiTheme="minorHAnsi" w:cstheme="minorHAnsi"/>
          <w:i w:val="0"/>
          <w:color w:val="auto"/>
          <w:sz w:val="22"/>
          <w:szCs w:val="22"/>
        </w:rPr>
      </w:pPr>
      <w:r w:rsidRPr="00AC7215">
        <w:rPr>
          <w:rFonts w:asciiTheme="minorHAnsi" w:hAnsiTheme="minorHAnsi" w:cstheme="minorHAnsi"/>
          <w:i w:val="0"/>
          <w:color w:val="auto"/>
          <w:sz w:val="22"/>
          <w:szCs w:val="22"/>
        </w:rPr>
        <w:t xml:space="preserve">A cost </w:t>
      </w:r>
      <w:r w:rsidRPr="002B7A8E">
        <w:rPr>
          <w:rFonts w:asciiTheme="minorHAnsi" w:hAnsiTheme="minorHAnsi" w:cstheme="minorHAnsi"/>
          <w:i w:val="0"/>
          <w:color w:val="auto"/>
          <w:sz w:val="22"/>
          <w:szCs w:val="22"/>
        </w:rPr>
        <w:t xml:space="preserve">of $96.10 per 1,000 sq. </w:t>
      </w:r>
      <w:proofErr w:type="spellStart"/>
      <w:r w:rsidRPr="002B7A8E">
        <w:rPr>
          <w:rFonts w:asciiTheme="minorHAnsi" w:hAnsiTheme="minorHAnsi" w:cstheme="minorHAnsi"/>
          <w:i w:val="0"/>
          <w:color w:val="auto"/>
          <w:sz w:val="22"/>
          <w:szCs w:val="22"/>
        </w:rPr>
        <w:t>ft</w:t>
      </w:r>
      <w:proofErr w:type="spellEnd"/>
      <w:r w:rsidRPr="002B7A8E">
        <w:rPr>
          <w:rFonts w:asciiTheme="minorHAnsi" w:hAnsiTheme="minorHAnsi" w:cstheme="minorHAnsi"/>
          <w:i w:val="0"/>
          <w:color w:val="auto"/>
          <w:sz w:val="22"/>
          <w:szCs w:val="22"/>
        </w:rPr>
        <w:t xml:space="preserve"> was added to the measure case cost to account for additional water usage typically associated with evaporative cooling measures. The water costs represent an average over the life of the measure, including inflation, from a sampling of water rate sheets from climate zones 6, 9 and 15.  The details of this calculation can be found in the attached Excel workbook ‘SCE15HC0130_Res_Rev 4’, worksheet ‘Water Costs</w:t>
      </w:r>
      <w:r w:rsidR="00C7307E" w:rsidRPr="002B7A8E">
        <w:rPr>
          <w:rFonts w:asciiTheme="minorHAnsi" w:hAnsiTheme="minorHAnsi" w:cstheme="minorHAnsi"/>
          <w:i w:val="0"/>
          <w:color w:val="auto"/>
          <w:sz w:val="22"/>
          <w:szCs w:val="22"/>
        </w:rPr>
        <w:t xml:space="preserve">’. </w:t>
      </w:r>
      <w:r w:rsidRPr="002B7A8E">
        <w:rPr>
          <w:rFonts w:asciiTheme="minorHAnsi" w:hAnsiTheme="minorHAnsi" w:cstheme="minorHAnsi"/>
          <w:i w:val="0"/>
          <w:color w:val="auto"/>
          <w:sz w:val="22"/>
          <w:szCs w:val="22"/>
        </w:rPr>
        <w:t>Rate schedules are attached.</w:t>
      </w:r>
    </w:p>
    <w:p w:rsidR="009D4DE8" w:rsidRPr="002B7A8E" w:rsidRDefault="009D4DE8" w:rsidP="009D4DE8">
      <w:pPr>
        <w:pStyle w:val="Reminders"/>
        <w:rPr>
          <w:rFonts w:asciiTheme="minorHAnsi" w:hAnsiTheme="minorHAnsi" w:cstheme="minorHAnsi"/>
          <w:i w:val="0"/>
          <w:color w:val="auto"/>
          <w:sz w:val="22"/>
          <w:szCs w:val="22"/>
        </w:rPr>
      </w:pPr>
    </w:p>
    <w:p w:rsidR="009D4DE8" w:rsidRPr="002B7A8E" w:rsidRDefault="009D4DE8" w:rsidP="009D4DE8">
      <w:pPr>
        <w:pStyle w:val="Reminders"/>
        <w:rPr>
          <w:rFonts w:asciiTheme="minorHAnsi" w:hAnsiTheme="minorHAnsi" w:cstheme="minorHAnsi"/>
          <w:b/>
          <w:i w:val="0"/>
          <w:color w:val="auto"/>
          <w:sz w:val="22"/>
          <w:szCs w:val="22"/>
        </w:rPr>
      </w:pPr>
      <w:r w:rsidRPr="002B7A8E">
        <w:rPr>
          <w:rFonts w:asciiTheme="minorHAnsi" w:hAnsiTheme="minorHAnsi" w:cstheme="minorHAnsi"/>
          <w:b/>
          <w:i w:val="0"/>
          <w:color w:val="auto"/>
          <w:sz w:val="22"/>
          <w:szCs w:val="22"/>
        </w:rPr>
        <w:t>Pacific Gas and Electric (ROB)</w:t>
      </w:r>
    </w:p>
    <w:p w:rsidR="009D4DE8" w:rsidRDefault="009D4DE8" w:rsidP="009D4DE8">
      <w:pPr>
        <w:pStyle w:val="Reminders"/>
        <w:rPr>
          <w:rFonts w:asciiTheme="minorHAnsi" w:hAnsiTheme="minorHAnsi" w:cstheme="minorHAnsi"/>
          <w:i w:val="0"/>
          <w:color w:val="auto"/>
          <w:sz w:val="22"/>
          <w:szCs w:val="22"/>
        </w:rPr>
      </w:pPr>
      <w:r w:rsidRPr="002B7A8E">
        <w:rPr>
          <w:rFonts w:asciiTheme="minorHAnsi" w:hAnsiTheme="minorHAnsi" w:cstheme="minorHAnsi"/>
          <w:i w:val="0"/>
          <w:color w:val="auto"/>
          <w:sz w:val="22"/>
          <w:szCs w:val="22"/>
        </w:rPr>
        <w:t>A cost of $70.14 per household was added to the measure case cost to account for additional water usage typically associated with evaporative</w:t>
      </w:r>
      <w:r w:rsidRPr="00481360">
        <w:rPr>
          <w:rFonts w:asciiTheme="minorHAnsi" w:hAnsiTheme="minorHAnsi" w:cstheme="minorHAnsi"/>
          <w:i w:val="0"/>
          <w:color w:val="auto"/>
          <w:sz w:val="22"/>
          <w:szCs w:val="22"/>
        </w:rPr>
        <w:t xml:space="preserve"> cooling measures. The water costs represent </w:t>
      </w:r>
      <w:r>
        <w:rPr>
          <w:rFonts w:asciiTheme="minorHAnsi" w:hAnsiTheme="minorHAnsi" w:cstheme="minorHAnsi"/>
          <w:i w:val="0"/>
          <w:color w:val="auto"/>
          <w:sz w:val="22"/>
          <w:szCs w:val="22"/>
        </w:rPr>
        <w:t xml:space="preserve">the average usage </w:t>
      </w:r>
      <w:r w:rsidRPr="00481360">
        <w:rPr>
          <w:rFonts w:asciiTheme="minorHAnsi" w:hAnsiTheme="minorHAnsi" w:cstheme="minorHAnsi"/>
          <w:i w:val="0"/>
          <w:color w:val="auto"/>
          <w:sz w:val="22"/>
          <w:szCs w:val="22"/>
        </w:rPr>
        <w:t>over the life of the measu</w:t>
      </w:r>
      <w:r>
        <w:rPr>
          <w:rFonts w:asciiTheme="minorHAnsi" w:hAnsiTheme="minorHAnsi" w:cstheme="minorHAnsi"/>
          <w:i w:val="0"/>
          <w:color w:val="auto"/>
          <w:sz w:val="22"/>
          <w:szCs w:val="22"/>
        </w:rPr>
        <w:t>re, including inflation, for climate zone 12.  The details of this calculation can be found in the attached Excel workbook ‘</w:t>
      </w:r>
      <w:r w:rsidRPr="00EB70DD">
        <w:rPr>
          <w:rFonts w:asciiTheme="minorHAnsi" w:hAnsiTheme="minorHAnsi" w:cstheme="minorHAnsi"/>
          <w:i w:val="0"/>
          <w:color w:val="auto"/>
          <w:sz w:val="22"/>
          <w:szCs w:val="22"/>
        </w:rPr>
        <w:t>SCE15HC01</w:t>
      </w:r>
      <w:r>
        <w:rPr>
          <w:rFonts w:asciiTheme="minorHAnsi" w:hAnsiTheme="minorHAnsi" w:cstheme="minorHAnsi"/>
          <w:i w:val="0"/>
          <w:color w:val="auto"/>
          <w:sz w:val="22"/>
          <w:szCs w:val="22"/>
        </w:rPr>
        <w:t>30_Res_Rev 4’, worksheet ‘</w:t>
      </w:r>
      <w:r w:rsidRPr="00EB70DD">
        <w:rPr>
          <w:rFonts w:asciiTheme="minorHAnsi" w:hAnsiTheme="minorHAnsi" w:cstheme="minorHAnsi"/>
          <w:i w:val="0"/>
          <w:color w:val="auto"/>
          <w:sz w:val="22"/>
          <w:szCs w:val="22"/>
        </w:rPr>
        <w:t>Water Costs</w:t>
      </w:r>
      <w:r>
        <w:rPr>
          <w:rFonts w:asciiTheme="minorHAnsi" w:hAnsiTheme="minorHAnsi" w:cstheme="minorHAnsi"/>
          <w:i w:val="0"/>
          <w:color w:val="auto"/>
          <w:sz w:val="22"/>
          <w:szCs w:val="22"/>
        </w:rPr>
        <w:t xml:space="preserve">’.  Rate schedules are attached.    </w:t>
      </w:r>
    </w:p>
    <w:p w:rsidR="009D4DE8" w:rsidRDefault="009D4DE8" w:rsidP="009D4DE8">
      <w:pPr>
        <w:pStyle w:val="Reminders"/>
        <w:rPr>
          <w:rFonts w:asciiTheme="minorHAnsi" w:hAnsiTheme="minorHAnsi" w:cstheme="minorHAnsi"/>
          <w:i w:val="0"/>
          <w:color w:val="auto"/>
          <w:sz w:val="22"/>
          <w:szCs w:val="22"/>
        </w:rPr>
      </w:pPr>
    </w:p>
    <w:p w:rsidR="009D4DE8" w:rsidRPr="00043767" w:rsidRDefault="009D4DE8" w:rsidP="009D4DE8">
      <w:pPr>
        <w:spacing w:after="120" w:line="280" w:lineRule="atLeast"/>
        <w:rPr>
          <w:rFonts w:asciiTheme="minorHAnsi" w:hAnsiTheme="minorHAnsi" w:cstheme="minorHAnsi"/>
          <w:b/>
          <w:i/>
          <w:sz w:val="22"/>
          <w:szCs w:val="22"/>
          <w:u w:val="single"/>
        </w:rPr>
      </w:pPr>
      <w:r w:rsidRPr="00911761">
        <w:rPr>
          <w:rFonts w:asciiTheme="minorHAnsi" w:hAnsiTheme="minorHAnsi" w:cstheme="minorHAnsi"/>
          <w:b/>
          <w:sz w:val="22"/>
          <w:szCs w:val="22"/>
          <w:u w:val="single"/>
        </w:rPr>
        <w:t xml:space="preserve">Non-residential </w:t>
      </w:r>
      <w:r>
        <w:rPr>
          <w:rFonts w:asciiTheme="minorHAnsi" w:hAnsiTheme="minorHAnsi" w:cstheme="minorHAnsi"/>
          <w:b/>
          <w:sz w:val="22"/>
          <w:szCs w:val="22"/>
          <w:u w:val="single"/>
        </w:rPr>
        <w:t>S</w:t>
      </w:r>
      <w:r w:rsidRPr="00043767">
        <w:rPr>
          <w:rFonts w:asciiTheme="minorHAnsi" w:hAnsiTheme="minorHAnsi" w:cstheme="minorHAnsi"/>
          <w:b/>
          <w:sz w:val="22"/>
          <w:szCs w:val="22"/>
          <w:u w:val="single"/>
        </w:rPr>
        <w:t>ector</w:t>
      </w:r>
    </w:p>
    <w:p w:rsidR="009D4DE8" w:rsidRDefault="009D4DE8" w:rsidP="009D4DE8">
      <w:pPr>
        <w:pStyle w:val="Reminders"/>
        <w:rPr>
          <w:rFonts w:asciiTheme="minorHAnsi" w:hAnsiTheme="minorHAnsi" w:cstheme="minorHAnsi"/>
          <w:i w:val="0"/>
          <w:color w:val="auto"/>
          <w:sz w:val="22"/>
          <w:szCs w:val="22"/>
        </w:rPr>
      </w:pPr>
      <w:r w:rsidRPr="00AC7215">
        <w:rPr>
          <w:rFonts w:asciiTheme="minorHAnsi" w:hAnsiTheme="minorHAnsi" w:cstheme="minorHAnsi"/>
          <w:i w:val="0"/>
          <w:color w:val="auto"/>
          <w:sz w:val="22"/>
          <w:szCs w:val="22"/>
        </w:rPr>
        <w:t xml:space="preserve">A </w:t>
      </w:r>
      <w:r w:rsidRPr="00786BCA">
        <w:rPr>
          <w:rFonts w:asciiTheme="minorHAnsi" w:hAnsiTheme="minorHAnsi" w:cstheme="minorHAnsi"/>
          <w:i w:val="0"/>
          <w:color w:val="auto"/>
          <w:sz w:val="22"/>
          <w:szCs w:val="22"/>
        </w:rPr>
        <w:t>cost of $124.15 per ton was added to the measure case cost to account for additional water usage typically associated with evaporative cooling measures. The water costs represent an average over the life of the measure, including inflation, from a sampling of water rate sheets from climate zones 9, 14 and 15.  This brings the total measure cost to $493.74.  The details of this calculation can be found in the attached Excel workbook ‘SCE15HC0130_NonRes</w:t>
      </w:r>
      <w:r>
        <w:rPr>
          <w:rFonts w:asciiTheme="minorHAnsi" w:hAnsiTheme="minorHAnsi" w:cstheme="minorHAnsi"/>
          <w:i w:val="0"/>
          <w:color w:val="auto"/>
          <w:sz w:val="22"/>
          <w:szCs w:val="22"/>
        </w:rPr>
        <w:t>_Rev 4’, worksheet ‘</w:t>
      </w:r>
      <w:r w:rsidRPr="00EB70DD">
        <w:rPr>
          <w:rFonts w:asciiTheme="minorHAnsi" w:hAnsiTheme="minorHAnsi" w:cstheme="minorHAnsi"/>
          <w:i w:val="0"/>
          <w:color w:val="auto"/>
          <w:sz w:val="22"/>
          <w:szCs w:val="22"/>
        </w:rPr>
        <w:t>Water Costs</w:t>
      </w:r>
      <w:r>
        <w:rPr>
          <w:rFonts w:asciiTheme="minorHAnsi" w:hAnsiTheme="minorHAnsi" w:cstheme="minorHAnsi"/>
          <w:i w:val="0"/>
          <w:color w:val="auto"/>
          <w:sz w:val="22"/>
          <w:szCs w:val="22"/>
        </w:rPr>
        <w:t>’.  Rate schedules are attached.</w:t>
      </w:r>
    </w:p>
    <w:p w:rsidR="009D4DE8" w:rsidRPr="0051696C" w:rsidRDefault="009D4DE8" w:rsidP="005A0E53">
      <w:pPr>
        <w:pStyle w:val="Reminders"/>
        <w:rPr>
          <w:rFonts w:asciiTheme="minorHAnsi" w:hAnsiTheme="minorHAnsi" w:cstheme="minorHAnsi"/>
          <w:i w:val="0"/>
          <w:color w:val="auto"/>
          <w:sz w:val="22"/>
          <w:szCs w:val="22"/>
        </w:rPr>
      </w:pPr>
    </w:p>
    <w:p w:rsidR="00E16609" w:rsidRDefault="005A0E53" w:rsidP="00E16609">
      <w:pPr>
        <w:pStyle w:val="Heading2"/>
        <w:keepNext w:val="0"/>
        <w:rPr>
          <w:rFonts w:asciiTheme="minorHAnsi" w:hAnsiTheme="minorHAnsi" w:cstheme="minorHAnsi"/>
        </w:rPr>
      </w:pPr>
      <w:r>
        <w:rPr>
          <w:rFonts w:asciiTheme="minorHAnsi" w:hAnsiTheme="minorHAnsi" w:cstheme="minorHAnsi"/>
        </w:rPr>
        <w:t>4.3</w:t>
      </w:r>
      <w:r w:rsidR="00E16609" w:rsidRPr="00697868">
        <w:rPr>
          <w:rFonts w:asciiTheme="minorHAnsi" w:hAnsiTheme="minorHAnsi" w:cstheme="minorHAnsi"/>
        </w:rPr>
        <w:t xml:space="preserve"> Gross</w:t>
      </w:r>
      <w:r>
        <w:rPr>
          <w:rFonts w:asciiTheme="minorHAnsi" w:hAnsiTheme="minorHAnsi" w:cstheme="minorHAnsi"/>
        </w:rPr>
        <w:t xml:space="preserve"> and Incremental</w:t>
      </w:r>
      <w:r w:rsidR="00E16609" w:rsidRPr="00697868">
        <w:rPr>
          <w:rFonts w:asciiTheme="minorHAnsi" w:hAnsiTheme="minorHAnsi" w:cstheme="minorHAnsi"/>
        </w:rPr>
        <w:t xml:space="preserve"> Measure Cost</w:t>
      </w:r>
      <w:bookmarkEnd w:id="24"/>
    </w:p>
    <w:p w:rsidR="005A0E53" w:rsidRDefault="005A0E53" w:rsidP="005A0E53">
      <w:pPr>
        <w:pStyle w:val="Heading3"/>
        <w:rPr>
          <w:rFonts w:asciiTheme="minorHAnsi" w:hAnsiTheme="minorHAnsi"/>
        </w:rPr>
      </w:pPr>
      <w:r w:rsidRPr="005A0E53">
        <w:rPr>
          <w:rFonts w:asciiTheme="minorHAnsi" w:hAnsiTheme="minorHAnsi"/>
        </w:rPr>
        <w:t>4.3.1 Gross Measure Cost</w:t>
      </w:r>
    </w:p>
    <w:p w:rsidR="00587481" w:rsidRPr="002246FA" w:rsidRDefault="00587481" w:rsidP="00587481">
      <w:pPr>
        <w:spacing w:after="120"/>
        <w:rPr>
          <w:rFonts w:asciiTheme="minorHAnsi" w:hAnsiTheme="minorHAnsi" w:cstheme="minorHAnsi"/>
          <w:b/>
          <w:sz w:val="22"/>
          <w:szCs w:val="22"/>
          <w:u w:val="single"/>
        </w:rPr>
      </w:pPr>
      <w:r w:rsidRPr="002246FA">
        <w:rPr>
          <w:rFonts w:asciiTheme="minorHAnsi" w:hAnsiTheme="minorHAnsi" w:cstheme="minorHAnsi"/>
          <w:b/>
          <w:sz w:val="22"/>
          <w:szCs w:val="22"/>
          <w:u w:val="single"/>
        </w:rPr>
        <w:t>Residential Sector</w:t>
      </w:r>
      <w:r w:rsidR="003A2317" w:rsidRPr="002246FA">
        <w:rPr>
          <w:rFonts w:asciiTheme="minorHAnsi" w:hAnsiTheme="minorHAnsi" w:cstheme="minorHAnsi"/>
          <w:b/>
          <w:sz w:val="22"/>
          <w:szCs w:val="22"/>
          <w:u w:val="single"/>
        </w:rPr>
        <w:t xml:space="preserve"> </w:t>
      </w:r>
    </w:p>
    <w:p w:rsidR="00D407A4" w:rsidRPr="00915D1D" w:rsidRDefault="00D407A4" w:rsidP="00D407A4">
      <w:pPr>
        <w:pStyle w:val="Reminders"/>
        <w:rPr>
          <w:rFonts w:asciiTheme="minorHAnsi" w:hAnsiTheme="minorHAnsi" w:cstheme="minorHAnsi"/>
          <w:b/>
          <w:i w:val="0"/>
          <w:color w:val="auto"/>
          <w:sz w:val="22"/>
          <w:szCs w:val="22"/>
        </w:rPr>
      </w:pPr>
      <w:r w:rsidRPr="00915D1D">
        <w:rPr>
          <w:rFonts w:asciiTheme="minorHAnsi" w:hAnsiTheme="minorHAnsi" w:cstheme="minorHAnsi"/>
          <w:b/>
          <w:i w:val="0"/>
          <w:color w:val="auto"/>
          <w:sz w:val="22"/>
          <w:szCs w:val="22"/>
        </w:rPr>
        <w:t>Southern California Edison (REA)</w:t>
      </w:r>
    </w:p>
    <w:p w:rsidR="00587481" w:rsidRPr="00834A5C" w:rsidRDefault="00587481" w:rsidP="00587481">
      <w:pPr>
        <w:rPr>
          <w:rFonts w:asciiTheme="minorHAnsi" w:hAnsiTheme="minorHAnsi" w:cstheme="minorHAnsi"/>
          <w:sz w:val="22"/>
          <w:szCs w:val="22"/>
        </w:rPr>
      </w:pPr>
      <w:r w:rsidRPr="00834A5C">
        <w:rPr>
          <w:rFonts w:asciiTheme="minorHAnsi" w:hAnsiTheme="minorHAnsi" w:cstheme="minorHAnsi"/>
          <w:sz w:val="22"/>
          <w:szCs w:val="22"/>
        </w:rPr>
        <w:t>The measure costs in DEER</w:t>
      </w:r>
      <w:r w:rsidR="00BE1668">
        <w:rPr>
          <w:rFonts w:asciiTheme="minorHAnsi" w:hAnsiTheme="minorHAnsi" w:cstheme="minorHAnsi"/>
          <w:sz w:val="22"/>
          <w:szCs w:val="22"/>
        </w:rPr>
        <w:t xml:space="preserve"> are</w:t>
      </w:r>
      <w:r w:rsidRPr="00834A5C">
        <w:rPr>
          <w:rFonts w:asciiTheme="minorHAnsi" w:hAnsiTheme="minorHAnsi" w:cstheme="minorHAnsi"/>
          <w:sz w:val="22"/>
          <w:szCs w:val="22"/>
        </w:rPr>
        <w:t xml:space="preserve"> per the common unit of 1000 ft</w:t>
      </w:r>
      <w:r w:rsidRPr="004011B7">
        <w:rPr>
          <w:rFonts w:asciiTheme="minorHAnsi" w:hAnsiTheme="minorHAnsi" w:cstheme="minorHAnsi"/>
          <w:sz w:val="22"/>
          <w:szCs w:val="22"/>
          <w:vertAlign w:val="superscript"/>
        </w:rPr>
        <w:t>2</w:t>
      </w:r>
      <w:r>
        <w:rPr>
          <w:rFonts w:asciiTheme="minorHAnsi" w:hAnsiTheme="minorHAnsi" w:cstheme="minorHAnsi"/>
          <w:sz w:val="22"/>
          <w:szCs w:val="22"/>
        </w:rPr>
        <w:t xml:space="preserve">. </w:t>
      </w:r>
      <w:r w:rsidRPr="00834A5C">
        <w:rPr>
          <w:rFonts w:asciiTheme="minorHAnsi" w:hAnsiTheme="minorHAnsi" w:cstheme="minorHAnsi"/>
          <w:sz w:val="22"/>
          <w:szCs w:val="22"/>
        </w:rPr>
        <w:t xml:space="preserve">This </w:t>
      </w:r>
      <w:r w:rsidR="00393486">
        <w:rPr>
          <w:rFonts w:asciiTheme="minorHAnsi" w:hAnsiTheme="minorHAnsi" w:cstheme="minorHAnsi"/>
          <w:sz w:val="22"/>
          <w:szCs w:val="22"/>
        </w:rPr>
        <w:t>wa</w:t>
      </w:r>
      <w:r w:rsidRPr="00834A5C">
        <w:rPr>
          <w:rFonts w:asciiTheme="minorHAnsi" w:hAnsiTheme="minorHAnsi" w:cstheme="minorHAnsi"/>
          <w:sz w:val="22"/>
          <w:szCs w:val="22"/>
        </w:rPr>
        <w:t xml:space="preserve">s calculated according to the following equation with specific calculations available in the </w:t>
      </w:r>
      <w:r w:rsidR="00820B02">
        <w:rPr>
          <w:rFonts w:asciiTheme="minorHAnsi" w:hAnsiTheme="minorHAnsi" w:cstheme="minorHAnsi"/>
          <w:sz w:val="22"/>
          <w:szCs w:val="22"/>
        </w:rPr>
        <w:t xml:space="preserve">last version of this </w:t>
      </w:r>
      <w:proofErr w:type="spellStart"/>
      <w:r w:rsidR="00820B02">
        <w:rPr>
          <w:rFonts w:asciiTheme="minorHAnsi" w:hAnsiTheme="minorHAnsi" w:cstheme="minorHAnsi"/>
          <w:sz w:val="22"/>
          <w:szCs w:val="22"/>
        </w:rPr>
        <w:t>workpaper</w:t>
      </w:r>
      <w:proofErr w:type="spellEnd"/>
      <w:r w:rsidR="00820B02">
        <w:rPr>
          <w:rFonts w:asciiTheme="minorHAnsi" w:hAnsiTheme="minorHAnsi" w:cstheme="minorHAnsi"/>
          <w:sz w:val="22"/>
          <w:szCs w:val="22"/>
        </w:rPr>
        <w:t>.</w:t>
      </w:r>
    </w:p>
    <w:p w:rsidR="00587481" w:rsidRPr="00834A5C" w:rsidRDefault="00587481" w:rsidP="00587481">
      <w:pPr>
        <w:rPr>
          <w:rFonts w:asciiTheme="minorHAnsi" w:hAnsiTheme="minorHAnsi" w:cstheme="minorHAnsi"/>
          <w:sz w:val="22"/>
          <w:szCs w:val="22"/>
        </w:rPr>
      </w:pPr>
    </w:p>
    <w:p w:rsidR="00587481" w:rsidRPr="00834A5C" w:rsidRDefault="00587481" w:rsidP="00587481">
      <w:pPr>
        <w:jc w:val="center"/>
        <w:rPr>
          <w:rFonts w:asciiTheme="minorHAnsi" w:hAnsiTheme="minorHAnsi" w:cstheme="minorHAnsi"/>
          <w:sz w:val="22"/>
          <w:szCs w:val="22"/>
        </w:rPr>
      </w:pPr>
      <w:r w:rsidRPr="00834A5C">
        <w:rPr>
          <w:rFonts w:asciiTheme="minorHAnsi" w:hAnsiTheme="minorHAnsi" w:cstheme="minorHAnsi"/>
          <w:sz w:val="22"/>
          <w:szCs w:val="22"/>
        </w:rPr>
        <w:t>[Installed Cost (</w:t>
      </w:r>
      <w:proofErr w:type="spellStart"/>
      <w:r w:rsidRPr="00834A5C">
        <w:rPr>
          <w:rFonts w:asciiTheme="minorHAnsi" w:hAnsiTheme="minorHAnsi" w:cstheme="minorHAnsi"/>
          <w:sz w:val="22"/>
          <w:szCs w:val="22"/>
        </w:rPr>
        <w:t>CZ</w:t>
      </w:r>
      <w:proofErr w:type="gramStart"/>
      <w:r w:rsidRPr="00834A5C">
        <w:rPr>
          <w:rFonts w:asciiTheme="minorHAnsi" w:hAnsiTheme="minorHAnsi" w:cstheme="minorHAnsi"/>
          <w:sz w:val="22"/>
          <w:szCs w:val="22"/>
        </w:rPr>
        <w:t>,Vintage</w:t>
      </w:r>
      <w:proofErr w:type="spellEnd"/>
      <w:proofErr w:type="gramEnd"/>
      <w:r w:rsidRPr="00834A5C">
        <w:rPr>
          <w:rFonts w:asciiTheme="minorHAnsi" w:hAnsiTheme="minorHAnsi" w:cstheme="minorHAnsi"/>
          <w:sz w:val="22"/>
          <w:szCs w:val="22"/>
        </w:rPr>
        <w:t>)] ÷ [Number of Common Units (CZ, Vintage)] = $/1000sqft</w:t>
      </w:r>
    </w:p>
    <w:p w:rsidR="00587481" w:rsidRPr="00834A5C" w:rsidRDefault="00587481" w:rsidP="00587481">
      <w:pPr>
        <w:rPr>
          <w:rFonts w:asciiTheme="minorHAnsi" w:hAnsiTheme="minorHAnsi" w:cstheme="minorHAnsi"/>
          <w:sz w:val="22"/>
          <w:szCs w:val="22"/>
        </w:rPr>
      </w:pPr>
    </w:p>
    <w:p w:rsidR="00587481" w:rsidRPr="00C20463" w:rsidRDefault="00587481" w:rsidP="00587481">
      <w:pPr>
        <w:spacing w:before="40" w:after="40"/>
        <w:rPr>
          <w:rFonts w:asciiTheme="minorHAnsi" w:hAnsiTheme="minorHAnsi" w:cstheme="minorHAnsi"/>
          <w:sz w:val="22"/>
          <w:szCs w:val="22"/>
        </w:rPr>
      </w:pPr>
      <w:r w:rsidRPr="00834A5C">
        <w:rPr>
          <w:rFonts w:asciiTheme="minorHAnsi" w:hAnsiTheme="minorHAnsi" w:cstheme="minorHAnsi"/>
          <w:sz w:val="22"/>
          <w:szCs w:val="22"/>
        </w:rPr>
        <w:t>To obtain a per 1000 ft</w:t>
      </w:r>
      <w:r w:rsidRPr="00D01DCC">
        <w:rPr>
          <w:rFonts w:asciiTheme="minorHAnsi" w:hAnsiTheme="minorHAnsi" w:cstheme="minorHAnsi"/>
          <w:sz w:val="22"/>
          <w:szCs w:val="22"/>
          <w:vertAlign w:val="superscript"/>
        </w:rPr>
        <w:t>2</w:t>
      </w:r>
      <w:r w:rsidRPr="00834A5C">
        <w:rPr>
          <w:rFonts w:asciiTheme="minorHAnsi" w:hAnsiTheme="minorHAnsi" w:cstheme="minorHAnsi"/>
          <w:sz w:val="22"/>
          <w:szCs w:val="22"/>
        </w:rPr>
        <w:t xml:space="preserve"> that is consistent across the residential building types</w:t>
      </w:r>
      <w:r w:rsidR="008A5262">
        <w:rPr>
          <w:rFonts w:asciiTheme="minorHAnsi" w:hAnsiTheme="minorHAnsi" w:cstheme="minorHAnsi"/>
          <w:sz w:val="22"/>
          <w:szCs w:val="22"/>
        </w:rPr>
        <w:t>,</w:t>
      </w:r>
      <w:r w:rsidR="009D4DE8">
        <w:rPr>
          <w:rFonts w:asciiTheme="minorHAnsi" w:hAnsiTheme="minorHAnsi" w:cstheme="minorHAnsi"/>
          <w:sz w:val="22"/>
          <w:szCs w:val="22"/>
        </w:rPr>
        <w:t xml:space="preserve"> the measure case costs </w:t>
      </w:r>
      <w:r w:rsidR="009D4DE8" w:rsidRPr="00C20463">
        <w:rPr>
          <w:rFonts w:asciiTheme="minorHAnsi" w:hAnsiTheme="minorHAnsi" w:cstheme="minorHAnsi"/>
          <w:sz w:val="22"/>
          <w:szCs w:val="22"/>
        </w:rPr>
        <w:t>described above were</w:t>
      </w:r>
      <w:r w:rsidRPr="00C20463">
        <w:rPr>
          <w:rFonts w:asciiTheme="minorHAnsi" w:hAnsiTheme="minorHAnsi" w:cstheme="minorHAnsi"/>
          <w:sz w:val="22"/>
          <w:szCs w:val="22"/>
        </w:rPr>
        <w:t xml:space="preserve"> average</w:t>
      </w:r>
      <w:r w:rsidR="008A5262" w:rsidRPr="00C20463">
        <w:rPr>
          <w:rFonts w:asciiTheme="minorHAnsi" w:hAnsiTheme="minorHAnsi" w:cstheme="minorHAnsi"/>
          <w:sz w:val="22"/>
          <w:szCs w:val="22"/>
        </w:rPr>
        <w:t>d</w:t>
      </w:r>
      <w:r w:rsidRPr="00C20463">
        <w:rPr>
          <w:rFonts w:asciiTheme="minorHAnsi" w:hAnsiTheme="minorHAnsi" w:cstheme="minorHAnsi"/>
          <w:sz w:val="22"/>
          <w:szCs w:val="22"/>
        </w:rPr>
        <w:t xml:space="preserve"> for the three building types.</w:t>
      </w:r>
      <w:r w:rsidR="00393486" w:rsidRPr="00C20463">
        <w:rPr>
          <w:rFonts w:asciiTheme="minorHAnsi" w:hAnsiTheme="minorHAnsi" w:cstheme="minorHAnsi"/>
          <w:sz w:val="22"/>
          <w:szCs w:val="22"/>
        </w:rPr>
        <w:t xml:space="preserve">  The result is an average</w:t>
      </w:r>
      <w:r w:rsidR="00820B02" w:rsidRPr="00C20463">
        <w:rPr>
          <w:rFonts w:asciiTheme="minorHAnsi" w:hAnsiTheme="minorHAnsi" w:cstheme="minorHAnsi"/>
          <w:sz w:val="22"/>
          <w:szCs w:val="22"/>
        </w:rPr>
        <w:t xml:space="preserve"> $</w:t>
      </w:r>
      <w:r w:rsidR="009D4DE8" w:rsidRPr="00C20463">
        <w:rPr>
          <w:rFonts w:asciiTheme="minorHAnsi" w:hAnsiTheme="minorHAnsi" w:cstheme="minorHAnsi"/>
          <w:sz w:val="22"/>
          <w:szCs w:val="22"/>
        </w:rPr>
        <w:t>1,723.66</w:t>
      </w:r>
      <w:r w:rsidR="00820B02" w:rsidRPr="00C20463">
        <w:rPr>
          <w:rFonts w:asciiTheme="minorHAnsi" w:hAnsiTheme="minorHAnsi" w:cstheme="minorHAnsi"/>
          <w:sz w:val="22"/>
          <w:szCs w:val="22"/>
        </w:rPr>
        <w:t>/1000sqft.</w:t>
      </w:r>
    </w:p>
    <w:p w:rsidR="00587481" w:rsidRPr="00C20463" w:rsidRDefault="00587481" w:rsidP="00587481">
      <w:pPr>
        <w:spacing w:before="40" w:after="40"/>
        <w:rPr>
          <w:rFonts w:asciiTheme="minorHAnsi" w:hAnsiTheme="minorHAnsi" w:cstheme="minorHAnsi"/>
          <w:sz w:val="22"/>
          <w:szCs w:val="22"/>
        </w:rPr>
      </w:pPr>
    </w:p>
    <w:p w:rsidR="00820B02" w:rsidRPr="00834A5C" w:rsidRDefault="00820B02" w:rsidP="00820B02">
      <w:pPr>
        <w:spacing w:before="40" w:after="40"/>
        <w:rPr>
          <w:rFonts w:asciiTheme="minorHAnsi" w:hAnsiTheme="minorHAnsi" w:cstheme="minorHAnsi"/>
          <w:sz w:val="22"/>
          <w:szCs w:val="22"/>
        </w:rPr>
      </w:pPr>
      <w:r w:rsidRPr="00C20463">
        <w:rPr>
          <w:rFonts w:asciiTheme="minorHAnsi" w:hAnsiTheme="minorHAnsi" w:cstheme="minorHAnsi"/>
          <w:sz w:val="22"/>
          <w:szCs w:val="22"/>
        </w:rPr>
        <w:t>For installations that include pressure relief dampers, an additional fixed cost of $200 per cooler was added. The company Climate Control Systems, (</w:t>
      </w:r>
      <w:hyperlink r:id="rId18" w:history="1">
        <w:r w:rsidRPr="00C20463">
          <w:rPr>
            <w:rFonts w:asciiTheme="minorHAnsi" w:hAnsiTheme="minorHAnsi" w:cstheme="minorHAnsi"/>
            <w:sz w:val="22"/>
            <w:szCs w:val="22"/>
          </w:rPr>
          <w:t>www.updux.com</w:t>
        </w:r>
      </w:hyperlink>
      <w:r w:rsidRPr="00C20463">
        <w:rPr>
          <w:rFonts w:asciiTheme="minorHAnsi" w:hAnsiTheme="minorHAnsi" w:cstheme="minorHAnsi"/>
          <w:sz w:val="22"/>
          <w:szCs w:val="22"/>
        </w:rPr>
        <w:t>, CA Contractors</w:t>
      </w:r>
      <w:r w:rsidRPr="00834A5C">
        <w:rPr>
          <w:rFonts w:asciiTheme="minorHAnsi" w:hAnsiTheme="minorHAnsi" w:cstheme="minorHAnsi"/>
          <w:sz w:val="22"/>
          <w:szCs w:val="22"/>
        </w:rPr>
        <w:t xml:space="preserve"> </w:t>
      </w:r>
      <w:proofErr w:type="spellStart"/>
      <w:r w:rsidRPr="00834A5C">
        <w:rPr>
          <w:rFonts w:asciiTheme="minorHAnsi" w:hAnsiTheme="minorHAnsi" w:cstheme="minorHAnsi"/>
          <w:sz w:val="22"/>
          <w:szCs w:val="22"/>
        </w:rPr>
        <w:t>Lic</w:t>
      </w:r>
      <w:proofErr w:type="spellEnd"/>
      <w:proofErr w:type="gramStart"/>
      <w:r w:rsidRPr="00834A5C">
        <w:rPr>
          <w:rFonts w:asciiTheme="minorHAnsi" w:hAnsiTheme="minorHAnsi" w:cstheme="minorHAnsi"/>
          <w:sz w:val="22"/>
          <w:szCs w:val="22"/>
        </w:rPr>
        <w:t>.#</w:t>
      </w:r>
      <w:proofErr w:type="gramEnd"/>
      <w:r w:rsidRPr="00834A5C">
        <w:rPr>
          <w:rFonts w:asciiTheme="minorHAnsi" w:hAnsiTheme="minorHAnsi" w:cstheme="minorHAnsi"/>
          <w:sz w:val="22"/>
          <w:szCs w:val="22"/>
        </w:rPr>
        <w:t xml:space="preserve"> 782461) offers a package of six “Up-dux” pressure relief dampers for $284. Thus, installing three dampers per site would cost $142 plus $58 for installation labor and miscellaneous parts.</w:t>
      </w:r>
      <w:r>
        <w:rPr>
          <w:rFonts w:asciiTheme="minorHAnsi" w:hAnsiTheme="minorHAnsi" w:cstheme="minorHAnsi"/>
          <w:sz w:val="22"/>
          <w:szCs w:val="22"/>
        </w:rPr>
        <w:t xml:space="preserve">  This can be found in the attachment labeled “</w:t>
      </w:r>
      <w:r w:rsidRPr="00820B02">
        <w:rPr>
          <w:rFonts w:asciiTheme="minorHAnsi" w:hAnsiTheme="minorHAnsi" w:cstheme="minorHAnsi"/>
          <w:sz w:val="22"/>
          <w:szCs w:val="22"/>
        </w:rPr>
        <w:t>Calculation Template 2015 v</w:t>
      </w:r>
      <w:r w:rsidR="00D323C3">
        <w:rPr>
          <w:rFonts w:asciiTheme="minorHAnsi" w:hAnsiTheme="minorHAnsi" w:cstheme="minorHAnsi"/>
          <w:sz w:val="22"/>
          <w:szCs w:val="22"/>
        </w:rPr>
        <w:t>6</w:t>
      </w:r>
      <w:r>
        <w:rPr>
          <w:rFonts w:asciiTheme="minorHAnsi" w:hAnsiTheme="minorHAnsi" w:cstheme="minorHAnsi"/>
          <w:sz w:val="22"/>
          <w:szCs w:val="22"/>
        </w:rPr>
        <w:t>”</w:t>
      </w:r>
      <w:r w:rsidR="00D323C3">
        <w:rPr>
          <w:rFonts w:asciiTheme="minorHAnsi" w:hAnsiTheme="minorHAnsi" w:cstheme="minorHAnsi"/>
          <w:sz w:val="22"/>
          <w:szCs w:val="22"/>
        </w:rPr>
        <w:t>.</w:t>
      </w:r>
    </w:p>
    <w:p w:rsidR="00820B02" w:rsidRPr="00834A5C" w:rsidRDefault="00820B02" w:rsidP="00587481">
      <w:pPr>
        <w:spacing w:before="40" w:after="40"/>
        <w:rPr>
          <w:rFonts w:asciiTheme="minorHAnsi" w:hAnsiTheme="minorHAnsi" w:cstheme="minorHAnsi"/>
          <w:sz w:val="22"/>
          <w:szCs w:val="22"/>
        </w:rPr>
      </w:pPr>
    </w:p>
    <w:p w:rsidR="00587481" w:rsidRDefault="00587481" w:rsidP="00587481">
      <w:pPr>
        <w:rPr>
          <w:rFonts w:asciiTheme="minorHAnsi" w:hAnsiTheme="minorHAnsi" w:cstheme="minorHAnsi"/>
          <w:sz w:val="22"/>
          <w:szCs w:val="22"/>
        </w:rPr>
      </w:pPr>
      <w:r w:rsidRPr="00834A5C">
        <w:rPr>
          <w:rFonts w:asciiTheme="minorHAnsi" w:hAnsiTheme="minorHAnsi" w:cstheme="minorHAnsi"/>
          <w:sz w:val="22"/>
          <w:szCs w:val="22"/>
        </w:rPr>
        <w:t xml:space="preserve">For direct install, SCE directly utilizes one or more contractors as part of the program.  The actual cost can vary by contractor, the date in which the work occurred, </w:t>
      </w:r>
      <w:r>
        <w:rPr>
          <w:rFonts w:asciiTheme="minorHAnsi" w:hAnsiTheme="minorHAnsi" w:cstheme="minorHAnsi"/>
          <w:sz w:val="22"/>
          <w:szCs w:val="22"/>
        </w:rPr>
        <w:t xml:space="preserve">and by the volume of business. </w:t>
      </w:r>
      <w:r w:rsidRPr="00834A5C">
        <w:rPr>
          <w:rFonts w:asciiTheme="minorHAnsi" w:hAnsiTheme="minorHAnsi" w:cstheme="minorHAnsi"/>
          <w:sz w:val="22"/>
          <w:szCs w:val="22"/>
        </w:rPr>
        <w:t>Contractor costs are confidential information and are based upon contractually agreed upon pricing as established in their purchase order with SCE; therefore, the SCE program tracking system is the only source for this data.</w:t>
      </w:r>
    </w:p>
    <w:p w:rsidR="00D407A4" w:rsidRPr="00834A5C" w:rsidRDefault="00D407A4" w:rsidP="00587481">
      <w:pPr>
        <w:rPr>
          <w:rFonts w:asciiTheme="minorHAnsi" w:hAnsiTheme="minorHAnsi" w:cstheme="minorHAnsi"/>
          <w:sz w:val="22"/>
          <w:szCs w:val="22"/>
        </w:rPr>
      </w:pPr>
    </w:p>
    <w:p w:rsidR="00D407A4" w:rsidRPr="00915D1D" w:rsidRDefault="00D407A4" w:rsidP="00D407A4">
      <w:pPr>
        <w:pStyle w:val="Reminders"/>
        <w:rPr>
          <w:rFonts w:asciiTheme="minorHAnsi" w:hAnsiTheme="minorHAnsi" w:cstheme="minorHAnsi"/>
          <w:b/>
          <w:i w:val="0"/>
          <w:color w:val="auto"/>
          <w:sz w:val="22"/>
          <w:szCs w:val="22"/>
        </w:rPr>
      </w:pPr>
      <w:r w:rsidRPr="00C20463">
        <w:rPr>
          <w:rFonts w:asciiTheme="minorHAnsi" w:hAnsiTheme="minorHAnsi" w:cstheme="minorHAnsi"/>
          <w:b/>
          <w:i w:val="0"/>
          <w:color w:val="auto"/>
          <w:sz w:val="22"/>
          <w:szCs w:val="22"/>
        </w:rPr>
        <w:t>Pacific Gas and Electric (ROB)</w:t>
      </w:r>
    </w:p>
    <w:p w:rsidR="00D407A4" w:rsidRDefault="00D407A4" w:rsidP="00D407A4">
      <w:pPr>
        <w:spacing w:before="40" w:after="40"/>
        <w:rPr>
          <w:rFonts w:asciiTheme="minorHAnsi" w:hAnsiTheme="minorHAnsi" w:cstheme="minorHAnsi"/>
          <w:sz w:val="22"/>
          <w:szCs w:val="22"/>
        </w:rPr>
      </w:pPr>
      <w:r>
        <w:rPr>
          <w:rFonts w:asciiTheme="minorHAnsi" w:hAnsiTheme="minorHAnsi" w:cstheme="minorHAnsi"/>
          <w:sz w:val="22"/>
          <w:szCs w:val="22"/>
        </w:rPr>
        <w:t>For measures specific to PG&amp;E climate zones (ROB), the costs were calculated as described above with the following differences:</w:t>
      </w:r>
    </w:p>
    <w:p w:rsidR="00D407A4" w:rsidRDefault="00D407A4" w:rsidP="002246FA">
      <w:pPr>
        <w:pStyle w:val="ListParagraph"/>
        <w:numPr>
          <w:ilvl w:val="0"/>
          <w:numId w:val="25"/>
        </w:numPr>
        <w:spacing w:before="40" w:after="40"/>
        <w:rPr>
          <w:rFonts w:asciiTheme="minorHAnsi" w:hAnsiTheme="minorHAnsi" w:cstheme="minorHAnsi"/>
          <w:sz w:val="22"/>
          <w:szCs w:val="22"/>
        </w:rPr>
      </w:pPr>
      <w:r>
        <w:rPr>
          <w:rFonts w:asciiTheme="minorHAnsi" w:hAnsiTheme="minorHAnsi" w:cstheme="minorHAnsi"/>
          <w:sz w:val="22"/>
          <w:szCs w:val="22"/>
        </w:rPr>
        <w:t xml:space="preserve">Gross measure costs </w:t>
      </w:r>
      <w:r w:rsidRPr="002246FA">
        <w:rPr>
          <w:rFonts w:asciiTheme="minorHAnsi" w:hAnsiTheme="minorHAnsi" w:cstheme="minorHAnsi"/>
          <w:sz w:val="22"/>
          <w:szCs w:val="22"/>
        </w:rPr>
        <w:t xml:space="preserve">are </w:t>
      </w:r>
      <w:r>
        <w:rPr>
          <w:rFonts w:asciiTheme="minorHAnsi" w:hAnsiTheme="minorHAnsi" w:cstheme="minorHAnsi"/>
          <w:sz w:val="22"/>
          <w:szCs w:val="22"/>
        </w:rPr>
        <w:t>equal to the</w:t>
      </w:r>
      <w:r w:rsidRPr="003163AB">
        <w:rPr>
          <w:rFonts w:asciiTheme="minorHAnsi" w:hAnsiTheme="minorHAnsi" w:cstheme="minorHAnsi"/>
          <w:sz w:val="22"/>
          <w:szCs w:val="22"/>
        </w:rPr>
        <w:t xml:space="preserve"> incremental measure cost as described below.</w:t>
      </w:r>
      <w:r w:rsidRPr="002246FA">
        <w:rPr>
          <w:rFonts w:asciiTheme="minorHAnsi" w:hAnsiTheme="minorHAnsi" w:cstheme="minorHAnsi"/>
          <w:sz w:val="22"/>
          <w:szCs w:val="22"/>
        </w:rPr>
        <w:t xml:space="preserve">  </w:t>
      </w:r>
    </w:p>
    <w:p w:rsidR="00D407A4" w:rsidRPr="002246FA" w:rsidRDefault="00D407A4" w:rsidP="002246FA">
      <w:pPr>
        <w:pStyle w:val="ListParagraph"/>
        <w:numPr>
          <w:ilvl w:val="0"/>
          <w:numId w:val="25"/>
        </w:numPr>
        <w:spacing w:before="40" w:after="40"/>
        <w:rPr>
          <w:rFonts w:asciiTheme="minorHAnsi" w:hAnsiTheme="minorHAnsi" w:cstheme="minorHAnsi"/>
          <w:sz w:val="22"/>
          <w:szCs w:val="22"/>
        </w:rPr>
      </w:pPr>
      <w:r>
        <w:rPr>
          <w:rFonts w:asciiTheme="minorHAnsi" w:hAnsiTheme="minorHAnsi" w:cstheme="minorHAnsi"/>
          <w:sz w:val="22"/>
          <w:szCs w:val="22"/>
        </w:rPr>
        <w:t>Gross measure costs ar</w:t>
      </w:r>
      <w:r w:rsidRPr="00915D1D">
        <w:rPr>
          <w:rFonts w:asciiTheme="minorHAnsi" w:hAnsiTheme="minorHAnsi" w:cstheme="minorHAnsi"/>
          <w:sz w:val="22"/>
          <w:szCs w:val="22"/>
        </w:rPr>
        <w:t>e converted to a per household basis</w:t>
      </w:r>
      <w:r>
        <w:rPr>
          <w:rFonts w:asciiTheme="minorHAnsi" w:hAnsiTheme="minorHAnsi" w:cstheme="minorHAnsi"/>
          <w:sz w:val="22"/>
          <w:szCs w:val="22"/>
        </w:rPr>
        <w:t>.</w:t>
      </w:r>
    </w:p>
    <w:p w:rsidR="00D407A4" w:rsidRPr="002246FA" w:rsidRDefault="00D407A4" w:rsidP="00003B9E">
      <w:pPr>
        <w:spacing w:before="40" w:after="40"/>
        <w:rPr>
          <w:rFonts w:asciiTheme="minorHAnsi" w:hAnsiTheme="minorHAnsi" w:cstheme="minorHAnsi"/>
          <w:sz w:val="22"/>
          <w:szCs w:val="22"/>
        </w:rPr>
      </w:pPr>
      <w:r w:rsidRPr="002246FA">
        <w:rPr>
          <w:rFonts w:asciiTheme="minorHAnsi" w:hAnsiTheme="minorHAnsi" w:cstheme="minorHAnsi"/>
          <w:sz w:val="22"/>
          <w:szCs w:val="22"/>
        </w:rPr>
        <w:t xml:space="preserve">This calculation can be found in the attachment labeled “SCE15HC0130_Res_Rev </w:t>
      </w:r>
      <w:r w:rsidR="00D323C3">
        <w:rPr>
          <w:rFonts w:asciiTheme="minorHAnsi" w:hAnsiTheme="minorHAnsi" w:cstheme="minorHAnsi"/>
          <w:sz w:val="22"/>
          <w:szCs w:val="22"/>
        </w:rPr>
        <w:t>4</w:t>
      </w:r>
      <w:r w:rsidRPr="002246FA">
        <w:rPr>
          <w:rFonts w:asciiTheme="minorHAnsi" w:hAnsiTheme="minorHAnsi" w:cstheme="minorHAnsi"/>
          <w:sz w:val="22"/>
          <w:szCs w:val="22"/>
        </w:rPr>
        <w:t>.”</w:t>
      </w:r>
    </w:p>
    <w:p w:rsidR="00587481" w:rsidRPr="00834A5C" w:rsidRDefault="00587481" w:rsidP="00587481">
      <w:pPr>
        <w:rPr>
          <w:rFonts w:asciiTheme="minorHAnsi" w:hAnsiTheme="minorHAnsi" w:cstheme="minorHAnsi"/>
          <w:sz w:val="22"/>
          <w:szCs w:val="22"/>
        </w:rPr>
      </w:pPr>
    </w:p>
    <w:p w:rsidR="00D407A4" w:rsidRPr="00915D1D" w:rsidRDefault="00D407A4" w:rsidP="00D407A4">
      <w:pPr>
        <w:spacing w:after="120" w:line="280" w:lineRule="atLeast"/>
        <w:rPr>
          <w:rFonts w:asciiTheme="minorHAnsi" w:hAnsiTheme="minorHAnsi" w:cstheme="minorHAnsi"/>
          <w:b/>
          <w:sz w:val="22"/>
          <w:szCs w:val="22"/>
          <w:u w:val="single"/>
        </w:rPr>
      </w:pPr>
      <w:r w:rsidRPr="00915D1D">
        <w:rPr>
          <w:rFonts w:asciiTheme="minorHAnsi" w:hAnsiTheme="minorHAnsi" w:cstheme="minorHAnsi"/>
          <w:b/>
          <w:sz w:val="22"/>
          <w:szCs w:val="22"/>
          <w:u w:val="single"/>
        </w:rPr>
        <w:t>Non-Residential Sector</w:t>
      </w:r>
    </w:p>
    <w:p w:rsidR="00D407A4" w:rsidRPr="00716084" w:rsidRDefault="00D407A4" w:rsidP="00D407A4">
      <w:pPr>
        <w:spacing w:after="120" w:line="280" w:lineRule="atLeast"/>
        <w:rPr>
          <w:rFonts w:asciiTheme="minorHAnsi" w:hAnsiTheme="minorHAnsi" w:cstheme="minorHAnsi"/>
          <w:b/>
          <w:sz w:val="22"/>
          <w:szCs w:val="22"/>
        </w:rPr>
      </w:pPr>
      <w:r>
        <w:rPr>
          <w:rFonts w:asciiTheme="minorHAnsi" w:hAnsiTheme="minorHAnsi" w:cstheme="minorHAnsi"/>
          <w:b/>
          <w:sz w:val="22"/>
          <w:szCs w:val="22"/>
        </w:rPr>
        <w:t xml:space="preserve">Southern California Edison </w:t>
      </w:r>
      <w:r w:rsidRPr="00716084">
        <w:rPr>
          <w:rFonts w:asciiTheme="minorHAnsi" w:hAnsiTheme="minorHAnsi" w:cstheme="minorHAnsi"/>
          <w:b/>
          <w:sz w:val="22"/>
          <w:szCs w:val="22"/>
        </w:rPr>
        <w:t>(</w:t>
      </w:r>
      <w:r w:rsidR="008E1FCB">
        <w:rPr>
          <w:rFonts w:asciiTheme="minorHAnsi" w:hAnsiTheme="minorHAnsi" w:cstheme="minorHAnsi"/>
          <w:b/>
          <w:sz w:val="22"/>
          <w:szCs w:val="22"/>
        </w:rPr>
        <w:t>ROB</w:t>
      </w:r>
      <w:r w:rsidRPr="00716084">
        <w:rPr>
          <w:rFonts w:asciiTheme="minorHAnsi" w:hAnsiTheme="minorHAnsi" w:cstheme="minorHAnsi"/>
          <w:b/>
          <w:sz w:val="22"/>
          <w:szCs w:val="22"/>
        </w:rPr>
        <w:t>)</w:t>
      </w:r>
    </w:p>
    <w:p w:rsidR="00587481" w:rsidRPr="00834A5C" w:rsidRDefault="00587481" w:rsidP="00587481">
      <w:pPr>
        <w:rPr>
          <w:rFonts w:asciiTheme="minorHAnsi" w:hAnsiTheme="minorHAnsi" w:cstheme="minorHAnsi"/>
          <w:sz w:val="22"/>
          <w:szCs w:val="22"/>
        </w:rPr>
      </w:pPr>
      <w:r w:rsidRPr="00834A5C">
        <w:rPr>
          <w:rFonts w:asciiTheme="minorHAnsi" w:hAnsiTheme="minorHAnsi" w:cstheme="minorHAnsi"/>
          <w:sz w:val="22"/>
          <w:szCs w:val="22"/>
        </w:rPr>
        <w:t>Measure costs were derived from RS Means</w:t>
      </w:r>
      <w:r w:rsidRPr="00834A5C">
        <w:rPr>
          <w:rFonts w:asciiTheme="minorHAnsi" w:hAnsiTheme="minorHAnsi" w:cstheme="minorHAnsi"/>
          <w:sz w:val="22"/>
          <w:szCs w:val="22"/>
        </w:rPr>
        <w:fldChar w:fldCharType="begin"/>
      </w:r>
      <w:r w:rsidRPr="00834A5C">
        <w:rPr>
          <w:rFonts w:asciiTheme="minorHAnsi" w:hAnsiTheme="minorHAnsi" w:cstheme="minorHAnsi"/>
          <w:sz w:val="22"/>
          <w:szCs w:val="22"/>
        </w:rPr>
        <w:instrText xml:space="preserve"> XE "RS Means" </w:instrText>
      </w:r>
      <w:r w:rsidRPr="00834A5C">
        <w:rPr>
          <w:rFonts w:asciiTheme="minorHAnsi" w:hAnsiTheme="minorHAnsi" w:cstheme="minorHAnsi"/>
          <w:sz w:val="22"/>
          <w:szCs w:val="22"/>
        </w:rPr>
        <w:fldChar w:fldCharType="end"/>
      </w:r>
      <w:r w:rsidRPr="00834A5C">
        <w:rPr>
          <w:rFonts w:asciiTheme="minorHAnsi" w:hAnsiTheme="minorHAnsi" w:cstheme="minorHAnsi"/>
          <w:sz w:val="22"/>
          <w:szCs w:val="22"/>
        </w:rPr>
        <w:t xml:space="preserve"> [B]. Two entries were found in the RS Means manual that closely matched the assumed equipment specifications in the analysis. We forecasted the measure costs based on the two entries, as shown in the table below.</w:t>
      </w:r>
    </w:p>
    <w:p w:rsidR="00587481" w:rsidRPr="00834A5C" w:rsidRDefault="00587481" w:rsidP="00587481">
      <w:pPr>
        <w:rPr>
          <w:rFonts w:asciiTheme="minorHAnsi" w:hAnsiTheme="minorHAnsi" w:cstheme="minorHAnsi"/>
          <w:sz w:val="22"/>
          <w:szCs w:val="22"/>
        </w:rPr>
      </w:pPr>
    </w:p>
    <w:p w:rsidR="00587481" w:rsidRPr="002246FA" w:rsidRDefault="002246FA" w:rsidP="002246FA">
      <w:pPr>
        <w:pStyle w:val="Caption"/>
        <w:jc w:val="center"/>
        <w:rPr>
          <w:rFonts w:asciiTheme="minorHAnsi" w:hAnsiTheme="minorHAnsi" w:cstheme="minorHAnsi"/>
          <w:b w:val="0"/>
          <w:sz w:val="22"/>
          <w:szCs w:val="22"/>
        </w:rPr>
      </w:pPr>
      <w:bookmarkStart w:id="25" w:name="_Toc194830783"/>
      <w:r w:rsidRPr="002246FA">
        <w:rPr>
          <w:rFonts w:asciiTheme="minorHAnsi" w:hAnsiTheme="minorHAnsi"/>
          <w:sz w:val="22"/>
          <w:szCs w:val="22"/>
        </w:rPr>
        <w:t xml:space="preserve">Table </w:t>
      </w:r>
      <w:r w:rsidRPr="002246FA">
        <w:rPr>
          <w:rFonts w:asciiTheme="minorHAnsi" w:hAnsiTheme="minorHAnsi"/>
          <w:sz w:val="22"/>
          <w:szCs w:val="22"/>
        </w:rPr>
        <w:fldChar w:fldCharType="begin"/>
      </w:r>
      <w:r w:rsidRPr="002246FA">
        <w:rPr>
          <w:rFonts w:asciiTheme="minorHAnsi" w:hAnsiTheme="minorHAnsi"/>
          <w:sz w:val="22"/>
          <w:szCs w:val="22"/>
        </w:rPr>
        <w:instrText xml:space="preserve"> SEQ Table \* ARABIC </w:instrText>
      </w:r>
      <w:r w:rsidRPr="002246FA">
        <w:rPr>
          <w:rFonts w:asciiTheme="minorHAnsi" w:hAnsiTheme="minorHAnsi"/>
          <w:sz w:val="22"/>
          <w:szCs w:val="22"/>
        </w:rPr>
        <w:fldChar w:fldCharType="separate"/>
      </w:r>
      <w:r w:rsidR="00AD25C5">
        <w:rPr>
          <w:rFonts w:asciiTheme="minorHAnsi" w:hAnsiTheme="minorHAnsi"/>
          <w:noProof/>
          <w:sz w:val="22"/>
          <w:szCs w:val="22"/>
        </w:rPr>
        <w:t>11</w:t>
      </w:r>
      <w:r w:rsidRPr="002246FA">
        <w:rPr>
          <w:rFonts w:asciiTheme="minorHAnsi" w:hAnsiTheme="minorHAnsi"/>
          <w:sz w:val="22"/>
          <w:szCs w:val="22"/>
        </w:rPr>
        <w:fldChar w:fldCharType="end"/>
      </w:r>
      <w:r w:rsidRPr="002246FA">
        <w:rPr>
          <w:rFonts w:asciiTheme="minorHAnsi" w:hAnsiTheme="minorHAnsi"/>
          <w:sz w:val="22"/>
          <w:szCs w:val="22"/>
        </w:rPr>
        <w:t xml:space="preserve"> Measure Costs</w:t>
      </w:r>
      <w:bookmarkEnd w:id="25"/>
    </w:p>
    <w:tbl>
      <w:tblPr>
        <w:tblW w:w="0" w:type="auto"/>
        <w:jc w:val="center"/>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30"/>
        <w:gridCol w:w="2426"/>
        <w:gridCol w:w="2101"/>
        <w:gridCol w:w="1881"/>
      </w:tblGrid>
      <w:tr w:rsidR="00587481" w:rsidRPr="00834A5C" w:rsidTr="00DF5CB4">
        <w:trPr>
          <w:jc w:val="center"/>
        </w:trPr>
        <w:tc>
          <w:tcPr>
            <w:tcW w:w="2430" w:type="dxa"/>
            <w:tcBorders>
              <w:bottom w:val="single" w:sz="4" w:space="0" w:color="000000"/>
            </w:tcBorders>
            <w:shd w:val="clear" w:color="auto" w:fill="CCCCCC"/>
            <w:vAlign w:val="center"/>
          </w:tcPr>
          <w:p w:rsidR="00587481" w:rsidRPr="00834A5C" w:rsidRDefault="00587481" w:rsidP="00DF5CB4">
            <w:pPr>
              <w:jc w:val="center"/>
              <w:rPr>
                <w:rFonts w:asciiTheme="minorHAnsi" w:hAnsiTheme="minorHAnsi" w:cstheme="minorHAnsi"/>
                <w:sz w:val="22"/>
                <w:szCs w:val="22"/>
              </w:rPr>
            </w:pPr>
            <w:r w:rsidRPr="00834A5C">
              <w:rPr>
                <w:rFonts w:asciiTheme="minorHAnsi" w:hAnsiTheme="minorHAnsi" w:cstheme="minorHAnsi"/>
                <w:sz w:val="22"/>
                <w:szCs w:val="22"/>
              </w:rPr>
              <w:t>RS Means Ref#</w:t>
            </w:r>
          </w:p>
        </w:tc>
        <w:tc>
          <w:tcPr>
            <w:tcW w:w="2426" w:type="dxa"/>
            <w:tcBorders>
              <w:bottom w:val="single" w:sz="4" w:space="0" w:color="000000"/>
            </w:tcBorders>
            <w:shd w:val="clear" w:color="auto" w:fill="CCCCCC"/>
            <w:vAlign w:val="center"/>
          </w:tcPr>
          <w:p w:rsidR="00587481" w:rsidRPr="00834A5C" w:rsidRDefault="00587481" w:rsidP="00DF5CB4">
            <w:pPr>
              <w:jc w:val="center"/>
              <w:rPr>
                <w:rFonts w:asciiTheme="minorHAnsi" w:hAnsiTheme="minorHAnsi" w:cstheme="minorHAnsi"/>
                <w:sz w:val="22"/>
                <w:szCs w:val="22"/>
              </w:rPr>
            </w:pPr>
            <w:r w:rsidRPr="00834A5C">
              <w:rPr>
                <w:rFonts w:asciiTheme="minorHAnsi" w:hAnsiTheme="minorHAnsi" w:cstheme="minorHAnsi"/>
                <w:sz w:val="22"/>
                <w:szCs w:val="22"/>
              </w:rPr>
              <w:t>Description CFM</w:t>
            </w:r>
          </w:p>
        </w:tc>
        <w:tc>
          <w:tcPr>
            <w:tcW w:w="2101" w:type="dxa"/>
            <w:tcBorders>
              <w:bottom w:val="single" w:sz="4" w:space="0" w:color="000000"/>
            </w:tcBorders>
            <w:shd w:val="clear" w:color="auto" w:fill="CCCCCC"/>
            <w:vAlign w:val="center"/>
          </w:tcPr>
          <w:p w:rsidR="00587481" w:rsidRPr="00834A5C" w:rsidRDefault="00587481" w:rsidP="00DF5CB4">
            <w:pPr>
              <w:jc w:val="center"/>
              <w:rPr>
                <w:rFonts w:asciiTheme="minorHAnsi" w:hAnsiTheme="minorHAnsi" w:cstheme="minorHAnsi"/>
                <w:sz w:val="22"/>
                <w:szCs w:val="22"/>
              </w:rPr>
            </w:pPr>
            <w:r w:rsidRPr="00834A5C">
              <w:rPr>
                <w:rFonts w:asciiTheme="minorHAnsi" w:hAnsiTheme="minorHAnsi" w:cstheme="minorHAnsi"/>
                <w:sz w:val="22"/>
                <w:szCs w:val="22"/>
              </w:rPr>
              <w:t>Total Cost (</w:t>
            </w:r>
            <w:proofErr w:type="spellStart"/>
            <w:r w:rsidRPr="00834A5C">
              <w:rPr>
                <w:rFonts w:asciiTheme="minorHAnsi" w:hAnsiTheme="minorHAnsi" w:cstheme="minorHAnsi"/>
                <w:sz w:val="22"/>
                <w:szCs w:val="22"/>
              </w:rPr>
              <w:t>incl</w:t>
            </w:r>
            <w:proofErr w:type="spellEnd"/>
            <w:r w:rsidRPr="00834A5C">
              <w:rPr>
                <w:rFonts w:asciiTheme="minorHAnsi" w:hAnsiTheme="minorHAnsi" w:cstheme="minorHAnsi"/>
                <w:sz w:val="22"/>
                <w:szCs w:val="22"/>
              </w:rPr>
              <w:t xml:space="preserve"> O&amp;P)</w:t>
            </w:r>
          </w:p>
        </w:tc>
        <w:tc>
          <w:tcPr>
            <w:tcW w:w="1881" w:type="dxa"/>
            <w:tcBorders>
              <w:bottom w:val="single" w:sz="4" w:space="0" w:color="000000"/>
            </w:tcBorders>
            <w:shd w:val="clear" w:color="auto" w:fill="CCCCCC"/>
            <w:vAlign w:val="center"/>
          </w:tcPr>
          <w:p w:rsidR="00587481" w:rsidRPr="00834A5C" w:rsidRDefault="00587481" w:rsidP="00DF5CB4">
            <w:pPr>
              <w:jc w:val="center"/>
              <w:rPr>
                <w:rFonts w:asciiTheme="minorHAnsi" w:hAnsiTheme="minorHAnsi" w:cstheme="minorHAnsi"/>
                <w:sz w:val="22"/>
                <w:szCs w:val="22"/>
              </w:rPr>
            </w:pPr>
            <w:r w:rsidRPr="00834A5C">
              <w:rPr>
                <w:rFonts w:asciiTheme="minorHAnsi" w:hAnsiTheme="minorHAnsi" w:cstheme="minorHAnsi"/>
                <w:sz w:val="22"/>
                <w:szCs w:val="22"/>
              </w:rPr>
              <w:t>$/CFM</w:t>
            </w:r>
          </w:p>
        </w:tc>
      </w:tr>
      <w:tr w:rsidR="00587481" w:rsidRPr="00834A5C" w:rsidTr="00DF5CB4">
        <w:trPr>
          <w:jc w:val="center"/>
        </w:trPr>
        <w:tc>
          <w:tcPr>
            <w:tcW w:w="2430" w:type="dxa"/>
            <w:tcBorders>
              <w:bottom w:val="single" w:sz="4" w:space="0" w:color="000000"/>
            </w:tcBorders>
            <w:shd w:val="clear" w:color="auto" w:fill="F3F3F3"/>
          </w:tcPr>
          <w:p w:rsidR="00587481" w:rsidRPr="00834A5C" w:rsidRDefault="00587481" w:rsidP="00DF5CB4">
            <w:pPr>
              <w:jc w:val="center"/>
              <w:rPr>
                <w:rFonts w:asciiTheme="minorHAnsi" w:hAnsiTheme="minorHAnsi" w:cstheme="minorHAnsi"/>
                <w:sz w:val="22"/>
                <w:szCs w:val="22"/>
              </w:rPr>
            </w:pPr>
            <w:r w:rsidRPr="00834A5C">
              <w:rPr>
                <w:rFonts w:asciiTheme="minorHAnsi" w:hAnsiTheme="minorHAnsi" w:cstheme="minorHAnsi"/>
                <w:sz w:val="22"/>
                <w:szCs w:val="22"/>
              </w:rPr>
              <w:t>23.76.13.10.0320</w:t>
            </w:r>
          </w:p>
        </w:tc>
        <w:tc>
          <w:tcPr>
            <w:tcW w:w="2426" w:type="dxa"/>
            <w:tcBorders>
              <w:bottom w:val="single" w:sz="4" w:space="0" w:color="000000"/>
            </w:tcBorders>
            <w:shd w:val="clear" w:color="auto" w:fill="F3F3F3"/>
          </w:tcPr>
          <w:p w:rsidR="00587481" w:rsidRPr="00834A5C" w:rsidRDefault="00587481" w:rsidP="00DF5CB4">
            <w:pPr>
              <w:jc w:val="center"/>
              <w:rPr>
                <w:rFonts w:asciiTheme="minorHAnsi" w:hAnsiTheme="minorHAnsi" w:cstheme="minorHAnsi"/>
                <w:sz w:val="22"/>
                <w:szCs w:val="22"/>
              </w:rPr>
            </w:pPr>
            <w:r w:rsidRPr="00834A5C">
              <w:rPr>
                <w:rFonts w:asciiTheme="minorHAnsi" w:hAnsiTheme="minorHAnsi" w:cstheme="minorHAnsi"/>
                <w:sz w:val="22"/>
                <w:szCs w:val="22"/>
              </w:rPr>
              <w:t>11,715</w:t>
            </w:r>
          </w:p>
        </w:tc>
        <w:tc>
          <w:tcPr>
            <w:tcW w:w="2101" w:type="dxa"/>
            <w:tcBorders>
              <w:bottom w:val="single" w:sz="4" w:space="0" w:color="000000"/>
            </w:tcBorders>
            <w:shd w:val="clear" w:color="auto" w:fill="F3F3F3"/>
          </w:tcPr>
          <w:p w:rsidR="00587481" w:rsidRPr="00834A5C" w:rsidRDefault="00587481" w:rsidP="00DF5CB4">
            <w:pPr>
              <w:jc w:val="center"/>
              <w:rPr>
                <w:rFonts w:asciiTheme="minorHAnsi" w:hAnsiTheme="minorHAnsi" w:cstheme="minorHAnsi"/>
                <w:sz w:val="22"/>
                <w:szCs w:val="22"/>
              </w:rPr>
            </w:pPr>
            <w:r w:rsidRPr="00834A5C">
              <w:rPr>
                <w:rFonts w:asciiTheme="minorHAnsi" w:hAnsiTheme="minorHAnsi" w:cstheme="minorHAnsi"/>
                <w:sz w:val="22"/>
                <w:szCs w:val="22"/>
              </w:rPr>
              <w:t>$3,450</w:t>
            </w:r>
          </w:p>
        </w:tc>
        <w:tc>
          <w:tcPr>
            <w:tcW w:w="1881" w:type="dxa"/>
            <w:tcBorders>
              <w:bottom w:val="single" w:sz="4" w:space="0" w:color="000000"/>
            </w:tcBorders>
            <w:shd w:val="clear" w:color="auto" w:fill="F3F3F3"/>
          </w:tcPr>
          <w:p w:rsidR="00587481" w:rsidRPr="00834A5C" w:rsidRDefault="00587481" w:rsidP="00DF5CB4">
            <w:pPr>
              <w:jc w:val="center"/>
              <w:rPr>
                <w:rFonts w:asciiTheme="minorHAnsi" w:hAnsiTheme="minorHAnsi" w:cstheme="minorHAnsi"/>
                <w:sz w:val="22"/>
                <w:szCs w:val="22"/>
              </w:rPr>
            </w:pPr>
            <w:r w:rsidRPr="00834A5C">
              <w:rPr>
                <w:rFonts w:asciiTheme="minorHAnsi" w:hAnsiTheme="minorHAnsi" w:cstheme="minorHAnsi"/>
                <w:sz w:val="22"/>
                <w:szCs w:val="22"/>
              </w:rPr>
              <w:t>$0.2945</w:t>
            </w:r>
          </w:p>
        </w:tc>
      </w:tr>
      <w:tr w:rsidR="00587481" w:rsidRPr="00834A5C" w:rsidTr="00DF5CB4">
        <w:trPr>
          <w:jc w:val="center"/>
        </w:trPr>
        <w:tc>
          <w:tcPr>
            <w:tcW w:w="2430" w:type="dxa"/>
            <w:tcBorders>
              <w:bottom w:val="single" w:sz="4" w:space="0" w:color="000000"/>
            </w:tcBorders>
            <w:shd w:val="clear" w:color="auto" w:fill="D9D9D9"/>
          </w:tcPr>
          <w:p w:rsidR="00587481" w:rsidRPr="00834A5C" w:rsidRDefault="00587481" w:rsidP="00DF5CB4">
            <w:pPr>
              <w:jc w:val="center"/>
              <w:rPr>
                <w:rFonts w:asciiTheme="minorHAnsi" w:hAnsiTheme="minorHAnsi" w:cstheme="minorHAnsi"/>
                <w:sz w:val="22"/>
                <w:szCs w:val="22"/>
              </w:rPr>
            </w:pPr>
            <w:r w:rsidRPr="00834A5C">
              <w:rPr>
                <w:rFonts w:asciiTheme="minorHAnsi" w:hAnsiTheme="minorHAnsi" w:cstheme="minorHAnsi"/>
                <w:sz w:val="22"/>
                <w:szCs w:val="22"/>
              </w:rPr>
              <w:t>23.76.13.10.0340</w:t>
            </w:r>
          </w:p>
        </w:tc>
        <w:tc>
          <w:tcPr>
            <w:tcW w:w="2426" w:type="dxa"/>
            <w:tcBorders>
              <w:bottom w:val="single" w:sz="4" w:space="0" w:color="000000"/>
            </w:tcBorders>
            <w:shd w:val="clear" w:color="auto" w:fill="D9D9D9"/>
          </w:tcPr>
          <w:p w:rsidR="00587481" w:rsidRPr="00834A5C" w:rsidRDefault="00587481" w:rsidP="00DF5CB4">
            <w:pPr>
              <w:jc w:val="center"/>
              <w:rPr>
                <w:rFonts w:asciiTheme="minorHAnsi" w:hAnsiTheme="minorHAnsi" w:cstheme="minorHAnsi"/>
                <w:sz w:val="22"/>
                <w:szCs w:val="22"/>
              </w:rPr>
            </w:pPr>
            <w:r w:rsidRPr="00834A5C">
              <w:rPr>
                <w:rFonts w:asciiTheme="minorHAnsi" w:hAnsiTheme="minorHAnsi" w:cstheme="minorHAnsi"/>
                <w:sz w:val="22"/>
                <w:szCs w:val="22"/>
              </w:rPr>
              <w:t>14,140</w:t>
            </w:r>
          </w:p>
        </w:tc>
        <w:tc>
          <w:tcPr>
            <w:tcW w:w="2101" w:type="dxa"/>
            <w:tcBorders>
              <w:bottom w:val="single" w:sz="4" w:space="0" w:color="000000"/>
            </w:tcBorders>
            <w:shd w:val="clear" w:color="auto" w:fill="D9D9D9"/>
          </w:tcPr>
          <w:p w:rsidR="00587481" w:rsidRPr="00834A5C" w:rsidRDefault="00587481" w:rsidP="00DF5CB4">
            <w:pPr>
              <w:jc w:val="center"/>
              <w:rPr>
                <w:rFonts w:asciiTheme="minorHAnsi" w:hAnsiTheme="minorHAnsi" w:cstheme="minorHAnsi"/>
                <w:sz w:val="22"/>
                <w:szCs w:val="22"/>
              </w:rPr>
            </w:pPr>
            <w:r w:rsidRPr="00834A5C">
              <w:rPr>
                <w:rFonts w:asciiTheme="minorHAnsi" w:hAnsiTheme="minorHAnsi" w:cstheme="minorHAnsi"/>
                <w:sz w:val="22"/>
                <w:szCs w:val="22"/>
              </w:rPr>
              <w:t>$3,900</w:t>
            </w:r>
          </w:p>
        </w:tc>
        <w:tc>
          <w:tcPr>
            <w:tcW w:w="1881" w:type="dxa"/>
            <w:tcBorders>
              <w:bottom w:val="single" w:sz="4" w:space="0" w:color="000000"/>
            </w:tcBorders>
            <w:shd w:val="clear" w:color="auto" w:fill="D9D9D9"/>
          </w:tcPr>
          <w:p w:rsidR="00587481" w:rsidRPr="00834A5C" w:rsidRDefault="00587481" w:rsidP="00DF5CB4">
            <w:pPr>
              <w:jc w:val="center"/>
              <w:rPr>
                <w:rFonts w:asciiTheme="minorHAnsi" w:hAnsiTheme="minorHAnsi" w:cstheme="minorHAnsi"/>
                <w:sz w:val="22"/>
                <w:szCs w:val="22"/>
              </w:rPr>
            </w:pPr>
            <w:r w:rsidRPr="00834A5C">
              <w:rPr>
                <w:rFonts w:asciiTheme="minorHAnsi" w:hAnsiTheme="minorHAnsi" w:cstheme="minorHAnsi"/>
                <w:sz w:val="22"/>
                <w:szCs w:val="22"/>
              </w:rPr>
              <w:t>$0.2758</w:t>
            </w:r>
          </w:p>
        </w:tc>
      </w:tr>
      <w:tr w:rsidR="00587481" w:rsidRPr="00834A5C" w:rsidTr="00DF5CB4">
        <w:trPr>
          <w:jc w:val="center"/>
        </w:trPr>
        <w:tc>
          <w:tcPr>
            <w:tcW w:w="6957" w:type="dxa"/>
            <w:gridSpan w:val="3"/>
            <w:shd w:val="clear" w:color="auto" w:fill="F3F3F3"/>
          </w:tcPr>
          <w:p w:rsidR="00587481" w:rsidRPr="00834A5C" w:rsidRDefault="00587481" w:rsidP="00DF5CB4">
            <w:pPr>
              <w:jc w:val="center"/>
              <w:rPr>
                <w:rFonts w:asciiTheme="minorHAnsi" w:hAnsiTheme="minorHAnsi" w:cstheme="minorHAnsi"/>
                <w:sz w:val="22"/>
                <w:szCs w:val="22"/>
              </w:rPr>
            </w:pPr>
            <w:r w:rsidRPr="00834A5C">
              <w:rPr>
                <w:rFonts w:asciiTheme="minorHAnsi" w:hAnsiTheme="minorHAnsi" w:cstheme="minorHAnsi"/>
                <w:sz w:val="22"/>
                <w:szCs w:val="22"/>
              </w:rPr>
              <w:t>Average</w:t>
            </w:r>
          </w:p>
        </w:tc>
        <w:tc>
          <w:tcPr>
            <w:tcW w:w="1881" w:type="dxa"/>
            <w:shd w:val="clear" w:color="auto" w:fill="F3F3F3"/>
          </w:tcPr>
          <w:p w:rsidR="00587481" w:rsidRPr="00834A5C" w:rsidRDefault="00587481" w:rsidP="00DF5CB4">
            <w:pPr>
              <w:jc w:val="center"/>
              <w:rPr>
                <w:rFonts w:asciiTheme="minorHAnsi" w:hAnsiTheme="minorHAnsi" w:cstheme="minorHAnsi"/>
                <w:sz w:val="22"/>
                <w:szCs w:val="22"/>
              </w:rPr>
            </w:pPr>
            <w:r w:rsidRPr="00834A5C">
              <w:rPr>
                <w:rFonts w:asciiTheme="minorHAnsi" w:hAnsiTheme="minorHAnsi" w:cstheme="minorHAnsi"/>
                <w:sz w:val="22"/>
                <w:szCs w:val="22"/>
              </w:rPr>
              <w:t>$0.2843</w:t>
            </w:r>
          </w:p>
        </w:tc>
      </w:tr>
    </w:tbl>
    <w:p w:rsidR="00587481" w:rsidRPr="00834A5C" w:rsidRDefault="00587481" w:rsidP="00587481">
      <w:pPr>
        <w:rPr>
          <w:rFonts w:asciiTheme="minorHAnsi" w:hAnsiTheme="minorHAnsi" w:cstheme="minorHAnsi"/>
          <w:sz w:val="22"/>
          <w:szCs w:val="22"/>
        </w:rPr>
      </w:pPr>
    </w:p>
    <w:p w:rsidR="00587481" w:rsidRPr="00834A5C" w:rsidRDefault="00587481" w:rsidP="00587481">
      <w:pPr>
        <w:rPr>
          <w:rFonts w:asciiTheme="minorHAnsi" w:hAnsiTheme="minorHAnsi" w:cstheme="minorHAnsi"/>
          <w:sz w:val="22"/>
          <w:szCs w:val="22"/>
        </w:rPr>
      </w:pPr>
      <w:r w:rsidRPr="00834A5C">
        <w:rPr>
          <w:rFonts w:asciiTheme="minorHAnsi" w:hAnsiTheme="minorHAnsi" w:cstheme="minorHAnsi"/>
          <w:sz w:val="22"/>
          <w:szCs w:val="22"/>
        </w:rPr>
        <w:t xml:space="preserve">Average costs per 1000 </w:t>
      </w:r>
      <w:proofErr w:type="spellStart"/>
      <w:r w:rsidRPr="00834A5C">
        <w:rPr>
          <w:rFonts w:asciiTheme="minorHAnsi" w:hAnsiTheme="minorHAnsi" w:cstheme="minorHAnsi"/>
          <w:sz w:val="22"/>
          <w:szCs w:val="22"/>
        </w:rPr>
        <w:t>sq</w:t>
      </w:r>
      <w:proofErr w:type="spellEnd"/>
      <w:r w:rsidRPr="00834A5C">
        <w:rPr>
          <w:rFonts w:asciiTheme="minorHAnsi" w:hAnsiTheme="minorHAnsi" w:cstheme="minorHAnsi"/>
          <w:sz w:val="22"/>
          <w:szCs w:val="22"/>
        </w:rPr>
        <w:t xml:space="preserve">- </w:t>
      </w:r>
      <w:proofErr w:type="spellStart"/>
      <w:r w:rsidRPr="00834A5C">
        <w:rPr>
          <w:rFonts w:asciiTheme="minorHAnsi" w:hAnsiTheme="minorHAnsi" w:cstheme="minorHAnsi"/>
          <w:sz w:val="22"/>
          <w:szCs w:val="22"/>
        </w:rPr>
        <w:t>ft</w:t>
      </w:r>
      <w:proofErr w:type="spellEnd"/>
      <w:r w:rsidRPr="00834A5C">
        <w:rPr>
          <w:rFonts w:asciiTheme="minorHAnsi" w:hAnsiTheme="minorHAnsi" w:cstheme="minorHAnsi"/>
          <w:sz w:val="22"/>
          <w:szCs w:val="22"/>
        </w:rPr>
        <w:t xml:space="preserve"> w</w:t>
      </w:r>
      <w:r w:rsidR="008A5262">
        <w:rPr>
          <w:rFonts w:asciiTheme="minorHAnsi" w:hAnsiTheme="minorHAnsi" w:cstheme="minorHAnsi"/>
          <w:sz w:val="22"/>
          <w:szCs w:val="22"/>
        </w:rPr>
        <w:t>ere</w:t>
      </w:r>
      <w:r w:rsidRPr="00834A5C">
        <w:rPr>
          <w:rFonts w:asciiTheme="minorHAnsi" w:hAnsiTheme="minorHAnsi" w:cstheme="minorHAnsi"/>
          <w:sz w:val="22"/>
          <w:szCs w:val="22"/>
        </w:rPr>
        <w:t xml:space="preserve"> obtained  by converting $/cfm to $/ton (using 1 ton equal to 1,300 cfm) </w:t>
      </w:r>
      <w:r w:rsidR="009B455E">
        <w:rPr>
          <w:rFonts w:asciiTheme="minorHAnsi" w:hAnsiTheme="minorHAnsi" w:cstheme="minorHAnsi"/>
          <w:sz w:val="22"/>
          <w:szCs w:val="22"/>
        </w:rPr>
        <w:t xml:space="preserve">as described in Non-residential Sector section of Section 2 above. </w:t>
      </w:r>
      <w:r w:rsidR="0055647B">
        <w:rPr>
          <w:rFonts w:asciiTheme="minorHAnsi" w:hAnsiTheme="minorHAnsi" w:cstheme="minorHAnsi"/>
          <w:sz w:val="22"/>
          <w:szCs w:val="22"/>
        </w:rPr>
        <w:t xml:space="preserve"> </w:t>
      </w:r>
      <w:r w:rsidRPr="00834A5C">
        <w:rPr>
          <w:rFonts w:asciiTheme="minorHAnsi" w:hAnsiTheme="minorHAnsi" w:cstheme="minorHAnsi"/>
          <w:sz w:val="22"/>
          <w:szCs w:val="22"/>
        </w:rPr>
        <w:t xml:space="preserve">All values and calculations are shown </w:t>
      </w:r>
      <w:r w:rsidR="00FB5939">
        <w:rPr>
          <w:rFonts w:asciiTheme="minorHAnsi" w:hAnsiTheme="minorHAnsi" w:cstheme="minorHAnsi"/>
          <w:sz w:val="22"/>
          <w:szCs w:val="22"/>
        </w:rPr>
        <w:t>in the attachment labeled “</w:t>
      </w:r>
      <w:r w:rsidR="00FB5939" w:rsidRPr="00FB5939">
        <w:rPr>
          <w:rFonts w:asciiTheme="minorHAnsi" w:hAnsiTheme="minorHAnsi" w:cstheme="minorHAnsi"/>
          <w:sz w:val="22"/>
          <w:szCs w:val="22"/>
        </w:rPr>
        <w:t xml:space="preserve">SCE15HC0130_NonRes_Rev </w:t>
      </w:r>
      <w:r w:rsidR="00D323C3">
        <w:rPr>
          <w:rFonts w:asciiTheme="minorHAnsi" w:hAnsiTheme="minorHAnsi" w:cstheme="minorHAnsi"/>
          <w:sz w:val="22"/>
          <w:szCs w:val="22"/>
        </w:rPr>
        <w:t>4</w:t>
      </w:r>
      <w:r w:rsidR="00FB5939">
        <w:rPr>
          <w:rFonts w:asciiTheme="minorHAnsi" w:hAnsiTheme="minorHAnsi" w:cstheme="minorHAnsi"/>
          <w:sz w:val="22"/>
          <w:szCs w:val="22"/>
        </w:rPr>
        <w:t>.”</w:t>
      </w:r>
    </w:p>
    <w:p w:rsidR="005A0E53" w:rsidRDefault="005A0E53" w:rsidP="005A0E53">
      <w:pPr>
        <w:pStyle w:val="Heading3"/>
        <w:rPr>
          <w:rFonts w:asciiTheme="minorHAnsi" w:hAnsiTheme="minorHAnsi"/>
        </w:rPr>
      </w:pPr>
      <w:bookmarkStart w:id="26" w:name="_Toc214003099"/>
      <w:r w:rsidRPr="005A0E53">
        <w:rPr>
          <w:rFonts w:asciiTheme="minorHAnsi" w:hAnsiTheme="minorHAnsi"/>
        </w:rPr>
        <w:t>4.3.</w:t>
      </w:r>
      <w:r>
        <w:rPr>
          <w:rFonts w:asciiTheme="minorHAnsi" w:hAnsiTheme="minorHAnsi"/>
        </w:rPr>
        <w:t>2</w:t>
      </w:r>
      <w:r w:rsidRPr="005A0E53">
        <w:rPr>
          <w:rFonts w:asciiTheme="minorHAnsi" w:hAnsiTheme="minorHAnsi"/>
        </w:rPr>
        <w:t xml:space="preserve"> </w:t>
      </w:r>
      <w:r>
        <w:rPr>
          <w:rFonts w:asciiTheme="minorHAnsi" w:hAnsiTheme="minorHAnsi"/>
        </w:rPr>
        <w:t>Incremental</w:t>
      </w:r>
      <w:r w:rsidRPr="005A0E53">
        <w:rPr>
          <w:rFonts w:asciiTheme="minorHAnsi" w:hAnsiTheme="minorHAnsi"/>
        </w:rPr>
        <w:t xml:space="preserve"> Measure Cost</w:t>
      </w:r>
    </w:p>
    <w:p w:rsidR="002478B6" w:rsidRDefault="002478B6" w:rsidP="002478B6">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Both the measure equipment and measure labor costs are taken from DEER and can be seen in the embedded file for all measure applications.</w:t>
      </w:r>
    </w:p>
    <w:p w:rsidR="0064528D" w:rsidRPr="0051696C" w:rsidRDefault="0064528D" w:rsidP="0051696C"/>
    <w:p w:rsidR="00003B9E" w:rsidRPr="00915D1D" w:rsidRDefault="00003B9E" w:rsidP="00003B9E">
      <w:pPr>
        <w:spacing w:after="120"/>
        <w:rPr>
          <w:rFonts w:asciiTheme="minorHAnsi" w:hAnsiTheme="minorHAnsi" w:cstheme="minorHAnsi"/>
          <w:b/>
          <w:sz w:val="22"/>
          <w:szCs w:val="22"/>
          <w:u w:val="single"/>
        </w:rPr>
      </w:pPr>
      <w:r w:rsidRPr="00915D1D">
        <w:rPr>
          <w:rFonts w:asciiTheme="minorHAnsi" w:hAnsiTheme="minorHAnsi" w:cstheme="minorHAnsi"/>
          <w:b/>
          <w:sz w:val="22"/>
          <w:szCs w:val="22"/>
          <w:u w:val="single"/>
        </w:rPr>
        <w:t xml:space="preserve">Residential Sector </w:t>
      </w:r>
    </w:p>
    <w:p w:rsidR="00003B9E" w:rsidRPr="00915D1D" w:rsidRDefault="00003B9E" w:rsidP="00003B9E">
      <w:pPr>
        <w:pStyle w:val="Reminders"/>
        <w:rPr>
          <w:rFonts w:asciiTheme="minorHAnsi" w:hAnsiTheme="minorHAnsi" w:cstheme="minorHAnsi"/>
          <w:b/>
          <w:i w:val="0"/>
          <w:color w:val="auto"/>
          <w:sz w:val="22"/>
          <w:szCs w:val="22"/>
        </w:rPr>
      </w:pPr>
      <w:r w:rsidRPr="00915D1D">
        <w:rPr>
          <w:rFonts w:asciiTheme="minorHAnsi" w:hAnsiTheme="minorHAnsi" w:cstheme="minorHAnsi"/>
          <w:b/>
          <w:i w:val="0"/>
          <w:color w:val="auto"/>
          <w:sz w:val="22"/>
          <w:szCs w:val="22"/>
        </w:rPr>
        <w:t>Southern California Edison (REA)</w:t>
      </w:r>
    </w:p>
    <w:p w:rsidR="00003B9E" w:rsidRPr="00716084" w:rsidRDefault="00003B9E" w:rsidP="00587481">
      <w:pPr>
        <w:pStyle w:val="Reminder"/>
        <w:rPr>
          <w:rFonts w:asciiTheme="minorHAnsi" w:hAnsiTheme="minorHAnsi" w:cstheme="minorHAnsi"/>
          <w:b/>
          <w:i w:val="0"/>
          <w:color w:val="auto"/>
          <w:sz w:val="22"/>
          <w:szCs w:val="22"/>
        </w:rPr>
      </w:pPr>
    </w:p>
    <w:p w:rsidR="00587481" w:rsidRDefault="00587481" w:rsidP="00587481">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For REA measures</w:t>
      </w:r>
      <w:r w:rsidR="009C7CF1">
        <w:rPr>
          <w:rFonts w:asciiTheme="minorHAnsi" w:hAnsiTheme="minorHAnsi" w:cstheme="minorHAnsi"/>
          <w:i w:val="0"/>
          <w:color w:val="auto"/>
          <w:sz w:val="22"/>
          <w:szCs w:val="22"/>
        </w:rPr>
        <w:t xml:space="preserve"> (</w:t>
      </w:r>
      <w:proofErr w:type="spellStart"/>
      <w:r w:rsidR="009C7CF1">
        <w:rPr>
          <w:rFonts w:asciiTheme="minorHAnsi" w:hAnsiTheme="minorHAnsi" w:cstheme="minorHAnsi"/>
          <w:i w:val="0"/>
          <w:color w:val="auto"/>
          <w:sz w:val="22"/>
          <w:szCs w:val="22"/>
        </w:rPr>
        <w:t>i.e</w:t>
      </w:r>
      <w:proofErr w:type="spellEnd"/>
      <w:r w:rsidR="009C7CF1">
        <w:rPr>
          <w:rFonts w:asciiTheme="minorHAnsi" w:hAnsiTheme="minorHAnsi" w:cstheme="minorHAnsi"/>
          <w:i w:val="0"/>
          <w:color w:val="auto"/>
          <w:sz w:val="22"/>
          <w:szCs w:val="22"/>
        </w:rPr>
        <w:t xml:space="preserve"> SCE in this case)</w:t>
      </w:r>
      <w:r>
        <w:rPr>
          <w:rFonts w:asciiTheme="minorHAnsi" w:hAnsiTheme="minorHAnsi" w:cstheme="minorHAnsi"/>
          <w:i w:val="0"/>
          <w:color w:val="auto"/>
          <w:sz w:val="22"/>
          <w:szCs w:val="22"/>
        </w:rPr>
        <w:t>, the Incremental Measure Cost (IMC) is defined as follows:</w:t>
      </w:r>
    </w:p>
    <w:p w:rsidR="00587481" w:rsidRDefault="00587481" w:rsidP="00587481">
      <w:pPr>
        <w:pStyle w:val="Reminder"/>
        <w:rPr>
          <w:rFonts w:asciiTheme="minorHAnsi" w:hAnsiTheme="minorHAnsi" w:cstheme="minorHAnsi"/>
          <w:i w:val="0"/>
          <w:color w:val="auto"/>
          <w:sz w:val="22"/>
          <w:szCs w:val="22"/>
        </w:rPr>
      </w:pPr>
    </w:p>
    <w:p w:rsidR="00587481" w:rsidRPr="0030538F" w:rsidRDefault="00587481" w:rsidP="00587481">
      <w:pPr>
        <w:pStyle w:val="Reminder"/>
        <w:rPr>
          <w:rFonts w:asciiTheme="minorHAnsi" w:hAnsiTheme="minorHAnsi" w:cstheme="minorHAnsi"/>
          <w:color w:val="auto"/>
          <w:sz w:val="22"/>
          <w:szCs w:val="22"/>
        </w:rPr>
      </w:pPr>
      <w:r>
        <w:rPr>
          <w:rFonts w:asciiTheme="minorHAnsi" w:hAnsiTheme="minorHAnsi" w:cstheme="minorHAnsi"/>
          <w:i w:val="0"/>
          <w:color w:val="auto"/>
          <w:sz w:val="22"/>
          <w:szCs w:val="22"/>
        </w:rPr>
        <w:tab/>
      </w:r>
      <w:r w:rsidRPr="0030538F">
        <w:rPr>
          <w:rFonts w:asciiTheme="minorHAnsi" w:hAnsiTheme="minorHAnsi" w:cstheme="minorHAnsi"/>
          <w:color w:val="auto"/>
          <w:sz w:val="22"/>
          <w:szCs w:val="22"/>
        </w:rPr>
        <w:t>Measure Equipment Cost + Measure Labor Cost</w:t>
      </w:r>
    </w:p>
    <w:p w:rsidR="00587481" w:rsidRDefault="00587481" w:rsidP="00587481">
      <w:pPr>
        <w:pStyle w:val="Reminder"/>
        <w:rPr>
          <w:rFonts w:asciiTheme="minorHAnsi" w:hAnsiTheme="minorHAnsi" w:cstheme="minorHAnsi"/>
          <w:i w:val="0"/>
          <w:color w:val="auto"/>
          <w:sz w:val="22"/>
          <w:szCs w:val="22"/>
        </w:rPr>
      </w:pPr>
    </w:p>
    <w:p w:rsidR="00003B9E" w:rsidRPr="00915D1D" w:rsidRDefault="00003B9E" w:rsidP="00003B9E">
      <w:pPr>
        <w:pStyle w:val="Reminders"/>
        <w:rPr>
          <w:rFonts w:asciiTheme="minorHAnsi" w:hAnsiTheme="minorHAnsi" w:cstheme="minorHAnsi"/>
          <w:b/>
          <w:i w:val="0"/>
          <w:color w:val="auto"/>
          <w:sz w:val="22"/>
          <w:szCs w:val="22"/>
        </w:rPr>
      </w:pPr>
      <w:r w:rsidRPr="00915D1D">
        <w:rPr>
          <w:rFonts w:asciiTheme="minorHAnsi" w:hAnsiTheme="minorHAnsi" w:cstheme="minorHAnsi"/>
          <w:b/>
          <w:i w:val="0"/>
          <w:color w:val="auto"/>
          <w:sz w:val="22"/>
          <w:szCs w:val="22"/>
        </w:rPr>
        <w:t>Pacific Gas and Electric (ROB)</w:t>
      </w:r>
    </w:p>
    <w:p w:rsidR="00587481" w:rsidRDefault="003A2317" w:rsidP="00587481">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For ROB</w:t>
      </w:r>
      <w:r w:rsidR="00587481">
        <w:rPr>
          <w:rFonts w:asciiTheme="minorHAnsi" w:hAnsiTheme="minorHAnsi" w:cstheme="minorHAnsi"/>
          <w:i w:val="0"/>
          <w:color w:val="auto"/>
          <w:sz w:val="22"/>
          <w:szCs w:val="22"/>
        </w:rPr>
        <w:t xml:space="preserve"> measures</w:t>
      </w:r>
      <w:r w:rsidR="009C7CF1">
        <w:rPr>
          <w:rFonts w:asciiTheme="minorHAnsi" w:hAnsiTheme="minorHAnsi" w:cstheme="minorHAnsi"/>
          <w:i w:val="0"/>
          <w:color w:val="auto"/>
          <w:sz w:val="22"/>
          <w:szCs w:val="22"/>
        </w:rPr>
        <w:t xml:space="preserve"> (i.e. PG&amp;E in this case)</w:t>
      </w:r>
      <w:r w:rsidR="00587481">
        <w:rPr>
          <w:rFonts w:asciiTheme="minorHAnsi" w:hAnsiTheme="minorHAnsi" w:cstheme="minorHAnsi"/>
          <w:i w:val="0"/>
          <w:color w:val="auto"/>
          <w:sz w:val="22"/>
          <w:szCs w:val="22"/>
        </w:rPr>
        <w:t>, the Incremental Measure Cost (IMC) is defined as follows:</w:t>
      </w:r>
    </w:p>
    <w:p w:rsidR="00587481" w:rsidRDefault="00587481" w:rsidP="00587481">
      <w:pPr>
        <w:pStyle w:val="Reminder"/>
        <w:rPr>
          <w:rFonts w:asciiTheme="minorHAnsi" w:hAnsiTheme="minorHAnsi" w:cstheme="minorHAnsi"/>
          <w:i w:val="0"/>
          <w:color w:val="auto"/>
          <w:sz w:val="22"/>
          <w:szCs w:val="22"/>
        </w:rPr>
      </w:pPr>
    </w:p>
    <w:p w:rsidR="00587481" w:rsidRPr="0030538F" w:rsidRDefault="00587481" w:rsidP="00587481">
      <w:pPr>
        <w:pStyle w:val="Reminder"/>
        <w:rPr>
          <w:rFonts w:asciiTheme="minorHAnsi" w:hAnsiTheme="minorHAnsi" w:cstheme="minorHAnsi"/>
          <w:color w:val="auto"/>
          <w:sz w:val="22"/>
          <w:szCs w:val="22"/>
        </w:rPr>
      </w:pPr>
      <w:r>
        <w:rPr>
          <w:rFonts w:asciiTheme="minorHAnsi" w:hAnsiTheme="minorHAnsi" w:cstheme="minorHAnsi"/>
          <w:i w:val="0"/>
          <w:color w:val="auto"/>
          <w:sz w:val="22"/>
          <w:szCs w:val="22"/>
        </w:rPr>
        <w:tab/>
      </w:r>
      <w:r w:rsidRPr="0030538F">
        <w:rPr>
          <w:rFonts w:asciiTheme="minorHAnsi" w:hAnsiTheme="minorHAnsi" w:cstheme="minorHAnsi"/>
          <w:color w:val="auto"/>
          <w:sz w:val="22"/>
          <w:szCs w:val="22"/>
        </w:rPr>
        <w:t>Measure Equipment Cost – Base Case Equipment Cost</w:t>
      </w:r>
    </w:p>
    <w:p w:rsidR="00587481" w:rsidRDefault="00587481" w:rsidP="00587481">
      <w:pPr>
        <w:pStyle w:val="Reminder"/>
        <w:rPr>
          <w:rFonts w:asciiTheme="minorHAnsi" w:hAnsiTheme="minorHAnsi" w:cstheme="minorHAnsi"/>
          <w:i w:val="0"/>
          <w:color w:val="auto"/>
          <w:sz w:val="22"/>
          <w:szCs w:val="22"/>
        </w:rPr>
      </w:pPr>
    </w:p>
    <w:p w:rsidR="00003B9E" w:rsidRPr="00915D1D" w:rsidRDefault="00003B9E" w:rsidP="00003B9E">
      <w:pPr>
        <w:spacing w:after="120" w:line="280" w:lineRule="atLeast"/>
        <w:rPr>
          <w:rFonts w:asciiTheme="minorHAnsi" w:hAnsiTheme="minorHAnsi" w:cstheme="minorHAnsi"/>
          <w:b/>
          <w:sz w:val="22"/>
          <w:szCs w:val="22"/>
          <w:u w:val="single"/>
        </w:rPr>
      </w:pPr>
      <w:r w:rsidRPr="00915D1D">
        <w:rPr>
          <w:rFonts w:asciiTheme="minorHAnsi" w:hAnsiTheme="minorHAnsi" w:cstheme="minorHAnsi"/>
          <w:b/>
          <w:sz w:val="22"/>
          <w:szCs w:val="22"/>
          <w:u w:val="single"/>
        </w:rPr>
        <w:t>Non-Residential Sector</w:t>
      </w:r>
    </w:p>
    <w:p w:rsidR="00003B9E" w:rsidRPr="00716084" w:rsidRDefault="00003B9E" w:rsidP="00003B9E">
      <w:pPr>
        <w:spacing w:after="120" w:line="280" w:lineRule="atLeast"/>
        <w:rPr>
          <w:rFonts w:asciiTheme="minorHAnsi" w:hAnsiTheme="minorHAnsi" w:cstheme="minorHAnsi"/>
          <w:b/>
          <w:sz w:val="22"/>
          <w:szCs w:val="22"/>
        </w:rPr>
      </w:pPr>
      <w:r>
        <w:rPr>
          <w:rFonts w:asciiTheme="minorHAnsi" w:hAnsiTheme="minorHAnsi" w:cstheme="minorHAnsi"/>
          <w:b/>
          <w:sz w:val="22"/>
          <w:szCs w:val="22"/>
        </w:rPr>
        <w:t xml:space="preserve">Southern California Edison </w:t>
      </w:r>
      <w:r w:rsidRPr="00716084">
        <w:rPr>
          <w:rFonts w:asciiTheme="minorHAnsi" w:hAnsiTheme="minorHAnsi" w:cstheme="minorHAnsi"/>
          <w:b/>
          <w:sz w:val="22"/>
          <w:szCs w:val="22"/>
        </w:rPr>
        <w:t>(</w:t>
      </w:r>
      <w:r w:rsidR="008E1FCB">
        <w:rPr>
          <w:rFonts w:asciiTheme="minorHAnsi" w:hAnsiTheme="minorHAnsi" w:cstheme="minorHAnsi"/>
          <w:b/>
          <w:sz w:val="22"/>
          <w:szCs w:val="22"/>
        </w:rPr>
        <w:t>ROB</w:t>
      </w:r>
      <w:r w:rsidRPr="00716084">
        <w:rPr>
          <w:rFonts w:asciiTheme="minorHAnsi" w:hAnsiTheme="minorHAnsi" w:cstheme="minorHAnsi"/>
          <w:b/>
          <w:sz w:val="22"/>
          <w:szCs w:val="22"/>
        </w:rPr>
        <w:t>)</w:t>
      </w:r>
    </w:p>
    <w:p w:rsidR="00587481" w:rsidRDefault="00587481" w:rsidP="00587481">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For RET measures, the Incremental Measure Cost (IMC) is defined as follows:</w:t>
      </w:r>
    </w:p>
    <w:p w:rsidR="00587481" w:rsidRDefault="00587481" w:rsidP="00587481">
      <w:pPr>
        <w:pStyle w:val="Reminder"/>
        <w:rPr>
          <w:rFonts w:asciiTheme="minorHAnsi" w:hAnsiTheme="minorHAnsi" w:cstheme="minorHAnsi"/>
          <w:i w:val="0"/>
          <w:color w:val="auto"/>
          <w:sz w:val="22"/>
          <w:szCs w:val="22"/>
        </w:rPr>
      </w:pPr>
    </w:p>
    <w:p w:rsidR="00587481" w:rsidRDefault="00587481" w:rsidP="00587481">
      <w:pPr>
        <w:pStyle w:val="Reminder"/>
        <w:rPr>
          <w:rFonts w:asciiTheme="minorHAnsi" w:hAnsiTheme="minorHAnsi" w:cstheme="minorHAnsi"/>
          <w:color w:val="auto"/>
          <w:sz w:val="22"/>
          <w:szCs w:val="22"/>
        </w:rPr>
      </w:pPr>
      <w:r>
        <w:rPr>
          <w:rFonts w:asciiTheme="minorHAnsi" w:hAnsiTheme="minorHAnsi" w:cstheme="minorHAnsi"/>
          <w:i w:val="0"/>
          <w:color w:val="auto"/>
          <w:sz w:val="22"/>
          <w:szCs w:val="22"/>
        </w:rPr>
        <w:tab/>
      </w:r>
      <w:r w:rsidRPr="0030538F">
        <w:rPr>
          <w:rFonts w:asciiTheme="minorHAnsi" w:hAnsiTheme="minorHAnsi" w:cstheme="minorHAnsi"/>
          <w:color w:val="auto"/>
          <w:sz w:val="22"/>
          <w:szCs w:val="22"/>
        </w:rPr>
        <w:t>Measure Equipment Cost – Base Case Equipment Cost</w:t>
      </w:r>
    </w:p>
    <w:p w:rsidR="00DF3E50" w:rsidRDefault="00DF3E50" w:rsidP="00587481">
      <w:pPr>
        <w:pStyle w:val="Reminder"/>
        <w:rPr>
          <w:rFonts w:asciiTheme="minorHAnsi" w:hAnsiTheme="minorHAnsi" w:cstheme="minorHAnsi"/>
          <w:color w:val="auto"/>
          <w:sz w:val="22"/>
          <w:szCs w:val="22"/>
        </w:rPr>
      </w:pPr>
    </w:p>
    <w:p w:rsidR="00DF3E50" w:rsidRPr="002246FA" w:rsidRDefault="00DF3E50" w:rsidP="00587481">
      <w:pPr>
        <w:pStyle w:val="Reminder"/>
        <w:rPr>
          <w:rFonts w:asciiTheme="minorHAnsi" w:hAnsiTheme="minorHAnsi" w:cstheme="minorHAnsi"/>
          <w:i w:val="0"/>
          <w:color w:val="auto"/>
          <w:sz w:val="22"/>
          <w:szCs w:val="22"/>
        </w:rPr>
      </w:pPr>
      <w:r w:rsidRPr="002246FA">
        <w:rPr>
          <w:rFonts w:asciiTheme="minorHAnsi" w:hAnsiTheme="minorHAnsi" w:cstheme="minorHAnsi"/>
          <w:i w:val="0"/>
          <w:color w:val="auto"/>
          <w:sz w:val="22"/>
          <w:szCs w:val="22"/>
        </w:rPr>
        <w:t>The incremental cost is only used to help determine program incentives. It is not affected by the first and second baseline periods and may differ from the cost used for cost effectiveness calculations.</w:t>
      </w:r>
    </w:p>
    <w:p w:rsidR="00587481" w:rsidRPr="00697868" w:rsidRDefault="00587481" w:rsidP="003D2871">
      <w:pPr>
        <w:pStyle w:val="Reminders"/>
        <w:rPr>
          <w:rFonts w:asciiTheme="minorHAnsi" w:hAnsiTheme="minorHAnsi" w:cstheme="minorHAnsi"/>
          <w:sz w:val="22"/>
          <w:szCs w:val="22"/>
        </w:rPr>
      </w:pPr>
    </w:p>
    <w:p w:rsidR="00E16609" w:rsidRPr="00697868" w:rsidRDefault="00E16609" w:rsidP="00E16609">
      <w:pPr>
        <w:rPr>
          <w:rFonts w:asciiTheme="minorHAnsi" w:hAnsiTheme="minorHAnsi" w:cstheme="minorHAnsi"/>
          <w:sz w:val="22"/>
          <w:szCs w:val="22"/>
        </w:rPr>
      </w:pPr>
      <w:r w:rsidRPr="00697868">
        <w:rPr>
          <w:rFonts w:asciiTheme="minorHAnsi" w:hAnsiTheme="minorHAnsi" w:cstheme="minorHAnsi"/>
          <w:sz w:val="22"/>
          <w:szCs w:val="22"/>
        </w:rPr>
        <w:br w:type="page"/>
      </w:r>
    </w:p>
    <w:bookmarkEnd w:id="26"/>
    <w:p w:rsidR="00E16609" w:rsidRPr="00697868" w:rsidRDefault="00E16609" w:rsidP="00E16609">
      <w:pPr>
        <w:pStyle w:val="Heading1"/>
        <w:rPr>
          <w:rFonts w:asciiTheme="minorHAnsi" w:hAnsiTheme="minorHAnsi" w:cstheme="minorHAnsi"/>
        </w:rPr>
      </w:pPr>
      <w:r w:rsidRPr="00697868">
        <w:rPr>
          <w:rFonts w:asciiTheme="minorHAnsi" w:hAnsiTheme="minorHAnsi" w:cstheme="minorHAnsi"/>
        </w:rPr>
        <w:lastRenderedPageBreak/>
        <w:t>Attachments</w:t>
      </w:r>
    </w:p>
    <w:p w:rsidR="00A500D6" w:rsidRDefault="004372A3" w:rsidP="00E16609">
      <w:pPr>
        <w:rPr>
          <w:rFonts w:asciiTheme="minorHAnsi" w:hAnsiTheme="minorHAnsi" w:cstheme="minorHAnsi"/>
        </w:rPr>
      </w:pPr>
      <w:r w:rsidRPr="00A118A1">
        <w:rPr>
          <w:rFonts w:asciiTheme="minorHAnsi" w:hAnsiTheme="minorHAnsi" w:cstheme="minorHAnsi"/>
        </w:rPr>
        <w:t>See accompanying files</w:t>
      </w:r>
    </w:p>
    <w:p w:rsidR="007F205D" w:rsidRDefault="00FE1DDD" w:rsidP="00E16609">
      <w:pPr>
        <w:rPr>
          <w:rFonts w:asciiTheme="minorHAnsi" w:hAnsiTheme="minorHAnsi" w:cstheme="minorHAnsi"/>
        </w:rPr>
      </w:pPr>
      <w:r>
        <w:rPr>
          <w:rFonts w:asciiTheme="minorHAnsi" w:hAnsiTheme="minorHAnsi" w:cstheme="minorHAnsi"/>
        </w:rPr>
        <w:br/>
      </w:r>
    </w:p>
    <w:p w:rsidR="0067339A" w:rsidRDefault="0067339A" w:rsidP="00E16609">
      <w:pPr>
        <w:rPr>
          <w:rFonts w:asciiTheme="minorHAnsi" w:hAnsiTheme="minorHAnsi" w:cstheme="minorHAnsi"/>
        </w:rPr>
      </w:pPr>
    </w:p>
    <w:p w:rsidR="0067339A" w:rsidRDefault="0067339A" w:rsidP="00E16609">
      <w:pPr>
        <w:rPr>
          <w:rFonts w:asciiTheme="minorHAnsi" w:hAnsiTheme="minorHAnsi" w:cstheme="minorHAnsi"/>
        </w:rPr>
      </w:pPr>
    </w:p>
    <w:p w:rsidR="007F205D" w:rsidRPr="00697868" w:rsidRDefault="007F205D" w:rsidP="00E16609">
      <w:pPr>
        <w:rPr>
          <w:rFonts w:asciiTheme="minorHAnsi" w:hAnsiTheme="minorHAnsi" w:cstheme="minorHAnsi"/>
        </w:rPr>
      </w:pPr>
    </w:p>
    <w:p w:rsidR="00612041" w:rsidRDefault="00612041" w:rsidP="00E16609">
      <w:pPr>
        <w:rPr>
          <w:rFonts w:asciiTheme="minorHAnsi" w:hAnsiTheme="minorHAnsi" w:cstheme="minorHAnsi"/>
        </w:rPr>
      </w:pPr>
    </w:p>
    <w:p w:rsidR="00E75E1E" w:rsidRPr="00697868" w:rsidRDefault="00E75E1E" w:rsidP="00E16609">
      <w:pPr>
        <w:rPr>
          <w:rFonts w:asciiTheme="minorHAnsi" w:hAnsiTheme="minorHAnsi" w:cstheme="minorHAnsi"/>
        </w:rPr>
      </w:pPr>
    </w:p>
    <w:p w:rsidR="009D4DE8" w:rsidRDefault="009D4DE8" w:rsidP="00E16609">
      <w:pPr>
        <w:rPr>
          <w:rFonts w:asciiTheme="minorHAnsi" w:hAnsiTheme="minorHAnsi" w:cstheme="minorHAnsi"/>
        </w:rPr>
      </w:pPr>
    </w:p>
    <w:p w:rsidR="009D4DE8" w:rsidRDefault="009D4DE8" w:rsidP="00E16609">
      <w:pPr>
        <w:rPr>
          <w:rFonts w:asciiTheme="minorHAnsi" w:hAnsiTheme="minorHAnsi" w:cstheme="minorHAnsi"/>
        </w:rPr>
      </w:pPr>
    </w:p>
    <w:p w:rsidR="00C54EFF" w:rsidRPr="00697868" w:rsidRDefault="00C54EFF" w:rsidP="00E16609">
      <w:pPr>
        <w:rPr>
          <w:rFonts w:asciiTheme="minorHAnsi" w:hAnsiTheme="minorHAnsi" w:cstheme="minorHAnsi"/>
        </w:rPr>
      </w:pPr>
    </w:p>
    <w:p w:rsidR="009D4DE8" w:rsidRDefault="009D4DE8">
      <w:pPr>
        <w:spacing w:after="200" w:line="276" w:lineRule="auto"/>
        <w:rPr>
          <w:rFonts w:asciiTheme="minorHAnsi" w:hAnsiTheme="minorHAnsi" w:cstheme="minorHAnsi"/>
        </w:rPr>
      </w:pPr>
    </w:p>
    <w:p w:rsidR="009D4DE8" w:rsidRDefault="009D4DE8">
      <w:pPr>
        <w:spacing w:after="200" w:line="276" w:lineRule="auto"/>
        <w:rPr>
          <w:rFonts w:asciiTheme="minorHAnsi" w:hAnsiTheme="minorHAnsi" w:cstheme="minorHAnsi"/>
        </w:rPr>
      </w:pPr>
    </w:p>
    <w:p w:rsidR="009D4DE8" w:rsidRDefault="009D4DE8">
      <w:pPr>
        <w:spacing w:after="200" w:line="276" w:lineRule="auto"/>
        <w:rPr>
          <w:rFonts w:asciiTheme="minorHAnsi" w:hAnsiTheme="minorHAnsi" w:cstheme="minorHAnsi"/>
        </w:rPr>
      </w:pPr>
    </w:p>
    <w:p w:rsidR="009D4DE8" w:rsidRDefault="009D4DE8">
      <w:pPr>
        <w:spacing w:after="200" w:line="276" w:lineRule="auto"/>
        <w:rPr>
          <w:rFonts w:asciiTheme="minorHAnsi" w:hAnsiTheme="minorHAnsi" w:cstheme="minorHAnsi"/>
        </w:rPr>
      </w:pPr>
    </w:p>
    <w:p w:rsidR="009D4DE8" w:rsidRDefault="009D4DE8">
      <w:pPr>
        <w:spacing w:after="200" w:line="276" w:lineRule="auto"/>
        <w:rPr>
          <w:rFonts w:asciiTheme="minorHAnsi" w:hAnsiTheme="minorHAnsi" w:cstheme="minorHAnsi"/>
        </w:rPr>
      </w:pPr>
    </w:p>
    <w:p w:rsidR="00C54EFF" w:rsidRPr="00697868" w:rsidRDefault="00C54EFF">
      <w:pPr>
        <w:spacing w:after="200" w:line="276" w:lineRule="auto"/>
        <w:rPr>
          <w:rFonts w:asciiTheme="minorHAnsi" w:hAnsiTheme="minorHAnsi" w:cstheme="minorHAnsi"/>
        </w:rPr>
      </w:pPr>
      <w:r w:rsidRPr="00697868">
        <w:rPr>
          <w:rFonts w:asciiTheme="minorHAnsi" w:hAnsiTheme="minorHAnsi" w:cstheme="minorHAnsi"/>
        </w:rPr>
        <w:br w:type="page"/>
      </w:r>
    </w:p>
    <w:p w:rsidR="00C54EFF" w:rsidRPr="00697868" w:rsidRDefault="00C54EFF" w:rsidP="00C54EFF">
      <w:pPr>
        <w:pStyle w:val="Heading1"/>
        <w:rPr>
          <w:rFonts w:asciiTheme="minorHAnsi" w:hAnsiTheme="minorHAnsi" w:cstheme="minorHAnsi"/>
        </w:rPr>
      </w:pPr>
      <w:bookmarkStart w:id="27" w:name="_References"/>
      <w:bookmarkEnd w:id="27"/>
      <w:r w:rsidRPr="00697868">
        <w:rPr>
          <w:rFonts w:asciiTheme="minorHAnsi" w:hAnsiTheme="minorHAnsi" w:cstheme="minorHAnsi"/>
        </w:rPr>
        <w:lastRenderedPageBreak/>
        <w:t>References</w:t>
      </w:r>
    </w:p>
    <w:p w:rsidR="00C51BB6" w:rsidRDefault="004372A3" w:rsidP="00C51BB6">
      <w:pPr>
        <w:rPr>
          <w:rFonts w:asciiTheme="minorHAnsi" w:hAnsiTheme="minorHAnsi" w:cstheme="minorHAnsi"/>
          <w:sz w:val="22"/>
          <w:szCs w:val="22"/>
        </w:rPr>
      </w:pPr>
      <w:r w:rsidRPr="00A118A1">
        <w:rPr>
          <w:rFonts w:asciiTheme="minorHAnsi" w:hAnsiTheme="minorHAnsi" w:cstheme="minorHAnsi"/>
        </w:rPr>
        <w:t>See accompanying files</w:t>
      </w:r>
      <w:bookmarkStart w:id="28" w:name="_GoBack"/>
      <w:bookmarkEnd w:id="28"/>
    </w:p>
    <w:p w:rsidR="00C51BB6" w:rsidRDefault="00C51BB6" w:rsidP="00BF2622">
      <w:pPr>
        <w:ind w:left="360"/>
        <w:rPr>
          <w:rFonts w:asciiTheme="minorHAnsi" w:hAnsiTheme="minorHAnsi" w:cstheme="minorHAnsi"/>
          <w:sz w:val="22"/>
          <w:szCs w:val="22"/>
        </w:rPr>
      </w:pPr>
    </w:p>
    <w:p w:rsidR="00BF2622" w:rsidRPr="00BF2622" w:rsidRDefault="00BF2622" w:rsidP="00C51BB6">
      <w:pPr>
        <w:pStyle w:val="ListParagraph"/>
        <w:numPr>
          <w:ilvl w:val="0"/>
          <w:numId w:val="13"/>
        </w:numPr>
        <w:ind w:left="360"/>
        <w:rPr>
          <w:rFonts w:asciiTheme="minorHAnsi" w:hAnsiTheme="minorHAnsi" w:cstheme="minorHAnsi"/>
          <w:sz w:val="22"/>
          <w:szCs w:val="22"/>
        </w:rPr>
      </w:pPr>
      <w:r w:rsidRPr="00BF2622">
        <w:rPr>
          <w:rFonts w:asciiTheme="minorHAnsi" w:hAnsiTheme="minorHAnsi" w:cstheme="minorHAnsi"/>
          <w:sz w:val="22"/>
          <w:szCs w:val="22"/>
        </w:rPr>
        <w:t>[26]</w:t>
      </w:r>
    </w:p>
    <w:p w:rsidR="00BF2622" w:rsidRPr="00BF2622" w:rsidRDefault="00BF2622" w:rsidP="00C51BB6">
      <w:pPr>
        <w:pStyle w:val="ListParagraph"/>
        <w:numPr>
          <w:ilvl w:val="0"/>
          <w:numId w:val="13"/>
        </w:numPr>
        <w:ind w:left="360"/>
        <w:rPr>
          <w:rFonts w:asciiTheme="minorHAnsi" w:hAnsiTheme="minorHAnsi" w:cstheme="minorHAnsi"/>
          <w:sz w:val="22"/>
          <w:szCs w:val="22"/>
        </w:rPr>
      </w:pPr>
      <w:r w:rsidRPr="00BF2622">
        <w:rPr>
          <w:rFonts w:asciiTheme="minorHAnsi" w:hAnsiTheme="minorHAnsi" w:cstheme="minorHAnsi"/>
          <w:sz w:val="22"/>
          <w:szCs w:val="22"/>
        </w:rPr>
        <w:t>[31]</w:t>
      </w:r>
    </w:p>
    <w:p w:rsidR="00BF2622" w:rsidRPr="00BF2622" w:rsidRDefault="00BF2622" w:rsidP="00C51BB6">
      <w:pPr>
        <w:pStyle w:val="ListParagraph"/>
        <w:numPr>
          <w:ilvl w:val="0"/>
          <w:numId w:val="13"/>
        </w:numPr>
        <w:ind w:left="360"/>
        <w:rPr>
          <w:rFonts w:asciiTheme="minorHAnsi" w:hAnsiTheme="minorHAnsi" w:cstheme="minorHAnsi"/>
          <w:sz w:val="22"/>
          <w:szCs w:val="22"/>
        </w:rPr>
      </w:pPr>
      <w:r w:rsidRPr="00BF2622">
        <w:rPr>
          <w:rFonts w:asciiTheme="minorHAnsi" w:hAnsiTheme="minorHAnsi" w:cstheme="minorHAnsi"/>
          <w:sz w:val="22"/>
          <w:szCs w:val="22"/>
        </w:rPr>
        <w:t>[100]</w:t>
      </w:r>
    </w:p>
    <w:p w:rsidR="00BF2622" w:rsidRPr="00BF2622" w:rsidRDefault="00BF2622" w:rsidP="00C51BB6">
      <w:pPr>
        <w:pStyle w:val="ListParagraph"/>
        <w:numPr>
          <w:ilvl w:val="0"/>
          <w:numId w:val="13"/>
        </w:numPr>
        <w:ind w:left="360"/>
        <w:rPr>
          <w:rFonts w:asciiTheme="minorHAnsi" w:hAnsiTheme="minorHAnsi" w:cstheme="minorHAnsi"/>
          <w:sz w:val="22"/>
          <w:szCs w:val="22"/>
        </w:rPr>
      </w:pPr>
      <w:r w:rsidRPr="00BF2622">
        <w:rPr>
          <w:rFonts w:asciiTheme="minorHAnsi" w:hAnsiTheme="minorHAnsi" w:cstheme="minorHAnsi"/>
          <w:sz w:val="22"/>
          <w:szCs w:val="22"/>
        </w:rPr>
        <w:t>[208]</w:t>
      </w:r>
    </w:p>
    <w:p w:rsidR="00BF2622" w:rsidRPr="00BF2622" w:rsidRDefault="00BF2622" w:rsidP="00C51BB6">
      <w:pPr>
        <w:pStyle w:val="ListParagraph"/>
        <w:numPr>
          <w:ilvl w:val="0"/>
          <w:numId w:val="13"/>
        </w:numPr>
        <w:ind w:left="360"/>
        <w:rPr>
          <w:rFonts w:asciiTheme="minorHAnsi" w:hAnsiTheme="minorHAnsi" w:cstheme="minorHAnsi"/>
          <w:sz w:val="22"/>
          <w:szCs w:val="22"/>
        </w:rPr>
      </w:pPr>
      <w:r w:rsidRPr="00BF2622">
        <w:rPr>
          <w:rFonts w:asciiTheme="minorHAnsi" w:hAnsiTheme="minorHAnsi" w:cstheme="minorHAnsi"/>
          <w:sz w:val="22"/>
          <w:szCs w:val="22"/>
        </w:rPr>
        <w:t>[213]</w:t>
      </w:r>
    </w:p>
    <w:p w:rsidR="00590DFC" w:rsidRDefault="00590DFC" w:rsidP="00C51BB6">
      <w:pPr>
        <w:pStyle w:val="ListParagraph"/>
        <w:numPr>
          <w:ilvl w:val="0"/>
          <w:numId w:val="13"/>
        </w:numPr>
        <w:ind w:left="360"/>
        <w:rPr>
          <w:rFonts w:asciiTheme="minorHAnsi" w:hAnsiTheme="minorHAnsi" w:cstheme="minorHAnsi"/>
          <w:sz w:val="22"/>
          <w:szCs w:val="22"/>
        </w:rPr>
      </w:pPr>
      <w:r>
        <w:rPr>
          <w:rFonts w:asciiTheme="minorHAnsi" w:hAnsiTheme="minorHAnsi" w:cstheme="minorHAnsi"/>
          <w:sz w:val="22"/>
          <w:szCs w:val="22"/>
        </w:rPr>
        <w:t>[351]</w:t>
      </w:r>
    </w:p>
    <w:p w:rsidR="001D1763" w:rsidRDefault="001D1763" w:rsidP="00C51BB6">
      <w:pPr>
        <w:pStyle w:val="ListParagraph"/>
        <w:numPr>
          <w:ilvl w:val="0"/>
          <w:numId w:val="13"/>
        </w:numPr>
        <w:ind w:left="360"/>
        <w:rPr>
          <w:rFonts w:asciiTheme="minorHAnsi" w:hAnsiTheme="minorHAnsi" w:cstheme="minorHAnsi"/>
          <w:sz w:val="22"/>
          <w:szCs w:val="22"/>
        </w:rPr>
      </w:pPr>
      <w:r>
        <w:rPr>
          <w:rFonts w:asciiTheme="minorHAnsi" w:hAnsiTheme="minorHAnsi" w:cstheme="minorHAnsi"/>
          <w:sz w:val="22"/>
          <w:szCs w:val="22"/>
        </w:rPr>
        <w:t>[356]</w:t>
      </w:r>
    </w:p>
    <w:p w:rsidR="0027296E" w:rsidRDefault="0027296E" w:rsidP="00C51BB6">
      <w:pPr>
        <w:pStyle w:val="ListParagraph"/>
        <w:numPr>
          <w:ilvl w:val="0"/>
          <w:numId w:val="13"/>
        </w:numPr>
        <w:ind w:left="360"/>
        <w:rPr>
          <w:rFonts w:asciiTheme="minorHAnsi" w:hAnsiTheme="minorHAnsi" w:cstheme="minorHAnsi"/>
          <w:sz w:val="22"/>
          <w:szCs w:val="22"/>
        </w:rPr>
      </w:pPr>
      <w:r>
        <w:rPr>
          <w:rFonts w:asciiTheme="minorHAnsi" w:hAnsiTheme="minorHAnsi" w:cstheme="minorHAnsi"/>
          <w:sz w:val="22"/>
          <w:szCs w:val="22"/>
        </w:rPr>
        <w:t>[422]</w:t>
      </w:r>
    </w:p>
    <w:p w:rsidR="00933459" w:rsidRDefault="00933459" w:rsidP="00C51BB6">
      <w:pPr>
        <w:pStyle w:val="ListParagraph"/>
        <w:numPr>
          <w:ilvl w:val="0"/>
          <w:numId w:val="13"/>
        </w:numPr>
        <w:ind w:left="360"/>
        <w:rPr>
          <w:rFonts w:asciiTheme="minorHAnsi" w:hAnsiTheme="minorHAnsi" w:cstheme="minorHAnsi"/>
          <w:sz w:val="22"/>
          <w:szCs w:val="22"/>
        </w:rPr>
      </w:pPr>
      <w:r>
        <w:rPr>
          <w:rFonts w:asciiTheme="minorHAnsi" w:hAnsiTheme="minorHAnsi" w:cstheme="minorHAnsi"/>
          <w:sz w:val="22"/>
          <w:szCs w:val="22"/>
        </w:rPr>
        <w:t>[436]</w:t>
      </w:r>
    </w:p>
    <w:p w:rsidR="00590DFC" w:rsidRPr="00BF2622" w:rsidRDefault="00590DFC" w:rsidP="0051696C">
      <w:pPr>
        <w:pStyle w:val="ListParagraph"/>
        <w:ind w:left="1080"/>
        <w:rPr>
          <w:rFonts w:asciiTheme="minorHAnsi" w:hAnsiTheme="minorHAnsi" w:cstheme="minorHAnsi"/>
          <w:sz w:val="22"/>
          <w:szCs w:val="22"/>
        </w:rPr>
      </w:pPr>
    </w:p>
    <w:p w:rsidR="00BF2622" w:rsidRPr="00BF2622" w:rsidRDefault="00BF2622" w:rsidP="00BF2622">
      <w:pPr>
        <w:ind w:left="360"/>
        <w:rPr>
          <w:rFonts w:asciiTheme="minorHAnsi" w:hAnsiTheme="minorHAnsi" w:cstheme="minorHAnsi"/>
          <w:sz w:val="22"/>
          <w:szCs w:val="22"/>
        </w:rPr>
      </w:pPr>
    </w:p>
    <w:p w:rsidR="00BF2622" w:rsidRPr="00A16D1F" w:rsidRDefault="00BF2622" w:rsidP="00BF2622">
      <w:pPr>
        <w:pStyle w:val="EndnoteText"/>
        <w:ind w:left="360"/>
        <w:rPr>
          <w:rFonts w:asciiTheme="minorHAnsi" w:hAnsiTheme="minorHAnsi" w:cstheme="minorHAnsi"/>
          <w:sz w:val="22"/>
          <w:szCs w:val="22"/>
        </w:rPr>
      </w:pPr>
      <w:r w:rsidRPr="00A16D1F">
        <w:rPr>
          <w:rFonts w:asciiTheme="minorHAnsi" w:hAnsiTheme="minorHAnsi" w:cstheme="minorHAnsi"/>
          <w:sz w:val="22"/>
          <w:szCs w:val="22"/>
        </w:rPr>
        <w:t xml:space="preserve">[A] </w:t>
      </w:r>
      <w:hyperlink r:id="rId19" w:history="1">
        <w:r w:rsidRPr="00A16D1F">
          <w:rPr>
            <w:rStyle w:val="Hyperlink"/>
            <w:rFonts w:asciiTheme="minorHAnsi" w:hAnsiTheme="minorHAnsi" w:cstheme="minorHAnsi"/>
            <w:sz w:val="22"/>
            <w:szCs w:val="22"/>
          </w:rPr>
          <w:t>http://www.appliances.energy.ca.gov/QuickSearch.aspx</w:t>
        </w:r>
      </w:hyperlink>
      <w:r w:rsidRPr="00A16D1F">
        <w:rPr>
          <w:rFonts w:asciiTheme="minorHAnsi" w:hAnsiTheme="minorHAnsi" w:cstheme="minorHAnsi"/>
          <w:sz w:val="22"/>
          <w:szCs w:val="22"/>
        </w:rPr>
        <w:t>; accessed on 05-05-09.</w:t>
      </w:r>
    </w:p>
    <w:p w:rsidR="00BF2622" w:rsidRPr="00A16D1F" w:rsidRDefault="00BF2622" w:rsidP="00BF2622">
      <w:pPr>
        <w:pStyle w:val="EndnoteText"/>
        <w:ind w:left="360"/>
        <w:rPr>
          <w:rFonts w:asciiTheme="minorHAnsi" w:hAnsiTheme="minorHAnsi" w:cstheme="minorHAnsi"/>
          <w:sz w:val="22"/>
          <w:szCs w:val="22"/>
        </w:rPr>
      </w:pPr>
    </w:p>
    <w:p w:rsidR="00BF2622" w:rsidRPr="00BF2622" w:rsidRDefault="00BF2622" w:rsidP="00BF2622">
      <w:pPr>
        <w:ind w:left="360"/>
        <w:rPr>
          <w:rFonts w:asciiTheme="minorHAnsi" w:hAnsiTheme="minorHAnsi" w:cstheme="minorHAnsi"/>
          <w:sz w:val="22"/>
          <w:szCs w:val="22"/>
        </w:rPr>
      </w:pPr>
      <w:r w:rsidRPr="00BF2622">
        <w:rPr>
          <w:rFonts w:asciiTheme="minorHAnsi" w:hAnsiTheme="minorHAnsi" w:cstheme="minorHAnsi"/>
          <w:sz w:val="22"/>
          <w:szCs w:val="22"/>
        </w:rPr>
        <w:t>[B] RS Means</w:t>
      </w:r>
      <w:r w:rsidRPr="00BF2622">
        <w:rPr>
          <w:rFonts w:asciiTheme="minorHAnsi" w:hAnsiTheme="minorHAnsi" w:cstheme="minorHAnsi"/>
          <w:sz w:val="22"/>
          <w:szCs w:val="22"/>
        </w:rPr>
        <w:fldChar w:fldCharType="begin"/>
      </w:r>
      <w:r w:rsidRPr="00BF2622">
        <w:rPr>
          <w:rFonts w:asciiTheme="minorHAnsi" w:hAnsiTheme="minorHAnsi" w:cstheme="minorHAnsi"/>
          <w:sz w:val="22"/>
          <w:szCs w:val="22"/>
        </w:rPr>
        <w:instrText xml:space="preserve"> XE "RS Means" </w:instrText>
      </w:r>
      <w:r w:rsidRPr="00BF2622">
        <w:rPr>
          <w:rFonts w:asciiTheme="minorHAnsi" w:hAnsiTheme="minorHAnsi" w:cstheme="minorHAnsi"/>
          <w:sz w:val="22"/>
          <w:szCs w:val="22"/>
        </w:rPr>
        <w:fldChar w:fldCharType="end"/>
      </w:r>
      <w:r w:rsidRPr="00BF2622">
        <w:rPr>
          <w:rFonts w:asciiTheme="minorHAnsi" w:hAnsiTheme="minorHAnsi" w:cstheme="minorHAnsi"/>
          <w:sz w:val="22"/>
          <w:szCs w:val="22"/>
        </w:rPr>
        <w:t xml:space="preserve"> Mechanical Cost Data 2009, 31st Annual Edition, Reed Construction Data, Inc.</w:t>
      </w:r>
    </w:p>
    <w:p w:rsidR="00BF2622" w:rsidRPr="00BF2622" w:rsidRDefault="00BF2622" w:rsidP="00BF2622">
      <w:pPr>
        <w:ind w:left="360"/>
        <w:rPr>
          <w:rFonts w:asciiTheme="minorHAnsi" w:hAnsiTheme="minorHAnsi" w:cstheme="minorHAnsi"/>
          <w:sz w:val="22"/>
          <w:szCs w:val="22"/>
        </w:rPr>
      </w:pPr>
    </w:p>
    <w:p w:rsidR="001A3551" w:rsidRDefault="00BF2622" w:rsidP="00BF2622">
      <w:pPr>
        <w:ind w:left="360"/>
        <w:rPr>
          <w:rFonts w:asciiTheme="minorHAnsi" w:hAnsiTheme="minorHAnsi" w:cstheme="minorHAnsi"/>
          <w:sz w:val="22"/>
          <w:szCs w:val="22"/>
        </w:rPr>
      </w:pPr>
      <w:r w:rsidRPr="00BF2622">
        <w:rPr>
          <w:rFonts w:asciiTheme="minorHAnsi" w:hAnsiTheme="minorHAnsi" w:cstheme="minorHAnsi"/>
          <w:sz w:val="22"/>
          <w:szCs w:val="22"/>
        </w:rPr>
        <w:t>[</w:t>
      </w:r>
      <w:r w:rsidR="0064528D">
        <w:rPr>
          <w:rFonts w:asciiTheme="minorHAnsi" w:hAnsiTheme="minorHAnsi" w:cstheme="minorHAnsi"/>
          <w:sz w:val="22"/>
          <w:szCs w:val="22"/>
        </w:rPr>
        <w:t>C</w:t>
      </w:r>
      <w:r w:rsidRPr="00BF2622">
        <w:rPr>
          <w:rFonts w:asciiTheme="minorHAnsi" w:hAnsiTheme="minorHAnsi" w:cstheme="minorHAnsi"/>
          <w:sz w:val="22"/>
          <w:szCs w:val="22"/>
        </w:rPr>
        <w:t xml:space="preserve">] </w:t>
      </w:r>
      <w:proofErr w:type="spellStart"/>
      <w:r w:rsidR="0098108E">
        <w:rPr>
          <w:rFonts w:asciiTheme="minorHAnsi" w:hAnsiTheme="minorHAnsi" w:cstheme="minorHAnsi"/>
          <w:sz w:val="22"/>
          <w:szCs w:val="22"/>
        </w:rPr>
        <w:t>Vaisala</w:t>
      </w:r>
      <w:proofErr w:type="spellEnd"/>
      <w:r w:rsidR="0098108E">
        <w:rPr>
          <w:rFonts w:asciiTheme="minorHAnsi" w:hAnsiTheme="minorHAnsi" w:cstheme="minorHAnsi"/>
          <w:sz w:val="22"/>
          <w:szCs w:val="22"/>
        </w:rPr>
        <w:t xml:space="preserve"> </w:t>
      </w:r>
      <w:proofErr w:type="spellStart"/>
      <w:r w:rsidR="0098108E">
        <w:rPr>
          <w:rFonts w:asciiTheme="minorHAnsi" w:hAnsiTheme="minorHAnsi" w:cstheme="minorHAnsi"/>
          <w:sz w:val="22"/>
          <w:szCs w:val="22"/>
        </w:rPr>
        <w:t>Oyj</w:t>
      </w:r>
      <w:proofErr w:type="spellEnd"/>
      <w:r w:rsidR="0098108E">
        <w:rPr>
          <w:rFonts w:asciiTheme="minorHAnsi" w:hAnsiTheme="minorHAnsi" w:cstheme="minorHAnsi"/>
          <w:sz w:val="22"/>
          <w:szCs w:val="22"/>
        </w:rPr>
        <w:t xml:space="preserve"> (2013). </w:t>
      </w:r>
      <w:proofErr w:type="gramStart"/>
      <w:r w:rsidR="0098108E">
        <w:rPr>
          <w:rFonts w:asciiTheme="minorHAnsi" w:hAnsiTheme="minorHAnsi" w:cstheme="minorHAnsi"/>
          <w:sz w:val="22"/>
          <w:szCs w:val="22"/>
        </w:rPr>
        <w:t>Humidity Conversion Formulas.</w:t>
      </w:r>
      <w:proofErr w:type="gramEnd"/>
      <w:r w:rsidR="0098108E">
        <w:rPr>
          <w:rFonts w:asciiTheme="minorHAnsi" w:hAnsiTheme="minorHAnsi" w:cstheme="minorHAnsi"/>
          <w:sz w:val="22"/>
          <w:szCs w:val="22"/>
        </w:rPr>
        <w:t xml:space="preserve"> </w:t>
      </w:r>
      <w:hyperlink r:id="rId20" w:history="1">
        <w:r w:rsidR="0098108E" w:rsidRPr="004E26E4">
          <w:rPr>
            <w:rStyle w:val="Hyperlink"/>
            <w:rFonts w:asciiTheme="minorHAnsi" w:hAnsiTheme="minorHAnsi" w:cstheme="minorHAnsi"/>
            <w:sz w:val="22"/>
            <w:szCs w:val="22"/>
          </w:rPr>
          <w:t>www.vaisala.com</w:t>
        </w:r>
      </w:hyperlink>
    </w:p>
    <w:p w:rsidR="009824E9" w:rsidRDefault="009824E9" w:rsidP="00BF2622">
      <w:pPr>
        <w:ind w:left="360"/>
        <w:rPr>
          <w:rFonts w:asciiTheme="minorHAnsi" w:hAnsiTheme="minorHAnsi" w:cstheme="minorHAnsi"/>
          <w:sz w:val="22"/>
          <w:szCs w:val="22"/>
        </w:rPr>
      </w:pPr>
    </w:p>
    <w:p w:rsidR="001A3551" w:rsidRDefault="001A3551" w:rsidP="0051696C">
      <w:pPr>
        <w:ind w:left="360"/>
      </w:pPr>
      <w:r>
        <w:rPr>
          <w:rFonts w:asciiTheme="minorHAnsi" w:hAnsiTheme="minorHAnsi" w:cstheme="minorHAnsi"/>
          <w:sz w:val="22"/>
          <w:szCs w:val="22"/>
        </w:rPr>
        <w:t>[</w:t>
      </w:r>
      <w:r w:rsidR="0042334D">
        <w:rPr>
          <w:rFonts w:asciiTheme="minorHAnsi" w:hAnsiTheme="minorHAnsi" w:cstheme="minorHAnsi"/>
          <w:sz w:val="22"/>
          <w:szCs w:val="22"/>
        </w:rPr>
        <w:t>D</w:t>
      </w:r>
      <w:r>
        <w:rPr>
          <w:rFonts w:asciiTheme="minorHAnsi" w:hAnsiTheme="minorHAnsi" w:cstheme="minorHAnsi"/>
          <w:sz w:val="22"/>
          <w:szCs w:val="22"/>
        </w:rPr>
        <w:t xml:space="preserve">] </w:t>
      </w:r>
      <w:r w:rsidRPr="009A3071">
        <w:rPr>
          <w:rFonts w:asciiTheme="minorHAnsi" w:hAnsiTheme="minorHAnsi" w:cstheme="minorHAnsi"/>
          <w:sz w:val="22"/>
          <w:szCs w:val="22"/>
        </w:rPr>
        <w:t>California Energy Commission, Consumer Energy Center. (2013, April 26). </w:t>
      </w:r>
      <w:proofErr w:type="gramStart"/>
      <w:r w:rsidRPr="009A3071">
        <w:rPr>
          <w:rFonts w:asciiTheme="minorHAnsi" w:hAnsiTheme="minorHAnsi" w:cstheme="minorHAnsi"/>
          <w:sz w:val="22"/>
          <w:szCs w:val="22"/>
        </w:rPr>
        <w:t>Evaporative cooling.</w:t>
      </w:r>
      <w:proofErr w:type="gramEnd"/>
      <w:r w:rsidRPr="009A3071">
        <w:rPr>
          <w:rFonts w:asciiTheme="minorHAnsi" w:hAnsiTheme="minorHAnsi" w:cstheme="minorHAnsi"/>
          <w:sz w:val="22"/>
          <w:szCs w:val="22"/>
        </w:rPr>
        <w:t xml:space="preserve"> Retrieved from </w:t>
      </w:r>
      <w:hyperlink r:id="rId21" w:history="1">
        <w:r w:rsidRPr="002246FA">
          <w:rPr>
            <w:rFonts w:asciiTheme="minorHAnsi" w:hAnsiTheme="minorHAnsi" w:cstheme="minorHAnsi"/>
            <w:sz w:val="22"/>
            <w:szCs w:val="22"/>
          </w:rPr>
          <w:t>http://www.consumerenergycenter.org/home/heating_cooling/evaporative.html</w:t>
        </w:r>
      </w:hyperlink>
    </w:p>
    <w:p w:rsidR="00712525" w:rsidRDefault="00712525" w:rsidP="0051696C">
      <w:pPr>
        <w:ind w:left="360"/>
      </w:pPr>
    </w:p>
    <w:p w:rsidR="00712525" w:rsidRDefault="0042334D" w:rsidP="0051696C">
      <w:pPr>
        <w:ind w:left="360"/>
        <w:rPr>
          <w:rFonts w:asciiTheme="minorHAnsi" w:hAnsiTheme="minorHAnsi" w:cstheme="minorHAnsi"/>
          <w:sz w:val="22"/>
          <w:szCs w:val="22"/>
        </w:rPr>
      </w:pPr>
      <w:r>
        <w:rPr>
          <w:rFonts w:asciiTheme="minorHAnsi" w:hAnsiTheme="minorHAnsi" w:cstheme="minorHAnsi"/>
          <w:sz w:val="22"/>
          <w:szCs w:val="22"/>
        </w:rPr>
        <w:t>[E</w:t>
      </w:r>
      <w:r w:rsidR="00712525" w:rsidRPr="002246FA">
        <w:rPr>
          <w:rFonts w:asciiTheme="minorHAnsi" w:hAnsiTheme="minorHAnsi" w:cstheme="minorHAnsi"/>
          <w:sz w:val="22"/>
          <w:szCs w:val="22"/>
        </w:rPr>
        <w:t>]</w:t>
      </w:r>
      <w:r w:rsidR="00712525">
        <w:rPr>
          <w:rFonts w:asciiTheme="minorHAnsi" w:hAnsiTheme="minorHAnsi" w:cstheme="minorHAnsi"/>
          <w:sz w:val="22"/>
          <w:szCs w:val="22"/>
        </w:rPr>
        <w:t xml:space="preserve"> 2013 Fundamentals. </w:t>
      </w:r>
      <w:proofErr w:type="gramStart"/>
      <w:r w:rsidR="00712525">
        <w:rPr>
          <w:rFonts w:asciiTheme="minorHAnsi" w:hAnsiTheme="minorHAnsi" w:cstheme="minorHAnsi"/>
          <w:sz w:val="22"/>
          <w:szCs w:val="22"/>
        </w:rPr>
        <w:t>ASHRAE Handbook.</w:t>
      </w:r>
      <w:proofErr w:type="gramEnd"/>
      <w:r w:rsidR="00712525">
        <w:rPr>
          <w:rFonts w:asciiTheme="minorHAnsi" w:hAnsiTheme="minorHAnsi" w:cstheme="minorHAnsi"/>
          <w:sz w:val="22"/>
          <w:szCs w:val="22"/>
        </w:rPr>
        <w:t xml:space="preserve">  </w:t>
      </w:r>
      <w:proofErr w:type="gramStart"/>
      <w:r w:rsidR="00712525">
        <w:rPr>
          <w:rFonts w:asciiTheme="minorHAnsi" w:hAnsiTheme="minorHAnsi" w:cstheme="minorHAnsi"/>
          <w:sz w:val="22"/>
          <w:szCs w:val="22"/>
        </w:rPr>
        <w:t>I-P Edition.</w:t>
      </w:r>
      <w:proofErr w:type="gramEnd"/>
    </w:p>
    <w:p w:rsidR="001A3551" w:rsidRPr="00BF2622" w:rsidRDefault="001A3551" w:rsidP="00BF2622">
      <w:pPr>
        <w:ind w:left="360"/>
        <w:rPr>
          <w:rFonts w:asciiTheme="minorHAnsi" w:hAnsiTheme="minorHAnsi" w:cstheme="minorHAnsi"/>
        </w:rPr>
      </w:pPr>
    </w:p>
    <w:p w:rsidR="009824E9" w:rsidRDefault="009824E9" w:rsidP="009824E9"/>
    <w:p w:rsidR="0071678E" w:rsidRDefault="0071678E">
      <w:pPr>
        <w:spacing w:after="200" w:line="276" w:lineRule="auto"/>
        <w:rPr>
          <w:rFonts w:asciiTheme="minorHAnsi" w:hAnsiTheme="minorHAnsi" w:cstheme="minorHAnsi"/>
          <w:b/>
          <w:bCs/>
          <w:smallCaps/>
          <w:kern w:val="32"/>
          <w:sz w:val="36"/>
          <w:szCs w:val="32"/>
        </w:rPr>
      </w:pPr>
      <w:r>
        <w:rPr>
          <w:rFonts w:asciiTheme="minorHAnsi" w:hAnsiTheme="minorHAnsi" w:cstheme="minorHAnsi"/>
        </w:rPr>
        <w:br w:type="page"/>
      </w:r>
    </w:p>
    <w:p w:rsidR="0071678E" w:rsidRDefault="0071678E" w:rsidP="009824E9">
      <w:pPr>
        <w:pStyle w:val="Heading1"/>
        <w:rPr>
          <w:rFonts w:asciiTheme="minorHAnsi" w:hAnsiTheme="minorHAnsi" w:cstheme="minorHAnsi"/>
        </w:rPr>
        <w:sectPr w:rsidR="0071678E" w:rsidSect="00A9674A">
          <w:footerReference w:type="default" r:id="rId22"/>
          <w:pgSz w:w="12240" w:h="15840"/>
          <w:pgMar w:top="1440" w:right="1440" w:bottom="1555" w:left="1440" w:header="720" w:footer="720" w:gutter="0"/>
          <w:pgNumType w:start="1"/>
          <w:cols w:space="720"/>
          <w:docGrid w:linePitch="360"/>
        </w:sectPr>
      </w:pPr>
    </w:p>
    <w:p w:rsidR="009824E9" w:rsidRPr="009824E9" w:rsidRDefault="009824E9" w:rsidP="009824E9">
      <w:pPr>
        <w:pStyle w:val="Heading1"/>
        <w:rPr>
          <w:rFonts w:asciiTheme="minorHAnsi" w:hAnsiTheme="minorHAnsi" w:cstheme="minorHAnsi"/>
        </w:rPr>
      </w:pPr>
      <w:r w:rsidRPr="009824E9">
        <w:rPr>
          <w:rFonts w:asciiTheme="minorHAnsi" w:hAnsiTheme="minorHAnsi" w:cstheme="minorHAnsi"/>
        </w:rPr>
        <w:lastRenderedPageBreak/>
        <w:t xml:space="preserve">Appendix </w:t>
      </w:r>
      <w:r w:rsidR="00CE28CF">
        <w:rPr>
          <w:rFonts w:asciiTheme="minorHAnsi" w:hAnsiTheme="minorHAnsi" w:cstheme="minorHAnsi"/>
        </w:rPr>
        <w:t>A</w:t>
      </w:r>
      <w:r>
        <w:rPr>
          <w:rFonts w:asciiTheme="minorHAnsi" w:hAnsiTheme="minorHAnsi" w:cstheme="minorHAnsi"/>
        </w:rPr>
        <w:t xml:space="preserve"> – SCE/ED </w:t>
      </w:r>
      <w:r w:rsidR="00CE28CF">
        <w:rPr>
          <w:rFonts w:asciiTheme="minorHAnsi" w:hAnsiTheme="minorHAnsi" w:cstheme="minorHAnsi"/>
        </w:rPr>
        <w:t>Application</w:t>
      </w:r>
      <w:r>
        <w:rPr>
          <w:rFonts w:asciiTheme="minorHAnsi" w:hAnsiTheme="minorHAnsi" w:cstheme="minorHAnsi"/>
        </w:rPr>
        <w:t xml:space="preserve"> Types </w:t>
      </w:r>
    </w:p>
    <w:tbl>
      <w:tblPr>
        <w:tblStyle w:val="TableContemporary"/>
        <w:tblW w:w="13068" w:type="dxa"/>
        <w:tblLayout w:type="fixed"/>
        <w:tblLook w:val="04A0" w:firstRow="1" w:lastRow="0" w:firstColumn="1" w:lastColumn="0" w:noHBand="0" w:noVBand="1"/>
      </w:tblPr>
      <w:tblGrid>
        <w:gridCol w:w="1818"/>
        <w:gridCol w:w="1800"/>
        <w:gridCol w:w="1890"/>
        <w:gridCol w:w="1890"/>
        <w:gridCol w:w="1620"/>
        <w:gridCol w:w="1620"/>
        <w:gridCol w:w="1170"/>
        <w:gridCol w:w="1260"/>
      </w:tblGrid>
      <w:tr w:rsidR="0023254A" w:rsidRPr="009824E9" w:rsidTr="0023254A">
        <w:trPr>
          <w:cnfStyle w:val="100000000000" w:firstRow="1" w:lastRow="0" w:firstColumn="0" w:lastColumn="0" w:oddVBand="0" w:evenVBand="0" w:oddHBand="0" w:evenHBand="0" w:firstRowFirstColumn="0" w:firstRowLastColumn="0" w:lastRowFirstColumn="0" w:lastRowLastColumn="0"/>
        </w:trPr>
        <w:tc>
          <w:tcPr>
            <w:tcW w:w="1818" w:type="dxa"/>
          </w:tcPr>
          <w:p w:rsidR="0023254A" w:rsidRPr="009824E9" w:rsidRDefault="0023254A" w:rsidP="00FB46BF">
            <w:pPr>
              <w:rPr>
                <w:rFonts w:asciiTheme="minorHAnsi" w:hAnsiTheme="minorHAnsi"/>
                <w:sz w:val="20"/>
                <w:szCs w:val="20"/>
              </w:rPr>
            </w:pPr>
            <w:r w:rsidRPr="009824E9">
              <w:rPr>
                <w:rFonts w:asciiTheme="minorHAnsi" w:hAnsiTheme="minorHAnsi"/>
                <w:sz w:val="20"/>
                <w:szCs w:val="20"/>
              </w:rPr>
              <w:t>SCE Program Type</w:t>
            </w:r>
          </w:p>
        </w:tc>
        <w:tc>
          <w:tcPr>
            <w:tcW w:w="1800" w:type="dxa"/>
          </w:tcPr>
          <w:p w:rsidR="0023254A" w:rsidRPr="009824E9" w:rsidRDefault="0023254A" w:rsidP="00FB46BF">
            <w:pPr>
              <w:rPr>
                <w:rFonts w:asciiTheme="minorHAnsi" w:hAnsiTheme="minorHAnsi"/>
                <w:sz w:val="20"/>
                <w:szCs w:val="20"/>
              </w:rPr>
            </w:pPr>
            <w:r w:rsidRPr="009824E9">
              <w:rPr>
                <w:rFonts w:asciiTheme="minorHAnsi" w:hAnsiTheme="minorHAnsi"/>
                <w:sz w:val="20"/>
                <w:szCs w:val="20"/>
              </w:rPr>
              <w:t>ED Application Type</w:t>
            </w:r>
          </w:p>
        </w:tc>
        <w:tc>
          <w:tcPr>
            <w:tcW w:w="1890" w:type="dxa"/>
          </w:tcPr>
          <w:p w:rsidR="0023254A" w:rsidRPr="009824E9" w:rsidRDefault="0023254A" w:rsidP="00FB46BF">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Savings</w:t>
            </w:r>
          </w:p>
        </w:tc>
        <w:tc>
          <w:tcPr>
            <w:tcW w:w="1890" w:type="dxa"/>
          </w:tcPr>
          <w:p w:rsidR="0023254A" w:rsidRPr="009824E9" w:rsidRDefault="0023254A" w:rsidP="00FB46BF">
            <w:pPr>
              <w:rPr>
                <w:rFonts w:asciiTheme="minorHAnsi" w:hAnsiTheme="minorHAnsi"/>
                <w:sz w:val="20"/>
                <w:szCs w:val="20"/>
              </w:rPr>
            </w:pPr>
            <w:r>
              <w:rPr>
                <w:rFonts w:asciiTheme="minorHAnsi" w:hAnsiTheme="minorHAnsi"/>
                <w:sz w:val="20"/>
                <w:szCs w:val="20"/>
              </w:rPr>
              <w:t>2</w:t>
            </w:r>
            <w:r w:rsidRPr="009824E9">
              <w:rPr>
                <w:rFonts w:asciiTheme="minorHAnsi" w:hAnsiTheme="minorHAnsi"/>
                <w:sz w:val="20"/>
                <w:szCs w:val="20"/>
                <w:vertAlign w:val="superscript"/>
              </w:rPr>
              <w:t>nd</w:t>
            </w:r>
            <w:r>
              <w:rPr>
                <w:rFonts w:asciiTheme="minorHAnsi" w:hAnsiTheme="minorHAnsi"/>
                <w:sz w:val="20"/>
                <w:szCs w:val="20"/>
              </w:rPr>
              <w:t xml:space="preserve"> Baseline Savings</w:t>
            </w:r>
          </w:p>
        </w:tc>
        <w:tc>
          <w:tcPr>
            <w:tcW w:w="1620" w:type="dxa"/>
          </w:tcPr>
          <w:p w:rsidR="0023254A" w:rsidRPr="009824E9" w:rsidRDefault="0023254A" w:rsidP="00FB46BF">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Cost</w:t>
            </w:r>
          </w:p>
        </w:tc>
        <w:tc>
          <w:tcPr>
            <w:tcW w:w="1620" w:type="dxa"/>
          </w:tcPr>
          <w:p w:rsidR="0023254A" w:rsidRPr="009824E9" w:rsidRDefault="0023254A" w:rsidP="00FB46BF">
            <w:pPr>
              <w:rPr>
                <w:rFonts w:asciiTheme="minorHAnsi" w:hAnsiTheme="minorHAnsi"/>
                <w:sz w:val="20"/>
                <w:szCs w:val="20"/>
              </w:rPr>
            </w:pPr>
            <w:r>
              <w:rPr>
                <w:rFonts w:asciiTheme="minorHAnsi" w:hAnsiTheme="minorHAnsi"/>
                <w:sz w:val="20"/>
                <w:szCs w:val="20"/>
              </w:rPr>
              <w:t>2</w:t>
            </w:r>
            <w:r w:rsidRPr="009824E9">
              <w:rPr>
                <w:rFonts w:asciiTheme="minorHAnsi" w:hAnsiTheme="minorHAnsi"/>
                <w:sz w:val="20"/>
                <w:szCs w:val="20"/>
                <w:vertAlign w:val="superscript"/>
              </w:rPr>
              <w:t>nd</w:t>
            </w:r>
            <w:r>
              <w:rPr>
                <w:rFonts w:asciiTheme="minorHAnsi" w:hAnsiTheme="minorHAnsi"/>
                <w:sz w:val="20"/>
                <w:szCs w:val="20"/>
              </w:rPr>
              <w:t xml:space="preserve"> Baseline Cost</w:t>
            </w:r>
          </w:p>
        </w:tc>
        <w:tc>
          <w:tcPr>
            <w:tcW w:w="1170" w:type="dxa"/>
          </w:tcPr>
          <w:p w:rsidR="0023254A" w:rsidRDefault="0023254A" w:rsidP="00FB46BF">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Life</w:t>
            </w:r>
          </w:p>
        </w:tc>
        <w:tc>
          <w:tcPr>
            <w:tcW w:w="1260" w:type="dxa"/>
          </w:tcPr>
          <w:p w:rsidR="0023254A" w:rsidRDefault="0023254A" w:rsidP="00FB46BF">
            <w:pPr>
              <w:rPr>
                <w:rFonts w:asciiTheme="minorHAnsi" w:hAnsiTheme="minorHAnsi"/>
                <w:sz w:val="20"/>
                <w:szCs w:val="20"/>
              </w:rPr>
            </w:pPr>
            <w:r>
              <w:rPr>
                <w:rFonts w:asciiTheme="minorHAnsi" w:hAnsiTheme="minorHAnsi"/>
                <w:sz w:val="20"/>
                <w:szCs w:val="20"/>
              </w:rPr>
              <w:t>2</w:t>
            </w:r>
            <w:r w:rsidRPr="008E647E">
              <w:rPr>
                <w:rFonts w:asciiTheme="minorHAnsi" w:hAnsiTheme="minorHAnsi"/>
                <w:sz w:val="20"/>
                <w:szCs w:val="20"/>
                <w:vertAlign w:val="superscript"/>
              </w:rPr>
              <w:t>nd</w:t>
            </w:r>
            <w:r>
              <w:rPr>
                <w:rFonts w:asciiTheme="minorHAnsi" w:hAnsiTheme="minorHAnsi"/>
                <w:sz w:val="20"/>
                <w:szCs w:val="20"/>
              </w:rPr>
              <w:t xml:space="preserve"> Baseline Life</w:t>
            </w:r>
          </w:p>
        </w:tc>
      </w:tr>
      <w:tr w:rsidR="0023254A" w:rsidRPr="009824E9" w:rsidTr="0023254A">
        <w:trPr>
          <w:cnfStyle w:val="000000100000" w:firstRow="0" w:lastRow="0" w:firstColumn="0" w:lastColumn="0" w:oddVBand="0" w:evenVBand="0" w:oddHBand="1" w:evenHBand="0" w:firstRowFirstColumn="0" w:firstRowLastColumn="0" w:lastRowFirstColumn="0" w:lastRowLastColumn="0"/>
          <w:trHeight w:val="549"/>
        </w:trPr>
        <w:tc>
          <w:tcPr>
            <w:tcW w:w="1818" w:type="dxa"/>
          </w:tcPr>
          <w:p w:rsidR="0023254A" w:rsidRPr="009824E9" w:rsidRDefault="0023254A" w:rsidP="00FB46BF">
            <w:pPr>
              <w:rPr>
                <w:rFonts w:asciiTheme="minorHAnsi" w:hAnsiTheme="minorHAnsi"/>
                <w:sz w:val="20"/>
                <w:szCs w:val="20"/>
              </w:rPr>
            </w:pPr>
            <w:r w:rsidRPr="009824E9">
              <w:rPr>
                <w:rFonts w:asciiTheme="minorHAnsi" w:hAnsiTheme="minorHAnsi"/>
                <w:sz w:val="20"/>
                <w:szCs w:val="20"/>
              </w:rPr>
              <w:t>New</w:t>
            </w:r>
          </w:p>
        </w:tc>
        <w:tc>
          <w:tcPr>
            <w:tcW w:w="1800" w:type="dxa"/>
          </w:tcPr>
          <w:p w:rsidR="0023254A" w:rsidRPr="009824E9" w:rsidRDefault="0023254A" w:rsidP="00FB46BF">
            <w:pPr>
              <w:rPr>
                <w:rFonts w:asciiTheme="minorHAnsi" w:hAnsiTheme="minorHAnsi"/>
                <w:sz w:val="20"/>
                <w:szCs w:val="20"/>
              </w:rPr>
            </w:pPr>
            <w:r>
              <w:rPr>
                <w:rFonts w:asciiTheme="minorHAnsi" w:hAnsiTheme="minorHAnsi"/>
                <w:sz w:val="20"/>
                <w:szCs w:val="20"/>
              </w:rPr>
              <w:t>New Construction (</w:t>
            </w:r>
            <w:proofErr w:type="spellStart"/>
            <w:r>
              <w:rPr>
                <w:rFonts w:asciiTheme="minorHAnsi" w:hAnsiTheme="minorHAnsi"/>
                <w:sz w:val="20"/>
                <w:szCs w:val="20"/>
              </w:rPr>
              <w:t>Nc</w:t>
            </w:r>
            <w:proofErr w:type="spellEnd"/>
            <w:r>
              <w:rPr>
                <w:rFonts w:asciiTheme="minorHAnsi" w:hAnsiTheme="minorHAnsi"/>
                <w:sz w:val="20"/>
                <w:szCs w:val="20"/>
              </w:rPr>
              <w:t>)</w:t>
            </w:r>
          </w:p>
        </w:tc>
        <w:tc>
          <w:tcPr>
            <w:tcW w:w="1890" w:type="dxa"/>
          </w:tcPr>
          <w:p w:rsidR="0023254A" w:rsidRPr="009824E9" w:rsidRDefault="0023254A" w:rsidP="00FB46BF">
            <w:pPr>
              <w:rPr>
                <w:rFonts w:asciiTheme="minorHAnsi" w:hAnsiTheme="minorHAnsi"/>
                <w:sz w:val="20"/>
                <w:szCs w:val="20"/>
              </w:rPr>
            </w:pPr>
            <w:r>
              <w:rPr>
                <w:rFonts w:asciiTheme="minorHAnsi" w:hAnsiTheme="minorHAnsi"/>
                <w:sz w:val="20"/>
                <w:szCs w:val="20"/>
              </w:rPr>
              <w:t>Above Code/Standard</w:t>
            </w:r>
          </w:p>
        </w:tc>
        <w:tc>
          <w:tcPr>
            <w:tcW w:w="1890" w:type="dxa"/>
          </w:tcPr>
          <w:p w:rsidR="0023254A" w:rsidRPr="009824E9" w:rsidRDefault="0023254A" w:rsidP="00FB46BF">
            <w:pPr>
              <w:rPr>
                <w:rFonts w:asciiTheme="minorHAnsi" w:hAnsiTheme="minorHAnsi"/>
                <w:sz w:val="20"/>
                <w:szCs w:val="20"/>
              </w:rPr>
            </w:pPr>
            <w:r>
              <w:rPr>
                <w:rFonts w:asciiTheme="minorHAnsi" w:hAnsiTheme="minorHAnsi"/>
                <w:sz w:val="20"/>
                <w:szCs w:val="20"/>
              </w:rPr>
              <w:t>N/A</w:t>
            </w:r>
          </w:p>
        </w:tc>
        <w:tc>
          <w:tcPr>
            <w:tcW w:w="1620" w:type="dxa"/>
          </w:tcPr>
          <w:p w:rsidR="0023254A" w:rsidRPr="009824E9" w:rsidRDefault="0023254A" w:rsidP="00FB46BF">
            <w:pPr>
              <w:rPr>
                <w:rFonts w:asciiTheme="minorHAnsi" w:hAnsiTheme="minorHAnsi"/>
                <w:sz w:val="20"/>
                <w:szCs w:val="20"/>
              </w:rPr>
            </w:pPr>
            <w:r>
              <w:rPr>
                <w:rFonts w:asciiTheme="minorHAnsi" w:hAnsiTheme="minorHAnsi"/>
                <w:sz w:val="20"/>
                <w:szCs w:val="20"/>
              </w:rPr>
              <w:t>Incremental Cost</w:t>
            </w:r>
          </w:p>
        </w:tc>
        <w:tc>
          <w:tcPr>
            <w:tcW w:w="1620" w:type="dxa"/>
          </w:tcPr>
          <w:p w:rsidR="0023254A" w:rsidRPr="009824E9" w:rsidRDefault="0023254A" w:rsidP="00FB46BF">
            <w:pPr>
              <w:rPr>
                <w:rFonts w:asciiTheme="minorHAnsi" w:hAnsiTheme="minorHAnsi"/>
                <w:sz w:val="20"/>
                <w:szCs w:val="20"/>
              </w:rPr>
            </w:pPr>
            <w:r>
              <w:rPr>
                <w:rFonts w:asciiTheme="minorHAnsi" w:hAnsiTheme="minorHAnsi"/>
                <w:sz w:val="20"/>
                <w:szCs w:val="20"/>
              </w:rPr>
              <w:t>N/A</w:t>
            </w:r>
          </w:p>
        </w:tc>
        <w:tc>
          <w:tcPr>
            <w:tcW w:w="1170" w:type="dxa"/>
          </w:tcPr>
          <w:p w:rsidR="0023254A" w:rsidRDefault="0023254A" w:rsidP="00FB46BF">
            <w:pPr>
              <w:rPr>
                <w:rFonts w:asciiTheme="minorHAnsi" w:hAnsiTheme="minorHAnsi"/>
                <w:sz w:val="20"/>
                <w:szCs w:val="20"/>
              </w:rPr>
            </w:pPr>
            <w:r>
              <w:rPr>
                <w:rFonts w:asciiTheme="minorHAnsi" w:hAnsiTheme="minorHAnsi"/>
                <w:sz w:val="20"/>
                <w:szCs w:val="20"/>
              </w:rPr>
              <w:t>EUL</w:t>
            </w:r>
          </w:p>
        </w:tc>
        <w:tc>
          <w:tcPr>
            <w:tcW w:w="1260" w:type="dxa"/>
          </w:tcPr>
          <w:p w:rsidR="0023254A" w:rsidRDefault="0023254A" w:rsidP="00FB46BF">
            <w:pPr>
              <w:rPr>
                <w:rFonts w:asciiTheme="minorHAnsi" w:hAnsiTheme="minorHAnsi"/>
                <w:sz w:val="20"/>
                <w:szCs w:val="20"/>
              </w:rPr>
            </w:pPr>
            <w:r>
              <w:rPr>
                <w:rFonts w:asciiTheme="minorHAnsi" w:hAnsiTheme="minorHAnsi"/>
                <w:sz w:val="20"/>
                <w:szCs w:val="20"/>
              </w:rPr>
              <w:t>0</w:t>
            </w:r>
          </w:p>
        </w:tc>
      </w:tr>
      <w:tr w:rsidR="0023254A" w:rsidRPr="009824E9" w:rsidTr="0023254A">
        <w:trPr>
          <w:cnfStyle w:val="000000010000" w:firstRow="0" w:lastRow="0" w:firstColumn="0" w:lastColumn="0" w:oddVBand="0" w:evenVBand="0" w:oddHBand="0" w:evenHBand="1" w:firstRowFirstColumn="0" w:firstRowLastColumn="0" w:lastRowFirstColumn="0" w:lastRowLastColumn="0"/>
        </w:trPr>
        <w:tc>
          <w:tcPr>
            <w:tcW w:w="1818" w:type="dxa"/>
          </w:tcPr>
          <w:p w:rsidR="0023254A" w:rsidRPr="009824E9" w:rsidRDefault="0023254A" w:rsidP="00FB46BF">
            <w:pPr>
              <w:rPr>
                <w:rFonts w:asciiTheme="minorHAnsi" w:hAnsiTheme="minorHAnsi"/>
                <w:sz w:val="20"/>
                <w:szCs w:val="20"/>
              </w:rPr>
            </w:pPr>
            <w:r w:rsidRPr="009824E9">
              <w:rPr>
                <w:rFonts w:asciiTheme="minorHAnsi" w:hAnsiTheme="minorHAnsi"/>
                <w:sz w:val="20"/>
                <w:szCs w:val="20"/>
              </w:rPr>
              <w:t>Replace on Burnout (ROB)</w:t>
            </w:r>
          </w:p>
        </w:tc>
        <w:tc>
          <w:tcPr>
            <w:tcW w:w="1800" w:type="dxa"/>
          </w:tcPr>
          <w:p w:rsidR="0023254A" w:rsidRPr="009824E9" w:rsidRDefault="0023254A" w:rsidP="00FB46BF">
            <w:pPr>
              <w:rPr>
                <w:rFonts w:asciiTheme="minorHAnsi" w:hAnsiTheme="minorHAnsi"/>
                <w:sz w:val="20"/>
                <w:szCs w:val="20"/>
              </w:rPr>
            </w:pPr>
            <w:r w:rsidRPr="009824E9">
              <w:rPr>
                <w:rFonts w:asciiTheme="minorHAnsi" w:hAnsiTheme="minorHAnsi"/>
                <w:sz w:val="20"/>
                <w:szCs w:val="20"/>
              </w:rPr>
              <w:t>Replace on Burnout</w:t>
            </w:r>
            <w:r>
              <w:rPr>
                <w:rFonts w:asciiTheme="minorHAnsi" w:hAnsiTheme="minorHAnsi"/>
                <w:sz w:val="20"/>
                <w:szCs w:val="20"/>
              </w:rPr>
              <w:t xml:space="preserve"> (Rob)/Normal Replacement (NR</w:t>
            </w:r>
            <w:r w:rsidRPr="009824E9">
              <w:rPr>
                <w:rFonts w:asciiTheme="minorHAnsi" w:hAnsiTheme="minorHAnsi"/>
                <w:sz w:val="20"/>
                <w:szCs w:val="20"/>
              </w:rPr>
              <w:t>)</w:t>
            </w:r>
          </w:p>
        </w:tc>
        <w:tc>
          <w:tcPr>
            <w:tcW w:w="1890" w:type="dxa"/>
          </w:tcPr>
          <w:p w:rsidR="0023254A" w:rsidRPr="009824E9" w:rsidRDefault="0023254A" w:rsidP="00FB46BF">
            <w:pPr>
              <w:rPr>
                <w:rFonts w:asciiTheme="minorHAnsi" w:hAnsiTheme="minorHAnsi"/>
                <w:sz w:val="20"/>
                <w:szCs w:val="20"/>
              </w:rPr>
            </w:pPr>
            <w:r>
              <w:rPr>
                <w:rFonts w:asciiTheme="minorHAnsi" w:hAnsiTheme="minorHAnsi"/>
                <w:sz w:val="20"/>
                <w:szCs w:val="20"/>
              </w:rPr>
              <w:t>Above Code/Standard</w:t>
            </w:r>
          </w:p>
        </w:tc>
        <w:tc>
          <w:tcPr>
            <w:tcW w:w="1890" w:type="dxa"/>
          </w:tcPr>
          <w:p w:rsidR="0023254A" w:rsidRPr="009824E9" w:rsidRDefault="0023254A" w:rsidP="00FB46BF">
            <w:pPr>
              <w:rPr>
                <w:rFonts w:asciiTheme="minorHAnsi" w:hAnsiTheme="minorHAnsi"/>
                <w:sz w:val="20"/>
                <w:szCs w:val="20"/>
              </w:rPr>
            </w:pPr>
            <w:r>
              <w:rPr>
                <w:rFonts w:asciiTheme="minorHAnsi" w:hAnsiTheme="minorHAnsi"/>
                <w:sz w:val="20"/>
                <w:szCs w:val="20"/>
              </w:rPr>
              <w:t>N/A</w:t>
            </w:r>
          </w:p>
        </w:tc>
        <w:tc>
          <w:tcPr>
            <w:tcW w:w="1620" w:type="dxa"/>
          </w:tcPr>
          <w:p w:rsidR="0023254A" w:rsidRPr="009824E9" w:rsidRDefault="0023254A" w:rsidP="00FB46BF">
            <w:pPr>
              <w:rPr>
                <w:rFonts w:asciiTheme="minorHAnsi" w:hAnsiTheme="minorHAnsi"/>
                <w:sz w:val="20"/>
                <w:szCs w:val="20"/>
              </w:rPr>
            </w:pPr>
            <w:r>
              <w:rPr>
                <w:rFonts w:asciiTheme="minorHAnsi" w:hAnsiTheme="minorHAnsi"/>
                <w:sz w:val="20"/>
                <w:szCs w:val="20"/>
              </w:rPr>
              <w:t>Incremental Cost</w:t>
            </w:r>
          </w:p>
        </w:tc>
        <w:tc>
          <w:tcPr>
            <w:tcW w:w="1620" w:type="dxa"/>
          </w:tcPr>
          <w:p w:rsidR="0023254A" w:rsidRPr="009824E9" w:rsidRDefault="0023254A" w:rsidP="00FB46BF">
            <w:pPr>
              <w:rPr>
                <w:rFonts w:asciiTheme="minorHAnsi" w:hAnsiTheme="minorHAnsi"/>
                <w:sz w:val="20"/>
                <w:szCs w:val="20"/>
              </w:rPr>
            </w:pPr>
            <w:r>
              <w:rPr>
                <w:rFonts w:asciiTheme="minorHAnsi" w:hAnsiTheme="minorHAnsi"/>
                <w:sz w:val="20"/>
                <w:szCs w:val="20"/>
              </w:rPr>
              <w:t>N/A</w:t>
            </w:r>
          </w:p>
        </w:tc>
        <w:tc>
          <w:tcPr>
            <w:tcW w:w="1170" w:type="dxa"/>
          </w:tcPr>
          <w:p w:rsidR="0023254A" w:rsidRDefault="0023254A" w:rsidP="00FB46BF">
            <w:pPr>
              <w:rPr>
                <w:rFonts w:asciiTheme="minorHAnsi" w:hAnsiTheme="minorHAnsi"/>
                <w:sz w:val="20"/>
                <w:szCs w:val="20"/>
              </w:rPr>
            </w:pPr>
            <w:r>
              <w:rPr>
                <w:rFonts w:asciiTheme="minorHAnsi" w:hAnsiTheme="minorHAnsi"/>
                <w:sz w:val="20"/>
                <w:szCs w:val="20"/>
              </w:rPr>
              <w:t>EUL</w:t>
            </w:r>
          </w:p>
        </w:tc>
        <w:tc>
          <w:tcPr>
            <w:tcW w:w="1260" w:type="dxa"/>
          </w:tcPr>
          <w:p w:rsidR="0023254A" w:rsidRDefault="0023254A" w:rsidP="00FB46BF">
            <w:pPr>
              <w:rPr>
                <w:rFonts w:asciiTheme="minorHAnsi" w:hAnsiTheme="minorHAnsi"/>
                <w:sz w:val="20"/>
                <w:szCs w:val="20"/>
              </w:rPr>
            </w:pPr>
            <w:r>
              <w:rPr>
                <w:rFonts w:asciiTheme="minorHAnsi" w:hAnsiTheme="minorHAnsi"/>
                <w:sz w:val="20"/>
                <w:szCs w:val="20"/>
              </w:rPr>
              <w:t>0</w:t>
            </w:r>
          </w:p>
        </w:tc>
      </w:tr>
      <w:tr w:rsidR="0023254A" w:rsidRPr="009824E9" w:rsidTr="0023254A">
        <w:trPr>
          <w:cnfStyle w:val="000000100000" w:firstRow="0" w:lastRow="0" w:firstColumn="0" w:lastColumn="0" w:oddVBand="0" w:evenVBand="0" w:oddHBand="1" w:evenHBand="0" w:firstRowFirstColumn="0" w:firstRowLastColumn="0" w:lastRowFirstColumn="0" w:lastRowLastColumn="0"/>
        </w:trPr>
        <w:tc>
          <w:tcPr>
            <w:tcW w:w="1818" w:type="dxa"/>
          </w:tcPr>
          <w:p w:rsidR="0023254A" w:rsidRPr="009824E9" w:rsidRDefault="0023254A" w:rsidP="00FB46BF">
            <w:pPr>
              <w:rPr>
                <w:rFonts w:asciiTheme="minorHAnsi" w:hAnsiTheme="minorHAnsi"/>
                <w:sz w:val="20"/>
                <w:szCs w:val="20"/>
              </w:rPr>
            </w:pPr>
            <w:r w:rsidRPr="009824E9">
              <w:rPr>
                <w:rFonts w:asciiTheme="minorHAnsi" w:hAnsiTheme="minorHAnsi"/>
                <w:sz w:val="20"/>
                <w:szCs w:val="20"/>
              </w:rPr>
              <w:t>Retrofit (RET)</w:t>
            </w:r>
          </w:p>
        </w:tc>
        <w:tc>
          <w:tcPr>
            <w:tcW w:w="1800" w:type="dxa"/>
          </w:tcPr>
          <w:p w:rsidR="0023254A" w:rsidRPr="009824E9" w:rsidRDefault="0023254A" w:rsidP="00FB46BF">
            <w:pPr>
              <w:rPr>
                <w:rFonts w:asciiTheme="minorHAnsi" w:hAnsiTheme="minorHAnsi"/>
                <w:sz w:val="20"/>
                <w:szCs w:val="20"/>
              </w:rPr>
            </w:pPr>
            <w:r>
              <w:rPr>
                <w:rFonts w:asciiTheme="minorHAnsi" w:hAnsiTheme="minorHAnsi"/>
                <w:sz w:val="20"/>
                <w:szCs w:val="20"/>
              </w:rPr>
              <w:t>Early Replacement (ER)</w:t>
            </w:r>
          </w:p>
        </w:tc>
        <w:tc>
          <w:tcPr>
            <w:tcW w:w="1890" w:type="dxa"/>
          </w:tcPr>
          <w:p w:rsidR="0023254A" w:rsidRPr="009824E9" w:rsidRDefault="0023254A" w:rsidP="00FB46BF">
            <w:pPr>
              <w:rPr>
                <w:rFonts w:asciiTheme="minorHAnsi" w:hAnsiTheme="minorHAnsi"/>
                <w:sz w:val="20"/>
                <w:szCs w:val="20"/>
              </w:rPr>
            </w:pPr>
            <w:r>
              <w:rPr>
                <w:rFonts w:asciiTheme="minorHAnsi" w:hAnsiTheme="minorHAnsi"/>
                <w:sz w:val="20"/>
                <w:szCs w:val="20"/>
              </w:rPr>
              <w:t xml:space="preserve">Above </w:t>
            </w:r>
            <w:proofErr w:type="spellStart"/>
            <w:r>
              <w:rPr>
                <w:rFonts w:asciiTheme="minorHAnsi" w:hAnsiTheme="minorHAnsi"/>
                <w:sz w:val="20"/>
                <w:szCs w:val="20"/>
              </w:rPr>
              <w:t>Cust</w:t>
            </w:r>
            <w:proofErr w:type="spellEnd"/>
            <w:r>
              <w:rPr>
                <w:rFonts w:asciiTheme="minorHAnsi" w:hAnsiTheme="minorHAnsi"/>
                <w:sz w:val="20"/>
                <w:szCs w:val="20"/>
              </w:rPr>
              <w:t>. Existing</w:t>
            </w:r>
          </w:p>
        </w:tc>
        <w:tc>
          <w:tcPr>
            <w:tcW w:w="1890" w:type="dxa"/>
          </w:tcPr>
          <w:p w:rsidR="0023254A" w:rsidRPr="009824E9" w:rsidRDefault="0023254A" w:rsidP="00FB46BF">
            <w:pPr>
              <w:rPr>
                <w:rFonts w:asciiTheme="minorHAnsi" w:hAnsiTheme="minorHAnsi"/>
                <w:sz w:val="20"/>
                <w:szCs w:val="20"/>
              </w:rPr>
            </w:pPr>
            <w:r>
              <w:rPr>
                <w:rFonts w:asciiTheme="minorHAnsi" w:hAnsiTheme="minorHAnsi"/>
                <w:sz w:val="20"/>
                <w:szCs w:val="20"/>
              </w:rPr>
              <w:t>Above Code/Standard</w:t>
            </w:r>
          </w:p>
        </w:tc>
        <w:tc>
          <w:tcPr>
            <w:tcW w:w="1620" w:type="dxa"/>
          </w:tcPr>
          <w:p w:rsidR="0023254A" w:rsidRPr="009824E9" w:rsidRDefault="0023254A" w:rsidP="00FB46BF">
            <w:pPr>
              <w:rPr>
                <w:rFonts w:asciiTheme="minorHAnsi" w:hAnsiTheme="minorHAnsi"/>
                <w:sz w:val="20"/>
                <w:szCs w:val="20"/>
              </w:rPr>
            </w:pPr>
            <w:r>
              <w:rPr>
                <w:rFonts w:asciiTheme="minorHAnsi" w:hAnsiTheme="minorHAnsi"/>
                <w:sz w:val="20"/>
                <w:szCs w:val="20"/>
              </w:rPr>
              <w:t>Full Cost</w:t>
            </w:r>
          </w:p>
        </w:tc>
        <w:tc>
          <w:tcPr>
            <w:tcW w:w="1620" w:type="dxa"/>
          </w:tcPr>
          <w:p w:rsidR="0023254A" w:rsidRPr="009824E9" w:rsidRDefault="0023254A" w:rsidP="00FB46BF">
            <w:pPr>
              <w:rPr>
                <w:rFonts w:asciiTheme="minorHAnsi" w:hAnsiTheme="minorHAnsi"/>
                <w:sz w:val="20"/>
                <w:szCs w:val="20"/>
              </w:rPr>
            </w:pPr>
            <w:r>
              <w:rPr>
                <w:rFonts w:asciiTheme="minorHAnsi" w:hAnsiTheme="minorHAnsi"/>
                <w:sz w:val="20"/>
                <w:szCs w:val="20"/>
              </w:rPr>
              <w:t>Incremental Cost</w:t>
            </w:r>
          </w:p>
        </w:tc>
        <w:tc>
          <w:tcPr>
            <w:tcW w:w="1170" w:type="dxa"/>
          </w:tcPr>
          <w:p w:rsidR="0023254A" w:rsidRDefault="0023254A" w:rsidP="00FB46BF">
            <w:pPr>
              <w:rPr>
                <w:rFonts w:asciiTheme="minorHAnsi" w:hAnsiTheme="minorHAnsi"/>
                <w:sz w:val="20"/>
                <w:szCs w:val="20"/>
              </w:rPr>
            </w:pPr>
            <w:r>
              <w:rPr>
                <w:rFonts w:asciiTheme="minorHAnsi" w:hAnsiTheme="minorHAnsi"/>
                <w:sz w:val="20"/>
                <w:szCs w:val="20"/>
              </w:rPr>
              <w:t>RUL</w:t>
            </w:r>
          </w:p>
        </w:tc>
        <w:tc>
          <w:tcPr>
            <w:tcW w:w="1260" w:type="dxa"/>
          </w:tcPr>
          <w:p w:rsidR="0023254A" w:rsidRDefault="0023254A" w:rsidP="00FB46BF">
            <w:pPr>
              <w:rPr>
                <w:rFonts w:asciiTheme="minorHAnsi" w:hAnsiTheme="minorHAnsi"/>
                <w:sz w:val="20"/>
                <w:szCs w:val="20"/>
              </w:rPr>
            </w:pPr>
            <w:r>
              <w:rPr>
                <w:rFonts w:asciiTheme="minorHAnsi" w:hAnsiTheme="minorHAnsi"/>
                <w:sz w:val="20"/>
                <w:szCs w:val="20"/>
              </w:rPr>
              <w:t>EUL-RUL</w:t>
            </w:r>
          </w:p>
        </w:tc>
      </w:tr>
      <w:tr w:rsidR="0023254A" w:rsidRPr="009824E9" w:rsidTr="0023254A">
        <w:trPr>
          <w:cnfStyle w:val="000000010000" w:firstRow="0" w:lastRow="0" w:firstColumn="0" w:lastColumn="0" w:oddVBand="0" w:evenVBand="0" w:oddHBand="0" w:evenHBand="1" w:firstRowFirstColumn="0" w:firstRowLastColumn="0" w:lastRowFirstColumn="0" w:lastRowLastColumn="0"/>
        </w:trPr>
        <w:tc>
          <w:tcPr>
            <w:tcW w:w="1818" w:type="dxa"/>
          </w:tcPr>
          <w:p w:rsidR="0023254A" w:rsidRPr="009824E9" w:rsidRDefault="0023254A" w:rsidP="00FB46BF">
            <w:pPr>
              <w:rPr>
                <w:rFonts w:asciiTheme="minorHAnsi" w:hAnsiTheme="minorHAnsi"/>
                <w:sz w:val="20"/>
                <w:szCs w:val="20"/>
              </w:rPr>
            </w:pPr>
            <w:r w:rsidRPr="009824E9">
              <w:rPr>
                <w:rFonts w:asciiTheme="minorHAnsi" w:hAnsiTheme="minorHAnsi"/>
                <w:sz w:val="20"/>
                <w:szCs w:val="20"/>
              </w:rPr>
              <w:t>Retrofit</w:t>
            </w:r>
            <w:r>
              <w:rPr>
                <w:rFonts w:asciiTheme="minorHAnsi" w:hAnsiTheme="minorHAnsi"/>
                <w:sz w:val="20"/>
                <w:szCs w:val="20"/>
              </w:rPr>
              <w:t xml:space="preserve"> – First Baseline Only (REF</w:t>
            </w:r>
            <w:r w:rsidRPr="009824E9">
              <w:rPr>
                <w:rFonts w:asciiTheme="minorHAnsi" w:hAnsiTheme="minorHAnsi"/>
                <w:sz w:val="20"/>
                <w:szCs w:val="20"/>
              </w:rPr>
              <w:t>)</w:t>
            </w:r>
          </w:p>
        </w:tc>
        <w:tc>
          <w:tcPr>
            <w:tcW w:w="1800" w:type="dxa"/>
          </w:tcPr>
          <w:p w:rsidR="0023254A" w:rsidRPr="009824E9" w:rsidRDefault="0023254A" w:rsidP="00FB46BF">
            <w:pPr>
              <w:rPr>
                <w:rFonts w:asciiTheme="minorHAnsi" w:hAnsiTheme="minorHAnsi"/>
                <w:sz w:val="20"/>
                <w:szCs w:val="20"/>
              </w:rPr>
            </w:pPr>
            <w:r>
              <w:rPr>
                <w:rFonts w:asciiTheme="minorHAnsi" w:hAnsiTheme="minorHAnsi"/>
                <w:sz w:val="20"/>
                <w:szCs w:val="20"/>
              </w:rPr>
              <w:t>Early Replacement RUL (</w:t>
            </w:r>
            <w:proofErr w:type="spellStart"/>
            <w:r>
              <w:rPr>
                <w:rFonts w:asciiTheme="minorHAnsi" w:hAnsiTheme="minorHAnsi"/>
                <w:sz w:val="20"/>
                <w:szCs w:val="20"/>
              </w:rPr>
              <w:t>ErRul</w:t>
            </w:r>
            <w:proofErr w:type="spellEnd"/>
            <w:r>
              <w:rPr>
                <w:rFonts w:asciiTheme="minorHAnsi" w:hAnsiTheme="minorHAnsi"/>
                <w:sz w:val="20"/>
                <w:szCs w:val="20"/>
              </w:rPr>
              <w:t>)</w:t>
            </w:r>
          </w:p>
        </w:tc>
        <w:tc>
          <w:tcPr>
            <w:tcW w:w="1890" w:type="dxa"/>
          </w:tcPr>
          <w:p w:rsidR="0023254A" w:rsidRPr="009824E9" w:rsidRDefault="0023254A" w:rsidP="00FB46BF">
            <w:pPr>
              <w:rPr>
                <w:rFonts w:asciiTheme="minorHAnsi" w:hAnsiTheme="minorHAnsi"/>
                <w:sz w:val="20"/>
                <w:szCs w:val="20"/>
              </w:rPr>
            </w:pPr>
            <w:r>
              <w:rPr>
                <w:rFonts w:asciiTheme="minorHAnsi" w:hAnsiTheme="minorHAnsi"/>
                <w:sz w:val="20"/>
                <w:szCs w:val="20"/>
              </w:rPr>
              <w:t xml:space="preserve">Above </w:t>
            </w:r>
            <w:proofErr w:type="spellStart"/>
            <w:r>
              <w:rPr>
                <w:rFonts w:asciiTheme="minorHAnsi" w:hAnsiTheme="minorHAnsi"/>
                <w:sz w:val="20"/>
                <w:szCs w:val="20"/>
              </w:rPr>
              <w:t>Cust</w:t>
            </w:r>
            <w:proofErr w:type="spellEnd"/>
            <w:r>
              <w:rPr>
                <w:rFonts w:asciiTheme="minorHAnsi" w:hAnsiTheme="minorHAnsi"/>
                <w:sz w:val="20"/>
                <w:szCs w:val="20"/>
              </w:rPr>
              <w:t>. Existing</w:t>
            </w:r>
          </w:p>
        </w:tc>
        <w:tc>
          <w:tcPr>
            <w:tcW w:w="1890" w:type="dxa"/>
          </w:tcPr>
          <w:p w:rsidR="0023254A" w:rsidRPr="009824E9" w:rsidRDefault="0023254A" w:rsidP="00FB46BF">
            <w:pPr>
              <w:rPr>
                <w:rFonts w:asciiTheme="minorHAnsi" w:hAnsiTheme="minorHAnsi"/>
                <w:sz w:val="20"/>
                <w:szCs w:val="20"/>
              </w:rPr>
            </w:pPr>
            <w:r>
              <w:rPr>
                <w:rFonts w:asciiTheme="minorHAnsi" w:hAnsiTheme="minorHAnsi"/>
                <w:sz w:val="20"/>
                <w:szCs w:val="20"/>
              </w:rPr>
              <w:t>N/A</w:t>
            </w:r>
          </w:p>
        </w:tc>
        <w:tc>
          <w:tcPr>
            <w:tcW w:w="1620" w:type="dxa"/>
          </w:tcPr>
          <w:p w:rsidR="0023254A" w:rsidRPr="009824E9" w:rsidRDefault="0023254A" w:rsidP="00FB46BF">
            <w:pPr>
              <w:rPr>
                <w:rFonts w:asciiTheme="minorHAnsi" w:hAnsiTheme="minorHAnsi"/>
                <w:sz w:val="20"/>
                <w:szCs w:val="20"/>
              </w:rPr>
            </w:pPr>
            <w:r>
              <w:rPr>
                <w:rFonts w:asciiTheme="minorHAnsi" w:hAnsiTheme="minorHAnsi"/>
                <w:sz w:val="20"/>
                <w:szCs w:val="20"/>
              </w:rPr>
              <w:t>Full Cost</w:t>
            </w:r>
          </w:p>
        </w:tc>
        <w:tc>
          <w:tcPr>
            <w:tcW w:w="1620" w:type="dxa"/>
          </w:tcPr>
          <w:p w:rsidR="0023254A" w:rsidRPr="009824E9" w:rsidRDefault="0023254A" w:rsidP="00FB46BF">
            <w:pPr>
              <w:rPr>
                <w:rFonts w:asciiTheme="minorHAnsi" w:hAnsiTheme="minorHAnsi"/>
                <w:sz w:val="20"/>
                <w:szCs w:val="20"/>
              </w:rPr>
            </w:pPr>
            <w:r>
              <w:rPr>
                <w:rFonts w:asciiTheme="minorHAnsi" w:hAnsiTheme="minorHAnsi"/>
                <w:sz w:val="20"/>
                <w:szCs w:val="20"/>
              </w:rPr>
              <w:t>N/A</w:t>
            </w:r>
          </w:p>
        </w:tc>
        <w:tc>
          <w:tcPr>
            <w:tcW w:w="1170" w:type="dxa"/>
          </w:tcPr>
          <w:p w:rsidR="0023254A" w:rsidRDefault="0023254A" w:rsidP="00FB46BF">
            <w:pPr>
              <w:rPr>
                <w:rFonts w:asciiTheme="minorHAnsi" w:hAnsiTheme="minorHAnsi"/>
                <w:sz w:val="20"/>
                <w:szCs w:val="20"/>
              </w:rPr>
            </w:pPr>
            <w:r>
              <w:rPr>
                <w:rFonts w:asciiTheme="minorHAnsi" w:hAnsiTheme="minorHAnsi"/>
                <w:sz w:val="20"/>
                <w:szCs w:val="20"/>
              </w:rPr>
              <w:t>EUL</w:t>
            </w:r>
          </w:p>
        </w:tc>
        <w:tc>
          <w:tcPr>
            <w:tcW w:w="1260" w:type="dxa"/>
          </w:tcPr>
          <w:p w:rsidR="0023254A" w:rsidRDefault="0023254A" w:rsidP="00FB46BF">
            <w:pPr>
              <w:rPr>
                <w:rFonts w:asciiTheme="minorHAnsi" w:hAnsiTheme="minorHAnsi"/>
                <w:sz w:val="20"/>
                <w:szCs w:val="20"/>
              </w:rPr>
            </w:pPr>
            <w:r>
              <w:rPr>
                <w:rFonts w:asciiTheme="minorHAnsi" w:hAnsiTheme="minorHAnsi"/>
                <w:sz w:val="20"/>
                <w:szCs w:val="20"/>
              </w:rPr>
              <w:t>0</w:t>
            </w:r>
          </w:p>
        </w:tc>
      </w:tr>
      <w:tr w:rsidR="0023254A" w:rsidRPr="009824E9" w:rsidTr="0023254A">
        <w:trPr>
          <w:cnfStyle w:val="000000100000" w:firstRow="0" w:lastRow="0" w:firstColumn="0" w:lastColumn="0" w:oddVBand="0" w:evenVBand="0" w:oddHBand="1" w:evenHBand="0" w:firstRowFirstColumn="0" w:firstRowLastColumn="0" w:lastRowFirstColumn="0" w:lastRowLastColumn="0"/>
        </w:trPr>
        <w:tc>
          <w:tcPr>
            <w:tcW w:w="1818" w:type="dxa"/>
          </w:tcPr>
          <w:p w:rsidR="0023254A" w:rsidRPr="009824E9" w:rsidRDefault="0023254A" w:rsidP="00FB46BF">
            <w:pPr>
              <w:rPr>
                <w:rFonts w:asciiTheme="minorHAnsi" w:hAnsiTheme="minorHAnsi"/>
                <w:sz w:val="20"/>
                <w:szCs w:val="20"/>
              </w:rPr>
            </w:pPr>
            <w:r w:rsidRPr="009824E9">
              <w:rPr>
                <w:rFonts w:asciiTheme="minorHAnsi" w:hAnsiTheme="minorHAnsi"/>
                <w:sz w:val="20"/>
                <w:szCs w:val="20"/>
              </w:rPr>
              <w:t>Retrofit Add-on</w:t>
            </w:r>
            <w:r>
              <w:rPr>
                <w:rFonts w:asciiTheme="minorHAnsi" w:hAnsiTheme="minorHAnsi"/>
                <w:sz w:val="20"/>
                <w:szCs w:val="20"/>
              </w:rPr>
              <w:t xml:space="preserve"> (REA)</w:t>
            </w:r>
          </w:p>
        </w:tc>
        <w:tc>
          <w:tcPr>
            <w:tcW w:w="1800" w:type="dxa"/>
          </w:tcPr>
          <w:p w:rsidR="0023254A" w:rsidRPr="009824E9" w:rsidRDefault="0023254A" w:rsidP="00FB46BF">
            <w:pPr>
              <w:rPr>
                <w:rFonts w:asciiTheme="minorHAnsi" w:hAnsiTheme="minorHAnsi"/>
                <w:sz w:val="20"/>
                <w:szCs w:val="20"/>
              </w:rPr>
            </w:pPr>
            <w:r>
              <w:rPr>
                <w:rFonts w:asciiTheme="minorHAnsi" w:hAnsiTheme="minorHAnsi"/>
                <w:sz w:val="20"/>
                <w:szCs w:val="20"/>
              </w:rPr>
              <w:t>N/A</w:t>
            </w:r>
          </w:p>
        </w:tc>
        <w:tc>
          <w:tcPr>
            <w:tcW w:w="1890" w:type="dxa"/>
          </w:tcPr>
          <w:p w:rsidR="0023254A" w:rsidRPr="009824E9" w:rsidRDefault="0023254A" w:rsidP="00FB46BF">
            <w:pPr>
              <w:rPr>
                <w:rFonts w:asciiTheme="minorHAnsi" w:hAnsiTheme="minorHAnsi"/>
                <w:sz w:val="20"/>
                <w:szCs w:val="20"/>
              </w:rPr>
            </w:pPr>
            <w:r>
              <w:rPr>
                <w:rFonts w:asciiTheme="minorHAnsi" w:hAnsiTheme="minorHAnsi"/>
                <w:sz w:val="20"/>
                <w:szCs w:val="20"/>
              </w:rPr>
              <w:t xml:space="preserve">Above </w:t>
            </w:r>
            <w:proofErr w:type="spellStart"/>
            <w:r>
              <w:rPr>
                <w:rFonts w:asciiTheme="minorHAnsi" w:hAnsiTheme="minorHAnsi"/>
                <w:sz w:val="20"/>
                <w:szCs w:val="20"/>
              </w:rPr>
              <w:t>Cust</w:t>
            </w:r>
            <w:proofErr w:type="spellEnd"/>
            <w:r>
              <w:rPr>
                <w:rFonts w:asciiTheme="minorHAnsi" w:hAnsiTheme="minorHAnsi"/>
                <w:sz w:val="20"/>
                <w:szCs w:val="20"/>
              </w:rPr>
              <w:t>. Existing</w:t>
            </w:r>
          </w:p>
        </w:tc>
        <w:tc>
          <w:tcPr>
            <w:tcW w:w="1890" w:type="dxa"/>
          </w:tcPr>
          <w:p w:rsidR="0023254A" w:rsidRPr="009824E9" w:rsidRDefault="0023254A" w:rsidP="00FB46BF">
            <w:pPr>
              <w:rPr>
                <w:rFonts w:asciiTheme="minorHAnsi" w:hAnsiTheme="minorHAnsi"/>
                <w:sz w:val="20"/>
                <w:szCs w:val="20"/>
              </w:rPr>
            </w:pPr>
            <w:r>
              <w:rPr>
                <w:rFonts w:asciiTheme="minorHAnsi" w:hAnsiTheme="minorHAnsi"/>
                <w:sz w:val="20"/>
                <w:szCs w:val="20"/>
              </w:rPr>
              <w:t>N/A</w:t>
            </w:r>
          </w:p>
        </w:tc>
        <w:tc>
          <w:tcPr>
            <w:tcW w:w="1620" w:type="dxa"/>
          </w:tcPr>
          <w:p w:rsidR="0023254A" w:rsidRPr="009824E9" w:rsidRDefault="0023254A" w:rsidP="00FB46BF">
            <w:pPr>
              <w:rPr>
                <w:rFonts w:asciiTheme="minorHAnsi" w:hAnsiTheme="minorHAnsi"/>
                <w:sz w:val="20"/>
                <w:szCs w:val="20"/>
              </w:rPr>
            </w:pPr>
            <w:r>
              <w:rPr>
                <w:rFonts w:asciiTheme="minorHAnsi" w:hAnsiTheme="minorHAnsi"/>
                <w:sz w:val="20"/>
                <w:szCs w:val="20"/>
              </w:rPr>
              <w:t>Full Cost</w:t>
            </w:r>
          </w:p>
        </w:tc>
        <w:tc>
          <w:tcPr>
            <w:tcW w:w="1620" w:type="dxa"/>
          </w:tcPr>
          <w:p w:rsidR="0023254A" w:rsidRPr="009824E9" w:rsidRDefault="0023254A" w:rsidP="00FB46BF">
            <w:pPr>
              <w:rPr>
                <w:rFonts w:asciiTheme="minorHAnsi" w:hAnsiTheme="minorHAnsi"/>
                <w:sz w:val="20"/>
                <w:szCs w:val="20"/>
              </w:rPr>
            </w:pPr>
            <w:r>
              <w:rPr>
                <w:rFonts w:asciiTheme="minorHAnsi" w:hAnsiTheme="minorHAnsi"/>
                <w:sz w:val="20"/>
                <w:szCs w:val="20"/>
              </w:rPr>
              <w:t>N/A</w:t>
            </w:r>
          </w:p>
        </w:tc>
        <w:tc>
          <w:tcPr>
            <w:tcW w:w="1170" w:type="dxa"/>
          </w:tcPr>
          <w:p w:rsidR="0023254A" w:rsidRDefault="0023254A" w:rsidP="00FB46BF">
            <w:pPr>
              <w:rPr>
                <w:rFonts w:asciiTheme="minorHAnsi" w:hAnsiTheme="minorHAnsi"/>
                <w:sz w:val="20"/>
                <w:szCs w:val="20"/>
              </w:rPr>
            </w:pPr>
            <w:r>
              <w:rPr>
                <w:rFonts w:asciiTheme="minorHAnsi" w:hAnsiTheme="minorHAnsi"/>
                <w:sz w:val="20"/>
                <w:szCs w:val="20"/>
              </w:rPr>
              <w:t>EUL</w:t>
            </w:r>
          </w:p>
        </w:tc>
        <w:tc>
          <w:tcPr>
            <w:tcW w:w="1260" w:type="dxa"/>
          </w:tcPr>
          <w:p w:rsidR="0023254A" w:rsidRDefault="0023254A" w:rsidP="00FB46BF">
            <w:pPr>
              <w:rPr>
                <w:rFonts w:asciiTheme="minorHAnsi" w:hAnsiTheme="minorHAnsi"/>
                <w:sz w:val="20"/>
                <w:szCs w:val="20"/>
              </w:rPr>
            </w:pPr>
            <w:r>
              <w:rPr>
                <w:rFonts w:asciiTheme="minorHAnsi" w:hAnsiTheme="minorHAnsi"/>
                <w:sz w:val="20"/>
                <w:szCs w:val="20"/>
              </w:rPr>
              <w:t>0</w:t>
            </w:r>
          </w:p>
        </w:tc>
      </w:tr>
    </w:tbl>
    <w:p w:rsidR="00697868" w:rsidRPr="00697868" w:rsidRDefault="00697868">
      <w:pPr>
        <w:rPr>
          <w:rFonts w:asciiTheme="minorHAnsi" w:hAnsiTheme="minorHAnsi" w:cstheme="minorHAnsi"/>
        </w:rPr>
      </w:pPr>
    </w:p>
    <w:sectPr w:rsidR="00697868" w:rsidRPr="00697868" w:rsidSect="002246FA">
      <w:pgSz w:w="15840" w:h="12240" w:orient="landscape"/>
      <w:pgMar w:top="1440" w:right="1440" w:bottom="1440" w:left="155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82C" w:rsidRDefault="006F382C" w:rsidP="00447D6E">
      <w:r>
        <w:separator/>
      </w:r>
    </w:p>
  </w:endnote>
  <w:endnote w:type="continuationSeparator" w:id="0">
    <w:p w:rsidR="006F382C" w:rsidRDefault="006F382C" w:rsidP="00447D6E">
      <w:r>
        <w:continuationSeparator/>
      </w:r>
    </w:p>
  </w:endnote>
  <w:endnote w:type="continuationNotice" w:id="1">
    <w:p w:rsidR="006F382C" w:rsidRDefault="006F38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Wingdings 2">
    <w:panose1 w:val="05020102010507070707"/>
    <w:charset w:val="02"/>
    <w:family w:val="roman"/>
    <w:pitch w:val="variable"/>
    <w:sig w:usb0="00000000" w:usb1="10000000" w:usb2="00000000" w:usb3="00000000" w:csb0="80000000" w:csb1="00000000"/>
  </w:font>
  <w:font w:name="Arial Narrow">
    <w:panose1 w:val="020B05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Univers LT Std 55">
    <w:altName w:val="Univers LT Std 55"/>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E6F" w:rsidRDefault="003D7E6F" w:rsidP="00FB46B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D7E6F" w:rsidRDefault="003D7E6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E6F" w:rsidRDefault="003D7E6F" w:rsidP="00FB46B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w:t>
    </w:r>
    <w:r>
      <w:rPr>
        <w:rStyle w:val="PageNumber"/>
      </w:rPr>
      <w:fldChar w:fldCharType="end"/>
    </w:r>
  </w:p>
  <w:p w:rsidR="003D7E6F" w:rsidRDefault="003D7E6F" w:rsidP="00FB46BF">
    <w:pPr>
      <w:pStyle w:val="Footer"/>
      <w:pBdr>
        <w:top w:val="single" w:sz="4" w:space="1" w:color="auto"/>
      </w:pBdr>
      <w:tabs>
        <w:tab w:val="left" w:pos="21060"/>
      </w:tabs>
      <w:rPr>
        <w:b/>
        <w:sz w:val="20"/>
        <w:szCs w:val="20"/>
      </w:rPr>
    </w:pPr>
    <w:r>
      <w:rPr>
        <w:b/>
        <w:color w:val="FF0000"/>
        <w:sz w:val="20"/>
        <w:szCs w:val="20"/>
      </w:rPr>
      <w:t>WPSCREHC0013</w:t>
    </w:r>
    <w:r>
      <w:rPr>
        <w:b/>
        <w:sz w:val="20"/>
        <w:szCs w:val="20"/>
      </w:rPr>
      <w:t xml:space="preserve">, Revision </w:t>
    </w:r>
    <w:r>
      <w:rPr>
        <w:b/>
        <w:color w:val="FF0000"/>
        <w:sz w:val="20"/>
        <w:szCs w:val="20"/>
      </w:rPr>
      <w:t xml:space="preserve">4 </w:t>
    </w:r>
    <w:r>
      <w:rPr>
        <w:b/>
        <w:color w:val="FF0000"/>
        <w:sz w:val="20"/>
        <w:szCs w:val="20"/>
      </w:rPr>
      <w:tab/>
      <w:t xml:space="preserve">                           </w:t>
    </w:r>
    <w:r>
      <w:rPr>
        <w:b/>
        <w:sz w:val="20"/>
        <w:szCs w:val="20"/>
      </w:rPr>
      <w:t>June 30, 2010</w:t>
    </w:r>
  </w:p>
  <w:p w:rsidR="003D7E6F" w:rsidRPr="00D7047A" w:rsidRDefault="003D7E6F" w:rsidP="00FB46BF">
    <w:pPr>
      <w:pStyle w:val="Footer"/>
      <w:pBdr>
        <w:top w:val="single" w:sz="4" w:space="1" w:color="auto"/>
      </w:pBdr>
      <w:tabs>
        <w:tab w:val="right" w:pos="14940"/>
        <w:tab w:val="left" w:pos="22140"/>
      </w:tabs>
      <w:rPr>
        <w:b/>
        <w:sz w:val="20"/>
        <w:szCs w:val="20"/>
      </w:rPr>
    </w:pPr>
    <w:r>
      <w:rPr>
        <w:b/>
        <w:sz w:val="20"/>
        <w:szCs w:val="20"/>
      </w:rPr>
      <w:t>Southern California Edison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E6F" w:rsidRPr="00250456" w:rsidRDefault="00CF4769" w:rsidP="00FB46BF">
    <w:pPr>
      <w:pStyle w:val="Footer"/>
      <w:jc w:val="right"/>
      <w:rPr>
        <w:rFonts w:asciiTheme="minorHAnsi" w:hAnsiTheme="minorHAnsi" w:cstheme="minorHAnsi"/>
        <w:b/>
        <w:sz w:val="36"/>
        <w:szCs w:val="36"/>
      </w:rPr>
    </w:pPr>
    <w:r>
      <w:rPr>
        <w:rFonts w:asciiTheme="minorHAnsi" w:hAnsiTheme="minorHAnsi" w:cstheme="minorHAnsi"/>
        <w:b/>
        <w:sz w:val="36"/>
        <w:szCs w:val="36"/>
      </w:rPr>
      <w:t>July 8</w:t>
    </w:r>
    <w:r w:rsidR="003D7E6F">
      <w:rPr>
        <w:rFonts w:asciiTheme="minorHAnsi" w:hAnsiTheme="minorHAnsi" w:cstheme="minorHAnsi"/>
        <w:b/>
        <w:sz w:val="36"/>
        <w:szCs w:val="36"/>
      </w:rPr>
      <w:t>, 2014</w:t>
    </w:r>
  </w:p>
  <w:p w:rsidR="003D7E6F" w:rsidRDefault="003D7E6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E6F" w:rsidRPr="009500DC" w:rsidRDefault="00CF4769" w:rsidP="009500DC">
    <w:pPr>
      <w:pStyle w:val="Footer"/>
      <w:pBdr>
        <w:top w:val="single" w:sz="4" w:space="1" w:color="auto"/>
      </w:pBdr>
      <w:rPr>
        <w:rFonts w:asciiTheme="minorHAnsi" w:hAnsiTheme="minorHAnsi" w:cstheme="minorHAnsi"/>
        <w:b/>
        <w:sz w:val="20"/>
        <w:szCs w:val="20"/>
      </w:rPr>
    </w:pPr>
    <w:r>
      <w:rPr>
        <w:rFonts w:asciiTheme="minorHAnsi" w:hAnsiTheme="minorHAnsi" w:cstheme="minorHAnsi"/>
        <w:b/>
        <w:sz w:val="20"/>
        <w:szCs w:val="20"/>
      </w:rPr>
      <w:t>PGECOHVC163</w:t>
    </w:r>
    <w:r w:rsidR="003D7E6F" w:rsidRPr="009500DC">
      <w:rPr>
        <w:rFonts w:asciiTheme="minorHAnsi" w:hAnsiTheme="minorHAnsi" w:cstheme="minorHAnsi"/>
        <w:b/>
        <w:sz w:val="20"/>
        <w:szCs w:val="20"/>
      </w:rPr>
      <w:t xml:space="preserve">, Revision </w:t>
    </w:r>
    <w:r w:rsidR="003D7E6F">
      <w:rPr>
        <w:rFonts w:asciiTheme="minorHAnsi" w:hAnsiTheme="minorHAnsi" w:cstheme="minorHAnsi"/>
        <w:b/>
        <w:sz w:val="20"/>
        <w:szCs w:val="20"/>
      </w:rPr>
      <w:t>1</w:t>
    </w:r>
    <w:r w:rsidR="003D7E6F" w:rsidRPr="009500DC">
      <w:rPr>
        <w:rFonts w:asciiTheme="minorHAnsi" w:hAnsiTheme="minorHAnsi" w:cstheme="minorHAnsi"/>
        <w:b/>
        <w:sz w:val="20"/>
        <w:szCs w:val="20"/>
      </w:rPr>
      <w:tab/>
    </w:r>
    <w:r w:rsidR="003D7E6F" w:rsidRPr="009500DC">
      <w:rPr>
        <w:rFonts w:asciiTheme="minorHAnsi" w:hAnsiTheme="minorHAnsi" w:cstheme="minorHAnsi"/>
        <w:b/>
        <w:sz w:val="20"/>
        <w:szCs w:val="20"/>
      </w:rPr>
      <w:fldChar w:fldCharType="begin"/>
    </w:r>
    <w:r w:rsidR="003D7E6F" w:rsidRPr="009500DC">
      <w:rPr>
        <w:rFonts w:asciiTheme="minorHAnsi" w:hAnsiTheme="minorHAnsi" w:cstheme="minorHAnsi"/>
        <w:b/>
        <w:sz w:val="20"/>
        <w:szCs w:val="20"/>
      </w:rPr>
      <w:instrText xml:space="preserve"> PAGE   \* MERGEFORMAT </w:instrText>
    </w:r>
    <w:r w:rsidR="003D7E6F" w:rsidRPr="009500DC">
      <w:rPr>
        <w:rFonts w:asciiTheme="minorHAnsi" w:hAnsiTheme="minorHAnsi" w:cstheme="minorHAnsi"/>
        <w:b/>
        <w:sz w:val="20"/>
        <w:szCs w:val="20"/>
      </w:rPr>
      <w:fldChar w:fldCharType="separate"/>
    </w:r>
    <w:r w:rsidR="002244A5">
      <w:rPr>
        <w:rFonts w:asciiTheme="minorHAnsi" w:hAnsiTheme="minorHAnsi" w:cstheme="minorHAnsi"/>
        <w:b/>
        <w:noProof/>
        <w:sz w:val="20"/>
        <w:szCs w:val="20"/>
      </w:rPr>
      <w:t>iii</w:t>
    </w:r>
    <w:r w:rsidR="003D7E6F" w:rsidRPr="009500DC">
      <w:rPr>
        <w:rFonts w:asciiTheme="minorHAnsi" w:hAnsiTheme="minorHAnsi" w:cstheme="minorHAnsi"/>
        <w:b/>
        <w:noProof/>
        <w:sz w:val="20"/>
        <w:szCs w:val="20"/>
      </w:rPr>
      <w:fldChar w:fldCharType="end"/>
    </w:r>
    <w:r w:rsidR="003D7E6F" w:rsidRPr="009500DC">
      <w:rPr>
        <w:rFonts w:asciiTheme="minorHAnsi" w:hAnsiTheme="minorHAnsi" w:cstheme="minorHAnsi"/>
        <w:b/>
        <w:sz w:val="20"/>
        <w:szCs w:val="20"/>
      </w:rPr>
      <w:tab/>
    </w:r>
    <w:r>
      <w:rPr>
        <w:rFonts w:asciiTheme="minorHAnsi" w:hAnsiTheme="minorHAnsi" w:cstheme="minorHAnsi"/>
        <w:b/>
        <w:sz w:val="20"/>
        <w:szCs w:val="20"/>
      </w:rPr>
      <w:t>July 8,</w:t>
    </w:r>
    <w:r w:rsidR="003D7E6F">
      <w:rPr>
        <w:rFonts w:asciiTheme="minorHAnsi" w:hAnsiTheme="minorHAnsi" w:cstheme="minorHAnsi"/>
        <w:b/>
        <w:sz w:val="20"/>
        <w:szCs w:val="20"/>
      </w:rPr>
      <w:t xml:space="preserve"> 2014</w:t>
    </w:r>
  </w:p>
  <w:p w:rsidR="003D7E6F" w:rsidRPr="009500DC" w:rsidRDefault="00CF4769" w:rsidP="009500DC">
    <w:pPr>
      <w:pStyle w:val="Footer"/>
      <w:pBdr>
        <w:top w:val="single" w:sz="4" w:space="1" w:color="auto"/>
      </w:pBdr>
      <w:rPr>
        <w:rFonts w:asciiTheme="minorHAnsi" w:hAnsiTheme="minorHAnsi" w:cstheme="minorHAnsi"/>
      </w:rPr>
    </w:pPr>
    <w:r>
      <w:rPr>
        <w:rFonts w:asciiTheme="minorHAnsi" w:hAnsiTheme="minorHAnsi" w:cstheme="minorHAnsi"/>
        <w:b/>
        <w:sz w:val="20"/>
        <w:szCs w:val="20"/>
      </w:rPr>
      <w:t>Pacific Gas and Electric Company</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E6F" w:rsidRPr="009500DC" w:rsidRDefault="003D7E6F" w:rsidP="00CE28CF">
    <w:pPr>
      <w:pStyle w:val="Footer"/>
      <w:pBdr>
        <w:top w:val="single" w:sz="4" w:space="1" w:color="auto"/>
      </w:pBdr>
      <w:tabs>
        <w:tab w:val="clear" w:pos="4680"/>
        <w:tab w:val="clear" w:pos="9360"/>
        <w:tab w:val="center" w:pos="6480"/>
        <w:tab w:val="right" w:pos="12870"/>
      </w:tabs>
      <w:rPr>
        <w:rFonts w:asciiTheme="minorHAnsi" w:hAnsiTheme="minorHAnsi" w:cstheme="minorHAnsi"/>
        <w:b/>
        <w:sz w:val="20"/>
        <w:szCs w:val="20"/>
      </w:rPr>
    </w:pPr>
    <w:r>
      <w:rPr>
        <w:rFonts w:asciiTheme="minorHAnsi" w:hAnsiTheme="minorHAnsi" w:cstheme="minorHAnsi"/>
        <w:b/>
        <w:sz w:val="20"/>
        <w:szCs w:val="20"/>
      </w:rPr>
      <w:t>SCE13HC013</w:t>
    </w:r>
    <w:r w:rsidRPr="009500DC">
      <w:rPr>
        <w:rFonts w:asciiTheme="minorHAnsi" w:hAnsiTheme="minorHAnsi" w:cstheme="minorHAnsi"/>
        <w:b/>
        <w:sz w:val="20"/>
        <w:szCs w:val="20"/>
      </w:rPr>
      <w:t xml:space="preserve">, Revision </w:t>
    </w:r>
    <w:r>
      <w:rPr>
        <w:rFonts w:asciiTheme="minorHAnsi" w:hAnsiTheme="minorHAnsi" w:cstheme="minorHAnsi"/>
        <w:b/>
        <w:sz w:val="20"/>
        <w:szCs w:val="20"/>
      </w:rPr>
      <w:t>1</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4372A3">
      <w:rPr>
        <w:rFonts w:asciiTheme="minorHAnsi" w:hAnsiTheme="minorHAnsi" w:cstheme="minorHAnsi"/>
        <w:b/>
        <w:noProof/>
        <w:sz w:val="20"/>
        <w:szCs w:val="20"/>
      </w:rPr>
      <w:t>18</w:t>
    </w:r>
    <w:r w:rsidRPr="009500DC">
      <w:rPr>
        <w:rFonts w:asciiTheme="minorHAnsi" w:hAnsiTheme="minorHAnsi" w:cstheme="minorHAnsi"/>
        <w:b/>
        <w:noProof/>
        <w:sz w:val="20"/>
        <w:szCs w:val="20"/>
      </w:rPr>
      <w:fldChar w:fldCharType="end"/>
    </w:r>
    <w:r w:rsidR="00A9674A">
      <w:rPr>
        <w:rFonts w:asciiTheme="minorHAnsi" w:hAnsiTheme="minorHAnsi" w:cstheme="minorHAnsi"/>
        <w:b/>
        <w:noProof/>
        <w:sz w:val="20"/>
        <w:szCs w:val="20"/>
      </w:rPr>
      <w:t xml:space="preserve">                               July 8, 2014</w:t>
    </w:r>
    <w:r w:rsidR="00A9674A">
      <w:rPr>
        <w:rFonts w:asciiTheme="minorHAnsi" w:hAnsiTheme="minorHAnsi" w:cstheme="minorHAnsi"/>
        <w:b/>
        <w:noProof/>
        <w:sz w:val="20"/>
        <w:szCs w:val="20"/>
      </w:rPr>
      <w:tab/>
    </w:r>
  </w:p>
  <w:p w:rsidR="003D7E6F" w:rsidRPr="009500DC" w:rsidRDefault="003D7E6F" w:rsidP="00CE28CF">
    <w:pPr>
      <w:pStyle w:val="Footer"/>
      <w:pBdr>
        <w:top w:val="single" w:sz="4" w:space="1" w:color="auto"/>
      </w:pBdr>
      <w:tabs>
        <w:tab w:val="clear" w:pos="9360"/>
        <w:tab w:val="right" w:pos="12870"/>
      </w:tabs>
      <w:rPr>
        <w:rFonts w:asciiTheme="minorHAnsi" w:hAnsiTheme="minorHAnsi" w:cstheme="minorHAnsi"/>
      </w:rPr>
    </w:pPr>
    <w:r w:rsidRPr="009500DC">
      <w:rPr>
        <w:rFonts w:asciiTheme="minorHAnsi" w:hAnsiTheme="minorHAnsi" w:cstheme="minorHAnsi"/>
        <w:b/>
        <w:sz w:val="20"/>
        <w:szCs w:val="20"/>
      </w:rPr>
      <w:t>Southern California Edison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82C" w:rsidRDefault="006F382C" w:rsidP="00447D6E">
      <w:r>
        <w:separator/>
      </w:r>
    </w:p>
  </w:footnote>
  <w:footnote w:type="continuationSeparator" w:id="0">
    <w:p w:rsidR="006F382C" w:rsidRDefault="006F382C" w:rsidP="00447D6E">
      <w:r>
        <w:continuationSeparator/>
      </w:r>
    </w:p>
  </w:footnote>
  <w:footnote w:type="continuationNotice" w:id="1">
    <w:p w:rsidR="006F382C" w:rsidRDefault="006F382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C65E7"/>
    <w:multiLevelType w:val="hybridMultilevel"/>
    <w:tmpl w:val="DC180B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4115D8"/>
    <w:multiLevelType w:val="hybridMultilevel"/>
    <w:tmpl w:val="57FE3D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13FD13A5"/>
    <w:multiLevelType w:val="hybridMultilevel"/>
    <w:tmpl w:val="C4CC3F38"/>
    <w:lvl w:ilvl="0" w:tplc="5A68ACF0">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33784A"/>
    <w:multiLevelType w:val="hybridMultilevel"/>
    <w:tmpl w:val="E81611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1E7978"/>
    <w:multiLevelType w:val="hybridMultilevel"/>
    <w:tmpl w:val="6E201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8">
    <w:nsid w:val="30317E23"/>
    <w:multiLevelType w:val="hybridMultilevel"/>
    <w:tmpl w:val="B68A63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2AD49A8"/>
    <w:multiLevelType w:val="hybridMultilevel"/>
    <w:tmpl w:val="CAB65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AF932FE"/>
    <w:multiLevelType w:val="hybridMultilevel"/>
    <w:tmpl w:val="FA92350E"/>
    <w:lvl w:ilvl="0" w:tplc="5A68ACF0">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F915A13"/>
    <w:multiLevelType w:val="hybridMultilevel"/>
    <w:tmpl w:val="A40A9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496BE5"/>
    <w:multiLevelType w:val="hybridMultilevel"/>
    <w:tmpl w:val="FF74B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D8E7A2A"/>
    <w:multiLevelType w:val="hybridMultilevel"/>
    <w:tmpl w:val="E45A16D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7C85048"/>
    <w:multiLevelType w:val="hybridMultilevel"/>
    <w:tmpl w:val="C0703E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6C136DBA"/>
    <w:multiLevelType w:val="hybridMultilevel"/>
    <w:tmpl w:val="21C83D8A"/>
    <w:lvl w:ilvl="0" w:tplc="A210B2C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2591F3A"/>
    <w:multiLevelType w:val="hybridMultilevel"/>
    <w:tmpl w:val="380E02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76501B1D"/>
    <w:multiLevelType w:val="hybridMultilevel"/>
    <w:tmpl w:val="9A6A44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6C22F58"/>
    <w:multiLevelType w:val="hybridMultilevel"/>
    <w:tmpl w:val="9C749A94"/>
    <w:lvl w:ilvl="0" w:tplc="E2101D04">
      <w:start w:val="4"/>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E357A25"/>
    <w:multiLevelType w:val="hybridMultilevel"/>
    <w:tmpl w:val="7E8EB4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F9D7030"/>
    <w:multiLevelType w:val="hybridMultilevel"/>
    <w:tmpl w:val="5964A8EC"/>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abstractNumId w:val="6"/>
  </w:num>
  <w:num w:numId="2">
    <w:abstractNumId w:val="11"/>
  </w:num>
  <w:num w:numId="3">
    <w:abstractNumId w:val="9"/>
  </w:num>
  <w:num w:numId="4">
    <w:abstractNumId w:val="6"/>
  </w:num>
  <w:num w:numId="5">
    <w:abstractNumId w:val="6"/>
  </w:num>
  <w:num w:numId="6">
    <w:abstractNumId w:val="2"/>
  </w:num>
  <w:num w:numId="7">
    <w:abstractNumId w:val="12"/>
  </w:num>
  <w:num w:numId="8">
    <w:abstractNumId w:val="7"/>
  </w:num>
  <w:num w:numId="9">
    <w:abstractNumId w:val="20"/>
  </w:num>
  <w:num w:numId="10">
    <w:abstractNumId w:val="17"/>
  </w:num>
  <w:num w:numId="11">
    <w:abstractNumId w:val="22"/>
  </w:num>
  <w:num w:numId="12">
    <w:abstractNumId w:val="23"/>
  </w:num>
  <w:num w:numId="13">
    <w:abstractNumId w:val="1"/>
  </w:num>
  <w:num w:numId="14">
    <w:abstractNumId w:val="8"/>
  </w:num>
  <w:num w:numId="15">
    <w:abstractNumId w:val="16"/>
  </w:num>
  <w:num w:numId="16">
    <w:abstractNumId w:val="15"/>
  </w:num>
  <w:num w:numId="17">
    <w:abstractNumId w:val="10"/>
  </w:num>
  <w:num w:numId="18">
    <w:abstractNumId w:val="5"/>
  </w:num>
  <w:num w:numId="19">
    <w:abstractNumId w:val="19"/>
  </w:num>
  <w:num w:numId="20">
    <w:abstractNumId w:val="0"/>
  </w:num>
  <w:num w:numId="21">
    <w:abstractNumId w:val="21"/>
  </w:num>
  <w:num w:numId="22">
    <w:abstractNumId w:val="13"/>
  </w:num>
  <w:num w:numId="23">
    <w:abstractNumId w:val="3"/>
  </w:num>
  <w:num w:numId="24">
    <w:abstractNumId w:val="18"/>
  </w:num>
  <w:num w:numId="25">
    <w:abstractNumId w:val="14"/>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3B9E"/>
    <w:rsid w:val="00005902"/>
    <w:rsid w:val="00011F69"/>
    <w:rsid w:val="0001322F"/>
    <w:rsid w:val="000219FD"/>
    <w:rsid w:val="00027183"/>
    <w:rsid w:val="00027461"/>
    <w:rsid w:val="00033EA1"/>
    <w:rsid w:val="000474C0"/>
    <w:rsid w:val="000529CD"/>
    <w:rsid w:val="000548AD"/>
    <w:rsid w:val="00056947"/>
    <w:rsid w:val="0005756E"/>
    <w:rsid w:val="00076DF4"/>
    <w:rsid w:val="00083128"/>
    <w:rsid w:val="00085484"/>
    <w:rsid w:val="0009074D"/>
    <w:rsid w:val="00091CC6"/>
    <w:rsid w:val="0009592B"/>
    <w:rsid w:val="000968C6"/>
    <w:rsid w:val="00097497"/>
    <w:rsid w:val="000A165B"/>
    <w:rsid w:val="000A4BFF"/>
    <w:rsid w:val="000A63C9"/>
    <w:rsid w:val="000C0000"/>
    <w:rsid w:val="000C18CC"/>
    <w:rsid w:val="000C1901"/>
    <w:rsid w:val="000C7684"/>
    <w:rsid w:val="000F130A"/>
    <w:rsid w:val="000F5224"/>
    <w:rsid w:val="000F59AC"/>
    <w:rsid w:val="00101F83"/>
    <w:rsid w:val="001062C6"/>
    <w:rsid w:val="00107242"/>
    <w:rsid w:val="001206F7"/>
    <w:rsid w:val="00126430"/>
    <w:rsid w:val="00131ED1"/>
    <w:rsid w:val="0014275B"/>
    <w:rsid w:val="001428B4"/>
    <w:rsid w:val="00147155"/>
    <w:rsid w:val="00153CB3"/>
    <w:rsid w:val="00165357"/>
    <w:rsid w:val="00180AAB"/>
    <w:rsid w:val="001811EE"/>
    <w:rsid w:val="00186592"/>
    <w:rsid w:val="0019420D"/>
    <w:rsid w:val="00197A06"/>
    <w:rsid w:val="001A0EB4"/>
    <w:rsid w:val="001A3551"/>
    <w:rsid w:val="001A5660"/>
    <w:rsid w:val="001A5F62"/>
    <w:rsid w:val="001B09A5"/>
    <w:rsid w:val="001B5531"/>
    <w:rsid w:val="001B618B"/>
    <w:rsid w:val="001B6A31"/>
    <w:rsid w:val="001C4140"/>
    <w:rsid w:val="001C5A94"/>
    <w:rsid w:val="001D1763"/>
    <w:rsid w:val="001D25C0"/>
    <w:rsid w:val="001E0829"/>
    <w:rsid w:val="001F05CE"/>
    <w:rsid w:val="001F0B87"/>
    <w:rsid w:val="001F4A65"/>
    <w:rsid w:val="002065A4"/>
    <w:rsid w:val="00222837"/>
    <w:rsid w:val="002244A5"/>
    <w:rsid w:val="002246FA"/>
    <w:rsid w:val="002247CE"/>
    <w:rsid w:val="00224849"/>
    <w:rsid w:val="00231D7E"/>
    <w:rsid w:val="0023254A"/>
    <w:rsid w:val="002342DE"/>
    <w:rsid w:val="00240B74"/>
    <w:rsid w:val="002478B6"/>
    <w:rsid w:val="002544AB"/>
    <w:rsid w:val="002608D6"/>
    <w:rsid w:val="002612C7"/>
    <w:rsid w:val="0026649F"/>
    <w:rsid w:val="0027296E"/>
    <w:rsid w:val="00274EC7"/>
    <w:rsid w:val="00274FBE"/>
    <w:rsid w:val="002762E1"/>
    <w:rsid w:val="00276777"/>
    <w:rsid w:val="002811BC"/>
    <w:rsid w:val="00283DC1"/>
    <w:rsid w:val="00283DE8"/>
    <w:rsid w:val="00285966"/>
    <w:rsid w:val="00290579"/>
    <w:rsid w:val="00290ED8"/>
    <w:rsid w:val="002929F8"/>
    <w:rsid w:val="002A3D26"/>
    <w:rsid w:val="002A7596"/>
    <w:rsid w:val="002B1ADF"/>
    <w:rsid w:val="002B4360"/>
    <w:rsid w:val="002B50C8"/>
    <w:rsid w:val="002B7A8E"/>
    <w:rsid w:val="002C4407"/>
    <w:rsid w:val="002C444C"/>
    <w:rsid w:val="002C5560"/>
    <w:rsid w:val="002C6C7A"/>
    <w:rsid w:val="002D3A83"/>
    <w:rsid w:val="002F1437"/>
    <w:rsid w:val="002F3943"/>
    <w:rsid w:val="002F46B8"/>
    <w:rsid w:val="002F46C2"/>
    <w:rsid w:val="0030363A"/>
    <w:rsid w:val="003071C2"/>
    <w:rsid w:val="00311999"/>
    <w:rsid w:val="00312A45"/>
    <w:rsid w:val="003134AE"/>
    <w:rsid w:val="003158B4"/>
    <w:rsid w:val="003163AB"/>
    <w:rsid w:val="00317250"/>
    <w:rsid w:val="00332700"/>
    <w:rsid w:val="00332E97"/>
    <w:rsid w:val="0033437C"/>
    <w:rsid w:val="00337729"/>
    <w:rsid w:val="003417A5"/>
    <w:rsid w:val="00341FAB"/>
    <w:rsid w:val="00345D80"/>
    <w:rsid w:val="003471D4"/>
    <w:rsid w:val="0035521A"/>
    <w:rsid w:val="003560BA"/>
    <w:rsid w:val="003565B2"/>
    <w:rsid w:val="003575B4"/>
    <w:rsid w:val="003832D2"/>
    <w:rsid w:val="00390CBA"/>
    <w:rsid w:val="00391F92"/>
    <w:rsid w:val="00393486"/>
    <w:rsid w:val="003A2317"/>
    <w:rsid w:val="003B26D1"/>
    <w:rsid w:val="003B618D"/>
    <w:rsid w:val="003B713C"/>
    <w:rsid w:val="003C068E"/>
    <w:rsid w:val="003C289C"/>
    <w:rsid w:val="003D2871"/>
    <w:rsid w:val="003D5B83"/>
    <w:rsid w:val="003D7E6F"/>
    <w:rsid w:val="003E2884"/>
    <w:rsid w:val="003E5FEB"/>
    <w:rsid w:val="003E6E47"/>
    <w:rsid w:val="003F0623"/>
    <w:rsid w:val="0040150E"/>
    <w:rsid w:val="004068F7"/>
    <w:rsid w:val="00410AD4"/>
    <w:rsid w:val="00413CDB"/>
    <w:rsid w:val="004164AF"/>
    <w:rsid w:val="004200FE"/>
    <w:rsid w:val="00420E08"/>
    <w:rsid w:val="00421183"/>
    <w:rsid w:val="00421A0B"/>
    <w:rsid w:val="004221ED"/>
    <w:rsid w:val="004231D2"/>
    <w:rsid w:val="0042334D"/>
    <w:rsid w:val="00424AAC"/>
    <w:rsid w:val="004372A3"/>
    <w:rsid w:val="00437E8C"/>
    <w:rsid w:val="00441957"/>
    <w:rsid w:val="00442066"/>
    <w:rsid w:val="00443D32"/>
    <w:rsid w:val="00447CE5"/>
    <w:rsid w:val="00447D6E"/>
    <w:rsid w:val="004545A3"/>
    <w:rsid w:val="0046286E"/>
    <w:rsid w:val="00471234"/>
    <w:rsid w:val="0047660A"/>
    <w:rsid w:val="00477522"/>
    <w:rsid w:val="0048304F"/>
    <w:rsid w:val="00485058"/>
    <w:rsid w:val="00485DE4"/>
    <w:rsid w:val="00492082"/>
    <w:rsid w:val="00493457"/>
    <w:rsid w:val="00494628"/>
    <w:rsid w:val="00494C35"/>
    <w:rsid w:val="004A43B0"/>
    <w:rsid w:val="004B2437"/>
    <w:rsid w:val="004B3785"/>
    <w:rsid w:val="004B4A3A"/>
    <w:rsid w:val="004B7AF2"/>
    <w:rsid w:val="004C0C47"/>
    <w:rsid w:val="004C23F1"/>
    <w:rsid w:val="004C6C29"/>
    <w:rsid w:val="004D1D19"/>
    <w:rsid w:val="004D291F"/>
    <w:rsid w:val="004D38B3"/>
    <w:rsid w:val="004D7BC8"/>
    <w:rsid w:val="004D7ED1"/>
    <w:rsid w:val="004E01F5"/>
    <w:rsid w:val="004E76CA"/>
    <w:rsid w:val="004F03A2"/>
    <w:rsid w:val="005009C5"/>
    <w:rsid w:val="005036DC"/>
    <w:rsid w:val="0051020F"/>
    <w:rsid w:val="0051696C"/>
    <w:rsid w:val="00517DE4"/>
    <w:rsid w:val="00523B9A"/>
    <w:rsid w:val="005277CA"/>
    <w:rsid w:val="00530450"/>
    <w:rsid w:val="00532308"/>
    <w:rsid w:val="00544C42"/>
    <w:rsid w:val="0055647B"/>
    <w:rsid w:val="00557E39"/>
    <w:rsid w:val="005602F5"/>
    <w:rsid w:val="00560934"/>
    <w:rsid w:val="00564960"/>
    <w:rsid w:val="00566B9E"/>
    <w:rsid w:val="0057334C"/>
    <w:rsid w:val="005734A4"/>
    <w:rsid w:val="00576B24"/>
    <w:rsid w:val="00577AAB"/>
    <w:rsid w:val="00581C9B"/>
    <w:rsid w:val="00583ACD"/>
    <w:rsid w:val="0058708A"/>
    <w:rsid w:val="00587481"/>
    <w:rsid w:val="00590DFC"/>
    <w:rsid w:val="005929AD"/>
    <w:rsid w:val="00596D91"/>
    <w:rsid w:val="005A0E53"/>
    <w:rsid w:val="005A1078"/>
    <w:rsid w:val="005A3857"/>
    <w:rsid w:val="005A5CE9"/>
    <w:rsid w:val="005A6072"/>
    <w:rsid w:val="005A746F"/>
    <w:rsid w:val="005B1205"/>
    <w:rsid w:val="005B28C1"/>
    <w:rsid w:val="005C2E48"/>
    <w:rsid w:val="005C51CB"/>
    <w:rsid w:val="005D4DD7"/>
    <w:rsid w:val="005E12A9"/>
    <w:rsid w:val="005E6D00"/>
    <w:rsid w:val="005F5F02"/>
    <w:rsid w:val="00600D7D"/>
    <w:rsid w:val="00602799"/>
    <w:rsid w:val="00607948"/>
    <w:rsid w:val="00612041"/>
    <w:rsid w:val="00614418"/>
    <w:rsid w:val="0062178B"/>
    <w:rsid w:val="00625B5F"/>
    <w:rsid w:val="00630B8D"/>
    <w:rsid w:val="006404E6"/>
    <w:rsid w:val="00643099"/>
    <w:rsid w:val="0064528D"/>
    <w:rsid w:val="00645B78"/>
    <w:rsid w:val="00647ABE"/>
    <w:rsid w:val="00654B95"/>
    <w:rsid w:val="006570B0"/>
    <w:rsid w:val="006625DE"/>
    <w:rsid w:val="00664B05"/>
    <w:rsid w:val="00667F7C"/>
    <w:rsid w:val="0067339A"/>
    <w:rsid w:val="00674F72"/>
    <w:rsid w:val="00681EA7"/>
    <w:rsid w:val="00690A00"/>
    <w:rsid w:val="00697868"/>
    <w:rsid w:val="006A055F"/>
    <w:rsid w:val="006A26E0"/>
    <w:rsid w:val="006A5293"/>
    <w:rsid w:val="006B0DF3"/>
    <w:rsid w:val="006B4A48"/>
    <w:rsid w:val="006B659D"/>
    <w:rsid w:val="006C430A"/>
    <w:rsid w:val="006D2809"/>
    <w:rsid w:val="006D7B02"/>
    <w:rsid w:val="006E3342"/>
    <w:rsid w:val="006E4B12"/>
    <w:rsid w:val="006E764F"/>
    <w:rsid w:val="006F0764"/>
    <w:rsid w:val="006F382C"/>
    <w:rsid w:val="007048AC"/>
    <w:rsid w:val="00707242"/>
    <w:rsid w:val="00712525"/>
    <w:rsid w:val="0071678E"/>
    <w:rsid w:val="007229DA"/>
    <w:rsid w:val="007257CA"/>
    <w:rsid w:val="007279BA"/>
    <w:rsid w:val="00733C7D"/>
    <w:rsid w:val="007345BF"/>
    <w:rsid w:val="00735B98"/>
    <w:rsid w:val="00740761"/>
    <w:rsid w:val="00745F77"/>
    <w:rsid w:val="00746F47"/>
    <w:rsid w:val="0075046A"/>
    <w:rsid w:val="00756F93"/>
    <w:rsid w:val="00761E30"/>
    <w:rsid w:val="00764D0D"/>
    <w:rsid w:val="007654A9"/>
    <w:rsid w:val="007708C0"/>
    <w:rsid w:val="00776F28"/>
    <w:rsid w:val="007802FD"/>
    <w:rsid w:val="00786BCA"/>
    <w:rsid w:val="007933F1"/>
    <w:rsid w:val="007A6450"/>
    <w:rsid w:val="007B3ACA"/>
    <w:rsid w:val="007B4157"/>
    <w:rsid w:val="007B56AA"/>
    <w:rsid w:val="007C37BC"/>
    <w:rsid w:val="007D6A06"/>
    <w:rsid w:val="007E153A"/>
    <w:rsid w:val="007E43F8"/>
    <w:rsid w:val="007E656B"/>
    <w:rsid w:val="007F0354"/>
    <w:rsid w:val="007F205D"/>
    <w:rsid w:val="007F2F88"/>
    <w:rsid w:val="007F423E"/>
    <w:rsid w:val="007F50E8"/>
    <w:rsid w:val="007F7FBA"/>
    <w:rsid w:val="00800319"/>
    <w:rsid w:val="00801F7F"/>
    <w:rsid w:val="0080512F"/>
    <w:rsid w:val="0081069F"/>
    <w:rsid w:val="00820B02"/>
    <w:rsid w:val="00821298"/>
    <w:rsid w:val="00824F1C"/>
    <w:rsid w:val="00836199"/>
    <w:rsid w:val="00841342"/>
    <w:rsid w:val="0086202F"/>
    <w:rsid w:val="00870D8E"/>
    <w:rsid w:val="00871EE0"/>
    <w:rsid w:val="00872F69"/>
    <w:rsid w:val="00881A42"/>
    <w:rsid w:val="00881EF6"/>
    <w:rsid w:val="00883019"/>
    <w:rsid w:val="00885E0A"/>
    <w:rsid w:val="0088603B"/>
    <w:rsid w:val="00886233"/>
    <w:rsid w:val="00892904"/>
    <w:rsid w:val="00893FC3"/>
    <w:rsid w:val="0089577B"/>
    <w:rsid w:val="008A1FA6"/>
    <w:rsid w:val="008A5262"/>
    <w:rsid w:val="008A6319"/>
    <w:rsid w:val="008B39FE"/>
    <w:rsid w:val="008B6BEF"/>
    <w:rsid w:val="008C2E0E"/>
    <w:rsid w:val="008E16BE"/>
    <w:rsid w:val="008E17CC"/>
    <w:rsid w:val="008E1FCB"/>
    <w:rsid w:val="008E4374"/>
    <w:rsid w:val="008F33B4"/>
    <w:rsid w:val="0090077A"/>
    <w:rsid w:val="00902D2D"/>
    <w:rsid w:val="009138A0"/>
    <w:rsid w:val="00922B85"/>
    <w:rsid w:val="00925236"/>
    <w:rsid w:val="00933459"/>
    <w:rsid w:val="0094667C"/>
    <w:rsid w:val="00946C90"/>
    <w:rsid w:val="009500DC"/>
    <w:rsid w:val="009513A2"/>
    <w:rsid w:val="00951923"/>
    <w:rsid w:val="00952E68"/>
    <w:rsid w:val="00955AD7"/>
    <w:rsid w:val="009614E0"/>
    <w:rsid w:val="00965186"/>
    <w:rsid w:val="0097181E"/>
    <w:rsid w:val="00972C81"/>
    <w:rsid w:val="0098108E"/>
    <w:rsid w:val="009824E9"/>
    <w:rsid w:val="00985C9A"/>
    <w:rsid w:val="009928A9"/>
    <w:rsid w:val="00995CB0"/>
    <w:rsid w:val="00997E77"/>
    <w:rsid w:val="009A182B"/>
    <w:rsid w:val="009A2734"/>
    <w:rsid w:val="009A2E07"/>
    <w:rsid w:val="009A4579"/>
    <w:rsid w:val="009A4CC3"/>
    <w:rsid w:val="009B1856"/>
    <w:rsid w:val="009B455E"/>
    <w:rsid w:val="009B5B7B"/>
    <w:rsid w:val="009B61A7"/>
    <w:rsid w:val="009C1777"/>
    <w:rsid w:val="009C2C86"/>
    <w:rsid w:val="009C7CF1"/>
    <w:rsid w:val="009D0753"/>
    <w:rsid w:val="009D4DE8"/>
    <w:rsid w:val="009E1802"/>
    <w:rsid w:val="009E1CDE"/>
    <w:rsid w:val="009E51E2"/>
    <w:rsid w:val="009E75AE"/>
    <w:rsid w:val="009F29ED"/>
    <w:rsid w:val="009F34A7"/>
    <w:rsid w:val="009F5884"/>
    <w:rsid w:val="009F7A61"/>
    <w:rsid w:val="00A03EAE"/>
    <w:rsid w:val="00A04462"/>
    <w:rsid w:val="00A066D2"/>
    <w:rsid w:val="00A11C16"/>
    <w:rsid w:val="00A1423E"/>
    <w:rsid w:val="00A40C39"/>
    <w:rsid w:val="00A44999"/>
    <w:rsid w:val="00A500D6"/>
    <w:rsid w:val="00A62D6D"/>
    <w:rsid w:val="00A75291"/>
    <w:rsid w:val="00A76179"/>
    <w:rsid w:val="00A808DE"/>
    <w:rsid w:val="00A84490"/>
    <w:rsid w:val="00A86DA2"/>
    <w:rsid w:val="00A9522F"/>
    <w:rsid w:val="00A96718"/>
    <w:rsid w:val="00A9674A"/>
    <w:rsid w:val="00AA0650"/>
    <w:rsid w:val="00AA48DB"/>
    <w:rsid w:val="00AA5C6A"/>
    <w:rsid w:val="00AB21F5"/>
    <w:rsid w:val="00AB3386"/>
    <w:rsid w:val="00AB57CC"/>
    <w:rsid w:val="00AB6B9B"/>
    <w:rsid w:val="00AC2DB2"/>
    <w:rsid w:val="00AC5309"/>
    <w:rsid w:val="00AD1749"/>
    <w:rsid w:val="00AD25C5"/>
    <w:rsid w:val="00AD4DD0"/>
    <w:rsid w:val="00AE5297"/>
    <w:rsid w:val="00AF6342"/>
    <w:rsid w:val="00AF7522"/>
    <w:rsid w:val="00B01715"/>
    <w:rsid w:val="00B053FB"/>
    <w:rsid w:val="00B07EE5"/>
    <w:rsid w:val="00B1721C"/>
    <w:rsid w:val="00B26778"/>
    <w:rsid w:val="00B26B83"/>
    <w:rsid w:val="00B32479"/>
    <w:rsid w:val="00B403ED"/>
    <w:rsid w:val="00B43B33"/>
    <w:rsid w:val="00B50900"/>
    <w:rsid w:val="00B50A07"/>
    <w:rsid w:val="00B51732"/>
    <w:rsid w:val="00B55A66"/>
    <w:rsid w:val="00B62007"/>
    <w:rsid w:val="00B6606C"/>
    <w:rsid w:val="00B7217C"/>
    <w:rsid w:val="00B736C6"/>
    <w:rsid w:val="00B866B4"/>
    <w:rsid w:val="00BA43A7"/>
    <w:rsid w:val="00BA590A"/>
    <w:rsid w:val="00BB0B39"/>
    <w:rsid w:val="00BB1978"/>
    <w:rsid w:val="00BB5F75"/>
    <w:rsid w:val="00BD3931"/>
    <w:rsid w:val="00BD5B88"/>
    <w:rsid w:val="00BE1668"/>
    <w:rsid w:val="00BE16AA"/>
    <w:rsid w:val="00BF2622"/>
    <w:rsid w:val="00BF4989"/>
    <w:rsid w:val="00C03E44"/>
    <w:rsid w:val="00C05AF3"/>
    <w:rsid w:val="00C20463"/>
    <w:rsid w:val="00C24D03"/>
    <w:rsid w:val="00C25E61"/>
    <w:rsid w:val="00C3193F"/>
    <w:rsid w:val="00C35E44"/>
    <w:rsid w:val="00C459A5"/>
    <w:rsid w:val="00C51BB6"/>
    <w:rsid w:val="00C51C34"/>
    <w:rsid w:val="00C54EFF"/>
    <w:rsid w:val="00C63B44"/>
    <w:rsid w:val="00C72B8B"/>
    <w:rsid w:val="00C7307E"/>
    <w:rsid w:val="00C81771"/>
    <w:rsid w:val="00C878F9"/>
    <w:rsid w:val="00C927B9"/>
    <w:rsid w:val="00C941C0"/>
    <w:rsid w:val="00CA2AB4"/>
    <w:rsid w:val="00CB0100"/>
    <w:rsid w:val="00CB3095"/>
    <w:rsid w:val="00CD37BE"/>
    <w:rsid w:val="00CE28CF"/>
    <w:rsid w:val="00CE523A"/>
    <w:rsid w:val="00CE5BEB"/>
    <w:rsid w:val="00CE69E9"/>
    <w:rsid w:val="00CF1C1A"/>
    <w:rsid w:val="00CF3229"/>
    <w:rsid w:val="00CF4451"/>
    <w:rsid w:val="00CF4769"/>
    <w:rsid w:val="00D01BD9"/>
    <w:rsid w:val="00D1580A"/>
    <w:rsid w:val="00D25074"/>
    <w:rsid w:val="00D323C3"/>
    <w:rsid w:val="00D36798"/>
    <w:rsid w:val="00D407A4"/>
    <w:rsid w:val="00D42CA9"/>
    <w:rsid w:val="00D46F96"/>
    <w:rsid w:val="00D50673"/>
    <w:rsid w:val="00D52B25"/>
    <w:rsid w:val="00D7380B"/>
    <w:rsid w:val="00D74C29"/>
    <w:rsid w:val="00D75D77"/>
    <w:rsid w:val="00D84627"/>
    <w:rsid w:val="00D92AC5"/>
    <w:rsid w:val="00DA0723"/>
    <w:rsid w:val="00DA11A0"/>
    <w:rsid w:val="00DA17F5"/>
    <w:rsid w:val="00DA3CAD"/>
    <w:rsid w:val="00DA690B"/>
    <w:rsid w:val="00DA7225"/>
    <w:rsid w:val="00DC45E4"/>
    <w:rsid w:val="00DD017E"/>
    <w:rsid w:val="00DD373B"/>
    <w:rsid w:val="00DD37EB"/>
    <w:rsid w:val="00DD7A0D"/>
    <w:rsid w:val="00DF14AE"/>
    <w:rsid w:val="00DF2EE9"/>
    <w:rsid w:val="00DF3E50"/>
    <w:rsid w:val="00DF52E8"/>
    <w:rsid w:val="00DF5CB4"/>
    <w:rsid w:val="00E00407"/>
    <w:rsid w:val="00E0580A"/>
    <w:rsid w:val="00E07752"/>
    <w:rsid w:val="00E12478"/>
    <w:rsid w:val="00E16609"/>
    <w:rsid w:val="00E16F08"/>
    <w:rsid w:val="00E17415"/>
    <w:rsid w:val="00E17AFA"/>
    <w:rsid w:val="00E233F3"/>
    <w:rsid w:val="00E271C4"/>
    <w:rsid w:val="00E332DA"/>
    <w:rsid w:val="00E336E3"/>
    <w:rsid w:val="00E37F72"/>
    <w:rsid w:val="00E42327"/>
    <w:rsid w:val="00E42A30"/>
    <w:rsid w:val="00E52051"/>
    <w:rsid w:val="00E65D70"/>
    <w:rsid w:val="00E67D8C"/>
    <w:rsid w:val="00E75E1E"/>
    <w:rsid w:val="00E76CB0"/>
    <w:rsid w:val="00E81F3E"/>
    <w:rsid w:val="00E859BD"/>
    <w:rsid w:val="00E905B4"/>
    <w:rsid w:val="00E947FA"/>
    <w:rsid w:val="00E9519D"/>
    <w:rsid w:val="00E95FE0"/>
    <w:rsid w:val="00E96759"/>
    <w:rsid w:val="00EA4753"/>
    <w:rsid w:val="00EB34FC"/>
    <w:rsid w:val="00EB620C"/>
    <w:rsid w:val="00EB76E1"/>
    <w:rsid w:val="00EC1779"/>
    <w:rsid w:val="00EC441D"/>
    <w:rsid w:val="00ED11F5"/>
    <w:rsid w:val="00EE1839"/>
    <w:rsid w:val="00EF327F"/>
    <w:rsid w:val="00EF5416"/>
    <w:rsid w:val="00F0314C"/>
    <w:rsid w:val="00F06CCF"/>
    <w:rsid w:val="00F147E0"/>
    <w:rsid w:val="00F20DCF"/>
    <w:rsid w:val="00F253D6"/>
    <w:rsid w:val="00F2596B"/>
    <w:rsid w:val="00F35754"/>
    <w:rsid w:val="00F375F7"/>
    <w:rsid w:val="00F41F23"/>
    <w:rsid w:val="00F4752B"/>
    <w:rsid w:val="00F503C1"/>
    <w:rsid w:val="00F56792"/>
    <w:rsid w:val="00F60E32"/>
    <w:rsid w:val="00F634EB"/>
    <w:rsid w:val="00F63576"/>
    <w:rsid w:val="00F714BF"/>
    <w:rsid w:val="00F7242E"/>
    <w:rsid w:val="00F75C23"/>
    <w:rsid w:val="00FA5CE6"/>
    <w:rsid w:val="00FB1D4A"/>
    <w:rsid w:val="00FB46BF"/>
    <w:rsid w:val="00FB5939"/>
    <w:rsid w:val="00FB5E26"/>
    <w:rsid w:val="00FC0E05"/>
    <w:rsid w:val="00FC1C8A"/>
    <w:rsid w:val="00FC2340"/>
    <w:rsid w:val="00FC3BD6"/>
    <w:rsid w:val="00FD1940"/>
    <w:rsid w:val="00FD5A8C"/>
    <w:rsid w:val="00FD7D83"/>
    <w:rsid w:val="00FE1DDD"/>
    <w:rsid w:val="00FE3233"/>
    <w:rsid w:val="00FE4CB4"/>
    <w:rsid w:val="00FF1D7F"/>
    <w:rsid w:val="00FF6E04"/>
    <w:rsid w:val="00FF7B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nhideWhenUsed/>
    <w:rsid w:val="00447D6E"/>
    <w:pPr>
      <w:tabs>
        <w:tab w:val="center" w:pos="4680"/>
        <w:tab w:val="right" w:pos="9360"/>
      </w:tabs>
    </w:pPr>
  </w:style>
  <w:style w:type="character" w:customStyle="1" w:styleId="HeaderChar">
    <w:name w:val="Header Char"/>
    <w:basedOn w:val="DefaultParagraphFont"/>
    <w:link w:val="Header"/>
    <w:rsid w:val="00447D6E"/>
    <w:rPr>
      <w:rFonts w:ascii="Times New Roman" w:eastAsia="Times New Roman" w:hAnsi="Times New Roman" w:cs="Times New Roman"/>
      <w:sz w:val="24"/>
      <w:szCs w:val="24"/>
    </w:rPr>
  </w:style>
  <w:style w:type="paragraph" w:styleId="Footer">
    <w:name w:val="footer"/>
    <w:basedOn w:val="Normal"/>
    <w:link w:val="FooterChar"/>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ageNumber">
    <w:name w:val="page number"/>
    <w:rsid w:val="005E6D00"/>
    <w:rPr>
      <w:rFonts w:ascii="Arial" w:hAnsi="Arial"/>
      <w:sz w:val="20"/>
    </w:rPr>
  </w:style>
  <w:style w:type="paragraph" w:styleId="BodyText">
    <w:name w:val="Body Text"/>
    <w:basedOn w:val="Normal"/>
    <w:link w:val="BodyTextChar"/>
    <w:rsid w:val="004D7BC8"/>
    <w:pPr>
      <w:widowControl w:val="0"/>
      <w:spacing w:after="120"/>
    </w:pPr>
    <w:rPr>
      <w:szCs w:val="20"/>
    </w:rPr>
  </w:style>
  <w:style w:type="character" w:customStyle="1" w:styleId="BodyTextChar">
    <w:name w:val="Body Text Char"/>
    <w:basedOn w:val="DefaultParagraphFont"/>
    <w:link w:val="BodyText"/>
    <w:rsid w:val="004D7BC8"/>
    <w:rPr>
      <w:rFonts w:ascii="Times New Roman" w:eastAsia="Times New Roman" w:hAnsi="Times New Roman" w:cs="Times New Roman"/>
      <w:sz w:val="24"/>
      <w:szCs w:val="20"/>
    </w:rPr>
  </w:style>
  <w:style w:type="paragraph" w:customStyle="1" w:styleId="Default">
    <w:name w:val="Default"/>
    <w:rsid w:val="00FB5E26"/>
    <w:pPr>
      <w:autoSpaceDE w:val="0"/>
      <w:autoSpaceDN w:val="0"/>
      <w:adjustRightInd w:val="0"/>
      <w:spacing w:after="0" w:line="240" w:lineRule="auto"/>
    </w:pPr>
    <w:rPr>
      <w:rFonts w:ascii="Univers LT Std 55" w:hAnsi="Univers LT Std 55" w:cs="Univers LT Std 55"/>
      <w:color w:val="000000"/>
      <w:sz w:val="24"/>
      <w:szCs w:val="24"/>
    </w:rPr>
  </w:style>
  <w:style w:type="paragraph" w:customStyle="1" w:styleId="Pa13">
    <w:name w:val="Pa13"/>
    <w:basedOn w:val="Default"/>
    <w:next w:val="Default"/>
    <w:uiPriority w:val="99"/>
    <w:rsid w:val="00FB5E26"/>
    <w:pPr>
      <w:spacing w:line="241" w:lineRule="atLeast"/>
    </w:pPr>
    <w:rPr>
      <w:rFonts w:cstheme="minorBidi"/>
      <w:color w:val="auto"/>
    </w:rPr>
  </w:style>
  <w:style w:type="paragraph" w:customStyle="1" w:styleId="Pa0">
    <w:name w:val="Pa0"/>
    <w:basedOn w:val="Default"/>
    <w:next w:val="Default"/>
    <w:uiPriority w:val="99"/>
    <w:rsid w:val="00FB5E26"/>
    <w:pPr>
      <w:spacing w:line="241" w:lineRule="atLeast"/>
    </w:pPr>
    <w:rPr>
      <w:rFonts w:cstheme="minorBidi"/>
      <w:color w:val="auto"/>
    </w:rPr>
  </w:style>
  <w:style w:type="paragraph" w:styleId="EndnoteText">
    <w:name w:val="endnote text"/>
    <w:basedOn w:val="Normal"/>
    <w:link w:val="EndnoteTextChar"/>
    <w:semiHidden/>
    <w:rsid w:val="00BF2622"/>
    <w:rPr>
      <w:sz w:val="20"/>
      <w:szCs w:val="20"/>
    </w:rPr>
  </w:style>
  <w:style w:type="character" w:customStyle="1" w:styleId="EndnoteTextChar">
    <w:name w:val="Endnote Text Char"/>
    <w:basedOn w:val="DefaultParagraphFont"/>
    <w:link w:val="EndnoteText"/>
    <w:semiHidden/>
    <w:rsid w:val="00BF2622"/>
    <w:rPr>
      <w:rFonts w:ascii="Times New Roman" w:eastAsia="Times New Roman" w:hAnsi="Times New Roman" w:cs="Times New Roman"/>
      <w:sz w:val="20"/>
      <w:szCs w:val="20"/>
    </w:rPr>
  </w:style>
  <w:style w:type="paragraph" w:styleId="ListParagraph">
    <w:name w:val="List Paragraph"/>
    <w:basedOn w:val="Normal"/>
    <w:uiPriority w:val="34"/>
    <w:qFormat/>
    <w:rsid w:val="00BF2622"/>
    <w:pPr>
      <w:ind w:left="720"/>
      <w:contextualSpacing/>
    </w:pPr>
  </w:style>
  <w:style w:type="paragraph" w:styleId="Revision">
    <w:name w:val="Revision"/>
    <w:hidden/>
    <w:uiPriority w:val="99"/>
    <w:semiHidden/>
    <w:rsid w:val="0062178B"/>
    <w:pPr>
      <w:spacing w:after="0"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E947FA"/>
    <w:rPr>
      <w:color w:val="808080"/>
    </w:rPr>
  </w:style>
  <w:style w:type="character" w:styleId="FollowedHyperlink">
    <w:name w:val="FollowedHyperlink"/>
    <w:basedOn w:val="DefaultParagraphFont"/>
    <w:uiPriority w:val="99"/>
    <w:semiHidden/>
    <w:unhideWhenUsed/>
    <w:rsid w:val="004068F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nhideWhenUsed/>
    <w:rsid w:val="00447D6E"/>
    <w:pPr>
      <w:tabs>
        <w:tab w:val="center" w:pos="4680"/>
        <w:tab w:val="right" w:pos="9360"/>
      </w:tabs>
    </w:pPr>
  </w:style>
  <w:style w:type="character" w:customStyle="1" w:styleId="HeaderChar">
    <w:name w:val="Header Char"/>
    <w:basedOn w:val="DefaultParagraphFont"/>
    <w:link w:val="Header"/>
    <w:rsid w:val="00447D6E"/>
    <w:rPr>
      <w:rFonts w:ascii="Times New Roman" w:eastAsia="Times New Roman" w:hAnsi="Times New Roman" w:cs="Times New Roman"/>
      <w:sz w:val="24"/>
      <w:szCs w:val="24"/>
    </w:rPr>
  </w:style>
  <w:style w:type="paragraph" w:styleId="Footer">
    <w:name w:val="footer"/>
    <w:basedOn w:val="Normal"/>
    <w:link w:val="FooterChar"/>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ageNumber">
    <w:name w:val="page number"/>
    <w:rsid w:val="005E6D00"/>
    <w:rPr>
      <w:rFonts w:ascii="Arial" w:hAnsi="Arial"/>
      <w:sz w:val="20"/>
    </w:rPr>
  </w:style>
  <w:style w:type="paragraph" w:styleId="BodyText">
    <w:name w:val="Body Text"/>
    <w:basedOn w:val="Normal"/>
    <w:link w:val="BodyTextChar"/>
    <w:rsid w:val="004D7BC8"/>
    <w:pPr>
      <w:widowControl w:val="0"/>
      <w:spacing w:after="120"/>
    </w:pPr>
    <w:rPr>
      <w:szCs w:val="20"/>
    </w:rPr>
  </w:style>
  <w:style w:type="character" w:customStyle="1" w:styleId="BodyTextChar">
    <w:name w:val="Body Text Char"/>
    <w:basedOn w:val="DefaultParagraphFont"/>
    <w:link w:val="BodyText"/>
    <w:rsid w:val="004D7BC8"/>
    <w:rPr>
      <w:rFonts w:ascii="Times New Roman" w:eastAsia="Times New Roman" w:hAnsi="Times New Roman" w:cs="Times New Roman"/>
      <w:sz w:val="24"/>
      <w:szCs w:val="20"/>
    </w:rPr>
  </w:style>
  <w:style w:type="paragraph" w:customStyle="1" w:styleId="Default">
    <w:name w:val="Default"/>
    <w:rsid w:val="00FB5E26"/>
    <w:pPr>
      <w:autoSpaceDE w:val="0"/>
      <w:autoSpaceDN w:val="0"/>
      <w:adjustRightInd w:val="0"/>
      <w:spacing w:after="0" w:line="240" w:lineRule="auto"/>
    </w:pPr>
    <w:rPr>
      <w:rFonts w:ascii="Univers LT Std 55" w:hAnsi="Univers LT Std 55" w:cs="Univers LT Std 55"/>
      <w:color w:val="000000"/>
      <w:sz w:val="24"/>
      <w:szCs w:val="24"/>
    </w:rPr>
  </w:style>
  <w:style w:type="paragraph" w:customStyle="1" w:styleId="Pa13">
    <w:name w:val="Pa13"/>
    <w:basedOn w:val="Default"/>
    <w:next w:val="Default"/>
    <w:uiPriority w:val="99"/>
    <w:rsid w:val="00FB5E26"/>
    <w:pPr>
      <w:spacing w:line="241" w:lineRule="atLeast"/>
    </w:pPr>
    <w:rPr>
      <w:rFonts w:cstheme="minorBidi"/>
      <w:color w:val="auto"/>
    </w:rPr>
  </w:style>
  <w:style w:type="paragraph" w:customStyle="1" w:styleId="Pa0">
    <w:name w:val="Pa0"/>
    <w:basedOn w:val="Default"/>
    <w:next w:val="Default"/>
    <w:uiPriority w:val="99"/>
    <w:rsid w:val="00FB5E26"/>
    <w:pPr>
      <w:spacing w:line="241" w:lineRule="atLeast"/>
    </w:pPr>
    <w:rPr>
      <w:rFonts w:cstheme="minorBidi"/>
      <w:color w:val="auto"/>
    </w:rPr>
  </w:style>
  <w:style w:type="paragraph" w:styleId="EndnoteText">
    <w:name w:val="endnote text"/>
    <w:basedOn w:val="Normal"/>
    <w:link w:val="EndnoteTextChar"/>
    <w:semiHidden/>
    <w:rsid w:val="00BF2622"/>
    <w:rPr>
      <w:sz w:val="20"/>
      <w:szCs w:val="20"/>
    </w:rPr>
  </w:style>
  <w:style w:type="character" w:customStyle="1" w:styleId="EndnoteTextChar">
    <w:name w:val="Endnote Text Char"/>
    <w:basedOn w:val="DefaultParagraphFont"/>
    <w:link w:val="EndnoteText"/>
    <w:semiHidden/>
    <w:rsid w:val="00BF2622"/>
    <w:rPr>
      <w:rFonts w:ascii="Times New Roman" w:eastAsia="Times New Roman" w:hAnsi="Times New Roman" w:cs="Times New Roman"/>
      <w:sz w:val="20"/>
      <w:szCs w:val="20"/>
    </w:rPr>
  </w:style>
  <w:style w:type="paragraph" w:styleId="ListParagraph">
    <w:name w:val="List Paragraph"/>
    <w:basedOn w:val="Normal"/>
    <w:uiPriority w:val="34"/>
    <w:qFormat/>
    <w:rsid w:val="00BF2622"/>
    <w:pPr>
      <w:ind w:left="720"/>
      <w:contextualSpacing/>
    </w:pPr>
  </w:style>
  <w:style w:type="paragraph" w:styleId="Revision">
    <w:name w:val="Revision"/>
    <w:hidden/>
    <w:uiPriority w:val="99"/>
    <w:semiHidden/>
    <w:rsid w:val="0062178B"/>
    <w:pPr>
      <w:spacing w:after="0"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E947FA"/>
    <w:rPr>
      <w:color w:val="808080"/>
    </w:rPr>
  </w:style>
  <w:style w:type="character" w:styleId="FollowedHyperlink">
    <w:name w:val="FollowedHyperlink"/>
    <w:basedOn w:val="DefaultParagraphFont"/>
    <w:uiPriority w:val="99"/>
    <w:semiHidden/>
    <w:unhideWhenUsed/>
    <w:rsid w:val="004068F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ce.com/rebates" TargetMode="External"/><Relationship Id="rId18" Type="http://schemas.openxmlformats.org/officeDocument/2006/relationships/hyperlink" Target="http://www.updux.com" TargetMode="External"/><Relationship Id="rId3" Type="http://schemas.openxmlformats.org/officeDocument/2006/relationships/styles" Target="styles.xml"/><Relationship Id="rId21" Type="http://schemas.openxmlformats.org/officeDocument/2006/relationships/hyperlink" Target="http://www.consumerenergycenter.org/home/heating_cooling/evaporative.html" TargetMode="Externa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http://www.vaisala.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1.png"/><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www.appliances.energy.ca.gov/QuickSearch.aspx"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deeresources.com" TargetMode="Externa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BE0123-6726-41F3-B01A-4FC4B7714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1115</TotalTime>
  <Pages>23</Pages>
  <Words>6144</Words>
  <Characters>35024</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Southern California Edison</Company>
  <LinksUpToDate>false</LinksUpToDate>
  <CharactersWithSpaces>41086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O'Keefe, Brian</dc:creator>
  <cp:lastModifiedBy>Li, Christopher H</cp:lastModifiedBy>
  <cp:revision>5</cp:revision>
  <cp:lastPrinted>2014-04-14T18:21:00Z</cp:lastPrinted>
  <dcterms:created xsi:type="dcterms:W3CDTF">2014-07-08T00:03:00Z</dcterms:created>
  <dcterms:modified xsi:type="dcterms:W3CDTF">2014-07-08T18:55:00Z</dcterms:modified>
</cp:coreProperties>
</file>