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D4BEA" w:rsidRPr="00DD3825" w:rsidRDefault="005D4BEA" w:rsidP="005D4BEA">
      <w:pPr>
        <w:jc w:val="right"/>
        <w:rPr>
          <w:rFonts w:cs="Arial"/>
          <w:b/>
          <w:sz w:val="48"/>
          <w:szCs w:val="48"/>
        </w:rPr>
      </w:pPr>
      <w:bookmarkStart w:id="0" w:name="_Toc153189646"/>
      <w:bookmarkStart w:id="1" w:name="_Toc214003082"/>
      <w:r w:rsidRPr="00DD3825">
        <w:rPr>
          <w:rFonts w:cs="Arial"/>
          <w:b/>
          <w:sz w:val="48"/>
          <w:szCs w:val="48"/>
        </w:rPr>
        <w:t>Work Paper PGECOHVC1</w:t>
      </w:r>
      <w:r>
        <w:rPr>
          <w:rFonts w:cs="Arial"/>
          <w:b/>
          <w:sz w:val="48"/>
          <w:szCs w:val="48"/>
        </w:rPr>
        <w:t>44</w:t>
      </w:r>
    </w:p>
    <w:p w:rsidR="005D4BEA" w:rsidRPr="00DD3825" w:rsidRDefault="005D4BEA" w:rsidP="005D4BEA">
      <w:pPr>
        <w:jc w:val="right"/>
        <w:rPr>
          <w:rFonts w:cs="Arial"/>
          <w:b/>
          <w:sz w:val="48"/>
          <w:szCs w:val="48"/>
        </w:rPr>
      </w:pPr>
      <w:r>
        <w:rPr>
          <w:rFonts w:cs="Arial"/>
          <w:b/>
          <w:sz w:val="48"/>
          <w:szCs w:val="48"/>
        </w:rPr>
        <w:t>Cogged V-Belts</w:t>
      </w:r>
    </w:p>
    <w:p w:rsidR="005D4BEA" w:rsidRPr="00DD3825" w:rsidRDefault="005D4BEA" w:rsidP="005D4BEA">
      <w:pPr>
        <w:jc w:val="right"/>
        <w:rPr>
          <w:rFonts w:cs="Arial"/>
          <w:b/>
          <w:sz w:val="48"/>
          <w:szCs w:val="48"/>
        </w:rPr>
      </w:pPr>
      <w:r w:rsidRPr="00DD3825">
        <w:rPr>
          <w:rFonts w:cs="Arial"/>
          <w:b/>
          <w:sz w:val="48"/>
          <w:szCs w:val="48"/>
        </w:rPr>
        <w:t xml:space="preserve">Revision # </w:t>
      </w:r>
      <w:r>
        <w:rPr>
          <w:rFonts w:cs="Arial"/>
          <w:b/>
          <w:sz w:val="48"/>
          <w:szCs w:val="48"/>
        </w:rPr>
        <w:t>1</w:t>
      </w:r>
    </w:p>
    <w:p w:rsidR="005D4BEA" w:rsidRPr="00DD3825" w:rsidRDefault="005D4BEA" w:rsidP="005D4BEA"/>
    <w:p w:rsidR="005D4BEA" w:rsidRPr="00DD3825" w:rsidRDefault="005D4BEA" w:rsidP="005D4BEA">
      <w:pPr>
        <w:pBdr>
          <w:bottom w:val="single" w:sz="4" w:space="1" w:color="auto"/>
        </w:pBdr>
        <w:rPr>
          <w:rFonts w:cs="Arial"/>
          <w:b/>
          <w:sz w:val="36"/>
          <w:szCs w:val="36"/>
        </w:rPr>
      </w:pPr>
      <w:r w:rsidRPr="00DD3825">
        <w:rPr>
          <w:rFonts w:cs="Arial"/>
          <w:b/>
          <w:sz w:val="36"/>
          <w:szCs w:val="36"/>
        </w:rPr>
        <w:t>Pacific Gas &amp; Electric Company</w:t>
      </w:r>
    </w:p>
    <w:p w:rsidR="005D4BEA" w:rsidRPr="00DD3825" w:rsidRDefault="005D4BEA" w:rsidP="005D4BEA">
      <w:pPr>
        <w:rPr>
          <w:rFonts w:cs="Arial"/>
          <w:b/>
          <w:sz w:val="32"/>
          <w:szCs w:val="32"/>
        </w:rPr>
      </w:pPr>
      <w:r w:rsidRPr="00DD3825">
        <w:rPr>
          <w:rFonts w:cs="Arial"/>
          <w:b/>
          <w:sz w:val="32"/>
          <w:szCs w:val="32"/>
        </w:rPr>
        <w:t xml:space="preserve">Customer Energy Solutions </w:t>
      </w:r>
    </w:p>
    <w:p w:rsidR="005D4BEA" w:rsidRPr="00DD3825" w:rsidRDefault="005D4BEA" w:rsidP="005D4BEA">
      <w:pPr>
        <w:rPr>
          <w:rFonts w:cs="Arial"/>
          <w:b/>
        </w:rPr>
      </w:pPr>
    </w:p>
    <w:p w:rsidR="005D4BEA" w:rsidRPr="00DD3825" w:rsidRDefault="005D4BEA" w:rsidP="005D4BEA">
      <w:pPr>
        <w:rPr>
          <w:rFonts w:cs="Arial"/>
          <w:b/>
        </w:rPr>
      </w:pPr>
    </w:p>
    <w:p w:rsidR="005D4BEA" w:rsidRPr="00DD3825" w:rsidRDefault="005D4BEA" w:rsidP="005D4BEA">
      <w:pPr>
        <w:rPr>
          <w:rFonts w:cs="Arial"/>
          <w:b/>
        </w:rPr>
      </w:pPr>
    </w:p>
    <w:p w:rsidR="005D4BEA" w:rsidRPr="00DD3825" w:rsidRDefault="005D4BEA" w:rsidP="005D4BEA">
      <w:pPr>
        <w:ind w:right="-720"/>
        <w:rPr>
          <w:rFonts w:cs="Arial"/>
          <w:b/>
          <w:i/>
        </w:rPr>
      </w:pPr>
    </w:p>
    <w:p w:rsidR="005D4BEA" w:rsidRPr="00DD3825" w:rsidRDefault="005D4BEA" w:rsidP="005D4BEA">
      <w:pPr>
        <w:ind w:right="-720"/>
        <w:rPr>
          <w:rFonts w:cs="Arial"/>
          <w:b/>
          <w:i/>
        </w:rPr>
      </w:pPr>
    </w:p>
    <w:p w:rsidR="005D4BEA" w:rsidRPr="00DD3825" w:rsidRDefault="005D4BEA" w:rsidP="005D4BEA">
      <w:pPr>
        <w:ind w:right="-720"/>
        <w:rPr>
          <w:rFonts w:cs="Arial"/>
          <w:b/>
          <w:sz w:val="72"/>
          <w:szCs w:val="72"/>
        </w:rPr>
      </w:pPr>
    </w:p>
    <w:p w:rsidR="005D4BEA" w:rsidRPr="00DD3825" w:rsidRDefault="005D4BEA" w:rsidP="005D4BEA">
      <w:pPr>
        <w:ind w:right="-720"/>
        <w:rPr>
          <w:rFonts w:cs="Arial"/>
          <w:b/>
          <w:sz w:val="72"/>
          <w:szCs w:val="72"/>
        </w:rPr>
      </w:pPr>
    </w:p>
    <w:p w:rsidR="005D4BEA" w:rsidRPr="00DD3825" w:rsidRDefault="005D4BEA" w:rsidP="005D4BEA">
      <w:pPr>
        <w:ind w:right="-720"/>
        <w:rPr>
          <w:rFonts w:cs="Arial"/>
          <w:b/>
          <w:sz w:val="72"/>
          <w:szCs w:val="72"/>
        </w:rPr>
      </w:pPr>
      <w:r>
        <w:rPr>
          <w:rFonts w:cs="Arial"/>
          <w:b/>
          <w:sz w:val="72"/>
          <w:szCs w:val="72"/>
        </w:rPr>
        <w:t>HVAC Fans Cogged V-belt Replacement</w:t>
      </w:r>
    </w:p>
    <w:p w:rsidR="005D4BEA" w:rsidRDefault="005D4BEA" w:rsidP="005D4BEA">
      <w:pPr>
        <w:ind w:right="-720"/>
        <w:rPr>
          <w:rFonts w:cs="Arial"/>
          <w:b/>
        </w:rPr>
      </w:pPr>
      <w:r w:rsidRPr="00DD3825">
        <w:rPr>
          <w:rFonts w:cs="Arial"/>
          <w:b/>
        </w:rPr>
        <w:t xml:space="preserve">Measure Codes </w:t>
      </w:r>
      <w:r>
        <w:rPr>
          <w:rFonts w:cs="Arial"/>
          <w:b/>
        </w:rPr>
        <w:t>SA13, SA14, SA15</w:t>
      </w:r>
    </w:p>
    <w:p w:rsidR="005D4BEA" w:rsidRDefault="005D4BEA">
      <w:pPr>
        <w:spacing w:after="200" w:line="276" w:lineRule="auto"/>
        <w:rPr>
          <w:rFonts w:cs="Arial"/>
          <w:b/>
        </w:rPr>
      </w:pPr>
      <w:r>
        <w:rPr>
          <w:rFonts w:cs="Arial"/>
          <w:b/>
        </w:rPr>
        <w:br w:type="page"/>
      </w:r>
    </w:p>
    <w:p w:rsidR="005D4BEA" w:rsidRPr="00DD3825" w:rsidRDefault="005D4BEA" w:rsidP="005D4BEA">
      <w:pPr>
        <w:ind w:right="-720"/>
        <w:rPr>
          <w:rFonts w:cs="Arial"/>
          <w:b/>
          <w:i/>
        </w:rPr>
      </w:pPr>
    </w:p>
    <w:p w:rsidR="005D4BEA" w:rsidRPr="00DD3825" w:rsidRDefault="005D4BEA" w:rsidP="005D4BEA">
      <w:pPr>
        <w:rPr>
          <w:rFonts w:cs="Arial"/>
          <w:b/>
          <w:i/>
        </w:rPr>
      </w:pPr>
    </w:p>
    <w:p w:rsidR="005D4BEA" w:rsidRPr="00DD3825" w:rsidRDefault="005D4BEA" w:rsidP="005D4BEA">
      <w:pPr>
        <w:rPr>
          <w:rFonts w:cs="Arial"/>
          <w:b/>
          <w:i/>
        </w:rPr>
      </w:pPr>
    </w:p>
    <w:p w:rsidR="005D4BEA" w:rsidRPr="00E5085E" w:rsidRDefault="005D4BEA" w:rsidP="005D4BEA">
      <w:pPr>
        <w:rPr>
          <w:rFonts w:ascii="Arial" w:hAnsi="Arial" w:cs="Arial"/>
          <w:b/>
          <w:sz w:val="48"/>
          <w:szCs w:val="48"/>
        </w:rPr>
      </w:pPr>
      <w:r w:rsidRPr="00E5085E">
        <w:rPr>
          <w:rFonts w:ascii="Arial" w:hAnsi="Arial" w:cs="Arial"/>
          <w:b/>
          <w:sz w:val="48"/>
          <w:szCs w:val="48"/>
        </w:rPr>
        <w:t>PGECO</w:t>
      </w:r>
      <w:r>
        <w:rPr>
          <w:rFonts w:ascii="Arial" w:hAnsi="Arial" w:cs="Arial"/>
          <w:b/>
          <w:sz w:val="48"/>
          <w:szCs w:val="48"/>
        </w:rPr>
        <w:t>HVC</w:t>
      </w:r>
      <w:r w:rsidRPr="00E5085E">
        <w:rPr>
          <w:rFonts w:ascii="Arial" w:hAnsi="Arial" w:cs="Arial"/>
          <w:b/>
          <w:sz w:val="48"/>
          <w:szCs w:val="48"/>
        </w:rPr>
        <w:t>1</w:t>
      </w:r>
      <w:r>
        <w:rPr>
          <w:rFonts w:ascii="Arial" w:hAnsi="Arial" w:cs="Arial"/>
          <w:b/>
          <w:sz w:val="48"/>
          <w:szCs w:val="48"/>
        </w:rPr>
        <w:t>44</w:t>
      </w:r>
    </w:p>
    <w:p w:rsidR="005D4BEA" w:rsidRDefault="005D4BEA" w:rsidP="005D4BEA">
      <w:pPr>
        <w:rPr>
          <w:rFonts w:cstheme="minorHAnsi"/>
          <w:b/>
          <w:sz w:val="48"/>
          <w:szCs w:val="48"/>
        </w:rPr>
      </w:pPr>
      <w:r>
        <w:rPr>
          <w:rFonts w:cs="Arial"/>
          <w:b/>
          <w:sz w:val="48"/>
          <w:szCs w:val="48"/>
        </w:rPr>
        <w:t>Cogged V-Belts</w:t>
      </w:r>
    </w:p>
    <w:p w:rsidR="005D4BEA" w:rsidRDefault="005D4BEA" w:rsidP="005D4BEA">
      <w:pPr>
        <w:rPr>
          <w:szCs w:val="22"/>
        </w:rPr>
      </w:pPr>
    </w:p>
    <w:p w:rsidR="005D4BEA" w:rsidRDefault="005D4BEA" w:rsidP="005D4BEA">
      <w:r>
        <w:rPr>
          <w:szCs w:val="22"/>
        </w:rPr>
        <w:t>PG&amp;E is using the SCE workpaper</w:t>
      </w:r>
      <w:r w:rsidRPr="00F22C3B">
        <w:rPr>
          <w:b/>
          <w:szCs w:val="22"/>
        </w:rPr>
        <w:t xml:space="preserve"> </w:t>
      </w:r>
      <w:r w:rsidRPr="005D4BEA">
        <w:rPr>
          <w:b/>
          <w:szCs w:val="22"/>
        </w:rPr>
        <w:t>SCE15HC040</w:t>
      </w:r>
      <w:r>
        <w:rPr>
          <w:b/>
          <w:szCs w:val="22"/>
        </w:rPr>
        <w:t xml:space="preserve"> Revision 1</w:t>
      </w:r>
      <w:r>
        <w:rPr>
          <w:szCs w:val="22"/>
        </w:rPr>
        <w:t xml:space="preserve"> ex-ante values for PG&amp;E measure codes SA13, SA14 and SA15. </w:t>
      </w:r>
    </w:p>
    <w:p w:rsidR="005D4BEA" w:rsidRPr="00DD3825" w:rsidRDefault="005D4BEA" w:rsidP="005D4BEA">
      <w:pPr>
        <w:rPr>
          <w:rFonts w:cs="Arial"/>
          <w:b/>
          <w:i/>
        </w:rPr>
      </w:pPr>
    </w:p>
    <w:p w:rsidR="005D4BEA" w:rsidRPr="00DD3825" w:rsidRDefault="005D4BEA" w:rsidP="005D4BEA">
      <w:pPr>
        <w:rPr>
          <w:rFonts w:cs="Arial"/>
          <w:b/>
          <w:i/>
        </w:rPr>
      </w:pPr>
    </w:p>
    <w:p w:rsidR="005D4BEA" w:rsidRPr="00DD3825" w:rsidRDefault="005D4BEA" w:rsidP="005D4BEA">
      <w:pPr>
        <w:rPr>
          <w:rFonts w:cs="Arial"/>
          <w:b/>
          <w:i/>
        </w:rPr>
      </w:pPr>
    </w:p>
    <w:p w:rsidR="005D4BEA" w:rsidRPr="00DD3825" w:rsidRDefault="005D4BEA" w:rsidP="005D4BEA">
      <w:pPr>
        <w:rPr>
          <w:rFonts w:cs="Arial"/>
          <w:b/>
          <w:i/>
        </w:rPr>
      </w:pPr>
    </w:p>
    <w:p w:rsidR="005D4BEA" w:rsidRPr="00DD3825" w:rsidRDefault="005D4BEA" w:rsidP="005D4BEA">
      <w:pPr>
        <w:rPr>
          <w:rFonts w:cs="Arial"/>
          <w:b/>
          <w:i/>
        </w:rPr>
      </w:pPr>
    </w:p>
    <w:p w:rsidR="005D4BEA" w:rsidRPr="00DD3825" w:rsidRDefault="005D4BEA" w:rsidP="005D4BEA">
      <w:pPr>
        <w:rPr>
          <w:rFonts w:cs="Arial"/>
          <w:b/>
          <w:i/>
        </w:rPr>
      </w:pPr>
    </w:p>
    <w:p w:rsidR="005D4BEA" w:rsidRPr="00DD3825" w:rsidRDefault="005D4BEA" w:rsidP="005D4BEA">
      <w:pPr>
        <w:rPr>
          <w:rFonts w:cs="Arial"/>
          <w:b/>
          <w:i/>
        </w:rPr>
      </w:pPr>
    </w:p>
    <w:p w:rsidR="005D4BEA" w:rsidRPr="00DD3825" w:rsidRDefault="005D4BEA" w:rsidP="005D4BEA">
      <w:pPr>
        <w:rPr>
          <w:rFonts w:cs="Arial"/>
          <w:b/>
          <w:i/>
        </w:rPr>
      </w:pPr>
    </w:p>
    <w:p w:rsidR="005D4BEA" w:rsidRPr="00DD3825" w:rsidRDefault="005D4BEA" w:rsidP="005D4BEA">
      <w:pPr>
        <w:rPr>
          <w:rFonts w:cs="Arial"/>
          <w:b/>
          <w:i/>
        </w:rPr>
      </w:pPr>
    </w:p>
    <w:p w:rsidR="00053D13" w:rsidRDefault="00053D13" w:rsidP="005D4BEA">
      <w:pPr>
        <w:rPr>
          <w:rFonts w:cs="Arial"/>
          <w:b/>
          <w:i/>
        </w:rPr>
      </w:pPr>
    </w:p>
    <w:p w:rsidR="00053D13" w:rsidRDefault="00053D13">
      <w:pPr>
        <w:spacing w:after="200" w:line="276" w:lineRule="auto"/>
        <w:rPr>
          <w:rFonts w:cs="Arial"/>
          <w:b/>
          <w:i/>
        </w:rPr>
      </w:pPr>
      <w:r>
        <w:rPr>
          <w:rFonts w:cs="Arial"/>
          <w:b/>
          <w:i/>
        </w:rPr>
        <w:br w:type="page"/>
      </w:r>
    </w:p>
    <w:p w:rsidR="00053D13" w:rsidRPr="00DD3825" w:rsidRDefault="00053D13" w:rsidP="00053D13">
      <w:pPr>
        <w:pStyle w:val="Heading1"/>
      </w:pPr>
      <w:bookmarkStart w:id="2" w:name="_Toc342311739"/>
      <w:bookmarkStart w:id="3" w:name="_Toc386811703"/>
      <w:r w:rsidRPr="00DD3825">
        <w:lastRenderedPageBreak/>
        <w:t>Work Paper Approvals</w:t>
      </w:r>
      <w:bookmarkEnd w:id="2"/>
      <w:bookmarkEnd w:id="3"/>
    </w:p>
    <w:p w:rsidR="00053D13" w:rsidRPr="00DD3825" w:rsidRDefault="00053D13" w:rsidP="00053D13">
      <w:pPr>
        <w:rPr>
          <w:rFonts w:eastAsiaTheme="minorHAnsi"/>
        </w:rPr>
      </w:pPr>
      <w:r w:rsidRPr="00DD3825">
        <w:t>The following Manager(s) approved this workpaper through the PG&amp;E Electronic Data Routing System under Routing Requisition # _______________</w:t>
      </w:r>
    </w:p>
    <w:tbl>
      <w:tblPr>
        <w:tblW w:w="3064" w:type="pct"/>
        <w:tblCellMar>
          <w:left w:w="0" w:type="dxa"/>
          <w:right w:w="0" w:type="dxa"/>
        </w:tblCellMar>
        <w:tblLook w:val="04A0" w:firstRow="1" w:lastRow="0" w:firstColumn="1" w:lastColumn="0" w:noHBand="0" w:noVBand="1"/>
      </w:tblPr>
      <w:tblGrid>
        <w:gridCol w:w="5427"/>
      </w:tblGrid>
      <w:tr w:rsidR="00053D13" w:rsidRPr="00DD3825" w:rsidTr="00461123">
        <w:tc>
          <w:tcPr>
            <w:tcW w:w="5000" w:type="pct"/>
            <w:tcMar>
              <w:top w:w="0" w:type="dxa"/>
              <w:left w:w="108" w:type="dxa"/>
              <w:bottom w:w="0" w:type="dxa"/>
              <w:right w:w="108" w:type="dxa"/>
            </w:tcMar>
          </w:tcPr>
          <w:p w:rsidR="00053D13" w:rsidRPr="00DD3825" w:rsidRDefault="00053D13" w:rsidP="00461123">
            <w:pPr>
              <w:rPr>
                <w:rFonts w:eastAsiaTheme="minorHAnsi" w:cs="Arial"/>
                <w:szCs w:val="22"/>
              </w:rPr>
            </w:pPr>
          </w:p>
        </w:tc>
      </w:tr>
      <w:tr w:rsidR="00053D13" w:rsidRPr="00DD3825" w:rsidTr="00461123">
        <w:tc>
          <w:tcPr>
            <w:tcW w:w="5000" w:type="pct"/>
            <w:tcMar>
              <w:top w:w="0" w:type="dxa"/>
              <w:left w:w="108" w:type="dxa"/>
              <w:bottom w:w="0" w:type="dxa"/>
              <w:right w:w="108" w:type="dxa"/>
            </w:tcMar>
            <w:hideMark/>
          </w:tcPr>
          <w:p w:rsidR="00053D13" w:rsidRPr="00DD3825" w:rsidRDefault="00053D13" w:rsidP="00461123">
            <w:pPr>
              <w:rPr>
                <w:rFonts w:eastAsiaTheme="minorHAnsi" w:cs="Arial"/>
                <w:b/>
                <w:bCs/>
                <w:szCs w:val="22"/>
              </w:rPr>
            </w:pPr>
            <w:r w:rsidRPr="00DD3825">
              <w:rPr>
                <w:b/>
                <w:bCs/>
              </w:rPr>
              <w:t>Grant Brohard</w:t>
            </w:r>
          </w:p>
          <w:p w:rsidR="00053D13" w:rsidRPr="00DD3825" w:rsidRDefault="00053D13" w:rsidP="00461123">
            <w:pPr>
              <w:rPr>
                <w:rFonts w:eastAsiaTheme="minorHAnsi" w:cs="Arial"/>
                <w:szCs w:val="22"/>
              </w:rPr>
            </w:pPr>
            <w:r w:rsidRPr="00DD3825">
              <w:t>Manager, Technical Product Support</w:t>
            </w:r>
          </w:p>
        </w:tc>
      </w:tr>
      <w:tr w:rsidR="00053D13" w:rsidRPr="00DD3825" w:rsidTr="00461123">
        <w:tc>
          <w:tcPr>
            <w:tcW w:w="5000" w:type="pct"/>
            <w:tcMar>
              <w:top w:w="0" w:type="dxa"/>
              <w:left w:w="108" w:type="dxa"/>
              <w:bottom w:w="0" w:type="dxa"/>
              <w:right w:w="108" w:type="dxa"/>
            </w:tcMar>
          </w:tcPr>
          <w:p w:rsidR="00053D13" w:rsidRPr="00DD3825" w:rsidRDefault="00053D13" w:rsidP="00461123">
            <w:pPr>
              <w:rPr>
                <w:rFonts w:eastAsiaTheme="minorHAnsi" w:cs="Arial"/>
                <w:b/>
                <w:bCs/>
                <w:szCs w:val="22"/>
              </w:rPr>
            </w:pPr>
          </w:p>
          <w:p w:rsidR="00053D13" w:rsidRPr="00DD3825" w:rsidRDefault="00053D13" w:rsidP="00461123">
            <w:pPr>
              <w:rPr>
                <w:b/>
                <w:bCs/>
              </w:rPr>
            </w:pPr>
            <w:r w:rsidRPr="00DD3825">
              <w:rPr>
                <w:b/>
                <w:bCs/>
              </w:rPr>
              <w:t>_____________________</w:t>
            </w:r>
          </w:p>
          <w:p w:rsidR="00053D13" w:rsidRPr="00DD3825" w:rsidRDefault="00053D13" w:rsidP="00461123"/>
          <w:p w:rsidR="00053D13" w:rsidRPr="00DD3825" w:rsidRDefault="00053D13" w:rsidP="00461123">
            <w:pPr>
              <w:rPr>
                <w:b/>
                <w:bCs/>
              </w:rPr>
            </w:pPr>
          </w:p>
          <w:p w:rsidR="00053D13" w:rsidRPr="00DD3825" w:rsidRDefault="00053D13" w:rsidP="00461123">
            <w:pPr>
              <w:rPr>
                <w:rFonts w:eastAsiaTheme="minorHAnsi" w:cs="Arial"/>
                <w:szCs w:val="22"/>
              </w:rPr>
            </w:pPr>
          </w:p>
        </w:tc>
      </w:tr>
      <w:tr w:rsidR="00053D13" w:rsidRPr="00DD3825" w:rsidTr="00461123">
        <w:tc>
          <w:tcPr>
            <w:tcW w:w="5000" w:type="pct"/>
            <w:tcMar>
              <w:top w:w="0" w:type="dxa"/>
              <w:left w:w="108" w:type="dxa"/>
              <w:bottom w:w="0" w:type="dxa"/>
              <w:right w:w="108" w:type="dxa"/>
            </w:tcMar>
          </w:tcPr>
          <w:p w:rsidR="00053D13" w:rsidRPr="00DD3825" w:rsidRDefault="00053D13" w:rsidP="00461123">
            <w:pPr>
              <w:rPr>
                <w:rFonts w:eastAsiaTheme="minorHAnsi" w:cs="Arial"/>
                <w:b/>
                <w:bCs/>
                <w:szCs w:val="22"/>
              </w:rPr>
            </w:pPr>
            <w:r>
              <w:rPr>
                <w:rFonts w:eastAsiaTheme="minorHAnsi" w:cs="Arial"/>
                <w:b/>
                <w:bCs/>
                <w:szCs w:val="22"/>
              </w:rPr>
              <w:t>Carolyn Weiner</w:t>
            </w:r>
          </w:p>
          <w:p w:rsidR="00053D13" w:rsidRPr="00710BAA" w:rsidRDefault="00053D13" w:rsidP="00461123">
            <w:pPr>
              <w:rPr>
                <w:rFonts w:eastAsiaTheme="minorHAnsi" w:cs="Arial"/>
                <w:b/>
                <w:bCs/>
                <w:szCs w:val="22"/>
              </w:rPr>
            </w:pPr>
            <w:r w:rsidRPr="00710BAA">
              <w:t>Manager, Products and Programs</w:t>
            </w:r>
          </w:p>
        </w:tc>
      </w:tr>
      <w:tr w:rsidR="00053D13" w:rsidRPr="00DD3825" w:rsidTr="00461123">
        <w:tc>
          <w:tcPr>
            <w:tcW w:w="5000" w:type="pct"/>
            <w:tcMar>
              <w:top w:w="0" w:type="dxa"/>
              <w:left w:w="108" w:type="dxa"/>
              <w:bottom w:w="0" w:type="dxa"/>
              <w:right w:w="108" w:type="dxa"/>
            </w:tcMar>
          </w:tcPr>
          <w:p w:rsidR="00053D13" w:rsidRPr="00DD3825" w:rsidRDefault="00053D13" w:rsidP="00461123">
            <w:pPr>
              <w:rPr>
                <w:rFonts w:eastAsiaTheme="minorHAnsi" w:cs="Arial"/>
                <w:b/>
                <w:bCs/>
                <w:szCs w:val="22"/>
              </w:rPr>
            </w:pPr>
          </w:p>
          <w:p w:rsidR="00053D13" w:rsidRPr="00710BAA" w:rsidRDefault="00053D13" w:rsidP="00461123">
            <w:pPr>
              <w:rPr>
                <w:rFonts w:eastAsiaTheme="minorHAnsi" w:cs="Arial"/>
                <w:b/>
                <w:bCs/>
                <w:szCs w:val="22"/>
              </w:rPr>
            </w:pPr>
            <w:r w:rsidRPr="00710BAA">
              <w:rPr>
                <w:b/>
                <w:bCs/>
              </w:rPr>
              <w:t>_____________________</w:t>
            </w:r>
          </w:p>
          <w:p w:rsidR="00053D13" w:rsidRPr="00710BAA" w:rsidRDefault="00053D13" w:rsidP="00461123">
            <w:pPr>
              <w:rPr>
                <w:rFonts w:eastAsiaTheme="minorHAnsi" w:cs="Arial"/>
                <w:b/>
                <w:bCs/>
                <w:szCs w:val="22"/>
              </w:rPr>
            </w:pPr>
          </w:p>
          <w:p w:rsidR="00053D13" w:rsidRPr="00710BAA" w:rsidRDefault="00053D13" w:rsidP="00461123">
            <w:pPr>
              <w:rPr>
                <w:rFonts w:eastAsiaTheme="minorHAnsi" w:cs="Arial"/>
                <w:b/>
                <w:bCs/>
                <w:szCs w:val="22"/>
              </w:rPr>
            </w:pPr>
          </w:p>
          <w:p w:rsidR="00053D13" w:rsidRPr="00710BAA" w:rsidRDefault="00053D13" w:rsidP="00461123">
            <w:pPr>
              <w:rPr>
                <w:rFonts w:eastAsiaTheme="minorHAnsi" w:cs="Arial"/>
                <w:b/>
                <w:bCs/>
                <w:szCs w:val="22"/>
              </w:rPr>
            </w:pPr>
          </w:p>
        </w:tc>
      </w:tr>
    </w:tbl>
    <w:p w:rsidR="005D4BEA" w:rsidRPr="00DD3825" w:rsidRDefault="005D4BEA" w:rsidP="005D4BEA">
      <w:pPr>
        <w:rPr>
          <w:rFonts w:cs="Arial"/>
          <w:b/>
          <w:i/>
        </w:rPr>
      </w:pPr>
      <w:bookmarkStart w:id="4" w:name="_GoBack"/>
      <w:bookmarkEnd w:id="4"/>
    </w:p>
    <w:p w:rsidR="005D4BEA" w:rsidRPr="00DD3825" w:rsidRDefault="005D4BEA" w:rsidP="005D4BEA">
      <w:pPr>
        <w:rPr>
          <w:rFonts w:cs="Arial"/>
          <w:b/>
          <w:i/>
        </w:rPr>
      </w:pPr>
    </w:p>
    <w:p w:rsidR="005D4BEA" w:rsidRPr="00DD3825" w:rsidRDefault="005D4BEA" w:rsidP="005D4BEA">
      <w:pPr>
        <w:rPr>
          <w:rFonts w:cs="Arial"/>
          <w:b/>
          <w:i/>
        </w:rPr>
      </w:pPr>
    </w:p>
    <w:p w:rsidR="005D4BEA" w:rsidRPr="00DD3825" w:rsidRDefault="005D4BEA" w:rsidP="005D4BEA">
      <w:pPr>
        <w:rPr>
          <w:rFonts w:cs="Arial"/>
          <w:b/>
          <w:i/>
        </w:rPr>
      </w:pPr>
    </w:p>
    <w:p w:rsidR="005D4BEA" w:rsidRPr="00DD3825" w:rsidRDefault="005D4BEA" w:rsidP="005D4BEA">
      <w:pPr>
        <w:rPr>
          <w:rFonts w:cs="Arial"/>
          <w:b/>
          <w:i/>
        </w:rPr>
        <w:sectPr w:rsidR="005D4BEA" w:rsidRPr="00DD3825" w:rsidSect="00362199">
          <w:headerReference w:type="even" r:id="rId9"/>
          <w:headerReference w:type="default" r:id="rId10"/>
          <w:footerReference w:type="even" r:id="rId11"/>
          <w:footerReference w:type="default" r:id="rId12"/>
          <w:footerReference w:type="first" r:id="rId13"/>
          <w:endnotePr>
            <w:numFmt w:val="decimal"/>
          </w:endnotePr>
          <w:pgSz w:w="12240" w:h="15840" w:code="1"/>
          <w:pgMar w:top="1440" w:right="1800" w:bottom="1440" w:left="1800" w:header="720" w:footer="720" w:gutter="0"/>
          <w:pgNumType w:fmt="lowerRoman"/>
          <w:cols w:space="720"/>
          <w:titlePg/>
          <w:docGrid w:linePitch="360"/>
        </w:sectPr>
      </w:pPr>
    </w:p>
    <w:p w:rsidR="005D4BEA" w:rsidRPr="00DD3825" w:rsidRDefault="005D4BEA" w:rsidP="005D4BEA">
      <w:pPr>
        <w:pStyle w:val="Heading1"/>
      </w:pPr>
    </w:p>
    <w:p w:rsidR="00DA690B" w:rsidRPr="00697868" w:rsidRDefault="00DA690B" w:rsidP="00DA690B">
      <w:pPr>
        <w:jc w:val="right"/>
        <w:rPr>
          <w:rFonts w:cstheme="minorHAnsi"/>
          <w:b/>
          <w:sz w:val="48"/>
          <w:szCs w:val="48"/>
        </w:rPr>
      </w:pPr>
      <w:r w:rsidRPr="00697868">
        <w:rPr>
          <w:rFonts w:cstheme="minorHAnsi"/>
          <w:b/>
          <w:sz w:val="48"/>
          <w:szCs w:val="48"/>
        </w:rPr>
        <w:t xml:space="preserve">Work Paper </w:t>
      </w:r>
      <w:bookmarkEnd w:id="0"/>
      <w:r w:rsidR="00B26B83" w:rsidRPr="00697868">
        <w:rPr>
          <w:rFonts w:cstheme="minorHAnsi"/>
          <w:b/>
          <w:sz w:val="48"/>
          <w:szCs w:val="48"/>
        </w:rPr>
        <w:t>SCE</w:t>
      </w:r>
      <w:r w:rsidR="00290ED8" w:rsidRPr="00697868">
        <w:rPr>
          <w:rFonts w:cstheme="minorHAnsi"/>
          <w:b/>
          <w:sz w:val="48"/>
          <w:szCs w:val="48"/>
        </w:rPr>
        <w:t>15</w:t>
      </w:r>
      <w:r w:rsidR="00F467AA">
        <w:rPr>
          <w:rFonts w:cstheme="minorHAnsi"/>
          <w:b/>
          <w:sz w:val="48"/>
          <w:szCs w:val="48"/>
        </w:rPr>
        <w:t>HC040</w:t>
      </w:r>
    </w:p>
    <w:p w:rsidR="00DA690B" w:rsidRPr="00697868" w:rsidRDefault="00DA690B" w:rsidP="00DA690B">
      <w:pPr>
        <w:jc w:val="right"/>
        <w:rPr>
          <w:rFonts w:cstheme="minorHAnsi"/>
          <w:b/>
          <w:sz w:val="48"/>
          <w:szCs w:val="48"/>
        </w:rPr>
      </w:pPr>
      <w:bookmarkStart w:id="5" w:name="_Toc153189647"/>
      <w:r w:rsidRPr="00697868">
        <w:rPr>
          <w:rFonts w:cstheme="minorHAnsi"/>
          <w:b/>
          <w:sz w:val="48"/>
          <w:szCs w:val="48"/>
        </w:rPr>
        <w:t>Revision</w:t>
      </w:r>
      <w:bookmarkEnd w:id="5"/>
      <w:r w:rsidRPr="00697868">
        <w:rPr>
          <w:rFonts w:cstheme="minorHAnsi"/>
          <w:b/>
          <w:sz w:val="48"/>
          <w:szCs w:val="48"/>
        </w:rPr>
        <w:t xml:space="preserve"> </w:t>
      </w:r>
      <w:r w:rsidR="00754E7F">
        <w:rPr>
          <w:rFonts w:cstheme="minorHAnsi"/>
          <w:b/>
          <w:sz w:val="48"/>
          <w:szCs w:val="48"/>
        </w:rPr>
        <w:t>1</w:t>
      </w:r>
    </w:p>
    <w:p w:rsidR="00DA690B" w:rsidRPr="00697868" w:rsidRDefault="00DA690B" w:rsidP="00DA690B">
      <w:pPr>
        <w:rPr>
          <w:rFonts w:cstheme="minorHAnsi"/>
        </w:rPr>
      </w:pPr>
    </w:p>
    <w:p w:rsidR="00DA690B" w:rsidRPr="00697868" w:rsidRDefault="00DA690B" w:rsidP="00DA690B">
      <w:pPr>
        <w:rPr>
          <w:rFonts w:cstheme="minorHAnsi"/>
        </w:rPr>
      </w:pPr>
    </w:p>
    <w:p w:rsidR="00DA690B" w:rsidRPr="00697868" w:rsidRDefault="00DA690B" w:rsidP="00DA690B">
      <w:pPr>
        <w:rPr>
          <w:rFonts w:cstheme="minorHAnsi"/>
        </w:rPr>
      </w:pPr>
    </w:p>
    <w:p w:rsidR="00DA690B" w:rsidRPr="00697868" w:rsidRDefault="00DA690B" w:rsidP="00DA690B">
      <w:pPr>
        <w:rPr>
          <w:rFonts w:cstheme="minorHAnsi"/>
        </w:rPr>
      </w:pPr>
    </w:p>
    <w:p w:rsidR="00DA690B" w:rsidRPr="00697868" w:rsidRDefault="00DA690B" w:rsidP="00DA690B">
      <w:pPr>
        <w:pBdr>
          <w:bottom w:val="single" w:sz="4" w:space="1" w:color="auto"/>
        </w:pBdr>
        <w:rPr>
          <w:rFonts w:cstheme="minorHAnsi"/>
          <w:b/>
          <w:sz w:val="36"/>
          <w:szCs w:val="36"/>
        </w:rPr>
      </w:pPr>
      <w:r w:rsidRPr="00697868">
        <w:rPr>
          <w:rFonts w:cstheme="minorHAnsi"/>
          <w:b/>
          <w:sz w:val="36"/>
          <w:szCs w:val="36"/>
        </w:rPr>
        <w:t>Southern California Edison Company</w:t>
      </w:r>
    </w:p>
    <w:p w:rsidR="00DA690B" w:rsidRPr="00697868" w:rsidRDefault="00DA690B" w:rsidP="00DA690B">
      <w:pPr>
        <w:rPr>
          <w:rFonts w:cstheme="minorHAnsi"/>
        </w:rPr>
      </w:pPr>
    </w:p>
    <w:p w:rsidR="00DA690B" w:rsidRPr="00697868" w:rsidRDefault="00DA690B" w:rsidP="00DA690B">
      <w:pPr>
        <w:rPr>
          <w:rFonts w:cstheme="minorHAnsi"/>
        </w:rPr>
      </w:pPr>
    </w:p>
    <w:p w:rsidR="00DA690B" w:rsidRPr="00697868" w:rsidRDefault="009D0753" w:rsidP="009D0753">
      <w:pPr>
        <w:tabs>
          <w:tab w:val="left" w:pos="8190"/>
        </w:tabs>
        <w:rPr>
          <w:rFonts w:cstheme="minorHAnsi"/>
        </w:rPr>
      </w:pPr>
      <w:r w:rsidRPr="00697868">
        <w:rPr>
          <w:rFonts w:cstheme="minorHAnsi"/>
        </w:rPr>
        <w:tab/>
      </w:r>
    </w:p>
    <w:p w:rsidR="00DA690B" w:rsidRPr="00697868" w:rsidRDefault="00DA690B" w:rsidP="00DA690B">
      <w:pPr>
        <w:rPr>
          <w:rFonts w:cstheme="minorHAnsi"/>
        </w:rPr>
      </w:pPr>
    </w:p>
    <w:p w:rsidR="00DA690B" w:rsidRPr="00697868" w:rsidRDefault="00DA690B" w:rsidP="00DA690B">
      <w:pPr>
        <w:rPr>
          <w:rFonts w:cstheme="minorHAnsi"/>
        </w:rPr>
      </w:pPr>
    </w:p>
    <w:p w:rsidR="00DA690B" w:rsidRPr="00697868" w:rsidRDefault="00DA690B" w:rsidP="00DA690B">
      <w:pPr>
        <w:rPr>
          <w:rFonts w:cstheme="minorHAnsi"/>
        </w:rPr>
      </w:pPr>
    </w:p>
    <w:p w:rsidR="00DA690B" w:rsidRPr="00697868" w:rsidRDefault="00DA690B" w:rsidP="00DA690B">
      <w:pPr>
        <w:rPr>
          <w:rFonts w:cstheme="minorHAnsi"/>
        </w:rPr>
      </w:pPr>
    </w:p>
    <w:p w:rsidR="00DA690B" w:rsidRPr="00697868" w:rsidRDefault="00DA690B" w:rsidP="00DA690B">
      <w:pPr>
        <w:rPr>
          <w:rFonts w:cstheme="minorHAnsi"/>
        </w:rPr>
      </w:pPr>
    </w:p>
    <w:p w:rsidR="00DA690B" w:rsidRPr="00697868" w:rsidRDefault="00F467AA" w:rsidP="00DA690B">
      <w:pPr>
        <w:rPr>
          <w:rFonts w:cstheme="minorHAnsi"/>
          <w:b/>
          <w:sz w:val="72"/>
          <w:szCs w:val="72"/>
        </w:rPr>
      </w:pPr>
      <w:r w:rsidRPr="00F467AA">
        <w:rPr>
          <w:rFonts w:cstheme="minorHAnsi"/>
          <w:b/>
          <w:sz w:val="72"/>
          <w:szCs w:val="72"/>
        </w:rPr>
        <w:t>Cogged V-Belt Non-Residential HVAC Fans</w:t>
      </w:r>
    </w:p>
    <w:p w:rsidR="00DA690B" w:rsidRPr="00697868" w:rsidRDefault="00DA690B" w:rsidP="00DA690B">
      <w:pPr>
        <w:pStyle w:val="reminders0"/>
        <w:rPr>
          <w:rFonts w:asciiTheme="minorHAnsi" w:hAnsiTheme="minorHAnsi" w:cstheme="minorHAnsi"/>
          <w:szCs w:val="22"/>
        </w:rPr>
      </w:pPr>
    </w:p>
    <w:p w:rsidR="00DA690B" w:rsidRPr="00697868" w:rsidRDefault="00DA690B" w:rsidP="00EB34FC">
      <w:pPr>
        <w:pStyle w:val="reminders0"/>
        <w:rPr>
          <w:rFonts w:asciiTheme="minorHAnsi" w:hAnsiTheme="minorHAnsi" w:cstheme="minorHAnsi"/>
          <w:szCs w:val="22"/>
        </w:rPr>
      </w:pPr>
    </w:p>
    <w:p w:rsidR="00DA690B" w:rsidRPr="00697868" w:rsidRDefault="00DA690B" w:rsidP="003E2640">
      <w:pPr>
        <w:pStyle w:val="Reminders"/>
        <w:rPr>
          <w:rFonts w:asciiTheme="minorHAnsi" w:hAnsiTheme="minorHAnsi" w:cstheme="minorHAnsi"/>
          <w:szCs w:val="22"/>
        </w:rPr>
      </w:pPr>
    </w:p>
    <w:p w:rsidR="00EB34FC" w:rsidRPr="00697868" w:rsidRDefault="00EB34FC" w:rsidP="00EB34FC">
      <w:pPr>
        <w:rPr>
          <w:rFonts w:cstheme="minorHAnsi"/>
          <w:szCs w:val="22"/>
        </w:rPr>
      </w:pPr>
    </w:p>
    <w:p w:rsidR="00EB34FC" w:rsidRPr="00697868" w:rsidRDefault="00EB34FC" w:rsidP="00DA690B">
      <w:pPr>
        <w:rPr>
          <w:rFonts w:cstheme="minorHAnsi"/>
          <w:szCs w:val="22"/>
        </w:rPr>
        <w:sectPr w:rsidR="00EB34FC" w:rsidRPr="00697868" w:rsidSect="003C175E">
          <w:footerReference w:type="default" r:id="rId14"/>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6" w:name="_Toc304800192"/>
      <w:bookmarkStart w:id="7" w:name="_Toc324318330"/>
      <w:bookmarkStart w:id="8" w:name="_Toc324340474"/>
      <w:bookmarkStart w:id="9" w:name="_Toc324433427"/>
      <w:r w:rsidRPr="00697868">
        <w:rPr>
          <w:rFonts w:asciiTheme="minorHAnsi" w:hAnsiTheme="minorHAnsi"/>
        </w:rPr>
        <w:lastRenderedPageBreak/>
        <w:t>At-a-Glance Summary</w:t>
      </w:r>
      <w:bookmarkEnd w:id="6"/>
      <w:bookmarkEnd w:id="7"/>
      <w:bookmarkEnd w:id="8"/>
      <w:bookmarkEnd w:id="9"/>
    </w:p>
    <w:tbl>
      <w:tblPr>
        <w:tblStyle w:val="TableContemporary"/>
        <w:tblW w:w="9648" w:type="dxa"/>
        <w:tblLook w:val="01E0" w:firstRow="1" w:lastRow="1" w:firstColumn="1" w:lastColumn="1" w:noHBand="0" w:noVBand="0"/>
      </w:tblPr>
      <w:tblGrid>
        <w:gridCol w:w="3618"/>
        <w:gridCol w:w="6030"/>
      </w:tblGrid>
      <w:tr w:rsidR="00AC5309" w:rsidRPr="00E86496"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4C6459" w:rsidRDefault="00AC5309" w:rsidP="009824E9">
            <w:pPr>
              <w:rPr>
                <w:rStyle w:val="Strong"/>
                <w:rFonts w:asciiTheme="minorHAnsi" w:hAnsiTheme="minorHAnsi"/>
                <w:b/>
              </w:rPr>
            </w:pPr>
            <w:r w:rsidRPr="004C6459">
              <w:rPr>
                <w:rStyle w:val="Strong"/>
                <w:rFonts w:asciiTheme="minorHAnsi" w:hAnsiTheme="minorHAnsi"/>
                <w:b/>
              </w:rPr>
              <w:t>Applicable Measure Codes:</w:t>
            </w:r>
          </w:p>
        </w:tc>
        <w:tc>
          <w:tcPr>
            <w:tcW w:w="6030" w:type="dxa"/>
          </w:tcPr>
          <w:p w:rsidR="00AC5309" w:rsidRPr="00E86496" w:rsidRDefault="008302E8" w:rsidP="00421C4D">
            <w:pPr>
              <w:rPr>
                <w:rFonts w:asciiTheme="minorHAnsi" w:hAnsiTheme="minorHAnsi" w:cstheme="minorHAnsi"/>
                <w:b w:val="0"/>
                <w:bCs w:val="0"/>
                <w:szCs w:val="20"/>
              </w:rPr>
            </w:pPr>
            <w:r w:rsidRPr="00E86496">
              <w:rPr>
                <w:rFonts w:asciiTheme="minorHAnsi" w:hAnsiTheme="minorHAnsi" w:cstheme="minorHAnsi"/>
                <w:b w:val="0"/>
                <w:bCs w:val="0"/>
                <w:szCs w:val="20"/>
              </w:rPr>
              <w:t>SA13, SA14, SA15</w:t>
            </w:r>
            <w:r w:rsidR="00AC5309" w:rsidRPr="00E86496">
              <w:rPr>
                <w:rFonts w:asciiTheme="minorHAnsi" w:hAnsiTheme="minorHAnsi" w:cstheme="minorHAnsi"/>
                <w:b w:val="0"/>
                <w:bCs w:val="0"/>
                <w:szCs w:val="20"/>
              </w:rPr>
              <w:t xml:space="preserve"> </w:t>
            </w:r>
          </w:p>
        </w:tc>
      </w:tr>
      <w:tr w:rsidR="008302E8" w:rsidRPr="00E86496"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8302E8" w:rsidRPr="004C6459" w:rsidRDefault="008302E8" w:rsidP="009824E9">
            <w:pPr>
              <w:rPr>
                <w:rStyle w:val="Strong"/>
                <w:rFonts w:asciiTheme="minorHAnsi" w:hAnsiTheme="minorHAnsi"/>
              </w:rPr>
            </w:pPr>
            <w:r w:rsidRPr="004C6459">
              <w:rPr>
                <w:rStyle w:val="Strong"/>
                <w:rFonts w:asciiTheme="minorHAnsi" w:hAnsiTheme="minorHAnsi"/>
              </w:rPr>
              <w:t xml:space="preserve">Measure Description: </w:t>
            </w:r>
          </w:p>
        </w:tc>
        <w:tc>
          <w:tcPr>
            <w:tcW w:w="6030" w:type="dxa"/>
          </w:tcPr>
          <w:p w:rsidR="008302E8" w:rsidRPr="00E86496" w:rsidRDefault="008302E8" w:rsidP="00421C4D">
            <w:pPr>
              <w:rPr>
                <w:rFonts w:asciiTheme="minorHAnsi" w:hAnsiTheme="minorHAnsi" w:cstheme="minorHAnsi"/>
                <w:szCs w:val="20"/>
              </w:rPr>
            </w:pPr>
            <w:r w:rsidRPr="00E86496">
              <w:rPr>
                <w:rFonts w:asciiTheme="minorHAnsi" w:hAnsiTheme="minorHAnsi" w:cstheme="minorHAnsi"/>
                <w:szCs w:val="20"/>
              </w:rPr>
              <w:t>The replacement of smooth V-belts in non-residential package rooftop HVAC systems with cogged V-belts</w:t>
            </w:r>
          </w:p>
        </w:tc>
      </w:tr>
      <w:tr w:rsidR="008302E8" w:rsidRPr="00E86496"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8302E8" w:rsidRPr="004C6459" w:rsidRDefault="008302E8" w:rsidP="009824E9">
            <w:pPr>
              <w:rPr>
                <w:rStyle w:val="Strong"/>
                <w:rFonts w:asciiTheme="minorHAnsi" w:hAnsiTheme="minorHAnsi"/>
              </w:rPr>
            </w:pPr>
            <w:r w:rsidRPr="004C6459">
              <w:rPr>
                <w:rStyle w:val="Strong"/>
                <w:rFonts w:asciiTheme="minorHAnsi" w:hAnsiTheme="minorHAnsi"/>
              </w:rPr>
              <w:t>Base Case Description:</w:t>
            </w:r>
          </w:p>
        </w:tc>
        <w:tc>
          <w:tcPr>
            <w:tcW w:w="6030" w:type="dxa"/>
          </w:tcPr>
          <w:p w:rsidR="008302E8" w:rsidRPr="00E86496" w:rsidRDefault="008302E8" w:rsidP="00421C4D">
            <w:pPr>
              <w:rPr>
                <w:rFonts w:asciiTheme="minorHAnsi" w:hAnsiTheme="minorHAnsi" w:cstheme="minorHAnsi"/>
                <w:szCs w:val="20"/>
              </w:rPr>
            </w:pPr>
            <w:r w:rsidRPr="00E86496">
              <w:rPr>
                <w:rFonts w:asciiTheme="minorHAnsi" w:hAnsiTheme="minorHAnsi" w:cstheme="minorHAnsi"/>
                <w:szCs w:val="20"/>
              </w:rPr>
              <w:t>Typical existing smooth fan belts</w:t>
            </w:r>
          </w:p>
        </w:tc>
      </w:tr>
      <w:tr w:rsidR="00696E95" w:rsidRPr="00E86496"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696E95" w:rsidRPr="004C6459" w:rsidRDefault="00696E95" w:rsidP="003718E1">
            <w:pPr>
              <w:rPr>
                <w:rStyle w:val="Strong"/>
                <w:rFonts w:asciiTheme="minorHAnsi" w:hAnsiTheme="minorHAnsi"/>
              </w:rPr>
            </w:pPr>
            <w:r w:rsidRPr="004C6459">
              <w:rPr>
                <w:rStyle w:val="Strong"/>
                <w:rFonts w:asciiTheme="minorHAnsi" w:hAnsiTheme="minorHAnsi"/>
              </w:rPr>
              <w:t xml:space="preserve">Energy Impact Common Units: </w:t>
            </w:r>
          </w:p>
        </w:tc>
        <w:tc>
          <w:tcPr>
            <w:tcW w:w="6030" w:type="dxa"/>
          </w:tcPr>
          <w:p w:rsidR="00696E95" w:rsidRPr="00E86496" w:rsidRDefault="00696E95" w:rsidP="00421C4D">
            <w:pPr>
              <w:rPr>
                <w:rFonts w:asciiTheme="minorHAnsi" w:hAnsiTheme="minorHAnsi" w:cstheme="minorHAnsi"/>
                <w:szCs w:val="20"/>
              </w:rPr>
            </w:pPr>
            <w:r w:rsidRPr="00E86496">
              <w:rPr>
                <w:rFonts w:asciiTheme="minorHAnsi" w:hAnsiTheme="minorHAnsi" w:cstheme="minorHAnsi"/>
                <w:szCs w:val="20"/>
              </w:rPr>
              <w:t>kW/ton, kWh/ton</w:t>
            </w:r>
          </w:p>
        </w:tc>
      </w:tr>
      <w:tr w:rsidR="00290ED8" w:rsidRPr="00E86496"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4C6459" w:rsidRDefault="00290ED8" w:rsidP="009824E9">
            <w:pPr>
              <w:rPr>
                <w:rStyle w:val="Strong1"/>
                <w:rFonts w:asciiTheme="minorHAnsi" w:hAnsiTheme="minorHAnsi"/>
                <w:sz w:val="22"/>
              </w:rPr>
            </w:pPr>
            <w:r w:rsidRPr="004C6459">
              <w:rPr>
                <w:rStyle w:val="Strong"/>
                <w:rFonts w:asciiTheme="minorHAnsi" w:hAnsiTheme="minorHAnsi"/>
              </w:rPr>
              <w:t>Energy Savings :</w:t>
            </w:r>
          </w:p>
        </w:tc>
        <w:tc>
          <w:tcPr>
            <w:tcW w:w="6030" w:type="dxa"/>
          </w:tcPr>
          <w:p w:rsidR="00290ED8" w:rsidRPr="00E86496" w:rsidRDefault="00D36798" w:rsidP="00421C4D">
            <w:pPr>
              <w:rPr>
                <w:rFonts w:asciiTheme="minorHAnsi" w:hAnsiTheme="minorHAnsi" w:cstheme="minorHAnsi"/>
                <w:szCs w:val="20"/>
              </w:rPr>
            </w:pPr>
            <w:r w:rsidRPr="00E86496">
              <w:rPr>
                <w:rFonts w:asciiTheme="minorHAnsi" w:hAnsiTheme="minorHAnsi" w:cstheme="minorHAnsi"/>
                <w:szCs w:val="20"/>
              </w:rPr>
              <w:t>Refer to Excel Calculation Attachment</w:t>
            </w:r>
          </w:p>
        </w:tc>
      </w:tr>
      <w:tr w:rsidR="00A54707" w:rsidRPr="00E86496"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A54707" w:rsidRPr="004C6459" w:rsidRDefault="00A54707" w:rsidP="009824E9">
            <w:pPr>
              <w:rPr>
                <w:rStyle w:val="Strong"/>
                <w:rFonts w:asciiTheme="minorHAnsi" w:hAnsiTheme="minorHAnsi"/>
              </w:rPr>
            </w:pPr>
            <w:r w:rsidRPr="004C6459">
              <w:rPr>
                <w:rStyle w:val="Strong"/>
                <w:rFonts w:asciiTheme="minorHAnsi" w:hAnsiTheme="minorHAnsi"/>
              </w:rPr>
              <w:t>Gross Measure Cost ($/unit)</w:t>
            </w:r>
          </w:p>
        </w:tc>
        <w:tc>
          <w:tcPr>
            <w:tcW w:w="6030" w:type="dxa"/>
          </w:tcPr>
          <w:p w:rsidR="00A54707" w:rsidRPr="00E86496" w:rsidRDefault="00421C4D" w:rsidP="00421C4D">
            <w:pPr>
              <w:rPr>
                <w:rFonts w:asciiTheme="minorHAnsi" w:hAnsiTheme="minorHAnsi" w:cstheme="minorHAnsi"/>
                <w:szCs w:val="20"/>
              </w:rPr>
            </w:pPr>
            <w:r w:rsidRPr="00E86496">
              <w:rPr>
                <w:rFonts w:asciiTheme="minorHAnsi" w:hAnsiTheme="minorHAnsi" w:cstheme="minorHAnsi"/>
                <w:szCs w:val="20"/>
              </w:rPr>
              <w:t>This work paper does not report base case and measure costs as those costs are between the program and their contractors for direct install programs.</w:t>
            </w:r>
          </w:p>
        </w:tc>
      </w:tr>
      <w:tr w:rsidR="00A54707" w:rsidRPr="00E86496"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A54707" w:rsidRPr="004C6459" w:rsidRDefault="00A54707" w:rsidP="009824E9">
            <w:pPr>
              <w:rPr>
                <w:rStyle w:val="Strong"/>
                <w:rFonts w:asciiTheme="minorHAnsi" w:hAnsiTheme="minorHAnsi"/>
              </w:rPr>
            </w:pPr>
            <w:r w:rsidRPr="004C6459">
              <w:rPr>
                <w:rStyle w:val="Strong"/>
                <w:rFonts w:asciiTheme="minorHAnsi" w:hAnsiTheme="minorHAnsi"/>
              </w:rPr>
              <w:t xml:space="preserve">Measure Incremental Cost ($/unit): </w:t>
            </w:r>
          </w:p>
        </w:tc>
        <w:tc>
          <w:tcPr>
            <w:tcW w:w="6030" w:type="dxa"/>
          </w:tcPr>
          <w:p w:rsidR="00A54707" w:rsidRPr="00E86496" w:rsidRDefault="00421C4D" w:rsidP="00421C4D">
            <w:pPr>
              <w:rPr>
                <w:rFonts w:asciiTheme="minorHAnsi" w:hAnsiTheme="minorHAnsi" w:cstheme="minorHAnsi"/>
                <w:szCs w:val="20"/>
              </w:rPr>
            </w:pPr>
            <w:r w:rsidRPr="00E86496">
              <w:rPr>
                <w:rFonts w:asciiTheme="minorHAnsi" w:hAnsiTheme="minorHAnsi" w:cstheme="minorHAnsi"/>
                <w:szCs w:val="20"/>
              </w:rPr>
              <w:t>This work paper does not report base case and measure costs as those costs are between the program and their contractors for direct install programs.</w:t>
            </w:r>
          </w:p>
        </w:tc>
      </w:tr>
      <w:tr w:rsidR="00696E95" w:rsidRPr="00E86496"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696E95" w:rsidRPr="004C6459" w:rsidRDefault="00696E95" w:rsidP="009824E9">
            <w:pPr>
              <w:rPr>
                <w:rStyle w:val="Strong"/>
                <w:rFonts w:asciiTheme="minorHAnsi" w:hAnsiTheme="minorHAnsi"/>
              </w:rPr>
            </w:pPr>
            <w:r w:rsidRPr="004C6459">
              <w:rPr>
                <w:rStyle w:val="Strong"/>
                <w:rFonts w:asciiTheme="minorHAnsi" w:hAnsiTheme="minorHAnsi"/>
              </w:rPr>
              <w:t xml:space="preserve">Effective Useful Life (years): </w:t>
            </w:r>
          </w:p>
        </w:tc>
        <w:tc>
          <w:tcPr>
            <w:tcW w:w="6030" w:type="dxa"/>
          </w:tcPr>
          <w:p w:rsidR="00696E95" w:rsidRPr="00E86496" w:rsidRDefault="00696E95" w:rsidP="00421C4D">
            <w:pPr>
              <w:rPr>
                <w:rFonts w:asciiTheme="minorHAnsi" w:hAnsiTheme="minorHAnsi" w:cstheme="minorHAnsi"/>
                <w:szCs w:val="20"/>
              </w:rPr>
            </w:pPr>
            <w:r w:rsidRPr="00E86496">
              <w:rPr>
                <w:rFonts w:asciiTheme="minorHAnsi" w:hAnsiTheme="minorHAnsi" w:cstheme="minorHAnsi"/>
                <w:szCs w:val="20"/>
              </w:rPr>
              <w:t>2.7</w:t>
            </w:r>
            <w:r w:rsidR="00A54707" w:rsidRPr="00E86496">
              <w:rPr>
                <w:rFonts w:asciiTheme="minorHAnsi" w:hAnsiTheme="minorHAnsi" w:cstheme="minorHAnsi"/>
                <w:szCs w:val="20"/>
              </w:rPr>
              <w:t xml:space="preserve"> to </w:t>
            </w:r>
            <w:r w:rsidRPr="00E86496">
              <w:rPr>
                <w:rFonts w:asciiTheme="minorHAnsi" w:hAnsiTheme="minorHAnsi" w:cstheme="minorHAnsi"/>
                <w:szCs w:val="20"/>
              </w:rPr>
              <w:t>5 years, depending on building type</w:t>
            </w:r>
          </w:p>
        </w:tc>
      </w:tr>
      <w:tr w:rsidR="00AC5309" w:rsidRPr="00E86496"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4C6459" w:rsidRDefault="00290ED8" w:rsidP="009824E9">
            <w:pPr>
              <w:rPr>
                <w:rStyle w:val="Strong"/>
                <w:rFonts w:asciiTheme="minorHAnsi" w:hAnsiTheme="minorHAnsi"/>
              </w:rPr>
            </w:pPr>
            <w:r w:rsidRPr="004C6459">
              <w:rPr>
                <w:rStyle w:val="Strong"/>
                <w:rFonts w:asciiTheme="minorHAnsi" w:hAnsiTheme="minorHAnsi"/>
              </w:rPr>
              <w:t>Measure Application Type:</w:t>
            </w:r>
          </w:p>
        </w:tc>
        <w:tc>
          <w:tcPr>
            <w:tcW w:w="6030" w:type="dxa"/>
          </w:tcPr>
          <w:p w:rsidR="00290ED8" w:rsidRPr="00E86496" w:rsidRDefault="00290ED8" w:rsidP="00421C4D">
            <w:pPr>
              <w:rPr>
                <w:rFonts w:asciiTheme="minorHAnsi" w:hAnsiTheme="minorHAnsi" w:cstheme="minorHAnsi"/>
                <w:szCs w:val="20"/>
              </w:rPr>
            </w:pPr>
            <w:r w:rsidRPr="00E86496">
              <w:rPr>
                <w:rFonts w:asciiTheme="minorHAnsi" w:hAnsiTheme="minorHAnsi" w:cstheme="minorHAnsi"/>
                <w:szCs w:val="20"/>
              </w:rPr>
              <w:t>Replace on Burnout (</w:t>
            </w:r>
            <w:r w:rsidR="00696E95" w:rsidRPr="00E86496">
              <w:rPr>
                <w:rFonts w:asciiTheme="minorHAnsi" w:hAnsiTheme="minorHAnsi" w:cstheme="minorHAnsi"/>
                <w:szCs w:val="20"/>
              </w:rPr>
              <w:t>ROB)</w:t>
            </w:r>
          </w:p>
        </w:tc>
      </w:tr>
      <w:tr w:rsidR="00696E95" w:rsidRPr="00E86496"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696E95" w:rsidRPr="004C6459" w:rsidRDefault="00696E95" w:rsidP="009824E9">
            <w:pPr>
              <w:rPr>
                <w:rStyle w:val="Strong"/>
                <w:rFonts w:asciiTheme="minorHAnsi" w:hAnsiTheme="minorHAnsi"/>
              </w:rPr>
            </w:pPr>
            <w:r w:rsidRPr="004C6459">
              <w:rPr>
                <w:rStyle w:val="Strong"/>
                <w:rFonts w:asciiTheme="minorHAnsi" w:hAnsiTheme="minorHAnsi"/>
              </w:rPr>
              <w:t xml:space="preserve">Net-to-Gross Ratios: </w:t>
            </w:r>
          </w:p>
        </w:tc>
        <w:tc>
          <w:tcPr>
            <w:tcW w:w="6030" w:type="dxa"/>
          </w:tcPr>
          <w:p w:rsidR="00696E95" w:rsidRPr="00E86496" w:rsidRDefault="00696E95" w:rsidP="00421C4D">
            <w:pPr>
              <w:rPr>
                <w:rFonts w:asciiTheme="minorHAnsi" w:hAnsiTheme="minorHAnsi" w:cstheme="minorHAnsi"/>
                <w:szCs w:val="20"/>
              </w:rPr>
            </w:pPr>
            <w:r w:rsidRPr="00E86496">
              <w:rPr>
                <w:rFonts w:asciiTheme="minorHAnsi" w:hAnsiTheme="minorHAnsi" w:cstheme="minorHAnsi"/>
                <w:szCs w:val="20"/>
              </w:rPr>
              <w:t>0.85</w:t>
            </w:r>
          </w:p>
        </w:tc>
      </w:tr>
      <w:tr w:rsidR="00696E95" w:rsidRPr="00697868" w:rsidTr="003718E1">
        <w:trPr>
          <w:cnfStyle w:val="000000010000" w:firstRow="0" w:lastRow="0" w:firstColumn="0" w:lastColumn="0" w:oddVBand="0" w:evenVBand="0" w:oddHBand="0" w:evenHBand="1" w:firstRowFirstColumn="0" w:firstRowLastColumn="0" w:lastRowFirstColumn="0" w:lastRowLastColumn="0"/>
          <w:trHeight w:val="465"/>
        </w:trPr>
        <w:tc>
          <w:tcPr>
            <w:tcW w:w="9648" w:type="dxa"/>
            <w:gridSpan w:val="2"/>
          </w:tcPr>
          <w:p w:rsidR="00696E95" w:rsidRPr="00C77DC3" w:rsidRDefault="00696E95" w:rsidP="00053D13">
            <w:pPr>
              <w:rPr>
                <w:rFonts w:ascii="Arial" w:hAnsi="Arial" w:cs="Arial"/>
                <w:sz w:val="22"/>
                <w:szCs w:val="22"/>
              </w:rPr>
            </w:pPr>
            <w:r w:rsidRPr="00E86496">
              <w:rPr>
                <w:rStyle w:val="Strong"/>
                <w:rFonts w:asciiTheme="minorHAnsi" w:hAnsiTheme="minorHAnsi"/>
              </w:rPr>
              <w:t>Important Comments:</w:t>
            </w:r>
            <w:r w:rsidRPr="004C6459">
              <w:rPr>
                <w:b/>
              </w:rPr>
              <w:t xml:space="preserve"> </w:t>
            </w:r>
          </w:p>
        </w:tc>
      </w:tr>
    </w:tbl>
    <w:p w:rsidR="00AC5309" w:rsidRPr="00697868" w:rsidRDefault="00AC5309">
      <w:pPr>
        <w:spacing w:after="200" w:line="276" w:lineRule="auto"/>
        <w:rPr>
          <w:rFonts w:cstheme="minorHAnsi"/>
          <w:b/>
          <w:bCs/>
          <w:smallCaps/>
          <w:kern w:val="32"/>
          <w:sz w:val="36"/>
          <w:szCs w:val="32"/>
        </w:rPr>
      </w:pPr>
    </w:p>
    <w:p w:rsidR="00AC5309" w:rsidRPr="00697868" w:rsidRDefault="00AC5309">
      <w:pPr>
        <w:spacing w:after="200" w:line="276" w:lineRule="auto"/>
        <w:rPr>
          <w:rFonts w:cstheme="minorHAnsi"/>
          <w:b/>
          <w:bCs/>
          <w:smallCaps/>
          <w:kern w:val="32"/>
          <w:sz w:val="36"/>
          <w:szCs w:val="32"/>
        </w:rPr>
      </w:pPr>
      <w:r w:rsidRPr="00697868">
        <w:rPr>
          <w:rFonts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Cs w:val="20"/>
              </w:rPr>
            </w:pPr>
            <w:r>
              <w:rPr>
                <w:rFonts w:asciiTheme="minorHAnsi" w:hAnsiTheme="minorHAnsi" w:cstheme="minorHAnsi"/>
                <w:szCs w:val="20"/>
              </w:rPr>
              <w:t xml:space="preserve">Workpaper and </w:t>
            </w:r>
            <w:r w:rsidR="00CE28CF" w:rsidRPr="00CE28CF">
              <w:rPr>
                <w:rFonts w:asciiTheme="minorHAnsi" w:hAnsiTheme="minorHAnsi" w:cstheme="minorHAnsi"/>
                <w:szCs w:val="20"/>
              </w:rPr>
              <w:t>Revision #</w:t>
            </w:r>
          </w:p>
        </w:tc>
        <w:tc>
          <w:tcPr>
            <w:tcW w:w="517" w:type="pct"/>
          </w:tcPr>
          <w:p w:rsidR="00CE28CF" w:rsidRPr="00CE28CF" w:rsidRDefault="00CE28CF" w:rsidP="00413CDB">
            <w:pPr>
              <w:rPr>
                <w:rFonts w:asciiTheme="minorHAnsi" w:hAnsiTheme="minorHAnsi" w:cstheme="minorHAnsi"/>
                <w:szCs w:val="20"/>
              </w:rPr>
            </w:pPr>
            <w:r w:rsidRPr="00CE28CF">
              <w:rPr>
                <w:rFonts w:asciiTheme="minorHAnsi" w:hAnsiTheme="minorHAnsi" w:cstheme="minorHAnsi"/>
                <w:szCs w:val="20"/>
              </w:rPr>
              <w:t>Tech</w:t>
            </w:r>
            <w:r w:rsidR="00413CDB">
              <w:rPr>
                <w:rFonts w:asciiTheme="minorHAnsi" w:hAnsiTheme="minorHAnsi" w:cstheme="minorHAnsi"/>
                <w:szCs w:val="20"/>
              </w:rPr>
              <w:t>.</w:t>
            </w:r>
            <w:r w:rsidRPr="00CE28CF">
              <w:rPr>
                <w:rFonts w:asciiTheme="minorHAnsi" w:hAnsiTheme="minorHAnsi" w:cstheme="minorHAnsi"/>
                <w:szCs w:val="20"/>
              </w:rPr>
              <w:t xml:space="preserve"> Revision</w:t>
            </w:r>
          </w:p>
        </w:tc>
        <w:tc>
          <w:tcPr>
            <w:tcW w:w="658" w:type="pct"/>
          </w:tcPr>
          <w:p w:rsidR="00CE28CF" w:rsidRPr="00CE28CF" w:rsidRDefault="00CE28CF" w:rsidP="007048AC">
            <w:pPr>
              <w:rPr>
                <w:rFonts w:asciiTheme="minorHAnsi" w:hAnsiTheme="minorHAnsi" w:cstheme="minorHAnsi"/>
                <w:b w:val="0"/>
                <w:bCs w:val="0"/>
                <w:szCs w:val="20"/>
              </w:rPr>
            </w:pPr>
            <w:r w:rsidRPr="00CE28CF">
              <w:rPr>
                <w:rFonts w:asciiTheme="minorHAnsi" w:hAnsiTheme="minorHAnsi" w:cstheme="minorHAnsi"/>
                <w:szCs w:val="20"/>
              </w:rPr>
              <w:t>MM/DD/YY</w:t>
            </w:r>
          </w:p>
        </w:tc>
        <w:tc>
          <w:tcPr>
            <w:tcW w:w="940" w:type="pct"/>
          </w:tcPr>
          <w:p w:rsidR="00CE28CF" w:rsidRPr="00CE28CF" w:rsidRDefault="00CE28CF" w:rsidP="007048AC">
            <w:pPr>
              <w:rPr>
                <w:rFonts w:asciiTheme="minorHAnsi" w:hAnsiTheme="minorHAnsi" w:cstheme="minorHAnsi"/>
                <w:b w:val="0"/>
                <w:bCs w:val="0"/>
                <w:szCs w:val="20"/>
              </w:rPr>
            </w:pPr>
            <w:r w:rsidRPr="00CE28CF">
              <w:rPr>
                <w:rFonts w:asciiTheme="minorHAnsi" w:hAnsiTheme="minorHAnsi" w:cstheme="minorHAnsi"/>
                <w:szCs w:val="20"/>
              </w:rPr>
              <w:t>Author/Affiliation</w:t>
            </w:r>
          </w:p>
        </w:tc>
        <w:tc>
          <w:tcPr>
            <w:tcW w:w="2124" w:type="pct"/>
          </w:tcPr>
          <w:p w:rsidR="00CE28CF" w:rsidRPr="00CE28CF" w:rsidRDefault="00CE28CF" w:rsidP="007048AC">
            <w:pPr>
              <w:rPr>
                <w:rFonts w:asciiTheme="minorHAnsi" w:hAnsiTheme="minorHAnsi" w:cstheme="minorHAnsi"/>
                <w:b w:val="0"/>
                <w:bCs w:val="0"/>
                <w:szCs w:val="20"/>
              </w:rPr>
            </w:pPr>
            <w:r w:rsidRPr="00CE28CF">
              <w:rPr>
                <w:rFonts w:asciiTheme="minorHAnsi" w:hAnsiTheme="minorHAnsi" w:cstheme="minorHAnsi"/>
                <w:szCs w:val="20"/>
              </w:rPr>
              <w:t>Summary of Changes</w:t>
            </w:r>
          </w:p>
        </w:tc>
      </w:tr>
      <w:tr w:rsidR="00413CDB"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CE28CF" w:rsidRPr="00697868" w:rsidRDefault="00B462DA" w:rsidP="00D36798">
            <w:pPr>
              <w:rPr>
                <w:rFonts w:asciiTheme="minorHAnsi" w:hAnsiTheme="minorHAnsi" w:cstheme="minorHAnsi"/>
                <w:szCs w:val="20"/>
              </w:rPr>
            </w:pPr>
            <w:r>
              <w:rPr>
                <w:rFonts w:asciiTheme="minorHAnsi" w:hAnsiTheme="minorHAnsi" w:cstheme="minorHAnsi"/>
                <w:szCs w:val="20"/>
              </w:rPr>
              <w:t>SCE13HC040, Revision 0</w:t>
            </w:r>
          </w:p>
        </w:tc>
        <w:tc>
          <w:tcPr>
            <w:tcW w:w="517" w:type="pct"/>
          </w:tcPr>
          <w:p w:rsidR="00CE28CF" w:rsidRPr="00697868" w:rsidRDefault="00CE28CF" w:rsidP="00E81F3E">
            <w:pPr>
              <w:jc w:val="center"/>
              <w:rPr>
                <w:rFonts w:asciiTheme="minorHAnsi" w:hAnsiTheme="minorHAnsi" w:cstheme="minorHAnsi"/>
                <w:szCs w:val="20"/>
              </w:rPr>
            </w:pPr>
            <w:r>
              <w:rPr>
                <w:rFonts w:asciiTheme="minorHAnsi" w:hAnsiTheme="minorHAnsi" w:cstheme="minorHAnsi"/>
                <w:szCs w:val="20"/>
              </w:rPr>
              <w:t>No</w:t>
            </w:r>
          </w:p>
        </w:tc>
        <w:tc>
          <w:tcPr>
            <w:tcW w:w="658" w:type="pct"/>
          </w:tcPr>
          <w:p w:rsidR="00CE28CF" w:rsidRPr="00697868" w:rsidRDefault="00B462DA" w:rsidP="00E81F3E">
            <w:pPr>
              <w:jc w:val="center"/>
              <w:rPr>
                <w:rFonts w:asciiTheme="minorHAnsi" w:hAnsiTheme="minorHAnsi" w:cstheme="minorHAnsi"/>
                <w:szCs w:val="20"/>
              </w:rPr>
            </w:pPr>
            <w:r>
              <w:rPr>
                <w:rFonts w:asciiTheme="minorHAnsi" w:hAnsiTheme="minorHAnsi" w:cstheme="minorHAnsi"/>
                <w:szCs w:val="20"/>
              </w:rPr>
              <w:t>4/19/2012</w:t>
            </w:r>
          </w:p>
        </w:tc>
        <w:tc>
          <w:tcPr>
            <w:tcW w:w="940" w:type="pct"/>
          </w:tcPr>
          <w:p w:rsidR="00CE28CF" w:rsidRPr="00697868" w:rsidRDefault="00B462DA" w:rsidP="007048AC">
            <w:pPr>
              <w:rPr>
                <w:rFonts w:asciiTheme="minorHAnsi" w:hAnsiTheme="minorHAnsi" w:cstheme="minorHAnsi"/>
                <w:szCs w:val="20"/>
              </w:rPr>
            </w:pPr>
            <w:r>
              <w:rPr>
                <w:rFonts w:asciiTheme="minorHAnsi" w:hAnsiTheme="minorHAnsi" w:cstheme="minorHAnsi"/>
                <w:szCs w:val="20"/>
              </w:rPr>
              <w:t>Janice Peterson, PECI</w:t>
            </w:r>
          </w:p>
        </w:tc>
        <w:tc>
          <w:tcPr>
            <w:tcW w:w="2124" w:type="pct"/>
          </w:tcPr>
          <w:p w:rsidR="00CE28CF" w:rsidRPr="00697868" w:rsidRDefault="00B462DA" w:rsidP="00CE28CF">
            <w:pPr>
              <w:rPr>
                <w:rFonts w:asciiTheme="minorHAnsi" w:hAnsiTheme="minorHAnsi" w:cstheme="minorHAnsi"/>
                <w:bCs/>
                <w:szCs w:val="20"/>
              </w:rPr>
            </w:pPr>
            <w:r>
              <w:rPr>
                <w:rFonts w:asciiTheme="minorHAnsi" w:hAnsiTheme="minorHAnsi" w:cstheme="minorHAnsi"/>
                <w:bCs/>
                <w:szCs w:val="20"/>
              </w:rPr>
              <w:t>Original work paper for 2013 PC</w:t>
            </w:r>
          </w:p>
        </w:tc>
      </w:tr>
      <w:tr w:rsidR="000E6F77" w:rsidRPr="0069786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0E6F77" w:rsidRDefault="00B462DA" w:rsidP="00D36798">
            <w:pPr>
              <w:rPr>
                <w:rFonts w:asciiTheme="minorHAnsi" w:hAnsiTheme="minorHAnsi" w:cstheme="minorHAnsi"/>
                <w:szCs w:val="20"/>
              </w:rPr>
            </w:pPr>
            <w:r>
              <w:rPr>
                <w:rFonts w:asciiTheme="minorHAnsi" w:hAnsiTheme="minorHAnsi" w:cstheme="minorHAnsi"/>
                <w:szCs w:val="20"/>
              </w:rPr>
              <w:t>SCE15HC040, Revision 1</w:t>
            </w:r>
          </w:p>
        </w:tc>
        <w:tc>
          <w:tcPr>
            <w:tcW w:w="517" w:type="pct"/>
          </w:tcPr>
          <w:p w:rsidR="000E6F77" w:rsidRDefault="00E86496" w:rsidP="00E81F3E">
            <w:pPr>
              <w:jc w:val="center"/>
              <w:rPr>
                <w:rFonts w:asciiTheme="minorHAnsi" w:hAnsiTheme="minorHAnsi" w:cstheme="minorHAnsi"/>
                <w:szCs w:val="20"/>
              </w:rPr>
            </w:pPr>
            <w:r>
              <w:rPr>
                <w:rFonts w:asciiTheme="minorHAnsi" w:hAnsiTheme="minorHAnsi" w:cstheme="minorHAnsi"/>
                <w:szCs w:val="20"/>
              </w:rPr>
              <w:t xml:space="preserve"> </w:t>
            </w:r>
            <w:r w:rsidR="00B462DA">
              <w:rPr>
                <w:rFonts w:asciiTheme="minorHAnsi" w:hAnsiTheme="minorHAnsi" w:cstheme="minorHAnsi"/>
                <w:szCs w:val="20"/>
              </w:rPr>
              <w:t>No</w:t>
            </w:r>
          </w:p>
        </w:tc>
        <w:tc>
          <w:tcPr>
            <w:tcW w:w="658" w:type="pct"/>
          </w:tcPr>
          <w:p w:rsidR="000E6F77" w:rsidRPr="00697868" w:rsidRDefault="003E2640" w:rsidP="00E81F3E">
            <w:pPr>
              <w:jc w:val="center"/>
              <w:rPr>
                <w:rFonts w:asciiTheme="minorHAnsi" w:hAnsiTheme="minorHAnsi" w:cstheme="minorHAnsi"/>
                <w:szCs w:val="20"/>
              </w:rPr>
            </w:pPr>
            <w:r>
              <w:rPr>
                <w:rFonts w:asciiTheme="minorHAnsi" w:hAnsiTheme="minorHAnsi" w:cstheme="minorHAnsi"/>
                <w:szCs w:val="20"/>
              </w:rPr>
              <w:t>4/14</w:t>
            </w:r>
            <w:r w:rsidR="000E6F77">
              <w:rPr>
                <w:rFonts w:asciiTheme="minorHAnsi" w:hAnsiTheme="minorHAnsi" w:cstheme="minorHAnsi"/>
                <w:szCs w:val="20"/>
              </w:rPr>
              <w:t>/2014</w:t>
            </w:r>
          </w:p>
        </w:tc>
        <w:tc>
          <w:tcPr>
            <w:tcW w:w="940" w:type="pct"/>
          </w:tcPr>
          <w:p w:rsidR="000E6F77" w:rsidRPr="00697868" w:rsidRDefault="000E6F77" w:rsidP="007048AC">
            <w:pPr>
              <w:rPr>
                <w:rFonts w:asciiTheme="minorHAnsi" w:hAnsiTheme="minorHAnsi" w:cstheme="minorHAnsi"/>
                <w:szCs w:val="20"/>
              </w:rPr>
            </w:pPr>
            <w:r>
              <w:rPr>
                <w:rFonts w:asciiTheme="minorHAnsi" w:hAnsiTheme="minorHAnsi" w:cstheme="minorHAnsi"/>
                <w:szCs w:val="20"/>
              </w:rPr>
              <w:t>Matt Tyler, PECI</w:t>
            </w:r>
          </w:p>
        </w:tc>
        <w:tc>
          <w:tcPr>
            <w:tcW w:w="2124" w:type="pct"/>
          </w:tcPr>
          <w:p w:rsidR="000E6F77" w:rsidRPr="00697868" w:rsidRDefault="003E2640" w:rsidP="00CE28CF">
            <w:pPr>
              <w:rPr>
                <w:rFonts w:asciiTheme="minorHAnsi" w:hAnsiTheme="minorHAnsi" w:cstheme="minorHAnsi"/>
                <w:bCs/>
                <w:szCs w:val="20"/>
              </w:rPr>
            </w:pPr>
            <w:r>
              <w:rPr>
                <w:rFonts w:asciiTheme="minorHAnsi" w:hAnsiTheme="minorHAnsi" w:cstheme="minorHAnsi"/>
                <w:bCs/>
                <w:szCs w:val="20"/>
              </w:rPr>
              <w:t xml:space="preserve">Updated </w:t>
            </w:r>
            <w:r w:rsidR="00AF53F9">
              <w:rPr>
                <w:rFonts w:asciiTheme="minorHAnsi" w:hAnsiTheme="minorHAnsi" w:cstheme="minorHAnsi"/>
                <w:bCs/>
                <w:szCs w:val="20"/>
              </w:rPr>
              <w:t xml:space="preserve">energy and demand savings using updated </w:t>
            </w:r>
            <w:r>
              <w:rPr>
                <w:rFonts w:asciiTheme="minorHAnsi" w:hAnsiTheme="minorHAnsi" w:cstheme="minorHAnsi"/>
                <w:bCs/>
                <w:szCs w:val="20"/>
              </w:rPr>
              <w:t>weather files, included all 16 climate zones</w:t>
            </w:r>
          </w:p>
        </w:tc>
      </w:tr>
    </w:tbl>
    <w:p w:rsidR="00EB34FC" w:rsidRPr="00697868" w:rsidRDefault="00EB34FC" w:rsidP="00EB34FC">
      <w:pPr>
        <w:pStyle w:val="Reminder"/>
        <w:rPr>
          <w:rFonts w:asciiTheme="minorHAnsi" w:hAnsiTheme="minorHAnsi" w:cstheme="minorHAnsi"/>
          <w:color w:val="auto"/>
          <w:sz w:val="32"/>
          <w:szCs w:val="32"/>
        </w:rPr>
      </w:pPr>
    </w:p>
    <w:p w:rsidR="00EB34FC" w:rsidRPr="00697868" w:rsidRDefault="00EB34FC" w:rsidP="003E2640">
      <w:pPr>
        <w:pStyle w:val="Reminders"/>
        <w:rPr>
          <w:rFonts w:asciiTheme="minorHAnsi" w:hAnsiTheme="minorHAnsi" w:cstheme="minorHAnsi"/>
          <w:sz w:val="20"/>
          <w:szCs w:val="20"/>
        </w:rPr>
      </w:pPr>
    </w:p>
    <w:p w:rsidR="009500DC" w:rsidRPr="00697868" w:rsidRDefault="009500DC" w:rsidP="00DA690B">
      <w:pPr>
        <w:rPr>
          <w:rFonts w:cstheme="minorHAnsi"/>
        </w:rPr>
        <w:sectPr w:rsidR="009500DC" w:rsidRPr="00697868" w:rsidSect="003C175E">
          <w:footerReference w:type="default" r:id="rId15"/>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D67309" w:rsidRDefault="00D67309" w:rsidP="00D67309">
      <w:r w:rsidRPr="003E2640">
        <w:t xml:space="preserve">This work paper details the replacement of smooth </w:t>
      </w:r>
      <w:r w:rsidR="00EA36C1" w:rsidRPr="003E2640">
        <w:t>v</w:t>
      </w:r>
      <w:r w:rsidRPr="003E2640">
        <w:t xml:space="preserve">-belts in non-residential </w:t>
      </w:r>
      <w:r w:rsidR="00EA36C1" w:rsidRPr="003E2640">
        <w:t>unitary (</w:t>
      </w:r>
      <w:r w:rsidRPr="003E2640">
        <w:t>package</w:t>
      </w:r>
      <w:r w:rsidR="00EA36C1" w:rsidRPr="003E2640">
        <w:t>d)</w:t>
      </w:r>
      <w:r w:rsidRPr="003E2640">
        <w:t xml:space="preserve"> rooftop HVAC systems with cogged </w:t>
      </w:r>
      <w:r w:rsidR="00EA36C1" w:rsidRPr="003E2640">
        <w:t>v</w:t>
      </w:r>
      <w:r w:rsidRPr="003E2640">
        <w:t>-belts as shown in Table 1</w:t>
      </w:r>
      <w:r w:rsidR="00EA36C1" w:rsidRPr="003E2640">
        <w:t>. A</w:t>
      </w:r>
      <w:r w:rsidRPr="003E2640">
        <w:t xml:space="preserve"> </w:t>
      </w:r>
      <w:r w:rsidR="00EA36C1" w:rsidRPr="003E2640">
        <w:t>v</w:t>
      </w:r>
      <w:r w:rsidRPr="003E2640">
        <w:t>-belt</w:t>
      </w:r>
      <w:r w:rsidR="00EA36C1" w:rsidRPr="003E2640">
        <w:t xml:space="preserve"> typically connects</w:t>
      </w:r>
      <w:r w:rsidRPr="003E2640">
        <w:t xml:space="preserve"> the motor and the supply air fan</w:t>
      </w:r>
      <w:r w:rsidR="00EA36C1" w:rsidRPr="003E2640">
        <w:t>.</w:t>
      </w:r>
      <w:r w:rsidRPr="003E2640">
        <w:t xml:space="preserve"> </w:t>
      </w:r>
      <w:r w:rsidR="00EA36C1" w:rsidRPr="003E2640">
        <w:t>Some of the larger unitary equipment may also have a v-belt between the return air motor and fan.</w:t>
      </w:r>
      <w:r w:rsidRPr="003E2640">
        <w:t xml:space="preserve"> The base case is a</w:t>
      </w:r>
      <w:r w:rsidR="00EA36C1" w:rsidRPr="003E2640">
        <w:t xml:space="preserve"> rooftop unit (</w:t>
      </w:r>
      <w:r w:rsidRPr="003E2640">
        <w:t>RTU</w:t>
      </w:r>
      <w:r w:rsidR="00EA36C1" w:rsidRPr="003E2640">
        <w:t>)</w:t>
      </w:r>
      <w:r w:rsidRPr="003E2640">
        <w:t xml:space="preserve"> that contains one or more smooth </w:t>
      </w:r>
      <w:r w:rsidR="00EA36C1" w:rsidRPr="003E2640">
        <w:t>v</w:t>
      </w:r>
      <w:r w:rsidRPr="003E2640">
        <w:t xml:space="preserve">-belts. The measure replaces them with new cogged (notched) </w:t>
      </w:r>
      <w:r w:rsidR="00EA36C1" w:rsidRPr="003E2640">
        <w:t>v</w:t>
      </w:r>
      <w:r w:rsidRPr="003E2640">
        <w:t xml:space="preserve">-belts. The </w:t>
      </w:r>
      <w:r w:rsidR="003E2640" w:rsidRPr="003E2640">
        <w:t>savings are calculated for 19</w:t>
      </w:r>
      <w:r w:rsidRPr="003E2640">
        <w:t xml:space="preserve"> building type</w:t>
      </w:r>
      <w:r w:rsidR="00C7540B" w:rsidRPr="003E2640">
        <w:t xml:space="preserve">s and </w:t>
      </w:r>
      <w:r w:rsidR="003E2640">
        <w:t>three</w:t>
      </w:r>
      <w:r w:rsidR="00C7540B" w:rsidRPr="003E2640">
        <w:t xml:space="preserve"> system types in all California</w:t>
      </w:r>
      <w:r w:rsidRPr="003E2640">
        <w:t xml:space="preserve"> climate zones.</w:t>
      </w:r>
      <w:r w:rsidR="00AF53F9">
        <w:t xml:space="preserve"> The three system types are gas packs, unitary AC-only, and heat pumps.</w:t>
      </w:r>
    </w:p>
    <w:p w:rsidR="00D67309" w:rsidRDefault="00D67309" w:rsidP="00D67309"/>
    <w:p w:rsidR="00E16609" w:rsidRPr="00697868" w:rsidRDefault="00824F1C" w:rsidP="00697868">
      <w:pPr>
        <w:pStyle w:val="Heading2"/>
        <w:rPr>
          <w:rFonts w:asciiTheme="minorHAnsi" w:hAnsiTheme="minorHAnsi"/>
        </w:rPr>
      </w:pPr>
      <w:bookmarkStart w:id="10"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10"/>
    </w:p>
    <w:p w:rsidR="00697868" w:rsidRDefault="00C7540B" w:rsidP="00C7540B">
      <w:r w:rsidRPr="00C7540B">
        <w:rPr>
          <w:b/>
        </w:rPr>
        <w:t>Measure Description:</w:t>
      </w:r>
      <w:r w:rsidR="00EA36C1">
        <w:t xml:space="preserve"> The replacement of smooth v</w:t>
      </w:r>
      <w:r w:rsidRPr="00C7540B">
        <w:t>-belts in non-residential package ro</w:t>
      </w:r>
      <w:r w:rsidR="00EA36C1">
        <w:t>oftop HVAC systems with cogged v</w:t>
      </w:r>
      <w:r w:rsidRPr="00C7540B">
        <w:t>-belts</w:t>
      </w:r>
    </w:p>
    <w:p w:rsidR="00C7540B" w:rsidRPr="00C7540B" w:rsidRDefault="00C7540B" w:rsidP="00C7540B"/>
    <w:p w:rsidR="00697868" w:rsidRPr="00C7540B" w:rsidRDefault="00C7540B" w:rsidP="00C7540B">
      <w:proofErr w:type="spellStart"/>
      <w:r w:rsidRPr="00C7540B">
        <w:rPr>
          <w:b/>
        </w:rPr>
        <w:t>Basecase</w:t>
      </w:r>
      <w:proofErr w:type="spellEnd"/>
      <w:r w:rsidRPr="00C7540B">
        <w:rPr>
          <w:b/>
        </w:rPr>
        <w:t xml:space="preserve"> Description:</w:t>
      </w:r>
      <w:r w:rsidRPr="00C7540B">
        <w:t xml:space="preserve"> Typical existing smooth fan belts</w:t>
      </w:r>
    </w:p>
    <w:p w:rsidR="00697868" w:rsidRDefault="00697868" w:rsidP="00697868">
      <w:pPr>
        <w:pStyle w:val="Reminder"/>
        <w:rPr>
          <w:rFonts w:asciiTheme="minorHAnsi" w:hAnsiTheme="minorHAnsi" w:cstheme="minorHAnsi"/>
          <w:szCs w:val="22"/>
        </w:rPr>
      </w:pPr>
    </w:p>
    <w:p w:rsidR="00AC5309" w:rsidRPr="00697868" w:rsidRDefault="00AC5309" w:rsidP="00AC5309">
      <w:pPr>
        <w:pStyle w:val="Caption"/>
        <w:jc w:val="center"/>
        <w:rPr>
          <w:rFonts w:cstheme="minorHAnsi"/>
          <w:szCs w:val="22"/>
        </w:rPr>
      </w:pPr>
      <w:r w:rsidRPr="00697868">
        <w:rPr>
          <w:rFonts w:cstheme="minorHAnsi"/>
          <w:szCs w:val="22"/>
        </w:rPr>
        <w:t xml:space="preserve">Table </w:t>
      </w:r>
      <w:r w:rsidRPr="00697868">
        <w:rPr>
          <w:rFonts w:cstheme="minorHAnsi"/>
          <w:szCs w:val="22"/>
        </w:rPr>
        <w:fldChar w:fldCharType="begin"/>
      </w:r>
      <w:r w:rsidRPr="00697868">
        <w:rPr>
          <w:rFonts w:cstheme="minorHAnsi"/>
          <w:szCs w:val="22"/>
        </w:rPr>
        <w:instrText xml:space="preserve"> SEQ Table \* ARABIC </w:instrText>
      </w:r>
      <w:r w:rsidRPr="00697868">
        <w:rPr>
          <w:rFonts w:cstheme="minorHAnsi"/>
          <w:szCs w:val="22"/>
        </w:rPr>
        <w:fldChar w:fldCharType="separate"/>
      </w:r>
      <w:r w:rsidR="004A5AD0">
        <w:rPr>
          <w:rFonts w:cstheme="minorHAnsi"/>
          <w:noProof/>
          <w:szCs w:val="22"/>
        </w:rPr>
        <w:t>1</w:t>
      </w:r>
      <w:r w:rsidRPr="00697868">
        <w:rPr>
          <w:rFonts w:cstheme="minorHAnsi"/>
          <w:szCs w:val="22"/>
        </w:rPr>
        <w:fldChar w:fldCharType="end"/>
      </w:r>
      <w:r w:rsidRPr="00697868">
        <w:rPr>
          <w:rFonts w:cstheme="minorHAnsi"/>
          <w:szCs w:val="22"/>
        </w:rPr>
        <w:t xml:space="preserve"> Measure Names</w:t>
      </w:r>
    </w:p>
    <w:tbl>
      <w:tblPr>
        <w:tblStyle w:val="TableContemporary"/>
        <w:tblW w:w="0" w:type="auto"/>
        <w:jc w:val="center"/>
        <w:tblLook w:val="04A0" w:firstRow="1" w:lastRow="0" w:firstColumn="1" w:lastColumn="0" w:noHBand="0" w:noVBand="1"/>
      </w:tblPr>
      <w:tblGrid>
        <w:gridCol w:w="2394"/>
        <w:gridCol w:w="5551"/>
      </w:tblGrid>
      <w:tr w:rsidR="00AC5309" w:rsidRPr="00697868" w:rsidTr="00C7540B">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AC5309" w:rsidRPr="00697868" w:rsidRDefault="00AC5309" w:rsidP="00F22E47">
            <w:pPr>
              <w:jc w:val="center"/>
              <w:rPr>
                <w:rFonts w:asciiTheme="minorHAnsi" w:hAnsiTheme="minorHAnsi" w:cstheme="minorHAnsi"/>
                <w:szCs w:val="20"/>
              </w:rPr>
            </w:pPr>
            <w:r w:rsidRPr="00697868">
              <w:rPr>
                <w:rFonts w:asciiTheme="minorHAnsi" w:hAnsiTheme="minorHAnsi" w:cstheme="minorHAnsi"/>
                <w:szCs w:val="20"/>
              </w:rPr>
              <w:t>Solution Code</w:t>
            </w:r>
          </w:p>
        </w:tc>
        <w:tc>
          <w:tcPr>
            <w:tcW w:w="5551" w:type="dxa"/>
          </w:tcPr>
          <w:p w:rsidR="00AC5309" w:rsidRPr="00697868" w:rsidRDefault="00AC5309" w:rsidP="00F22E47">
            <w:pPr>
              <w:jc w:val="center"/>
              <w:rPr>
                <w:rFonts w:asciiTheme="minorHAnsi" w:hAnsiTheme="minorHAnsi" w:cstheme="minorHAnsi"/>
                <w:szCs w:val="20"/>
              </w:rPr>
            </w:pPr>
            <w:r w:rsidRPr="00697868">
              <w:rPr>
                <w:rFonts w:asciiTheme="minorHAnsi" w:hAnsiTheme="minorHAnsi" w:cstheme="minorHAnsi"/>
                <w:szCs w:val="20"/>
              </w:rPr>
              <w:t>Measure name</w:t>
            </w:r>
          </w:p>
        </w:tc>
      </w:tr>
      <w:tr w:rsidR="00C7540B" w:rsidRPr="00697868" w:rsidTr="00C7540B">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C7540B" w:rsidRPr="00F91094" w:rsidRDefault="00C7540B" w:rsidP="003718E1">
            <w:pPr>
              <w:jc w:val="center"/>
              <w:rPr>
                <w:rFonts w:asciiTheme="minorHAnsi" w:hAnsiTheme="minorHAnsi" w:cstheme="minorHAnsi"/>
                <w:sz w:val="22"/>
                <w:szCs w:val="22"/>
              </w:rPr>
            </w:pPr>
            <w:r>
              <w:rPr>
                <w:rFonts w:asciiTheme="minorHAnsi" w:hAnsiTheme="minorHAnsi" w:cstheme="minorHAnsi"/>
                <w:sz w:val="22"/>
                <w:szCs w:val="22"/>
              </w:rPr>
              <w:t>SA13</w:t>
            </w:r>
          </w:p>
        </w:tc>
        <w:tc>
          <w:tcPr>
            <w:tcW w:w="5551" w:type="dxa"/>
          </w:tcPr>
          <w:p w:rsidR="00C7540B" w:rsidRPr="00F91094" w:rsidRDefault="00C7540B" w:rsidP="003718E1">
            <w:pPr>
              <w:rPr>
                <w:rFonts w:asciiTheme="minorHAnsi" w:hAnsiTheme="minorHAnsi" w:cstheme="minorHAnsi"/>
                <w:sz w:val="22"/>
                <w:szCs w:val="22"/>
              </w:rPr>
            </w:pPr>
            <w:r w:rsidRPr="00F91094">
              <w:rPr>
                <w:rFonts w:asciiTheme="minorHAnsi" w:hAnsiTheme="minorHAnsi" w:cstheme="minorHAnsi"/>
                <w:sz w:val="22"/>
                <w:szCs w:val="22"/>
              </w:rPr>
              <w:t xml:space="preserve">HVAC Fans Cogged </w:t>
            </w:r>
            <w:r>
              <w:rPr>
                <w:rFonts w:asciiTheme="minorHAnsi" w:hAnsiTheme="minorHAnsi" w:cstheme="minorHAnsi"/>
                <w:sz w:val="22"/>
                <w:szCs w:val="22"/>
              </w:rPr>
              <w:t>V-belt</w:t>
            </w:r>
            <w:r w:rsidRPr="00F91094">
              <w:rPr>
                <w:rFonts w:asciiTheme="minorHAnsi" w:hAnsiTheme="minorHAnsi" w:cstheme="minorHAnsi"/>
                <w:sz w:val="22"/>
                <w:szCs w:val="22"/>
              </w:rPr>
              <w:t xml:space="preserve"> Replacement</w:t>
            </w:r>
            <w:r w:rsidR="00AF53F9">
              <w:rPr>
                <w:rFonts w:asciiTheme="minorHAnsi" w:hAnsiTheme="minorHAnsi" w:cstheme="minorHAnsi"/>
                <w:sz w:val="22"/>
                <w:szCs w:val="22"/>
              </w:rPr>
              <w:t xml:space="preserve"> for Gas P</w:t>
            </w:r>
            <w:r>
              <w:rPr>
                <w:rFonts w:asciiTheme="minorHAnsi" w:hAnsiTheme="minorHAnsi" w:cstheme="minorHAnsi"/>
                <w:sz w:val="22"/>
                <w:szCs w:val="22"/>
              </w:rPr>
              <w:t>acks</w:t>
            </w:r>
          </w:p>
        </w:tc>
      </w:tr>
      <w:tr w:rsidR="00C7540B" w:rsidRPr="00697868" w:rsidTr="00C7540B">
        <w:trPr>
          <w:cnfStyle w:val="000000010000" w:firstRow="0" w:lastRow="0" w:firstColumn="0" w:lastColumn="0" w:oddVBand="0" w:evenVBand="0" w:oddHBand="0" w:evenHBand="1" w:firstRowFirstColumn="0" w:firstRowLastColumn="0" w:lastRowFirstColumn="0" w:lastRowLastColumn="0"/>
          <w:trHeight w:val="243"/>
          <w:jc w:val="center"/>
        </w:trPr>
        <w:tc>
          <w:tcPr>
            <w:tcW w:w="2394" w:type="dxa"/>
          </w:tcPr>
          <w:p w:rsidR="00C7540B" w:rsidRPr="00F91094" w:rsidRDefault="00C7540B" w:rsidP="003718E1">
            <w:pPr>
              <w:jc w:val="center"/>
              <w:rPr>
                <w:rFonts w:asciiTheme="minorHAnsi" w:hAnsiTheme="minorHAnsi" w:cstheme="minorHAnsi"/>
                <w:sz w:val="22"/>
                <w:szCs w:val="22"/>
              </w:rPr>
            </w:pPr>
            <w:r>
              <w:rPr>
                <w:rFonts w:asciiTheme="minorHAnsi" w:hAnsiTheme="minorHAnsi" w:cstheme="minorHAnsi"/>
                <w:sz w:val="22"/>
                <w:szCs w:val="22"/>
              </w:rPr>
              <w:t>SA14</w:t>
            </w:r>
          </w:p>
        </w:tc>
        <w:tc>
          <w:tcPr>
            <w:tcW w:w="5551" w:type="dxa"/>
          </w:tcPr>
          <w:p w:rsidR="00C7540B" w:rsidRDefault="00C7540B" w:rsidP="003718E1">
            <w:r w:rsidRPr="00F16B7E">
              <w:rPr>
                <w:rFonts w:asciiTheme="minorHAnsi" w:hAnsiTheme="minorHAnsi" w:cstheme="minorHAnsi"/>
                <w:sz w:val="22"/>
                <w:szCs w:val="22"/>
              </w:rPr>
              <w:t xml:space="preserve">HVAC Fans Cogged V-belt Replacement for </w:t>
            </w:r>
            <w:r>
              <w:rPr>
                <w:rFonts w:asciiTheme="minorHAnsi" w:hAnsiTheme="minorHAnsi" w:cstheme="minorHAnsi"/>
                <w:sz w:val="22"/>
                <w:szCs w:val="22"/>
              </w:rPr>
              <w:t>Heat Pumps</w:t>
            </w:r>
          </w:p>
        </w:tc>
      </w:tr>
      <w:tr w:rsidR="00B462DA" w:rsidRPr="00697868" w:rsidTr="00C7540B">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B462DA" w:rsidRDefault="00B462DA" w:rsidP="003718E1">
            <w:pPr>
              <w:jc w:val="center"/>
              <w:rPr>
                <w:rFonts w:asciiTheme="minorHAnsi" w:hAnsiTheme="minorHAnsi" w:cstheme="minorHAnsi"/>
                <w:sz w:val="22"/>
                <w:szCs w:val="22"/>
              </w:rPr>
            </w:pPr>
            <w:r>
              <w:rPr>
                <w:rFonts w:asciiTheme="minorHAnsi" w:hAnsiTheme="minorHAnsi" w:cstheme="minorHAnsi"/>
                <w:sz w:val="22"/>
                <w:szCs w:val="22"/>
              </w:rPr>
              <w:t>SA15</w:t>
            </w:r>
          </w:p>
        </w:tc>
        <w:tc>
          <w:tcPr>
            <w:tcW w:w="5551" w:type="dxa"/>
          </w:tcPr>
          <w:p w:rsidR="00B462DA" w:rsidRPr="00F16B7E" w:rsidRDefault="00B462DA" w:rsidP="00B462DA">
            <w:pPr>
              <w:rPr>
                <w:rFonts w:asciiTheme="minorHAnsi" w:hAnsiTheme="minorHAnsi" w:cstheme="minorHAnsi"/>
                <w:sz w:val="22"/>
                <w:szCs w:val="22"/>
              </w:rPr>
            </w:pPr>
            <w:r w:rsidRPr="00F91094">
              <w:rPr>
                <w:rFonts w:asciiTheme="minorHAnsi" w:hAnsiTheme="minorHAnsi" w:cstheme="minorHAnsi"/>
                <w:sz w:val="22"/>
                <w:szCs w:val="22"/>
              </w:rPr>
              <w:t xml:space="preserve">HVAC Fans Cogged </w:t>
            </w:r>
            <w:r>
              <w:rPr>
                <w:rFonts w:asciiTheme="minorHAnsi" w:hAnsiTheme="minorHAnsi" w:cstheme="minorHAnsi"/>
                <w:sz w:val="22"/>
                <w:szCs w:val="22"/>
              </w:rPr>
              <w:t>V-belt</w:t>
            </w:r>
            <w:r w:rsidRPr="00F91094">
              <w:rPr>
                <w:rFonts w:asciiTheme="minorHAnsi" w:hAnsiTheme="minorHAnsi" w:cstheme="minorHAnsi"/>
                <w:sz w:val="22"/>
                <w:szCs w:val="22"/>
              </w:rPr>
              <w:t xml:space="preserve"> Replacement</w:t>
            </w:r>
            <w:r>
              <w:rPr>
                <w:rFonts w:asciiTheme="minorHAnsi" w:hAnsiTheme="minorHAnsi" w:cstheme="minorHAnsi"/>
                <w:sz w:val="22"/>
                <w:szCs w:val="22"/>
              </w:rPr>
              <w:t xml:space="preserve"> for Unitary AC-Only</w:t>
            </w:r>
          </w:p>
        </w:tc>
      </w:tr>
    </w:tbl>
    <w:p w:rsidR="00697868" w:rsidRDefault="00697868" w:rsidP="00697868">
      <w:pPr>
        <w:pStyle w:val="Reminders"/>
        <w:rPr>
          <w:rFonts w:asciiTheme="minorHAnsi" w:hAnsiTheme="minorHAnsi" w:cstheme="minorHAnsi"/>
          <w:szCs w:val="22"/>
        </w:rPr>
      </w:pPr>
    </w:p>
    <w:p w:rsidR="006C610A" w:rsidRPr="003A3C8D" w:rsidRDefault="00697868" w:rsidP="00405BA6">
      <w:pPr>
        <w:rPr>
          <w:i/>
        </w:rPr>
      </w:pPr>
      <w:r w:rsidRPr="003A3C8D">
        <w:rPr>
          <w:b/>
        </w:rPr>
        <w:t>Eligibility Requirements</w:t>
      </w:r>
      <w:r w:rsidR="006C610A" w:rsidRPr="003A3C8D">
        <w:rPr>
          <w:b/>
        </w:rPr>
        <w:t>:</w:t>
      </w:r>
      <w:r w:rsidR="006C610A" w:rsidRPr="003A3C8D">
        <w:t xml:space="preserve"> The participant must have electricity distributed by SCE or PG&amp;E to the installation service address. This measure does not apply if the RTU already has cogged V-belts.</w:t>
      </w:r>
    </w:p>
    <w:p w:rsidR="00697868" w:rsidRPr="00697868" w:rsidRDefault="00697868" w:rsidP="00697868">
      <w:pPr>
        <w:pStyle w:val="Reminders"/>
        <w:rPr>
          <w:rFonts w:asciiTheme="minorHAnsi" w:hAnsiTheme="minorHAnsi" w:cstheme="minorHAnsi"/>
          <w:szCs w:val="22"/>
        </w:rPr>
      </w:pPr>
    </w:p>
    <w:p w:rsidR="001A61B3" w:rsidRPr="003A3C8D" w:rsidRDefault="00697868" w:rsidP="00405BA6">
      <w:pPr>
        <w:rPr>
          <w:i/>
        </w:rPr>
      </w:pPr>
      <w:r w:rsidRPr="003A3C8D">
        <w:rPr>
          <w:b/>
        </w:rPr>
        <w:t>Implementation Requirements</w:t>
      </w:r>
      <w:r w:rsidR="001A61B3" w:rsidRPr="003A3C8D">
        <w:rPr>
          <w:b/>
        </w:rPr>
        <w:t>:</w:t>
      </w:r>
      <w:r w:rsidR="001A61B3" w:rsidRPr="003A3C8D">
        <w:t xml:space="preserve"> </w:t>
      </w:r>
      <w:r w:rsidR="003A3C8D" w:rsidRPr="003A3C8D">
        <w:t>This measure can be applied to supply air and return air fans in RTUs that do not already have a cogged V-belt installed.</w:t>
      </w:r>
    </w:p>
    <w:p w:rsidR="003A3C8D" w:rsidRDefault="003A3C8D" w:rsidP="00697868">
      <w:pPr>
        <w:pStyle w:val="Reminders"/>
        <w:rPr>
          <w:rFonts w:asciiTheme="minorHAnsi" w:hAnsiTheme="minorHAnsi" w:cstheme="minorHAnsi"/>
          <w:szCs w:val="22"/>
        </w:rPr>
      </w:pPr>
    </w:p>
    <w:p w:rsidR="00697868" w:rsidRPr="003A3C8D" w:rsidRDefault="00697868" w:rsidP="00405BA6">
      <w:pPr>
        <w:rPr>
          <w:i/>
        </w:rPr>
      </w:pPr>
      <w:r w:rsidRPr="003E2640">
        <w:rPr>
          <w:b/>
        </w:rPr>
        <w:t>Documentation Requirements</w:t>
      </w:r>
      <w:r w:rsidR="003A3C8D" w:rsidRPr="003E2640">
        <w:rPr>
          <w:b/>
        </w:rPr>
        <w:t>:</w:t>
      </w:r>
      <w:r w:rsidRPr="003E2640">
        <w:t xml:space="preserve"> </w:t>
      </w:r>
      <w:r w:rsidR="0036462D">
        <w:t>N</w:t>
      </w:r>
      <w:r w:rsidRPr="003E2640">
        <w:t>ecessary for the measures to be eligible for savings, i.e. invoice records for actual base cases versus DEER assumptions.</w:t>
      </w:r>
      <w:r w:rsidR="006513DA">
        <w:t xml:space="preserve">  </w:t>
      </w:r>
      <w:r w:rsidRPr="003E2640">
        <w:t>The documentation requirements may be related at the measure level or the delivery mechanism level.</w:t>
      </w:r>
    </w:p>
    <w:p w:rsidR="00E16609" w:rsidRPr="00697868"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rsidR="00B119FB" w:rsidRPr="00F12A99" w:rsidRDefault="00B119FB" w:rsidP="00DA5E82">
      <w:r w:rsidRPr="00F12A99">
        <w:t>This work paper details the replacement of smooth v-belts in non-residential package and split HVA</w:t>
      </w:r>
      <w:r w:rsidR="00EA36C1" w:rsidRPr="00F12A99">
        <w:t>C systems with cogged v-belts. A</w:t>
      </w:r>
      <w:r w:rsidRPr="00F12A99">
        <w:t xml:space="preserve"> v-belt </w:t>
      </w:r>
      <w:r w:rsidR="00EA36C1" w:rsidRPr="00F12A99">
        <w:t>typically connects</w:t>
      </w:r>
      <w:r w:rsidRPr="00F12A99">
        <w:t xml:space="preserve"> the motor and the supply air fan</w:t>
      </w:r>
      <w:r w:rsidR="00EA36C1" w:rsidRPr="00F12A99">
        <w:t>. Some of the</w:t>
      </w:r>
      <w:r w:rsidRPr="00F12A99">
        <w:t xml:space="preserve"> larger </w:t>
      </w:r>
      <w:r w:rsidR="00EA36C1" w:rsidRPr="00F12A99">
        <w:t xml:space="preserve">unitary equipment </w:t>
      </w:r>
      <w:r w:rsidRPr="00F12A99">
        <w:t xml:space="preserve">may also </w:t>
      </w:r>
      <w:r w:rsidR="00EA36C1" w:rsidRPr="00F12A99">
        <w:t xml:space="preserve">have </w:t>
      </w:r>
      <w:r w:rsidRPr="00F12A99">
        <w:t>a v-belt between</w:t>
      </w:r>
      <w:r w:rsidR="00EA36C1" w:rsidRPr="00F12A99">
        <w:t xml:space="preserve"> the return air motor and fan. </w:t>
      </w:r>
      <w:r w:rsidRPr="00F12A99">
        <w:t>The base case assumes an RTU contains one or more smooth v-belts and the measure requires replacing them with new cogged (notched) v-belts and new pulleys if required.</w:t>
      </w:r>
      <w:r w:rsidR="006513DA">
        <w:t xml:space="preserve">  </w:t>
      </w:r>
      <w:r w:rsidRPr="00F12A99">
        <w:t>This measure does not apply if the RTU already has cogged v-belts.</w:t>
      </w:r>
    </w:p>
    <w:p w:rsidR="00B119FB" w:rsidRPr="00683518" w:rsidRDefault="00B119FB"/>
    <w:p w:rsidR="00B119FB" w:rsidRPr="00F12A99" w:rsidRDefault="00B119FB" w:rsidP="00DA5E82">
      <w:r w:rsidRPr="00F12A99">
        <w:t>The typical smooth v-belts are usually referred to in five basic groups:</w:t>
      </w:r>
      <w:r w:rsidR="006513DA">
        <w:t xml:space="preserve">  </w:t>
      </w:r>
    </w:p>
    <w:p w:rsidR="00B119FB" w:rsidRPr="00B119FB" w:rsidRDefault="00B119FB" w:rsidP="00B119FB"/>
    <w:p w:rsidR="00B119FB" w:rsidRPr="00B119FB" w:rsidRDefault="00B119FB" w:rsidP="00EA36C1">
      <w:pPr>
        <w:pStyle w:val="ListParagraph"/>
        <w:numPr>
          <w:ilvl w:val="0"/>
          <w:numId w:val="9"/>
        </w:numPr>
      </w:pPr>
      <w:r w:rsidRPr="00B119FB">
        <w:lastRenderedPageBreak/>
        <w:t>“L” belts are low end belts that are for small, fractional horsepower motors and these are not used in RTUs.</w:t>
      </w:r>
      <w:r w:rsidR="006513DA">
        <w:t xml:space="preserve">  </w:t>
      </w:r>
    </w:p>
    <w:p w:rsidR="00B119FB" w:rsidRPr="00B119FB" w:rsidRDefault="00B119FB" w:rsidP="00EA36C1">
      <w:pPr>
        <w:pStyle w:val="ListParagraph"/>
        <w:numPr>
          <w:ilvl w:val="0"/>
          <w:numId w:val="9"/>
        </w:numPr>
      </w:pPr>
      <w:r w:rsidRPr="00B119FB">
        <w:t>“A” and “B” belts are the two</w:t>
      </w:r>
      <w:r w:rsidR="00EA36C1">
        <w:t xml:space="preserve"> types typically used in RTUs. The “A” belt is </w:t>
      </w:r>
      <w:r w:rsidRPr="00B119FB">
        <w:t>½ inch wi</w:t>
      </w:r>
      <w:r w:rsidR="00EA36C1">
        <w:t>dth by 5/16 inch thickness. T</w:t>
      </w:r>
      <w:r w:rsidRPr="00B119FB">
        <w:t>he “B” belt is larger, 21/32 inch wide and 12/32 inch thi</w:t>
      </w:r>
      <w:r w:rsidR="003718E1">
        <w:t xml:space="preserve">ck so it can carry more power. </w:t>
      </w:r>
      <w:r w:rsidRPr="00B119FB">
        <w:t>V-belts come in a wide variety of lengths where 20 to 100 inches is typical.</w:t>
      </w:r>
    </w:p>
    <w:p w:rsidR="00B119FB" w:rsidRPr="00B119FB" w:rsidRDefault="00B119FB" w:rsidP="00EA36C1">
      <w:pPr>
        <w:pStyle w:val="ListParagraph"/>
        <w:numPr>
          <w:ilvl w:val="0"/>
          <w:numId w:val="9"/>
        </w:numPr>
      </w:pPr>
      <w:r w:rsidRPr="00B119FB">
        <w:t>“C” and “D” belts are primarily for industrial applications with high power transmission requirements.</w:t>
      </w:r>
    </w:p>
    <w:p w:rsidR="00B119FB" w:rsidRPr="00B119FB" w:rsidRDefault="00B119FB" w:rsidP="00B119FB"/>
    <w:p w:rsidR="00B119FB" w:rsidRPr="00F12A99" w:rsidRDefault="00B119FB" w:rsidP="007517A3">
      <w:pPr>
        <w:rPr>
          <w:i/>
        </w:rPr>
      </w:pPr>
      <w:r w:rsidRPr="00F12A99">
        <w:t xml:space="preserve">V-belts are </w:t>
      </w:r>
      <w:r w:rsidR="003718E1" w:rsidRPr="00F12A99">
        <w:t xml:space="preserve">available from various vendors. The cogged </w:t>
      </w:r>
      <w:r w:rsidRPr="00F12A99">
        <w:t>version of these belts typically have an</w:t>
      </w:r>
      <w:r w:rsidR="003718E1" w:rsidRPr="00F12A99">
        <w:t xml:space="preserve"> “X” added to the designation or model number. </w:t>
      </w:r>
      <w:r w:rsidRPr="00F12A99">
        <w:t>For this HVAC Fans Cogged V-Belt Replacement measure, only the “A” a</w:t>
      </w:r>
      <w:r w:rsidR="003718E1" w:rsidRPr="00F12A99">
        <w:t xml:space="preserve">nd “B” v-belts are considered. </w:t>
      </w:r>
      <w:r w:rsidRPr="00F12A99">
        <w:t>A typical “A” v-belt is replaced by a cogged “AX” v-belt an</w:t>
      </w:r>
      <w:r w:rsidR="003718E1" w:rsidRPr="00F12A99">
        <w:t xml:space="preserve">d a “B” is replaced by a “BX.” </w:t>
      </w:r>
      <w:r w:rsidRPr="00F12A99">
        <w:t>In general, smooth v-belts have an efficiency of 90% to 98% while cogged v-belts hav</w:t>
      </w:r>
      <w:r w:rsidR="003718E1" w:rsidRPr="00F12A99">
        <w:t xml:space="preserve">e an efficiency of 95% to 98%. </w:t>
      </w:r>
      <w:r w:rsidRPr="00F12A99">
        <w:t xml:space="preserve">Because cogged v-belts are more flexible they </w:t>
      </w:r>
      <w:r w:rsidR="003718E1" w:rsidRPr="00F12A99">
        <w:t>are compatible</w:t>
      </w:r>
      <w:r w:rsidRPr="00F12A99">
        <w:t xml:space="preserve"> with smaller diameter pulleys and they ha</w:t>
      </w:r>
      <w:r w:rsidR="003718E1" w:rsidRPr="00F12A99">
        <w:t xml:space="preserve">ve less resistance to bending. </w:t>
      </w:r>
      <w:r w:rsidRPr="00F12A99">
        <w:t xml:space="preserve">Lower bending resistance increases the power transmission efficiency, lowers the waste heat, and allows the belt to </w:t>
      </w:r>
      <w:r w:rsidR="003718E1" w:rsidRPr="00F12A99">
        <w:t>last longer than a smooth belt.</w:t>
      </w:r>
    </w:p>
    <w:p w:rsidR="00B119FB" w:rsidRPr="00B119FB" w:rsidRDefault="00B119FB" w:rsidP="00B119FB"/>
    <w:p w:rsidR="00B119FB" w:rsidRPr="00F12A99" w:rsidRDefault="00B119FB" w:rsidP="007517A3">
      <w:pPr>
        <w:rPr>
          <w:i/>
        </w:rPr>
      </w:pPr>
      <w:r w:rsidRPr="00F12A99">
        <w:t>In particular,</w:t>
      </w:r>
      <w:r w:rsidR="005449AE">
        <w:t xml:space="preserve"> four research papers </w:t>
      </w:r>
      <w:r w:rsidR="005449AE">
        <w:fldChar w:fldCharType="begin"/>
      </w:r>
      <w:r w:rsidR="005449AE">
        <w:instrText xml:space="preserve"> REF _Ref327947076 \r \h </w:instrText>
      </w:r>
      <w:r w:rsidR="005449AE">
        <w:fldChar w:fldCharType="separate"/>
      </w:r>
      <w:r w:rsidR="004A5AD0">
        <w:t>[A</w:t>
      </w:r>
      <w:proofErr w:type="gramStart"/>
      <w:r w:rsidR="004A5AD0">
        <w:t>]</w:t>
      </w:r>
      <w:proofErr w:type="gramEnd"/>
      <w:r w:rsidR="005449AE">
        <w:fldChar w:fldCharType="end"/>
      </w:r>
      <w:r w:rsidR="005449AE">
        <w:fldChar w:fldCharType="begin"/>
      </w:r>
      <w:r w:rsidR="005449AE">
        <w:instrText xml:space="preserve"> REF _Ref327947100 \r \h </w:instrText>
      </w:r>
      <w:r w:rsidR="005449AE">
        <w:fldChar w:fldCharType="separate"/>
      </w:r>
      <w:r w:rsidR="004A5AD0">
        <w:t>[B]</w:t>
      </w:r>
      <w:r w:rsidR="005449AE">
        <w:fldChar w:fldCharType="end"/>
      </w:r>
      <w:r w:rsidR="005449AE">
        <w:fldChar w:fldCharType="begin"/>
      </w:r>
      <w:r w:rsidR="005449AE">
        <w:instrText xml:space="preserve"> REF _Ref327947109 \r \h </w:instrText>
      </w:r>
      <w:r w:rsidR="005449AE">
        <w:fldChar w:fldCharType="separate"/>
      </w:r>
      <w:r w:rsidR="004A5AD0">
        <w:t>[C]</w:t>
      </w:r>
      <w:r w:rsidR="005449AE">
        <w:fldChar w:fldCharType="end"/>
      </w:r>
      <w:r w:rsidR="005449AE">
        <w:fldChar w:fldCharType="begin"/>
      </w:r>
      <w:r w:rsidR="005449AE">
        <w:instrText xml:space="preserve"> REF _Ref327947113 \r \h </w:instrText>
      </w:r>
      <w:r w:rsidR="005449AE">
        <w:fldChar w:fldCharType="separate"/>
      </w:r>
      <w:r w:rsidR="004A5AD0">
        <w:t>[D]</w:t>
      </w:r>
      <w:r w:rsidR="005449AE">
        <w:fldChar w:fldCharType="end"/>
      </w:r>
      <w:r w:rsidRPr="00F12A99">
        <w:t xml:space="preserve"> show that the cogged v-belt efficiency is 0.4% to 4.8% better than a typical smooth v-belt. A fifth paper by USDOE’s Energy Eff</w:t>
      </w:r>
      <w:r w:rsidR="005449AE">
        <w:t xml:space="preserve">iciency and Renewable Energy </w:t>
      </w:r>
      <w:r w:rsidR="005449AE">
        <w:fldChar w:fldCharType="begin"/>
      </w:r>
      <w:r w:rsidR="005449AE">
        <w:instrText xml:space="preserve"> REF _Ref327947147 \r \h </w:instrText>
      </w:r>
      <w:r w:rsidR="005449AE">
        <w:fldChar w:fldCharType="separate"/>
      </w:r>
      <w:r w:rsidR="004A5AD0">
        <w:t>[E]</w:t>
      </w:r>
      <w:r w:rsidR="005449AE">
        <w:fldChar w:fldCharType="end"/>
      </w:r>
      <w:r w:rsidRPr="00F12A99">
        <w:t xml:space="preserve"> group reviewed most of the earlier literature and recommended using a conservative 2% efficiency improvement for e</w:t>
      </w:r>
      <w:r w:rsidR="003718E1" w:rsidRPr="00F12A99">
        <w:t>nergy savings for calculations.</w:t>
      </w:r>
    </w:p>
    <w:p w:rsidR="00B119FB" w:rsidRPr="00B119FB" w:rsidRDefault="00B119FB" w:rsidP="007517A3"/>
    <w:p w:rsidR="00B119FB" w:rsidRPr="00F12A99" w:rsidRDefault="00B119FB" w:rsidP="007517A3">
      <w:pPr>
        <w:rPr>
          <w:i/>
        </w:rPr>
      </w:pPr>
      <w:r w:rsidRPr="00F12A99">
        <w:t>A review of the online Grainge</w:t>
      </w:r>
      <w:r w:rsidR="005449AE">
        <w:t xml:space="preserve">r </w:t>
      </w:r>
      <w:r w:rsidR="005449AE">
        <w:fldChar w:fldCharType="begin"/>
      </w:r>
      <w:r w:rsidR="005449AE">
        <w:instrText xml:space="preserve"> REF _Ref386189575 \r \h </w:instrText>
      </w:r>
      <w:r w:rsidR="005449AE">
        <w:fldChar w:fldCharType="separate"/>
      </w:r>
      <w:r w:rsidR="004A5AD0">
        <w:t>[F]</w:t>
      </w:r>
      <w:r w:rsidR="005449AE">
        <w:fldChar w:fldCharType="end"/>
      </w:r>
      <w:r w:rsidR="003A6AE6" w:rsidRPr="00F12A99">
        <w:t xml:space="preserve"> pricing for “A,” “B,” “AX</w:t>
      </w:r>
      <w:r w:rsidRPr="00F12A99">
        <w:t>” and “BX” v-belts showed the incremental cost to be about 20% more per belt in sizes typical for RTUs.</w:t>
      </w:r>
    </w:p>
    <w:p w:rsidR="00697868" w:rsidRPr="00697868" w:rsidRDefault="00697868" w:rsidP="00697868">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rsidR="00CE28CF" w:rsidRPr="00E9493E" w:rsidRDefault="00CE28CF" w:rsidP="00E9493E">
      <w:r w:rsidRPr="00E9493E">
        <w:t>Note: See Appendix A for a comparison of the application types used by</w:t>
      </w:r>
      <w:r w:rsidR="00413CDB" w:rsidRPr="00E9493E">
        <w:t xml:space="preserve"> </w:t>
      </w:r>
      <w:r w:rsidRPr="00E9493E">
        <w:t xml:space="preserve">and incorporated </w:t>
      </w:r>
      <w:r w:rsidR="00413CDB" w:rsidRPr="00E9493E">
        <w:t xml:space="preserve">into </w:t>
      </w:r>
      <w:r w:rsidR="00413CDB" w:rsidRPr="00125784">
        <w:t>SCE</w:t>
      </w:r>
      <w:r w:rsidRPr="00125784">
        <w:t xml:space="preserve"> systems</w:t>
      </w:r>
      <w:r w:rsidRPr="00E9493E">
        <w:t xml:space="preserve"> versus the application types available in the newest revision of DEER 2014. Appendix A will serve as a translation between the outputs of this workpaper and application types used by </w:t>
      </w:r>
      <w:proofErr w:type="spellStart"/>
      <w:r w:rsidRPr="00E9493E">
        <w:t>READi</w:t>
      </w:r>
      <w:proofErr w:type="spellEnd"/>
      <w:r w:rsidRPr="00E9493E">
        <w:t xml:space="preserve">. </w:t>
      </w:r>
    </w:p>
    <w:p w:rsidR="00CE28CF" w:rsidRPr="00E9493E" w:rsidRDefault="00CE28CF" w:rsidP="00E9493E"/>
    <w:p w:rsidR="00E9493E" w:rsidRPr="00E9493E" w:rsidRDefault="000F71F0" w:rsidP="00E9493E">
      <w:r>
        <w:rPr>
          <w:b/>
        </w:rPr>
        <w:t xml:space="preserve">SCE </w:t>
      </w:r>
      <w:r w:rsidR="00697868" w:rsidRPr="00E9493E">
        <w:rPr>
          <w:b/>
        </w:rPr>
        <w:t>Delivery Mechanism</w:t>
      </w:r>
      <w:r w:rsidR="00E9493E" w:rsidRPr="00E9493E">
        <w:rPr>
          <w:b/>
        </w:rPr>
        <w:t>:</w:t>
      </w:r>
      <w:bookmarkStart w:id="11" w:name="_Toc214003084"/>
      <w:r w:rsidR="00E9493E" w:rsidRPr="00E9493E">
        <w:t xml:space="preserve"> Financial Support – Direct Install</w:t>
      </w:r>
    </w:p>
    <w:p w:rsidR="00E9493E" w:rsidRPr="00E9493E" w:rsidRDefault="00E9493E" w:rsidP="00E9493E"/>
    <w:p w:rsidR="00E9493E" w:rsidRDefault="000F71F0" w:rsidP="00E9493E">
      <w:r>
        <w:rPr>
          <w:b/>
        </w:rPr>
        <w:t xml:space="preserve">SCE </w:t>
      </w:r>
      <w:r w:rsidR="00E9493E" w:rsidRPr="00E9493E">
        <w:rPr>
          <w:b/>
        </w:rPr>
        <w:t>Program type:</w:t>
      </w:r>
      <w:r w:rsidR="00E9493E" w:rsidRPr="00E9493E">
        <w:t xml:space="preserve"> </w:t>
      </w:r>
      <w:r w:rsidR="00E9493E">
        <w:t>RET</w:t>
      </w:r>
    </w:p>
    <w:p w:rsidR="000F71F0" w:rsidRDefault="000F71F0" w:rsidP="00E9493E"/>
    <w:p w:rsidR="000F71F0" w:rsidRPr="00E9493E" w:rsidRDefault="000F71F0" w:rsidP="000F71F0">
      <w:r>
        <w:rPr>
          <w:b/>
        </w:rPr>
        <w:t xml:space="preserve">PG&amp;E </w:t>
      </w:r>
      <w:r w:rsidRPr="00E9493E">
        <w:rPr>
          <w:b/>
        </w:rPr>
        <w:t>Delivery Mechanism:</w:t>
      </w:r>
      <w:r w:rsidRPr="00E9493E">
        <w:t xml:space="preserve"> Financial Support – Direct Install</w:t>
      </w:r>
    </w:p>
    <w:p w:rsidR="000F71F0" w:rsidRPr="00E9493E" w:rsidRDefault="000F71F0" w:rsidP="000F71F0"/>
    <w:p w:rsidR="000F71F0" w:rsidRDefault="000F71F0" w:rsidP="000F71F0">
      <w:r>
        <w:rPr>
          <w:b/>
        </w:rPr>
        <w:t xml:space="preserve">PG&amp;E </w:t>
      </w:r>
      <w:r w:rsidRPr="00E9493E">
        <w:rPr>
          <w:b/>
        </w:rPr>
        <w:t>Program type:</w:t>
      </w:r>
      <w:r w:rsidRPr="00E9493E">
        <w:t xml:space="preserve"> </w:t>
      </w:r>
      <w:r>
        <w:t>ROB</w:t>
      </w:r>
    </w:p>
    <w:p w:rsidR="000F71F0" w:rsidRPr="00E9493E" w:rsidRDefault="000F71F0" w:rsidP="00E9493E"/>
    <w:p w:rsidR="00E16609" w:rsidRDefault="00824F1C" w:rsidP="00824F1C">
      <w:pPr>
        <w:pStyle w:val="Heading2"/>
        <w:rPr>
          <w:rFonts w:asciiTheme="minorHAnsi" w:hAnsiTheme="minorHAnsi" w:cstheme="minorHAnsi"/>
        </w:rPr>
      </w:pPr>
      <w:proofErr w:type="gramStart"/>
      <w:r w:rsidRPr="00697868">
        <w:rPr>
          <w:rFonts w:asciiTheme="minorHAnsi" w:hAnsiTheme="minorHAnsi" w:cstheme="minorHAnsi"/>
        </w:rPr>
        <w:t>1.</w:t>
      </w:r>
      <w:r w:rsidR="00697868">
        <w:rPr>
          <w:rFonts w:asciiTheme="minorHAnsi" w:hAnsiTheme="minorHAnsi" w:cstheme="minorHAnsi"/>
        </w:rPr>
        <w:t>4</w:t>
      </w:r>
      <w:r w:rsidR="006513DA">
        <w:rPr>
          <w:rFonts w:asciiTheme="minorHAnsi" w:hAnsiTheme="minorHAnsi" w:cstheme="minorHAnsi"/>
        </w:rPr>
        <w:t xml:space="preserve">  </w:t>
      </w:r>
      <w:r w:rsidR="00697868">
        <w:rPr>
          <w:rFonts w:asciiTheme="minorHAnsi" w:hAnsiTheme="minorHAnsi" w:cstheme="minorHAnsi"/>
        </w:rPr>
        <w:t>Measure</w:t>
      </w:r>
      <w:proofErr w:type="gramEnd"/>
      <w:r w:rsidR="00697868">
        <w:rPr>
          <w:rFonts w:asciiTheme="minorHAnsi" w:hAnsiTheme="minorHAnsi" w:cstheme="minorHAnsi"/>
        </w:rPr>
        <w:t xml:space="preserv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11"/>
    </w:p>
    <w:p w:rsidR="00F06CCF" w:rsidRPr="00F06CCF" w:rsidRDefault="00F06CCF" w:rsidP="00F06CCF">
      <w:pPr>
        <w:pStyle w:val="Heading3"/>
        <w:rPr>
          <w:rFonts w:asciiTheme="minorHAnsi" w:hAnsiTheme="minorHAnsi"/>
        </w:rPr>
      </w:pPr>
      <w:bookmarkStart w:id="12" w:name="_1.4.1_DEER_Measure"/>
      <w:bookmarkStart w:id="13" w:name="_Ref386122145"/>
      <w:bookmarkEnd w:id="12"/>
      <w:r w:rsidRPr="00F06CCF">
        <w:rPr>
          <w:rFonts w:asciiTheme="minorHAnsi" w:hAnsiTheme="minorHAnsi"/>
        </w:rPr>
        <w:t>1.4.1</w:t>
      </w:r>
      <w:r>
        <w:rPr>
          <w:rFonts w:asciiTheme="minorHAnsi" w:hAnsiTheme="minorHAnsi"/>
        </w:rPr>
        <w:t xml:space="preserve"> DEER Measure and Base Case Analysis</w:t>
      </w:r>
      <w:bookmarkEnd w:id="13"/>
    </w:p>
    <w:p w:rsidR="00157C32" w:rsidRDefault="00E16609" w:rsidP="00157C32">
      <w:r w:rsidRPr="00E9493E">
        <w:t>This section of the work paper explains the reasoning behind using a calculation method that d</w:t>
      </w:r>
      <w:bookmarkStart w:id="14" w:name="_Toc214003087"/>
      <w:r w:rsidR="00157C32">
        <w:t>eviates from the DEER database.</w:t>
      </w:r>
    </w:p>
    <w:p w:rsidR="00157C32" w:rsidRDefault="00157C32" w:rsidP="00157C32"/>
    <w:p w:rsidR="002A1477" w:rsidRDefault="00157C32" w:rsidP="00AE6E0B">
      <w:r w:rsidRPr="008A57A2">
        <w:lastRenderedPageBreak/>
        <w:t>This measure is not addressed in any version of the Database for Energy Efficient Resources (DEER05, DEER08</w:t>
      </w:r>
      <w:r w:rsidR="002A1477" w:rsidRPr="008A57A2">
        <w:t>, DEER11, or DEER14</w:t>
      </w:r>
      <w:r w:rsidR="008A57A2" w:rsidRPr="008A57A2">
        <w:t>)</w:t>
      </w:r>
      <w:r w:rsidR="008A57A2" w:rsidRPr="008A57A2">
        <w:rPr>
          <w:rStyle w:val="FootnoteReference"/>
        </w:rPr>
        <w:footnoteReference w:id="1"/>
      </w:r>
      <w:r w:rsidRPr="008A57A2">
        <w:t xml:space="preserve">. </w:t>
      </w:r>
      <w:r w:rsidR="002A1477" w:rsidRPr="008A57A2">
        <w:t xml:space="preserve">This measure does use DEER2014 prototypes generated using </w:t>
      </w:r>
      <w:proofErr w:type="spellStart"/>
      <w:r w:rsidR="002A1477" w:rsidRPr="008A57A2">
        <w:t>MASControl</w:t>
      </w:r>
      <w:proofErr w:type="spellEnd"/>
      <w:r w:rsidR="002A1477" w:rsidRPr="008A57A2">
        <w:t xml:space="preserve"> v3.00.19. The prototypes were generated using the Customer Average (</w:t>
      </w:r>
      <w:proofErr w:type="spellStart"/>
      <w:r w:rsidR="002A1477" w:rsidRPr="008A57A2">
        <w:t>CAv</w:t>
      </w:r>
      <w:proofErr w:type="spellEnd"/>
      <w:r w:rsidR="002A1477" w:rsidRPr="008A57A2">
        <w:t>) case option for the following tech IDs:</w:t>
      </w:r>
    </w:p>
    <w:p w:rsidR="002A1477" w:rsidRDefault="002A1477" w:rsidP="00125784">
      <w:pPr>
        <w:pStyle w:val="ListParagraph"/>
        <w:numPr>
          <w:ilvl w:val="0"/>
          <w:numId w:val="10"/>
        </w:numPr>
      </w:pPr>
      <w:r>
        <w:t>D08-NE-HVAC-airAC-SpltPkg-110to134kBtuh-11p0eer</w:t>
      </w:r>
    </w:p>
    <w:p w:rsidR="002A1477" w:rsidRDefault="002A1477" w:rsidP="00125784">
      <w:pPr>
        <w:pStyle w:val="ListParagraph"/>
        <w:numPr>
          <w:ilvl w:val="0"/>
          <w:numId w:val="10"/>
        </w:numPr>
      </w:pPr>
      <w:r>
        <w:t>D08-NE-HVAC-airHP-SpltPkg-110to134kBtuh-11p5eer-3p4cop</w:t>
      </w:r>
    </w:p>
    <w:p w:rsidR="00157C32" w:rsidRPr="00157C32" w:rsidRDefault="00157C32" w:rsidP="00157C32"/>
    <w:p w:rsidR="00157C32" w:rsidRPr="00683518" w:rsidRDefault="00157C32" w:rsidP="00157C32">
      <w:pPr>
        <w:rPr>
          <w:szCs w:val="22"/>
        </w:rPr>
      </w:pPr>
    </w:p>
    <w:p w:rsidR="00157C32" w:rsidRPr="00296CEB" w:rsidRDefault="00157C32" w:rsidP="00157C32">
      <w:pPr>
        <w:pStyle w:val="Caption"/>
        <w:jc w:val="center"/>
        <w:rPr>
          <w:rFonts w:cstheme="minorHAnsi"/>
          <w:szCs w:val="22"/>
        </w:rPr>
      </w:pPr>
      <w:r w:rsidRPr="00296CEB">
        <w:rPr>
          <w:rFonts w:cstheme="minorHAnsi"/>
          <w:szCs w:val="22"/>
        </w:rPr>
        <w:t xml:space="preserve">Table </w:t>
      </w:r>
      <w:r w:rsidRPr="00296CEB">
        <w:rPr>
          <w:rFonts w:cstheme="minorHAnsi"/>
          <w:szCs w:val="22"/>
        </w:rPr>
        <w:fldChar w:fldCharType="begin"/>
      </w:r>
      <w:r w:rsidRPr="00296CEB">
        <w:rPr>
          <w:rFonts w:cstheme="minorHAnsi"/>
          <w:szCs w:val="22"/>
        </w:rPr>
        <w:instrText xml:space="preserve"> SEQ Table \* ARABIC </w:instrText>
      </w:r>
      <w:r w:rsidRPr="00296CEB">
        <w:rPr>
          <w:rFonts w:cstheme="minorHAnsi"/>
          <w:szCs w:val="22"/>
        </w:rPr>
        <w:fldChar w:fldCharType="separate"/>
      </w:r>
      <w:r w:rsidR="004A5AD0" w:rsidRPr="00296CEB">
        <w:rPr>
          <w:rFonts w:cstheme="minorHAnsi"/>
          <w:szCs w:val="22"/>
        </w:rPr>
        <w:t>2</w:t>
      </w:r>
      <w:r w:rsidRPr="00296CEB">
        <w:rPr>
          <w:rFonts w:cstheme="minorHAnsi"/>
          <w:szCs w:val="22"/>
        </w:rPr>
        <w:fldChar w:fldCharType="end"/>
      </w:r>
      <w:r w:rsidRPr="00296CEB">
        <w:rPr>
          <w:rFonts w:cstheme="minorHAnsi"/>
          <w:szCs w:val="22"/>
        </w:rPr>
        <w:t xml:space="preserve"> DEER Difference Summary</w:t>
      </w:r>
    </w:p>
    <w:tbl>
      <w:tblPr>
        <w:tblW w:w="2479" w:type="pct"/>
        <w:jc w:val="center"/>
        <w:tblBorders>
          <w:insideH w:val="single" w:sz="18" w:space="0" w:color="FFFFFF"/>
          <w:insideV w:val="single" w:sz="18" w:space="0" w:color="FFFFFF"/>
        </w:tblBorders>
        <w:tblLook w:val="04A0" w:firstRow="1" w:lastRow="0" w:firstColumn="1" w:lastColumn="0" w:noHBand="0" w:noVBand="1"/>
      </w:tblPr>
      <w:tblGrid>
        <w:gridCol w:w="3578"/>
        <w:gridCol w:w="1170"/>
      </w:tblGrid>
      <w:tr w:rsidR="00157C32" w:rsidRPr="00683518" w:rsidTr="00157C32">
        <w:trPr>
          <w:trHeight w:val="304"/>
          <w:jc w:val="center"/>
        </w:trPr>
        <w:tc>
          <w:tcPr>
            <w:tcW w:w="5000" w:type="pct"/>
            <w:gridSpan w:val="2"/>
            <w:shd w:val="pct20" w:color="000000" w:fill="FFFFFF"/>
            <w:vAlign w:val="center"/>
          </w:tcPr>
          <w:p w:rsidR="00157C32" w:rsidRPr="00683518" w:rsidRDefault="00157C32" w:rsidP="00157C32">
            <w:pPr>
              <w:rPr>
                <w:b/>
                <w:bCs/>
                <w:sz w:val="20"/>
                <w:szCs w:val="20"/>
              </w:rPr>
            </w:pPr>
            <w:r w:rsidRPr="00683518">
              <w:rPr>
                <w:b/>
                <w:bCs/>
                <w:sz w:val="20"/>
                <w:szCs w:val="20"/>
              </w:rPr>
              <w:t>DEER Difference Summary Table</w:t>
            </w:r>
          </w:p>
        </w:tc>
      </w:tr>
      <w:tr w:rsidR="00157C32" w:rsidRPr="00683518" w:rsidTr="00157C32">
        <w:trPr>
          <w:trHeight w:val="304"/>
          <w:jc w:val="center"/>
        </w:trPr>
        <w:tc>
          <w:tcPr>
            <w:tcW w:w="3768" w:type="pct"/>
            <w:shd w:val="pct5" w:color="000000" w:fill="FFFFFF"/>
            <w:vAlign w:val="center"/>
          </w:tcPr>
          <w:p w:rsidR="00157C32" w:rsidRPr="00683518" w:rsidRDefault="00157C32" w:rsidP="00157C32">
            <w:pPr>
              <w:rPr>
                <w:sz w:val="20"/>
                <w:szCs w:val="20"/>
              </w:rPr>
            </w:pPr>
            <w:r w:rsidRPr="00683518">
              <w:rPr>
                <w:sz w:val="20"/>
                <w:szCs w:val="20"/>
              </w:rPr>
              <w:t>Modified DEER Methodology</w:t>
            </w:r>
          </w:p>
        </w:tc>
        <w:tc>
          <w:tcPr>
            <w:tcW w:w="1232" w:type="pct"/>
            <w:shd w:val="pct5" w:color="000000" w:fill="FFFFFF"/>
            <w:vAlign w:val="center"/>
          </w:tcPr>
          <w:p w:rsidR="00157C32" w:rsidRPr="00683518" w:rsidRDefault="00157C32" w:rsidP="00157C32">
            <w:pPr>
              <w:rPr>
                <w:sz w:val="20"/>
                <w:szCs w:val="20"/>
              </w:rPr>
            </w:pPr>
            <w:r w:rsidRPr="00683518">
              <w:rPr>
                <w:sz w:val="20"/>
                <w:szCs w:val="20"/>
              </w:rPr>
              <w:t>No</w:t>
            </w:r>
          </w:p>
        </w:tc>
      </w:tr>
      <w:tr w:rsidR="00157C32" w:rsidRPr="00683518" w:rsidTr="00157C32">
        <w:trPr>
          <w:trHeight w:val="304"/>
          <w:jc w:val="center"/>
        </w:trPr>
        <w:tc>
          <w:tcPr>
            <w:tcW w:w="3768" w:type="pct"/>
            <w:shd w:val="pct20" w:color="000000" w:fill="FFFFFF"/>
            <w:vAlign w:val="center"/>
          </w:tcPr>
          <w:p w:rsidR="00157C32" w:rsidRPr="00683518" w:rsidRDefault="00157C32" w:rsidP="00157C32">
            <w:pPr>
              <w:rPr>
                <w:sz w:val="20"/>
                <w:szCs w:val="20"/>
              </w:rPr>
            </w:pPr>
            <w:r w:rsidRPr="00683518">
              <w:rPr>
                <w:sz w:val="20"/>
                <w:szCs w:val="20"/>
              </w:rPr>
              <w:t>Scaled DEER Measure</w:t>
            </w:r>
          </w:p>
        </w:tc>
        <w:tc>
          <w:tcPr>
            <w:tcW w:w="1232" w:type="pct"/>
            <w:shd w:val="pct20" w:color="000000" w:fill="FFFFFF"/>
            <w:vAlign w:val="center"/>
          </w:tcPr>
          <w:p w:rsidR="00157C32" w:rsidRPr="00683518" w:rsidRDefault="00157C32" w:rsidP="00157C32">
            <w:pPr>
              <w:rPr>
                <w:sz w:val="20"/>
                <w:szCs w:val="20"/>
              </w:rPr>
            </w:pPr>
            <w:r w:rsidRPr="00683518">
              <w:rPr>
                <w:sz w:val="20"/>
                <w:szCs w:val="20"/>
              </w:rPr>
              <w:t>No</w:t>
            </w:r>
          </w:p>
        </w:tc>
      </w:tr>
      <w:tr w:rsidR="00157C32" w:rsidRPr="00683518" w:rsidTr="00157C32">
        <w:trPr>
          <w:trHeight w:val="304"/>
          <w:jc w:val="center"/>
        </w:trPr>
        <w:tc>
          <w:tcPr>
            <w:tcW w:w="3768" w:type="pct"/>
            <w:shd w:val="pct5" w:color="000000" w:fill="FFFFFF"/>
            <w:vAlign w:val="center"/>
          </w:tcPr>
          <w:p w:rsidR="00157C32" w:rsidRPr="00683518" w:rsidRDefault="00157C32" w:rsidP="00157C32">
            <w:pPr>
              <w:rPr>
                <w:sz w:val="20"/>
                <w:szCs w:val="20"/>
              </w:rPr>
            </w:pPr>
            <w:r w:rsidRPr="00683518">
              <w:rPr>
                <w:sz w:val="20"/>
                <w:szCs w:val="20"/>
              </w:rPr>
              <w:t>DEER Building Prototypes Used</w:t>
            </w:r>
          </w:p>
        </w:tc>
        <w:tc>
          <w:tcPr>
            <w:tcW w:w="1232" w:type="pct"/>
            <w:shd w:val="pct5" w:color="000000" w:fill="FFFFFF"/>
            <w:vAlign w:val="center"/>
          </w:tcPr>
          <w:p w:rsidR="00157C32" w:rsidRPr="00683518" w:rsidRDefault="00157C32" w:rsidP="00157C32">
            <w:pPr>
              <w:rPr>
                <w:sz w:val="20"/>
                <w:szCs w:val="20"/>
              </w:rPr>
            </w:pPr>
            <w:r w:rsidRPr="00683518">
              <w:rPr>
                <w:sz w:val="20"/>
                <w:szCs w:val="20"/>
              </w:rPr>
              <w:t xml:space="preserve">Yes </w:t>
            </w:r>
          </w:p>
        </w:tc>
      </w:tr>
      <w:tr w:rsidR="00157C32" w:rsidRPr="00683518" w:rsidTr="00157C32">
        <w:trPr>
          <w:trHeight w:val="304"/>
          <w:jc w:val="center"/>
        </w:trPr>
        <w:tc>
          <w:tcPr>
            <w:tcW w:w="3768" w:type="pct"/>
            <w:shd w:val="pct20" w:color="000000" w:fill="FFFFFF"/>
            <w:vAlign w:val="center"/>
          </w:tcPr>
          <w:p w:rsidR="00157C32" w:rsidRPr="00683518" w:rsidRDefault="00157C32" w:rsidP="00157C32">
            <w:pPr>
              <w:rPr>
                <w:sz w:val="20"/>
                <w:szCs w:val="20"/>
              </w:rPr>
            </w:pPr>
            <w:r w:rsidRPr="00683518">
              <w:rPr>
                <w:sz w:val="20"/>
                <w:szCs w:val="20"/>
              </w:rPr>
              <w:t>Deviation from DEER</w:t>
            </w:r>
          </w:p>
        </w:tc>
        <w:tc>
          <w:tcPr>
            <w:tcW w:w="1232" w:type="pct"/>
            <w:shd w:val="pct20" w:color="000000" w:fill="FFFFFF"/>
            <w:vAlign w:val="center"/>
          </w:tcPr>
          <w:p w:rsidR="00157C32" w:rsidRPr="00683518" w:rsidRDefault="00157C32" w:rsidP="00157C32">
            <w:pPr>
              <w:rPr>
                <w:sz w:val="20"/>
                <w:szCs w:val="20"/>
              </w:rPr>
            </w:pPr>
            <w:r w:rsidRPr="00683518">
              <w:rPr>
                <w:sz w:val="20"/>
                <w:szCs w:val="20"/>
              </w:rPr>
              <w:t>N/A</w:t>
            </w:r>
          </w:p>
        </w:tc>
      </w:tr>
      <w:tr w:rsidR="00157C32" w:rsidRPr="00683518" w:rsidTr="00157C32">
        <w:trPr>
          <w:trHeight w:val="304"/>
          <w:jc w:val="center"/>
        </w:trPr>
        <w:tc>
          <w:tcPr>
            <w:tcW w:w="3768" w:type="pct"/>
            <w:shd w:val="pct5" w:color="000000" w:fill="FFFFFF"/>
            <w:vAlign w:val="center"/>
          </w:tcPr>
          <w:p w:rsidR="00157C32" w:rsidRPr="00683518" w:rsidRDefault="00157C32" w:rsidP="00157C32">
            <w:pPr>
              <w:rPr>
                <w:sz w:val="20"/>
                <w:szCs w:val="20"/>
              </w:rPr>
            </w:pPr>
            <w:r w:rsidRPr="00683518">
              <w:rPr>
                <w:sz w:val="20"/>
                <w:szCs w:val="20"/>
              </w:rPr>
              <w:t>DEER Version</w:t>
            </w:r>
          </w:p>
        </w:tc>
        <w:tc>
          <w:tcPr>
            <w:tcW w:w="1232" w:type="pct"/>
            <w:shd w:val="pct5" w:color="000000" w:fill="FFFFFF"/>
            <w:vAlign w:val="center"/>
          </w:tcPr>
          <w:p w:rsidR="00157C32" w:rsidRPr="00683518" w:rsidRDefault="00157C32" w:rsidP="00157C32">
            <w:pPr>
              <w:rPr>
                <w:sz w:val="20"/>
                <w:szCs w:val="20"/>
              </w:rPr>
            </w:pPr>
            <w:r w:rsidRPr="00683518">
              <w:rPr>
                <w:sz w:val="20"/>
                <w:szCs w:val="20"/>
              </w:rPr>
              <w:t>N/A</w:t>
            </w:r>
          </w:p>
        </w:tc>
      </w:tr>
      <w:tr w:rsidR="00157C32" w:rsidRPr="00683518" w:rsidTr="00157C32">
        <w:trPr>
          <w:trHeight w:val="304"/>
          <w:jc w:val="center"/>
        </w:trPr>
        <w:tc>
          <w:tcPr>
            <w:tcW w:w="3768" w:type="pct"/>
            <w:shd w:val="pct20" w:color="000000" w:fill="FFFFFF"/>
            <w:vAlign w:val="center"/>
          </w:tcPr>
          <w:p w:rsidR="00157C32" w:rsidRPr="00683518" w:rsidRDefault="00157C32" w:rsidP="00157C32">
            <w:pPr>
              <w:rPr>
                <w:sz w:val="20"/>
                <w:szCs w:val="20"/>
              </w:rPr>
            </w:pPr>
            <w:r w:rsidRPr="00683518">
              <w:rPr>
                <w:sz w:val="20"/>
                <w:szCs w:val="20"/>
              </w:rPr>
              <w:t xml:space="preserve">DEER Run ID and Measure Name </w:t>
            </w:r>
          </w:p>
        </w:tc>
        <w:tc>
          <w:tcPr>
            <w:tcW w:w="1232" w:type="pct"/>
            <w:shd w:val="pct20" w:color="000000" w:fill="FFFFFF"/>
            <w:vAlign w:val="center"/>
          </w:tcPr>
          <w:p w:rsidR="00157C32" w:rsidRPr="00683518" w:rsidRDefault="00157C32" w:rsidP="00157C32">
            <w:pPr>
              <w:rPr>
                <w:sz w:val="20"/>
                <w:szCs w:val="20"/>
              </w:rPr>
            </w:pPr>
            <w:r w:rsidRPr="00683518">
              <w:rPr>
                <w:sz w:val="20"/>
                <w:szCs w:val="20"/>
              </w:rPr>
              <w:t>N/A</w:t>
            </w:r>
          </w:p>
        </w:tc>
      </w:tr>
    </w:tbl>
    <w:p w:rsidR="000968C6" w:rsidRDefault="000968C6" w:rsidP="000968C6">
      <w:pPr>
        <w:pStyle w:val="Reminders"/>
        <w:rPr>
          <w:rFonts w:asciiTheme="minorHAnsi" w:hAnsiTheme="minorHAnsi" w:cstheme="minorHAnsi"/>
          <w:szCs w:val="22"/>
        </w:rPr>
      </w:pPr>
    </w:p>
    <w:p w:rsidR="008C2E0E" w:rsidRPr="000F71F0" w:rsidRDefault="000968C6" w:rsidP="000968C6">
      <w:pPr>
        <w:pStyle w:val="Reminders"/>
        <w:rPr>
          <w:rFonts w:asciiTheme="minorHAnsi" w:hAnsiTheme="minorHAnsi" w:cstheme="minorHAnsi"/>
          <w:b/>
          <w:i w:val="0"/>
          <w:color w:val="auto"/>
          <w:szCs w:val="22"/>
        </w:rPr>
      </w:pPr>
      <w:r w:rsidRPr="000968C6">
        <w:rPr>
          <w:rFonts w:asciiTheme="minorHAnsi" w:hAnsiTheme="minorHAnsi" w:cstheme="minorHAnsi"/>
          <w:b/>
          <w:i w:val="0"/>
          <w:color w:val="auto"/>
          <w:szCs w:val="22"/>
        </w:rPr>
        <w:t>Net to Gross</w:t>
      </w:r>
    </w:p>
    <w:p w:rsidR="000968C6" w:rsidRPr="00F12A99" w:rsidRDefault="000968C6" w:rsidP="004A5AD0">
      <w:r w:rsidRPr="00F12A99">
        <w:t xml:space="preserve">The NTG value was obtained from the “DEER2011_NTGR_2012-05-16.xls” on the DEER website as required by Version </w:t>
      </w:r>
      <w:r w:rsidR="006B4A48" w:rsidRPr="00F12A99">
        <w:t>5</w:t>
      </w:r>
      <w:r w:rsidRPr="00F12A99">
        <w:t xml:space="preserve"> of the California Public Utilities Commission (CPUC) Energy Efficiency Policy Manual </w:t>
      </w:r>
      <w:r w:rsidR="009138A0" w:rsidRPr="00F12A99">
        <w:t>[351]</w:t>
      </w:r>
      <w:r w:rsidRPr="00F12A99">
        <w:t xml:space="preserve">. The relevant NTGR for this measure is shown in </w:t>
      </w:r>
      <w:r w:rsidR="004A5AD0">
        <w:fldChar w:fldCharType="begin"/>
      </w:r>
      <w:r w:rsidR="004A5AD0">
        <w:instrText xml:space="preserve"> REF _Ref386198731 \h  \* MERGEFORMAT </w:instrText>
      </w:r>
      <w:r w:rsidR="004A5AD0">
        <w:fldChar w:fldCharType="separate"/>
      </w:r>
      <w:r w:rsidR="004A5AD0">
        <w:t xml:space="preserve">Table </w:t>
      </w:r>
      <w:r w:rsidR="004A5AD0">
        <w:rPr>
          <w:noProof/>
        </w:rPr>
        <w:t>3</w:t>
      </w:r>
      <w:r w:rsidR="004A5AD0">
        <w:fldChar w:fldCharType="end"/>
      </w:r>
      <w:r w:rsidR="004A5AD0">
        <w:t xml:space="preserve"> </w:t>
      </w:r>
      <w:r w:rsidRPr="00F12A99">
        <w:t>below.</w:t>
      </w:r>
      <w:r w:rsidR="0067437C" w:rsidRPr="00F12A99">
        <w:t xml:space="preserve"> </w:t>
      </w:r>
    </w:p>
    <w:p w:rsidR="000968C6" w:rsidRPr="00697868" w:rsidRDefault="000968C6" w:rsidP="000968C6">
      <w:pPr>
        <w:rPr>
          <w:rFonts w:cstheme="minorHAnsi"/>
          <w:szCs w:val="22"/>
        </w:rPr>
      </w:pPr>
    </w:p>
    <w:p w:rsidR="000968C6" w:rsidRPr="00697868" w:rsidRDefault="000968C6" w:rsidP="000968C6">
      <w:pPr>
        <w:pStyle w:val="Caption"/>
        <w:jc w:val="center"/>
        <w:rPr>
          <w:rFonts w:cstheme="minorHAnsi"/>
          <w:szCs w:val="22"/>
        </w:rPr>
      </w:pPr>
    </w:p>
    <w:p w:rsidR="004A5AD0" w:rsidRDefault="004A5AD0" w:rsidP="004A5AD0">
      <w:pPr>
        <w:pStyle w:val="Caption"/>
        <w:keepNext/>
        <w:jc w:val="center"/>
      </w:pPr>
      <w:bookmarkStart w:id="15" w:name="_Ref386198731"/>
      <w:r w:rsidRPr="00296CEB">
        <w:rPr>
          <w:rFonts w:cstheme="minorHAnsi"/>
          <w:szCs w:val="22"/>
        </w:rPr>
        <w:t xml:space="preserve">Table </w:t>
      </w:r>
      <w:r w:rsidR="00296CEB" w:rsidRPr="00296CEB">
        <w:rPr>
          <w:rFonts w:cstheme="minorHAnsi"/>
          <w:szCs w:val="22"/>
        </w:rPr>
        <w:fldChar w:fldCharType="begin"/>
      </w:r>
      <w:r w:rsidR="00296CEB" w:rsidRPr="00296CEB">
        <w:rPr>
          <w:rFonts w:cstheme="minorHAnsi"/>
          <w:szCs w:val="22"/>
        </w:rPr>
        <w:instrText xml:space="preserve"> SEQ Table \* ARABIC </w:instrText>
      </w:r>
      <w:r w:rsidR="00296CEB" w:rsidRPr="00296CEB">
        <w:rPr>
          <w:rFonts w:cstheme="minorHAnsi"/>
          <w:szCs w:val="22"/>
        </w:rPr>
        <w:fldChar w:fldCharType="separate"/>
      </w:r>
      <w:r w:rsidRPr="00296CEB">
        <w:rPr>
          <w:rFonts w:cstheme="minorHAnsi"/>
          <w:szCs w:val="22"/>
        </w:rPr>
        <w:t>3</w:t>
      </w:r>
      <w:r w:rsidR="00296CEB" w:rsidRPr="00296CEB">
        <w:rPr>
          <w:rFonts w:cstheme="minorHAnsi"/>
          <w:szCs w:val="22"/>
        </w:rPr>
        <w:fldChar w:fldCharType="end"/>
      </w:r>
      <w:bookmarkEnd w:id="15"/>
      <w:r w:rsidRPr="00296CEB">
        <w:rPr>
          <w:rFonts w:cstheme="minorHAnsi"/>
          <w:szCs w:val="22"/>
        </w:rPr>
        <w:t xml:space="preserve"> </w:t>
      </w:r>
      <w:r w:rsidRPr="00697868">
        <w:rPr>
          <w:rFonts w:cstheme="minorHAnsi"/>
          <w:szCs w:val="22"/>
        </w:rPr>
        <w:t>Net-to-Gross Ratio</w:t>
      </w:r>
    </w:p>
    <w:tbl>
      <w:tblPr>
        <w:tblStyle w:val="TableContemporary"/>
        <w:tblW w:w="4381" w:type="pct"/>
        <w:jc w:val="center"/>
        <w:tblInd w:w="1186" w:type="dxa"/>
        <w:tblLook w:val="01E0" w:firstRow="1" w:lastRow="1" w:firstColumn="1" w:lastColumn="1" w:noHBand="0" w:noVBand="0"/>
      </w:tblPr>
      <w:tblGrid>
        <w:gridCol w:w="1439"/>
        <w:gridCol w:w="1804"/>
        <w:gridCol w:w="1398"/>
        <w:gridCol w:w="1717"/>
        <w:gridCol w:w="1279"/>
        <w:gridCol w:w="753"/>
      </w:tblGrid>
      <w:tr w:rsidR="000968C6" w:rsidRPr="00697868" w:rsidTr="00B36A2E">
        <w:trPr>
          <w:cnfStyle w:val="100000000000" w:firstRow="1" w:lastRow="0" w:firstColumn="0" w:lastColumn="0" w:oddVBand="0" w:evenVBand="0" w:oddHBand="0" w:evenHBand="0" w:firstRowFirstColumn="0" w:firstRowLastColumn="0" w:lastRowFirstColumn="0" w:lastRowLastColumn="0"/>
          <w:jc w:val="center"/>
        </w:trPr>
        <w:tc>
          <w:tcPr>
            <w:tcW w:w="858" w:type="pct"/>
            <w:vAlign w:val="center"/>
          </w:tcPr>
          <w:p w:rsidR="000968C6" w:rsidRPr="00697868" w:rsidRDefault="000968C6" w:rsidP="009824E9">
            <w:pPr>
              <w:jc w:val="center"/>
              <w:rPr>
                <w:rFonts w:asciiTheme="minorHAnsi" w:hAnsiTheme="minorHAnsi" w:cstheme="minorHAnsi"/>
                <w:szCs w:val="20"/>
              </w:rPr>
            </w:pPr>
            <w:r w:rsidRPr="00697868">
              <w:rPr>
                <w:rFonts w:asciiTheme="minorHAnsi" w:hAnsiTheme="minorHAnsi" w:cstheme="minorHAnsi"/>
                <w:szCs w:val="20"/>
              </w:rPr>
              <w:t>NTGR_ID*</w:t>
            </w:r>
          </w:p>
        </w:tc>
        <w:tc>
          <w:tcPr>
            <w:tcW w:w="1075" w:type="pct"/>
            <w:vAlign w:val="center"/>
          </w:tcPr>
          <w:p w:rsidR="000968C6" w:rsidRPr="00697868" w:rsidRDefault="000968C6" w:rsidP="009824E9">
            <w:pPr>
              <w:jc w:val="center"/>
              <w:rPr>
                <w:rFonts w:asciiTheme="minorHAnsi" w:hAnsiTheme="minorHAnsi" w:cstheme="minorHAnsi"/>
                <w:szCs w:val="20"/>
              </w:rPr>
            </w:pPr>
            <w:r w:rsidRPr="00697868">
              <w:rPr>
                <w:rFonts w:asciiTheme="minorHAnsi" w:hAnsiTheme="minorHAnsi" w:cstheme="minorHAnsi"/>
                <w:szCs w:val="20"/>
              </w:rPr>
              <w:t>Description*</w:t>
            </w:r>
          </w:p>
        </w:tc>
        <w:tc>
          <w:tcPr>
            <w:tcW w:w="833" w:type="pct"/>
            <w:vAlign w:val="center"/>
          </w:tcPr>
          <w:p w:rsidR="000968C6" w:rsidRPr="00697868" w:rsidRDefault="000968C6" w:rsidP="009824E9">
            <w:pPr>
              <w:jc w:val="center"/>
              <w:rPr>
                <w:rFonts w:asciiTheme="minorHAnsi" w:hAnsiTheme="minorHAnsi" w:cstheme="minorHAnsi"/>
                <w:szCs w:val="20"/>
              </w:rPr>
            </w:pPr>
            <w:r w:rsidRPr="00697868">
              <w:rPr>
                <w:rFonts w:asciiTheme="minorHAnsi" w:hAnsiTheme="minorHAnsi" w:cstheme="minorHAnsi"/>
                <w:szCs w:val="20"/>
              </w:rPr>
              <w:t>Sector*</w:t>
            </w:r>
          </w:p>
        </w:tc>
        <w:tc>
          <w:tcPr>
            <w:tcW w:w="1023" w:type="pct"/>
            <w:vAlign w:val="center"/>
          </w:tcPr>
          <w:p w:rsidR="000968C6" w:rsidRPr="00697868" w:rsidRDefault="000968C6" w:rsidP="009824E9">
            <w:pPr>
              <w:jc w:val="center"/>
              <w:rPr>
                <w:rFonts w:asciiTheme="minorHAnsi" w:hAnsiTheme="minorHAnsi" w:cstheme="minorHAnsi"/>
                <w:szCs w:val="20"/>
              </w:rPr>
            </w:pPr>
            <w:proofErr w:type="spellStart"/>
            <w:r w:rsidRPr="00697868">
              <w:rPr>
                <w:rFonts w:asciiTheme="minorHAnsi" w:hAnsiTheme="minorHAnsi" w:cstheme="minorHAnsi"/>
                <w:szCs w:val="20"/>
              </w:rPr>
              <w:t>BldgType</w:t>
            </w:r>
            <w:proofErr w:type="spellEnd"/>
            <w:r w:rsidRPr="00697868">
              <w:rPr>
                <w:rFonts w:asciiTheme="minorHAnsi" w:hAnsiTheme="minorHAnsi" w:cstheme="minorHAnsi"/>
                <w:szCs w:val="20"/>
              </w:rPr>
              <w:t>*</w:t>
            </w:r>
          </w:p>
        </w:tc>
        <w:tc>
          <w:tcPr>
            <w:tcW w:w="762" w:type="pct"/>
          </w:tcPr>
          <w:p w:rsidR="000968C6" w:rsidRPr="00697868" w:rsidRDefault="000968C6" w:rsidP="009824E9">
            <w:pPr>
              <w:jc w:val="center"/>
              <w:rPr>
                <w:rFonts w:asciiTheme="minorHAnsi" w:hAnsiTheme="minorHAnsi" w:cstheme="minorHAnsi"/>
                <w:szCs w:val="20"/>
              </w:rPr>
            </w:pPr>
            <w:proofErr w:type="spellStart"/>
            <w:r w:rsidRPr="00697868">
              <w:rPr>
                <w:rFonts w:asciiTheme="minorHAnsi" w:hAnsiTheme="minorHAnsi" w:cstheme="minorHAnsi"/>
                <w:szCs w:val="20"/>
              </w:rPr>
              <w:t>ProgDelivID</w:t>
            </w:r>
            <w:proofErr w:type="spellEnd"/>
          </w:p>
        </w:tc>
        <w:tc>
          <w:tcPr>
            <w:tcW w:w="449" w:type="pct"/>
            <w:vAlign w:val="center"/>
          </w:tcPr>
          <w:p w:rsidR="000968C6" w:rsidRPr="00697868" w:rsidRDefault="000968C6" w:rsidP="009824E9">
            <w:pPr>
              <w:jc w:val="center"/>
              <w:rPr>
                <w:rFonts w:asciiTheme="minorHAnsi" w:hAnsiTheme="minorHAnsi" w:cstheme="minorHAnsi"/>
                <w:szCs w:val="20"/>
              </w:rPr>
            </w:pPr>
            <w:r w:rsidRPr="00697868">
              <w:rPr>
                <w:rFonts w:asciiTheme="minorHAnsi" w:hAnsiTheme="minorHAnsi" w:cstheme="minorHAnsi"/>
                <w:szCs w:val="20"/>
              </w:rPr>
              <w:t>NTG*</w:t>
            </w:r>
          </w:p>
        </w:tc>
      </w:tr>
      <w:tr w:rsidR="00B36A2E" w:rsidRPr="00697868" w:rsidTr="00B36A2E">
        <w:trPr>
          <w:cnfStyle w:val="000000100000" w:firstRow="0" w:lastRow="0" w:firstColumn="0" w:lastColumn="0" w:oddVBand="0" w:evenVBand="0" w:oddHBand="1" w:evenHBand="0" w:firstRowFirstColumn="0" w:firstRowLastColumn="0" w:lastRowFirstColumn="0" w:lastRowLastColumn="0"/>
          <w:jc w:val="center"/>
        </w:trPr>
        <w:tc>
          <w:tcPr>
            <w:tcW w:w="858" w:type="pct"/>
            <w:vAlign w:val="center"/>
          </w:tcPr>
          <w:p w:rsidR="00B36A2E" w:rsidRPr="00683518" w:rsidRDefault="00B31B73" w:rsidP="007517A3">
            <w:pPr>
              <w:jc w:val="center"/>
              <w:rPr>
                <w:szCs w:val="20"/>
              </w:rPr>
            </w:pPr>
            <w:r>
              <w:rPr>
                <w:szCs w:val="20"/>
              </w:rPr>
              <w:t>Com-Default-HTR</w:t>
            </w:r>
            <w:r w:rsidR="00B36A2E" w:rsidRPr="00683518">
              <w:rPr>
                <w:szCs w:val="20"/>
              </w:rPr>
              <w:t>-di</w:t>
            </w:r>
          </w:p>
        </w:tc>
        <w:tc>
          <w:tcPr>
            <w:tcW w:w="1075" w:type="pct"/>
            <w:vAlign w:val="center"/>
          </w:tcPr>
          <w:p w:rsidR="00B36A2E" w:rsidRPr="00683518" w:rsidRDefault="00B36A2E" w:rsidP="007517A3">
            <w:pPr>
              <w:jc w:val="center"/>
              <w:rPr>
                <w:szCs w:val="20"/>
              </w:rPr>
            </w:pPr>
            <w:r w:rsidRPr="00683518">
              <w:rPr>
                <w:szCs w:val="20"/>
              </w:rPr>
              <w:t>All other EEM with no evaluated NTGR; direct install to hard-to-reach only.</w:t>
            </w:r>
          </w:p>
        </w:tc>
        <w:tc>
          <w:tcPr>
            <w:tcW w:w="833" w:type="pct"/>
            <w:vAlign w:val="center"/>
          </w:tcPr>
          <w:p w:rsidR="00B36A2E" w:rsidRPr="00683518" w:rsidRDefault="00B36A2E" w:rsidP="007517A3">
            <w:pPr>
              <w:jc w:val="center"/>
              <w:rPr>
                <w:szCs w:val="20"/>
              </w:rPr>
            </w:pPr>
            <w:r w:rsidRPr="00683518">
              <w:rPr>
                <w:szCs w:val="20"/>
              </w:rPr>
              <w:t>Com</w:t>
            </w:r>
          </w:p>
        </w:tc>
        <w:tc>
          <w:tcPr>
            <w:tcW w:w="1023" w:type="pct"/>
            <w:vAlign w:val="center"/>
          </w:tcPr>
          <w:p w:rsidR="00B36A2E" w:rsidRPr="00683518" w:rsidRDefault="00B36A2E" w:rsidP="007517A3">
            <w:pPr>
              <w:jc w:val="center"/>
              <w:rPr>
                <w:szCs w:val="20"/>
              </w:rPr>
            </w:pPr>
            <w:r w:rsidRPr="00683518">
              <w:rPr>
                <w:szCs w:val="20"/>
              </w:rPr>
              <w:t>Any</w:t>
            </w:r>
          </w:p>
        </w:tc>
        <w:tc>
          <w:tcPr>
            <w:tcW w:w="762" w:type="pct"/>
            <w:vAlign w:val="center"/>
          </w:tcPr>
          <w:p w:rsidR="00B36A2E" w:rsidRPr="00683518" w:rsidRDefault="00B36A2E" w:rsidP="007517A3">
            <w:pPr>
              <w:jc w:val="center"/>
              <w:rPr>
                <w:szCs w:val="20"/>
              </w:rPr>
            </w:pPr>
            <w:proofErr w:type="spellStart"/>
            <w:r w:rsidRPr="00683518">
              <w:rPr>
                <w:szCs w:val="20"/>
              </w:rPr>
              <w:t>DirInstall</w:t>
            </w:r>
            <w:proofErr w:type="spellEnd"/>
          </w:p>
        </w:tc>
        <w:tc>
          <w:tcPr>
            <w:tcW w:w="449" w:type="pct"/>
            <w:vAlign w:val="center"/>
          </w:tcPr>
          <w:p w:rsidR="00B36A2E" w:rsidRPr="00683518" w:rsidRDefault="00B36A2E" w:rsidP="007517A3">
            <w:pPr>
              <w:jc w:val="center"/>
              <w:rPr>
                <w:szCs w:val="20"/>
              </w:rPr>
            </w:pPr>
            <w:r w:rsidRPr="00683518">
              <w:rPr>
                <w:szCs w:val="20"/>
              </w:rPr>
              <w:t>0.85</w:t>
            </w:r>
          </w:p>
        </w:tc>
      </w:tr>
    </w:tbl>
    <w:p w:rsidR="000968C6" w:rsidRPr="00697868" w:rsidRDefault="000968C6" w:rsidP="000968C6">
      <w:pPr>
        <w:ind w:firstLine="720"/>
        <w:rPr>
          <w:rFonts w:cstheme="minorHAnsi"/>
          <w:sz w:val="20"/>
          <w:szCs w:val="20"/>
        </w:rPr>
      </w:pPr>
      <w:r w:rsidRPr="00697868">
        <w:rPr>
          <w:rFonts w:cstheme="minorHAnsi"/>
          <w:sz w:val="20"/>
          <w:szCs w:val="20"/>
        </w:rPr>
        <w:t>*Denotes that the column is taken from the DEER NTG Table.</w:t>
      </w:r>
    </w:p>
    <w:p w:rsidR="000968C6" w:rsidRPr="000968C6" w:rsidRDefault="000968C6" w:rsidP="000968C6">
      <w:pPr>
        <w:pStyle w:val="Reminders"/>
        <w:rPr>
          <w:rFonts w:asciiTheme="minorHAnsi" w:hAnsiTheme="minorHAnsi" w:cstheme="minorHAnsi"/>
          <w:i w:val="0"/>
          <w:color w:val="auto"/>
          <w:szCs w:val="22"/>
        </w:rPr>
      </w:pPr>
    </w:p>
    <w:p w:rsidR="000968C6" w:rsidRPr="000968C6" w:rsidRDefault="000968C6" w:rsidP="000968C6">
      <w:pPr>
        <w:pStyle w:val="Reminders"/>
        <w:rPr>
          <w:rFonts w:asciiTheme="minorHAnsi" w:hAnsiTheme="minorHAnsi" w:cstheme="minorHAnsi"/>
          <w:b/>
          <w:i w:val="0"/>
          <w:color w:val="auto"/>
          <w:szCs w:val="22"/>
        </w:rPr>
      </w:pPr>
      <w:r w:rsidRPr="000968C6">
        <w:rPr>
          <w:rFonts w:asciiTheme="minorHAnsi" w:hAnsiTheme="minorHAnsi" w:cstheme="minorHAnsi"/>
          <w:b/>
          <w:i w:val="0"/>
          <w:color w:val="auto"/>
          <w:szCs w:val="22"/>
        </w:rPr>
        <w:t>Installation Rate</w:t>
      </w:r>
    </w:p>
    <w:p w:rsidR="000968C6" w:rsidRPr="00F12A99" w:rsidRDefault="000968C6" w:rsidP="00F12A99">
      <w:pPr>
        <w:pStyle w:val="Reminders"/>
        <w:rPr>
          <w:rFonts w:asciiTheme="minorHAnsi" w:hAnsiTheme="minorHAnsi" w:cstheme="minorHAnsi"/>
          <w:i w:val="0"/>
          <w:color w:val="auto"/>
          <w:szCs w:val="22"/>
        </w:rPr>
      </w:pPr>
      <w:r w:rsidRPr="00F12A99">
        <w:rPr>
          <w:rFonts w:asciiTheme="minorHAnsi" w:hAnsiTheme="minorHAnsi" w:cstheme="minorHAnsi"/>
          <w:i w:val="0"/>
          <w:color w:val="auto"/>
          <w:szCs w:val="22"/>
        </w:rPr>
        <w:t xml:space="preserve">The installation rate (IR) is identified in the calculation attachment. This value is obtained from </w:t>
      </w:r>
      <w:r w:rsidR="00240B74" w:rsidRPr="00F12A99">
        <w:rPr>
          <w:rFonts w:asciiTheme="minorHAnsi" w:hAnsiTheme="minorHAnsi" w:cstheme="minorHAnsi"/>
          <w:i w:val="0"/>
          <w:color w:val="auto"/>
          <w:szCs w:val="22"/>
        </w:rPr>
        <w:t xml:space="preserve">the support table available in </w:t>
      </w:r>
      <w:proofErr w:type="spellStart"/>
      <w:r w:rsidR="00240B74" w:rsidRPr="00F12A99">
        <w:rPr>
          <w:rFonts w:asciiTheme="minorHAnsi" w:hAnsiTheme="minorHAnsi" w:cstheme="minorHAnsi"/>
          <w:i w:val="0"/>
          <w:color w:val="auto"/>
          <w:szCs w:val="22"/>
        </w:rPr>
        <w:t>READi</w:t>
      </w:r>
      <w:proofErr w:type="spellEnd"/>
      <w:r w:rsidR="00240B74" w:rsidRPr="00F12A99">
        <w:rPr>
          <w:rFonts w:asciiTheme="minorHAnsi" w:hAnsiTheme="minorHAnsi" w:cstheme="minorHAnsi"/>
          <w:i w:val="0"/>
          <w:color w:val="auto"/>
          <w:szCs w:val="22"/>
        </w:rPr>
        <w:t xml:space="preserve">. Currently </w:t>
      </w:r>
      <w:r w:rsidR="00413CDB" w:rsidRPr="00F12A99">
        <w:rPr>
          <w:rFonts w:asciiTheme="minorHAnsi" w:hAnsiTheme="minorHAnsi" w:cstheme="minorHAnsi"/>
          <w:i w:val="0"/>
          <w:color w:val="auto"/>
          <w:szCs w:val="22"/>
        </w:rPr>
        <w:t>there is no versioning on</w:t>
      </w:r>
      <w:r w:rsidR="00240B74" w:rsidRPr="00F12A99">
        <w:rPr>
          <w:rFonts w:asciiTheme="minorHAnsi" w:hAnsiTheme="minorHAnsi" w:cstheme="minorHAnsi"/>
          <w:i w:val="0"/>
          <w:color w:val="auto"/>
          <w:szCs w:val="22"/>
        </w:rPr>
        <w:t xml:space="preserve"> the installation rate table</w:t>
      </w:r>
      <w:r w:rsidR="00413CDB" w:rsidRPr="00F12A99">
        <w:rPr>
          <w:rFonts w:asciiTheme="minorHAnsi" w:hAnsiTheme="minorHAnsi" w:cstheme="minorHAnsi"/>
          <w:i w:val="0"/>
          <w:color w:val="auto"/>
          <w:szCs w:val="22"/>
        </w:rPr>
        <w:t>. To address appropriate selection of the installation rate</w:t>
      </w:r>
      <w:r w:rsidR="00240B74" w:rsidRPr="00F12A99">
        <w:rPr>
          <w:rFonts w:asciiTheme="minorHAnsi" w:hAnsiTheme="minorHAnsi" w:cstheme="minorHAnsi"/>
          <w:i w:val="0"/>
          <w:color w:val="auto"/>
          <w:szCs w:val="22"/>
        </w:rPr>
        <w:t xml:space="preserve"> the date of the workpaper will serve as the last date checked for updated IR values.</w:t>
      </w:r>
      <w:r w:rsidRPr="00F12A99">
        <w:rPr>
          <w:rFonts w:asciiTheme="minorHAnsi" w:hAnsiTheme="minorHAnsi" w:cstheme="minorHAnsi"/>
          <w:i w:val="0"/>
          <w:color w:val="auto"/>
          <w:szCs w:val="22"/>
        </w:rPr>
        <w:t xml:space="preserve"> The installation rate varies by end use, sector, technology, application, and delivery method.</w:t>
      </w:r>
      <w:r w:rsidR="006B4A48" w:rsidRPr="00F12A99">
        <w:rPr>
          <w:rFonts w:asciiTheme="minorHAnsi" w:hAnsiTheme="minorHAnsi" w:cstheme="minorHAnsi"/>
          <w:i w:val="0"/>
          <w:color w:val="auto"/>
          <w:szCs w:val="22"/>
        </w:rPr>
        <w:t xml:space="preserve"> The relevant IR values for this measure are shown in </w:t>
      </w:r>
      <w:r w:rsidR="00413CDB" w:rsidRPr="00F12A99">
        <w:rPr>
          <w:rFonts w:asciiTheme="minorHAnsi" w:hAnsiTheme="minorHAnsi" w:cstheme="minorHAnsi"/>
          <w:i w:val="0"/>
          <w:color w:val="auto"/>
          <w:szCs w:val="22"/>
        </w:rPr>
        <w:fldChar w:fldCharType="begin"/>
      </w:r>
      <w:r w:rsidR="00413CDB" w:rsidRPr="00F12A99">
        <w:rPr>
          <w:rFonts w:asciiTheme="minorHAnsi" w:hAnsiTheme="minorHAnsi" w:cstheme="minorHAnsi"/>
          <w:i w:val="0"/>
          <w:color w:val="auto"/>
          <w:szCs w:val="22"/>
        </w:rPr>
        <w:instrText xml:space="preserve"> REF _Ref377965904 \h  \* MERGEFORMAT </w:instrText>
      </w:r>
      <w:r w:rsidR="00413CDB" w:rsidRPr="00F12A99">
        <w:rPr>
          <w:rFonts w:asciiTheme="minorHAnsi" w:hAnsiTheme="minorHAnsi" w:cstheme="minorHAnsi"/>
          <w:i w:val="0"/>
          <w:color w:val="auto"/>
          <w:szCs w:val="22"/>
        </w:rPr>
      </w:r>
      <w:r w:rsidR="00413CDB" w:rsidRPr="00F12A99">
        <w:rPr>
          <w:rFonts w:asciiTheme="minorHAnsi" w:hAnsiTheme="minorHAnsi" w:cstheme="minorHAnsi"/>
          <w:i w:val="0"/>
          <w:color w:val="auto"/>
          <w:szCs w:val="22"/>
        </w:rPr>
        <w:fldChar w:fldCharType="separate"/>
      </w:r>
      <w:r w:rsidR="004A5AD0" w:rsidRPr="004A5AD0">
        <w:rPr>
          <w:rFonts w:asciiTheme="minorHAnsi" w:hAnsiTheme="minorHAnsi" w:cstheme="minorHAnsi"/>
          <w:i w:val="0"/>
          <w:color w:val="auto"/>
          <w:szCs w:val="22"/>
        </w:rPr>
        <w:t>Table 4</w:t>
      </w:r>
      <w:r w:rsidR="00413CDB" w:rsidRPr="00F12A99">
        <w:rPr>
          <w:rFonts w:asciiTheme="minorHAnsi" w:hAnsiTheme="minorHAnsi" w:cstheme="minorHAnsi"/>
          <w:i w:val="0"/>
          <w:color w:val="auto"/>
          <w:szCs w:val="22"/>
        </w:rPr>
        <w:fldChar w:fldCharType="end"/>
      </w:r>
      <w:r w:rsidR="004A5AD0">
        <w:rPr>
          <w:rFonts w:asciiTheme="minorHAnsi" w:hAnsiTheme="minorHAnsi" w:cstheme="minorHAnsi"/>
          <w:i w:val="0"/>
          <w:color w:val="auto"/>
          <w:szCs w:val="22"/>
        </w:rPr>
        <w:t xml:space="preserve"> </w:t>
      </w:r>
      <w:r w:rsidR="006B4A48" w:rsidRPr="00F12A99">
        <w:rPr>
          <w:rFonts w:asciiTheme="minorHAnsi" w:hAnsiTheme="minorHAnsi" w:cstheme="minorHAnsi"/>
          <w:i w:val="0"/>
          <w:color w:val="auto"/>
          <w:szCs w:val="22"/>
        </w:rPr>
        <w:t>below.</w:t>
      </w:r>
    </w:p>
    <w:p w:rsidR="006B4A48" w:rsidRDefault="006B4A48" w:rsidP="000968C6">
      <w:pPr>
        <w:pStyle w:val="Reminders"/>
        <w:rPr>
          <w:rFonts w:asciiTheme="minorHAnsi" w:hAnsiTheme="minorHAnsi" w:cstheme="minorHAnsi"/>
          <w:i w:val="0"/>
          <w:color w:val="auto"/>
          <w:szCs w:val="22"/>
        </w:rPr>
      </w:pPr>
    </w:p>
    <w:p w:rsidR="00240B74" w:rsidRPr="00240B74" w:rsidRDefault="00240B74" w:rsidP="00240B74">
      <w:pPr>
        <w:pStyle w:val="Caption"/>
        <w:jc w:val="center"/>
        <w:rPr>
          <w:rFonts w:cstheme="minorHAnsi"/>
          <w:szCs w:val="22"/>
        </w:rPr>
      </w:pPr>
      <w:bookmarkStart w:id="16" w:name="_Ref377965904"/>
      <w:r w:rsidRPr="00240B74">
        <w:rPr>
          <w:rFonts w:cstheme="minorHAnsi"/>
          <w:szCs w:val="22"/>
        </w:rPr>
        <w:t xml:space="preserve">Table </w:t>
      </w:r>
      <w:r w:rsidRPr="00240B74">
        <w:rPr>
          <w:rFonts w:cstheme="minorHAnsi"/>
          <w:szCs w:val="22"/>
        </w:rPr>
        <w:fldChar w:fldCharType="begin"/>
      </w:r>
      <w:r w:rsidRPr="00240B74">
        <w:rPr>
          <w:rFonts w:cstheme="minorHAnsi"/>
          <w:szCs w:val="22"/>
        </w:rPr>
        <w:instrText xml:space="preserve"> SEQ Table \* ARABIC </w:instrText>
      </w:r>
      <w:r w:rsidRPr="00240B74">
        <w:rPr>
          <w:rFonts w:cstheme="minorHAnsi"/>
          <w:szCs w:val="22"/>
        </w:rPr>
        <w:fldChar w:fldCharType="separate"/>
      </w:r>
      <w:r w:rsidR="004A5AD0">
        <w:rPr>
          <w:rFonts w:cstheme="minorHAnsi"/>
          <w:noProof/>
          <w:szCs w:val="22"/>
        </w:rPr>
        <w:t>4</w:t>
      </w:r>
      <w:r w:rsidRPr="00240B74">
        <w:rPr>
          <w:rFonts w:cstheme="minorHAnsi"/>
          <w:szCs w:val="22"/>
        </w:rPr>
        <w:fldChar w:fldCharType="end"/>
      </w:r>
      <w:bookmarkEnd w:id="16"/>
      <w:r>
        <w:rPr>
          <w:rFonts w:cstheme="minorHAnsi"/>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6B4A48" w:rsidRPr="00697868"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697868" w:rsidRDefault="006B4A48" w:rsidP="009824E9">
            <w:pPr>
              <w:jc w:val="center"/>
              <w:rPr>
                <w:rFonts w:asciiTheme="minorHAnsi" w:hAnsiTheme="minorHAnsi" w:cstheme="minorHAnsi"/>
                <w:szCs w:val="20"/>
              </w:rPr>
            </w:pPr>
            <w:r w:rsidRPr="006B4A48">
              <w:rPr>
                <w:rFonts w:asciiTheme="minorHAnsi" w:hAnsiTheme="minorHAnsi" w:cstheme="minorHAnsi"/>
                <w:szCs w:val="20"/>
              </w:rPr>
              <w:t>GSIA_ID</w:t>
            </w:r>
            <w:r w:rsidRPr="00697868">
              <w:rPr>
                <w:rFonts w:asciiTheme="minorHAnsi" w:hAnsiTheme="minorHAnsi" w:cstheme="minorHAnsi"/>
                <w:szCs w:val="20"/>
              </w:rPr>
              <w:t>*</w:t>
            </w:r>
          </w:p>
        </w:tc>
        <w:tc>
          <w:tcPr>
            <w:tcW w:w="1010" w:type="pct"/>
            <w:vAlign w:val="center"/>
          </w:tcPr>
          <w:p w:rsidR="006B4A48" w:rsidRPr="00697868" w:rsidRDefault="006B4A48" w:rsidP="009824E9">
            <w:pPr>
              <w:jc w:val="center"/>
              <w:rPr>
                <w:rFonts w:asciiTheme="minorHAnsi" w:hAnsiTheme="minorHAnsi" w:cstheme="minorHAnsi"/>
                <w:szCs w:val="20"/>
              </w:rPr>
            </w:pPr>
            <w:r w:rsidRPr="00697868">
              <w:rPr>
                <w:rFonts w:asciiTheme="minorHAnsi" w:hAnsiTheme="minorHAnsi" w:cstheme="minorHAnsi"/>
                <w:szCs w:val="20"/>
              </w:rPr>
              <w:t>Description*</w:t>
            </w:r>
          </w:p>
        </w:tc>
        <w:tc>
          <w:tcPr>
            <w:tcW w:w="769" w:type="pct"/>
            <w:vAlign w:val="center"/>
          </w:tcPr>
          <w:p w:rsidR="006B4A48" w:rsidRPr="00697868" w:rsidRDefault="006B4A48" w:rsidP="009824E9">
            <w:pPr>
              <w:jc w:val="center"/>
              <w:rPr>
                <w:rFonts w:asciiTheme="minorHAnsi" w:hAnsiTheme="minorHAnsi" w:cstheme="minorHAnsi"/>
                <w:szCs w:val="20"/>
              </w:rPr>
            </w:pPr>
            <w:r w:rsidRPr="00697868">
              <w:rPr>
                <w:rFonts w:asciiTheme="minorHAnsi" w:hAnsiTheme="minorHAnsi" w:cstheme="minorHAnsi"/>
                <w:szCs w:val="20"/>
              </w:rPr>
              <w:t>Sector*</w:t>
            </w:r>
          </w:p>
        </w:tc>
        <w:tc>
          <w:tcPr>
            <w:tcW w:w="958" w:type="pct"/>
            <w:vAlign w:val="center"/>
          </w:tcPr>
          <w:p w:rsidR="006B4A48" w:rsidRPr="00697868" w:rsidRDefault="006B4A48" w:rsidP="009824E9">
            <w:pPr>
              <w:jc w:val="center"/>
              <w:rPr>
                <w:rFonts w:asciiTheme="minorHAnsi" w:hAnsiTheme="minorHAnsi" w:cstheme="minorHAnsi"/>
                <w:szCs w:val="20"/>
              </w:rPr>
            </w:pPr>
            <w:proofErr w:type="spellStart"/>
            <w:r w:rsidRPr="00697868">
              <w:rPr>
                <w:rFonts w:asciiTheme="minorHAnsi" w:hAnsiTheme="minorHAnsi" w:cstheme="minorHAnsi"/>
                <w:szCs w:val="20"/>
              </w:rPr>
              <w:t>BldgType</w:t>
            </w:r>
            <w:proofErr w:type="spellEnd"/>
            <w:r w:rsidRPr="00697868">
              <w:rPr>
                <w:rFonts w:asciiTheme="minorHAnsi" w:hAnsiTheme="minorHAnsi" w:cstheme="minorHAnsi"/>
                <w:szCs w:val="20"/>
              </w:rPr>
              <w:t>*</w:t>
            </w:r>
          </w:p>
        </w:tc>
        <w:tc>
          <w:tcPr>
            <w:tcW w:w="762" w:type="pct"/>
          </w:tcPr>
          <w:p w:rsidR="006B4A48" w:rsidRPr="00697868" w:rsidRDefault="006B4A48" w:rsidP="009824E9">
            <w:pPr>
              <w:jc w:val="center"/>
              <w:rPr>
                <w:rFonts w:asciiTheme="minorHAnsi" w:hAnsiTheme="minorHAnsi" w:cstheme="minorHAnsi"/>
                <w:szCs w:val="20"/>
              </w:rPr>
            </w:pPr>
            <w:proofErr w:type="spellStart"/>
            <w:r w:rsidRPr="00697868">
              <w:rPr>
                <w:rFonts w:asciiTheme="minorHAnsi" w:hAnsiTheme="minorHAnsi" w:cstheme="minorHAnsi"/>
                <w:szCs w:val="20"/>
              </w:rPr>
              <w:t>ProgDelivID</w:t>
            </w:r>
            <w:proofErr w:type="spellEnd"/>
          </w:p>
        </w:tc>
        <w:tc>
          <w:tcPr>
            <w:tcW w:w="707" w:type="pct"/>
            <w:vAlign w:val="center"/>
          </w:tcPr>
          <w:p w:rsidR="006B4A48" w:rsidRPr="00697868" w:rsidRDefault="006B4A48" w:rsidP="009824E9">
            <w:pPr>
              <w:jc w:val="center"/>
              <w:rPr>
                <w:rFonts w:asciiTheme="minorHAnsi" w:hAnsiTheme="minorHAnsi" w:cstheme="minorHAnsi"/>
                <w:szCs w:val="20"/>
              </w:rPr>
            </w:pPr>
            <w:proofErr w:type="spellStart"/>
            <w:r w:rsidRPr="006B4A48">
              <w:rPr>
                <w:rFonts w:asciiTheme="minorHAnsi" w:hAnsiTheme="minorHAnsi" w:cstheme="minorHAnsi"/>
                <w:szCs w:val="20"/>
              </w:rPr>
              <w:t>GSIAValue</w:t>
            </w:r>
            <w:proofErr w:type="spellEnd"/>
            <w:r w:rsidRPr="00697868">
              <w:rPr>
                <w:rFonts w:asciiTheme="minorHAnsi" w:hAnsiTheme="minorHAnsi" w:cstheme="minorHAnsi"/>
                <w:szCs w:val="20"/>
              </w:rPr>
              <w:t>*</w:t>
            </w:r>
          </w:p>
        </w:tc>
      </w:tr>
      <w:tr w:rsidR="006B4A48" w:rsidRPr="00697868"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697868" w:rsidRDefault="00996EE2" w:rsidP="009824E9">
            <w:pPr>
              <w:jc w:val="center"/>
              <w:rPr>
                <w:rFonts w:asciiTheme="minorHAnsi" w:hAnsiTheme="minorHAnsi" w:cstheme="minorHAnsi"/>
                <w:szCs w:val="20"/>
              </w:rPr>
            </w:pPr>
            <w:proofErr w:type="spellStart"/>
            <w:r>
              <w:rPr>
                <w:rFonts w:asciiTheme="minorHAnsi" w:hAnsiTheme="minorHAnsi" w:cstheme="minorHAnsi"/>
                <w:szCs w:val="20"/>
              </w:rPr>
              <w:t>Def</w:t>
            </w:r>
            <w:proofErr w:type="spellEnd"/>
            <w:r>
              <w:rPr>
                <w:rFonts w:asciiTheme="minorHAnsi" w:hAnsiTheme="minorHAnsi" w:cstheme="minorHAnsi"/>
                <w:szCs w:val="20"/>
              </w:rPr>
              <w:t>-GSIA</w:t>
            </w:r>
          </w:p>
        </w:tc>
        <w:tc>
          <w:tcPr>
            <w:tcW w:w="1010" w:type="pct"/>
            <w:vAlign w:val="center"/>
          </w:tcPr>
          <w:p w:rsidR="006B4A48" w:rsidRPr="00697868" w:rsidRDefault="00996EE2" w:rsidP="009824E9">
            <w:pPr>
              <w:jc w:val="center"/>
              <w:rPr>
                <w:rFonts w:asciiTheme="minorHAnsi" w:hAnsiTheme="minorHAnsi" w:cstheme="minorHAnsi"/>
                <w:szCs w:val="20"/>
              </w:rPr>
            </w:pPr>
            <w:r>
              <w:rPr>
                <w:rFonts w:asciiTheme="minorHAnsi" w:hAnsiTheme="minorHAnsi" w:cstheme="minorHAnsi"/>
                <w:szCs w:val="20"/>
              </w:rPr>
              <w:t>Default GSIA value</w:t>
            </w:r>
          </w:p>
        </w:tc>
        <w:tc>
          <w:tcPr>
            <w:tcW w:w="769" w:type="pct"/>
            <w:vAlign w:val="center"/>
          </w:tcPr>
          <w:p w:rsidR="006B4A48" w:rsidRPr="00697868" w:rsidRDefault="006B4A48" w:rsidP="009824E9">
            <w:pPr>
              <w:jc w:val="center"/>
              <w:rPr>
                <w:rFonts w:asciiTheme="minorHAnsi" w:hAnsiTheme="minorHAnsi" w:cstheme="minorHAnsi"/>
                <w:szCs w:val="20"/>
              </w:rPr>
            </w:pPr>
            <w:r w:rsidRPr="006B4A48">
              <w:rPr>
                <w:rFonts w:asciiTheme="minorHAnsi" w:hAnsiTheme="minorHAnsi" w:cstheme="minorHAnsi"/>
                <w:szCs w:val="20"/>
              </w:rPr>
              <w:t>Com</w:t>
            </w:r>
          </w:p>
        </w:tc>
        <w:tc>
          <w:tcPr>
            <w:tcW w:w="958" w:type="pct"/>
            <w:vAlign w:val="center"/>
          </w:tcPr>
          <w:p w:rsidR="006B4A48" w:rsidRPr="00697868" w:rsidRDefault="006B4A48" w:rsidP="009824E9">
            <w:pPr>
              <w:jc w:val="center"/>
              <w:rPr>
                <w:rFonts w:asciiTheme="minorHAnsi" w:hAnsiTheme="minorHAnsi" w:cstheme="minorHAnsi"/>
                <w:szCs w:val="20"/>
              </w:rPr>
            </w:pPr>
            <w:r w:rsidRPr="00697868">
              <w:rPr>
                <w:rFonts w:asciiTheme="minorHAnsi" w:hAnsiTheme="minorHAnsi" w:cstheme="minorHAnsi"/>
                <w:szCs w:val="20"/>
              </w:rPr>
              <w:t>Any</w:t>
            </w:r>
          </w:p>
        </w:tc>
        <w:tc>
          <w:tcPr>
            <w:tcW w:w="762" w:type="pct"/>
            <w:vAlign w:val="center"/>
          </w:tcPr>
          <w:p w:rsidR="006B4A48" w:rsidRPr="00697868" w:rsidRDefault="006B4A48" w:rsidP="009824E9">
            <w:pPr>
              <w:jc w:val="center"/>
              <w:rPr>
                <w:rFonts w:asciiTheme="minorHAnsi" w:hAnsiTheme="minorHAnsi" w:cstheme="minorHAnsi"/>
                <w:szCs w:val="20"/>
              </w:rPr>
            </w:pPr>
            <w:proofErr w:type="spellStart"/>
            <w:r w:rsidRPr="006B4A48">
              <w:rPr>
                <w:rFonts w:asciiTheme="minorHAnsi" w:hAnsiTheme="minorHAnsi" w:cstheme="minorHAnsi"/>
                <w:szCs w:val="20"/>
              </w:rPr>
              <w:t>NonUpStrm</w:t>
            </w:r>
            <w:proofErr w:type="spellEnd"/>
          </w:p>
        </w:tc>
        <w:tc>
          <w:tcPr>
            <w:tcW w:w="707" w:type="pct"/>
            <w:vAlign w:val="center"/>
          </w:tcPr>
          <w:p w:rsidR="006B4A48" w:rsidRPr="00697868" w:rsidRDefault="00996EE2" w:rsidP="009824E9">
            <w:pPr>
              <w:jc w:val="center"/>
              <w:rPr>
                <w:rFonts w:asciiTheme="minorHAnsi" w:hAnsiTheme="minorHAnsi" w:cstheme="minorHAnsi"/>
                <w:szCs w:val="20"/>
              </w:rPr>
            </w:pPr>
            <w:r>
              <w:rPr>
                <w:rFonts w:asciiTheme="minorHAnsi" w:hAnsiTheme="minorHAnsi" w:cstheme="minorHAnsi"/>
                <w:szCs w:val="20"/>
              </w:rPr>
              <w:t>1.0</w:t>
            </w:r>
          </w:p>
        </w:tc>
      </w:tr>
    </w:tbl>
    <w:p w:rsidR="006B4A48" w:rsidRDefault="006B4A48" w:rsidP="000968C6">
      <w:pPr>
        <w:pStyle w:val="Reminders"/>
        <w:rPr>
          <w:rFonts w:asciiTheme="minorHAnsi" w:hAnsiTheme="minorHAnsi" w:cstheme="minorHAnsi"/>
          <w:b/>
          <w:i w:val="0"/>
          <w:color w:val="auto"/>
          <w:szCs w:val="22"/>
        </w:rPr>
      </w:pPr>
    </w:p>
    <w:p w:rsidR="000968C6" w:rsidRDefault="000968C6" w:rsidP="000968C6">
      <w:pPr>
        <w:pStyle w:val="Reminders"/>
        <w:rPr>
          <w:rFonts w:asciiTheme="minorHAnsi" w:hAnsiTheme="minorHAnsi" w:cstheme="minorHAnsi"/>
          <w:i w:val="0"/>
          <w:color w:val="auto"/>
          <w:szCs w:val="22"/>
        </w:rPr>
      </w:pPr>
      <w:r>
        <w:rPr>
          <w:rFonts w:asciiTheme="minorHAnsi" w:hAnsiTheme="minorHAnsi" w:cstheme="minorHAnsi"/>
          <w:b/>
          <w:i w:val="0"/>
          <w:color w:val="auto"/>
          <w:szCs w:val="22"/>
        </w:rPr>
        <w:t>Spillage</w:t>
      </w:r>
      <w:r w:rsidRPr="000968C6">
        <w:rPr>
          <w:rFonts w:asciiTheme="minorHAnsi" w:hAnsiTheme="minorHAnsi" w:cstheme="minorHAnsi"/>
          <w:b/>
          <w:i w:val="0"/>
          <w:color w:val="auto"/>
          <w:szCs w:val="22"/>
        </w:rPr>
        <w:t xml:space="preserve"> Rate</w:t>
      </w:r>
    </w:p>
    <w:p w:rsidR="000968C6" w:rsidRPr="00F12A99" w:rsidRDefault="000968C6" w:rsidP="00F12A99">
      <w:pPr>
        <w:pStyle w:val="Reminders"/>
        <w:rPr>
          <w:rFonts w:asciiTheme="minorHAnsi" w:hAnsiTheme="minorHAnsi" w:cstheme="minorHAnsi"/>
          <w:i w:val="0"/>
          <w:color w:val="auto"/>
          <w:szCs w:val="22"/>
        </w:rPr>
      </w:pPr>
      <w:r w:rsidRPr="00F12A99">
        <w:rPr>
          <w:rFonts w:asciiTheme="minorHAnsi" w:hAnsiTheme="minorHAnsi" w:cstheme="minorHAnsi"/>
          <w:i w:val="0"/>
          <w:color w:val="auto"/>
          <w:szCs w:val="22"/>
        </w:rPr>
        <w:t>Spillage rate will also be applied to measures however the values will not be tracked in the workpapers. The spillage rate will be tracked in an external table to be supplied to the Energy Division</w:t>
      </w:r>
      <w:r w:rsidR="00240B74" w:rsidRPr="00F12A99">
        <w:rPr>
          <w:rFonts w:asciiTheme="minorHAnsi" w:hAnsiTheme="minorHAnsi" w:cstheme="minorHAnsi"/>
          <w:i w:val="0"/>
          <w:color w:val="auto"/>
          <w:szCs w:val="22"/>
        </w:rPr>
        <w:t>.</w:t>
      </w:r>
    </w:p>
    <w:p w:rsidR="00E37F72" w:rsidRDefault="00E37F72" w:rsidP="000968C6">
      <w:pPr>
        <w:pStyle w:val="Reminders"/>
        <w:rPr>
          <w:rFonts w:asciiTheme="minorHAnsi" w:hAnsiTheme="minorHAnsi" w:cstheme="minorHAnsi"/>
          <w:i w:val="0"/>
          <w:color w:val="auto"/>
          <w:szCs w:val="22"/>
        </w:rPr>
      </w:pPr>
    </w:p>
    <w:p w:rsidR="00E37F72" w:rsidRDefault="00E37F72" w:rsidP="000968C6">
      <w:pPr>
        <w:pStyle w:val="Reminders"/>
        <w:rPr>
          <w:rFonts w:asciiTheme="minorHAnsi" w:hAnsiTheme="minorHAnsi" w:cstheme="minorHAnsi"/>
          <w:b/>
          <w:i w:val="0"/>
          <w:color w:val="auto"/>
          <w:szCs w:val="22"/>
        </w:rPr>
      </w:pPr>
      <w:proofErr w:type="spellStart"/>
      <w:r w:rsidRPr="00E37F72">
        <w:rPr>
          <w:rFonts w:asciiTheme="minorHAnsi" w:hAnsiTheme="minorHAnsi" w:cstheme="minorHAnsi"/>
          <w:b/>
          <w:i w:val="0"/>
          <w:color w:val="auto"/>
          <w:szCs w:val="22"/>
        </w:rPr>
        <w:t>READi</w:t>
      </w:r>
      <w:proofErr w:type="spellEnd"/>
      <w:r w:rsidRPr="00E37F72">
        <w:rPr>
          <w:rFonts w:asciiTheme="minorHAnsi" w:hAnsiTheme="minorHAnsi" w:cstheme="minorHAnsi"/>
          <w:b/>
          <w:i w:val="0"/>
          <w:color w:val="auto"/>
          <w:szCs w:val="22"/>
        </w:rPr>
        <w:t xml:space="preserve"> </w:t>
      </w:r>
      <w:r>
        <w:rPr>
          <w:rFonts w:asciiTheme="minorHAnsi" w:hAnsiTheme="minorHAnsi" w:cstheme="minorHAnsi"/>
          <w:b/>
          <w:i w:val="0"/>
          <w:color w:val="auto"/>
          <w:szCs w:val="22"/>
        </w:rPr>
        <w:t>Technology Fields</w:t>
      </w:r>
    </w:p>
    <w:p w:rsidR="000C16D4" w:rsidRDefault="000C16D4" w:rsidP="000968C6">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This is a Non-DEER measure, and </w:t>
      </w:r>
      <w:proofErr w:type="spellStart"/>
      <w:r>
        <w:rPr>
          <w:rFonts w:asciiTheme="minorHAnsi" w:hAnsiTheme="minorHAnsi" w:cstheme="minorHAnsi"/>
          <w:i w:val="0"/>
          <w:color w:val="auto"/>
          <w:szCs w:val="22"/>
        </w:rPr>
        <w:t>READi</w:t>
      </w:r>
      <w:proofErr w:type="spellEnd"/>
      <w:r>
        <w:rPr>
          <w:rFonts w:asciiTheme="minorHAnsi" w:hAnsiTheme="minorHAnsi" w:cstheme="minorHAnsi"/>
          <w:i w:val="0"/>
          <w:color w:val="auto"/>
          <w:szCs w:val="22"/>
        </w:rPr>
        <w:t xml:space="preserve"> Technology Fields do not apply. </w:t>
      </w:r>
    </w:p>
    <w:p w:rsidR="00240B74" w:rsidRPr="00240B74" w:rsidRDefault="00240B74" w:rsidP="000968C6">
      <w:pPr>
        <w:pStyle w:val="Reminders"/>
        <w:rPr>
          <w:rFonts w:asciiTheme="minorHAnsi" w:hAnsiTheme="minorHAnsi" w:cstheme="minorHAnsi"/>
          <w:i w:val="0"/>
          <w:color w:val="auto"/>
          <w:szCs w:val="22"/>
        </w:rPr>
      </w:pPr>
    </w:p>
    <w:p w:rsidR="00E16609" w:rsidRPr="00F06CCF"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Analysis</w:t>
      </w:r>
      <w:bookmarkEnd w:id="14"/>
    </w:p>
    <w:p w:rsidR="00F12A99" w:rsidRPr="00F12A99" w:rsidRDefault="00304601" w:rsidP="00F12A99">
      <w:pPr>
        <w:pStyle w:val="Reminders"/>
        <w:rPr>
          <w:rFonts w:asciiTheme="minorHAnsi" w:hAnsiTheme="minorHAnsi" w:cstheme="minorHAnsi"/>
          <w:i w:val="0"/>
          <w:color w:val="auto"/>
          <w:szCs w:val="22"/>
        </w:rPr>
      </w:pPr>
      <w:r w:rsidRPr="00304601">
        <w:rPr>
          <w:rFonts w:asciiTheme="minorHAnsi" w:hAnsiTheme="minorHAnsi" w:cstheme="minorHAnsi"/>
          <w:i w:val="0"/>
          <w:color w:val="auto"/>
          <w:szCs w:val="22"/>
        </w:rPr>
        <w:t>Title 24 (2013)</w:t>
      </w:r>
      <w:r w:rsidR="00584D5F">
        <w:rPr>
          <w:rFonts w:asciiTheme="minorHAnsi" w:hAnsiTheme="minorHAnsi" w:cstheme="minorHAnsi"/>
          <w:i w:val="0"/>
          <w:color w:val="auto"/>
          <w:szCs w:val="22"/>
        </w:rPr>
        <w:t xml:space="preserve"> includes some content related to </w:t>
      </w:r>
      <w:r w:rsidR="00584D5F" w:rsidRPr="00304601">
        <w:rPr>
          <w:rFonts w:asciiTheme="minorHAnsi" w:hAnsiTheme="minorHAnsi" w:cstheme="minorHAnsi"/>
          <w:i w:val="0"/>
          <w:color w:val="auto"/>
          <w:szCs w:val="22"/>
        </w:rPr>
        <w:t>non-residential package and split HVAC systems</w:t>
      </w:r>
      <w:r w:rsidR="00584D5F">
        <w:rPr>
          <w:rFonts w:asciiTheme="minorHAnsi" w:hAnsiTheme="minorHAnsi" w:cstheme="minorHAnsi"/>
          <w:i w:val="0"/>
          <w:color w:val="auto"/>
          <w:szCs w:val="22"/>
        </w:rPr>
        <w:t xml:space="preserve">, which are the target system types for this measure. However, these requirements do not directly affect the fan belt or its operating characteristics and thus do not </w:t>
      </w:r>
      <w:r w:rsidR="00E16609" w:rsidRPr="00304601">
        <w:rPr>
          <w:rFonts w:asciiTheme="minorHAnsi" w:hAnsiTheme="minorHAnsi" w:cstheme="minorHAnsi"/>
          <w:i w:val="0"/>
          <w:color w:val="auto"/>
          <w:szCs w:val="22"/>
        </w:rPr>
        <w:t>impact the assumptions that quantify the demand reduction and energy savings methodologies for each measure.</w:t>
      </w:r>
      <w:r w:rsidR="00F12A99">
        <w:rPr>
          <w:rFonts w:asciiTheme="minorHAnsi" w:hAnsiTheme="minorHAnsi" w:cstheme="minorHAnsi"/>
          <w:i w:val="0"/>
          <w:color w:val="auto"/>
          <w:szCs w:val="22"/>
        </w:rPr>
        <w:t xml:space="preserve"> </w:t>
      </w:r>
      <w:r w:rsidR="00F12A99" w:rsidRPr="00F12A99">
        <w:rPr>
          <w:rFonts w:asciiTheme="minorHAnsi" w:hAnsiTheme="minorHAnsi" w:cstheme="minorHAnsi"/>
          <w:i w:val="0"/>
          <w:color w:val="auto"/>
          <w:szCs w:val="22"/>
        </w:rPr>
        <w:t>Title 24 does not deal with maintenance issues. HVAC contractors should be licensed by the California State Licensing Board (CSLB) and the HVAC technicians should be EPA certified. Under state code, performance of maintenance and repairs does not requir</w:t>
      </w:r>
      <w:r w:rsidR="00F12A99">
        <w:rPr>
          <w:rFonts w:asciiTheme="minorHAnsi" w:hAnsiTheme="minorHAnsi" w:cstheme="minorHAnsi"/>
          <w:i w:val="0"/>
          <w:color w:val="auto"/>
          <w:szCs w:val="22"/>
        </w:rPr>
        <w:t>e a building and/or job permit.</w:t>
      </w:r>
    </w:p>
    <w:p w:rsidR="00B07EE5" w:rsidRPr="00697868" w:rsidRDefault="00B07EE5" w:rsidP="00B07EE5">
      <w:pPr>
        <w:rPr>
          <w:rFonts w:cstheme="minorHAnsi"/>
          <w:szCs w:val="22"/>
        </w:rPr>
      </w:pPr>
    </w:p>
    <w:p w:rsidR="00B07EE5" w:rsidRPr="00697868" w:rsidRDefault="00B07EE5" w:rsidP="00B07EE5">
      <w:pPr>
        <w:pStyle w:val="Caption"/>
        <w:keepNext/>
        <w:jc w:val="center"/>
        <w:rPr>
          <w:rFonts w:cstheme="minorHAnsi"/>
          <w:szCs w:val="22"/>
        </w:rPr>
      </w:pPr>
    </w:p>
    <w:p w:rsidR="004A5AD0" w:rsidRDefault="004A5AD0" w:rsidP="004A5AD0">
      <w:pPr>
        <w:pStyle w:val="Caption"/>
        <w:keepNext/>
        <w:jc w:val="center"/>
      </w:pPr>
      <w:r w:rsidRPr="00296CEB">
        <w:rPr>
          <w:rFonts w:cstheme="minorHAnsi"/>
          <w:szCs w:val="22"/>
        </w:rPr>
        <w:t xml:space="preserve">Table </w:t>
      </w:r>
      <w:r w:rsidR="00296CEB" w:rsidRPr="00296CEB">
        <w:rPr>
          <w:rFonts w:cstheme="minorHAnsi"/>
          <w:szCs w:val="22"/>
        </w:rPr>
        <w:fldChar w:fldCharType="begin"/>
      </w:r>
      <w:r w:rsidR="00296CEB" w:rsidRPr="00296CEB">
        <w:rPr>
          <w:rFonts w:cstheme="minorHAnsi"/>
          <w:szCs w:val="22"/>
        </w:rPr>
        <w:instrText xml:space="preserve"> SEQ Table \* ARABIC </w:instrText>
      </w:r>
      <w:r w:rsidR="00296CEB" w:rsidRPr="00296CEB">
        <w:rPr>
          <w:rFonts w:cstheme="minorHAnsi"/>
          <w:szCs w:val="22"/>
        </w:rPr>
        <w:fldChar w:fldCharType="separate"/>
      </w:r>
      <w:r w:rsidRPr="00296CEB">
        <w:rPr>
          <w:rFonts w:cstheme="minorHAnsi"/>
          <w:szCs w:val="22"/>
        </w:rPr>
        <w:t>5</w:t>
      </w:r>
      <w:r w:rsidR="00296CEB" w:rsidRPr="00296CEB">
        <w:rPr>
          <w:rFonts w:cstheme="minorHAnsi"/>
          <w:szCs w:val="22"/>
        </w:rPr>
        <w:fldChar w:fldCharType="end"/>
      </w:r>
      <w:r w:rsidRPr="00296CEB">
        <w:rPr>
          <w:rFonts w:cstheme="minorHAnsi"/>
          <w:szCs w:val="22"/>
        </w:rPr>
        <w:t xml:space="preserve"> </w:t>
      </w:r>
      <w:r w:rsidRPr="00697868">
        <w:rPr>
          <w:rFonts w:cstheme="minorHAnsi"/>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584D5F" w:rsidRPr="00584D5F"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584D5F" w:rsidRDefault="00881A42" w:rsidP="00283DE8">
            <w:pPr>
              <w:jc w:val="center"/>
              <w:rPr>
                <w:rFonts w:asciiTheme="minorHAnsi" w:hAnsiTheme="minorHAnsi" w:cstheme="minorHAnsi"/>
                <w:szCs w:val="20"/>
              </w:rPr>
            </w:pPr>
            <w:r w:rsidRPr="00584D5F">
              <w:rPr>
                <w:rFonts w:asciiTheme="minorHAnsi" w:hAnsiTheme="minorHAnsi" w:cstheme="minorHAnsi"/>
                <w:szCs w:val="20"/>
              </w:rPr>
              <w:t>Code</w:t>
            </w:r>
          </w:p>
        </w:tc>
        <w:tc>
          <w:tcPr>
            <w:tcW w:w="4352" w:type="dxa"/>
          </w:tcPr>
          <w:p w:rsidR="00881A42" w:rsidRPr="00584D5F" w:rsidRDefault="00CB0100" w:rsidP="00283DE8">
            <w:pPr>
              <w:jc w:val="center"/>
              <w:rPr>
                <w:rFonts w:asciiTheme="minorHAnsi" w:hAnsiTheme="minorHAnsi" w:cstheme="minorHAnsi"/>
                <w:szCs w:val="20"/>
              </w:rPr>
            </w:pPr>
            <w:r w:rsidRPr="00584D5F">
              <w:rPr>
                <w:rFonts w:asciiTheme="minorHAnsi" w:hAnsiTheme="minorHAnsi" w:cstheme="minorHAnsi"/>
                <w:szCs w:val="20"/>
              </w:rPr>
              <w:t xml:space="preserve">Applicable </w:t>
            </w:r>
            <w:r w:rsidR="00881A42" w:rsidRPr="00584D5F">
              <w:rPr>
                <w:rFonts w:asciiTheme="minorHAnsi" w:hAnsiTheme="minorHAnsi" w:cstheme="minorHAnsi"/>
                <w:szCs w:val="20"/>
              </w:rPr>
              <w:t>Code Reference</w:t>
            </w:r>
          </w:p>
        </w:tc>
        <w:tc>
          <w:tcPr>
            <w:tcW w:w="1821" w:type="dxa"/>
          </w:tcPr>
          <w:p w:rsidR="00881A42" w:rsidRPr="00584D5F" w:rsidRDefault="00881A42" w:rsidP="00283DE8">
            <w:pPr>
              <w:jc w:val="center"/>
              <w:rPr>
                <w:rFonts w:asciiTheme="minorHAnsi" w:hAnsiTheme="minorHAnsi" w:cstheme="minorHAnsi"/>
                <w:szCs w:val="20"/>
              </w:rPr>
            </w:pPr>
            <w:r w:rsidRPr="00584D5F">
              <w:rPr>
                <w:rFonts w:asciiTheme="minorHAnsi" w:hAnsiTheme="minorHAnsi" w:cstheme="minorHAnsi"/>
                <w:szCs w:val="20"/>
              </w:rPr>
              <w:t>Effective Dates</w:t>
            </w:r>
          </w:p>
        </w:tc>
      </w:tr>
      <w:tr w:rsidR="00584D5F" w:rsidRPr="00584D5F"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881A42" w:rsidRPr="00584D5F" w:rsidRDefault="00881A42" w:rsidP="007E43F8">
            <w:pPr>
              <w:jc w:val="center"/>
              <w:rPr>
                <w:rFonts w:asciiTheme="minorHAnsi" w:hAnsiTheme="minorHAnsi" w:cstheme="minorHAnsi"/>
                <w:szCs w:val="20"/>
              </w:rPr>
            </w:pPr>
            <w:r w:rsidRPr="00584D5F">
              <w:rPr>
                <w:rFonts w:asciiTheme="minorHAnsi" w:hAnsiTheme="minorHAnsi" w:cstheme="minorHAnsi"/>
                <w:szCs w:val="20"/>
              </w:rPr>
              <w:t>Title 24 (2008)</w:t>
            </w:r>
          </w:p>
        </w:tc>
        <w:tc>
          <w:tcPr>
            <w:tcW w:w="4352" w:type="dxa"/>
            <w:vAlign w:val="center"/>
          </w:tcPr>
          <w:p w:rsidR="00881A42" w:rsidRPr="00584D5F" w:rsidRDefault="00304601" w:rsidP="007E43F8">
            <w:pPr>
              <w:jc w:val="center"/>
              <w:rPr>
                <w:rFonts w:asciiTheme="minorHAnsi" w:hAnsiTheme="minorHAnsi" w:cstheme="minorHAnsi"/>
                <w:szCs w:val="20"/>
              </w:rPr>
            </w:pPr>
            <w:r w:rsidRPr="00584D5F">
              <w:rPr>
                <w:rFonts w:asciiTheme="minorHAnsi" w:hAnsiTheme="minorHAnsi" w:cstheme="minorHAnsi"/>
                <w:szCs w:val="20"/>
              </w:rPr>
              <w:t>N/A</w:t>
            </w:r>
          </w:p>
        </w:tc>
        <w:tc>
          <w:tcPr>
            <w:tcW w:w="1821" w:type="dxa"/>
            <w:vAlign w:val="center"/>
          </w:tcPr>
          <w:p w:rsidR="00881A42" w:rsidRPr="00584D5F" w:rsidRDefault="00881A42" w:rsidP="007E43F8">
            <w:pPr>
              <w:jc w:val="center"/>
              <w:rPr>
                <w:rFonts w:asciiTheme="minorHAnsi" w:hAnsiTheme="minorHAnsi" w:cstheme="minorHAnsi"/>
                <w:szCs w:val="20"/>
              </w:rPr>
            </w:pPr>
            <w:r w:rsidRPr="00584D5F">
              <w:rPr>
                <w:rFonts w:asciiTheme="minorHAnsi" w:hAnsiTheme="minorHAnsi" w:cstheme="minorHAnsi"/>
                <w:szCs w:val="20"/>
              </w:rPr>
              <w:t>N/A</w:t>
            </w:r>
          </w:p>
        </w:tc>
      </w:tr>
      <w:tr w:rsidR="00584D5F" w:rsidRPr="00584D5F" w:rsidTr="00C25E61">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881A42" w:rsidRPr="00584D5F" w:rsidRDefault="002C6C7A" w:rsidP="007E43F8">
            <w:pPr>
              <w:jc w:val="center"/>
              <w:rPr>
                <w:rFonts w:asciiTheme="minorHAnsi" w:hAnsiTheme="minorHAnsi" w:cstheme="minorHAnsi"/>
                <w:szCs w:val="20"/>
              </w:rPr>
            </w:pPr>
            <w:r w:rsidRPr="00584D5F">
              <w:rPr>
                <w:rFonts w:asciiTheme="minorHAnsi" w:hAnsiTheme="minorHAnsi" w:cstheme="minorHAnsi"/>
                <w:szCs w:val="20"/>
              </w:rPr>
              <w:t>Title 20 (2010)</w:t>
            </w:r>
          </w:p>
        </w:tc>
        <w:tc>
          <w:tcPr>
            <w:tcW w:w="4352" w:type="dxa"/>
            <w:vAlign w:val="center"/>
          </w:tcPr>
          <w:p w:rsidR="00881A42" w:rsidRPr="00584D5F" w:rsidRDefault="00304601" w:rsidP="00AB3386">
            <w:pPr>
              <w:jc w:val="center"/>
              <w:rPr>
                <w:rFonts w:asciiTheme="minorHAnsi" w:hAnsiTheme="minorHAnsi" w:cstheme="minorHAnsi"/>
                <w:szCs w:val="20"/>
              </w:rPr>
            </w:pPr>
            <w:r w:rsidRPr="00584D5F">
              <w:rPr>
                <w:rFonts w:asciiTheme="minorHAnsi" w:hAnsiTheme="minorHAnsi" w:cstheme="minorHAnsi"/>
                <w:szCs w:val="20"/>
              </w:rPr>
              <w:t>N/A</w:t>
            </w:r>
          </w:p>
        </w:tc>
        <w:tc>
          <w:tcPr>
            <w:tcW w:w="1821" w:type="dxa"/>
            <w:vAlign w:val="center"/>
          </w:tcPr>
          <w:p w:rsidR="00881A42" w:rsidRPr="00584D5F" w:rsidRDefault="00881A42" w:rsidP="007E43F8">
            <w:pPr>
              <w:jc w:val="center"/>
              <w:rPr>
                <w:rFonts w:asciiTheme="minorHAnsi" w:hAnsiTheme="minorHAnsi" w:cstheme="minorHAnsi"/>
                <w:szCs w:val="20"/>
              </w:rPr>
            </w:pPr>
            <w:r w:rsidRPr="00584D5F">
              <w:rPr>
                <w:rFonts w:asciiTheme="minorHAnsi" w:hAnsiTheme="minorHAnsi" w:cstheme="minorHAnsi"/>
                <w:szCs w:val="20"/>
              </w:rPr>
              <w:t>N/A</w:t>
            </w:r>
          </w:p>
        </w:tc>
      </w:tr>
      <w:tr w:rsidR="00584D5F" w:rsidRPr="00584D5F"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304601" w:rsidRPr="00584D5F" w:rsidRDefault="00304601" w:rsidP="007517A3">
            <w:pPr>
              <w:jc w:val="center"/>
              <w:rPr>
                <w:rFonts w:asciiTheme="minorHAnsi" w:hAnsiTheme="minorHAnsi" w:cstheme="minorHAnsi"/>
                <w:szCs w:val="20"/>
              </w:rPr>
            </w:pPr>
            <w:r w:rsidRPr="00584D5F">
              <w:rPr>
                <w:rFonts w:asciiTheme="minorHAnsi" w:hAnsiTheme="minorHAnsi" w:cstheme="minorHAnsi"/>
                <w:szCs w:val="20"/>
              </w:rPr>
              <w:t>Title 24 (2013)</w:t>
            </w:r>
          </w:p>
        </w:tc>
        <w:tc>
          <w:tcPr>
            <w:tcW w:w="4352" w:type="dxa"/>
            <w:vAlign w:val="center"/>
          </w:tcPr>
          <w:p w:rsidR="00304601" w:rsidRPr="00584D5F" w:rsidRDefault="006513DA" w:rsidP="00AB3386">
            <w:pPr>
              <w:jc w:val="center"/>
              <w:rPr>
                <w:rFonts w:asciiTheme="minorHAnsi" w:hAnsiTheme="minorHAnsi" w:cstheme="minorHAnsi"/>
                <w:szCs w:val="20"/>
              </w:rPr>
            </w:pPr>
            <w:r w:rsidRPr="007E0DE8">
              <w:rPr>
                <w:rFonts w:asciiTheme="minorHAnsi" w:hAnsiTheme="minorHAnsi" w:cstheme="minorHAnsi"/>
                <w:szCs w:val="20"/>
              </w:rPr>
              <w:t>N/A</w:t>
            </w:r>
          </w:p>
        </w:tc>
        <w:tc>
          <w:tcPr>
            <w:tcW w:w="1821" w:type="dxa"/>
            <w:vAlign w:val="center"/>
          </w:tcPr>
          <w:p w:rsidR="00304601" w:rsidRPr="00584D5F" w:rsidRDefault="00584D5F" w:rsidP="007E43F8">
            <w:pPr>
              <w:jc w:val="center"/>
              <w:rPr>
                <w:rFonts w:asciiTheme="minorHAnsi" w:hAnsiTheme="minorHAnsi" w:cstheme="minorHAnsi"/>
                <w:szCs w:val="20"/>
              </w:rPr>
            </w:pPr>
            <w:r w:rsidRPr="00584D5F">
              <w:rPr>
                <w:rFonts w:asciiTheme="minorHAnsi" w:hAnsiTheme="minorHAnsi" w:cstheme="minorHAnsi"/>
                <w:szCs w:val="20"/>
              </w:rPr>
              <w:t>N/A</w:t>
            </w:r>
          </w:p>
        </w:tc>
      </w:tr>
    </w:tbl>
    <w:p w:rsidR="00B07EE5" w:rsidRPr="00697868" w:rsidRDefault="00B07EE5" w:rsidP="00E16609">
      <w:pPr>
        <w:pStyle w:val="Reminders"/>
        <w:rPr>
          <w:rFonts w:asciiTheme="minorHAnsi" w:hAnsiTheme="minorHAnsi" w:cstheme="minorHAnsi"/>
          <w:szCs w:val="22"/>
        </w:rPr>
      </w:pPr>
    </w:p>
    <w:p w:rsidR="00AB21F5" w:rsidRDefault="00AB21F5" w:rsidP="00F06CCF">
      <w:pPr>
        <w:pStyle w:val="Heading3"/>
        <w:rPr>
          <w:rFonts w:asciiTheme="minorHAnsi" w:hAnsiTheme="minorHAnsi"/>
        </w:rPr>
      </w:pPr>
      <w:bookmarkStart w:id="17" w:name="_Toc214003088"/>
      <w:r w:rsidRPr="00AB21F5">
        <w:rPr>
          <w:rFonts w:asciiTheme="minorHAnsi" w:hAnsiTheme="minorHAnsi"/>
        </w:rPr>
        <w:t>1.4.3 Non-DEER Study Review</w:t>
      </w:r>
    </w:p>
    <w:p w:rsidR="00A615AC" w:rsidRPr="00197953" w:rsidRDefault="00A615AC" w:rsidP="00A615AC">
      <w:pPr>
        <w:rPr>
          <w:szCs w:val="22"/>
        </w:rPr>
      </w:pPr>
      <w:r w:rsidRPr="00197953">
        <w:rPr>
          <w:szCs w:val="22"/>
        </w:rPr>
        <w:t>The efficiency improvement is a conservative estimate based on an engineering review of researc</w:t>
      </w:r>
      <w:r w:rsidR="003B59E1">
        <w:rPr>
          <w:szCs w:val="22"/>
        </w:rPr>
        <w:t xml:space="preserve">h literature as shown in </w:t>
      </w:r>
      <w:r w:rsidR="003B59E1">
        <w:rPr>
          <w:szCs w:val="22"/>
        </w:rPr>
        <w:fldChar w:fldCharType="begin"/>
      </w:r>
      <w:r w:rsidR="003B59E1">
        <w:rPr>
          <w:szCs w:val="22"/>
        </w:rPr>
        <w:instrText xml:space="preserve"> REF _Ref386198049 \h </w:instrText>
      </w:r>
      <w:r w:rsidR="003B59E1">
        <w:rPr>
          <w:szCs w:val="22"/>
        </w:rPr>
      </w:r>
      <w:r w:rsidR="003B59E1">
        <w:rPr>
          <w:szCs w:val="22"/>
        </w:rPr>
        <w:fldChar w:fldCharType="separate"/>
      </w:r>
      <w:r w:rsidR="004A5AD0">
        <w:t xml:space="preserve">Table </w:t>
      </w:r>
      <w:r w:rsidR="004A5AD0">
        <w:rPr>
          <w:noProof/>
        </w:rPr>
        <w:t>6</w:t>
      </w:r>
      <w:r w:rsidR="003B59E1">
        <w:rPr>
          <w:szCs w:val="22"/>
        </w:rPr>
        <w:fldChar w:fldCharType="end"/>
      </w:r>
      <w:r w:rsidRPr="00197953">
        <w:rPr>
          <w:szCs w:val="22"/>
        </w:rPr>
        <w:t>.</w:t>
      </w:r>
      <w:r w:rsidR="003B59E1">
        <w:rPr>
          <w:szCs w:val="22"/>
        </w:rPr>
        <w:t xml:space="preserve"> </w:t>
      </w:r>
      <w:r w:rsidRPr="00197953">
        <w:rPr>
          <w:szCs w:val="22"/>
        </w:rPr>
        <w:t>This is in agreement with USDOE’s assessment of the same literature as shown in</w:t>
      </w:r>
      <w:r w:rsidR="00257C5A">
        <w:rPr>
          <w:szCs w:val="22"/>
        </w:rPr>
        <w:t xml:space="preserve"> their Motor Systems Tips #5</w:t>
      </w:r>
      <w:r w:rsidRPr="00197953">
        <w:rPr>
          <w:szCs w:val="22"/>
        </w:rPr>
        <w:t xml:space="preserve"> </w:t>
      </w:r>
      <w:r w:rsidR="00257C5A">
        <w:rPr>
          <w:szCs w:val="22"/>
        </w:rPr>
        <w:fldChar w:fldCharType="begin"/>
      </w:r>
      <w:r w:rsidR="00257C5A">
        <w:rPr>
          <w:szCs w:val="22"/>
        </w:rPr>
        <w:instrText xml:space="preserve"> REF _Ref327947147 \r \h </w:instrText>
      </w:r>
      <w:r w:rsidR="00257C5A">
        <w:rPr>
          <w:szCs w:val="22"/>
        </w:rPr>
      </w:r>
      <w:r w:rsidR="00257C5A">
        <w:rPr>
          <w:szCs w:val="22"/>
        </w:rPr>
        <w:fldChar w:fldCharType="separate"/>
      </w:r>
      <w:r w:rsidR="004A5AD0">
        <w:rPr>
          <w:szCs w:val="22"/>
        </w:rPr>
        <w:t>[E]</w:t>
      </w:r>
      <w:r w:rsidR="00257C5A">
        <w:rPr>
          <w:szCs w:val="22"/>
        </w:rPr>
        <w:fldChar w:fldCharType="end"/>
      </w:r>
      <w:r w:rsidR="00257C5A">
        <w:rPr>
          <w:szCs w:val="22"/>
        </w:rPr>
        <w:t xml:space="preserve"> </w:t>
      </w:r>
      <w:r w:rsidRPr="00197953">
        <w:rPr>
          <w:szCs w:val="22"/>
        </w:rPr>
        <w:t xml:space="preserve">where they suggest 2% as a median value for fan system efficiency improvement in HVAC systems with Type A and Type B cogged v-belts only. </w:t>
      </w:r>
    </w:p>
    <w:p w:rsidR="00A615AC" w:rsidRPr="00197953" w:rsidRDefault="00A615AC" w:rsidP="00A615AC">
      <w:pPr>
        <w:pStyle w:val="Caption"/>
        <w:rPr>
          <w:rFonts w:cs="Calibri"/>
          <w:szCs w:val="22"/>
        </w:rPr>
      </w:pPr>
    </w:p>
    <w:p w:rsidR="00A615AC" w:rsidRPr="00197953" w:rsidRDefault="00A615AC" w:rsidP="00A615AC">
      <w:pPr>
        <w:pStyle w:val="Caption"/>
        <w:rPr>
          <w:rFonts w:cs="Calibri"/>
          <w:szCs w:val="22"/>
        </w:rPr>
      </w:pPr>
    </w:p>
    <w:p w:rsidR="003B59E1" w:rsidRDefault="003B59E1" w:rsidP="003B59E1">
      <w:pPr>
        <w:pStyle w:val="Caption"/>
        <w:keepNext/>
        <w:jc w:val="center"/>
      </w:pPr>
      <w:bookmarkStart w:id="18" w:name="_Ref386198049"/>
      <w:r>
        <w:t xml:space="preserve">Table </w:t>
      </w:r>
      <w:fldSimple w:instr=" SEQ Table \* ARABIC ">
        <w:r w:rsidR="004A5AD0">
          <w:rPr>
            <w:noProof/>
          </w:rPr>
          <w:t>6</w:t>
        </w:r>
      </w:fldSimple>
      <w:bookmarkEnd w:id="18"/>
      <w:r>
        <w:t xml:space="preserve"> </w:t>
      </w:r>
      <w:r w:rsidRPr="00197953">
        <w:rPr>
          <w:rFonts w:cs="Calibri"/>
          <w:szCs w:val="22"/>
        </w:rPr>
        <w:t>Fan System Efficiency Improvement</w:t>
      </w:r>
    </w:p>
    <w:tbl>
      <w:tblPr>
        <w:tblW w:w="3684" w:type="pct"/>
        <w:jc w:val="center"/>
        <w:tblInd w:w="1261" w:type="dxa"/>
        <w:tblBorders>
          <w:insideH w:val="single" w:sz="18" w:space="0" w:color="FFFFFF"/>
          <w:insideV w:val="single" w:sz="18" w:space="0" w:color="FFFFFF"/>
        </w:tblBorders>
        <w:tblLook w:val="01E0" w:firstRow="1" w:lastRow="1" w:firstColumn="1" w:lastColumn="1" w:noHBand="0" w:noVBand="0"/>
      </w:tblPr>
      <w:tblGrid>
        <w:gridCol w:w="3167"/>
        <w:gridCol w:w="3889"/>
      </w:tblGrid>
      <w:tr w:rsidR="00A615AC" w:rsidRPr="00197953" w:rsidTr="00C50B81">
        <w:trPr>
          <w:jc w:val="center"/>
        </w:trPr>
        <w:tc>
          <w:tcPr>
            <w:tcW w:w="2244" w:type="pct"/>
            <w:shd w:val="pct20" w:color="000000" w:fill="FFFFFF"/>
            <w:vAlign w:val="center"/>
          </w:tcPr>
          <w:p w:rsidR="00A615AC" w:rsidRPr="00197953" w:rsidRDefault="00A615AC" w:rsidP="00C523C6">
            <w:pPr>
              <w:jc w:val="center"/>
              <w:rPr>
                <w:b/>
                <w:bCs/>
                <w:sz w:val="20"/>
                <w:szCs w:val="20"/>
              </w:rPr>
            </w:pPr>
            <w:r w:rsidRPr="00197953">
              <w:rPr>
                <w:b/>
                <w:bCs/>
                <w:sz w:val="20"/>
                <w:szCs w:val="20"/>
              </w:rPr>
              <w:t>Reference Source</w:t>
            </w:r>
          </w:p>
        </w:tc>
        <w:tc>
          <w:tcPr>
            <w:tcW w:w="2756" w:type="pct"/>
            <w:shd w:val="pct20" w:color="000000" w:fill="FFFFFF"/>
            <w:vAlign w:val="center"/>
          </w:tcPr>
          <w:p w:rsidR="00A615AC" w:rsidRPr="00197953" w:rsidRDefault="00A615AC" w:rsidP="00C523C6">
            <w:pPr>
              <w:jc w:val="center"/>
              <w:rPr>
                <w:b/>
                <w:bCs/>
                <w:sz w:val="20"/>
                <w:szCs w:val="20"/>
              </w:rPr>
            </w:pPr>
            <w:r w:rsidRPr="00197953">
              <w:rPr>
                <w:b/>
                <w:bCs/>
                <w:sz w:val="20"/>
                <w:szCs w:val="20"/>
              </w:rPr>
              <w:t>Range of Efficiency Improvement</w:t>
            </w:r>
          </w:p>
        </w:tc>
      </w:tr>
      <w:tr w:rsidR="00A615AC" w:rsidRPr="000F71F0" w:rsidTr="00C50B81">
        <w:trPr>
          <w:jc w:val="center"/>
        </w:trPr>
        <w:tc>
          <w:tcPr>
            <w:tcW w:w="2244" w:type="pct"/>
            <w:shd w:val="clear" w:color="auto" w:fill="F2F2F2" w:themeFill="background1" w:themeFillShade="F2"/>
            <w:vAlign w:val="center"/>
          </w:tcPr>
          <w:p w:rsidR="00A615AC" w:rsidRPr="000F71F0" w:rsidRDefault="00A615AC" w:rsidP="00C523C6">
            <w:pPr>
              <w:jc w:val="center"/>
              <w:rPr>
                <w:rFonts w:cstheme="minorHAnsi"/>
                <w:sz w:val="20"/>
                <w:szCs w:val="20"/>
              </w:rPr>
            </w:pPr>
            <w:r w:rsidRPr="000F71F0">
              <w:rPr>
                <w:rFonts w:cstheme="minorHAnsi"/>
                <w:sz w:val="20"/>
                <w:szCs w:val="20"/>
              </w:rPr>
              <w:t>[A]</w:t>
            </w:r>
          </w:p>
        </w:tc>
        <w:tc>
          <w:tcPr>
            <w:tcW w:w="2756" w:type="pct"/>
            <w:shd w:val="clear" w:color="auto" w:fill="F2F2F2" w:themeFill="background1" w:themeFillShade="F2"/>
            <w:vAlign w:val="center"/>
          </w:tcPr>
          <w:p w:rsidR="00A615AC" w:rsidRPr="000F71F0" w:rsidRDefault="00A615AC" w:rsidP="00C523C6">
            <w:pPr>
              <w:jc w:val="center"/>
              <w:rPr>
                <w:rFonts w:cstheme="minorHAnsi"/>
                <w:sz w:val="20"/>
                <w:szCs w:val="20"/>
              </w:rPr>
            </w:pPr>
            <w:r w:rsidRPr="000F71F0">
              <w:rPr>
                <w:rFonts w:cstheme="minorHAnsi"/>
                <w:sz w:val="20"/>
                <w:szCs w:val="20"/>
              </w:rPr>
              <w:t>3%</w:t>
            </w:r>
          </w:p>
        </w:tc>
      </w:tr>
      <w:tr w:rsidR="00A615AC" w:rsidRPr="00197953" w:rsidTr="00C50B81">
        <w:trPr>
          <w:jc w:val="center"/>
        </w:trPr>
        <w:tc>
          <w:tcPr>
            <w:tcW w:w="2244" w:type="pct"/>
            <w:shd w:val="pct20" w:color="000000" w:fill="FFFFFF"/>
            <w:vAlign w:val="center"/>
          </w:tcPr>
          <w:p w:rsidR="00A615AC" w:rsidRPr="00197953" w:rsidRDefault="00A615AC" w:rsidP="00C523C6">
            <w:pPr>
              <w:jc w:val="center"/>
              <w:rPr>
                <w:bCs/>
                <w:sz w:val="20"/>
                <w:szCs w:val="20"/>
              </w:rPr>
            </w:pPr>
            <w:r w:rsidRPr="00197953">
              <w:rPr>
                <w:bCs/>
                <w:sz w:val="20"/>
                <w:szCs w:val="20"/>
              </w:rPr>
              <w:t>[B]</w:t>
            </w:r>
          </w:p>
        </w:tc>
        <w:tc>
          <w:tcPr>
            <w:tcW w:w="2756" w:type="pct"/>
            <w:shd w:val="pct20" w:color="000000" w:fill="FFFFFF"/>
            <w:vAlign w:val="center"/>
          </w:tcPr>
          <w:p w:rsidR="00A615AC" w:rsidRPr="00197953" w:rsidRDefault="00A615AC" w:rsidP="00C523C6">
            <w:pPr>
              <w:jc w:val="center"/>
              <w:rPr>
                <w:bCs/>
                <w:sz w:val="20"/>
                <w:szCs w:val="20"/>
              </w:rPr>
            </w:pPr>
            <w:r w:rsidRPr="00197953">
              <w:rPr>
                <w:bCs/>
                <w:sz w:val="20"/>
                <w:szCs w:val="20"/>
              </w:rPr>
              <w:t>3%</w:t>
            </w:r>
          </w:p>
        </w:tc>
      </w:tr>
      <w:tr w:rsidR="00A615AC" w:rsidRPr="00197953" w:rsidTr="00405BA6">
        <w:trPr>
          <w:jc w:val="center"/>
        </w:trPr>
        <w:tc>
          <w:tcPr>
            <w:tcW w:w="2244" w:type="pct"/>
            <w:shd w:val="clear" w:color="auto" w:fill="F2F2F2" w:themeFill="background1" w:themeFillShade="F2"/>
            <w:vAlign w:val="center"/>
          </w:tcPr>
          <w:p w:rsidR="00A615AC" w:rsidRPr="00197953" w:rsidRDefault="00616F6B" w:rsidP="00C523C6">
            <w:pPr>
              <w:jc w:val="center"/>
              <w:rPr>
                <w:bCs/>
                <w:sz w:val="20"/>
                <w:szCs w:val="20"/>
              </w:rPr>
            </w:pPr>
            <w:r>
              <w:rPr>
                <w:bCs/>
                <w:sz w:val="20"/>
                <w:szCs w:val="20"/>
              </w:rPr>
              <w:t>[C</w:t>
            </w:r>
            <w:r w:rsidR="00A615AC" w:rsidRPr="00197953">
              <w:rPr>
                <w:bCs/>
                <w:sz w:val="20"/>
                <w:szCs w:val="20"/>
              </w:rPr>
              <w:t>]</w:t>
            </w:r>
          </w:p>
        </w:tc>
        <w:tc>
          <w:tcPr>
            <w:tcW w:w="2756" w:type="pct"/>
            <w:shd w:val="clear" w:color="auto" w:fill="F2F2F2" w:themeFill="background1" w:themeFillShade="F2"/>
            <w:vAlign w:val="center"/>
          </w:tcPr>
          <w:p w:rsidR="00A615AC" w:rsidRPr="00197953" w:rsidRDefault="00A615AC" w:rsidP="00C523C6">
            <w:pPr>
              <w:jc w:val="center"/>
              <w:rPr>
                <w:bCs/>
                <w:sz w:val="20"/>
                <w:szCs w:val="20"/>
              </w:rPr>
            </w:pPr>
            <w:r w:rsidRPr="00197953">
              <w:rPr>
                <w:bCs/>
                <w:sz w:val="20"/>
                <w:szCs w:val="20"/>
              </w:rPr>
              <w:t>1% to 2%</w:t>
            </w:r>
          </w:p>
        </w:tc>
      </w:tr>
      <w:tr w:rsidR="00A615AC" w:rsidRPr="00197953" w:rsidTr="00405BA6">
        <w:trPr>
          <w:jc w:val="center"/>
        </w:trPr>
        <w:tc>
          <w:tcPr>
            <w:tcW w:w="2244" w:type="pct"/>
            <w:shd w:val="clear" w:color="auto" w:fill="BFBFBF" w:themeFill="background1" w:themeFillShade="BF"/>
            <w:vAlign w:val="center"/>
          </w:tcPr>
          <w:p w:rsidR="00A615AC" w:rsidRPr="00197953" w:rsidRDefault="00616F6B" w:rsidP="00C523C6">
            <w:pPr>
              <w:jc w:val="center"/>
              <w:rPr>
                <w:bCs/>
                <w:sz w:val="20"/>
                <w:szCs w:val="20"/>
              </w:rPr>
            </w:pPr>
            <w:r>
              <w:rPr>
                <w:bCs/>
                <w:sz w:val="20"/>
                <w:szCs w:val="20"/>
              </w:rPr>
              <w:t>[D</w:t>
            </w:r>
            <w:r w:rsidR="00A615AC" w:rsidRPr="00197953">
              <w:rPr>
                <w:bCs/>
                <w:sz w:val="20"/>
                <w:szCs w:val="20"/>
              </w:rPr>
              <w:t>]</w:t>
            </w:r>
          </w:p>
        </w:tc>
        <w:tc>
          <w:tcPr>
            <w:tcW w:w="2756" w:type="pct"/>
            <w:shd w:val="clear" w:color="auto" w:fill="BFBFBF" w:themeFill="background1" w:themeFillShade="BF"/>
            <w:vAlign w:val="center"/>
          </w:tcPr>
          <w:p w:rsidR="00A615AC" w:rsidRPr="00197953" w:rsidRDefault="00A615AC" w:rsidP="00C523C6">
            <w:pPr>
              <w:jc w:val="center"/>
              <w:rPr>
                <w:bCs/>
                <w:sz w:val="20"/>
                <w:szCs w:val="20"/>
              </w:rPr>
            </w:pPr>
            <w:r w:rsidRPr="00197953">
              <w:rPr>
                <w:bCs/>
                <w:sz w:val="20"/>
                <w:szCs w:val="20"/>
              </w:rPr>
              <w:t>0.4% to 4.8%</w:t>
            </w:r>
          </w:p>
        </w:tc>
      </w:tr>
      <w:tr w:rsidR="00A615AC" w:rsidRPr="00197953" w:rsidTr="00405BA6">
        <w:trPr>
          <w:jc w:val="center"/>
        </w:trPr>
        <w:tc>
          <w:tcPr>
            <w:tcW w:w="2244" w:type="pct"/>
            <w:shd w:val="clear" w:color="auto" w:fill="F2F2F2" w:themeFill="background1" w:themeFillShade="F2"/>
            <w:vAlign w:val="center"/>
          </w:tcPr>
          <w:p w:rsidR="00A615AC" w:rsidRPr="00197953" w:rsidRDefault="00616F6B" w:rsidP="00C523C6">
            <w:pPr>
              <w:jc w:val="center"/>
              <w:rPr>
                <w:bCs/>
                <w:sz w:val="20"/>
                <w:szCs w:val="20"/>
              </w:rPr>
            </w:pPr>
            <w:r>
              <w:rPr>
                <w:bCs/>
                <w:sz w:val="20"/>
                <w:szCs w:val="20"/>
              </w:rPr>
              <w:t>[E</w:t>
            </w:r>
            <w:r w:rsidR="00A615AC" w:rsidRPr="00197953">
              <w:rPr>
                <w:bCs/>
                <w:sz w:val="20"/>
                <w:szCs w:val="20"/>
              </w:rPr>
              <w:t>]</w:t>
            </w:r>
          </w:p>
        </w:tc>
        <w:tc>
          <w:tcPr>
            <w:tcW w:w="2756" w:type="pct"/>
            <w:shd w:val="clear" w:color="auto" w:fill="F2F2F2" w:themeFill="background1" w:themeFillShade="F2"/>
            <w:vAlign w:val="center"/>
          </w:tcPr>
          <w:p w:rsidR="00A615AC" w:rsidRPr="00197953" w:rsidRDefault="00A615AC" w:rsidP="00C523C6">
            <w:pPr>
              <w:jc w:val="center"/>
              <w:rPr>
                <w:bCs/>
                <w:sz w:val="20"/>
                <w:szCs w:val="20"/>
              </w:rPr>
            </w:pPr>
            <w:r w:rsidRPr="00197953">
              <w:rPr>
                <w:bCs/>
                <w:sz w:val="20"/>
                <w:szCs w:val="20"/>
              </w:rPr>
              <w:t>2%</w:t>
            </w:r>
          </w:p>
        </w:tc>
      </w:tr>
      <w:tr w:rsidR="00A615AC" w:rsidRPr="00197953" w:rsidTr="00405BA6">
        <w:trPr>
          <w:jc w:val="center"/>
        </w:trPr>
        <w:tc>
          <w:tcPr>
            <w:tcW w:w="2244" w:type="pct"/>
            <w:shd w:val="clear" w:color="auto" w:fill="BFBFBF" w:themeFill="background1" w:themeFillShade="BF"/>
            <w:vAlign w:val="center"/>
          </w:tcPr>
          <w:p w:rsidR="00A615AC" w:rsidRPr="00197953" w:rsidRDefault="00A615AC" w:rsidP="00C523C6">
            <w:pPr>
              <w:jc w:val="center"/>
              <w:rPr>
                <w:bCs/>
                <w:sz w:val="20"/>
                <w:szCs w:val="20"/>
              </w:rPr>
            </w:pPr>
            <w:r w:rsidRPr="00197953">
              <w:rPr>
                <w:bCs/>
                <w:sz w:val="20"/>
                <w:szCs w:val="20"/>
              </w:rPr>
              <w:t>Consensus Median</w:t>
            </w:r>
          </w:p>
        </w:tc>
        <w:tc>
          <w:tcPr>
            <w:tcW w:w="2756" w:type="pct"/>
            <w:shd w:val="clear" w:color="auto" w:fill="BFBFBF" w:themeFill="background1" w:themeFillShade="BF"/>
            <w:vAlign w:val="center"/>
          </w:tcPr>
          <w:p w:rsidR="00A615AC" w:rsidRPr="00197953" w:rsidRDefault="00A615AC" w:rsidP="00C523C6">
            <w:pPr>
              <w:jc w:val="center"/>
              <w:rPr>
                <w:bCs/>
                <w:sz w:val="20"/>
                <w:szCs w:val="20"/>
              </w:rPr>
            </w:pPr>
            <w:r w:rsidRPr="00197953">
              <w:rPr>
                <w:bCs/>
                <w:sz w:val="20"/>
                <w:szCs w:val="20"/>
              </w:rPr>
              <w:t>2%</w:t>
            </w:r>
          </w:p>
        </w:tc>
      </w:tr>
    </w:tbl>
    <w:p w:rsidR="00A615AC" w:rsidRDefault="00A615AC" w:rsidP="00AB21F5">
      <w:pPr>
        <w:pStyle w:val="Reminder"/>
        <w:rPr>
          <w:rFonts w:asciiTheme="minorHAnsi" w:hAnsiTheme="minorHAnsi" w:cstheme="minorHAnsi"/>
          <w:szCs w:val="22"/>
        </w:rPr>
      </w:pPr>
    </w:p>
    <w:p w:rsidR="00E16609" w:rsidRPr="00F06CCF" w:rsidRDefault="00824F1C" w:rsidP="00F06CCF">
      <w:pPr>
        <w:pStyle w:val="Heading3"/>
        <w:rPr>
          <w:rFonts w:asciiTheme="minorHAnsi" w:hAnsiTheme="minorHAnsi"/>
        </w:rPr>
      </w:pPr>
      <w:proofErr w:type="gramStart"/>
      <w:r w:rsidRPr="00F06CCF">
        <w:rPr>
          <w:rFonts w:asciiTheme="minorHAnsi" w:hAnsiTheme="minorHAnsi"/>
        </w:rPr>
        <w:lastRenderedPageBreak/>
        <w:t>1.4</w:t>
      </w:r>
      <w:r w:rsidR="00F06CCF">
        <w:rPr>
          <w:rFonts w:asciiTheme="minorHAnsi" w:hAnsiTheme="minorHAnsi"/>
        </w:rPr>
        <w:t>.</w:t>
      </w:r>
      <w:r w:rsidR="00AB21F5">
        <w:rPr>
          <w:rFonts w:asciiTheme="minorHAnsi" w:hAnsiTheme="minorHAnsi"/>
        </w:rPr>
        <w:t>4</w:t>
      </w:r>
      <w:r w:rsidR="006513DA">
        <w:rPr>
          <w:rFonts w:asciiTheme="minorHAnsi" w:hAnsiTheme="minorHAnsi"/>
        </w:rPr>
        <w:t xml:space="preserve">  </w:t>
      </w:r>
      <w:r w:rsidR="00E16609" w:rsidRPr="00F06CCF">
        <w:rPr>
          <w:rFonts w:asciiTheme="minorHAnsi" w:hAnsiTheme="minorHAnsi"/>
        </w:rPr>
        <w:t>Measure</w:t>
      </w:r>
      <w:proofErr w:type="gramEnd"/>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7"/>
    </w:p>
    <w:p w:rsidR="00405BA6" w:rsidRDefault="000F130A" w:rsidP="00405BA6">
      <w:pPr>
        <w:rPr>
          <w:i/>
        </w:rPr>
      </w:pPr>
      <w:r w:rsidRPr="00F12A99">
        <w:t>DEER</w:t>
      </w:r>
      <w:r w:rsidR="00F06CCF" w:rsidRPr="00F12A99">
        <w:t>14 update</w:t>
      </w:r>
      <w:r w:rsidRPr="00F12A99">
        <w:t xml:space="preserve"> documentation provides EUL and RUL information to be used for the </w:t>
      </w:r>
      <w:r w:rsidR="00F06CCF" w:rsidRPr="00F12A99">
        <w:t>2015</w:t>
      </w:r>
      <w:r w:rsidRPr="00F12A99">
        <w:t xml:space="preserve"> program cycle</w:t>
      </w:r>
      <w:r w:rsidR="00F06CCF" w:rsidRPr="00F12A99">
        <w:t xml:space="preserve"> extension</w:t>
      </w:r>
      <w:r w:rsidRPr="00F12A99">
        <w:t xml:space="preserve"> on </w:t>
      </w:r>
      <w:hyperlink r:id="rId16" w:history="1">
        <w:r w:rsidRPr="00F12A99">
          <w:t>www.deeresources.com</w:t>
        </w:r>
      </w:hyperlink>
      <w:r w:rsidR="00056947" w:rsidRPr="00F12A99">
        <w:t xml:space="preserve">. </w:t>
      </w:r>
      <w:r w:rsidRPr="00F12A99">
        <w:t>The DEER documentation “Summary of EUL-RUL Analysis for the April 2008 Update to DEER” provides the RUL value as a flat 1/3 of the EUL value.</w:t>
      </w:r>
      <w:r w:rsidR="009D0753" w:rsidRPr="00F12A99">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F12A99" w:rsidRPr="00F12A99" w:rsidRDefault="00F12A99" w:rsidP="00405BA6">
      <w:pPr>
        <w:rPr>
          <w:i/>
        </w:rPr>
      </w:pPr>
      <w:r w:rsidRPr="00F12A99">
        <w:t>However, it does not apply to fan v-belt life.</w:t>
      </w:r>
      <w:r w:rsidR="006513DA">
        <w:t xml:space="preserve">  </w:t>
      </w:r>
      <w:r w:rsidRPr="00F12A99">
        <w:t>A v-belt has a life based on fan run hours which varies by building type based primarily on occupancy schedule because the fans have to run continuously during all occupied hours.</w:t>
      </w:r>
      <w:r w:rsidR="006513DA">
        <w:t xml:space="preserve"> </w:t>
      </w:r>
      <w:r w:rsidRPr="00F12A99">
        <w:t>The supply and return fans will also run a few hours during unoccupied hours for heating and cooling as needed.</w:t>
      </w:r>
      <w:r w:rsidR="006513DA">
        <w:t xml:space="preserve">  </w:t>
      </w:r>
      <w:r w:rsidRPr="00F12A99">
        <w:t>Unoccupied fan hours for cooling are essentially zero in southern California due to thermostat set up and the major reduction in internal cooling loads (appliances off, lighting reduced to emergency only, and no people).</w:t>
      </w:r>
      <w:r w:rsidR="006513DA">
        <w:t xml:space="preserve">  </w:t>
      </w:r>
      <w:r w:rsidRPr="00F12A99">
        <w:t>In spite of thermostat setbacks, unoccupied fan hours for heating can be significant in cold climates since internal heat gains are small.</w:t>
      </w:r>
      <w:r w:rsidR="006513DA">
        <w:t xml:space="preserve">  </w:t>
      </w:r>
      <w:r w:rsidRPr="00F12A99">
        <w:t>In most SCE climate zones the majority of non-residential buildings have a low heating requirement.</w:t>
      </w:r>
      <w:r w:rsidR="006513DA">
        <w:t xml:space="preserve">  </w:t>
      </w:r>
      <w:r w:rsidRPr="00F12A99">
        <w:t>Therefore, the fan belt life can be based on the occupancy schedule.</w:t>
      </w:r>
    </w:p>
    <w:p w:rsidR="00F12A99" w:rsidRPr="00683518" w:rsidRDefault="00F12A99" w:rsidP="00F12A99">
      <w:pPr>
        <w:rPr>
          <w:szCs w:val="22"/>
        </w:rPr>
      </w:pPr>
    </w:p>
    <w:p w:rsidR="00F12A99" w:rsidRPr="00683518" w:rsidRDefault="00F12A99" w:rsidP="00F12A99">
      <w:pPr>
        <w:ind w:firstLine="720"/>
        <w:rPr>
          <w:i/>
          <w:szCs w:val="22"/>
        </w:rPr>
      </w:pPr>
      <w:r w:rsidRPr="00683518">
        <w:rPr>
          <w:i/>
          <w:szCs w:val="22"/>
        </w:rPr>
        <w:t xml:space="preserve">Equation 1 </w:t>
      </w:r>
      <w:r w:rsidRPr="00683518">
        <w:rPr>
          <w:i/>
          <w:szCs w:val="22"/>
        </w:rPr>
        <w:tab/>
        <w:t>EUL = Belt Life / Occupancy Hours per year</w:t>
      </w:r>
    </w:p>
    <w:p w:rsidR="00F12A99" w:rsidRPr="00683518" w:rsidRDefault="00F12A99" w:rsidP="00F12A99">
      <w:pPr>
        <w:ind w:firstLine="720"/>
        <w:rPr>
          <w:i/>
          <w:szCs w:val="22"/>
        </w:rPr>
      </w:pPr>
    </w:p>
    <w:p w:rsidR="00F12A99" w:rsidRPr="00683518" w:rsidRDefault="00F12A99" w:rsidP="00F12A99">
      <w:pPr>
        <w:ind w:firstLine="720"/>
        <w:rPr>
          <w:i/>
          <w:szCs w:val="22"/>
        </w:rPr>
      </w:pPr>
      <w:r w:rsidRPr="00683518">
        <w:rPr>
          <w:i/>
          <w:szCs w:val="22"/>
        </w:rPr>
        <w:t>Where:</w:t>
      </w:r>
    </w:p>
    <w:p w:rsidR="00F12A99" w:rsidRPr="00683518" w:rsidRDefault="00F12A99" w:rsidP="00F12A99">
      <w:pPr>
        <w:ind w:firstLine="720"/>
        <w:rPr>
          <w:i/>
          <w:szCs w:val="22"/>
        </w:rPr>
      </w:pPr>
      <w:r w:rsidRPr="00683518">
        <w:rPr>
          <w:i/>
          <w:szCs w:val="22"/>
        </w:rPr>
        <w:tab/>
        <w:t>Belt Life is 24,000 hours [A]</w:t>
      </w:r>
    </w:p>
    <w:p w:rsidR="00F12A99" w:rsidRPr="00683518" w:rsidRDefault="00F12A99" w:rsidP="00F12A99">
      <w:pPr>
        <w:ind w:firstLine="1440"/>
        <w:rPr>
          <w:i/>
          <w:szCs w:val="22"/>
        </w:rPr>
      </w:pPr>
      <w:proofErr w:type="gramStart"/>
      <w:r w:rsidRPr="00683518">
        <w:rPr>
          <w:i/>
          <w:szCs w:val="22"/>
        </w:rPr>
        <w:t>Occupancy Hours per year from Table 4 below.</w:t>
      </w:r>
      <w:proofErr w:type="gramEnd"/>
      <w:r w:rsidRPr="00683518">
        <w:rPr>
          <w:i/>
          <w:szCs w:val="22"/>
        </w:rPr>
        <w:t xml:space="preserve"> </w:t>
      </w:r>
    </w:p>
    <w:p w:rsidR="00F12A99" w:rsidRPr="00683518" w:rsidRDefault="00F12A99" w:rsidP="00F12A99">
      <w:pPr>
        <w:ind w:firstLine="1440"/>
        <w:rPr>
          <w:i/>
          <w:szCs w:val="22"/>
        </w:rPr>
      </w:pPr>
    </w:p>
    <w:p w:rsidR="005B28C1" w:rsidRPr="00F12A99" w:rsidRDefault="00F12A99" w:rsidP="00F12A99">
      <w:pPr>
        <w:pStyle w:val="Reminders"/>
        <w:rPr>
          <w:rFonts w:asciiTheme="minorHAnsi" w:hAnsiTheme="minorHAnsi" w:cstheme="minorHAnsi"/>
          <w:i w:val="0"/>
          <w:color w:val="auto"/>
          <w:szCs w:val="22"/>
        </w:rPr>
      </w:pPr>
      <w:r w:rsidRPr="00F12A99">
        <w:rPr>
          <w:rFonts w:asciiTheme="minorHAnsi" w:hAnsiTheme="minorHAnsi" w:cstheme="minorHAnsi"/>
          <w:i w:val="0"/>
          <w:color w:val="auto"/>
          <w:szCs w:val="22"/>
        </w:rPr>
        <w:t xml:space="preserve">The EUL for the measure is 24,000 hours divided by the annual hours from the </w:t>
      </w:r>
      <w:proofErr w:type="spellStart"/>
      <w:r w:rsidRPr="00F12A99">
        <w:rPr>
          <w:rFonts w:asciiTheme="minorHAnsi" w:hAnsiTheme="minorHAnsi" w:cstheme="minorHAnsi"/>
          <w:i w:val="0"/>
          <w:color w:val="auto"/>
          <w:szCs w:val="22"/>
        </w:rPr>
        <w:t>eQUEST</w:t>
      </w:r>
      <w:proofErr w:type="spellEnd"/>
      <w:r w:rsidRPr="00F12A99">
        <w:rPr>
          <w:rFonts w:asciiTheme="minorHAnsi" w:hAnsiTheme="minorHAnsi" w:cstheme="minorHAnsi"/>
          <w:i w:val="0"/>
          <w:color w:val="auto"/>
          <w:szCs w:val="22"/>
        </w:rPr>
        <w:t xml:space="preserve"> run report “SS-L Fan Energy/Hours”.</w:t>
      </w:r>
    </w:p>
    <w:p w:rsidR="00BD3931" w:rsidRPr="00697868" w:rsidRDefault="00BD3931" w:rsidP="000F130A">
      <w:pPr>
        <w:rPr>
          <w:rFonts w:cstheme="minorHAnsi"/>
          <w:szCs w:val="22"/>
        </w:rPr>
      </w:pPr>
    </w:p>
    <w:p w:rsidR="00E16609" w:rsidRPr="00697868" w:rsidRDefault="00E16609" w:rsidP="00560934">
      <w:pPr>
        <w:pStyle w:val="Heading1"/>
        <w:keepNext w:val="0"/>
        <w:rPr>
          <w:rFonts w:asciiTheme="minorHAnsi" w:hAnsiTheme="minorHAnsi" w:cstheme="minorHAnsi"/>
        </w:rPr>
      </w:pPr>
      <w:bookmarkStart w:id="19" w:name="_Toc214003090"/>
      <w:proofErr w:type="gramStart"/>
      <w:r w:rsidRPr="00697868">
        <w:rPr>
          <w:rFonts w:asciiTheme="minorHAnsi" w:hAnsiTheme="minorHAnsi" w:cstheme="minorHAnsi"/>
        </w:rPr>
        <w:t>Section 2.</w:t>
      </w:r>
      <w:proofErr w:type="gramEnd"/>
      <w:r w:rsidRPr="00697868">
        <w:rPr>
          <w:rFonts w:asciiTheme="minorHAnsi" w:hAnsiTheme="minorHAnsi" w:cstheme="minorHAnsi"/>
        </w:rPr>
        <w:t xml:space="preserve"> Energy Savings &amp; Demand Reduction Calculations</w:t>
      </w:r>
      <w:bookmarkEnd w:id="19"/>
    </w:p>
    <w:p w:rsidR="003C175E" w:rsidRDefault="003C175E" w:rsidP="00BA59FF">
      <w:pPr>
        <w:rPr>
          <w:szCs w:val="22"/>
        </w:rPr>
      </w:pPr>
      <w:r>
        <w:rPr>
          <w:szCs w:val="22"/>
        </w:rPr>
        <w:t xml:space="preserve">Energy savings and demand reduction were estimated by performing </w:t>
      </w:r>
      <w:proofErr w:type="spellStart"/>
      <w:r>
        <w:rPr>
          <w:szCs w:val="22"/>
        </w:rPr>
        <w:t>eQUEST</w:t>
      </w:r>
      <w:proofErr w:type="spellEnd"/>
      <w:r>
        <w:rPr>
          <w:szCs w:val="22"/>
        </w:rPr>
        <w:t xml:space="preserve"> </w:t>
      </w:r>
      <w:r w:rsidR="00257C5A">
        <w:rPr>
          <w:szCs w:val="22"/>
        </w:rPr>
        <w:fldChar w:fldCharType="begin"/>
      </w:r>
      <w:r w:rsidR="00257C5A">
        <w:rPr>
          <w:szCs w:val="22"/>
        </w:rPr>
        <w:instrText xml:space="preserve"> REF _Ref386195297 \r \h </w:instrText>
      </w:r>
      <w:r w:rsidR="00257C5A">
        <w:rPr>
          <w:szCs w:val="22"/>
        </w:rPr>
      </w:r>
      <w:r w:rsidR="00257C5A">
        <w:rPr>
          <w:szCs w:val="22"/>
        </w:rPr>
        <w:fldChar w:fldCharType="separate"/>
      </w:r>
      <w:r w:rsidR="004A5AD0">
        <w:rPr>
          <w:szCs w:val="22"/>
        </w:rPr>
        <w:t>[G]</w:t>
      </w:r>
      <w:r w:rsidR="00257C5A">
        <w:rPr>
          <w:szCs w:val="22"/>
        </w:rPr>
        <w:fldChar w:fldCharType="end"/>
      </w:r>
      <w:r w:rsidR="00257C5A">
        <w:rPr>
          <w:szCs w:val="22"/>
        </w:rPr>
        <w:t xml:space="preserve"> </w:t>
      </w:r>
      <w:r>
        <w:rPr>
          <w:szCs w:val="22"/>
        </w:rPr>
        <w:t>simulations</w:t>
      </w:r>
      <w:r w:rsidR="00BB381C">
        <w:rPr>
          <w:szCs w:val="22"/>
        </w:rPr>
        <w:t xml:space="preserve">. This is because these are non-DEER measures. The simulations used </w:t>
      </w:r>
      <w:r>
        <w:rPr>
          <w:szCs w:val="22"/>
        </w:rPr>
        <w:t>the DEER prototypes described in Section 1.4.1 as the baseline case. Keyword changes were then completed to simulate an improvement in fan system efficiency, and corresponding reduction in fan heat added to the airstream.</w:t>
      </w:r>
    </w:p>
    <w:p w:rsidR="00BA59FF" w:rsidRPr="0026787D" w:rsidRDefault="00BA59FF" w:rsidP="00BA59FF">
      <w:pPr>
        <w:pStyle w:val="Heading3"/>
        <w:rPr>
          <w:rFonts w:ascii="Calibri" w:hAnsi="Calibri" w:cs="Calibri"/>
          <w:sz w:val="28"/>
          <w:szCs w:val="22"/>
        </w:rPr>
      </w:pPr>
      <w:bookmarkStart w:id="20" w:name="_Toc300053743"/>
      <w:r w:rsidRPr="0026787D">
        <w:rPr>
          <w:rFonts w:ascii="Calibri" w:hAnsi="Calibri" w:cs="Calibri"/>
          <w:sz w:val="28"/>
          <w:szCs w:val="22"/>
        </w:rPr>
        <w:t xml:space="preserve">Energy Simulation with </w:t>
      </w:r>
      <w:proofErr w:type="spellStart"/>
      <w:r w:rsidRPr="0026787D">
        <w:rPr>
          <w:rFonts w:ascii="Calibri" w:hAnsi="Calibri" w:cs="Calibri"/>
          <w:sz w:val="28"/>
          <w:szCs w:val="22"/>
        </w:rPr>
        <w:t>eQUEST</w:t>
      </w:r>
      <w:bookmarkEnd w:id="20"/>
      <w:proofErr w:type="spellEnd"/>
    </w:p>
    <w:p w:rsidR="00BA59FF" w:rsidRDefault="00257C5A" w:rsidP="00BA59FF">
      <w:pPr>
        <w:rPr>
          <w:szCs w:val="22"/>
        </w:rPr>
      </w:pPr>
      <w:proofErr w:type="spellStart"/>
      <w:proofErr w:type="gramStart"/>
      <w:r>
        <w:rPr>
          <w:szCs w:val="22"/>
        </w:rPr>
        <w:t>eQUEST</w:t>
      </w:r>
      <w:proofErr w:type="spellEnd"/>
      <w:proofErr w:type="gramEnd"/>
      <w:r>
        <w:rPr>
          <w:szCs w:val="22"/>
        </w:rPr>
        <w:t xml:space="preserve"> </w:t>
      </w:r>
      <w:r w:rsidR="00BA59FF" w:rsidRPr="0026787D">
        <w:rPr>
          <w:szCs w:val="22"/>
        </w:rPr>
        <w:t>is a DOE2</w:t>
      </w:r>
      <w:r w:rsidR="009E4559">
        <w:rPr>
          <w:rStyle w:val="FootnoteReference"/>
          <w:szCs w:val="22"/>
        </w:rPr>
        <w:footnoteReference w:id="2"/>
      </w:r>
      <w:r w:rsidR="00BA59FF" w:rsidRPr="0026787D">
        <w:rPr>
          <w:szCs w:val="22"/>
        </w:rPr>
        <w:t xml:space="preserve"> based simulation software package used to produce estimates of energy use of prototype no</w:t>
      </w:r>
      <w:r w:rsidR="008D2F40" w:rsidRPr="0026787D">
        <w:rPr>
          <w:szCs w:val="22"/>
        </w:rPr>
        <w:t xml:space="preserve">n-residential building models. </w:t>
      </w:r>
      <w:r w:rsidR="00BA59FF" w:rsidRPr="0026787D">
        <w:rPr>
          <w:szCs w:val="22"/>
        </w:rPr>
        <w:t>The DEER non-residential prototypes</w:t>
      </w:r>
      <w:r w:rsidR="00D27192">
        <w:rPr>
          <w:szCs w:val="22"/>
        </w:rPr>
        <w:t xml:space="preserve"> </w:t>
      </w:r>
      <w:r w:rsidR="00D27192" w:rsidRPr="0026787D">
        <w:rPr>
          <w:szCs w:val="22"/>
        </w:rPr>
        <w:t>were simulated using eQUEST-3.6</w:t>
      </w:r>
      <w:r w:rsidR="00D27192">
        <w:rPr>
          <w:szCs w:val="22"/>
        </w:rPr>
        <w:t>4</w:t>
      </w:r>
      <w:r w:rsidR="004D5E52">
        <w:rPr>
          <w:szCs w:val="22"/>
        </w:rPr>
        <w:t>, consisting of</w:t>
      </w:r>
      <w:r w:rsidR="00BA59FF" w:rsidRPr="0026787D">
        <w:rPr>
          <w:szCs w:val="22"/>
        </w:rPr>
        <w:t xml:space="preserve"> </w:t>
      </w:r>
      <w:r w:rsidR="00D27192" w:rsidRPr="0026787D">
        <w:rPr>
          <w:szCs w:val="22"/>
        </w:rPr>
        <w:t>19</w:t>
      </w:r>
      <w:r w:rsidR="00D27192">
        <w:rPr>
          <w:szCs w:val="22"/>
        </w:rPr>
        <w:t xml:space="preserve"> different building types</w:t>
      </w:r>
      <w:r w:rsidR="008D2F40" w:rsidRPr="0026787D">
        <w:rPr>
          <w:szCs w:val="22"/>
        </w:rPr>
        <w:t>.</w:t>
      </w:r>
      <w:r w:rsidR="004D5E52">
        <w:rPr>
          <w:szCs w:val="22"/>
        </w:rPr>
        <w:t xml:space="preserve"> The 19 non-residential building types were simulated with three different HVAC unit types: AC Only, Gas Packs, and Heat Pumps. The only building type that does not have all three HVAC unit types available through </w:t>
      </w:r>
      <w:proofErr w:type="spellStart"/>
      <w:r w:rsidR="004D5E52">
        <w:rPr>
          <w:szCs w:val="22"/>
        </w:rPr>
        <w:t>MASControl</w:t>
      </w:r>
      <w:proofErr w:type="spellEnd"/>
      <w:r w:rsidR="004D5E52">
        <w:rPr>
          <w:szCs w:val="22"/>
        </w:rPr>
        <w:t xml:space="preserve"> is the “Education – Relocatable Classroom” which did not have a heat pump prototype. All 19 DEER non-residential bui</w:t>
      </w:r>
      <w:r w:rsidR="003B59E1">
        <w:rPr>
          <w:szCs w:val="22"/>
        </w:rPr>
        <w:t xml:space="preserve">lding types are below in </w:t>
      </w:r>
      <w:r w:rsidR="003B59E1">
        <w:rPr>
          <w:szCs w:val="22"/>
        </w:rPr>
        <w:fldChar w:fldCharType="begin"/>
      </w:r>
      <w:r w:rsidR="003B59E1">
        <w:rPr>
          <w:szCs w:val="22"/>
        </w:rPr>
        <w:instrText xml:space="preserve"> REF _Ref386198114 \h </w:instrText>
      </w:r>
      <w:r w:rsidR="003B59E1">
        <w:rPr>
          <w:szCs w:val="22"/>
        </w:rPr>
      </w:r>
      <w:r w:rsidR="003B59E1">
        <w:rPr>
          <w:szCs w:val="22"/>
        </w:rPr>
        <w:fldChar w:fldCharType="separate"/>
      </w:r>
      <w:r w:rsidR="004A5AD0">
        <w:t xml:space="preserve">Table </w:t>
      </w:r>
      <w:r w:rsidR="004A5AD0">
        <w:rPr>
          <w:noProof/>
        </w:rPr>
        <w:t>7</w:t>
      </w:r>
      <w:r w:rsidR="003B59E1">
        <w:rPr>
          <w:szCs w:val="22"/>
        </w:rPr>
        <w:fldChar w:fldCharType="end"/>
      </w:r>
      <w:r w:rsidR="004D5E52">
        <w:rPr>
          <w:szCs w:val="22"/>
        </w:rPr>
        <w:t xml:space="preserve"> with an “X” indicating when the building type was simulated with the corresponding HVAC unit type.</w:t>
      </w:r>
      <w:r w:rsidR="004C2EB6">
        <w:rPr>
          <w:szCs w:val="22"/>
        </w:rPr>
        <w:t xml:space="preserve"> The AC Only unit type was not directly simulated, instead using the results from the Gas Pack simulations and ignoring the therm energy use.</w:t>
      </w:r>
    </w:p>
    <w:p w:rsidR="00D27192" w:rsidRPr="0026787D" w:rsidRDefault="00D27192" w:rsidP="00BA59FF">
      <w:pPr>
        <w:rPr>
          <w:szCs w:val="22"/>
        </w:rPr>
      </w:pPr>
    </w:p>
    <w:p w:rsidR="003B59E1" w:rsidRDefault="003B59E1" w:rsidP="003B59E1">
      <w:pPr>
        <w:pStyle w:val="Caption"/>
        <w:keepNext/>
        <w:jc w:val="center"/>
      </w:pPr>
      <w:bookmarkStart w:id="21" w:name="_Ref386198114"/>
      <w:r>
        <w:t xml:space="preserve">Table </w:t>
      </w:r>
      <w:fldSimple w:instr=" SEQ Table \* ARABIC ">
        <w:r w:rsidR="004A5AD0">
          <w:rPr>
            <w:noProof/>
          </w:rPr>
          <w:t>7</w:t>
        </w:r>
      </w:fldSimple>
      <w:bookmarkEnd w:id="21"/>
      <w:r>
        <w:t xml:space="preserve"> </w:t>
      </w:r>
      <w:r w:rsidRPr="0001599B">
        <w:rPr>
          <w:rFonts w:cs="Calibri"/>
          <w:szCs w:val="22"/>
        </w:rPr>
        <w:t xml:space="preserve">DEER Prototype Non-residential </w:t>
      </w:r>
      <w:r>
        <w:rPr>
          <w:rFonts w:cs="Calibri"/>
          <w:szCs w:val="22"/>
        </w:rPr>
        <w:t>Building Types Simulated per HVAC Type</w:t>
      </w:r>
    </w:p>
    <w:tbl>
      <w:tblPr>
        <w:tblW w:w="8660" w:type="dxa"/>
        <w:tblInd w:w="93" w:type="dxa"/>
        <w:tblLook w:val="04A0" w:firstRow="1" w:lastRow="0" w:firstColumn="1" w:lastColumn="0" w:noHBand="0" w:noVBand="1"/>
      </w:tblPr>
      <w:tblGrid>
        <w:gridCol w:w="3220"/>
        <w:gridCol w:w="1420"/>
        <w:gridCol w:w="1340"/>
        <w:gridCol w:w="1340"/>
        <w:gridCol w:w="1340"/>
      </w:tblGrid>
      <w:tr w:rsidR="00E3370F" w:rsidRPr="00E3370F" w:rsidTr="00E3370F">
        <w:trPr>
          <w:trHeight w:val="615"/>
        </w:trPr>
        <w:tc>
          <w:tcPr>
            <w:tcW w:w="32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b/>
                <w:bCs/>
                <w:color w:val="000000"/>
                <w:sz w:val="20"/>
                <w:szCs w:val="20"/>
              </w:rPr>
            </w:pPr>
            <w:r w:rsidRPr="00E3370F">
              <w:rPr>
                <w:rFonts w:ascii="Calibri" w:hAnsi="Calibri" w:cs="Calibri"/>
                <w:b/>
                <w:bCs/>
                <w:color w:val="000000"/>
                <w:sz w:val="20"/>
                <w:szCs w:val="20"/>
              </w:rPr>
              <w:t>Building</w:t>
            </w:r>
            <w:r w:rsidRPr="00E3370F">
              <w:rPr>
                <w:rFonts w:ascii="Calibri" w:hAnsi="Calibri" w:cs="Calibri"/>
                <w:b/>
                <w:bCs/>
                <w:color w:val="000000"/>
                <w:sz w:val="16"/>
                <w:szCs w:val="16"/>
              </w:rPr>
              <w:t> </w:t>
            </w:r>
            <w:r w:rsidRPr="00E3370F">
              <w:rPr>
                <w:rFonts w:ascii="Calibri" w:hAnsi="Calibri" w:cs="Calibri"/>
                <w:b/>
                <w:bCs/>
                <w:color w:val="000000"/>
                <w:sz w:val="20"/>
                <w:szCs w:val="20"/>
              </w:rPr>
              <w:t xml:space="preserve"> Type</w:t>
            </w:r>
          </w:p>
        </w:tc>
        <w:tc>
          <w:tcPr>
            <w:tcW w:w="14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b/>
                <w:bCs/>
                <w:color w:val="000000"/>
                <w:sz w:val="20"/>
                <w:szCs w:val="20"/>
              </w:rPr>
            </w:pPr>
            <w:r w:rsidRPr="00E3370F">
              <w:rPr>
                <w:rFonts w:ascii="Calibri" w:hAnsi="Calibri" w:cs="Calibri"/>
                <w:b/>
                <w:bCs/>
                <w:color w:val="000000"/>
                <w:sz w:val="20"/>
                <w:szCs w:val="20"/>
              </w:rPr>
              <w:t>Abbreviated Building Types</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b/>
                <w:bCs/>
                <w:color w:val="000000"/>
                <w:sz w:val="20"/>
                <w:szCs w:val="20"/>
              </w:rPr>
            </w:pPr>
            <w:r w:rsidRPr="00E3370F">
              <w:rPr>
                <w:rFonts w:ascii="Calibri" w:hAnsi="Calibri" w:cs="Calibri"/>
                <w:b/>
                <w:bCs/>
                <w:color w:val="000000"/>
                <w:sz w:val="20"/>
                <w:szCs w:val="20"/>
              </w:rPr>
              <w:t>AC Only</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b/>
                <w:bCs/>
                <w:color w:val="000000"/>
                <w:sz w:val="20"/>
                <w:szCs w:val="20"/>
              </w:rPr>
            </w:pPr>
            <w:r w:rsidRPr="00E3370F">
              <w:rPr>
                <w:rFonts w:ascii="Calibri" w:hAnsi="Calibri" w:cs="Calibri"/>
                <w:b/>
                <w:bCs/>
                <w:color w:val="000000"/>
                <w:sz w:val="20"/>
                <w:szCs w:val="20"/>
              </w:rPr>
              <w:t>Gas Pack</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b/>
                <w:bCs/>
                <w:color w:val="000000"/>
                <w:sz w:val="20"/>
                <w:szCs w:val="20"/>
              </w:rPr>
            </w:pPr>
            <w:r w:rsidRPr="00E3370F">
              <w:rPr>
                <w:rFonts w:ascii="Calibri" w:hAnsi="Calibri" w:cs="Calibri"/>
                <w:b/>
                <w:bCs/>
                <w:color w:val="000000"/>
                <w:sz w:val="20"/>
                <w:szCs w:val="20"/>
              </w:rPr>
              <w:t>Heat Pump</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Assembly</w:t>
            </w:r>
          </w:p>
        </w:tc>
        <w:tc>
          <w:tcPr>
            <w:tcW w:w="1420" w:type="dxa"/>
            <w:tcBorders>
              <w:top w:val="nil"/>
              <w:left w:val="nil"/>
              <w:bottom w:val="single" w:sz="12" w:space="0" w:color="FFFFFF"/>
              <w:right w:val="nil"/>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Asm</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Education - Community College</w:t>
            </w:r>
          </w:p>
        </w:tc>
        <w:tc>
          <w:tcPr>
            <w:tcW w:w="14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ECC</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Education - Primary School</w:t>
            </w:r>
          </w:p>
        </w:tc>
        <w:tc>
          <w:tcPr>
            <w:tcW w:w="1420" w:type="dxa"/>
            <w:tcBorders>
              <w:top w:val="nil"/>
              <w:left w:val="nil"/>
              <w:bottom w:val="single" w:sz="12" w:space="0" w:color="FFFFFF"/>
              <w:right w:val="nil"/>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EPr</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Education - Relocatable Classroom</w:t>
            </w:r>
          </w:p>
        </w:tc>
        <w:tc>
          <w:tcPr>
            <w:tcW w:w="14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ERC</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 </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Education - Secondary School</w:t>
            </w:r>
          </w:p>
        </w:tc>
        <w:tc>
          <w:tcPr>
            <w:tcW w:w="1420" w:type="dxa"/>
            <w:tcBorders>
              <w:top w:val="nil"/>
              <w:left w:val="nil"/>
              <w:bottom w:val="single" w:sz="12" w:space="0" w:color="FFFFFF"/>
              <w:right w:val="nil"/>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ESe</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Education - University</w:t>
            </w:r>
          </w:p>
        </w:tc>
        <w:tc>
          <w:tcPr>
            <w:tcW w:w="14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EUn</w:t>
            </w:r>
            <w:proofErr w:type="spellEnd"/>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Health/Medical - Hospital</w:t>
            </w:r>
          </w:p>
        </w:tc>
        <w:tc>
          <w:tcPr>
            <w:tcW w:w="1420" w:type="dxa"/>
            <w:tcBorders>
              <w:top w:val="nil"/>
              <w:left w:val="nil"/>
              <w:bottom w:val="single" w:sz="12" w:space="0" w:color="FFFFFF"/>
              <w:right w:val="nil"/>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Hsp</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Lodging - Hotel</w:t>
            </w:r>
          </w:p>
        </w:tc>
        <w:tc>
          <w:tcPr>
            <w:tcW w:w="14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Htl</w:t>
            </w:r>
            <w:proofErr w:type="spellEnd"/>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Manufacturing - Bio/Tech</w:t>
            </w:r>
          </w:p>
        </w:tc>
        <w:tc>
          <w:tcPr>
            <w:tcW w:w="1420" w:type="dxa"/>
            <w:tcBorders>
              <w:top w:val="nil"/>
              <w:left w:val="nil"/>
              <w:bottom w:val="single" w:sz="12" w:space="0" w:color="FFFFFF"/>
              <w:right w:val="nil"/>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MBT</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Manufacturing - Light Industrial</w:t>
            </w:r>
          </w:p>
        </w:tc>
        <w:tc>
          <w:tcPr>
            <w:tcW w:w="14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MLI</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Health/Medical - Nursing Home</w:t>
            </w:r>
          </w:p>
        </w:tc>
        <w:tc>
          <w:tcPr>
            <w:tcW w:w="1420" w:type="dxa"/>
            <w:tcBorders>
              <w:top w:val="nil"/>
              <w:left w:val="nil"/>
              <w:bottom w:val="single" w:sz="12" w:space="0" w:color="FFFFFF"/>
              <w:right w:val="nil"/>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Nrs</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Office - Large</w:t>
            </w:r>
          </w:p>
        </w:tc>
        <w:tc>
          <w:tcPr>
            <w:tcW w:w="14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OfL</w:t>
            </w:r>
            <w:proofErr w:type="spellEnd"/>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Office - Small</w:t>
            </w:r>
          </w:p>
        </w:tc>
        <w:tc>
          <w:tcPr>
            <w:tcW w:w="1420" w:type="dxa"/>
            <w:tcBorders>
              <w:top w:val="nil"/>
              <w:left w:val="nil"/>
              <w:bottom w:val="single" w:sz="12" w:space="0" w:color="FFFFFF"/>
              <w:right w:val="nil"/>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OfS</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Restaurant - Fast-Food</w:t>
            </w:r>
          </w:p>
        </w:tc>
        <w:tc>
          <w:tcPr>
            <w:tcW w:w="14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RFF</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Restaurant - Sit-Down</w:t>
            </w:r>
          </w:p>
        </w:tc>
        <w:tc>
          <w:tcPr>
            <w:tcW w:w="1420" w:type="dxa"/>
            <w:tcBorders>
              <w:top w:val="nil"/>
              <w:left w:val="nil"/>
              <w:bottom w:val="single" w:sz="12" w:space="0" w:color="FFFFFF"/>
              <w:right w:val="nil"/>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RSD</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Retail - Multistory Large</w:t>
            </w:r>
          </w:p>
        </w:tc>
        <w:tc>
          <w:tcPr>
            <w:tcW w:w="14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Rt3</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Retail - Single-Story Large</w:t>
            </w:r>
          </w:p>
        </w:tc>
        <w:tc>
          <w:tcPr>
            <w:tcW w:w="1420" w:type="dxa"/>
            <w:tcBorders>
              <w:top w:val="nil"/>
              <w:left w:val="nil"/>
              <w:bottom w:val="single" w:sz="12" w:space="0" w:color="FFFFFF"/>
              <w:right w:val="nil"/>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RtL</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Retail - Small</w:t>
            </w:r>
          </w:p>
        </w:tc>
        <w:tc>
          <w:tcPr>
            <w:tcW w:w="14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RtS</w:t>
            </w:r>
            <w:proofErr w:type="spellEnd"/>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Storage - Conditioned</w:t>
            </w:r>
          </w:p>
        </w:tc>
        <w:tc>
          <w:tcPr>
            <w:tcW w:w="1420" w:type="dxa"/>
            <w:tcBorders>
              <w:top w:val="nil"/>
              <w:left w:val="nil"/>
              <w:bottom w:val="single" w:sz="12" w:space="0" w:color="FFFFFF"/>
              <w:right w:val="nil"/>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SCn</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bl>
    <w:p w:rsidR="00BA59FF" w:rsidRPr="00BA59FF" w:rsidRDefault="00BA59FF" w:rsidP="00BA59FF">
      <w:pPr>
        <w:rPr>
          <w:szCs w:val="22"/>
          <w:highlight w:val="yellow"/>
        </w:rPr>
      </w:pPr>
    </w:p>
    <w:p w:rsidR="0026787D" w:rsidRPr="0026787D" w:rsidRDefault="00BA59FF" w:rsidP="00BA59FF">
      <w:pPr>
        <w:rPr>
          <w:szCs w:val="22"/>
        </w:rPr>
      </w:pPr>
      <w:r w:rsidRPr="0026787D">
        <w:rPr>
          <w:szCs w:val="22"/>
        </w:rPr>
        <w:t xml:space="preserve">The 19 prototypes were simulated for each of the </w:t>
      </w:r>
      <w:r w:rsidR="0026787D" w:rsidRPr="0026787D">
        <w:rPr>
          <w:szCs w:val="22"/>
        </w:rPr>
        <w:t>six</w:t>
      </w:r>
      <w:r w:rsidRPr="0026787D">
        <w:rPr>
          <w:szCs w:val="22"/>
        </w:rPr>
        <w:t xml:space="preserve"> non-resid</w:t>
      </w:r>
      <w:r w:rsidR="003B59E1">
        <w:rPr>
          <w:szCs w:val="22"/>
        </w:rPr>
        <w:t xml:space="preserve">ential vintages shown in </w:t>
      </w:r>
      <w:r w:rsidR="003B59E1">
        <w:rPr>
          <w:szCs w:val="22"/>
        </w:rPr>
        <w:fldChar w:fldCharType="begin"/>
      </w:r>
      <w:r w:rsidR="003B59E1">
        <w:rPr>
          <w:szCs w:val="22"/>
        </w:rPr>
        <w:instrText xml:space="preserve"> REF _Ref386198167 \h </w:instrText>
      </w:r>
      <w:r w:rsidR="003B59E1">
        <w:rPr>
          <w:szCs w:val="22"/>
        </w:rPr>
      </w:r>
      <w:r w:rsidR="003B59E1">
        <w:rPr>
          <w:szCs w:val="22"/>
        </w:rPr>
        <w:fldChar w:fldCharType="separate"/>
      </w:r>
      <w:r w:rsidR="004A5AD0">
        <w:t xml:space="preserve">Table </w:t>
      </w:r>
      <w:r w:rsidR="004A5AD0">
        <w:rPr>
          <w:noProof/>
        </w:rPr>
        <w:t>8</w:t>
      </w:r>
      <w:r w:rsidR="003B59E1">
        <w:rPr>
          <w:szCs w:val="22"/>
        </w:rPr>
        <w:fldChar w:fldCharType="end"/>
      </w:r>
      <w:r w:rsidRPr="0026787D">
        <w:rPr>
          <w:szCs w:val="22"/>
        </w:rPr>
        <w:t xml:space="preserve"> below.</w:t>
      </w:r>
      <w:r w:rsidR="006513DA">
        <w:rPr>
          <w:szCs w:val="22"/>
        </w:rPr>
        <w:t xml:space="preserve">  </w:t>
      </w:r>
      <w:r w:rsidRPr="0026787D">
        <w:rPr>
          <w:szCs w:val="22"/>
        </w:rPr>
        <w:t>Each vintage has a different cooling load and may have differen</w:t>
      </w:r>
      <w:r w:rsidR="0026787D" w:rsidRPr="0026787D">
        <w:rPr>
          <w:szCs w:val="22"/>
        </w:rPr>
        <w:t xml:space="preserve">t building and system component </w:t>
      </w:r>
      <w:r w:rsidRPr="0026787D">
        <w:rPr>
          <w:szCs w:val="22"/>
        </w:rPr>
        <w:t>properties based either on code or s</w:t>
      </w:r>
      <w:r w:rsidR="0026787D" w:rsidRPr="0026787D">
        <w:rPr>
          <w:szCs w:val="22"/>
        </w:rPr>
        <w:t>tandard practice at the time.</w:t>
      </w:r>
    </w:p>
    <w:p w:rsidR="00BA59FF" w:rsidRPr="0001599B" w:rsidRDefault="00BA59FF" w:rsidP="003B59E1">
      <w:pPr>
        <w:pStyle w:val="Caption"/>
        <w:rPr>
          <w:rFonts w:cs="Calibri"/>
          <w:i/>
          <w:szCs w:val="22"/>
        </w:rPr>
      </w:pPr>
    </w:p>
    <w:p w:rsidR="003B59E1" w:rsidRDefault="003B59E1" w:rsidP="003B59E1">
      <w:pPr>
        <w:pStyle w:val="Caption"/>
        <w:keepNext/>
        <w:jc w:val="center"/>
      </w:pPr>
      <w:bookmarkStart w:id="22" w:name="_Ref386198167"/>
      <w:r>
        <w:t xml:space="preserve">Table </w:t>
      </w:r>
      <w:fldSimple w:instr=" SEQ Table \* ARABIC ">
        <w:r w:rsidR="004A5AD0">
          <w:rPr>
            <w:noProof/>
          </w:rPr>
          <w:t>8</w:t>
        </w:r>
      </w:fldSimple>
      <w:bookmarkEnd w:id="22"/>
      <w:r>
        <w:t xml:space="preserve"> </w:t>
      </w:r>
      <w:r w:rsidRPr="0001599B">
        <w:rPr>
          <w:rFonts w:cs="Calibri"/>
          <w:szCs w:val="22"/>
        </w:rPr>
        <w:t>DEER Prototype Non-residential Vintages</w:t>
      </w:r>
    </w:p>
    <w:tbl>
      <w:tblPr>
        <w:tblW w:w="5060" w:type="dxa"/>
        <w:jc w:val="center"/>
        <w:tblInd w:w="93" w:type="dxa"/>
        <w:tblLook w:val="04A0" w:firstRow="1" w:lastRow="0" w:firstColumn="1" w:lastColumn="0" w:noHBand="0" w:noVBand="1"/>
      </w:tblPr>
      <w:tblGrid>
        <w:gridCol w:w="3220"/>
        <w:gridCol w:w="1840"/>
      </w:tblGrid>
      <w:tr w:rsidR="00780A03" w:rsidRPr="00780A03" w:rsidTr="00780A03">
        <w:trPr>
          <w:trHeight w:val="525"/>
          <w:jc w:val="center"/>
        </w:trPr>
        <w:tc>
          <w:tcPr>
            <w:tcW w:w="322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b/>
                <w:bCs/>
                <w:color w:val="000000"/>
                <w:sz w:val="20"/>
                <w:szCs w:val="20"/>
              </w:rPr>
            </w:pPr>
            <w:r w:rsidRPr="00780A03">
              <w:rPr>
                <w:rFonts w:ascii="Calibri" w:hAnsi="Calibri" w:cs="Calibri"/>
                <w:b/>
                <w:bCs/>
                <w:color w:val="000000"/>
                <w:sz w:val="20"/>
                <w:szCs w:val="20"/>
              </w:rPr>
              <w:t>Vintage</w:t>
            </w:r>
          </w:p>
        </w:tc>
        <w:tc>
          <w:tcPr>
            <w:tcW w:w="18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b/>
                <w:bCs/>
                <w:color w:val="000000"/>
                <w:sz w:val="20"/>
                <w:szCs w:val="20"/>
              </w:rPr>
            </w:pPr>
            <w:r w:rsidRPr="00780A03">
              <w:rPr>
                <w:rFonts w:ascii="Calibri" w:hAnsi="Calibri" w:cs="Calibri"/>
                <w:b/>
                <w:bCs/>
                <w:color w:val="000000"/>
                <w:sz w:val="20"/>
                <w:szCs w:val="20"/>
              </w:rPr>
              <w:t>Years Represented</w:t>
            </w:r>
          </w:p>
        </w:tc>
      </w:tr>
      <w:tr w:rsidR="00780A03" w:rsidRPr="00780A03" w:rsidTr="00780A03">
        <w:trPr>
          <w:trHeight w:val="330"/>
          <w:jc w:val="center"/>
        </w:trPr>
        <w:tc>
          <w:tcPr>
            <w:tcW w:w="322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Vintage 75</w:t>
            </w:r>
          </w:p>
        </w:tc>
        <w:tc>
          <w:tcPr>
            <w:tcW w:w="18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Before 1978</w:t>
            </w:r>
          </w:p>
        </w:tc>
      </w:tr>
      <w:tr w:rsidR="00780A03" w:rsidRPr="00780A03" w:rsidTr="00780A03">
        <w:trPr>
          <w:trHeight w:val="330"/>
          <w:jc w:val="center"/>
        </w:trPr>
        <w:tc>
          <w:tcPr>
            <w:tcW w:w="322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Vintage 85</w:t>
            </w:r>
          </w:p>
        </w:tc>
        <w:tc>
          <w:tcPr>
            <w:tcW w:w="18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1978 to 1992</w:t>
            </w:r>
          </w:p>
        </w:tc>
      </w:tr>
      <w:tr w:rsidR="00780A03" w:rsidRPr="00780A03" w:rsidTr="00780A03">
        <w:trPr>
          <w:trHeight w:val="330"/>
          <w:jc w:val="center"/>
        </w:trPr>
        <w:tc>
          <w:tcPr>
            <w:tcW w:w="322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Vintage 96</w:t>
            </w:r>
          </w:p>
        </w:tc>
        <w:tc>
          <w:tcPr>
            <w:tcW w:w="18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1993 to 2001</w:t>
            </w:r>
          </w:p>
        </w:tc>
      </w:tr>
      <w:tr w:rsidR="00780A03" w:rsidRPr="00780A03" w:rsidTr="00780A03">
        <w:trPr>
          <w:trHeight w:val="330"/>
          <w:jc w:val="center"/>
        </w:trPr>
        <w:tc>
          <w:tcPr>
            <w:tcW w:w="322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Vintage 3</w:t>
            </w:r>
          </w:p>
        </w:tc>
        <w:tc>
          <w:tcPr>
            <w:tcW w:w="18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2002 to 2005</w:t>
            </w:r>
          </w:p>
        </w:tc>
      </w:tr>
      <w:tr w:rsidR="00780A03" w:rsidRPr="00780A03" w:rsidTr="00780A03">
        <w:trPr>
          <w:trHeight w:val="330"/>
          <w:jc w:val="center"/>
        </w:trPr>
        <w:tc>
          <w:tcPr>
            <w:tcW w:w="322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Vintage 7</w:t>
            </w:r>
          </w:p>
        </w:tc>
        <w:tc>
          <w:tcPr>
            <w:tcW w:w="18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2006 to 2011</w:t>
            </w:r>
          </w:p>
        </w:tc>
      </w:tr>
      <w:tr w:rsidR="00780A03" w:rsidRPr="00780A03" w:rsidTr="00780A03">
        <w:trPr>
          <w:trHeight w:val="330"/>
          <w:jc w:val="center"/>
        </w:trPr>
        <w:tc>
          <w:tcPr>
            <w:tcW w:w="322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Vintage 11</w:t>
            </w:r>
          </w:p>
        </w:tc>
        <w:tc>
          <w:tcPr>
            <w:tcW w:w="18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After 2011</w:t>
            </w:r>
          </w:p>
        </w:tc>
      </w:tr>
    </w:tbl>
    <w:p w:rsidR="00BA59FF" w:rsidRPr="00CF51B1" w:rsidRDefault="00BA59FF" w:rsidP="00BA59FF">
      <w:pPr>
        <w:rPr>
          <w:szCs w:val="22"/>
        </w:rPr>
      </w:pPr>
      <w:r w:rsidRPr="00CF51B1">
        <w:rPr>
          <w:szCs w:val="22"/>
        </w:rPr>
        <w:lastRenderedPageBreak/>
        <w:t>Each of the building prototypes we</w:t>
      </w:r>
      <w:r w:rsidR="00CF51B1" w:rsidRPr="00CF51B1">
        <w:rPr>
          <w:szCs w:val="22"/>
        </w:rPr>
        <w:t xml:space="preserve">re run through </w:t>
      </w:r>
      <w:proofErr w:type="spellStart"/>
      <w:r w:rsidR="00CF51B1" w:rsidRPr="00CF51B1">
        <w:rPr>
          <w:szCs w:val="22"/>
        </w:rPr>
        <w:t>eQUEST</w:t>
      </w:r>
      <w:proofErr w:type="spellEnd"/>
      <w:r w:rsidR="00CF51B1" w:rsidRPr="00CF51B1">
        <w:rPr>
          <w:szCs w:val="22"/>
        </w:rPr>
        <w:t xml:space="preserve"> with the</w:t>
      </w:r>
      <w:r w:rsidRPr="00CF51B1">
        <w:rPr>
          <w:szCs w:val="22"/>
        </w:rPr>
        <w:t xml:space="preserve"> </w:t>
      </w:r>
      <w:r w:rsidR="00CF51B1">
        <w:rPr>
          <w:szCs w:val="22"/>
        </w:rPr>
        <w:t xml:space="preserve">16 </w:t>
      </w:r>
      <w:r w:rsidR="003C175E">
        <w:rPr>
          <w:szCs w:val="22"/>
        </w:rPr>
        <w:t>CZ2010 (i.e. DEER 2014)</w:t>
      </w:r>
      <w:r w:rsidR="009E4559">
        <w:rPr>
          <w:rStyle w:val="FootnoteReference"/>
          <w:szCs w:val="22"/>
        </w:rPr>
        <w:footnoteReference w:id="3"/>
      </w:r>
      <w:r w:rsidR="003C175E">
        <w:rPr>
          <w:szCs w:val="22"/>
        </w:rPr>
        <w:t xml:space="preserve"> </w:t>
      </w:r>
      <w:r w:rsidRPr="00CF51B1">
        <w:rPr>
          <w:szCs w:val="22"/>
        </w:rPr>
        <w:t>weather f</w:t>
      </w:r>
      <w:r w:rsidR="007C2D5D">
        <w:rPr>
          <w:szCs w:val="22"/>
        </w:rPr>
        <w:t xml:space="preserve">iles as shown in </w:t>
      </w:r>
      <w:r w:rsidR="007C2D5D">
        <w:rPr>
          <w:szCs w:val="22"/>
        </w:rPr>
        <w:fldChar w:fldCharType="begin"/>
      </w:r>
      <w:r w:rsidR="007C2D5D">
        <w:rPr>
          <w:szCs w:val="22"/>
        </w:rPr>
        <w:instrText xml:space="preserve"> REF _Ref386198589 \h </w:instrText>
      </w:r>
      <w:r w:rsidR="007C2D5D">
        <w:rPr>
          <w:szCs w:val="22"/>
        </w:rPr>
      </w:r>
      <w:r w:rsidR="007C2D5D">
        <w:rPr>
          <w:szCs w:val="22"/>
        </w:rPr>
        <w:fldChar w:fldCharType="separate"/>
      </w:r>
      <w:r w:rsidR="004A5AD0">
        <w:t xml:space="preserve">Table </w:t>
      </w:r>
      <w:r w:rsidR="004A5AD0">
        <w:rPr>
          <w:noProof/>
        </w:rPr>
        <w:t>9</w:t>
      </w:r>
      <w:r w:rsidR="007C2D5D">
        <w:rPr>
          <w:szCs w:val="22"/>
        </w:rPr>
        <w:fldChar w:fldCharType="end"/>
      </w:r>
      <w:r w:rsidR="00CF51B1" w:rsidRPr="00CF51B1">
        <w:rPr>
          <w:szCs w:val="22"/>
        </w:rPr>
        <w:t xml:space="preserve"> below.</w:t>
      </w:r>
    </w:p>
    <w:p w:rsidR="00BA59FF" w:rsidRPr="00CF51B1" w:rsidRDefault="00BA59FF" w:rsidP="009E4559">
      <w:pPr>
        <w:pStyle w:val="Caption"/>
        <w:jc w:val="center"/>
        <w:rPr>
          <w:rFonts w:cs="Calibri"/>
          <w:szCs w:val="22"/>
        </w:rPr>
      </w:pPr>
    </w:p>
    <w:p w:rsidR="007C2D5D" w:rsidRDefault="007C2D5D" w:rsidP="007C2D5D">
      <w:pPr>
        <w:pStyle w:val="Caption"/>
        <w:keepNext/>
        <w:jc w:val="center"/>
      </w:pPr>
      <w:bookmarkStart w:id="23" w:name="_Ref386198589"/>
      <w:r>
        <w:t xml:space="preserve">Table </w:t>
      </w:r>
      <w:fldSimple w:instr=" SEQ Table \* ARABIC ">
        <w:r w:rsidR="004A5AD0">
          <w:rPr>
            <w:noProof/>
          </w:rPr>
          <w:t>9</w:t>
        </w:r>
      </w:fldSimple>
      <w:bookmarkEnd w:id="23"/>
      <w:r>
        <w:t xml:space="preserve"> </w:t>
      </w:r>
      <w:bookmarkStart w:id="24" w:name="_Toc300053879"/>
      <w:r w:rsidRPr="00CF51B1">
        <w:rPr>
          <w:rFonts w:cs="Calibri"/>
          <w:szCs w:val="22"/>
        </w:rPr>
        <w:t>Weather Files</w:t>
      </w:r>
      <w:bookmarkEnd w:id="24"/>
    </w:p>
    <w:tbl>
      <w:tblPr>
        <w:tblW w:w="7120" w:type="dxa"/>
        <w:jc w:val="center"/>
        <w:tblInd w:w="93" w:type="dxa"/>
        <w:tblLook w:val="04A0" w:firstRow="1" w:lastRow="0" w:firstColumn="1" w:lastColumn="0" w:noHBand="0" w:noVBand="1"/>
      </w:tblPr>
      <w:tblGrid>
        <w:gridCol w:w="2500"/>
        <w:gridCol w:w="2240"/>
        <w:gridCol w:w="2380"/>
      </w:tblGrid>
      <w:tr w:rsidR="00780A03" w:rsidRPr="00780A03" w:rsidTr="00780A03">
        <w:trPr>
          <w:trHeight w:val="315"/>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b/>
                <w:bCs/>
                <w:color w:val="000000"/>
                <w:sz w:val="20"/>
                <w:szCs w:val="20"/>
              </w:rPr>
            </w:pPr>
            <w:r w:rsidRPr="00780A03">
              <w:rPr>
                <w:rFonts w:ascii="Calibri" w:hAnsi="Calibri" w:cs="Calibri"/>
                <w:b/>
                <w:bCs/>
                <w:color w:val="000000"/>
                <w:sz w:val="20"/>
                <w:szCs w:val="20"/>
              </w:rPr>
              <w:t>California Climate Zone</w:t>
            </w:r>
          </w:p>
        </w:tc>
        <w:tc>
          <w:tcPr>
            <w:tcW w:w="22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b/>
                <w:bCs/>
                <w:color w:val="000000"/>
                <w:sz w:val="20"/>
                <w:szCs w:val="20"/>
              </w:rPr>
            </w:pPr>
            <w:r w:rsidRPr="00780A03">
              <w:rPr>
                <w:rFonts w:ascii="Calibri" w:hAnsi="Calibri" w:cs="Calibri"/>
                <w:b/>
                <w:bCs/>
                <w:color w:val="000000"/>
                <w:sz w:val="20"/>
                <w:szCs w:val="20"/>
              </w:rPr>
              <w:t>Weather File Name</w:t>
            </w:r>
          </w:p>
        </w:tc>
        <w:tc>
          <w:tcPr>
            <w:tcW w:w="238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b/>
                <w:bCs/>
                <w:color w:val="000000"/>
                <w:sz w:val="20"/>
                <w:szCs w:val="20"/>
              </w:rPr>
            </w:pPr>
            <w:r w:rsidRPr="00780A03">
              <w:rPr>
                <w:rFonts w:ascii="Calibri" w:hAnsi="Calibri" w:cs="Calibri"/>
                <w:b/>
                <w:bCs/>
                <w:color w:val="000000"/>
                <w:sz w:val="20"/>
                <w:szCs w:val="20"/>
              </w:rPr>
              <w:t>Representative City</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CZ-01</w:t>
            </w:r>
          </w:p>
        </w:tc>
        <w:tc>
          <w:tcPr>
            <w:tcW w:w="22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cz01.bin</w:t>
            </w:r>
          </w:p>
        </w:tc>
        <w:tc>
          <w:tcPr>
            <w:tcW w:w="238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Arcata</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CZ-02</w:t>
            </w:r>
          </w:p>
        </w:tc>
        <w:tc>
          <w:tcPr>
            <w:tcW w:w="22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cz02.bin</w:t>
            </w:r>
          </w:p>
        </w:tc>
        <w:tc>
          <w:tcPr>
            <w:tcW w:w="238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Santa Rosa</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CZ-03</w:t>
            </w:r>
          </w:p>
        </w:tc>
        <w:tc>
          <w:tcPr>
            <w:tcW w:w="22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cz03.bin</w:t>
            </w:r>
          </w:p>
        </w:tc>
        <w:tc>
          <w:tcPr>
            <w:tcW w:w="238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Oakland</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CZ-04</w:t>
            </w:r>
          </w:p>
        </w:tc>
        <w:tc>
          <w:tcPr>
            <w:tcW w:w="22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cz04.bin</w:t>
            </w:r>
          </w:p>
        </w:tc>
        <w:tc>
          <w:tcPr>
            <w:tcW w:w="238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Sunnyvale</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CZ-05</w:t>
            </w:r>
          </w:p>
        </w:tc>
        <w:tc>
          <w:tcPr>
            <w:tcW w:w="22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cz05.bin</w:t>
            </w:r>
          </w:p>
        </w:tc>
        <w:tc>
          <w:tcPr>
            <w:tcW w:w="238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Santa Maria</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CZ-06</w:t>
            </w:r>
          </w:p>
        </w:tc>
        <w:tc>
          <w:tcPr>
            <w:tcW w:w="22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cz06.bin</w:t>
            </w:r>
          </w:p>
        </w:tc>
        <w:tc>
          <w:tcPr>
            <w:tcW w:w="238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Long Beach</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CZ-07</w:t>
            </w:r>
          </w:p>
        </w:tc>
        <w:tc>
          <w:tcPr>
            <w:tcW w:w="22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cz07.bin</w:t>
            </w:r>
          </w:p>
        </w:tc>
        <w:tc>
          <w:tcPr>
            <w:tcW w:w="238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San Diego</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CZ-08</w:t>
            </w:r>
          </w:p>
        </w:tc>
        <w:tc>
          <w:tcPr>
            <w:tcW w:w="22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cz08.bin</w:t>
            </w:r>
          </w:p>
        </w:tc>
        <w:tc>
          <w:tcPr>
            <w:tcW w:w="238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El Toro</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CZ-09</w:t>
            </w:r>
          </w:p>
        </w:tc>
        <w:tc>
          <w:tcPr>
            <w:tcW w:w="22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cz09.bin</w:t>
            </w:r>
          </w:p>
        </w:tc>
        <w:tc>
          <w:tcPr>
            <w:tcW w:w="238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Burbank</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CZ-10</w:t>
            </w:r>
          </w:p>
        </w:tc>
        <w:tc>
          <w:tcPr>
            <w:tcW w:w="22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cz010.bin</w:t>
            </w:r>
          </w:p>
        </w:tc>
        <w:tc>
          <w:tcPr>
            <w:tcW w:w="238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Riverside</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CZ-11</w:t>
            </w:r>
          </w:p>
        </w:tc>
        <w:tc>
          <w:tcPr>
            <w:tcW w:w="22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cz011.bin</w:t>
            </w:r>
          </w:p>
        </w:tc>
        <w:tc>
          <w:tcPr>
            <w:tcW w:w="238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Red Bluff</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CZ-12</w:t>
            </w:r>
          </w:p>
        </w:tc>
        <w:tc>
          <w:tcPr>
            <w:tcW w:w="22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cz012.bin</w:t>
            </w:r>
          </w:p>
        </w:tc>
        <w:tc>
          <w:tcPr>
            <w:tcW w:w="238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Sacramento</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CZ-13</w:t>
            </w:r>
          </w:p>
        </w:tc>
        <w:tc>
          <w:tcPr>
            <w:tcW w:w="22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cz013.bin</w:t>
            </w:r>
          </w:p>
        </w:tc>
        <w:tc>
          <w:tcPr>
            <w:tcW w:w="238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Fresno</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CZ-14</w:t>
            </w:r>
          </w:p>
        </w:tc>
        <w:tc>
          <w:tcPr>
            <w:tcW w:w="22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cz014.bin</w:t>
            </w:r>
          </w:p>
        </w:tc>
        <w:tc>
          <w:tcPr>
            <w:tcW w:w="238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China Lake</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CZ-15</w:t>
            </w:r>
          </w:p>
        </w:tc>
        <w:tc>
          <w:tcPr>
            <w:tcW w:w="22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cz015.bin</w:t>
            </w:r>
          </w:p>
        </w:tc>
        <w:tc>
          <w:tcPr>
            <w:tcW w:w="238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El Centro</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CZ-16</w:t>
            </w:r>
          </w:p>
        </w:tc>
        <w:tc>
          <w:tcPr>
            <w:tcW w:w="22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cz016.bin</w:t>
            </w:r>
          </w:p>
        </w:tc>
        <w:tc>
          <w:tcPr>
            <w:tcW w:w="238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Mount Shasta</w:t>
            </w:r>
          </w:p>
        </w:tc>
      </w:tr>
    </w:tbl>
    <w:p w:rsidR="00CF51B1" w:rsidRDefault="00CF51B1" w:rsidP="00CF51B1">
      <w:pPr>
        <w:rPr>
          <w:highlight w:val="yellow"/>
        </w:rPr>
      </w:pPr>
    </w:p>
    <w:p w:rsidR="00C4284D" w:rsidRDefault="00C4284D" w:rsidP="00CF51B1">
      <w:r>
        <w:t xml:space="preserve">To simulate the HVAC Fans Cogged V-Belt Replacement measure in </w:t>
      </w:r>
      <w:proofErr w:type="spellStart"/>
      <w:r>
        <w:t>eQUEST</w:t>
      </w:r>
      <w:proofErr w:type="spellEnd"/>
      <w:r>
        <w:t>, keyword values were changed to represent an improvement in fan efficiency and the corresponding reduction of fan heat entering the air stream</w:t>
      </w:r>
      <w:r w:rsidR="00940E3C">
        <w:t xml:space="preserve">. </w:t>
      </w:r>
      <w:r w:rsidR="00940E3C">
        <w:fldChar w:fldCharType="begin"/>
      </w:r>
      <w:r w:rsidR="00940E3C">
        <w:instrText xml:space="preserve"> REF _Ref386187268 \h </w:instrText>
      </w:r>
      <w:r w:rsidR="00940E3C">
        <w:fldChar w:fldCharType="separate"/>
      </w:r>
      <w:r w:rsidR="004A5AD0">
        <w:t xml:space="preserve">Table </w:t>
      </w:r>
      <w:r w:rsidR="004A5AD0">
        <w:rPr>
          <w:noProof/>
        </w:rPr>
        <w:t>10</w:t>
      </w:r>
      <w:r w:rsidR="00940E3C">
        <w:fldChar w:fldCharType="end"/>
      </w:r>
      <w:r w:rsidR="00940E3C">
        <w:t xml:space="preserve"> </w:t>
      </w:r>
      <w:r w:rsidR="00232888">
        <w:t>indicates the required keyword(s) values to change per each HVAC system in the prototype model:</w:t>
      </w:r>
    </w:p>
    <w:p w:rsidR="00C4284D" w:rsidRDefault="00C4284D" w:rsidP="00CF51B1"/>
    <w:p w:rsidR="00940E3C" w:rsidRDefault="00940E3C" w:rsidP="00940E3C">
      <w:pPr>
        <w:pStyle w:val="Caption"/>
        <w:keepNext/>
        <w:jc w:val="center"/>
      </w:pPr>
      <w:bookmarkStart w:id="25" w:name="_Ref386187268"/>
      <w:r>
        <w:t xml:space="preserve">Table </w:t>
      </w:r>
      <w:fldSimple w:instr=" SEQ Table \* ARABIC ">
        <w:r w:rsidR="004A5AD0">
          <w:rPr>
            <w:noProof/>
          </w:rPr>
          <w:t>10</w:t>
        </w:r>
      </w:fldSimple>
      <w:bookmarkEnd w:id="25"/>
      <w:r>
        <w:t xml:space="preserve"> List of Modified </w:t>
      </w:r>
      <w:proofErr w:type="spellStart"/>
      <w:r>
        <w:t>eQUEST</w:t>
      </w:r>
      <w:proofErr w:type="spellEnd"/>
      <w:r>
        <w:t xml:space="preserve"> Keywords</w:t>
      </w:r>
    </w:p>
    <w:tbl>
      <w:tblPr>
        <w:tblW w:w="5400" w:type="dxa"/>
        <w:jc w:val="center"/>
        <w:tblInd w:w="93" w:type="dxa"/>
        <w:tblLook w:val="04A0" w:firstRow="1" w:lastRow="0" w:firstColumn="1" w:lastColumn="0" w:noHBand="0" w:noVBand="1"/>
      </w:tblPr>
      <w:tblGrid>
        <w:gridCol w:w="2500"/>
        <w:gridCol w:w="2900"/>
      </w:tblGrid>
      <w:tr w:rsidR="00780A03" w:rsidRPr="00780A03" w:rsidTr="00780A03">
        <w:trPr>
          <w:trHeight w:val="315"/>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b/>
                <w:bCs/>
                <w:color w:val="000000"/>
                <w:sz w:val="20"/>
                <w:szCs w:val="20"/>
              </w:rPr>
            </w:pPr>
            <w:r w:rsidRPr="00780A03">
              <w:rPr>
                <w:rFonts w:ascii="Calibri" w:hAnsi="Calibri" w:cs="Calibri"/>
                <w:b/>
                <w:bCs/>
                <w:color w:val="000000"/>
                <w:sz w:val="20"/>
                <w:szCs w:val="20"/>
              </w:rPr>
              <w:t>HVAC Unit Type</w:t>
            </w:r>
            <w:r w:rsidRPr="00780A03">
              <w:rPr>
                <w:rFonts w:ascii="Calibri" w:hAnsi="Calibri" w:cs="Calibri"/>
                <w:color w:val="000000"/>
                <w:sz w:val="16"/>
                <w:szCs w:val="16"/>
              </w:rPr>
              <w:t> </w:t>
            </w:r>
          </w:p>
        </w:tc>
        <w:tc>
          <w:tcPr>
            <w:tcW w:w="29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b/>
                <w:bCs/>
                <w:color w:val="000000"/>
                <w:sz w:val="20"/>
                <w:szCs w:val="20"/>
              </w:rPr>
            </w:pPr>
            <w:r w:rsidRPr="00780A03">
              <w:rPr>
                <w:rFonts w:ascii="Calibri" w:hAnsi="Calibri" w:cs="Calibri"/>
                <w:b/>
                <w:bCs/>
                <w:color w:val="000000"/>
                <w:sz w:val="20"/>
                <w:szCs w:val="20"/>
              </w:rPr>
              <w:t>Keyword</w:t>
            </w:r>
          </w:p>
        </w:tc>
      </w:tr>
      <w:tr w:rsidR="00780A03" w:rsidRPr="00780A03" w:rsidTr="00780A03">
        <w:trPr>
          <w:trHeight w:val="501"/>
          <w:jc w:val="center"/>
        </w:trPr>
        <w:tc>
          <w:tcPr>
            <w:tcW w:w="250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Gas Pack</w:t>
            </w:r>
          </w:p>
        </w:tc>
        <w:tc>
          <w:tcPr>
            <w:tcW w:w="290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SYSTEM:SUPPLY-KW/FLOW</w:t>
            </w:r>
          </w:p>
        </w:tc>
      </w:tr>
      <w:tr w:rsidR="00780A03" w:rsidRPr="00780A03" w:rsidTr="00780A03">
        <w:trPr>
          <w:trHeight w:val="510"/>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Gas Pack</w:t>
            </w:r>
          </w:p>
        </w:tc>
        <w:tc>
          <w:tcPr>
            <w:tcW w:w="29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SYSTEM:SUPPLY-DELTA-T</w:t>
            </w:r>
          </w:p>
        </w:tc>
      </w:tr>
      <w:tr w:rsidR="00780A03" w:rsidRPr="00780A03" w:rsidTr="00780A03">
        <w:trPr>
          <w:trHeight w:val="420"/>
          <w:jc w:val="center"/>
        </w:trPr>
        <w:tc>
          <w:tcPr>
            <w:tcW w:w="250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Heat Pump</w:t>
            </w:r>
          </w:p>
        </w:tc>
        <w:tc>
          <w:tcPr>
            <w:tcW w:w="290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SYSTEM:SUPPLY-EFF</w:t>
            </w:r>
          </w:p>
        </w:tc>
      </w:tr>
    </w:tbl>
    <w:p w:rsidR="00C4284D" w:rsidRDefault="00C4284D" w:rsidP="00CF51B1"/>
    <w:p w:rsidR="00C171D6" w:rsidRDefault="00C171D6" w:rsidP="00940E3C">
      <w:r>
        <w:t>The base case for each DEER non-residential prototype model requires no changes to the existing keyword values.</w:t>
      </w:r>
    </w:p>
    <w:p w:rsidR="00C171D6" w:rsidRDefault="00C171D6" w:rsidP="00940E3C">
      <w:r>
        <w:t>The HVAC Fans Cogged V-Belt Replacement measure case for prototypes with Gas Pack units used the following calculations to obtain the measure case value:</w:t>
      </w:r>
    </w:p>
    <w:p w:rsidR="00C171D6" w:rsidRDefault="00C171D6" w:rsidP="00C171D6"/>
    <w:p w:rsidR="00232888" w:rsidRDefault="00C171D6" w:rsidP="00125784">
      <w:pPr>
        <w:ind w:left="720"/>
        <w:rPr>
          <w:i/>
        </w:rPr>
      </w:pPr>
      <w:r w:rsidRPr="00C171D6">
        <w:rPr>
          <w:i/>
        </w:rPr>
        <w:t>Measure Case SYSTEM</w:t>
      </w:r>
      <w:proofErr w:type="gramStart"/>
      <w:r w:rsidRPr="00C171D6">
        <w:rPr>
          <w:i/>
        </w:rPr>
        <w:t>:SUPPLY</w:t>
      </w:r>
      <w:proofErr w:type="gramEnd"/>
      <w:r w:rsidRPr="00C171D6">
        <w:rPr>
          <w:i/>
        </w:rPr>
        <w:t>-KW/FLOW = Base Case SYSTEM:SUPPLY-KW/FLOW * 1.02</w:t>
      </w:r>
    </w:p>
    <w:p w:rsidR="00C171D6" w:rsidRDefault="00C171D6" w:rsidP="00125784">
      <w:pPr>
        <w:ind w:left="720"/>
        <w:rPr>
          <w:i/>
        </w:rPr>
      </w:pPr>
    </w:p>
    <w:p w:rsidR="00C171D6" w:rsidRDefault="00C171D6" w:rsidP="00125784">
      <w:pPr>
        <w:ind w:left="720"/>
        <w:rPr>
          <w:i/>
        </w:rPr>
      </w:pPr>
      <w:r>
        <w:rPr>
          <w:i/>
        </w:rPr>
        <w:t>Measure Case SYSTEM</w:t>
      </w:r>
      <w:proofErr w:type="gramStart"/>
      <w:r>
        <w:rPr>
          <w:i/>
        </w:rPr>
        <w:t>:SUPPLY</w:t>
      </w:r>
      <w:proofErr w:type="gramEnd"/>
      <w:r>
        <w:rPr>
          <w:i/>
        </w:rPr>
        <w:t>-DELTA-T = Measure Case SYSTEM:SUPPLY-KW/FLOW * 3060</w:t>
      </w:r>
    </w:p>
    <w:p w:rsidR="00C171D6" w:rsidRPr="00C171D6" w:rsidRDefault="00C171D6" w:rsidP="00125784">
      <w:pPr>
        <w:ind w:left="720"/>
        <w:rPr>
          <w:i/>
        </w:rPr>
      </w:pPr>
    </w:p>
    <w:p w:rsidR="00C171D6" w:rsidRDefault="00C171D6" w:rsidP="00C171D6">
      <w:r w:rsidRPr="00C171D6">
        <w:t xml:space="preserve"> </w:t>
      </w:r>
      <w:r>
        <w:t>The HVAC Fans Cogged V-Belt Replacement measure case for prototypes with Heat Pump units used the following calculations to obtain the measure case value:</w:t>
      </w:r>
    </w:p>
    <w:p w:rsidR="00C171D6" w:rsidRDefault="00C171D6" w:rsidP="00C171D6"/>
    <w:p w:rsidR="00C171D6" w:rsidRDefault="00C171D6" w:rsidP="00C171D6">
      <w:pPr>
        <w:ind w:left="720"/>
        <w:rPr>
          <w:i/>
        </w:rPr>
      </w:pPr>
      <w:r w:rsidRPr="00C171D6">
        <w:rPr>
          <w:i/>
        </w:rPr>
        <w:t>Measure Case SYSTEM</w:t>
      </w:r>
      <w:proofErr w:type="gramStart"/>
      <w:r w:rsidRPr="00C171D6">
        <w:rPr>
          <w:i/>
        </w:rPr>
        <w:t>:</w:t>
      </w:r>
      <w:r>
        <w:rPr>
          <w:i/>
        </w:rPr>
        <w:t>SUPPLY</w:t>
      </w:r>
      <w:proofErr w:type="gramEnd"/>
      <w:r>
        <w:rPr>
          <w:i/>
        </w:rPr>
        <w:t>-EFF</w:t>
      </w:r>
      <w:r w:rsidRPr="00C171D6">
        <w:rPr>
          <w:i/>
        </w:rPr>
        <w:t xml:space="preserve"> = Base Case SYSTEM: </w:t>
      </w:r>
      <w:r>
        <w:rPr>
          <w:i/>
        </w:rPr>
        <w:t>SUPPLY-EFF</w:t>
      </w:r>
      <w:r w:rsidRPr="00C171D6">
        <w:rPr>
          <w:i/>
        </w:rPr>
        <w:t xml:space="preserve"> * 1.02</w:t>
      </w:r>
    </w:p>
    <w:p w:rsidR="0022193F" w:rsidRPr="00CF51B1" w:rsidRDefault="0022193F" w:rsidP="00CF51B1">
      <w:pPr>
        <w:rPr>
          <w:highlight w:val="yellow"/>
        </w:rPr>
      </w:pPr>
    </w:p>
    <w:p w:rsidR="00BA59FF" w:rsidRPr="00197953" w:rsidRDefault="00BA59FF" w:rsidP="00BA59FF">
      <w:pPr>
        <w:pStyle w:val="Heading2"/>
        <w:rPr>
          <w:rFonts w:cs="Calibri"/>
          <w:szCs w:val="22"/>
        </w:rPr>
      </w:pPr>
      <w:bookmarkStart w:id="26" w:name="_Toc300053745"/>
      <w:r w:rsidRPr="00197953">
        <w:rPr>
          <w:rFonts w:cs="Calibri"/>
          <w:szCs w:val="22"/>
        </w:rPr>
        <w:t>2.1 Electric Energy Savings Estimation Methodologies</w:t>
      </w:r>
      <w:bookmarkEnd w:id="26"/>
    </w:p>
    <w:p w:rsidR="00BA59FF" w:rsidRPr="00197953" w:rsidRDefault="00BA59FF" w:rsidP="00BA59FF">
      <w:pPr>
        <w:rPr>
          <w:szCs w:val="22"/>
        </w:rPr>
      </w:pPr>
      <w:r w:rsidRPr="00197953">
        <w:rPr>
          <w:szCs w:val="22"/>
        </w:rPr>
        <w:t xml:space="preserve">The calculation of electric energy use for the base case </w:t>
      </w:r>
      <w:r w:rsidR="005B1FD3">
        <w:rPr>
          <w:szCs w:val="22"/>
        </w:rPr>
        <w:t xml:space="preserve">and measure case </w:t>
      </w:r>
      <w:r w:rsidRPr="00197953">
        <w:rPr>
          <w:szCs w:val="22"/>
        </w:rPr>
        <w:t>followed the methodology discussed in Section 2.0. The savings for the HVAC Fans Cogged V-Belt Replacement measure are estimated as follows.</w:t>
      </w:r>
    </w:p>
    <w:p w:rsidR="00BA59FF" w:rsidRPr="00197953" w:rsidRDefault="00BA59FF" w:rsidP="00BA59FF">
      <w:pPr>
        <w:rPr>
          <w:szCs w:val="22"/>
        </w:rPr>
      </w:pPr>
    </w:p>
    <w:p w:rsidR="00BA59FF" w:rsidRPr="00197953" w:rsidRDefault="00BA59FF" w:rsidP="00BA59FF">
      <w:pPr>
        <w:ind w:left="720"/>
        <w:rPr>
          <w:i/>
          <w:szCs w:val="22"/>
        </w:rPr>
      </w:pPr>
      <w:r w:rsidRPr="00197953">
        <w:rPr>
          <w:i/>
          <w:szCs w:val="22"/>
        </w:rPr>
        <w:t>Fan Energy Savings [kWh/ton-year] = Base Case Annual Fan Ene</w:t>
      </w:r>
      <w:r w:rsidR="005B1FD3">
        <w:rPr>
          <w:i/>
          <w:szCs w:val="22"/>
        </w:rPr>
        <w:t>rgy Use – Measure Case Annual Fan Energy Use</w:t>
      </w:r>
    </w:p>
    <w:p w:rsidR="00BA59FF" w:rsidRPr="00197953" w:rsidRDefault="00BA59FF" w:rsidP="00BA59FF">
      <w:pPr>
        <w:ind w:left="1440"/>
        <w:rPr>
          <w:i/>
          <w:szCs w:val="22"/>
        </w:rPr>
      </w:pPr>
      <w:r w:rsidRPr="00197953">
        <w:rPr>
          <w:i/>
          <w:szCs w:val="22"/>
        </w:rPr>
        <w:t>Where:</w:t>
      </w:r>
    </w:p>
    <w:p w:rsidR="00BA59FF" w:rsidRPr="00197953" w:rsidRDefault="00BA59FF" w:rsidP="00BA59FF">
      <w:pPr>
        <w:ind w:left="2160"/>
        <w:rPr>
          <w:i/>
          <w:szCs w:val="22"/>
        </w:rPr>
      </w:pPr>
      <w:r w:rsidRPr="00197953">
        <w:rPr>
          <w:i/>
          <w:szCs w:val="22"/>
        </w:rPr>
        <w:t xml:space="preserve">Base Case Annual Fan Energy Use = Output from </w:t>
      </w:r>
      <w:proofErr w:type="spellStart"/>
      <w:r w:rsidRPr="00197953">
        <w:rPr>
          <w:i/>
          <w:szCs w:val="22"/>
        </w:rPr>
        <w:t>eQUEST</w:t>
      </w:r>
      <w:proofErr w:type="spellEnd"/>
      <w:r w:rsidRPr="00197953">
        <w:rPr>
          <w:i/>
          <w:szCs w:val="22"/>
        </w:rPr>
        <w:t xml:space="preserve"> runs</w:t>
      </w:r>
    </w:p>
    <w:p w:rsidR="00BA59FF" w:rsidRPr="00197953" w:rsidRDefault="005B1FD3" w:rsidP="00BA59FF">
      <w:pPr>
        <w:ind w:left="2160"/>
        <w:rPr>
          <w:i/>
          <w:szCs w:val="22"/>
        </w:rPr>
      </w:pPr>
      <w:r>
        <w:rPr>
          <w:i/>
          <w:szCs w:val="22"/>
        </w:rPr>
        <w:t>Measure</w:t>
      </w:r>
      <w:r w:rsidRPr="00197953">
        <w:rPr>
          <w:i/>
          <w:szCs w:val="22"/>
        </w:rPr>
        <w:t xml:space="preserve"> Case Annual Fan Energy Use = Output from </w:t>
      </w:r>
      <w:proofErr w:type="spellStart"/>
      <w:r w:rsidRPr="00197953">
        <w:rPr>
          <w:i/>
          <w:szCs w:val="22"/>
        </w:rPr>
        <w:t>eQUEST</w:t>
      </w:r>
      <w:proofErr w:type="spellEnd"/>
      <w:r w:rsidRPr="00197953">
        <w:rPr>
          <w:i/>
          <w:szCs w:val="22"/>
        </w:rPr>
        <w:t xml:space="preserve"> runs</w:t>
      </w:r>
    </w:p>
    <w:p w:rsidR="00BA59FF" w:rsidRDefault="00BA59FF" w:rsidP="00BA59FF">
      <w:pPr>
        <w:rPr>
          <w:szCs w:val="22"/>
          <w:highlight w:val="yellow"/>
        </w:rPr>
      </w:pPr>
    </w:p>
    <w:p w:rsidR="003A15EB" w:rsidRDefault="003A15EB" w:rsidP="00BA59FF">
      <w:pPr>
        <w:rPr>
          <w:szCs w:val="22"/>
          <w:highlight w:val="yellow"/>
        </w:rPr>
      </w:pPr>
    </w:p>
    <w:p w:rsidR="003A15EB" w:rsidRDefault="003A15EB" w:rsidP="009E4559">
      <w:pPr>
        <w:pStyle w:val="Caption"/>
        <w:keepNext/>
        <w:jc w:val="center"/>
      </w:pPr>
      <w:r w:rsidRPr="003A15EB">
        <w:t xml:space="preserve">Table </w:t>
      </w:r>
      <w:fldSimple w:instr=" SEQ Table \* ARABIC ">
        <w:r w:rsidR="004A5AD0">
          <w:rPr>
            <w:noProof/>
          </w:rPr>
          <w:t>11</w:t>
        </w:r>
      </w:fldSimple>
      <w:r w:rsidRPr="003A15EB">
        <w:t xml:space="preserve"> </w:t>
      </w:r>
      <w:r w:rsidRPr="003A15EB">
        <w:rPr>
          <w:szCs w:val="22"/>
        </w:rPr>
        <w:t xml:space="preserve">Cogged V-belt Energy Savings </w:t>
      </w:r>
      <w:r w:rsidR="00AF53F9">
        <w:rPr>
          <w:szCs w:val="22"/>
        </w:rPr>
        <w:t xml:space="preserve">for Gas Packs &amp; Unitary AC-Only </w:t>
      </w:r>
      <w:r w:rsidRPr="003A15EB">
        <w:rPr>
          <w:szCs w:val="22"/>
        </w:rPr>
        <w:t>(kWh/ton)</w:t>
      </w:r>
    </w:p>
    <w:p w:rsidR="003A15EB" w:rsidRDefault="00875BBD" w:rsidP="00BA59FF">
      <w:pPr>
        <w:rPr>
          <w:szCs w:val="22"/>
          <w:highlight w:val="yellow"/>
        </w:rPr>
      </w:pPr>
      <w:r w:rsidRPr="00875BBD">
        <w:rPr>
          <w:noProof/>
          <w:lang w:eastAsia="zh-CN"/>
        </w:rPr>
        <w:drawing>
          <wp:inline distT="0" distB="0" distL="0" distR="0" wp14:anchorId="083985CE" wp14:editId="21CEEEA1">
            <wp:extent cx="5943600" cy="3061734"/>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3061734"/>
                    </a:xfrm>
                    <a:prstGeom prst="rect">
                      <a:avLst/>
                    </a:prstGeom>
                    <a:noFill/>
                    <a:ln>
                      <a:noFill/>
                    </a:ln>
                  </pic:spPr>
                </pic:pic>
              </a:graphicData>
            </a:graphic>
          </wp:inline>
        </w:drawing>
      </w:r>
    </w:p>
    <w:p w:rsidR="003A15EB" w:rsidRDefault="003A15EB" w:rsidP="00BA59FF">
      <w:pPr>
        <w:rPr>
          <w:szCs w:val="22"/>
          <w:highlight w:val="yellow"/>
        </w:rPr>
      </w:pPr>
    </w:p>
    <w:p w:rsidR="003A15EB" w:rsidRDefault="003A15EB" w:rsidP="009E4559">
      <w:pPr>
        <w:pStyle w:val="Caption"/>
        <w:keepNext/>
        <w:jc w:val="center"/>
      </w:pPr>
      <w:r>
        <w:lastRenderedPageBreak/>
        <w:t xml:space="preserve">Table </w:t>
      </w:r>
      <w:fldSimple w:instr=" SEQ Table \* ARABIC ">
        <w:r w:rsidR="004A5AD0">
          <w:rPr>
            <w:noProof/>
          </w:rPr>
          <w:t>12</w:t>
        </w:r>
      </w:fldSimple>
      <w:r>
        <w:t xml:space="preserve"> </w:t>
      </w:r>
      <w:r w:rsidRPr="003A15EB">
        <w:rPr>
          <w:szCs w:val="22"/>
        </w:rPr>
        <w:t xml:space="preserve">Cogged V-belt Energy Savings </w:t>
      </w:r>
      <w:r>
        <w:rPr>
          <w:szCs w:val="22"/>
        </w:rPr>
        <w:t xml:space="preserve">for Heat Pump </w:t>
      </w:r>
      <w:r w:rsidRPr="003A15EB">
        <w:rPr>
          <w:szCs w:val="22"/>
        </w:rPr>
        <w:t>(kWh/ton)</w:t>
      </w:r>
    </w:p>
    <w:p w:rsidR="003A15EB" w:rsidRDefault="00875BBD" w:rsidP="00BA59FF">
      <w:pPr>
        <w:rPr>
          <w:szCs w:val="22"/>
          <w:highlight w:val="yellow"/>
        </w:rPr>
      </w:pPr>
      <w:r w:rsidRPr="00875BBD">
        <w:rPr>
          <w:noProof/>
          <w:lang w:eastAsia="zh-CN"/>
        </w:rPr>
        <w:drawing>
          <wp:inline distT="0" distB="0" distL="0" distR="0" wp14:anchorId="1AA55235" wp14:editId="534F8C2D">
            <wp:extent cx="5943600" cy="291766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2917663"/>
                    </a:xfrm>
                    <a:prstGeom prst="rect">
                      <a:avLst/>
                    </a:prstGeom>
                    <a:noFill/>
                    <a:ln>
                      <a:noFill/>
                    </a:ln>
                  </pic:spPr>
                </pic:pic>
              </a:graphicData>
            </a:graphic>
          </wp:inline>
        </w:drawing>
      </w:r>
    </w:p>
    <w:p w:rsidR="003A15EB" w:rsidRPr="00BA59FF" w:rsidRDefault="003A15EB" w:rsidP="00BA59FF">
      <w:pPr>
        <w:rPr>
          <w:szCs w:val="22"/>
          <w:highlight w:val="yellow"/>
        </w:rPr>
      </w:pPr>
    </w:p>
    <w:p w:rsidR="00BA59FF" w:rsidRDefault="00197953" w:rsidP="00BA59FF">
      <w:pPr>
        <w:pStyle w:val="Heading3"/>
        <w:rPr>
          <w:rFonts w:ascii="Calibri" w:hAnsi="Calibri" w:cs="Calibri"/>
          <w:sz w:val="28"/>
          <w:szCs w:val="22"/>
        </w:rPr>
      </w:pPr>
      <w:r>
        <w:rPr>
          <w:rFonts w:ascii="Calibri" w:hAnsi="Calibri" w:cs="Calibri"/>
          <w:sz w:val="28"/>
          <w:szCs w:val="22"/>
        </w:rPr>
        <w:t>Base Case</w:t>
      </w:r>
    </w:p>
    <w:p w:rsidR="00125784" w:rsidRPr="00125784" w:rsidRDefault="00125784" w:rsidP="00125784">
      <w:r>
        <w:t xml:space="preserve">The base case is the existing system as described by the unmodified DEER prototype models as described in Section </w:t>
      </w:r>
      <w:r>
        <w:fldChar w:fldCharType="begin"/>
      </w:r>
      <w:r>
        <w:instrText xml:space="preserve"> REF _Ref386122145 \h </w:instrText>
      </w:r>
      <w:r>
        <w:fldChar w:fldCharType="separate"/>
      </w:r>
      <w:r w:rsidR="004A5AD0" w:rsidRPr="00F06CCF">
        <w:t>1.4.1</w:t>
      </w:r>
      <w:r w:rsidR="004A5AD0">
        <w:t xml:space="preserve"> DEER Measure and Base Case Analysis</w:t>
      </w:r>
      <w:r>
        <w:fldChar w:fldCharType="end"/>
      </w:r>
      <w:r>
        <w:t>.</w:t>
      </w:r>
    </w:p>
    <w:p w:rsidR="00BA59FF" w:rsidRDefault="00BA59FF" w:rsidP="00BA59FF">
      <w:pPr>
        <w:pStyle w:val="Heading2"/>
        <w:rPr>
          <w:rFonts w:cs="Calibri"/>
          <w:szCs w:val="22"/>
        </w:rPr>
      </w:pPr>
      <w:bookmarkStart w:id="27" w:name="_Toc300053747"/>
      <w:r w:rsidRPr="003E2640">
        <w:rPr>
          <w:rFonts w:cs="Calibri"/>
          <w:szCs w:val="22"/>
        </w:rPr>
        <w:t>2.2. Demand Reduction Estimation Methodologies</w:t>
      </w:r>
      <w:bookmarkEnd w:id="27"/>
    </w:p>
    <w:p w:rsidR="003A15EB" w:rsidRDefault="003A15EB" w:rsidP="003A15EB"/>
    <w:p w:rsidR="005B1FD3" w:rsidRPr="00197953" w:rsidRDefault="005B1FD3" w:rsidP="005B1FD3">
      <w:pPr>
        <w:rPr>
          <w:szCs w:val="22"/>
        </w:rPr>
      </w:pPr>
      <w:r>
        <w:rPr>
          <w:szCs w:val="22"/>
        </w:rPr>
        <w:t xml:space="preserve">The electric demand </w:t>
      </w:r>
      <w:proofErr w:type="gramStart"/>
      <w:r>
        <w:rPr>
          <w:szCs w:val="22"/>
        </w:rPr>
        <w:t>reduction</w:t>
      </w:r>
      <w:r w:rsidRPr="00197953">
        <w:rPr>
          <w:szCs w:val="22"/>
        </w:rPr>
        <w:t xml:space="preserve"> for the HVAC Fans Cogged V-Belt Replacement measure are</w:t>
      </w:r>
      <w:proofErr w:type="gramEnd"/>
      <w:r w:rsidRPr="00197953">
        <w:rPr>
          <w:szCs w:val="22"/>
        </w:rPr>
        <w:t xml:space="preserve"> estimated as follows.</w:t>
      </w:r>
    </w:p>
    <w:p w:rsidR="005B1FD3" w:rsidRPr="00197953" w:rsidRDefault="005B1FD3" w:rsidP="005B1FD3">
      <w:pPr>
        <w:rPr>
          <w:szCs w:val="22"/>
        </w:rPr>
      </w:pPr>
    </w:p>
    <w:p w:rsidR="005B1FD3" w:rsidRPr="00197953" w:rsidRDefault="005B1FD3" w:rsidP="005B1FD3">
      <w:pPr>
        <w:ind w:left="720"/>
        <w:rPr>
          <w:i/>
          <w:szCs w:val="22"/>
        </w:rPr>
      </w:pPr>
      <w:r>
        <w:rPr>
          <w:i/>
          <w:szCs w:val="22"/>
        </w:rPr>
        <w:t>Fan Demand Reduction [kW</w:t>
      </w:r>
      <w:r w:rsidRPr="00197953">
        <w:rPr>
          <w:i/>
          <w:szCs w:val="22"/>
        </w:rPr>
        <w:t>/ton-</w:t>
      </w:r>
      <w:r>
        <w:rPr>
          <w:i/>
          <w:szCs w:val="22"/>
        </w:rPr>
        <w:t xml:space="preserve">year] = Base Case Peak </w:t>
      </w:r>
      <w:proofErr w:type="gramStart"/>
      <w:r>
        <w:rPr>
          <w:i/>
          <w:szCs w:val="22"/>
        </w:rPr>
        <w:t>Demand  –</w:t>
      </w:r>
      <w:proofErr w:type="gramEnd"/>
      <w:r>
        <w:rPr>
          <w:i/>
          <w:szCs w:val="22"/>
        </w:rPr>
        <w:t xml:space="preserve"> Measure Case Peak Demand</w:t>
      </w:r>
    </w:p>
    <w:p w:rsidR="005B1FD3" w:rsidRPr="00197953" w:rsidRDefault="005B1FD3" w:rsidP="005B1FD3">
      <w:pPr>
        <w:ind w:left="1440"/>
        <w:rPr>
          <w:i/>
          <w:szCs w:val="22"/>
        </w:rPr>
      </w:pPr>
      <w:r w:rsidRPr="00197953">
        <w:rPr>
          <w:i/>
          <w:szCs w:val="22"/>
        </w:rPr>
        <w:t>Where:</w:t>
      </w:r>
    </w:p>
    <w:p w:rsidR="005B1FD3" w:rsidRPr="00197953" w:rsidRDefault="005B1FD3" w:rsidP="005B1FD3">
      <w:pPr>
        <w:ind w:left="2160"/>
        <w:rPr>
          <w:i/>
          <w:szCs w:val="22"/>
        </w:rPr>
      </w:pPr>
      <w:r>
        <w:rPr>
          <w:i/>
          <w:szCs w:val="22"/>
        </w:rPr>
        <w:t>Base Case Peak Demand</w:t>
      </w:r>
      <w:r w:rsidRPr="00197953">
        <w:rPr>
          <w:i/>
          <w:szCs w:val="22"/>
        </w:rPr>
        <w:t xml:space="preserve"> = Output from </w:t>
      </w:r>
      <w:proofErr w:type="spellStart"/>
      <w:r w:rsidRPr="00197953">
        <w:rPr>
          <w:i/>
          <w:szCs w:val="22"/>
        </w:rPr>
        <w:t>eQUEST</w:t>
      </w:r>
      <w:proofErr w:type="spellEnd"/>
      <w:r w:rsidRPr="00197953">
        <w:rPr>
          <w:i/>
          <w:szCs w:val="22"/>
        </w:rPr>
        <w:t xml:space="preserve"> runs</w:t>
      </w:r>
    </w:p>
    <w:p w:rsidR="003A15EB" w:rsidRPr="005B1FD3" w:rsidRDefault="005B1FD3" w:rsidP="005B1FD3">
      <w:pPr>
        <w:ind w:left="2160"/>
        <w:rPr>
          <w:i/>
          <w:szCs w:val="22"/>
        </w:rPr>
      </w:pPr>
      <w:r>
        <w:rPr>
          <w:i/>
          <w:szCs w:val="22"/>
        </w:rPr>
        <w:t xml:space="preserve">Measure Case Peak </w:t>
      </w:r>
      <w:proofErr w:type="gramStart"/>
      <w:r>
        <w:rPr>
          <w:i/>
          <w:szCs w:val="22"/>
        </w:rPr>
        <w:t>Demand</w:t>
      </w:r>
      <w:r w:rsidRPr="00197953">
        <w:rPr>
          <w:i/>
          <w:szCs w:val="22"/>
        </w:rPr>
        <w:t xml:space="preserve">  =</w:t>
      </w:r>
      <w:proofErr w:type="gramEnd"/>
      <w:r w:rsidRPr="00197953">
        <w:rPr>
          <w:i/>
          <w:szCs w:val="22"/>
        </w:rPr>
        <w:t xml:space="preserve"> Output from </w:t>
      </w:r>
      <w:proofErr w:type="spellStart"/>
      <w:r w:rsidRPr="00197953">
        <w:rPr>
          <w:i/>
          <w:szCs w:val="22"/>
        </w:rPr>
        <w:t>eQUEST</w:t>
      </w:r>
      <w:proofErr w:type="spellEnd"/>
      <w:r w:rsidRPr="00197953">
        <w:rPr>
          <w:i/>
          <w:szCs w:val="22"/>
        </w:rPr>
        <w:t xml:space="preserve"> runs</w:t>
      </w:r>
    </w:p>
    <w:p w:rsidR="003A15EB" w:rsidRDefault="003A15EB" w:rsidP="009E4559">
      <w:pPr>
        <w:pStyle w:val="Caption"/>
        <w:keepNext/>
        <w:jc w:val="center"/>
      </w:pPr>
      <w:r>
        <w:lastRenderedPageBreak/>
        <w:t xml:space="preserve">Table </w:t>
      </w:r>
      <w:fldSimple w:instr=" SEQ Table \* ARABIC ">
        <w:r w:rsidR="004A5AD0">
          <w:rPr>
            <w:noProof/>
          </w:rPr>
          <w:t>13</w:t>
        </w:r>
      </w:fldSimple>
      <w:r>
        <w:t xml:space="preserve"> </w:t>
      </w:r>
      <w:r w:rsidRPr="003A15EB">
        <w:rPr>
          <w:szCs w:val="22"/>
        </w:rPr>
        <w:t xml:space="preserve">Cogged V-belt </w:t>
      </w:r>
      <w:r>
        <w:rPr>
          <w:szCs w:val="22"/>
        </w:rPr>
        <w:t>Peak Demand Reduction for Gas Pack</w:t>
      </w:r>
      <w:r w:rsidR="00AF53F9">
        <w:rPr>
          <w:szCs w:val="22"/>
        </w:rPr>
        <w:t xml:space="preserve">s &amp; Unitary AC-Only </w:t>
      </w:r>
      <w:r w:rsidRPr="003A15EB">
        <w:rPr>
          <w:szCs w:val="22"/>
        </w:rPr>
        <w:t>(kW/ton)</w:t>
      </w:r>
    </w:p>
    <w:p w:rsidR="003A15EB" w:rsidRDefault="00B72DCB" w:rsidP="003A15EB">
      <w:r w:rsidRPr="00B72DCB">
        <w:rPr>
          <w:noProof/>
          <w:lang w:eastAsia="zh-CN"/>
        </w:rPr>
        <w:drawing>
          <wp:inline distT="0" distB="0" distL="0" distR="0" wp14:anchorId="2DC17AC8" wp14:editId="72901BBA">
            <wp:extent cx="5943600" cy="2720845"/>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2720845"/>
                    </a:xfrm>
                    <a:prstGeom prst="rect">
                      <a:avLst/>
                    </a:prstGeom>
                    <a:noFill/>
                    <a:ln>
                      <a:noFill/>
                    </a:ln>
                  </pic:spPr>
                </pic:pic>
              </a:graphicData>
            </a:graphic>
          </wp:inline>
        </w:drawing>
      </w:r>
    </w:p>
    <w:p w:rsidR="003A15EB" w:rsidRDefault="003A15EB" w:rsidP="003A15EB"/>
    <w:p w:rsidR="003A15EB" w:rsidRDefault="003A15EB" w:rsidP="003A15EB"/>
    <w:p w:rsidR="003A15EB" w:rsidRDefault="003A15EB" w:rsidP="009E4559">
      <w:pPr>
        <w:pStyle w:val="Caption"/>
        <w:keepNext/>
        <w:jc w:val="center"/>
      </w:pPr>
      <w:r>
        <w:t xml:space="preserve">Table </w:t>
      </w:r>
      <w:fldSimple w:instr=" SEQ Table \* ARABIC ">
        <w:r w:rsidR="004A5AD0">
          <w:rPr>
            <w:noProof/>
          </w:rPr>
          <w:t>14</w:t>
        </w:r>
      </w:fldSimple>
      <w:r>
        <w:t xml:space="preserve"> </w:t>
      </w:r>
      <w:r w:rsidRPr="003A15EB">
        <w:rPr>
          <w:szCs w:val="22"/>
        </w:rPr>
        <w:t xml:space="preserve">Cogged V-belt </w:t>
      </w:r>
      <w:r w:rsidR="00DA72F5">
        <w:rPr>
          <w:szCs w:val="22"/>
        </w:rPr>
        <w:t xml:space="preserve">Peak Demand Reduction for Heat Pump </w:t>
      </w:r>
      <w:r w:rsidRPr="003A15EB">
        <w:rPr>
          <w:szCs w:val="22"/>
        </w:rPr>
        <w:t>(kW/ton)</w:t>
      </w:r>
    </w:p>
    <w:p w:rsidR="003A15EB" w:rsidRDefault="00B72DCB" w:rsidP="003A15EB">
      <w:r w:rsidRPr="00B72DCB">
        <w:rPr>
          <w:noProof/>
          <w:lang w:eastAsia="zh-CN"/>
        </w:rPr>
        <w:drawing>
          <wp:inline distT="0" distB="0" distL="0" distR="0" wp14:anchorId="1D849CF1" wp14:editId="03859276">
            <wp:extent cx="5943600" cy="259281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2592814"/>
                    </a:xfrm>
                    <a:prstGeom prst="rect">
                      <a:avLst/>
                    </a:prstGeom>
                    <a:noFill/>
                    <a:ln>
                      <a:noFill/>
                    </a:ln>
                  </pic:spPr>
                </pic:pic>
              </a:graphicData>
            </a:graphic>
          </wp:inline>
        </w:drawing>
      </w:r>
    </w:p>
    <w:p w:rsidR="003A15EB" w:rsidRPr="003A15EB" w:rsidRDefault="003A15EB" w:rsidP="003A15EB"/>
    <w:p w:rsidR="00BA59FF" w:rsidRPr="003E2640" w:rsidRDefault="00BA59FF" w:rsidP="00BA59FF">
      <w:pPr>
        <w:pStyle w:val="Heading2"/>
        <w:rPr>
          <w:rFonts w:cs="Calibri"/>
          <w:sz w:val="22"/>
          <w:szCs w:val="22"/>
        </w:rPr>
      </w:pPr>
      <w:bookmarkStart w:id="28" w:name="_Toc300053750"/>
      <w:r w:rsidRPr="003E2640">
        <w:rPr>
          <w:rFonts w:cs="Calibri"/>
          <w:szCs w:val="22"/>
        </w:rPr>
        <w:t>2.3. Gas Energy Savings Estimation Methodologies</w:t>
      </w:r>
      <w:bookmarkEnd w:id="28"/>
    </w:p>
    <w:p w:rsidR="00BA59FF" w:rsidRPr="003E2640" w:rsidRDefault="00BA59FF" w:rsidP="00BA59FF">
      <w:pPr>
        <w:rPr>
          <w:szCs w:val="22"/>
        </w:rPr>
      </w:pPr>
      <w:r w:rsidRPr="003E2640">
        <w:rPr>
          <w:szCs w:val="22"/>
        </w:rPr>
        <w:t>The HVAC Fan Cogged V-Belt Replacement measure has little or no impact on gas energy usage.</w:t>
      </w:r>
    </w:p>
    <w:p w:rsidR="00274FBE" w:rsidRPr="00BA59FF" w:rsidRDefault="00274FBE" w:rsidP="00E16609">
      <w:pPr>
        <w:pStyle w:val="Reminder"/>
        <w:rPr>
          <w:rFonts w:asciiTheme="minorHAnsi" w:hAnsiTheme="minorHAnsi" w:cstheme="minorHAnsi"/>
          <w:i w:val="0"/>
          <w:szCs w:val="22"/>
          <w:highlight w:val="yellow"/>
        </w:rPr>
      </w:pPr>
    </w:p>
    <w:p w:rsidR="00E16609" w:rsidRPr="00697868" w:rsidRDefault="00E16609" w:rsidP="00E16609">
      <w:pPr>
        <w:pStyle w:val="Heading1"/>
        <w:keepNext w:val="0"/>
        <w:rPr>
          <w:rFonts w:asciiTheme="minorHAnsi" w:hAnsiTheme="minorHAnsi" w:cstheme="minorHAnsi"/>
        </w:rPr>
      </w:pPr>
      <w:bookmarkStart w:id="29" w:name="_Toc214003093"/>
      <w:proofErr w:type="gramStart"/>
      <w:r w:rsidRPr="00697868">
        <w:rPr>
          <w:rFonts w:asciiTheme="minorHAnsi" w:hAnsiTheme="minorHAnsi" w:cstheme="minorHAnsi"/>
        </w:rPr>
        <w:t>Section 3.</w:t>
      </w:r>
      <w:proofErr w:type="gramEnd"/>
      <w:r w:rsidRPr="00697868">
        <w:rPr>
          <w:rFonts w:asciiTheme="minorHAnsi" w:hAnsiTheme="minorHAnsi" w:cstheme="minorHAnsi"/>
        </w:rPr>
        <w:t xml:space="preserve"> Load Shape</w:t>
      </w:r>
      <w:bookmarkEnd w:id="29"/>
      <w:r w:rsidRPr="00697868">
        <w:rPr>
          <w:rFonts w:asciiTheme="minorHAnsi" w:hAnsiTheme="minorHAnsi" w:cstheme="minorHAnsi"/>
        </w:rPr>
        <w:t>s</w:t>
      </w:r>
    </w:p>
    <w:p w:rsidR="00CE2B95" w:rsidRPr="00CE2B95" w:rsidRDefault="00CE2B95" w:rsidP="009E4559">
      <w:r w:rsidRPr="00CE2B95">
        <w:t>The difference between the base case load shape and the measure load shape would be the most appropriate load shape; however, only e</w:t>
      </w:r>
      <w:r>
        <w:t xml:space="preserve">nd-use profiles are available. </w:t>
      </w:r>
      <w:r w:rsidRPr="00CE2B95">
        <w:t xml:space="preserve">Therefore, the closest load shape chosen for this measure is the DEER: </w:t>
      </w:r>
      <w:proofErr w:type="spellStart"/>
      <w:r w:rsidRPr="00CE2B95">
        <w:t>HVA</w:t>
      </w:r>
      <w:r>
        <w:t>C_Split-Package_AC</w:t>
      </w:r>
      <w:proofErr w:type="spellEnd"/>
      <w:r>
        <w:t xml:space="preserve"> load shape. </w:t>
      </w:r>
      <w:r w:rsidR="009E4559">
        <w:t xml:space="preserve">See </w:t>
      </w:r>
      <w:r w:rsidR="009E4559">
        <w:fldChar w:fldCharType="begin"/>
      </w:r>
      <w:r w:rsidR="009E4559">
        <w:instrText xml:space="preserve"> REF _Ref386196348 \h  \* MERGEFORMAT </w:instrText>
      </w:r>
      <w:r w:rsidR="009E4559">
        <w:fldChar w:fldCharType="separate"/>
      </w:r>
      <w:r w:rsidR="004A5AD0">
        <w:t xml:space="preserve">Table </w:t>
      </w:r>
      <w:r w:rsidR="004A5AD0">
        <w:rPr>
          <w:noProof/>
        </w:rPr>
        <w:t>15</w:t>
      </w:r>
      <w:r w:rsidR="004A5AD0">
        <w:t xml:space="preserve"> </w:t>
      </w:r>
      <w:r w:rsidR="004A5AD0" w:rsidRPr="004A5AD0">
        <w:rPr>
          <w:rFonts w:cs="Calibri"/>
        </w:rPr>
        <w:t xml:space="preserve">Building Types </w:t>
      </w:r>
      <w:r w:rsidR="004A5AD0" w:rsidRPr="004A5AD0">
        <w:rPr>
          <w:rFonts w:cs="Calibri"/>
        </w:rPr>
        <w:lastRenderedPageBreak/>
        <w:t>and Load Shapes</w:t>
      </w:r>
      <w:r w:rsidR="009E4559">
        <w:fldChar w:fldCharType="end"/>
      </w:r>
      <w:r w:rsidR="009E4559">
        <w:t xml:space="preserve"> </w:t>
      </w:r>
      <w:r w:rsidRPr="00CE2B95">
        <w:t>for a list of all B</w:t>
      </w:r>
      <w:r>
        <w:t>uilding Types and</w:t>
      </w:r>
      <w:r w:rsidR="009E4559">
        <w:t xml:space="preserve"> Load Shapes. A</w:t>
      </w:r>
      <w:r w:rsidRPr="00CE2B95">
        <w:t xml:space="preserve"> more thorough discussion regarding the load shapes for this measure</w:t>
      </w:r>
      <w:r w:rsidR="009E4559">
        <w:t xml:space="preserve"> is available [31]</w:t>
      </w:r>
      <w:r w:rsidRPr="00CE2B95">
        <w:t>. The closest load shape chosen is indicated below:</w:t>
      </w:r>
    </w:p>
    <w:p w:rsidR="00CE2B95" w:rsidRPr="00683518" w:rsidRDefault="00CE2B95" w:rsidP="00CE2B95">
      <w:pPr>
        <w:rPr>
          <w:szCs w:val="22"/>
        </w:rPr>
      </w:pPr>
    </w:p>
    <w:p w:rsidR="00CE2B95" w:rsidRPr="00683518" w:rsidRDefault="00CE2B95" w:rsidP="009E4559">
      <w:pPr>
        <w:pStyle w:val="Caption"/>
        <w:jc w:val="center"/>
        <w:rPr>
          <w:rFonts w:cs="Calibri"/>
          <w:szCs w:val="22"/>
        </w:rPr>
      </w:pPr>
    </w:p>
    <w:p w:rsidR="009E4559" w:rsidRDefault="009E4559" w:rsidP="009E4559">
      <w:pPr>
        <w:pStyle w:val="Caption"/>
        <w:keepNext/>
        <w:jc w:val="center"/>
      </w:pPr>
      <w:bookmarkStart w:id="30" w:name="_Ref386196348"/>
      <w:r>
        <w:t xml:space="preserve">Table </w:t>
      </w:r>
      <w:fldSimple w:instr=" SEQ Table \* ARABIC ">
        <w:r w:rsidR="004A5AD0">
          <w:rPr>
            <w:noProof/>
          </w:rPr>
          <w:t>15</w:t>
        </w:r>
      </w:fldSimple>
      <w:r>
        <w:t xml:space="preserve"> </w:t>
      </w:r>
      <w:r w:rsidRPr="00683518">
        <w:rPr>
          <w:rFonts w:cs="Calibri"/>
          <w:szCs w:val="22"/>
        </w:rPr>
        <w:t>Building Types and Load Shapes</w:t>
      </w:r>
      <w:bookmarkEnd w:id="30"/>
    </w:p>
    <w:tbl>
      <w:tblPr>
        <w:tblW w:w="4333" w:type="pct"/>
        <w:jc w:val="center"/>
        <w:tblInd w:w="1278" w:type="dxa"/>
        <w:tblBorders>
          <w:insideH w:val="single" w:sz="18" w:space="0" w:color="FFFFFF"/>
          <w:insideV w:val="single" w:sz="18" w:space="0" w:color="FFFFFF"/>
        </w:tblBorders>
        <w:tblLook w:val="01E0" w:firstRow="1" w:lastRow="1" w:firstColumn="1" w:lastColumn="1" w:noHBand="0" w:noVBand="0"/>
      </w:tblPr>
      <w:tblGrid>
        <w:gridCol w:w="2194"/>
        <w:gridCol w:w="2332"/>
        <w:gridCol w:w="3773"/>
      </w:tblGrid>
      <w:tr w:rsidR="00CE2B95" w:rsidRPr="00683518" w:rsidTr="00020125">
        <w:trPr>
          <w:jc w:val="center"/>
        </w:trPr>
        <w:tc>
          <w:tcPr>
            <w:tcW w:w="1322" w:type="pct"/>
            <w:shd w:val="pct20" w:color="000000" w:fill="FFFFFF"/>
            <w:vAlign w:val="center"/>
          </w:tcPr>
          <w:p w:rsidR="00CE2B95" w:rsidRPr="00683518" w:rsidRDefault="00CE2B95" w:rsidP="007517A3">
            <w:pPr>
              <w:jc w:val="center"/>
              <w:rPr>
                <w:b/>
                <w:bCs/>
                <w:sz w:val="20"/>
                <w:szCs w:val="20"/>
                <w:highlight w:val="yellow"/>
              </w:rPr>
            </w:pPr>
            <w:r w:rsidRPr="00683518">
              <w:rPr>
                <w:b/>
                <w:bCs/>
                <w:sz w:val="20"/>
                <w:szCs w:val="20"/>
              </w:rPr>
              <w:t>Building Type</w:t>
            </w:r>
          </w:p>
        </w:tc>
        <w:tc>
          <w:tcPr>
            <w:tcW w:w="1405" w:type="pct"/>
            <w:shd w:val="pct20" w:color="000000" w:fill="FFFFFF"/>
            <w:vAlign w:val="center"/>
          </w:tcPr>
          <w:p w:rsidR="00CE2B95" w:rsidRPr="00683518" w:rsidRDefault="00CE2B95" w:rsidP="007517A3">
            <w:pPr>
              <w:jc w:val="center"/>
              <w:rPr>
                <w:b/>
                <w:bCs/>
                <w:sz w:val="20"/>
                <w:szCs w:val="20"/>
                <w:highlight w:val="yellow"/>
              </w:rPr>
            </w:pPr>
            <w:r w:rsidRPr="00683518">
              <w:rPr>
                <w:b/>
                <w:bCs/>
                <w:sz w:val="20"/>
                <w:szCs w:val="20"/>
              </w:rPr>
              <w:t>E3 Alt. Building Type</w:t>
            </w:r>
          </w:p>
        </w:tc>
        <w:tc>
          <w:tcPr>
            <w:tcW w:w="2273" w:type="pct"/>
            <w:shd w:val="pct20" w:color="000000" w:fill="FFFFFF"/>
            <w:vAlign w:val="center"/>
          </w:tcPr>
          <w:p w:rsidR="00CE2B95" w:rsidRPr="00683518" w:rsidRDefault="00CE2B95" w:rsidP="007517A3">
            <w:pPr>
              <w:jc w:val="center"/>
              <w:rPr>
                <w:b/>
                <w:bCs/>
                <w:sz w:val="20"/>
                <w:szCs w:val="20"/>
              </w:rPr>
            </w:pPr>
            <w:r w:rsidRPr="00683518">
              <w:rPr>
                <w:b/>
                <w:bCs/>
                <w:sz w:val="20"/>
                <w:szCs w:val="20"/>
              </w:rPr>
              <w:t>Load Shape</w:t>
            </w:r>
          </w:p>
        </w:tc>
      </w:tr>
      <w:tr w:rsidR="00CE2B95" w:rsidRPr="00683518" w:rsidTr="00020125">
        <w:trPr>
          <w:trHeight w:val="288"/>
          <w:jc w:val="center"/>
        </w:trPr>
        <w:tc>
          <w:tcPr>
            <w:tcW w:w="1322" w:type="pct"/>
            <w:shd w:val="pct5" w:color="000000" w:fill="FFFFFF"/>
            <w:vAlign w:val="center"/>
          </w:tcPr>
          <w:p w:rsidR="00CE2B95" w:rsidRPr="00683518" w:rsidRDefault="00EC0DD1" w:rsidP="007517A3">
            <w:pPr>
              <w:rPr>
                <w:sz w:val="20"/>
                <w:szCs w:val="20"/>
              </w:rPr>
            </w:pPr>
            <w:r>
              <w:rPr>
                <w:sz w:val="20"/>
                <w:szCs w:val="20"/>
              </w:rPr>
              <w:t>All</w:t>
            </w:r>
          </w:p>
        </w:tc>
        <w:tc>
          <w:tcPr>
            <w:tcW w:w="1405" w:type="pct"/>
            <w:shd w:val="pct5" w:color="000000" w:fill="FFFFFF"/>
            <w:vAlign w:val="center"/>
          </w:tcPr>
          <w:p w:rsidR="00CE2B95" w:rsidRPr="00683518" w:rsidRDefault="00CE2B95" w:rsidP="007517A3">
            <w:pPr>
              <w:jc w:val="center"/>
              <w:rPr>
                <w:sz w:val="20"/>
                <w:szCs w:val="20"/>
              </w:rPr>
            </w:pPr>
            <w:r w:rsidRPr="00683518">
              <w:rPr>
                <w:sz w:val="20"/>
                <w:szCs w:val="20"/>
              </w:rPr>
              <w:t>NON_RES</w:t>
            </w:r>
          </w:p>
        </w:tc>
        <w:tc>
          <w:tcPr>
            <w:tcW w:w="2273" w:type="pct"/>
            <w:shd w:val="pct5" w:color="000000" w:fill="FFFFFF"/>
            <w:vAlign w:val="center"/>
          </w:tcPr>
          <w:p w:rsidR="00CE2B95" w:rsidRPr="00683518" w:rsidRDefault="00CE2B95" w:rsidP="007517A3">
            <w:pPr>
              <w:jc w:val="center"/>
              <w:rPr>
                <w:sz w:val="20"/>
                <w:szCs w:val="20"/>
              </w:rPr>
            </w:pPr>
            <w:r w:rsidRPr="00683518">
              <w:rPr>
                <w:sz w:val="20"/>
                <w:szCs w:val="20"/>
              </w:rPr>
              <w:t xml:space="preserve">DEER: </w:t>
            </w:r>
            <w:proofErr w:type="spellStart"/>
            <w:r w:rsidRPr="00683518">
              <w:rPr>
                <w:sz w:val="20"/>
                <w:szCs w:val="20"/>
              </w:rPr>
              <w:t>HVAC_Split-Package_AC</w:t>
            </w:r>
            <w:proofErr w:type="spellEnd"/>
          </w:p>
        </w:tc>
      </w:tr>
    </w:tbl>
    <w:p w:rsidR="00CE2B95" w:rsidRDefault="00E16609" w:rsidP="00CE2B95">
      <w:pPr>
        <w:rPr>
          <w:rFonts w:cstheme="minorHAnsi"/>
          <w:szCs w:val="22"/>
        </w:rPr>
      </w:pPr>
      <w:r w:rsidRPr="00697868">
        <w:rPr>
          <w:rFonts w:cstheme="minorHAnsi"/>
          <w:szCs w:val="22"/>
        </w:rPr>
        <w:t xml:space="preserve"> </w:t>
      </w:r>
      <w:bookmarkStart w:id="31" w:name="_Toc214003096"/>
    </w:p>
    <w:p w:rsidR="00CE2B95" w:rsidRDefault="00CE2B95" w:rsidP="00CE2B95">
      <w:pPr>
        <w:rPr>
          <w:rFonts w:cstheme="minorHAnsi"/>
          <w:szCs w:val="22"/>
        </w:rPr>
      </w:pPr>
    </w:p>
    <w:p w:rsidR="00E16609" w:rsidRPr="00697868" w:rsidRDefault="00E16609" w:rsidP="0086115C">
      <w:pPr>
        <w:pStyle w:val="Heading1"/>
        <w:keepNext w:val="0"/>
        <w:rPr>
          <w:rFonts w:asciiTheme="minorHAnsi" w:hAnsiTheme="minorHAnsi" w:cstheme="minorHAnsi"/>
        </w:rPr>
      </w:pPr>
      <w:proofErr w:type="gramStart"/>
      <w:r w:rsidRPr="00697868">
        <w:rPr>
          <w:rFonts w:asciiTheme="minorHAnsi" w:hAnsiTheme="minorHAnsi" w:cstheme="minorHAnsi"/>
        </w:rPr>
        <w:t>Section 4.</w:t>
      </w:r>
      <w:proofErr w:type="gramEnd"/>
      <w:r w:rsidRPr="00697868">
        <w:rPr>
          <w:rFonts w:asciiTheme="minorHAnsi" w:hAnsiTheme="minorHAnsi" w:cstheme="minorHAnsi"/>
        </w:rPr>
        <w:t xml:space="preserve"> Base Case &amp; Measure Costs</w:t>
      </w:r>
      <w:bookmarkEnd w:id="31"/>
    </w:p>
    <w:p w:rsidR="004C6459" w:rsidRPr="0086115C" w:rsidRDefault="00421C4D" w:rsidP="00421C4D">
      <w:pPr>
        <w:rPr>
          <w:rFonts w:cstheme="minorHAnsi"/>
          <w:i/>
          <w:szCs w:val="22"/>
        </w:rPr>
      </w:pPr>
      <w:r>
        <w:t xml:space="preserve">This </w:t>
      </w:r>
      <w:r w:rsidR="004C6459">
        <w:t xml:space="preserve">work paper </w:t>
      </w:r>
      <w:r>
        <w:t xml:space="preserve">does not report base case and measure costs </w:t>
      </w:r>
      <w:r w:rsidR="00020125">
        <w:t xml:space="preserve">for SCE </w:t>
      </w:r>
      <w:r w:rsidR="004C6459">
        <w:t>as those costs are between the program and their contractors for direct install</w:t>
      </w:r>
      <w:r>
        <w:t xml:space="preserve"> programs.</w:t>
      </w:r>
      <w:r w:rsidR="00020125">
        <w:t xml:space="preserve"> The remaining cost data is for PG&amp;E.</w:t>
      </w:r>
    </w:p>
    <w:p w:rsidR="001A5F62" w:rsidRPr="00020125" w:rsidRDefault="001A5F62" w:rsidP="00C24D03">
      <w:pPr>
        <w:rPr>
          <w:rFonts w:cstheme="minorHAnsi"/>
          <w:color w:val="FF0000"/>
          <w:szCs w:val="22"/>
        </w:rPr>
      </w:pPr>
    </w:p>
    <w:tbl>
      <w:tblPr>
        <w:tblW w:w="9158" w:type="dxa"/>
        <w:tblInd w:w="93" w:type="dxa"/>
        <w:tblLook w:val="04A0" w:firstRow="1" w:lastRow="0" w:firstColumn="1" w:lastColumn="0" w:noHBand="0" w:noVBand="1"/>
      </w:tblPr>
      <w:tblGrid>
        <w:gridCol w:w="1781"/>
        <w:gridCol w:w="1446"/>
        <w:gridCol w:w="2490"/>
        <w:gridCol w:w="3441"/>
      </w:tblGrid>
      <w:tr w:rsidR="00020125" w:rsidRPr="00020125" w:rsidTr="00020125">
        <w:trPr>
          <w:trHeight w:val="811"/>
        </w:trPr>
        <w:tc>
          <w:tcPr>
            <w:tcW w:w="1781" w:type="dxa"/>
            <w:tcBorders>
              <w:top w:val="nil"/>
              <w:left w:val="nil"/>
              <w:bottom w:val="single" w:sz="12" w:space="0" w:color="FFFFFF"/>
              <w:right w:val="single" w:sz="12" w:space="0" w:color="FFFFFF"/>
            </w:tcBorders>
            <w:shd w:val="clear" w:color="000000" w:fill="BFBFBF"/>
            <w:vAlign w:val="center"/>
            <w:hideMark/>
          </w:tcPr>
          <w:p w:rsidR="00020125" w:rsidRPr="00020125" w:rsidRDefault="00020125" w:rsidP="00020125">
            <w:pPr>
              <w:jc w:val="center"/>
              <w:rPr>
                <w:rFonts w:ascii="Calibri" w:hAnsi="Calibri" w:cs="Calibri"/>
                <w:b/>
                <w:bCs/>
                <w:color w:val="000000"/>
                <w:sz w:val="20"/>
                <w:szCs w:val="20"/>
              </w:rPr>
            </w:pPr>
            <w:r w:rsidRPr="00020125">
              <w:rPr>
                <w:rFonts w:ascii="Calibri" w:hAnsi="Calibri" w:cs="Calibri"/>
                <w:b/>
                <w:bCs/>
                <w:color w:val="000000"/>
                <w:sz w:val="20"/>
                <w:szCs w:val="20"/>
              </w:rPr>
              <w:t>Install/Program  Type</w:t>
            </w:r>
          </w:p>
        </w:tc>
        <w:tc>
          <w:tcPr>
            <w:tcW w:w="1446" w:type="dxa"/>
            <w:tcBorders>
              <w:top w:val="nil"/>
              <w:left w:val="nil"/>
              <w:bottom w:val="single" w:sz="12" w:space="0" w:color="FFFFFF"/>
              <w:right w:val="single" w:sz="12" w:space="0" w:color="FFFFFF"/>
            </w:tcBorders>
            <w:shd w:val="clear" w:color="000000" w:fill="BFBFBF"/>
            <w:vAlign w:val="center"/>
            <w:hideMark/>
          </w:tcPr>
          <w:p w:rsidR="00020125" w:rsidRPr="00020125" w:rsidRDefault="00020125" w:rsidP="00020125">
            <w:pPr>
              <w:jc w:val="center"/>
              <w:rPr>
                <w:rFonts w:ascii="Calibri" w:hAnsi="Calibri" w:cs="Calibri"/>
                <w:b/>
                <w:bCs/>
                <w:color w:val="000000"/>
                <w:sz w:val="20"/>
                <w:szCs w:val="20"/>
              </w:rPr>
            </w:pPr>
            <w:r w:rsidRPr="00020125">
              <w:rPr>
                <w:rFonts w:ascii="Calibri" w:hAnsi="Calibri" w:cs="Calibri"/>
                <w:b/>
                <w:bCs/>
                <w:color w:val="000000"/>
                <w:sz w:val="20"/>
                <w:szCs w:val="20"/>
              </w:rPr>
              <w:t>Measure Life Basis</w:t>
            </w:r>
          </w:p>
        </w:tc>
        <w:tc>
          <w:tcPr>
            <w:tcW w:w="2490" w:type="dxa"/>
            <w:tcBorders>
              <w:top w:val="nil"/>
              <w:left w:val="nil"/>
              <w:bottom w:val="single" w:sz="12" w:space="0" w:color="FFFFFF"/>
              <w:right w:val="single" w:sz="12" w:space="0" w:color="FFFFFF"/>
            </w:tcBorders>
            <w:shd w:val="clear" w:color="000000" w:fill="BFBFBF"/>
            <w:vAlign w:val="center"/>
            <w:hideMark/>
          </w:tcPr>
          <w:p w:rsidR="00020125" w:rsidRPr="00020125" w:rsidRDefault="00020125" w:rsidP="00020125">
            <w:pPr>
              <w:jc w:val="center"/>
              <w:rPr>
                <w:rFonts w:ascii="Calibri" w:hAnsi="Calibri" w:cs="Calibri"/>
                <w:b/>
                <w:bCs/>
                <w:color w:val="000000"/>
                <w:sz w:val="20"/>
                <w:szCs w:val="20"/>
              </w:rPr>
            </w:pPr>
            <w:r w:rsidRPr="00020125">
              <w:rPr>
                <w:rFonts w:ascii="Calibri" w:hAnsi="Calibri" w:cs="Calibri"/>
                <w:b/>
                <w:bCs/>
                <w:color w:val="000000"/>
                <w:sz w:val="20"/>
                <w:szCs w:val="20"/>
              </w:rPr>
              <w:t>First Baseline Period Gross Measure Cost (RUL)</w:t>
            </w:r>
          </w:p>
        </w:tc>
        <w:tc>
          <w:tcPr>
            <w:tcW w:w="3441" w:type="dxa"/>
            <w:tcBorders>
              <w:top w:val="nil"/>
              <w:left w:val="nil"/>
              <w:bottom w:val="single" w:sz="12" w:space="0" w:color="FFFFFF"/>
              <w:right w:val="single" w:sz="12" w:space="0" w:color="FFFFFF"/>
            </w:tcBorders>
            <w:shd w:val="clear" w:color="000000" w:fill="BFBFBF"/>
            <w:vAlign w:val="center"/>
            <w:hideMark/>
          </w:tcPr>
          <w:p w:rsidR="00020125" w:rsidRPr="00020125" w:rsidRDefault="00020125" w:rsidP="00020125">
            <w:pPr>
              <w:jc w:val="center"/>
              <w:rPr>
                <w:rFonts w:ascii="Calibri" w:hAnsi="Calibri" w:cs="Calibri"/>
                <w:b/>
                <w:bCs/>
                <w:color w:val="000000"/>
                <w:sz w:val="20"/>
                <w:szCs w:val="20"/>
              </w:rPr>
            </w:pPr>
            <w:r w:rsidRPr="00020125">
              <w:rPr>
                <w:rFonts w:ascii="Calibri" w:hAnsi="Calibri" w:cs="Calibri"/>
                <w:b/>
                <w:bCs/>
                <w:color w:val="000000"/>
                <w:sz w:val="20"/>
                <w:szCs w:val="20"/>
              </w:rPr>
              <w:t>Second Baseline Period Gross Measure Cost (EUL – RUL)</w:t>
            </w:r>
          </w:p>
        </w:tc>
      </w:tr>
      <w:tr w:rsidR="00020125" w:rsidRPr="00020125" w:rsidTr="00020125">
        <w:trPr>
          <w:trHeight w:val="561"/>
        </w:trPr>
        <w:tc>
          <w:tcPr>
            <w:tcW w:w="1781" w:type="dxa"/>
            <w:tcBorders>
              <w:top w:val="nil"/>
              <w:left w:val="nil"/>
              <w:bottom w:val="single" w:sz="12" w:space="0" w:color="FFFFFF"/>
              <w:right w:val="single" w:sz="12" w:space="0" w:color="FFFFFF"/>
            </w:tcBorders>
            <w:shd w:val="clear" w:color="000000" w:fill="F2F2F2"/>
            <w:vAlign w:val="center"/>
            <w:hideMark/>
          </w:tcPr>
          <w:p w:rsidR="00020125" w:rsidRPr="00020125" w:rsidRDefault="00020125" w:rsidP="00020125">
            <w:pPr>
              <w:jc w:val="center"/>
              <w:rPr>
                <w:rFonts w:ascii="Calibri" w:hAnsi="Calibri" w:cs="Calibri"/>
                <w:color w:val="000000"/>
                <w:sz w:val="20"/>
                <w:szCs w:val="20"/>
              </w:rPr>
            </w:pPr>
            <w:r w:rsidRPr="00020125">
              <w:rPr>
                <w:rFonts w:ascii="Calibri" w:hAnsi="Calibri" w:cs="Calibri"/>
                <w:color w:val="000000"/>
                <w:sz w:val="20"/>
                <w:szCs w:val="20"/>
              </w:rPr>
              <w:t>ROB</w:t>
            </w:r>
          </w:p>
        </w:tc>
        <w:tc>
          <w:tcPr>
            <w:tcW w:w="1446" w:type="dxa"/>
            <w:tcBorders>
              <w:top w:val="nil"/>
              <w:left w:val="nil"/>
              <w:bottom w:val="single" w:sz="12" w:space="0" w:color="FFFFFF"/>
              <w:right w:val="nil"/>
            </w:tcBorders>
            <w:shd w:val="clear" w:color="000000" w:fill="F2F2F2"/>
            <w:vAlign w:val="center"/>
            <w:hideMark/>
          </w:tcPr>
          <w:p w:rsidR="00020125" w:rsidRPr="00020125" w:rsidRDefault="00020125" w:rsidP="00020125">
            <w:pPr>
              <w:jc w:val="center"/>
              <w:rPr>
                <w:rFonts w:ascii="Calibri" w:hAnsi="Calibri" w:cs="Calibri"/>
                <w:color w:val="000000"/>
                <w:sz w:val="20"/>
                <w:szCs w:val="20"/>
              </w:rPr>
            </w:pPr>
            <w:r w:rsidRPr="00020125">
              <w:rPr>
                <w:rFonts w:ascii="Calibri" w:hAnsi="Calibri" w:cs="Calibri"/>
                <w:color w:val="000000"/>
                <w:sz w:val="20"/>
                <w:szCs w:val="20"/>
              </w:rPr>
              <w:t>EUL</w:t>
            </w:r>
          </w:p>
        </w:tc>
        <w:tc>
          <w:tcPr>
            <w:tcW w:w="2490" w:type="dxa"/>
            <w:tcBorders>
              <w:top w:val="nil"/>
              <w:left w:val="nil"/>
              <w:bottom w:val="single" w:sz="12" w:space="0" w:color="FFFFFF"/>
              <w:right w:val="single" w:sz="12" w:space="0" w:color="FFFFFF"/>
            </w:tcBorders>
            <w:shd w:val="clear" w:color="000000" w:fill="F2F2F2"/>
            <w:vAlign w:val="center"/>
            <w:hideMark/>
          </w:tcPr>
          <w:p w:rsidR="00020125" w:rsidRPr="00020125" w:rsidRDefault="00020125" w:rsidP="00020125">
            <w:pPr>
              <w:jc w:val="center"/>
              <w:rPr>
                <w:rFonts w:ascii="Calibri" w:hAnsi="Calibri" w:cs="Calibri"/>
                <w:color w:val="000000"/>
                <w:sz w:val="20"/>
                <w:szCs w:val="20"/>
              </w:rPr>
            </w:pPr>
            <w:r w:rsidRPr="00020125">
              <w:rPr>
                <w:rFonts w:ascii="Calibri" w:hAnsi="Calibri" w:cs="Calibri"/>
                <w:color w:val="000000"/>
                <w:sz w:val="20"/>
                <w:szCs w:val="20"/>
              </w:rPr>
              <w:t>Calculated as Incremental Measure Cost</w:t>
            </w:r>
          </w:p>
        </w:tc>
        <w:tc>
          <w:tcPr>
            <w:tcW w:w="3441" w:type="dxa"/>
            <w:tcBorders>
              <w:top w:val="nil"/>
              <w:left w:val="nil"/>
              <w:bottom w:val="single" w:sz="12" w:space="0" w:color="FFFFFF"/>
              <w:right w:val="nil"/>
            </w:tcBorders>
            <w:shd w:val="clear" w:color="000000" w:fill="F2F2F2"/>
            <w:vAlign w:val="center"/>
            <w:hideMark/>
          </w:tcPr>
          <w:p w:rsidR="00020125" w:rsidRPr="00020125" w:rsidRDefault="00020125" w:rsidP="00020125">
            <w:pPr>
              <w:jc w:val="center"/>
              <w:rPr>
                <w:rFonts w:ascii="Calibri" w:hAnsi="Calibri" w:cs="Calibri"/>
                <w:color w:val="000000"/>
                <w:sz w:val="20"/>
                <w:szCs w:val="20"/>
              </w:rPr>
            </w:pPr>
            <w:r w:rsidRPr="00020125">
              <w:rPr>
                <w:rFonts w:ascii="Calibri" w:hAnsi="Calibri" w:cs="Calibri"/>
                <w:color w:val="000000"/>
                <w:sz w:val="20"/>
                <w:szCs w:val="20"/>
              </w:rPr>
              <w:t>N/A</w:t>
            </w:r>
          </w:p>
        </w:tc>
      </w:tr>
    </w:tbl>
    <w:p w:rsidR="00020125" w:rsidRDefault="00020125" w:rsidP="00020125"/>
    <w:p w:rsidR="00020125" w:rsidRPr="00993BD6" w:rsidRDefault="00020125" w:rsidP="00020125">
      <w:pPr>
        <w:pStyle w:val="Heading2"/>
      </w:pPr>
      <w:bookmarkStart w:id="32" w:name="_Toc304800218"/>
      <w:bookmarkStart w:id="33" w:name="_Toc327950092"/>
      <w:r w:rsidRPr="00993BD6">
        <w:t>4.1 Base Case(s) Costs</w:t>
      </w:r>
      <w:bookmarkEnd w:id="32"/>
      <w:bookmarkEnd w:id="33"/>
    </w:p>
    <w:p w:rsidR="00020125" w:rsidRPr="00993BD6" w:rsidRDefault="00020125" w:rsidP="00020125">
      <w:r w:rsidRPr="00993BD6">
        <w:t xml:space="preserve">The following Transaction </w:t>
      </w:r>
      <w:r>
        <w:t>type is</w:t>
      </w:r>
      <w:r w:rsidRPr="00993BD6">
        <w:t xml:space="preserve"> appropriate to </w:t>
      </w:r>
      <w:r>
        <w:t>this measure</w:t>
      </w:r>
      <w:r w:rsidRPr="00993BD6">
        <w:t>. The Base Case Costs are:</w:t>
      </w:r>
    </w:p>
    <w:tbl>
      <w:tblPr>
        <w:tblW w:w="8925" w:type="dxa"/>
        <w:tblInd w:w="93" w:type="dxa"/>
        <w:tblLayout w:type="fixed"/>
        <w:tblLook w:val="04A0" w:firstRow="1" w:lastRow="0" w:firstColumn="1" w:lastColumn="0" w:noHBand="0" w:noVBand="1"/>
      </w:tblPr>
      <w:tblGrid>
        <w:gridCol w:w="1005"/>
        <w:gridCol w:w="1260"/>
        <w:gridCol w:w="1170"/>
        <w:gridCol w:w="1440"/>
        <w:gridCol w:w="1620"/>
        <w:gridCol w:w="1440"/>
        <w:gridCol w:w="990"/>
      </w:tblGrid>
      <w:tr w:rsidR="009E2271" w:rsidRPr="00020125" w:rsidTr="009E2271">
        <w:trPr>
          <w:trHeight w:val="525"/>
        </w:trPr>
        <w:tc>
          <w:tcPr>
            <w:tcW w:w="1005" w:type="dxa"/>
            <w:tcBorders>
              <w:top w:val="nil"/>
              <w:left w:val="nil"/>
              <w:bottom w:val="single" w:sz="12" w:space="0" w:color="FFFFFF"/>
              <w:right w:val="single" w:sz="12" w:space="0" w:color="FFFFFF"/>
            </w:tcBorders>
            <w:shd w:val="clear" w:color="000000" w:fill="BFBFBF"/>
            <w:vAlign w:val="center"/>
            <w:hideMark/>
          </w:tcPr>
          <w:p w:rsidR="00020125" w:rsidRPr="00020125" w:rsidRDefault="00020125" w:rsidP="00020125">
            <w:pPr>
              <w:jc w:val="center"/>
              <w:rPr>
                <w:rFonts w:ascii="Calibri" w:hAnsi="Calibri" w:cs="Calibri"/>
                <w:b/>
                <w:bCs/>
                <w:color w:val="000000"/>
                <w:sz w:val="20"/>
                <w:szCs w:val="20"/>
              </w:rPr>
            </w:pPr>
            <w:r w:rsidRPr="00020125">
              <w:rPr>
                <w:rFonts w:ascii="Calibri" w:hAnsi="Calibri" w:cs="Calibri"/>
                <w:b/>
                <w:bCs/>
                <w:color w:val="000000"/>
                <w:sz w:val="20"/>
                <w:szCs w:val="20"/>
              </w:rPr>
              <w:t>Measure Code</w:t>
            </w:r>
          </w:p>
        </w:tc>
        <w:tc>
          <w:tcPr>
            <w:tcW w:w="1260" w:type="dxa"/>
            <w:tcBorders>
              <w:top w:val="nil"/>
              <w:left w:val="nil"/>
              <w:bottom w:val="single" w:sz="12" w:space="0" w:color="FFFFFF"/>
              <w:right w:val="single" w:sz="12" w:space="0" w:color="FFFFFF"/>
            </w:tcBorders>
            <w:shd w:val="clear" w:color="000000" w:fill="BFBFBF"/>
            <w:vAlign w:val="center"/>
            <w:hideMark/>
          </w:tcPr>
          <w:p w:rsidR="00020125" w:rsidRPr="00020125" w:rsidRDefault="00020125" w:rsidP="00020125">
            <w:pPr>
              <w:jc w:val="center"/>
              <w:rPr>
                <w:rFonts w:ascii="Calibri" w:hAnsi="Calibri" w:cs="Calibri"/>
                <w:b/>
                <w:bCs/>
                <w:color w:val="000000"/>
                <w:sz w:val="20"/>
                <w:szCs w:val="20"/>
              </w:rPr>
            </w:pPr>
            <w:r w:rsidRPr="00020125">
              <w:rPr>
                <w:rFonts w:ascii="Calibri" w:hAnsi="Calibri" w:cs="Calibri"/>
                <w:b/>
                <w:bCs/>
                <w:color w:val="000000"/>
                <w:sz w:val="20"/>
                <w:szCs w:val="20"/>
              </w:rPr>
              <w:t>Transaction</w:t>
            </w:r>
          </w:p>
        </w:tc>
        <w:tc>
          <w:tcPr>
            <w:tcW w:w="1170" w:type="dxa"/>
            <w:tcBorders>
              <w:top w:val="nil"/>
              <w:left w:val="nil"/>
              <w:bottom w:val="single" w:sz="12" w:space="0" w:color="FFFFFF"/>
              <w:right w:val="single" w:sz="12" w:space="0" w:color="FFFFFF"/>
            </w:tcBorders>
            <w:shd w:val="clear" w:color="000000" w:fill="BFBFBF"/>
            <w:vAlign w:val="center"/>
            <w:hideMark/>
          </w:tcPr>
          <w:p w:rsidR="00020125" w:rsidRPr="00020125" w:rsidRDefault="00020125" w:rsidP="00020125">
            <w:pPr>
              <w:jc w:val="center"/>
              <w:rPr>
                <w:rFonts w:ascii="Calibri" w:hAnsi="Calibri" w:cs="Calibri"/>
                <w:b/>
                <w:bCs/>
                <w:color w:val="000000"/>
                <w:sz w:val="20"/>
                <w:szCs w:val="20"/>
              </w:rPr>
            </w:pPr>
            <w:r w:rsidRPr="00020125">
              <w:rPr>
                <w:rFonts w:ascii="Calibri" w:hAnsi="Calibri" w:cs="Calibri"/>
                <w:b/>
                <w:bCs/>
                <w:color w:val="000000"/>
                <w:sz w:val="20"/>
                <w:szCs w:val="20"/>
              </w:rPr>
              <w:t>Baseline</w:t>
            </w:r>
          </w:p>
        </w:tc>
        <w:tc>
          <w:tcPr>
            <w:tcW w:w="1440" w:type="dxa"/>
            <w:tcBorders>
              <w:top w:val="nil"/>
              <w:left w:val="nil"/>
              <w:bottom w:val="single" w:sz="12" w:space="0" w:color="FFFFFF"/>
              <w:right w:val="single" w:sz="12" w:space="0" w:color="FFFFFF"/>
            </w:tcBorders>
            <w:shd w:val="clear" w:color="000000" w:fill="BFBFBF"/>
            <w:vAlign w:val="center"/>
            <w:hideMark/>
          </w:tcPr>
          <w:p w:rsidR="00020125" w:rsidRPr="00020125" w:rsidRDefault="00020125" w:rsidP="00020125">
            <w:pPr>
              <w:jc w:val="center"/>
              <w:rPr>
                <w:rFonts w:ascii="Calibri" w:hAnsi="Calibri" w:cs="Calibri"/>
                <w:b/>
                <w:bCs/>
                <w:color w:val="000000"/>
                <w:sz w:val="20"/>
                <w:szCs w:val="20"/>
              </w:rPr>
            </w:pPr>
            <w:r w:rsidRPr="00020125">
              <w:rPr>
                <w:rFonts w:ascii="Calibri" w:hAnsi="Calibri" w:cs="Calibri"/>
                <w:b/>
                <w:bCs/>
                <w:color w:val="000000"/>
                <w:sz w:val="20"/>
                <w:szCs w:val="20"/>
              </w:rPr>
              <w:t>Equipment Cost</w:t>
            </w:r>
          </w:p>
        </w:tc>
        <w:tc>
          <w:tcPr>
            <w:tcW w:w="1620" w:type="dxa"/>
            <w:tcBorders>
              <w:top w:val="nil"/>
              <w:left w:val="nil"/>
              <w:bottom w:val="single" w:sz="12" w:space="0" w:color="FFFFFF"/>
              <w:right w:val="single" w:sz="12" w:space="0" w:color="FFFFFF"/>
            </w:tcBorders>
            <w:shd w:val="clear" w:color="000000" w:fill="BFBFBF"/>
            <w:vAlign w:val="center"/>
            <w:hideMark/>
          </w:tcPr>
          <w:p w:rsidR="00020125" w:rsidRPr="00020125" w:rsidRDefault="00020125" w:rsidP="00020125">
            <w:pPr>
              <w:jc w:val="center"/>
              <w:rPr>
                <w:rFonts w:ascii="Calibri" w:hAnsi="Calibri" w:cs="Calibri"/>
                <w:b/>
                <w:bCs/>
                <w:color w:val="000000"/>
                <w:sz w:val="20"/>
                <w:szCs w:val="20"/>
              </w:rPr>
            </w:pPr>
            <w:r w:rsidRPr="00020125">
              <w:rPr>
                <w:rFonts w:ascii="Calibri" w:hAnsi="Calibri" w:cs="Calibri"/>
                <w:b/>
                <w:bCs/>
                <w:color w:val="000000"/>
                <w:sz w:val="20"/>
                <w:szCs w:val="20"/>
              </w:rPr>
              <w:t>Labor / Installation Cost</w:t>
            </w:r>
          </w:p>
        </w:tc>
        <w:tc>
          <w:tcPr>
            <w:tcW w:w="1440" w:type="dxa"/>
            <w:tcBorders>
              <w:top w:val="nil"/>
              <w:left w:val="nil"/>
              <w:bottom w:val="single" w:sz="12" w:space="0" w:color="FFFFFF"/>
              <w:right w:val="single" w:sz="12" w:space="0" w:color="FFFFFF"/>
            </w:tcBorders>
            <w:shd w:val="clear" w:color="000000" w:fill="BFBFBF"/>
            <w:vAlign w:val="center"/>
            <w:hideMark/>
          </w:tcPr>
          <w:p w:rsidR="00020125" w:rsidRPr="00020125" w:rsidRDefault="00020125" w:rsidP="00020125">
            <w:pPr>
              <w:jc w:val="center"/>
              <w:rPr>
                <w:rFonts w:ascii="Calibri" w:hAnsi="Calibri" w:cs="Calibri"/>
                <w:b/>
                <w:bCs/>
                <w:color w:val="000000"/>
                <w:sz w:val="20"/>
                <w:szCs w:val="20"/>
              </w:rPr>
            </w:pPr>
            <w:r w:rsidRPr="00020125">
              <w:rPr>
                <w:rFonts w:ascii="Calibri" w:hAnsi="Calibri" w:cs="Calibri"/>
                <w:b/>
                <w:bCs/>
                <w:color w:val="000000"/>
                <w:sz w:val="20"/>
                <w:szCs w:val="20"/>
              </w:rPr>
              <w:t>Maintenance / Other Cost</w:t>
            </w:r>
          </w:p>
        </w:tc>
        <w:tc>
          <w:tcPr>
            <w:tcW w:w="990" w:type="dxa"/>
            <w:tcBorders>
              <w:top w:val="nil"/>
              <w:left w:val="nil"/>
              <w:bottom w:val="single" w:sz="12" w:space="0" w:color="FFFFFF"/>
              <w:right w:val="single" w:sz="12" w:space="0" w:color="FFFFFF"/>
            </w:tcBorders>
            <w:shd w:val="clear" w:color="000000" w:fill="BFBFBF"/>
            <w:vAlign w:val="center"/>
            <w:hideMark/>
          </w:tcPr>
          <w:p w:rsidR="00020125" w:rsidRPr="00020125" w:rsidRDefault="00020125" w:rsidP="00020125">
            <w:pPr>
              <w:jc w:val="center"/>
              <w:rPr>
                <w:rFonts w:ascii="Calibri" w:hAnsi="Calibri" w:cs="Calibri"/>
                <w:b/>
                <w:bCs/>
                <w:color w:val="000000"/>
                <w:sz w:val="20"/>
                <w:szCs w:val="20"/>
              </w:rPr>
            </w:pPr>
            <w:r w:rsidRPr="00020125">
              <w:rPr>
                <w:rFonts w:ascii="Calibri" w:hAnsi="Calibri" w:cs="Calibri"/>
                <w:b/>
                <w:bCs/>
                <w:color w:val="000000"/>
                <w:sz w:val="20"/>
                <w:szCs w:val="20"/>
              </w:rPr>
              <w:t>Total Base Case Cost</w:t>
            </w:r>
          </w:p>
        </w:tc>
      </w:tr>
      <w:tr w:rsidR="009E2271" w:rsidRPr="00020125" w:rsidTr="009E2271">
        <w:trPr>
          <w:trHeight w:val="330"/>
        </w:trPr>
        <w:tc>
          <w:tcPr>
            <w:tcW w:w="1005" w:type="dxa"/>
            <w:tcBorders>
              <w:top w:val="nil"/>
              <w:left w:val="nil"/>
              <w:bottom w:val="single" w:sz="12" w:space="0" w:color="FFFFFF"/>
              <w:right w:val="single" w:sz="12" w:space="0" w:color="FFFFFF"/>
            </w:tcBorders>
            <w:shd w:val="clear" w:color="000000" w:fill="F2F2F2"/>
            <w:vAlign w:val="center"/>
            <w:hideMark/>
          </w:tcPr>
          <w:p w:rsidR="00020125" w:rsidRPr="00020125" w:rsidRDefault="00020125" w:rsidP="00020125">
            <w:pPr>
              <w:jc w:val="center"/>
              <w:rPr>
                <w:rFonts w:ascii="Calibri" w:hAnsi="Calibri" w:cs="Calibri"/>
                <w:color w:val="000000"/>
                <w:sz w:val="20"/>
                <w:szCs w:val="20"/>
              </w:rPr>
            </w:pPr>
            <w:r w:rsidRPr="00020125">
              <w:rPr>
                <w:rFonts w:ascii="Calibri" w:hAnsi="Calibri" w:cs="Calibri"/>
                <w:color w:val="000000"/>
                <w:sz w:val="20"/>
                <w:szCs w:val="20"/>
              </w:rPr>
              <w:t> </w:t>
            </w:r>
          </w:p>
        </w:tc>
        <w:tc>
          <w:tcPr>
            <w:tcW w:w="1260" w:type="dxa"/>
            <w:tcBorders>
              <w:top w:val="nil"/>
              <w:left w:val="nil"/>
              <w:bottom w:val="single" w:sz="12" w:space="0" w:color="FFFFFF"/>
              <w:right w:val="nil"/>
            </w:tcBorders>
            <w:shd w:val="clear" w:color="000000" w:fill="F2F2F2"/>
            <w:vAlign w:val="center"/>
            <w:hideMark/>
          </w:tcPr>
          <w:p w:rsidR="00020125" w:rsidRPr="00020125" w:rsidRDefault="00020125" w:rsidP="00020125">
            <w:pPr>
              <w:jc w:val="center"/>
              <w:rPr>
                <w:rFonts w:ascii="Calibri" w:hAnsi="Calibri" w:cs="Calibri"/>
                <w:color w:val="000000"/>
                <w:sz w:val="20"/>
                <w:szCs w:val="20"/>
              </w:rPr>
            </w:pPr>
            <w:r w:rsidRPr="00020125">
              <w:rPr>
                <w:rFonts w:ascii="Calibri" w:hAnsi="Calibri" w:cs="Calibri"/>
                <w:color w:val="000000"/>
                <w:sz w:val="20"/>
                <w:szCs w:val="20"/>
              </w:rPr>
              <w:t>ROB</w:t>
            </w:r>
          </w:p>
        </w:tc>
        <w:tc>
          <w:tcPr>
            <w:tcW w:w="1170" w:type="dxa"/>
            <w:tcBorders>
              <w:top w:val="nil"/>
              <w:left w:val="nil"/>
              <w:bottom w:val="single" w:sz="12" w:space="0" w:color="FFFFFF"/>
              <w:right w:val="single" w:sz="12" w:space="0" w:color="FFFFFF"/>
            </w:tcBorders>
            <w:shd w:val="clear" w:color="000000" w:fill="F2F2F2"/>
            <w:vAlign w:val="center"/>
            <w:hideMark/>
          </w:tcPr>
          <w:p w:rsidR="00020125" w:rsidRPr="00020125" w:rsidRDefault="00020125" w:rsidP="00020125">
            <w:pPr>
              <w:jc w:val="center"/>
              <w:rPr>
                <w:rFonts w:ascii="Calibri" w:hAnsi="Calibri" w:cs="Calibri"/>
                <w:color w:val="000000"/>
                <w:sz w:val="20"/>
                <w:szCs w:val="20"/>
              </w:rPr>
            </w:pPr>
            <w:r w:rsidRPr="00020125">
              <w:rPr>
                <w:rFonts w:ascii="Calibri" w:hAnsi="Calibri" w:cs="Calibri"/>
                <w:color w:val="000000"/>
                <w:sz w:val="20"/>
                <w:szCs w:val="20"/>
              </w:rPr>
              <w:t>Industry Practice</w:t>
            </w:r>
          </w:p>
        </w:tc>
        <w:tc>
          <w:tcPr>
            <w:tcW w:w="1440" w:type="dxa"/>
            <w:tcBorders>
              <w:top w:val="nil"/>
              <w:left w:val="nil"/>
              <w:bottom w:val="single" w:sz="12" w:space="0" w:color="FFFFFF"/>
              <w:right w:val="nil"/>
            </w:tcBorders>
            <w:shd w:val="clear" w:color="000000" w:fill="F2F2F2"/>
            <w:vAlign w:val="center"/>
            <w:hideMark/>
          </w:tcPr>
          <w:p w:rsidR="00020125" w:rsidRPr="00020125" w:rsidRDefault="00020125" w:rsidP="00020125">
            <w:pPr>
              <w:jc w:val="center"/>
              <w:rPr>
                <w:rFonts w:ascii="Calibri" w:hAnsi="Calibri" w:cs="Calibri"/>
                <w:color w:val="000000"/>
                <w:sz w:val="20"/>
                <w:szCs w:val="20"/>
              </w:rPr>
            </w:pPr>
            <w:r w:rsidRPr="00020125">
              <w:rPr>
                <w:rFonts w:ascii="Calibri" w:hAnsi="Calibri" w:cs="Calibri"/>
                <w:color w:val="000000"/>
                <w:sz w:val="20"/>
                <w:szCs w:val="20"/>
              </w:rPr>
              <w:t xml:space="preserve"> $              1.59 </w:t>
            </w:r>
          </w:p>
        </w:tc>
        <w:tc>
          <w:tcPr>
            <w:tcW w:w="1620" w:type="dxa"/>
            <w:tcBorders>
              <w:top w:val="nil"/>
              <w:left w:val="nil"/>
              <w:bottom w:val="single" w:sz="12" w:space="0" w:color="FFFFFF"/>
              <w:right w:val="nil"/>
            </w:tcBorders>
            <w:shd w:val="clear" w:color="000000" w:fill="F2F2F2"/>
            <w:vAlign w:val="center"/>
            <w:hideMark/>
          </w:tcPr>
          <w:p w:rsidR="00020125" w:rsidRPr="00020125" w:rsidRDefault="00020125" w:rsidP="00020125">
            <w:pPr>
              <w:jc w:val="center"/>
              <w:rPr>
                <w:rFonts w:ascii="Calibri" w:hAnsi="Calibri" w:cs="Calibri"/>
                <w:color w:val="000000"/>
                <w:sz w:val="20"/>
                <w:szCs w:val="20"/>
              </w:rPr>
            </w:pPr>
            <w:r w:rsidRPr="00020125">
              <w:rPr>
                <w:rFonts w:ascii="Calibri" w:hAnsi="Calibri" w:cs="Calibri"/>
                <w:color w:val="000000"/>
                <w:sz w:val="20"/>
                <w:szCs w:val="20"/>
              </w:rPr>
              <w:t xml:space="preserve"> $              5.10 </w:t>
            </w:r>
          </w:p>
        </w:tc>
        <w:tc>
          <w:tcPr>
            <w:tcW w:w="1440" w:type="dxa"/>
            <w:tcBorders>
              <w:top w:val="nil"/>
              <w:left w:val="nil"/>
              <w:bottom w:val="single" w:sz="12" w:space="0" w:color="FFFFFF"/>
              <w:right w:val="nil"/>
            </w:tcBorders>
            <w:shd w:val="clear" w:color="000000" w:fill="F2F2F2"/>
            <w:vAlign w:val="center"/>
            <w:hideMark/>
          </w:tcPr>
          <w:p w:rsidR="00020125" w:rsidRPr="00020125" w:rsidRDefault="00020125" w:rsidP="00020125">
            <w:pPr>
              <w:jc w:val="center"/>
              <w:rPr>
                <w:rFonts w:ascii="Calibri" w:hAnsi="Calibri" w:cs="Calibri"/>
                <w:color w:val="000000"/>
                <w:sz w:val="20"/>
                <w:szCs w:val="20"/>
              </w:rPr>
            </w:pPr>
            <w:r w:rsidRPr="00020125">
              <w:rPr>
                <w:rFonts w:ascii="Calibri" w:hAnsi="Calibri" w:cs="Calibri"/>
                <w:color w:val="000000"/>
                <w:sz w:val="20"/>
                <w:szCs w:val="20"/>
              </w:rPr>
              <w:t xml:space="preserve"> $                  -   </w:t>
            </w:r>
          </w:p>
        </w:tc>
        <w:tc>
          <w:tcPr>
            <w:tcW w:w="990" w:type="dxa"/>
            <w:tcBorders>
              <w:top w:val="nil"/>
              <w:left w:val="nil"/>
              <w:bottom w:val="single" w:sz="12" w:space="0" w:color="FFFFFF"/>
              <w:right w:val="nil"/>
            </w:tcBorders>
            <w:shd w:val="clear" w:color="000000" w:fill="F2F2F2"/>
            <w:vAlign w:val="center"/>
            <w:hideMark/>
          </w:tcPr>
          <w:p w:rsidR="00020125" w:rsidRPr="00020125" w:rsidRDefault="00020125" w:rsidP="00020125">
            <w:pPr>
              <w:jc w:val="center"/>
              <w:rPr>
                <w:rFonts w:ascii="Calibri" w:hAnsi="Calibri" w:cs="Calibri"/>
                <w:color w:val="000000"/>
                <w:sz w:val="20"/>
                <w:szCs w:val="20"/>
              </w:rPr>
            </w:pPr>
            <w:r w:rsidRPr="00020125">
              <w:rPr>
                <w:rFonts w:ascii="Calibri" w:hAnsi="Calibri" w:cs="Calibri"/>
                <w:color w:val="000000"/>
                <w:sz w:val="20"/>
                <w:szCs w:val="20"/>
              </w:rPr>
              <w:t xml:space="preserve"> $              6.69 </w:t>
            </w:r>
          </w:p>
        </w:tc>
      </w:tr>
    </w:tbl>
    <w:p w:rsidR="00020125" w:rsidRPr="00993BD6" w:rsidRDefault="00020125" w:rsidP="00020125">
      <w:pPr>
        <w:rPr>
          <w:i/>
        </w:rPr>
      </w:pPr>
    </w:p>
    <w:p w:rsidR="00020125" w:rsidRPr="00993BD6" w:rsidRDefault="00020125" w:rsidP="00020125">
      <w:pPr>
        <w:rPr>
          <w:rFonts w:ascii="Arial" w:hAnsi="Arial" w:cs="Arial"/>
          <w:i/>
          <w:sz w:val="20"/>
          <w:szCs w:val="20"/>
        </w:rPr>
      </w:pPr>
      <w:r w:rsidRPr="00993BD6">
        <w:rPr>
          <w:rFonts w:ascii="Arial" w:hAnsi="Arial" w:cs="Arial"/>
          <w:i/>
          <w:sz w:val="20"/>
          <w:szCs w:val="20"/>
        </w:rPr>
        <w:t>All costs are noted as $ per measure unit</w:t>
      </w:r>
    </w:p>
    <w:p w:rsidR="00020125" w:rsidRPr="00993BD6" w:rsidRDefault="00020125" w:rsidP="00020125">
      <w:pPr>
        <w:rPr>
          <w:i/>
        </w:rPr>
      </w:pPr>
    </w:p>
    <w:p w:rsidR="00020125" w:rsidRPr="002F18FF" w:rsidRDefault="00020125" w:rsidP="00020125">
      <w:r>
        <w:t xml:space="preserve">Costs were calculated from information from industry sources.  It is assumed that the majority of units serviced will be 6 tons or under. Costs were provided for the most common models by field service technicians, using pricing per </w:t>
      </w:r>
      <w:hyperlink r:id="rId21" w:history="1">
        <w:r w:rsidRPr="00EB543D">
          <w:rPr>
            <w:rStyle w:val="Hyperlink"/>
            <w:rFonts w:ascii="Arial" w:hAnsi="Arial" w:cs="Arial"/>
            <w:sz w:val="20"/>
            <w:szCs w:val="20"/>
          </w:rPr>
          <w:t>http://aaa-electric.net/</w:t>
        </w:r>
      </w:hyperlink>
      <w:r>
        <w:t>.</w:t>
      </w:r>
    </w:p>
    <w:p w:rsidR="00020125" w:rsidRPr="00993BD6" w:rsidRDefault="00020125" w:rsidP="00020125">
      <w:r>
        <w:rPr>
          <w:rFonts w:ascii="Arial" w:hAnsi="Arial" w:cs="Arial"/>
          <w:sz w:val="20"/>
          <w:szCs w:val="20"/>
        </w:rPr>
        <w:t xml:space="preserve">  See </w:t>
      </w:r>
      <w:r>
        <w:rPr>
          <w:rFonts w:ascii="Arial" w:hAnsi="Arial" w:cs="Arial"/>
          <w:i/>
          <w:sz w:val="20"/>
          <w:szCs w:val="20"/>
        </w:rPr>
        <w:t>Notched and Regular Belt Price Comparison</w:t>
      </w:r>
      <w:r w:rsidRPr="00607127">
        <w:rPr>
          <w:rFonts w:ascii="Arial" w:hAnsi="Arial" w:cs="Arial"/>
          <w:sz w:val="20"/>
          <w:szCs w:val="20"/>
          <w:vertAlign w:val="superscript"/>
        </w:rPr>
        <w:fldChar w:fldCharType="begin"/>
      </w:r>
      <w:r w:rsidRPr="00607127">
        <w:rPr>
          <w:rFonts w:ascii="Arial" w:hAnsi="Arial" w:cs="Arial"/>
          <w:sz w:val="20"/>
          <w:szCs w:val="20"/>
          <w:vertAlign w:val="superscript"/>
        </w:rPr>
        <w:instrText xml:space="preserve"> REF _Ref327947472 \r \h </w:instrText>
      </w:r>
      <w:r>
        <w:rPr>
          <w:rFonts w:ascii="Arial" w:hAnsi="Arial" w:cs="Arial"/>
          <w:sz w:val="20"/>
          <w:szCs w:val="20"/>
          <w:vertAlign w:val="superscript"/>
        </w:rPr>
        <w:instrText xml:space="preserve"> \* MERGEFORMAT </w:instrText>
      </w:r>
      <w:r w:rsidRPr="00607127">
        <w:rPr>
          <w:rFonts w:ascii="Arial" w:hAnsi="Arial" w:cs="Arial"/>
          <w:sz w:val="20"/>
          <w:szCs w:val="20"/>
          <w:vertAlign w:val="superscript"/>
        </w:rPr>
      </w:r>
      <w:r w:rsidRPr="00607127">
        <w:rPr>
          <w:rFonts w:ascii="Arial" w:hAnsi="Arial" w:cs="Arial"/>
          <w:sz w:val="20"/>
          <w:szCs w:val="20"/>
          <w:vertAlign w:val="superscript"/>
        </w:rPr>
        <w:fldChar w:fldCharType="separate"/>
      </w:r>
      <w:r w:rsidRPr="00607127">
        <w:rPr>
          <w:rFonts w:ascii="Arial" w:hAnsi="Arial" w:cs="Arial"/>
          <w:sz w:val="20"/>
          <w:szCs w:val="20"/>
          <w:vertAlign w:val="superscript"/>
        </w:rPr>
        <w:t>14</w:t>
      </w:r>
      <w:r w:rsidRPr="00607127">
        <w:rPr>
          <w:rFonts w:ascii="Arial" w:hAnsi="Arial" w:cs="Arial"/>
          <w:sz w:val="20"/>
          <w:szCs w:val="20"/>
          <w:vertAlign w:val="superscript"/>
        </w:rPr>
        <w:fldChar w:fldCharType="end"/>
      </w:r>
      <w:r>
        <w:rPr>
          <w:rFonts w:ascii="Arial" w:hAnsi="Arial" w:cs="Arial"/>
          <w:sz w:val="20"/>
          <w:szCs w:val="20"/>
        </w:rPr>
        <w:t xml:space="preserve"> for details.</w:t>
      </w:r>
    </w:p>
    <w:p w:rsidR="007E0DE8" w:rsidRDefault="007E0DE8">
      <w:pPr>
        <w:spacing w:after="200" w:line="276" w:lineRule="auto"/>
        <w:rPr>
          <w:rFonts w:ascii="Arial Narrow" w:hAnsi="Arial Narrow" w:cs="Arial"/>
          <w:b/>
          <w:bCs/>
          <w:iCs/>
          <w:smallCaps/>
          <w:sz w:val="28"/>
          <w:szCs w:val="28"/>
        </w:rPr>
      </w:pPr>
      <w:bookmarkStart w:id="34" w:name="_Toc304800219"/>
      <w:bookmarkStart w:id="35" w:name="_Toc327950093"/>
      <w:r>
        <w:br w:type="page"/>
      </w:r>
    </w:p>
    <w:p w:rsidR="00020125" w:rsidRPr="00993BD6" w:rsidRDefault="00020125" w:rsidP="00020125">
      <w:pPr>
        <w:pStyle w:val="Heading2"/>
      </w:pPr>
      <w:r w:rsidRPr="00993BD6">
        <w:lastRenderedPageBreak/>
        <w:t>4.2 Measure Case Costs</w:t>
      </w:r>
      <w:bookmarkEnd w:id="34"/>
      <w:bookmarkEnd w:id="35"/>
      <w:r w:rsidRPr="00993BD6">
        <w:t xml:space="preserve"> </w:t>
      </w:r>
    </w:p>
    <w:p w:rsidR="00020125" w:rsidRPr="00993BD6" w:rsidRDefault="00020125" w:rsidP="00577838">
      <w:r w:rsidRPr="00993BD6">
        <w:t xml:space="preserve">The following Transaction </w:t>
      </w:r>
      <w:r>
        <w:t>type is</w:t>
      </w:r>
      <w:r w:rsidRPr="00993BD6">
        <w:t xml:space="preserve"> appropriate to </w:t>
      </w:r>
      <w:r>
        <w:t>this measure.</w:t>
      </w:r>
      <w:r w:rsidRPr="00993BD6">
        <w:t xml:space="preserve"> The Measure Case Costs are:</w:t>
      </w:r>
    </w:p>
    <w:tbl>
      <w:tblPr>
        <w:tblW w:w="8925" w:type="dxa"/>
        <w:tblInd w:w="93" w:type="dxa"/>
        <w:tblLayout w:type="fixed"/>
        <w:tblLook w:val="04A0" w:firstRow="1" w:lastRow="0" w:firstColumn="1" w:lastColumn="0" w:noHBand="0" w:noVBand="1"/>
      </w:tblPr>
      <w:tblGrid>
        <w:gridCol w:w="1005"/>
        <w:gridCol w:w="1260"/>
        <w:gridCol w:w="1170"/>
        <w:gridCol w:w="1440"/>
        <w:gridCol w:w="1620"/>
        <w:gridCol w:w="1440"/>
        <w:gridCol w:w="990"/>
      </w:tblGrid>
      <w:tr w:rsidR="00577838" w:rsidRPr="00020125" w:rsidTr="00757000">
        <w:trPr>
          <w:trHeight w:val="525"/>
        </w:trPr>
        <w:tc>
          <w:tcPr>
            <w:tcW w:w="1005" w:type="dxa"/>
            <w:tcBorders>
              <w:top w:val="nil"/>
              <w:left w:val="nil"/>
              <w:bottom w:val="single" w:sz="12" w:space="0" w:color="FFFFFF"/>
              <w:right w:val="single" w:sz="12" w:space="0" w:color="FFFFFF"/>
            </w:tcBorders>
            <w:shd w:val="clear" w:color="000000" w:fill="BFBFBF"/>
            <w:vAlign w:val="center"/>
            <w:hideMark/>
          </w:tcPr>
          <w:p w:rsidR="00577838" w:rsidRPr="00020125" w:rsidRDefault="00577838" w:rsidP="00757000">
            <w:pPr>
              <w:jc w:val="center"/>
              <w:rPr>
                <w:rFonts w:ascii="Calibri" w:hAnsi="Calibri" w:cs="Calibri"/>
                <w:b/>
                <w:bCs/>
                <w:color w:val="000000"/>
                <w:sz w:val="20"/>
                <w:szCs w:val="20"/>
              </w:rPr>
            </w:pPr>
            <w:r w:rsidRPr="00020125">
              <w:rPr>
                <w:rFonts w:ascii="Calibri" w:hAnsi="Calibri" w:cs="Calibri"/>
                <w:b/>
                <w:bCs/>
                <w:color w:val="000000"/>
                <w:sz w:val="20"/>
                <w:szCs w:val="20"/>
              </w:rPr>
              <w:t>Measure Code</w:t>
            </w:r>
          </w:p>
        </w:tc>
        <w:tc>
          <w:tcPr>
            <w:tcW w:w="1260" w:type="dxa"/>
            <w:tcBorders>
              <w:top w:val="nil"/>
              <w:left w:val="nil"/>
              <w:bottom w:val="single" w:sz="12" w:space="0" w:color="FFFFFF"/>
              <w:right w:val="single" w:sz="12" w:space="0" w:color="FFFFFF"/>
            </w:tcBorders>
            <w:shd w:val="clear" w:color="000000" w:fill="BFBFBF"/>
            <w:vAlign w:val="center"/>
            <w:hideMark/>
          </w:tcPr>
          <w:p w:rsidR="00577838" w:rsidRPr="00020125" w:rsidRDefault="00577838" w:rsidP="00757000">
            <w:pPr>
              <w:jc w:val="center"/>
              <w:rPr>
                <w:rFonts w:ascii="Calibri" w:hAnsi="Calibri" w:cs="Calibri"/>
                <w:b/>
                <w:bCs/>
                <w:color w:val="000000"/>
                <w:sz w:val="20"/>
                <w:szCs w:val="20"/>
              </w:rPr>
            </w:pPr>
            <w:r w:rsidRPr="00020125">
              <w:rPr>
                <w:rFonts w:ascii="Calibri" w:hAnsi="Calibri" w:cs="Calibri"/>
                <w:b/>
                <w:bCs/>
                <w:color w:val="000000"/>
                <w:sz w:val="20"/>
                <w:szCs w:val="20"/>
              </w:rPr>
              <w:t>Transaction</w:t>
            </w:r>
          </w:p>
        </w:tc>
        <w:tc>
          <w:tcPr>
            <w:tcW w:w="1170" w:type="dxa"/>
            <w:tcBorders>
              <w:top w:val="nil"/>
              <w:left w:val="nil"/>
              <w:bottom w:val="single" w:sz="12" w:space="0" w:color="FFFFFF"/>
              <w:right w:val="single" w:sz="12" w:space="0" w:color="FFFFFF"/>
            </w:tcBorders>
            <w:shd w:val="clear" w:color="000000" w:fill="BFBFBF"/>
            <w:vAlign w:val="center"/>
            <w:hideMark/>
          </w:tcPr>
          <w:p w:rsidR="00577838" w:rsidRPr="00020125" w:rsidRDefault="00577838" w:rsidP="00757000">
            <w:pPr>
              <w:jc w:val="center"/>
              <w:rPr>
                <w:rFonts w:ascii="Calibri" w:hAnsi="Calibri" w:cs="Calibri"/>
                <w:b/>
                <w:bCs/>
                <w:color w:val="000000"/>
                <w:sz w:val="20"/>
                <w:szCs w:val="20"/>
              </w:rPr>
            </w:pPr>
            <w:r w:rsidRPr="00020125">
              <w:rPr>
                <w:rFonts w:ascii="Calibri" w:hAnsi="Calibri" w:cs="Calibri"/>
                <w:b/>
                <w:bCs/>
                <w:color w:val="000000"/>
                <w:sz w:val="20"/>
                <w:szCs w:val="20"/>
              </w:rPr>
              <w:t>Baseline</w:t>
            </w:r>
          </w:p>
        </w:tc>
        <w:tc>
          <w:tcPr>
            <w:tcW w:w="1440" w:type="dxa"/>
            <w:tcBorders>
              <w:top w:val="nil"/>
              <w:left w:val="nil"/>
              <w:bottom w:val="single" w:sz="12" w:space="0" w:color="FFFFFF"/>
              <w:right w:val="single" w:sz="12" w:space="0" w:color="FFFFFF"/>
            </w:tcBorders>
            <w:shd w:val="clear" w:color="000000" w:fill="BFBFBF"/>
            <w:vAlign w:val="center"/>
            <w:hideMark/>
          </w:tcPr>
          <w:p w:rsidR="00577838" w:rsidRPr="00020125" w:rsidRDefault="00577838" w:rsidP="00757000">
            <w:pPr>
              <w:jc w:val="center"/>
              <w:rPr>
                <w:rFonts w:ascii="Calibri" w:hAnsi="Calibri" w:cs="Calibri"/>
                <w:b/>
                <w:bCs/>
                <w:color w:val="000000"/>
                <w:sz w:val="20"/>
                <w:szCs w:val="20"/>
              </w:rPr>
            </w:pPr>
            <w:r w:rsidRPr="00020125">
              <w:rPr>
                <w:rFonts w:ascii="Calibri" w:hAnsi="Calibri" w:cs="Calibri"/>
                <w:b/>
                <w:bCs/>
                <w:color w:val="000000"/>
                <w:sz w:val="20"/>
                <w:szCs w:val="20"/>
              </w:rPr>
              <w:t>Equipment Cost</w:t>
            </w:r>
          </w:p>
        </w:tc>
        <w:tc>
          <w:tcPr>
            <w:tcW w:w="1620" w:type="dxa"/>
            <w:tcBorders>
              <w:top w:val="nil"/>
              <w:left w:val="nil"/>
              <w:bottom w:val="single" w:sz="12" w:space="0" w:color="FFFFFF"/>
              <w:right w:val="single" w:sz="12" w:space="0" w:color="FFFFFF"/>
            </w:tcBorders>
            <w:shd w:val="clear" w:color="000000" w:fill="BFBFBF"/>
            <w:vAlign w:val="center"/>
            <w:hideMark/>
          </w:tcPr>
          <w:p w:rsidR="00577838" w:rsidRPr="00020125" w:rsidRDefault="00577838" w:rsidP="00757000">
            <w:pPr>
              <w:jc w:val="center"/>
              <w:rPr>
                <w:rFonts w:ascii="Calibri" w:hAnsi="Calibri" w:cs="Calibri"/>
                <w:b/>
                <w:bCs/>
                <w:color w:val="000000"/>
                <w:sz w:val="20"/>
                <w:szCs w:val="20"/>
              </w:rPr>
            </w:pPr>
            <w:r w:rsidRPr="00020125">
              <w:rPr>
                <w:rFonts w:ascii="Calibri" w:hAnsi="Calibri" w:cs="Calibri"/>
                <w:b/>
                <w:bCs/>
                <w:color w:val="000000"/>
                <w:sz w:val="20"/>
                <w:szCs w:val="20"/>
              </w:rPr>
              <w:t>Labor / Installation Cost</w:t>
            </w:r>
          </w:p>
        </w:tc>
        <w:tc>
          <w:tcPr>
            <w:tcW w:w="1440" w:type="dxa"/>
            <w:tcBorders>
              <w:top w:val="nil"/>
              <w:left w:val="nil"/>
              <w:bottom w:val="single" w:sz="12" w:space="0" w:color="FFFFFF"/>
              <w:right w:val="single" w:sz="12" w:space="0" w:color="FFFFFF"/>
            </w:tcBorders>
            <w:shd w:val="clear" w:color="000000" w:fill="BFBFBF"/>
            <w:vAlign w:val="center"/>
            <w:hideMark/>
          </w:tcPr>
          <w:p w:rsidR="00577838" w:rsidRPr="00020125" w:rsidRDefault="00577838" w:rsidP="00757000">
            <w:pPr>
              <w:jc w:val="center"/>
              <w:rPr>
                <w:rFonts w:ascii="Calibri" w:hAnsi="Calibri" w:cs="Calibri"/>
                <w:b/>
                <w:bCs/>
                <w:color w:val="000000"/>
                <w:sz w:val="20"/>
                <w:szCs w:val="20"/>
              </w:rPr>
            </w:pPr>
            <w:r w:rsidRPr="00020125">
              <w:rPr>
                <w:rFonts w:ascii="Calibri" w:hAnsi="Calibri" w:cs="Calibri"/>
                <w:b/>
                <w:bCs/>
                <w:color w:val="000000"/>
                <w:sz w:val="20"/>
                <w:szCs w:val="20"/>
              </w:rPr>
              <w:t>Maintenance / Other Cost</w:t>
            </w:r>
          </w:p>
        </w:tc>
        <w:tc>
          <w:tcPr>
            <w:tcW w:w="990" w:type="dxa"/>
            <w:tcBorders>
              <w:top w:val="nil"/>
              <w:left w:val="nil"/>
              <w:bottom w:val="single" w:sz="12" w:space="0" w:color="FFFFFF"/>
              <w:right w:val="single" w:sz="12" w:space="0" w:color="FFFFFF"/>
            </w:tcBorders>
            <w:shd w:val="clear" w:color="000000" w:fill="BFBFBF"/>
            <w:vAlign w:val="center"/>
            <w:hideMark/>
          </w:tcPr>
          <w:p w:rsidR="00577838" w:rsidRPr="00020125" w:rsidRDefault="00577838" w:rsidP="00757000">
            <w:pPr>
              <w:jc w:val="center"/>
              <w:rPr>
                <w:rFonts w:ascii="Calibri" w:hAnsi="Calibri" w:cs="Calibri"/>
                <w:b/>
                <w:bCs/>
                <w:color w:val="000000"/>
                <w:sz w:val="20"/>
                <w:szCs w:val="20"/>
              </w:rPr>
            </w:pPr>
            <w:r w:rsidRPr="00020125">
              <w:rPr>
                <w:rFonts w:ascii="Calibri" w:hAnsi="Calibri" w:cs="Calibri"/>
                <w:b/>
                <w:bCs/>
                <w:color w:val="000000"/>
                <w:sz w:val="20"/>
                <w:szCs w:val="20"/>
              </w:rPr>
              <w:t>Total Base Case Cost</w:t>
            </w:r>
          </w:p>
        </w:tc>
      </w:tr>
      <w:tr w:rsidR="00577838" w:rsidRPr="00020125" w:rsidTr="00757000">
        <w:trPr>
          <w:trHeight w:val="330"/>
        </w:trPr>
        <w:tc>
          <w:tcPr>
            <w:tcW w:w="1005" w:type="dxa"/>
            <w:tcBorders>
              <w:top w:val="nil"/>
              <w:left w:val="nil"/>
              <w:bottom w:val="single" w:sz="12" w:space="0" w:color="FFFFFF"/>
              <w:right w:val="single" w:sz="12" w:space="0" w:color="FFFFFF"/>
            </w:tcBorders>
            <w:shd w:val="clear" w:color="000000" w:fill="F2F2F2"/>
            <w:vAlign w:val="center"/>
            <w:hideMark/>
          </w:tcPr>
          <w:p w:rsidR="00577838" w:rsidRPr="00020125" w:rsidRDefault="00577838" w:rsidP="00757000">
            <w:pPr>
              <w:jc w:val="center"/>
              <w:rPr>
                <w:rFonts w:ascii="Calibri" w:hAnsi="Calibri" w:cs="Calibri"/>
                <w:color w:val="000000"/>
                <w:sz w:val="20"/>
                <w:szCs w:val="20"/>
              </w:rPr>
            </w:pPr>
            <w:r w:rsidRPr="00020125">
              <w:rPr>
                <w:rFonts w:ascii="Calibri" w:hAnsi="Calibri" w:cs="Calibri"/>
                <w:color w:val="000000"/>
                <w:sz w:val="20"/>
                <w:szCs w:val="20"/>
              </w:rPr>
              <w:t> </w:t>
            </w:r>
          </w:p>
        </w:tc>
        <w:tc>
          <w:tcPr>
            <w:tcW w:w="1260" w:type="dxa"/>
            <w:tcBorders>
              <w:top w:val="nil"/>
              <w:left w:val="nil"/>
              <w:bottom w:val="single" w:sz="12" w:space="0" w:color="FFFFFF"/>
              <w:right w:val="nil"/>
            </w:tcBorders>
            <w:shd w:val="clear" w:color="000000" w:fill="F2F2F2"/>
            <w:vAlign w:val="center"/>
            <w:hideMark/>
          </w:tcPr>
          <w:p w:rsidR="00577838" w:rsidRPr="00020125" w:rsidRDefault="00577838" w:rsidP="00757000">
            <w:pPr>
              <w:jc w:val="center"/>
              <w:rPr>
                <w:rFonts w:ascii="Calibri" w:hAnsi="Calibri" w:cs="Calibri"/>
                <w:color w:val="000000"/>
                <w:sz w:val="20"/>
                <w:szCs w:val="20"/>
              </w:rPr>
            </w:pPr>
            <w:r w:rsidRPr="00020125">
              <w:rPr>
                <w:rFonts w:ascii="Calibri" w:hAnsi="Calibri" w:cs="Calibri"/>
                <w:color w:val="000000"/>
                <w:sz w:val="20"/>
                <w:szCs w:val="20"/>
              </w:rPr>
              <w:t>ROB</w:t>
            </w:r>
          </w:p>
        </w:tc>
        <w:tc>
          <w:tcPr>
            <w:tcW w:w="1170" w:type="dxa"/>
            <w:tcBorders>
              <w:top w:val="nil"/>
              <w:left w:val="nil"/>
              <w:bottom w:val="single" w:sz="12" w:space="0" w:color="FFFFFF"/>
              <w:right w:val="single" w:sz="12" w:space="0" w:color="FFFFFF"/>
            </w:tcBorders>
            <w:shd w:val="clear" w:color="000000" w:fill="F2F2F2"/>
            <w:vAlign w:val="center"/>
            <w:hideMark/>
          </w:tcPr>
          <w:p w:rsidR="00577838" w:rsidRPr="00020125" w:rsidRDefault="00577838" w:rsidP="00757000">
            <w:pPr>
              <w:jc w:val="center"/>
              <w:rPr>
                <w:rFonts w:ascii="Calibri" w:hAnsi="Calibri" w:cs="Calibri"/>
                <w:color w:val="000000"/>
                <w:sz w:val="20"/>
                <w:szCs w:val="20"/>
              </w:rPr>
            </w:pPr>
            <w:r w:rsidRPr="00020125">
              <w:rPr>
                <w:rFonts w:ascii="Calibri" w:hAnsi="Calibri" w:cs="Calibri"/>
                <w:color w:val="000000"/>
                <w:sz w:val="20"/>
                <w:szCs w:val="20"/>
              </w:rPr>
              <w:t>Industry Practice</w:t>
            </w:r>
          </w:p>
        </w:tc>
        <w:tc>
          <w:tcPr>
            <w:tcW w:w="1440" w:type="dxa"/>
            <w:tcBorders>
              <w:top w:val="nil"/>
              <w:left w:val="nil"/>
              <w:bottom w:val="single" w:sz="12" w:space="0" w:color="FFFFFF"/>
              <w:right w:val="nil"/>
            </w:tcBorders>
            <w:shd w:val="clear" w:color="000000" w:fill="F2F2F2"/>
            <w:vAlign w:val="center"/>
            <w:hideMark/>
          </w:tcPr>
          <w:p w:rsidR="00577838" w:rsidRPr="00020125" w:rsidRDefault="00577838" w:rsidP="00757000">
            <w:pPr>
              <w:jc w:val="center"/>
              <w:rPr>
                <w:rFonts w:ascii="Calibri" w:hAnsi="Calibri" w:cs="Calibri"/>
                <w:color w:val="000000"/>
                <w:sz w:val="20"/>
                <w:szCs w:val="20"/>
              </w:rPr>
            </w:pPr>
            <w:r>
              <w:rPr>
                <w:rFonts w:ascii="Calibri" w:hAnsi="Calibri" w:cs="Calibri"/>
                <w:color w:val="000000"/>
                <w:sz w:val="20"/>
                <w:szCs w:val="20"/>
              </w:rPr>
              <w:t xml:space="preserve"> $              1.98</w:t>
            </w:r>
            <w:r w:rsidRPr="00020125">
              <w:rPr>
                <w:rFonts w:ascii="Calibri" w:hAnsi="Calibri" w:cs="Calibri"/>
                <w:color w:val="000000"/>
                <w:sz w:val="20"/>
                <w:szCs w:val="20"/>
              </w:rPr>
              <w:t xml:space="preserve"> </w:t>
            </w:r>
          </w:p>
        </w:tc>
        <w:tc>
          <w:tcPr>
            <w:tcW w:w="1620" w:type="dxa"/>
            <w:tcBorders>
              <w:top w:val="nil"/>
              <w:left w:val="nil"/>
              <w:bottom w:val="single" w:sz="12" w:space="0" w:color="FFFFFF"/>
              <w:right w:val="nil"/>
            </w:tcBorders>
            <w:shd w:val="clear" w:color="000000" w:fill="F2F2F2"/>
            <w:vAlign w:val="center"/>
            <w:hideMark/>
          </w:tcPr>
          <w:p w:rsidR="00577838" w:rsidRPr="00020125" w:rsidRDefault="00577838" w:rsidP="00757000">
            <w:pPr>
              <w:jc w:val="center"/>
              <w:rPr>
                <w:rFonts w:ascii="Calibri" w:hAnsi="Calibri" w:cs="Calibri"/>
                <w:color w:val="000000"/>
                <w:sz w:val="20"/>
                <w:szCs w:val="20"/>
              </w:rPr>
            </w:pPr>
            <w:r w:rsidRPr="00020125">
              <w:rPr>
                <w:rFonts w:ascii="Calibri" w:hAnsi="Calibri" w:cs="Calibri"/>
                <w:color w:val="000000"/>
                <w:sz w:val="20"/>
                <w:szCs w:val="20"/>
              </w:rPr>
              <w:t xml:space="preserve"> $              5.10 </w:t>
            </w:r>
          </w:p>
        </w:tc>
        <w:tc>
          <w:tcPr>
            <w:tcW w:w="1440" w:type="dxa"/>
            <w:tcBorders>
              <w:top w:val="nil"/>
              <w:left w:val="nil"/>
              <w:bottom w:val="single" w:sz="12" w:space="0" w:color="FFFFFF"/>
              <w:right w:val="nil"/>
            </w:tcBorders>
            <w:shd w:val="clear" w:color="000000" w:fill="F2F2F2"/>
            <w:vAlign w:val="center"/>
            <w:hideMark/>
          </w:tcPr>
          <w:p w:rsidR="00577838" w:rsidRPr="00020125" w:rsidRDefault="00577838" w:rsidP="00757000">
            <w:pPr>
              <w:jc w:val="center"/>
              <w:rPr>
                <w:rFonts w:ascii="Calibri" w:hAnsi="Calibri" w:cs="Calibri"/>
                <w:color w:val="000000"/>
                <w:sz w:val="20"/>
                <w:szCs w:val="20"/>
              </w:rPr>
            </w:pPr>
            <w:r w:rsidRPr="00020125">
              <w:rPr>
                <w:rFonts w:ascii="Calibri" w:hAnsi="Calibri" w:cs="Calibri"/>
                <w:color w:val="000000"/>
                <w:sz w:val="20"/>
                <w:szCs w:val="20"/>
              </w:rPr>
              <w:t xml:space="preserve"> $                  -   </w:t>
            </w:r>
          </w:p>
        </w:tc>
        <w:tc>
          <w:tcPr>
            <w:tcW w:w="990" w:type="dxa"/>
            <w:tcBorders>
              <w:top w:val="nil"/>
              <w:left w:val="nil"/>
              <w:bottom w:val="single" w:sz="12" w:space="0" w:color="FFFFFF"/>
              <w:right w:val="nil"/>
            </w:tcBorders>
            <w:shd w:val="clear" w:color="000000" w:fill="F2F2F2"/>
            <w:vAlign w:val="center"/>
            <w:hideMark/>
          </w:tcPr>
          <w:p w:rsidR="00577838" w:rsidRPr="00020125" w:rsidRDefault="00577838" w:rsidP="00757000">
            <w:pPr>
              <w:jc w:val="center"/>
              <w:rPr>
                <w:rFonts w:ascii="Calibri" w:hAnsi="Calibri" w:cs="Calibri"/>
                <w:color w:val="000000"/>
                <w:sz w:val="20"/>
                <w:szCs w:val="20"/>
              </w:rPr>
            </w:pPr>
            <w:r>
              <w:rPr>
                <w:rFonts w:ascii="Calibri" w:hAnsi="Calibri" w:cs="Calibri"/>
                <w:color w:val="000000"/>
                <w:sz w:val="20"/>
                <w:szCs w:val="20"/>
              </w:rPr>
              <w:t xml:space="preserve"> $              7.08</w:t>
            </w:r>
            <w:r w:rsidRPr="00020125">
              <w:rPr>
                <w:rFonts w:ascii="Calibri" w:hAnsi="Calibri" w:cs="Calibri"/>
                <w:color w:val="000000"/>
                <w:sz w:val="20"/>
                <w:szCs w:val="20"/>
              </w:rPr>
              <w:t xml:space="preserve"> </w:t>
            </w:r>
          </w:p>
        </w:tc>
      </w:tr>
    </w:tbl>
    <w:p w:rsidR="00020125" w:rsidRPr="00993BD6" w:rsidRDefault="00020125" w:rsidP="00020125">
      <w:pPr>
        <w:rPr>
          <w:i/>
        </w:rPr>
      </w:pPr>
    </w:p>
    <w:p w:rsidR="00020125" w:rsidRPr="00993BD6" w:rsidRDefault="00020125" w:rsidP="00020125">
      <w:pPr>
        <w:rPr>
          <w:rFonts w:ascii="Arial" w:hAnsi="Arial" w:cs="Arial"/>
          <w:i/>
          <w:sz w:val="20"/>
          <w:szCs w:val="20"/>
        </w:rPr>
      </w:pPr>
      <w:r w:rsidRPr="00993BD6">
        <w:rPr>
          <w:rFonts w:ascii="Arial" w:hAnsi="Arial" w:cs="Arial"/>
          <w:i/>
          <w:sz w:val="20"/>
          <w:szCs w:val="20"/>
        </w:rPr>
        <w:t>All costs are noted as $ per measure unit</w:t>
      </w:r>
    </w:p>
    <w:p w:rsidR="00020125" w:rsidRPr="00993BD6" w:rsidRDefault="00020125" w:rsidP="00020125">
      <w:pPr>
        <w:rPr>
          <w:i/>
        </w:rPr>
      </w:pPr>
    </w:p>
    <w:p w:rsidR="00020125" w:rsidRPr="002F18FF" w:rsidRDefault="00020125" w:rsidP="00020125">
      <w:r>
        <w:rPr>
          <w:rFonts w:ascii="Arial" w:hAnsi="Arial" w:cs="Arial"/>
          <w:sz w:val="20"/>
          <w:szCs w:val="20"/>
        </w:rPr>
        <w:t xml:space="preserve">Costs were calculated from information from industry sources.  It is assumed that the majority of units serviced will be 6 tons or under. Costs were provided for the most common models by field service technicians, using pricing per </w:t>
      </w:r>
      <w:hyperlink r:id="rId22" w:history="1">
        <w:r w:rsidRPr="002F18FF">
          <w:rPr>
            <w:rStyle w:val="Hyperlink"/>
          </w:rPr>
          <w:t>http://aaa-electric.net/</w:t>
        </w:r>
      </w:hyperlink>
    </w:p>
    <w:p w:rsidR="00020125" w:rsidRPr="00993BD6" w:rsidRDefault="00020125" w:rsidP="00020125">
      <w:pPr>
        <w:rPr>
          <w:rFonts w:ascii="Arial" w:hAnsi="Arial" w:cs="Arial"/>
          <w:sz w:val="20"/>
          <w:szCs w:val="20"/>
        </w:rPr>
      </w:pPr>
      <w:r>
        <w:rPr>
          <w:rFonts w:ascii="Arial" w:hAnsi="Arial" w:cs="Arial"/>
          <w:sz w:val="20"/>
          <w:szCs w:val="20"/>
        </w:rPr>
        <w:t xml:space="preserve">.  See </w:t>
      </w:r>
      <w:r>
        <w:rPr>
          <w:rFonts w:ascii="Arial" w:hAnsi="Arial" w:cs="Arial"/>
          <w:i/>
          <w:sz w:val="20"/>
          <w:szCs w:val="20"/>
        </w:rPr>
        <w:t>Notched and Regular Belt Price Comparison</w:t>
      </w:r>
      <w:r w:rsidRPr="00607127">
        <w:rPr>
          <w:rFonts w:ascii="Arial" w:hAnsi="Arial" w:cs="Arial"/>
          <w:sz w:val="20"/>
          <w:szCs w:val="20"/>
          <w:vertAlign w:val="superscript"/>
        </w:rPr>
        <w:fldChar w:fldCharType="begin"/>
      </w:r>
      <w:r w:rsidRPr="00607127">
        <w:rPr>
          <w:rFonts w:ascii="Arial" w:hAnsi="Arial" w:cs="Arial"/>
          <w:sz w:val="20"/>
          <w:szCs w:val="20"/>
          <w:vertAlign w:val="superscript"/>
        </w:rPr>
        <w:instrText xml:space="preserve"> REF _Ref327947472 \r \h </w:instrText>
      </w:r>
      <w:r>
        <w:rPr>
          <w:rFonts w:ascii="Arial" w:hAnsi="Arial" w:cs="Arial"/>
          <w:sz w:val="20"/>
          <w:szCs w:val="20"/>
          <w:vertAlign w:val="superscript"/>
        </w:rPr>
        <w:instrText xml:space="preserve"> \* MERGEFORMAT </w:instrText>
      </w:r>
      <w:r w:rsidRPr="00607127">
        <w:rPr>
          <w:rFonts w:ascii="Arial" w:hAnsi="Arial" w:cs="Arial"/>
          <w:sz w:val="20"/>
          <w:szCs w:val="20"/>
          <w:vertAlign w:val="superscript"/>
        </w:rPr>
      </w:r>
      <w:r w:rsidRPr="00607127">
        <w:rPr>
          <w:rFonts w:ascii="Arial" w:hAnsi="Arial" w:cs="Arial"/>
          <w:sz w:val="20"/>
          <w:szCs w:val="20"/>
          <w:vertAlign w:val="superscript"/>
        </w:rPr>
        <w:fldChar w:fldCharType="separate"/>
      </w:r>
      <w:r w:rsidRPr="00607127">
        <w:rPr>
          <w:rFonts w:ascii="Arial" w:hAnsi="Arial" w:cs="Arial"/>
          <w:sz w:val="20"/>
          <w:szCs w:val="20"/>
          <w:vertAlign w:val="superscript"/>
        </w:rPr>
        <w:t>14</w:t>
      </w:r>
      <w:r w:rsidRPr="00607127">
        <w:rPr>
          <w:rFonts w:ascii="Arial" w:hAnsi="Arial" w:cs="Arial"/>
          <w:sz w:val="20"/>
          <w:szCs w:val="20"/>
          <w:vertAlign w:val="superscript"/>
        </w:rPr>
        <w:fldChar w:fldCharType="end"/>
      </w:r>
      <w:r>
        <w:rPr>
          <w:rFonts w:ascii="Arial" w:hAnsi="Arial" w:cs="Arial"/>
          <w:sz w:val="20"/>
          <w:szCs w:val="20"/>
        </w:rPr>
        <w:t xml:space="preserve"> for details.</w:t>
      </w:r>
    </w:p>
    <w:p w:rsidR="00020125" w:rsidRPr="00993BD6" w:rsidRDefault="00020125" w:rsidP="00020125">
      <w:pPr>
        <w:rPr>
          <w:rFonts w:ascii="Arial" w:hAnsi="Arial" w:cs="Arial"/>
          <w:sz w:val="20"/>
          <w:szCs w:val="20"/>
        </w:rPr>
      </w:pPr>
    </w:p>
    <w:p w:rsidR="00020125" w:rsidRPr="00993BD6" w:rsidRDefault="00020125" w:rsidP="00020125">
      <w:pPr>
        <w:pStyle w:val="Heading2"/>
      </w:pPr>
      <w:bookmarkStart w:id="36" w:name="_Toc304800220"/>
      <w:bookmarkStart w:id="37" w:name="_Toc327950094"/>
      <w:r w:rsidRPr="00993BD6">
        <w:t>4.3 Incremental &amp; Full Measure Costs</w:t>
      </w:r>
      <w:bookmarkEnd w:id="36"/>
      <w:bookmarkEnd w:id="37"/>
    </w:p>
    <w:tbl>
      <w:tblPr>
        <w:tblW w:w="7215" w:type="dxa"/>
        <w:jc w:val="center"/>
        <w:tblInd w:w="93" w:type="dxa"/>
        <w:tblLook w:val="04A0" w:firstRow="1" w:lastRow="0" w:firstColumn="1" w:lastColumn="0" w:noHBand="0" w:noVBand="1"/>
      </w:tblPr>
      <w:tblGrid>
        <w:gridCol w:w="1523"/>
        <w:gridCol w:w="2272"/>
        <w:gridCol w:w="1800"/>
        <w:gridCol w:w="1620"/>
      </w:tblGrid>
      <w:tr w:rsidR="00577838" w:rsidRPr="00577838" w:rsidTr="00C84467">
        <w:trPr>
          <w:trHeight w:val="525"/>
          <w:jc w:val="center"/>
        </w:trPr>
        <w:tc>
          <w:tcPr>
            <w:tcW w:w="1523" w:type="dxa"/>
            <w:tcBorders>
              <w:top w:val="nil"/>
              <w:left w:val="nil"/>
              <w:bottom w:val="single" w:sz="12" w:space="0" w:color="FFFFFF"/>
              <w:right w:val="single" w:sz="12" w:space="0" w:color="FFFFFF"/>
            </w:tcBorders>
            <w:shd w:val="clear" w:color="000000" w:fill="BFBFBF"/>
            <w:vAlign w:val="center"/>
            <w:hideMark/>
          </w:tcPr>
          <w:p w:rsidR="00577838" w:rsidRPr="00577838" w:rsidRDefault="00577838" w:rsidP="00577838">
            <w:pPr>
              <w:jc w:val="center"/>
              <w:rPr>
                <w:rFonts w:ascii="Calibri" w:hAnsi="Calibri" w:cs="Calibri"/>
                <w:b/>
                <w:bCs/>
                <w:color w:val="000000"/>
                <w:sz w:val="20"/>
                <w:szCs w:val="20"/>
              </w:rPr>
            </w:pPr>
            <w:r w:rsidRPr="00577838">
              <w:rPr>
                <w:rFonts w:ascii="Calibri" w:hAnsi="Calibri" w:cs="Calibri"/>
                <w:b/>
                <w:bCs/>
                <w:color w:val="000000"/>
                <w:sz w:val="20"/>
                <w:szCs w:val="20"/>
              </w:rPr>
              <w:t>Install/Program  Type</w:t>
            </w:r>
          </w:p>
        </w:tc>
        <w:tc>
          <w:tcPr>
            <w:tcW w:w="2272" w:type="dxa"/>
            <w:tcBorders>
              <w:top w:val="nil"/>
              <w:left w:val="nil"/>
              <w:bottom w:val="single" w:sz="12" w:space="0" w:color="FFFFFF"/>
              <w:right w:val="single" w:sz="12" w:space="0" w:color="FFFFFF"/>
            </w:tcBorders>
            <w:shd w:val="clear" w:color="000000" w:fill="BFBFBF"/>
            <w:vAlign w:val="center"/>
            <w:hideMark/>
          </w:tcPr>
          <w:p w:rsidR="00577838" w:rsidRPr="00577838" w:rsidRDefault="00577838" w:rsidP="00577838">
            <w:pPr>
              <w:jc w:val="center"/>
              <w:rPr>
                <w:rFonts w:ascii="Calibri" w:hAnsi="Calibri" w:cs="Calibri"/>
                <w:b/>
                <w:bCs/>
                <w:color w:val="000000"/>
                <w:sz w:val="20"/>
                <w:szCs w:val="20"/>
              </w:rPr>
            </w:pPr>
            <w:r w:rsidRPr="00577838">
              <w:rPr>
                <w:rFonts w:ascii="Calibri" w:hAnsi="Calibri" w:cs="Calibri"/>
                <w:b/>
                <w:bCs/>
                <w:color w:val="000000"/>
                <w:sz w:val="20"/>
                <w:szCs w:val="20"/>
              </w:rPr>
              <w:t>Gross Measure Cost</w:t>
            </w:r>
          </w:p>
        </w:tc>
        <w:tc>
          <w:tcPr>
            <w:tcW w:w="1800" w:type="dxa"/>
            <w:tcBorders>
              <w:top w:val="nil"/>
              <w:left w:val="nil"/>
              <w:bottom w:val="single" w:sz="12" w:space="0" w:color="FFFFFF"/>
              <w:right w:val="single" w:sz="12" w:space="0" w:color="FFFFFF"/>
            </w:tcBorders>
            <w:shd w:val="clear" w:color="000000" w:fill="BFBFBF"/>
            <w:vAlign w:val="center"/>
            <w:hideMark/>
          </w:tcPr>
          <w:p w:rsidR="00577838" w:rsidRPr="00577838" w:rsidRDefault="00577838" w:rsidP="00577838">
            <w:pPr>
              <w:jc w:val="center"/>
              <w:rPr>
                <w:rFonts w:ascii="Calibri" w:hAnsi="Calibri" w:cs="Calibri"/>
                <w:b/>
                <w:bCs/>
                <w:color w:val="000000"/>
                <w:sz w:val="20"/>
                <w:szCs w:val="20"/>
              </w:rPr>
            </w:pPr>
            <w:r w:rsidRPr="00577838">
              <w:rPr>
                <w:rFonts w:ascii="Calibri" w:hAnsi="Calibri" w:cs="Calibri"/>
                <w:b/>
                <w:bCs/>
                <w:color w:val="000000"/>
                <w:sz w:val="20"/>
                <w:szCs w:val="20"/>
              </w:rPr>
              <w:t>Gross Measure Cost</w:t>
            </w:r>
          </w:p>
        </w:tc>
        <w:tc>
          <w:tcPr>
            <w:tcW w:w="1620" w:type="dxa"/>
            <w:tcBorders>
              <w:top w:val="nil"/>
              <w:left w:val="nil"/>
              <w:bottom w:val="single" w:sz="12" w:space="0" w:color="FFFFFF"/>
              <w:right w:val="single" w:sz="12" w:space="0" w:color="FFFFFF"/>
            </w:tcBorders>
            <w:shd w:val="clear" w:color="000000" w:fill="BFBFBF"/>
            <w:vAlign w:val="center"/>
            <w:hideMark/>
          </w:tcPr>
          <w:p w:rsidR="00577838" w:rsidRPr="00577838" w:rsidRDefault="00577838" w:rsidP="00577838">
            <w:pPr>
              <w:jc w:val="center"/>
              <w:rPr>
                <w:rFonts w:ascii="Calibri" w:hAnsi="Calibri" w:cs="Calibri"/>
                <w:b/>
                <w:bCs/>
                <w:color w:val="000000"/>
                <w:sz w:val="20"/>
                <w:szCs w:val="20"/>
              </w:rPr>
            </w:pPr>
            <w:r w:rsidRPr="00577838">
              <w:rPr>
                <w:rFonts w:ascii="Calibri" w:hAnsi="Calibri" w:cs="Calibri"/>
                <w:b/>
                <w:bCs/>
                <w:color w:val="000000"/>
                <w:sz w:val="20"/>
                <w:szCs w:val="20"/>
              </w:rPr>
              <w:t>Incremental Measure Cost</w:t>
            </w:r>
          </w:p>
        </w:tc>
      </w:tr>
      <w:tr w:rsidR="00577838" w:rsidRPr="00577838" w:rsidTr="00C84467">
        <w:trPr>
          <w:trHeight w:val="825"/>
          <w:jc w:val="center"/>
        </w:trPr>
        <w:tc>
          <w:tcPr>
            <w:tcW w:w="1523" w:type="dxa"/>
            <w:tcBorders>
              <w:top w:val="nil"/>
              <w:left w:val="nil"/>
              <w:bottom w:val="single" w:sz="12" w:space="0" w:color="FFFFFF"/>
              <w:right w:val="single" w:sz="12" w:space="0" w:color="FFFFFF"/>
            </w:tcBorders>
            <w:shd w:val="clear" w:color="000000" w:fill="F2F2F2"/>
            <w:vAlign w:val="center"/>
            <w:hideMark/>
          </w:tcPr>
          <w:p w:rsidR="00577838" w:rsidRPr="00577838" w:rsidRDefault="00577838" w:rsidP="00577838">
            <w:pPr>
              <w:jc w:val="center"/>
              <w:rPr>
                <w:rFonts w:ascii="Calibri" w:hAnsi="Calibri" w:cs="Calibri"/>
                <w:color w:val="000000"/>
                <w:sz w:val="20"/>
                <w:szCs w:val="20"/>
              </w:rPr>
            </w:pPr>
            <w:r w:rsidRPr="00577838">
              <w:rPr>
                <w:rFonts w:ascii="Calibri" w:hAnsi="Calibri" w:cs="Calibri"/>
                <w:color w:val="000000"/>
                <w:sz w:val="20"/>
                <w:szCs w:val="20"/>
              </w:rPr>
              <w:t> </w:t>
            </w:r>
          </w:p>
        </w:tc>
        <w:tc>
          <w:tcPr>
            <w:tcW w:w="2272" w:type="dxa"/>
            <w:tcBorders>
              <w:top w:val="nil"/>
              <w:left w:val="nil"/>
              <w:bottom w:val="single" w:sz="12" w:space="0" w:color="FFFFFF"/>
              <w:right w:val="nil"/>
            </w:tcBorders>
            <w:shd w:val="clear" w:color="000000" w:fill="F2F2F2"/>
            <w:vAlign w:val="center"/>
            <w:hideMark/>
          </w:tcPr>
          <w:p w:rsidR="00577838" w:rsidRPr="00577838" w:rsidRDefault="00577838" w:rsidP="00577838">
            <w:pPr>
              <w:jc w:val="center"/>
              <w:rPr>
                <w:rFonts w:ascii="Calibri" w:hAnsi="Calibri" w:cs="Calibri"/>
                <w:color w:val="000000"/>
                <w:sz w:val="20"/>
                <w:szCs w:val="20"/>
              </w:rPr>
            </w:pPr>
            <w:r w:rsidRPr="00577838">
              <w:rPr>
                <w:rFonts w:ascii="Calibri" w:hAnsi="Calibri" w:cs="Calibri"/>
                <w:color w:val="000000"/>
                <w:sz w:val="20"/>
                <w:szCs w:val="20"/>
              </w:rPr>
              <w:t>(RUL Period/First Baseline)</w:t>
            </w:r>
          </w:p>
        </w:tc>
        <w:tc>
          <w:tcPr>
            <w:tcW w:w="1800" w:type="dxa"/>
            <w:tcBorders>
              <w:top w:val="nil"/>
              <w:left w:val="nil"/>
              <w:bottom w:val="single" w:sz="12" w:space="0" w:color="FFFFFF"/>
              <w:right w:val="single" w:sz="12" w:space="0" w:color="FFFFFF"/>
            </w:tcBorders>
            <w:shd w:val="clear" w:color="000000" w:fill="F2F2F2"/>
            <w:vAlign w:val="center"/>
            <w:hideMark/>
          </w:tcPr>
          <w:p w:rsidR="00577838" w:rsidRPr="00577838" w:rsidRDefault="00577838" w:rsidP="00577838">
            <w:pPr>
              <w:jc w:val="center"/>
              <w:rPr>
                <w:rFonts w:ascii="Calibri" w:hAnsi="Calibri" w:cs="Calibri"/>
                <w:color w:val="000000"/>
                <w:sz w:val="20"/>
                <w:szCs w:val="20"/>
              </w:rPr>
            </w:pPr>
            <w:r w:rsidRPr="00577838">
              <w:rPr>
                <w:rFonts w:ascii="Calibri" w:hAnsi="Calibri" w:cs="Calibri"/>
                <w:color w:val="000000"/>
                <w:sz w:val="20"/>
                <w:szCs w:val="20"/>
              </w:rPr>
              <w:t>(EUL-RUL Period/ Second Baseline)</w:t>
            </w:r>
          </w:p>
        </w:tc>
        <w:tc>
          <w:tcPr>
            <w:tcW w:w="1620" w:type="dxa"/>
            <w:tcBorders>
              <w:top w:val="nil"/>
              <w:left w:val="nil"/>
              <w:bottom w:val="single" w:sz="12" w:space="0" w:color="FFFFFF"/>
              <w:right w:val="nil"/>
            </w:tcBorders>
            <w:shd w:val="clear" w:color="000000" w:fill="F2F2F2"/>
            <w:vAlign w:val="center"/>
            <w:hideMark/>
          </w:tcPr>
          <w:p w:rsidR="00577838" w:rsidRPr="00577838" w:rsidRDefault="00577838" w:rsidP="00577838">
            <w:pPr>
              <w:jc w:val="center"/>
              <w:rPr>
                <w:rFonts w:ascii="Calibri" w:hAnsi="Calibri" w:cs="Calibri"/>
                <w:color w:val="000000"/>
                <w:sz w:val="20"/>
                <w:szCs w:val="20"/>
              </w:rPr>
            </w:pPr>
            <w:r w:rsidRPr="00577838">
              <w:rPr>
                <w:rFonts w:ascii="Calibri" w:hAnsi="Calibri" w:cs="Calibri"/>
                <w:color w:val="000000"/>
                <w:sz w:val="20"/>
                <w:szCs w:val="20"/>
              </w:rPr>
              <w:t> </w:t>
            </w:r>
          </w:p>
        </w:tc>
      </w:tr>
      <w:tr w:rsidR="00577838" w:rsidRPr="00577838" w:rsidTr="00C84467">
        <w:trPr>
          <w:trHeight w:val="1365"/>
          <w:jc w:val="center"/>
        </w:trPr>
        <w:tc>
          <w:tcPr>
            <w:tcW w:w="1523" w:type="dxa"/>
            <w:tcBorders>
              <w:top w:val="nil"/>
              <w:left w:val="nil"/>
              <w:bottom w:val="single" w:sz="12" w:space="0" w:color="FFFFFF"/>
              <w:right w:val="single" w:sz="12" w:space="0" w:color="FFFFFF"/>
            </w:tcBorders>
            <w:shd w:val="clear" w:color="000000" w:fill="BFBFBF"/>
            <w:vAlign w:val="center"/>
            <w:hideMark/>
          </w:tcPr>
          <w:p w:rsidR="00577838" w:rsidRPr="00577838" w:rsidRDefault="00577838" w:rsidP="00577838">
            <w:pPr>
              <w:jc w:val="center"/>
              <w:rPr>
                <w:rFonts w:ascii="Calibri" w:hAnsi="Calibri" w:cs="Calibri"/>
                <w:b/>
                <w:bCs/>
                <w:color w:val="000000"/>
                <w:sz w:val="20"/>
                <w:szCs w:val="20"/>
              </w:rPr>
            </w:pPr>
            <w:r w:rsidRPr="00577838">
              <w:rPr>
                <w:rFonts w:ascii="Calibri" w:hAnsi="Calibri" w:cs="Calibri"/>
                <w:b/>
                <w:bCs/>
                <w:color w:val="000000"/>
                <w:sz w:val="20"/>
                <w:szCs w:val="20"/>
              </w:rPr>
              <w:t>ROB</w:t>
            </w:r>
          </w:p>
        </w:tc>
        <w:tc>
          <w:tcPr>
            <w:tcW w:w="2272" w:type="dxa"/>
            <w:tcBorders>
              <w:top w:val="nil"/>
              <w:left w:val="nil"/>
              <w:bottom w:val="single" w:sz="12" w:space="0" w:color="FFFFFF"/>
              <w:right w:val="single" w:sz="12" w:space="0" w:color="FFFFFF"/>
            </w:tcBorders>
            <w:shd w:val="clear" w:color="000000" w:fill="BFBFBF"/>
            <w:vAlign w:val="center"/>
            <w:hideMark/>
          </w:tcPr>
          <w:p w:rsidR="00577838" w:rsidRPr="00577838" w:rsidRDefault="00577838" w:rsidP="00577838">
            <w:pPr>
              <w:jc w:val="center"/>
              <w:rPr>
                <w:rFonts w:ascii="Calibri" w:hAnsi="Calibri" w:cs="Calibri"/>
                <w:b/>
                <w:bCs/>
                <w:color w:val="000000"/>
                <w:sz w:val="20"/>
                <w:szCs w:val="20"/>
              </w:rPr>
            </w:pPr>
            <w:r w:rsidRPr="00577838">
              <w:rPr>
                <w:rFonts w:ascii="Calibri" w:hAnsi="Calibri" w:cs="Calibri"/>
                <w:b/>
                <w:bCs/>
                <w:color w:val="000000"/>
                <w:sz w:val="20"/>
                <w:szCs w:val="20"/>
              </w:rPr>
              <w:t>Measure Equipment Cost – Base Case Equipment Cost</w:t>
            </w:r>
          </w:p>
        </w:tc>
        <w:tc>
          <w:tcPr>
            <w:tcW w:w="1800" w:type="dxa"/>
            <w:tcBorders>
              <w:top w:val="nil"/>
              <w:left w:val="nil"/>
              <w:bottom w:val="single" w:sz="12" w:space="0" w:color="FFFFFF"/>
              <w:right w:val="single" w:sz="12" w:space="0" w:color="FFFFFF"/>
            </w:tcBorders>
            <w:shd w:val="clear" w:color="000000" w:fill="BFBFBF"/>
            <w:vAlign w:val="center"/>
            <w:hideMark/>
          </w:tcPr>
          <w:p w:rsidR="00577838" w:rsidRPr="00577838" w:rsidRDefault="00577838" w:rsidP="00577838">
            <w:pPr>
              <w:jc w:val="center"/>
              <w:rPr>
                <w:rFonts w:ascii="Calibri" w:hAnsi="Calibri" w:cs="Calibri"/>
                <w:b/>
                <w:bCs/>
                <w:color w:val="000000"/>
                <w:sz w:val="20"/>
                <w:szCs w:val="20"/>
              </w:rPr>
            </w:pPr>
            <w:r w:rsidRPr="00577838">
              <w:rPr>
                <w:rFonts w:ascii="Calibri" w:hAnsi="Calibri" w:cs="Calibri"/>
                <w:b/>
                <w:bCs/>
                <w:color w:val="000000"/>
                <w:sz w:val="20"/>
                <w:szCs w:val="20"/>
              </w:rPr>
              <w:t>N/A</w:t>
            </w:r>
          </w:p>
        </w:tc>
        <w:tc>
          <w:tcPr>
            <w:tcW w:w="1620" w:type="dxa"/>
            <w:tcBorders>
              <w:top w:val="nil"/>
              <w:left w:val="nil"/>
              <w:bottom w:val="single" w:sz="12" w:space="0" w:color="FFFFFF"/>
              <w:right w:val="single" w:sz="12" w:space="0" w:color="FFFFFF"/>
            </w:tcBorders>
            <w:shd w:val="clear" w:color="000000" w:fill="BFBFBF"/>
            <w:vAlign w:val="center"/>
            <w:hideMark/>
          </w:tcPr>
          <w:p w:rsidR="00577838" w:rsidRPr="00577838" w:rsidRDefault="00577838" w:rsidP="00577838">
            <w:pPr>
              <w:jc w:val="center"/>
              <w:rPr>
                <w:rFonts w:ascii="Calibri" w:hAnsi="Calibri" w:cs="Calibri"/>
                <w:b/>
                <w:bCs/>
                <w:color w:val="000000"/>
                <w:sz w:val="20"/>
                <w:szCs w:val="20"/>
              </w:rPr>
            </w:pPr>
            <w:r w:rsidRPr="00577838">
              <w:rPr>
                <w:rFonts w:ascii="Calibri" w:hAnsi="Calibri" w:cs="Calibri"/>
                <w:b/>
                <w:bCs/>
                <w:color w:val="000000"/>
                <w:sz w:val="20"/>
                <w:szCs w:val="20"/>
              </w:rPr>
              <w:t>Measure Equipment Cost – Base Case Equipment Cost</w:t>
            </w:r>
          </w:p>
        </w:tc>
      </w:tr>
    </w:tbl>
    <w:p w:rsidR="00020125" w:rsidRPr="00993BD6" w:rsidRDefault="00020125" w:rsidP="00020125">
      <w:pPr>
        <w:rPr>
          <w:rFonts w:ascii="Arial" w:hAnsi="Arial" w:cs="Arial"/>
          <w:i/>
        </w:rPr>
      </w:pPr>
    </w:p>
    <w:p w:rsidR="00020125" w:rsidRPr="00993BD6" w:rsidRDefault="00020125" w:rsidP="00020125">
      <w:pPr>
        <w:pStyle w:val="Heading3"/>
      </w:pPr>
      <w:bookmarkStart w:id="38" w:name="_Toc327950095"/>
      <w:r w:rsidRPr="00993BD6">
        <w:t>4.3.1 Gross Measure Cost</w:t>
      </w:r>
      <w:bookmarkEnd w:id="38"/>
    </w:p>
    <w:p w:rsidR="00020125" w:rsidRDefault="00020125" w:rsidP="00020125">
      <w:pPr>
        <w:rPr>
          <w:rFonts w:ascii="Arial" w:hAnsi="Arial" w:cs="Arial"/>
          <w:sz w:val="20"/>
          <w:szCs w:val="20"/>
        </w:rPr>
      </w:pPr>
      <w:r w:rsidRPr="00993BD6">
        <w:rPr>
          <w:rFonts w:ascii="Arial" w:hAnsi="Arial" w:cs="Arial"/>
          <w:sz w:val="20"/>
          <w:szCs w:val="20"/>
        </w:rPr>
        <w:t xml:space="preserve">Gross Measure Cost is the cost to install an energy efficient measure per the CPUC calculators. This definition implies a different meaning depending on the install type.  </w:t>
      </w:r>
    </w:p>
    <w:p w:rsidR="00020125" w:rsidRDefault="00020125" w:rsidP="00020125">
      <w:pPr>
        <w:rPr>
          <w:rFonts w:ascii="Arial" w:hAnsi="Arial" w:cs="Arial"/>
          <w:sz w:val="20"/>
          <w:szCs w:val="20"/>
        </w:rPr>
      </w:pPr>
    </w:p>
    <w:p w:rsidR="00020125" w:rsidRPr="007F5EA3" w:rsidRDefault="00020125" w:rsidP="00020125">
      <w:pPr>
        <w:rPr>
          <w:rFonts w:ascii="Arial" w:hAnsi="Arial" w:cs="Arial"/>
          <w:sz w:val="20"/>
          <w:szCs w:val="20"/>
        </w:rPr>
      </w:pPr>
      <w:r w:rsidRPr="007F5EA3">
        <w:rPr>
          <w:rFonts w:ascii="Arial" w:hAnsi="Arial" w:cs="Arial"/>
          <w:sz w:val="20"/>
          <w:szCs w:val="20"/>
        </w:rPr>
        <w:t xml:space="preserve">This measure transaction type is </w:t>
      </w:r>
      <w:r w:rsidRPr="007F5EA3">
        <w:rPr>
          <w:rFonts w:ascii="Arial" w:hAnsi="Arial" w:cs="Arial"/>
          <w:b/>
          <w:sz w:val="20"/>
          <w:szCs w:val="20"/>
        </w:rPr>
        <w:t>ROB</w:t>
      </w:r>
      <w:r w:rsidRPr="007F5EA3">
        <w:rPr>
          <w:rFonts w:ascii="Arial" w:hAnsi="Arial" w:cs="Arial"/>
          <w:sz w:val="20"/>
          <w:szCs w:val="20"/>
        </w:rPr>
        <w:t>, so the Gross Measure Cost (GMC) is represented by the equation below:</w:t>
      </w:r>
    </w:p>
    <w:p w:rsidR="00020125" w:rsidRPr="007F5EA3" w:rsidRDefault="00020125" w:rsidP="00020125">
      <w:pPr>
        <w:rPr>
          <w:rFonts w:ascii="Arial" w:hAnsi="Arial" w:cs="Arial"/>
          <w:sz w:val="20"/>
          <w:szCs w:val="20"/>
        </w:rPr>
      </w:pPr>
    </w:p>
    <w:p w:rsidR="00020125" w:rsidRPr="007F5EA3" w:rsidRDefault="00020125" w:rsidP="00020125">
      <w:pPr>
        <w:ind w:left="720"/>
        <w:rPr>
          <w:rFonts w:ascii="Arial" w:hAnsi="Arial" w:cs="Arial"/>
          <w:i/>
          <w:sz w:val="20"/>
          <w:szCs w:val="20"/>
        </w:rPr>
      </w:pPr>
      <w:r w:rsidRPr="007F5EA3">
        <w:rPr>
          <w:rFonts w:ascii="Arial" w:hAnsi="Arial" w:cs="Arial"/>
          <w:i/>
          <w:sz w:val="20"/>
          <w:szCs w:val="20"/>
        </w:rPr>
        <w:t>GMC = (Measure Equipment Cost + Measure Labor Cost) –</w:t>
      </w:r>
    </w:p>
    <w:p w:rsidR="00020125" w:rsidRPr="007F5EA3" w:rsidRDefault="00020125" w:rsidP="00020125">
      <w:pPr>
        <w:ind w:left="720"/>
        <w:rPr>
          <w:rFonts w:ascii="Arial" w:hAnsi="Arial" w:cs="Arial"/>
          <w:i/>
          <w:sz w:val="20"/>
          <w:szCs w:val="20"/>
        </w:rPr>
      </w:pPr>
      <w:r w:rsidRPr="007F5EA3">
        <w:rPr>
          <w:rFonts w:ascii="Arial" w:hAnsi="Arial" w:cs="Arial"/>
          <w:i/>
          <w:sz w:val="20"/>
          <w:szCs w:val="20"/>
        </w:rPr>
        <w:t xml:space="preserve">    (Base Case Equipment Cost + Base Case Labor Cost)</w:t>
      </w:r>
    </w:p>
    <w:p w:rsidR="00020125" w:rsidRPr="007F5EA3" w:rsidRDefault="00020125" w:rsidP="00020125">
      <w:pPr>
        <w:rPr>
          <w:rFonts w:ascii="Arial" w:hAnsi="Arial" w:cs="Arial"/>
          <w:b/>
          <w:sz w:val="20"/>
          <w:szCs w:val="20"/>
        </w:rPr>
      </w:pPr>
    </w:p>
    <w:p w:rsidR="00020125" w:rsidRPr="007F5EA3" w:rsidRDefault="00020125" w:rsidP="00020125">
      <w:pPr>
        <w:rPr>
          <w:rFonts w:ascii="Arial" w:hAnsi="Arial" w:cs="Arial"/>
          <w:sz w:val="20"/>
          <w:szCs w:val="20"/>
        </w:rPr>
      </w:pPr>
      <w:r w:rsidRPr="007F5EA3">
        <w:rPr>
          <w:rFonts w:ascii="Arial" w:hAnsi="Arial" w:cs="Arial"/>
          <w:sz w:val="20"/>
          <w:szCs w:val="20"/>
        </w:rPr>
        <w:t>*Note: We assume that, unless stated otherwise, the measure case labor and base case labor are assumed to be the same value reducing the equation to the following:</w:t>
      </w:r>
    </w:p>
    <w:p w:rsidR="00020125" w:rsidRPr="007F5EA3" w:rsidRDefault="00020125" w:rsidP="00020125">
      <w:pPr>
        <w:rPr>
          <w:rFonts w:ascii="Arial" w:hAnsi="Arial" w:cs="Arial"/>
          <w:sz w:val="20"/>
          <w:szCs w:val="20"/>
        </w:rPr>
      </w:pPr>
    </w:p>
    <w:p w:rsidR="00020125" w:rsidRPr="007F5EA3" w:rsidRDefault="00020125" w:rsidP="00020125">
      <w:pPr>
        <w:ind w:left="720"/>
        <w:rPr>
          <w:rFonts w:ascii="Arial" w:hAnsi="Arial" w:cs="Arial"/>
          <w:sz w:val="20"/>
          <w:szCs w:val="20"/>
        </w:rPr>
      </w:pPr>
      <w:r w:rsidRPr="007F5EA3">
        <w:rPr>
          <w:rFonts w:ascii="Arial" w:hAnsi="Arial" w:cs="Arial"/>
          <w:sz w:val="20"/>
          <w:szCs w:val="20"/>
        </w:rPr>
        <w:t>GMC = Measure Equipment Cost – Base Case Equipment Cost</w:t>
      </w:r>
    </w:p>
    <w:p w:rsidR="00020125" w:rsidRPr="007F5EA3" w:rsidRDefault="00020125" w:rsidP="00020125">
      <w:pPr>
        <w:ind w:left="720"/>
        <w:rPr>
          <w:rFonts w:ascii="Arial" w:hAnsi="Arial" w:cs="Arial"/>
          <w:i/>
          <w:sz w:val="20"/>
          <w:szCs w:val="20"/>
        </w:rPr>
      </w:pPr>
    </w:p>
    <w:p w:rsidR="00020125" w:rsidRPr="007F5EA3" w:rsidRDefault="00020125" w:rsidP="00020125">
      <w:pPr>
        <w:ind w:left="720"/>
        <w:rPr>
          <w:rFonts w:ascii="Arial" w:hAnsi="Arial" w:cs="Arial"/>
          <w:i/>
          <w:sz w:val="20"/>
          <w:szCs w:val="20"/>
        </w:rPr>
      </w:pPr>
      <w:r w:rsidRPr="007F5EA3">
        <w:rPr>
          <w:rFonts w:ascii="Arial" w:hAnsi="Arial" w:cs="Arial"/>
          <w:i/>
          <w:sz w:val="20"/>
          <w:szCs w:val="20"/>
        </w:rPr>
        <w:t>GMC = $                          per (unit) - $                    per (unit) = $              per unit</w:t>
      </w:r>
    </w:p>
    <w:p w:rsidR="00020125" w:rsidRPr="007F5EA3" w:rsidRDefault="00020125" w:rsidP="00020125">
      <w:pPr>
        <w:rPr>
          <w:rFonts w:ascii="Arial" w:hAnsi="Arial" w:cs="Arial"/>
          <w:b/>
          <w:sz w:val="20"/>
          <w:szCs w:val="20"/>
        </w:rPr>
      </w:pPr>
    </w:p>
    <w:p w:rsidR="00020125" w:rsidRPr="00993BD6" w:rsidRDefault="00020125" w:rsidP="00020125">
      <w:pPr>
        <w:rPr>
          <w:rFonts w:ascii="Arial" w:hAnsi="Arial" w:cs="Arial"/>
          <w:i/>
          <w:szCs w:val="22"/>
        </w:rPr>
      </w:pPr>
      <w:r w:rsidRPr="00993BD6">
        <w:rPr>
          <w:rFonts w:ascii="Arial" w:hAnsi="Arial" w:cs="Arial"/>
          <w:sz w:val="20"/>
          <w:szCs w:val="20"/>
        </w:rPr>
        <w:t>*Note: Various complicated price fluctuations are not addressed in these equations, such as future costs due to inflation in labor, future costs due to deflation in material cost, and other variables that cannot be accurately described at this time.</w:t>
      </w:r>
    </w:p>
    <w:p w:rsidR="00020125" w:rsidRPr="00993BD6" w:rsidRDefault="00020125" w:rsidP="00020125">
      <w:pPr>
        <w:pStyle w:val="Heading3"/>
      </w:pPr>
      <w:bookmarkStart w:id="39" w:name="_Toc327950096"/>
      <w:r>
        <w:lastRenderedPageBreak/>
        <w:t xml:space="preserve">4.3.2 </w:t>
      </w:r>
      <w:r w:rsidRPr="00993BD6">
        <w:t>Incremental Measure Costs</w:t>
      </w:r>
      <w:bookmarkEnd w:id="39"/>
    </w:p>
    <w:p w:rsidR="00020125" w:rsidRPr="00993BD6" w:rsidRDefault="00020125" w:rsidP="00020125">
      <w:pPr>
        <w:rPr>
          <w:rFonts w:ascii="Arial" w:hAnsi="Arial" w:cs="Arial"/>
          <w:sz w:val="20"/>
          <w:szCs w:val="20"/>
        </w:rPr>
      </w:pPr>
      <w:r w:rsidRPr="00993BD6">
        <w:rPr>
          <w:rFonts w:ascii="Arial" w:hAnsi="Arial" w:cs="Arial"/>
          <w:sz w:val="20"/>
          <w:szCs w:val="20"/>
        </w:rPr>
        <w:t xml:space="preserve">Incremental Measure Cost is the premium cost to install an energy efficient measure over a standard efficiency measure or code baseline measure.  While IMC has a straightforward definition depending on the install type, the equation does vary.  </w:t>
      </w:r>
    </w:p>
    <w:p w:rsidR="00020125" w:rsidRPr="00993BD6" w:rsidRDefault="00020125" w:rsidP="00020125">
      <w:pPr>
        <w:rPr>
          <w:rFonts w:ascii="Arial" w:hAnsi="Arial" w:cs="Arial"/>
          <w:szCs w:val="22"/>
        </w:rPr>
      </w:pPr>
    </w:p>
    <w:p w:rsidR="00020125" w:rsidRPr="00993BD6" w:rsidRDefault="00020125" w:rsidP="00020125">
      <w:pPr>
        <w:rPr>
          <w:rFonts w:ascii="Arial" w:hAnsi="Arial" w:cs="Arial"/>
          <w:sz w:val="20"/>
          <w:szCs w:val="20"/>
        </w:rPr>
      </w:pPr>
      <w:r w:rsidRPr="00993BD6">
        <w:rPr>
          <w:rFonts w:ascii="Arial" w:hAnsi="Arial" w:cs="Arial"/>
          <w:sz w:val="20"/>
          <w:szCs w:val="20"/>
        </w:rPr>
        <w:t xml:space="preserve">This measure transaction type </w:t>
      </w:r>
      <w:r>
        <w:rPr>
          <w:rFonts w:ascii="Arial" w:hAnsi="Arial" w:cs="Arial"/>
          <w:sz w:val="20"/>
          <w:szCs w:val="20"/>
        </w:rPr>
        <w:t>is</w:t>
      </w:r>
      <w:r w:rsidRPr="00993BD6">
        <w:rPr>
          <w:rFonts w:ascii="Arial" w:hAnsi="Arial" w:cs="Arial"/>
          <w:sz w:val="20"/>
          <w:szCs w:val="20"/>
        </w:rPr>
        <w:t xml:space="preserve"> </w:t>
      </w:r>
      <w:r>
        <w:rPr>
          <w:rFonts w:ascii="Arial" w:hAnsi="Arial" w:cs="Arial"/>
          <w:b/>
          <w:sz w:val="20"/>
          <w:szCs w:val="20"/>
        </w:rPr>
        <w:t>ROB</w:t>
      </w:r>
      <w:r w:rsidRPr="00993BD6">
        <w:rPr>
          <w:rFonts w:ascii="Arial" w:hAnsi="Arial" w:cs="Arial"/>
          <w:b/>
          <w:sz w:val="20"/>
          <w:szCs w:val="20"/>
        </w:rPr>
        <w:t xml:space="preserve"> </w:t>
      </w:r>
      <w:r w:rsidRPr="00993BD6">
        <w:rPr>
          <w:rFonts w:ascii="Arial" w:hAnsi="Arial" w:cs="Arial"/>
          <w:sz w:val="20"/>
          <w:szCs w:val="20"/>
        </w:rPr>
        <w:t>so the Gross Measure Cost (GMC) is represented by the equation below:</w:t>
      </w:r>
    </w:p>
    <w:p w:rsidR="00020125" w:rsidRPr="00993BD6" w:rsidRDefault="00020125" w:rsidP="00020125">
      <w:pPr>
        <w:rPr>
          <w:rFonts w:ascii="Arial" w:hAnsi="Arial" w:cs="Arial"/>
          <w:szCs w:val="22"/>
        </w:rPr>
      </w:pPr>
    </w:p>
    <w:p w:rsidR="00020125" w:rsidRPr="007F5EA3" w:rsidRDefault="00020125" w:rsidP="00020125">
      <w:pPr>
        <w:ind w:firstLine="720"/>
        <w:rPr>
          <w:rFonts w:ascii="Arial" w:hAnsi="Arial" w:cs="Arial"/>
          <w:i/>
          <w:sz w:val="20"/>
          <w:szCs w:val="20"/>
        </w:rPr>
      </w:pPr>
      <w:r w:rsidRPr="007F5EA3">
        <w:rPr>
          <w:rFonts w:ascii="Arial" w:hAnsi="Arial" w:cs="Arial"/>
          <w:i/>
          <w:sz w:val="20"/>
          <w:szCs w:val="20"/>
        </w:rPr>
        <w:t>IMC = (Measure Equipment Cost + Measure Labor Cost) –</w:t>
      </w:r>
    </w:p>
    <w:p w:rsidR="00020125" w:rsidRPr="007F5EA3" w:rsidRDefault="00020125" w:rsidP="00020125">
      <w:pPr>
        <w:ind w:left="720" w:firstLine="720"/>
        <w:rPr>
          <w:rFonts w:ascii="Arial" w:hAnsi="Arial" w:cs="Arial"/>
          <w:i/>
          <w:sz w:val="20"/>
          <w:szCs w:val="20"/>
        </w:rPr>
      </w:pPr>
      <w:r w:rsidRPr="007F5EA3">
        <w:rPr>
          <w:rFonts w:ascii="Arial" w:hAnsi="Arial" w:cs="Arial"/>
          <w:i/>
          <w:sz w:val="20"/>
          <w:szCs w:val="20"/>
        </w:rPr>
        <w:t xml:space="preserve">    (Base Case Equipment Cost + Base Case Labor Cost)</w:t>
      </w:r>
    </w:p>
    <w:p w:rsidR="00020125" w:rsidRPr="007F5EA3" w:rsidRDefault="00020125" w:rsidP="00020125">
      <w:pPr>
        <w:rPr>
          <w:rFonts w:ascii="Arial" w:hAnsi="Arial" w:cs="Arial"/>
          <w:b/>
          <w:i/>
          <w:szCs w:val="22"/>
        </w:rPr>
      </w:pPr>
    </w:p>
    <w:p w:rsidR="00020125" w:rsidRPr="00993BD6" w:rsidRDefault="00020125" w:rsidP="00020125">
      <w:pPr>
        <w:ind w:left="720" w:right="720"/>
        <w:rPr>
          <w:rFonts w:ascii="Arial" w:hAnsi="Arial" w:cs="Arial"/>
          <w:sz w:val="20"/>
          <w:szCs w:val="20"/>
        </w:rPr>
      </w:pPr>
      <w:r w:rsidRPr="00993BD6">
        <w:rPr>
          <w:rFonts w:ascii="Arial" w:hAnsi="Arial" w:cs="Arial"/>
          <w:sz w:val="20"/>
          <w:szCs w:val="20"/>
        </w:rPr>
        <w:t>*Note: Unless stated otherwise the measure case labor and base case labor are assumed to be the same value reducing the equation to the following:</w:t>
      </w:r>
    </w:p>
    <w:p w:rsidR="00020125" w:rsidRPr="00993BD6" w:rsidRDefault="00020125" w:rsidP="00020125">
      <w:pPr>
        <w:ind w:left="720" w:right="720"/>
        <w:rPr>
          <w:rFonts w:ascii="Arial" w:hAnsi="Arial" w:cs="Arial"/>
          <w:sz w:val="20"/>
          <w:szCs w:val="20"/>
        </w:rPr>
      </w:pPr>
    </w:p>
    <w:p w:rsidR="00020125" w:rsidRPr="00993BD6" w:rsidRDefault="00020125" w:rsidP="00020125">
      <w:pPr>
        <w:ind w:firstLine="720"/>
        <w:rPr>
          <w:rFonts w:ascii="Arial" w:hAnsi="Arial" w:cs="Arial"/>
          <w:sz w:val="20"/>
          <w:szCs w:val="20"/>
        </w:rPr>
      </w:pPr>
      <w:r w:rsidRPr="00993BD6">
        <w:rPr>
          <w:rFonts w:ascii="Arial" w:hAnsi="Arial" w:cs="Arial"/>
          <w:sz w:val="20"/>
          <w:szCs w:val="20"/>
        </w:rPr>
        <w:t>IMC = Measure Equipment Cost – Base Case Equipment Cost</w:t>
      </w:r>
    </w:p>
    <w:p w:rsidR="00020125" w:rsidRPr="00993BD6" w:rsidRDefault="00020125" w:rsidP="00020125">
      <w:pPr>
        <w:ind w:firstLine="720"/>
        <w:rPr>
          <w:rFonts w:ascii="Arial" w:hAnsi="Arial" w:cs="Arial"/>
          <w:sz w:val="20"/>
          <w:szCs w:val="20"/>
        </w:rPr>
      </w:pPr>
    </w:p>
    <w:p w:rsidR="00020125" w:rsidRPr="00993BD6" w:rsidRDefault="00020125" w:rsidP="00020125">
      <w:pPr>
        <w:ind w:firstLine="720"/>
        <w:rPr>
          <w:rFonts w:ascii="Arial" w:hAnsi="Arial" w:cs="Arial"/>
          <w:i/>
          <w:sz w:val="20"/>
          <w:szCs w:val="20"/>
        </w:rPr>
      </w:pPr>
      <w:r w:rsidRPr="00993BD6">
        <w:rPr>
          <w:rFonts w:ascii="Arial" w:hAnsi="Arial" w:cs="Arial"/>
          <w:i/>
          <w:sz w:val="20"/>
          <w:szCs w:val="20"/>
        </w:rPr>
        <w:t>IMC = $                         per (unit) -- $                           per (unit) = $                         per (unit)</w:t>
      </w:r>
    </w:p>
    <w:p w:rsidR="00020125" w:rsidRDefault="00020125" w:rsidP="00020125">
      <w:pPr>
        <w:ind w:firstLine="720"/>
        <w:rPr>
          <w:rFonts w:ascii="Arial" w:hAnsi="Arial" w:cs="Arial"/>
          <w:i/>
          <w:sz w:val="20"/>
          <w:szCs w:val="20"/>
        </w:rPr>
      </w:pPr>
    </w:p>
    <w:p w:rsidR="00020125" w:rsidRPr="00993BD6" w:rsidRDefault="00020125" w:rsidP="00020125">
      <w:pPr>
        <w:ind w:firstLine="720"/>
        <w:rPr>
          <w:rFonts w:ascii="Arial" w:hAnsi="Arial" w:cs="Arial"/>
          <w:i/>
          <w:sz w:val="20"/>
          <w:szCs w:val="20"/>
        </w:rPr>
      </w:pPr>
    </w:p>
    <w:p w:rsidR="00020125" w:rsidRPr="00993BD6" w:rsidRDefault="00020125" w:rsidP="00020125">
      <w:pPr>
        <w:pStyle w:val="Caption"/>
      </w:pPr>
      <w:r w:rsidRPr="00993BD6">
        <w:t>Summary Table for Section 4</w:t>
      </w:r>
    </w:p>
    <w:tbl>
      <w:tblPr>
        <w:tblW w:w="7560" w:type="dxa"/>
        <w:tblInd w:w="93" w:type="dxa"/>
        <w:tblLook w:val="04A0" w:firstRow="1" w:lastRow="0" w:firstColumn="1" w:lastColumn="0" w:noHBand="0" w:noVBand="1"/>
      </w:tblPr>
      <w:tblGrid>
        <w:gridCol w:w="1260"/>
        <w:gridCol w:w="1260"/>
        <w:gridCol w:w="1260"/>
        <w:gridCol w:w="1260"/>
        <w:gridCol w:w="1260"/>
        <w:gridCol w:w="1260"/>
      </w:tblGrid>
      <w:tr w:rsidR="00577838" w:rsidRPr="00577838" w:rsidTr="00577838">
        <w:trPr>
          <w:trHeight w:val="780"/>
        </w:trPr>
        <w:tc>
          <w:tcPr>
            <w:tcW w:w="1260" w:type="dxa"/>
            <w:tcBorders>
              <w:top w:val="nil"/>
              <w:left w:val="nil"/>
              <w:bottom w:val="single" w:sz="12" w:space="0" w:color="FFFFFF"/>
              <w:right w:val="single" w:sz="12" w:space="0" w:color="FFFFFF"/>
            </w:tcBorders>
            <w:shd w:val="clear" w:color="000000" w:fill="BFBFBF"/>
            <w:vAlign w:val="center"/>
            <w:hideMark/>
          </w:tcPr>
          <w:p w:rsidR="00577838" w:rsidRPr="00577838" w:rsidRDefault="00577838" w:rsidP="00577838">
            <w:pPr>
              <w:jc w:val="center"/>
              <w:rPr>
                <w:rFonts w:ascii="Calibri" w:hAnsi="Calibri" w:cs="Calibri"/>
                <w:b/>
                <w:bCs/>
                <w:color w:val="000000"/>
                <w:sz w:val="20"/>
                <w:szCs w:val="20"/>
              </w:rPr>
            </w:pPr>
            <w:r w:rsidRPr="00577838">
              <w:rPr>
                <w:rFonts w:ascii="Calibri" w:hAnsi="Calibri" w:cs="Calibri"/>
                <w:b/>
                <w:bCs/>
                <w:color w:val="000000"/>
                <w:sz w:val="20"/>
                <w:szCs w:val="20"/>
              </w:rPr>
              <w:t>Measure ID</w:t>
            </w:r>
          </w:p>
        </w:tc>
        <w:tc>
          <w:tcPr>
            <w:tcW w:w="1260" w:type="dxa"/>
            <w:tcBorders>
              <w:top w:val="nil"/>
              <w:left w:val="nil"/>
              <w:bottom w:val="single" w:sz="12" w:space="0" w:color="FFFFFF"/>
              <w:right w:val="single" w:sz="12" w:space="0" w:color="FFFFFF"/>
            </w:tcBorders>
            <w:shd w:val="clear" w:color="000000" w:fill="BFBFBF"/>
            <w:vAlign w:val="center"/>
            <w:hideMark/>
          </w:tcPr>
          <w:p w:rsidR="00577838" w:rsidRPr="00577838" w:rsidRDefault="00577838" w:rsidP="00577838">
            <w:pPr>
              <w:jc w:val="center"/>
              <w:rPr>
                <w:rFonts w:ascii="Calibri" w:hAnsi="Calibri" w:cs="Calibri"/>
                <w:b/>
                <w:bCs/>
                <w:color w:val="000000"/>
                <w:sz w:val="20"/>
                <w:szCs w:val="20"/>
              </w:rPr>
            </w:pPr>
            <w:r w:rsidRPr="00577838">
              <w:rPr>
                <w:rFonts w:ascii="Calibri" w:hAnsi="Calibri" w:cs="Calibri"/>
                <w:b/>
                <w:bCs/>
                <w:color w:val="000000"/>
                <w:sz w:val="20"/>
                <w:szCs w:val="20"/>
              </w:rPr>
              <w:t>Transaction Type</w:t>
            </w:r>
          </w:p>
        </w:tc>
        <w:tc>
          <w:tcPr>
            <w:tcW w:w="1260" w:type="dxa"/>
            <w:tcBorders>
              <w:top w:val="nil"/>
              <w:left w:val="nil"/>
              <w:bottom w:val="single" w:sz="12" w:space="0" w:color="FFFFFF"/>
              <w:right w:val="single" w:sz="12" w:space="0" w:color="FFFFFF"/>
            </w:tcBorders>
            <w:shd w:val="clear" w:color="000000" w:fill="BFBFBF"/>
            <w:vAlign w:val="center"/>
            <w:hideMark/>
          </w:tcPr>
          <w:p w:rsidR="00577838" w:rsidRPr="00577838" w:rsidRDefault="00577838" w:rsidP="00577838">
            <w:pPr>
              <w:jc w:val="center"/>
              <w:rPr>
                <w:rFonts w:ascii="Calibri" w:hAnsi="Calibri" w:cs="Calibri"/>
                <w:b/>
                <w:bCs/>
                <w:color w:val="000000"/>
                <w:sz w:val="20"/>
                <w:szCs w:val="20"/>
              </w:rPr>
            </w:pPr>
            <w:r w:rsidRPr="00577838">
              <w:rPr>
                <w:rFonts w:ascii="Calibri" w:hAnsi="Calibri" w:cs="Calibri"/>
                <w:b/>
                <w:bCs/>
                <w:color w:val="000000"/>
                <w:sz w:val="20"/>
                <w:szCs w:val="20"/>
              </w:rPr>
              <w:t>Base Case Total Cost</w:t>
            </w:r>
          </w:p>
        </w:tc>
        <w:tc>
          <w:tcPr>
            <w:tcW w:w="1260" w:type="dxa"/>
            <w:tcBorders>
              <w:top w:val="nil"/>
              <w:left w:val="nil"/>
              <w:bottom w:val="single" w:sz="12" w:space="0" w:color="FFFFFF"/>
              <w:right w:val="single" w:sz="12" w:space="0" w:color="FFFFFF"/>
            </w:tcBorders>
            <w:shd w:val="clear" w:color="000000" w:fill="BFBFBF"/>
            <w:vAlign w:val="center"/>
            <w:hideMark/>
          </w:tcPr>
          <w:p w:rsidR="00577838" w:rsidRPr="00577838" w:rsidRDefault="00577838" w:rsidP="00577838">
            <w:pPr>
              <w:jc w:val="center"/>
              <w:rPr>
                <w:rFonts w:ascii="Calibri" w:hAnsi="Calibri" w:cs="Calibri"/>
                <w:b/>
                <w:bCs/>
                <w:color w:val="000000"/>
                <w:sz w:val="20"/>
                <w:szCs w:val="20"/>
              </w:rPr>
            </w:pPr>
            <w:r w:rsidRPr="00577838">
              <w:rPr>
                <w:rFonts w:ascii="Calibri" w:hAnsi="Calibri" w:cs="Calibri"/>
                <w:b/>
                <w:bCs/>
                <w:color w:val="000000"/>
                <w:sz w:val="20"/>
                <w:szCs w:val="20"/>
              </w:rPr>
              <w:t>Measure Case Total Cost</w:t>
            </w:r>
          </w:p>
        </w:tc>
        <w:tc>
          <w:tcPr>
            <w:tcW w:w="1260" w:type="dxa"/>
            <w:tcBorders>
              <w:top w:val="nil"/>
              <w:left w:val="nil"/>
              <w:bottom w:val="single" w:sz="12" w:space="0" w:color="FFFFFF"/>
              <w:right w:val="single" w:sz="12" w:space="0" w:color="FFFFFF"/>
            </w:tcBorders>
            <w:shd w:val="clear" w:color="000000" w:fill="BFBFBF"/>
            <w:vAlign w:val="center"/>
            <w:hideMark/>
          </w:tcPr>
          <w:p w:rsidR="00577838" w:rsidRPr="00577838" w:rsidRDefault="00577838" w:rsidP="00577838">
            <w:pPr>
              <w:jc w:val="center"/>
              <w:rPr>
                <w:rFonts w:ascii="Calibri" w:hAnsi="Calibri" w:cs="Calibri"/>
                <w:b/>
                <w:bCs/>
                <w:color w:val="000000"/>
                <w:sz w:val="20"/>
                <w:szCs w:val="20"/>
              </w:rPr>
            </w:pPr>
            <w:r w:rsidRPr="00577838">
              <w:rPr>
                <w:rFonts w:ascii="Calibri" w:hAnsi="Calibri" w:cs="Calibri"/>
                <w:b/>
                <w:bCs/>
                <w:color w:val="000000"/>
                <w:sz w:val="20"/>
                <w:szCs w:val="20"/>
              </w:rPr>
              <w:t>Gross Measure Case Cost</w:t>
            </w:r>
          </w:p>
        </w:tc>
        <w:tc>
          <w:tcPr>
            <w:tcW w:w="1260" w:type="dxa"/>
            <w:tcBorders>
              <w:top w:val="nil"/>
              <w:left w:val="nil"/>
              <w:bottom w:val="single" w:sz="12" w:space="0" w:color="FFFFFF"/>
              <w:right w:val="single" w:sz="12" w:space="0" w:color="FFFFFF"/>
            </w:tcBorders>
            <w:shd w:val="clear" w:color="000000" w:fill="BFBFBF"/>
            <w:vAlign w:val="center"/>
            <w:hideMark/>
          </w:tcPr>
          <w:p w:rsidR="00577838" w:rsidRPr="00577838" w:rsidRDefault="00577838" w:rsidP="00577838">
            <w:pPr>
              <w:jc w:val="center"/>
              <w:rPr>
                <w:rFonts w:ascii="Calibri" w:hAnsi="Calibri" w:cs="Calibri"/>
                <w:b/>
                <w:bCs/>
                <w:color w:val="000000"/>
                <w:sz w:val="20"/>
                <w:szCs w:val="20"/>
              </w:rPr>
            </w:pPr>
            <w:r w:rsidRPr="00577838">
              <w:rPr>
                <w:rFonts w:ascii="Calibri" w:hAnsi="Calibri" w:cs="Calibri"/>
                <w:b/>
                <w:bCs/>
                <w:color w:val="000000"/>
                <w:sz w:val="20"/>
                <w:szCs w:val="20"/>
              </w:rPr>
              <w:t>Incremental Measure Cost</w:t>
            </w:r>
          </w:p>
        </w:tc>
      </w:tr>
      <w:tr w:rsidR="00577838" w:rsidRPr="00577838" w:rsidTr="00577838">
        <w:trPr>
          <w:trHeight w:val="330"/>
        </w:trPr>
        <w:tc>
          <w:tcPr>
            <w:tcW w:w="1260" w:type="dxa"/>
            <w:tcBorders>
              <w:top w:val="nil"/>
              <w:left w:val="nil"/>
              <w:bottom w:val="single" w:sz="12" w:space="0" w:color="FFFFFF"/>
              <w:right w:val="single" w:sz="12" w:space="0" w:color="FFFFFF"/>
            </w:tcBorders>
            <w:shd w:val="clear" w:color="000000" w:fill="F2F2F2"/>
            <w:vAlign w:val="center"/>
            <w:hideMark/>
          </w:tcPr>
          <w:p w:rsidR="00577838" w:rsidRPr="00577838" w:rsidRDefault="00577838" w:rsidP="00577838">
            <w:pPr>
              <w:jc w:val="center"/>
              <w:rPr>
                <w:rFonts w:ascii="Calibri" w:hAnsi="Calibri" w:cs="Calibri"/>
                <w:color w:val="000000"/>
                <w:sz w:val="20"/>
                <w:szCs w:val="20"/>
              </w:rPr>
            </w:pPr>
            <w:r w:rsidRPr="00577838">
              <w:rPr>
                <w:rFonts w:ascii="Calibri" w:hAnsi="Calibri" w:cs="Calibri"/>
                <w:color w:val="000000"/>
                <w:sz w:val="20"/>
                <w:szCs w:val="20"/>
              </w:rPr>
              <w:t> </w:t>
            </w:r>
          </w:p>
        </w:tc>
        <w:tc>
          <w:tcPr>
            <w:tcW w:w="1260" w:type="dxa"/>
            <w:tcBorders>
              <w:top w:val="nil"/>
              <w:left w:val="nil"/>
              <w:bottom w:val="single" w:sz="12" w:space="0" w:color="FFFFFF"/>
              <w:right w:val="nil"/>
            </w:tcBorders>
            <w:shd w:val="clear" w:color="000000" w:fill="F2F2F2"/>
            <w:vAlign w:val="center"/>
            <w:hideMark/>
          </w:tcPr>
          <w:p w:rsidR="00577838" w:rsidRPr="00577838" w:rsidRDefault="00577838" w:rsidP="00577838">
            <w:pPr>
              <w:jc w:val="center"/>
              <w:rPr>
                <w:rFonts w:ascii="Calibri" w:hAnsi="Calibri" w:cs="Calibri"/>
                <w:color w:val="000000"/>
                <w:sz w:val="20"/>
                <w:szCs w:val="20"/>
              </w:rPr>
            </w:pPr>
            <w:r w:rsidRPr="00577838">
              <w:rPr>
                <w:rFonts w:ascii="Calibri" w:hAnsi="Calibri" w:cs="Calibri"/>
                <w:color w:val="000000"/>
                <w:sz w:val="20"/>
                <w:szCs w:val="20"/>
              </w:rPr>
              <w:t>ROB</w:t>
            </w:r>
          </w:p>
        </w:tc>
        <w:tc>
          <w:tcPr>
            <w:tcW w:w="1260" w:type="dxa"/>
            <w:tcBorders>
              <w:top w:val="nil"/>
              <w:left w:val="nil"/>
              <w:bottom w:val="single" w:sz="12" w:space="0" w:color="FFFFFF"/>
              <w:right w:val="single" w:sz="12" w:space="0" w:color="FFFFFF"/>
            </w:tcBorders>
            <w:shd w:val="clear" w:color="000000" w:fill="F2F2F2"/>
            <w:vAlign w:val="center"/>
            <w:hideMark/>
          </w:tcPr>
          <w:p w:rsidR="00577838" w:rsidRPr="00577838" w:rsidRDefault="00577838" w:rsidP="00577838">
            <w:pPr>
              <w:jc w:val="center"/>
              <w:rPr>
                <w:rFonts w:ascii="Calibri" w:hAnsi="Calibri" w:cs="Calibri"/>
                <w:color w:val="000000"/>
                <w:sz w:val="20"/>
                <w:szCs w:val="20"/>
              </w:rPr>
            </w:pPr>
            <w:r w:rsidRPr="00577838">
              <w:rPr>
                <w:rFonts w:ascii="Calibri" w:hAnsi="Calibri" w:cs="Calibri"/>
                <w:color w:val="000000"/>
                <w:sz w:val="20"/>
                <w:szCs w:val="20"/>
              </w:rPr>
              <w:t>6.69</w:t>
            </w:r>
          </w:p>
        </w:tc>
        <w:tc>
          <w:tcPr>
            <w:tcW w:w="1260" w:type="dxa"/>
            <w:tcBorders>
              <w:top w:val="nil"/>
              <w:left w:val="nil"/>
              <w:bottom w:val="single" w:sz="12" w:space="0" w:color="FFFFFF"/>
              <w:right w:val="nil"/>
            </w:tcBorders>
            <w:shd w:val="clear" w:color="000000" w:fill="F2F2F2"/>
            <w:vAlign w:val="center"/>
            <w:hideMark/>
          </w:tcPr>
          <w:p w:rsidR="00577838" w:rsidRPr="00577838" w:rsidRDefault="00577838" w:rsidP="00577838">
            <w:pPr>
              <w:jc w:val="center"/>
              <w:rPr>
                <w:rFonts w:ascii="Calibri" w:hAnsi="Calibri" w:cs="Calibri"/>
                <w:color w:val="000000"/>
                <w:sz w:val="20"/>
                <w:szCs w:val="20"/>
              </w:rPr>
            </w:pPr>
            <w:r w:rsidRPr="00577838">
              <w:rPr>
                <w:rFonts w:ascii="Calibri" w:hAnsi="Calibri" w:cs="Calibri"/>
                <w:color w:val="000000"/>
                <w:sz w:val="20"/>
                <w:szCs w:val="20"/>
              </w:rPr>
              <w:t xml:space="preserve"> $              7.08 </w:t>
            </w:r>
          </w:p>
        </w:tc>
        <w:tc>
          <w:tcPr>
            <w:tcW w:w="1260" w:type="dxa"/>
            <w:tcBorders>
              <w:top w:val="nil"/>
              <w:left w:val="nil"/>
              <w:bottom w:val="single" w:sz="12" w:space="0" w:color="FFFFFF"/>
              <w:right w:val="nil"/>
            </w:tcBorders>
            <w:shd w:val="clear" w:color="000000" w:fill="F2F2F2"/>
            <w:vAlign w:val="center"/>
            <w:hideMark/>
          </w:tcPr>
          <w:p w:rsidR="00577838" w:rsidRPr="00577838" w:rsidRDefault="00577838" w:rsidP="00577838">
            <w:pPr>
              <w:jc w:val="center"/>
              <w:rPr>
                <w:rFonts w:ascii="Calibri" w:hAnsi="Calibri" w:cs="Calibri"/>
                <w:color w:val="000000"/>
                <w:sz w:val="20"/>
                <w:szCs w:val="20"/>
              </w:rPr>
            </w:pPr>
            <w:r w:rsidRPr="00577838">
              <w:rPr>
                <w:rFonts w:ascii="Calibri" w:hAnsi="Calibri" w:cs="Calibri"/>
                <w:color w:val="000000"/>
                <w:sz w:val="20"/>
                <w:szCs w:val="20"/>
              </w:rPr>
              <w:t xml:space="preserve"> $              7.08 </w:t>
            </w:r>
          </w:p>
        </w:tc>
        <w:tc>
          <w:tcPr>
            <w:tcW w:w="1260" w:type="dxa"/>
            <w:tcBorders>
              <w:top w:val="nil"/>
              <w:left w:val="nil"/>
              <w:bottom w:val="single" w:sz="12" w:space="0" w:color="FFFFFF"/>
              <w:right w:val="nil"/>
            </w:tcBorders>
            <w:shd w:val="clear" w:color="000000" w:fill="F2F2F2"/>
            <w:vAlign w:val="center"/>
            <w:hideMark/>
          </w:tcPr>
          <w:p w:rsidR="00577838" w:rsidRPr="00577838" w:rsidRDefault="00577838" w:rsidP="00577838">
            <w:pPr>
              <w:jc w:val="center"/>
              <w:rPr>
                <w:rFonts w:ascii="Calibri" w:hAnsi="Calibri" w:cs="Calibri"/>
                <w:color w:val="000000"/>
                <w:sz w:val="20"/>
                <w:szCs w:val="20"/>
              </w:rPr>
            </w:pPr>
            <w:r w:rsidRPr="00577838">
              <w:rPr>
                <w:rFonts w:ascii="Calibri" w:hAnsi="Calibri" w:cs="Calibri"/>
                <w:color w:val="000000"/>
                <w:sz w:val="20"/>
                <w:szCs w:val="20"/>
              </w:rPr>
              <w:t xml:space="preserve"> $              0.39 </w:t>
            </w:r>
          </w:p>
        </w:tc>
      </w:tr>
    </w:tbl>
    <w:p w:rsidR="004C6459" w:rsidRPr="00020125" w:rsidRDefault="004C6459" w:rsidP="00C24D03">
      <w:pPr>
        <w:rPr>
          <w:rFonts w:cstheme="minorHAnsi"/>
          <w:color w:val="FF0000"/>
          <w:szCs w:val="22"/>
        </w:rPr>
      </w:pPr>
    </w:p>
    <w:p w:rsidR="001A5F62" w:rsidRPr="00020125" w:rsidRDefault="001A5F62" w:rsidP="00C24D03">
      <w:pPr>
        <w:rPr>
          <w:rFonts w:cstheme="minorHAnsi"/>
          <w:color w:val="FF0000"/>
          <w:szCs w:val="22"/>
        </w:rPr>
      </w:pPr>
    </w:p>
    <w:p w:rsidR="003D2871" w:rsidRPr="00020125" w:rsidRDefault="003D2871" w:rsidP="003D2871">
      <w:pPr>
        <w:pStyle w:val="Reminders"/>
        <w:rPr>
          <w:rFonts w:asciiTheme="minorHAnsi" w:hAnsiTheme="minorHAnsi" w:cstheme="minorHAnsi"/>
          <w:i w:val="0"/>
          <w:szCs w:val="22"/>
        </w:rPr>
      </w:pPr>
      <w:bookmarkStart w:id="40" w:name="_MON_1399297811"/>
      <w:bookmarkStart w:id="41" w:name="_Toc214003099"/>
      <w:bookmarkEnd w:id="40"/>
    </w:p>
    <w:p w:rsidR="00E16609" w:rsidRPr="00697868" w:rsidRDefault="00E16609" w:rsidP="00E16609">
      <w:pPr>
        <w:rPr>
          <w:rFonts w:cstheme="minorHAnsi"/>
          <w:szCs w:val="22"/>
        </w:rPr>
      </w:pPr>
      <w:r w:rsidRPr="00697868">
        <w:rPr>
          <w:rFonts w:cstheme="minorHAnsi"/>
          <w:szCs w:val="22"/>
        </w:rPr>
        <w:br w:type="page"/>
      </w:r>
    </w:p>
    <w:bookmarkEnd w:id="41"/>
    <w:p w:rsidR="00E16609" w:rsidRPr="00697868" w:rsidRDefault="00E16609" w:rsidP="00904C7B">
      <w:pPr>
        <w:pStyle w:val="Heading1"/>
        <w:rPr>
          <w:rFonts w:asciiTheme="minorHAnsi" w:hAnsiTheme="minorHAnsi" w:cstheme="minorHAnsi"/>
        </w:rPr>
      </w:pPr>
      <w:r w:rsidRPr="00697868">
        <w:rPr>
          <w:rFonts w:asciiTheme="minorHAnsi" w:hAnsiTheme="minorHAnsi" w:cstheme="minorHAnsi"/>
        </w:rPr>
        <w:lastRenderedPageBreak/>
        <w:t>Attachments</w:t>
      </w:r>
    </w:p>
    <w:p w:rsidR="00A500D6" w:rsidRPr="00697868" w:rsidRDefault="00577838" w:rsidP="00E16609">
      <w:pPr>
        <w:rPr>
          <w:rFonts w:cstheme="minorHAnsi"/>
        </w:rPr>
      </w:pPr>
      <w:r>
        <w:rPr>
          <w:rFonts w:cstheme="minorHAnsi"/>
        </w:rPr>
        <w:t>The measure calculation</w:t>
      </w:r>
      <w:r w:rsidR="00904C7B">
        <w:rPr>
          <w:rFonts w:cstheme="minorHAnsi"/>
        </w:rPr>
        <w:t xml:space="preserve"> spreadsheets are attached here.</w:t>
      </w:r>
    </w:p>
    <w:p w:rsidR="00612041" w:rsidRPr="00697868" w:rsidRDefault="00612041" w:rsidP="00E16609">
      <w:pPr>
        <w:rPr>
          <w:rFonts w:cstheme="minorHAnsi"/>
        </w:rPr>
      </w:pPr>
    </w:p>
    <w:bookmarkStart w:id="42" w:name="_MON_1462259903"/>
    <w:bookmarkEnd w:id="42"/>
    <w:p w:rsidR="00FE7D72" w:rsidRDefault="00FE7D72" w:rsidP="00AB6671">
      <w:pPr>
        <w:rPr>
          <w:rFonts w:cstheme="minorHAnsi"/>
        </w:rPr>
      </w:pPr>
      <w:r>
        <w:rPr>
          <w:rFonts w:cstheme="minorHAnsi"/>
        </w:rPr>
        <w:object w:dxaOrig="1531" w:dyaOrig="9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35pt;height:49.8pt" o:ole="">
            <v:imagedata r:id="rId23" o:title=""/>
          </v:shape>
          <o:OLEObject Type="Embed" ProgID="Excel.SheetMacroEnabled.12" ShapeID="_x0000_i1025" DrawAspect="Icon" ObjectID="_1462884759" r:id="rId24"/>
        </w:object>
      </w:r>
    </w:p>
    <w:p w:rsidR="00FE7D72" w:rsidRDefault="00FE7D72" w:rsidP="00AB6671">
      <w:pPr>
        <w:rPr>
          <w:rFonts w:cstheme="minorHAnsi"/>
        </w:rPr>
      </w:pPr>
    </w:p>
    <w:bookmarkStart w:id="43" w:name="_MON_1462259898"/>
    <w:bookmarkEnd w:id="43"/>
    <w:p w:rsidR="00FE7D72" w:rsidRDefault="00757000" w:rsidP="00AB6671">
      <w:pPr>
        <w:rPr>
          <w:rFonts w:cstheme="minorHAnsi"/>
        </w:rPr>
      </w:pPr>
      <w:r>
        <w:rPr>
          <w:rFonts w:cstheme="minorHAnsi"/>
        </w:rPr>
        <w:object w:dxaOrig="2069" w:dyaOrig="1320">
          <v:shape id="_x0000_i1026" type="#_x0000_t75" style="width:103.4pt;height:66.65pt" o:ole="">
            <v:imagedata r:id="rId25" o:title=""/>
          </v:shape>
          <o:OLEObject Type="Embed" ProgID="Excel.Sheet.12" ShapeID="_x0000_i1026" DrawAspect="Icon" ObjectID="_1462884760" r:id="rId26"/>
        </w:object>
      </w:r>
    </w:p>
    <w:p w:rsidR="00FE7D72" w:rsidRDefault="00FE7D72" w:rsidP="00AB6671">
      <w:pPr>
        <w:rPr>
          <w:rFonts w:cstheme="minorHAnsi"/>
        </w:rPr>
      </w:pPr>
    </w:p>
    <w:bookmarkStart w:id="44" w:name="_MON_1462260317"/>
    <w:bookmarkEnd w:id="44"/>
    <w:p w:rsidR="00AB6671" w:rsidRPr="00AB6671" w:rsidRDefault="00757000" w:rsidP="00AB6671">
      <w:pPr>
        <w:rPr>
          <w:rFonts w:cstheme="minorHAnsi"/>
        </w:rPr>
      </w:pPr>
      <w:r>
        <w:rPr>
          <w:rFonts w:cstheme="minorHAnsi"/>
        </w:rPr>
        <w:object w:dxaOrig="2069" w:dyaOrig="1320">
          <v:shape id="_x0000_i1027" type="#_x0000_t75" style="width:103.4pt;height:66.65pt" o:ole="">
            <v:imagedata r:id="rId27" o:title=""/>
          </v:shape>
          <o:OLEObject Type="Embed" ProgID="Excel.Sheet.12" ShapeID="_x0000_i1027" DrawAspect="Icon" ObjectID="_1462884761" r:id="rId28"/>
        </w:object>
      </w:r>
    </w:p>
    <w:p w:rsidR="00AB6671" w:rsidRDefault="00AB6671">
      <w:pPr>
        <w:spacing w:after="200" w:line="276" w:lineRule="auto"/>
        <w:rPr>
          <w:rFonts w:cstheme="minorHAnsi"/>
          <w:b/>
          <w:bCs/>
          <w:smallCaps/>
          <w:kern w:val="32"/>
          <w:sz w:val="36"/>
          <w:szCs w:val="32"/>
        </w:rPr>
      </w:pPr>
      <w:r>
        <w:rPr>
          <w:rFonts w:cstheme="minorHAnsi"/>
        </w:rPr>
        <w:br w:type="page"/>
      </w:r>
    </w:p>
    <w:p w:rsidR="00C54EFF" w:rsidRPr="00904C7B" w:rsidRDefault="00C54EFF" w:rsidP="00904C7B">
      <w:pPr>
        <w:pStyle w:val="Heading1"/>
        <w:rPr>
          <w:rFonts w:asciiTheme="minorHAnsi" w:hAnsiTheme="minorHAnsi" w:cstheme="minorHAnsi"/>
        </w:rPr>
      </w:pPr>
      <w:r w:rsidRPr="00697868">
        <w:rPr>
          <w:rFonts w:asciiTheme="minorHAnsi" w:hAnsiTheme="minorHAnsi" w:cstheme="minorHAnsi"/>
        </w:rPr>
        <w:lastRenderedPageBreak/>
        <w:t>References</w:t>
      </w:r>
    </w:p>
    <w:p w:rsidR="006023F7" w:rsidRDefault="006023F7" w:rsidP="006023F7">
      <w:pPr>
        <w:pStyle w:val="Reminders"/>
        <w:rPr>
          <w:rStyle w:val="ReminderChar"/>
          <w:rFonts w:asciiTheme="minorHAnsi" w:hAnsiTheme="minorHAnsi" w:cstheme="minorHAnsi"/>
          <w:sz w:val="22"/>
          <w:szCs w:val="22"/>
        </w:rPr>
      </w:pPr>
    </w:p>
    <w:p w:rsidR="005449AE" w:rsidRDefault="005449AE" w:rsidP="005449AE">
      <w:pPr>
        <w:pStyle w:val="ListParagraph"/>
        <w:numPr>
          <w:ilvl w:val="0"/>
          <w:numId w:val="11"/>
        </w:numPr>
      </w:pPr>
      <w:bookmarkStart w:id="45" w:name="_Ref327947076"/>
      <w:r>
        <w:t xml:space="preserve">Jim Cole, "Summary of Findings of CIEE Technology Assessment of Energy-Efficient Belt Transmission," Cogged V-belts typical efficiency improvement of 3%... University of California Berkeley, Memorandum, August 17, 1994.  Attached paper by Almeida, </w:t>
      </w:r>
      <w:proofErr w:type="spellStart"/>
      <w:r>
        <w:t>Anibal</w:t>
      </w:r>
      <w:proofErr w:type="spellEnd"/>
      <w:r>
        <w:t xml:space="preserve"> De, University of Coimbra, and Steve Greenberg, Lawrence Berkeley laboratory.</w:t>
      </w:r>
      <w:bookmarkEnd w:id="45"/>
    </w:p>
    <w:p w:rsidR="005449AE" w:rsidRDefault="005449AE" w:rsidP="005449AE"/>
    <w:p w:rsidR="005449AE" w:rsidRDefault="005449AE" w:rsidP="005449AE">
      <w:pPr>
        <w:pStyle w:val="ListParagraph"/>
        <w:numPr>
          <w:ilvl w:val="0"/>
          <w:numId w:val="11"/>
        </w:numPr>
      </w:pPr>
      <w:bookmarkStart w:id="46" w:name="_Ref327947100"/>
      <w:r>
        <w:t>"Gates Corporation Announces New EPDM Modeled Notch V-belts, June 2010 (Assumed 3% efficiency improvement)  http://www.gates.com/news/index.cfm?id=11296$show=newsitem&amp;location _id=753&amp;view=Gates</w:t>
      </w:r>
      <w:bookmarkEnd w:id="46"/>
    </w:p>
    <w:p w:rsidR="005449AE" w:rsidRDefault="005449AE" w:rsidP="005449AE"/>
    <w:p w:rsidR="005449AE" w:rsidRDefault="005449AE" w:rsidP="005449AE">
      <w:pPr>
        <w:pStyle w:val="ListParagraph"/>
        <w:numPr>
          <w:ilvl w:val="0"/>
          <w:numId w:val="11"/>
        </w:numPr>
      </w:pPr>
      <w:bookmarkStart w:id="47" w:name="_Ref327947109"/>
      <w:proofErr w:type="spellStart"/>
      <w:r>
        <w:t>Ula</w:t>
      </w:r>
      <w:proofErr w:type="spellEnd"/>
      <w:r>
        <w:t xml:space="preserve">, </w:t>
      </w:r>
      <w:proofErr w:type="spellStart"/>
      <w:r>
        <w:t>Sadrul</w:t>
      </w:r>
      <w:proofErr w:type="spellEnd"/>
      <w:r>
        <w:t xml:space="preserve">, Larry E. Birnbaum, Don Jordan, "Energy Efficient </w:t>
      </w:r>
      <w:proofErr w:type="spellStart"/>
      <w:r>
        <w:t>Drivepower</w:t>
      </w:r>
      <w:proofErr w:type="spellEnd"/>
      <w:r>
        <w:t xml:space="preserve">: An Overview," Electrical Engineering </w:t>
      </w:r>
      <w:proofErr w:type="spellStart"/>
      <w:r>
        <w:t>Dept</w:t>
      </w:r>
      <w:proofErr w:type="spellEnd"/>
      <w:r>
        <w:t>, University of Wyoming, for Bonneville Power Administration, (1% to 2% page 33).</w:t>
      </w:r>
      <w:bookmarkEnd w:id="47"/>
    </w:p>
    <w:p w:rsidR="005449AE" w:rsidRDefault="005449AE" w:rsidP="005449AE"/>
    <w:p w:rsidR="005449AE" w:rsidRDefault="005449AE" w:rsidP="005449AE">
      <w:pPr>
        <w:pStyle w:val="ListParagraph"/>
        <w:numPr>
          <w:ilvl w:val="0"/>
          <w:numId w:val="11"/>
        </w:numPr>
      </w:pPr>
      <w:bookmarkStart w:id="48" w:name="_Ref327947113"/>
      <w:r>
        <w:t>"Energy Loss and Efficiency of Power Transmission Belts," Advanced Engineering Research, Belt Technical Center, Carlisle Power Transmission Products, Third Work Energy Engineering Congress, Association of Energy Engineers, 1977. (Conclusion: "…classical B-section cogged belts ...demonstrated the largest energy savings, ranging from 3 to 6 percent."</w:t>
      </w:r>
      <w:bookmarkEnd w:id="48"/>
    </w:p>
    <w:p w:rsidR="005449AE" w:rsidRDefault="005449AE" w:rsidP="005449AE">
      <w:pPr>
        <w:pStyle w:val="ListParagraph"/>
      </w:pPr>
    </w:p>
    <w:p w:rsidR="005449AE" w:rsidRDefault="005449AE" w:rsidP="005449AE">
      <w:pPr>
        <w:pStyle w:val="ListParagraph"/>
        <w:numPr>
          <w:ilvl w:val="0"/>
          <w:numId w:val="11"/>
        </w:numPr>
      </w:pPr>
      <w:bookmarkStart w:id="49" w:name="_Ref327947147"/>
      <w:r>
        <w:t xml:space="preserve">Motor System Tip Sheet #5, Replace V-belts with Cogged or Synchronous Belt Drives,” USDOE-EERE, September 2005. (Specified 2% based on review of same references) </w:t>
      </w:r>
      <w:hyperlink r:id="rId29" w:history="1">
        <w:r w:rsidRPr="005564B2">
          <w:rPr>
            <w:rStyle w:val="Hyperlink"/>
          </w:rPr>
          <w:t>http://www1.eere.energy.gov/industry/bestpractices/pdfs/replace_vbelts_motor_systemts5.pdf</w:t>
        </w:r>
      </w:hyperlink>
      <w:bookmarkEnd w:id="49"/>
    </w:p>
    <w:p w:rsidR="005449AE" w:rsidRDefault="005449AE" w:rsidP="005449AE">
      <w:pPr>
        <w:pStyle w:val="ListParagraph"/>
      </w:pPr>
    </w:p>
    <w:p w:rsidR="005449AE" w:rsidRDefault="005449AE" w:rsidP="005449AE">
      <w:pPr>
        <w:pStyle w:val="ListParagraph"/>
        <w:numPr>
          <w:ilvl w:val="0"/>
          <w:numId w:val="11"/>
        </w:numPr>
      </w:pPr>
      <w:bookmarkStart w:id="50" w:name="_Ref386189575"/>
      <w:r>
        <w:t xml:space="preserve">Grainger catalog on-line web-site for Dayton V-belt pricing </w:t>
      </w:r>
      <w:hyperlink r:id="rId30" w:history="1">
        <w:r w:rsidRPr="005564B2">
          <w:rPr>
            <w:rStyle w:val="Hyperlink"/>
          </w:rPr>
          <w:t>http://www.grainger.com/Grainger/ecatalog/N-1z0r596/Ntt-V-belts</w:t>
        </w:r>
      </w:hyperlink>
      <w:bookmarkEnd w:id="50"/>
    </w:p>
    <w:p w:rsidR="005449AE" w:rsidRDefault="005449AE" w:rsidP="005449AE">
      <w:pPr>
        <w:pStyle w:val="ListParagraph"/>
      </w:pPr>
    </w:p>
    <w:p w:rsidR="006023F7" w:rsidRPr="00904C7B" w:rsidRDefault="00257C5A" w:rsidP="006023F7">
      <w:pPr>
        <w:pStyle w:val="ListParagraph"/>
        <w:numPr>
          <w:ilvl w:val="0"/>
          <w:numId w:val="11"/>
        </w:numPr>
        <w:rPr>
          <w:rStyle w:val="ReminderChar"/>
          <w:rFonts w:ascii="Times New Roman" w:hAnsi="Times New Roman"/>
          <w:i w:val="0"/>
          <w:color w:val="auto"/>
        </w:rPr>
      </w:pPr>
      <w:bookmarkStart w:id="51" w:name="_Ref386195297"/>
      <w:bookmarkStart w:id="52" w:name="_Ref327947394"/>
      <w:proofErr w:type="spellStart"/>
      <w:proofErr w:type="gramStart"/>
      <w:r>
        <w:t>eQUEST</w:t>
      </w:r>
      <w:proofErr w:type="spellEnd"/>
      <w:proofErr w:type="gramEnd"/>
      <w:r>
        <w:t xml:space="preserve"> – building energy use and cost analysis software, developed by James J. Hirsch &amp; Associates, version 3.64.</w:t>
      </w:r>
      <w:bookmarkEnd w:id="51"/>
      <w:bookmarkEnd w:id="52"/>
    </w:p>
    <w:p w:rsidR="006023F7" w:rsidRPr="00697868" w:rsidRDefault="006023F7" w:rsidP="006023F7">
      <w:pPr>
        <w:pStyle w:val="Reminders"/>
        <w:rPr>
          <w:rStyle w:val="ReminderChar"/>
          <w:rFonts w:asciiTheme="minorHAnsi" w:hAnsiTheme="minorHAnsi" w:cstheme="minorHAnsi"/>
          <w:sz w:val="22"/>
          <w:szCs w:val="22"/>
        </w:rPr>
      </w:pPr>
    </w:p>
    <w:bookmarkStart w:id="53" w:name="_MON_1452317246"/>
    <w:bookmarkEnd w:id="53"/>
    <w:p w:rsidR="00D44C3C" w:rsidRDefault="009E4559" w:rsidP="009824E9">
      <w:r>
        <w:object w:dxaOrig="2040" w:dyaOrig="1320">
          <v:shape id="_x0000_i1028" type="#_x0000_t75" style="width:101.85pt;height:66.65pt" o:ole="">
            <v:imagedata r:id="rId31" o:title=""/>
          </v:shape>
          <o:OLEObject Type="Embed" ProgID="Excel.Sheet.12" ShapeID="_x0000_i1028" DrawAspect="Icon" ObjectID="_1462884762" r:id="rId32"/>
        </w:object>
      </w:r>
    </w:p>
    <w:p w:rsidR="00D44C3C" w:rsidRDefault="00D44C3C" w:rsidP="009824E9"/>
    <w:p w:rsidR="009824E9" w:rsidRDefault="009824E9" w:rsidP="00D44C3C"/>
    <w:sectPr w:rsidR="009824E9" w:rsidSect="00D44C3C">
      <w:footerReference w:type="default" r:id="rId33"/>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44B0" w:rsidRDefault="00FD44B0" w:rsidP="00447D6E">
      <w:r>
        <w:separator/>
      </w:r>
    </w:p>
  </w:endnote>
  <w:endnote w:type="continuationSeparator" w:id="0">
    <w:p w:rsidR="00FD44B0" w:rsidRDefault="00FD44B0"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2199" w:rsidRDefault="00362199" w:rsidP="00362199">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362199" w:rsidRDefault="0036219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4BEA" w:rsidRPr="00846195" w:rsidRDefault="005D4BEA" w:rsidP="00E57743">
    <w:pPr>
      <w:pStyle w:val="Footer"/>
      <w:framePr w:wrap="around" w:vAnchor="text" w:hAnchor="margin" w:xAlign="center" w:y="1"/>
      <w:rPr>
        <w:rStyle w:val="PageNumber"/>
        <w:b/>
        <w:sz w:val="20"/>
        <w:szCs w:val="20"/>
      </w:rPr>
    </w:pPr>
    <w:r w:rsidRPr="00846195">
      <w:rPr>
        <w:rStyle w:val="PageNumber"/>
        <w:b/>
        <w:sz w:val="20"/>
        <w:szCs w:val="20"/>
      </w:rPr>
      <w:fldChar w:fldCharType="begin"/>
    </w:r>
    <w:r w:rsidRPr="00846195">
      <w:rPr>
        <w:rStyle w:val="PageNumber"/>
        <w:b/>
        <w:sz w:val="20"/>
        <w:szCs w:val="20"/>
      </w:rPr>
      <w:instrText xml:space="preserve">PAGE  </w:instrText>
    </w:r>
    <w:r w:rsidRPr="00846195">
      <w:rPr>
        <w:rStyle w:val="PageNumber"/>
        <w:b/>
        <w:sz w:val="20"/>
        <w:szCs w:val="20"/>
      </w:rPr>
      <w:fldChar w:fldCharType="separate"/>
    </w:r>
    <w:r w:rsidR="00053D13">
      <w:rPr>
        <w:rStyle w:val="PageNumber"/>
        <w:b/>
        <w:noProof/>
        <w:sz w:val="20"/>
        <w:szCs w:val="20"/>
      </w:rPr>
      <w:t>iii</w:t>
    </w:r>
    <w:r w:rsidRPr="00846195">
      <w:rPr>
        <w:rStyle w:val="PageNumber"/>
        <w:b/>
        <w:sz w:val="20"/>
        <w:szCs w:val="20"/>
      </w:rPr>
      <w:fldChar w:fldCharType="end"/>
    </w:r>
  </w:p>
  <w:p w:rsidR="005D4BEA" w:rsidRDefault="0090390C" w:rsidP="00D7047A">
    <w:pPr>
      <w:pStyle w:val="Footer"/>
      <w:pBdr>
        <w:top w:val="single" w:sz="4" w:space="1" w:color="auto"/>
      </w:pBdr>
      <w:rPr>
        <w:b/>
        <w:sz w:val="20"/>
        <w:szCs w:val="20"/>
      </w:rPr>
    </w:pPr>
    <w:r w:rsidRPr="00DD3825">
      <w:rPr>
        <w:b/>
        <w:sz w:val="20"/>
        <w:szCs w:val="20"/>
      </w:rPr>
      <w:t>PGECOHVC1</w:t>
    </w:r>
    <w:r>
      <w:rPr>
        <w:b/>
        <w:sz w:val="20"/>
        <w:szCs w:val="20"/>
      </w:rPr>
      <w:t>44 Cogged V-Belts</w:t>
    </w:r>
    <w:r w:rsidRPr="00DD3825">
      <w:rPr>
        <w:b/>
        <w:sz w:val="20"/>
        <w:szCs w:val="20"/>
      </w:rPr>
      <w:t xml:space="preserve">, Revision </w:t>
    </w:r>
    <w:r>
      <w:rPr>
        <w:b/>
        <w:sz w:val="20"/>
        <w:szCs w:val="20"/>
      </w:rPr>
      <w:t>1</w:t>
    </w:r>
    <w:r w:rsidR="005D4BEA">
      <w:rPr>
        <w:b/>
        <w:sz w:val="20"/>
        <w:szCs w:val="20"/>
      </w:rPr>
      <w:tab/>
    </w:r>
    <w:r w:rsidR="005D4BEA">
      <w:rPr>
        <w:b/>
        <w:sz w:val="20"/>
        <w:szCs w:val="20"/>
      </w:rPr>
      <w:tab/>
    </w:r>
    <w:r>
      <w:rPr>
        <w:b/>
        <w:sz w:val="20"/>
        <w:szCs w:val="20"/>
      </w:rPr>
      <w:t>05</w:t>
    </w:r>
    <w:r w:rsidR="005D4BEA">
      <w:rPr>
        <w:b/>
        <w:sz w:val="20"/>
        <w:szCs w:val="20"/>
      </w:rPr>
      <w:t>/2</w:t>
    </w:r>
    <w:r>
      <w:rPr>
        <w:b/>
        <w:sz w:val="20"/>
        <w:szCs w:val="20"/>
      </w:rPr>
      <w:t>9</w:t>
    </w:r>
    <w:r w:rsidR="005D4BEA">
      <w:rPr>
        <w:b/>
        <w:sz w:val="20"/>
        <w:szCs w:val="20"/>
      </w:rPr>
      <w:t>/20</w:t>
    </w:r>
    <w:r>
      <w:rPr>
        <w:b/>
        <w:sz w:val="20"/>
        <w:szCs w:val="20"/>
      </w:rPr>
      <w:t>14</w:t>
    </w:r>
  </w:p>
  <w:p w:rsidR="005D4BEA" w:rsidRDefault="005D4BEA" w:rsidP="00D7047A">
    <w:pPr>
      <w:pStyle w:val="Footer"/>
      <w:rPr>
        <w:b/>
        <w:sz w:val="20"/>
        <w:szCs w:val="20"/>
      </w:rPr>
    </w:pPr>
    <w:r>
      <w:rPr>
        <w:b/>
        <w:sz w:val="20"/>
        <w:szCs w:val="20"/>
      </w:rPr>
      <w:t>Pacific Gas &amp; Electric Company</w:t>
    </w:r>
  </w:p>
  <w:p w:rsidR="005D4BEA" w:rsidRPr="00844B27" w:rsidRDefault="005D4BEA" w:rsidP="00D7047A">
    <w:pPr>
      <w:pStyle w:val="Footer"/>
      <w:rPr>
        <w:b/>
        <w:color w:val="0000FF"/>
        <w:sz w:val="20"/>
        <w:szCs w:val="20"/>
      </w:rPr>
    </w:pPr>
    <w:r w:rsidRPr="00844B27">
      <w:rPr>
        <w:b/>
        <w:color w:val="0000FF"/>
        <w:sz w:val="20"/>
        <w:szCs w:val="20"/>
      </w:rPr>
      <w:fldChar w:fldCharType="begin"/>
    </w:r>
    <w:r w:rsidRPr="00844B27">
      <w:rPr>
        <w:b/>
        <w:color w:val="0000FF"/>
        <w:sz w:val="20"/>
        <w:szCs w:val="20"/>
      </w:rPr>
      <w:instrText xml:space="preserve"> FILENAME </w:instrText>
    </w:r>
    <w:r w:rsidRPr="00844B27">
      <w:rPr>
        <w:b/>
        <w:color w:val="0000FF"/>
        <w:sz w:val="20"/>
        <w:szCs w:val="20"/>
      </w:rPr>
      <w:fldChar w:fldCharType="separate"/>
    </w:r>
    <w:r w:rsidR="0090390C">
      <w:rPr>
        <w:b/>
        <w:noProof/>
        <w:color w:val="0000FF"/>
        <w:sz w:val="20"/>
        <w:szCs w:val="20"/>
      </w:rPr>
      <w:t>PGEHVC144 R1 Cogged V-belts_052914.docx</w:t>
    </w:r>
    <w:r w:rsidRPr="00844B27">
      <w:rPr>
        <w:b/>
        <w:color w:val="0000FF"/>
        <w:sz w:val="20"/>
        <w:szCs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2199" w:rsidRPr="002E0E3F" w:rsidRDefault="00362199" w:rsidP="00362199">
    <w:pPr>
      <w:pStyle w:val="Footer"/>
      <w:jc w:val="right"/>
      <w:rPr>
        <w:rFonts w:cs="Arial"/>
        <w:b/>
        <w:sz w:val="36"/>
        <w:szCs w:val="36"/>
      </w:rPr>
    </w:pPr>
    <w:r>
      <w:rPr>
        <w:rFonts w:cs="Arial"/>
        <w:b/>
        <w:sz w:val="36"/>
        <w:szCs w:val="36"/>
      </w:rPr>
      <w:t>Revision 0 5/29/2014</w:t>
    </w:r>
  </w:p>
  <w:p w:rsidR="00362199" w:rsidRDefault="00362199">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2199" w:rsidRPr="009500DC" w:rsidRDefault="00362199" w:rsidP="00447D6E">
    <w:pPr>
      <w:pStyle w:val="Footer"/>
      <w:jc w:val="right"/>
      <w:rPr>
        <w:rFonts w:cstheme="minorHAnsi"/>
      </w:rPr>
    </w:pPr>
    <w:r>
      <w:rPr>
        <w:rFonts w:cstheme="minorHAnsi"/>
        <w:b/>
        <w:sz w:val="36"/>
        <w:szCs w:val="36"/>
      </w:rPr>
      <w:t>April 14, 2014</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2199" w:rsidRPr="009500DC" w:rsidRDefault="00362199" w:rsidP="009500DC">
    <w:pPr>
      <w:pStyle w:val="Footer"/>
      <w:pBdr>
        <w:top w:val="single" w:sz="4" w:space="1" w:color="auto"/>
      </w:pBdr>
      <w:rPr>
        <w:rFonts w:cstheme="minorHAnsi"/>
        <w:b/>
        <w:sz w:val="20"/>
        <w:szCs w:val="20"/>
      </w:rPr>
    </w:pPr>
    <w:r>
      <w:rPr>
        <w:rFonts w:cstheme="minorHAnsi"/>
        <w:b/>
        <w:sz w:val="20"/>
        <w:szCs w:val="20"/>
      </w:rPr>
      <w:t>SCE15HC040</w:t>
    </w:r>
    <w:r w:rsidRPr="009500DC">
      <w:rPr>
        <w:rFonts w:cstheme="minorHAnsi"/>
        <w:b/>
        <w:sz w:val="20"/>
        <w:szCs w:val="20"/>
      </w:rPr>
      <w:t xml:space="preserve">, Revision </w:t>
    </w:r>
    <w:r>
      <w:rPr>
        <w:rFonts w:cstheme="minorHAnsi"/>
        <w:b/>
        <w:sz w:val="20"/>
        <w:szCs w:val="20"/>
      </w:rPr>
      <w:t>1</w:t>
    </w:r>
    <w:r w:rsidRPr="009500DC">
      <w:rPr>
        <w:rFonts w:cstheme="minorHAnsi"/>
        <w:b/>
        <w:sz w:val="20"/>
        <w:szCs w:val="20"/>
      </w:rPr>
      <w:tab/>
    </w:r>
    <w:r w:rsidRPr="009500DC">
      <w:rPr>
        <w:rFonts w:cstheme="minorHAnsi"/>
        <w:b/>
        <w:sz w:val="20"/>
        <w:szCs w:val="20"/>
      </w:rPr>
      <w:fldChar w:fldCharType="begin"/>
    </w:r>
    <w:r w:rsidRPr="009500DC">
      <w:rPr>
        <w:rFonts w:cstheme="minorHAnsi"/>
        <w:b/>
        <w:sz w:val="20"/>
        <w:szCs w:val="20"/>
      </w:rPr>
      <w:instrText xml:space="preserve"> PAGE   \* MERGEFORMAT </w:instrText>
    </w:r>
    <w:r w:rsidRPr="009500DC">
      <w:rPr>
        <w:rFonts w:cstheme="minorHAnsi"/>
        <w:b/>
        <w:sz w:val="20"/>
        <w:szCs w:val="20"/>
      </w:rPr>
      <w:fldChar w:fldCharType="separate"/>
    </w:r>
    <w:r w:rsidR="00053D13">
      <w:rPr>
        <w:rFonts w:cstheme="minorHAnsi"/>
        <w:b/>
        <w:noProof/>
        <w:sz w:val="20"/>
        <w:szCs w:val="20"/>
      </w:rPr>
      <w:t>i</w:t>
    </w:r>
    <w:r w:rsidRPr="009500DC">
      <w:rPr>
        <w:rFonts w:cstheme="minorHAnsi"/>
        <w:b/>
        <w:noProof/>
        <w:sz w:val="20"/>
        <w:szCs w:val="20"/>
      </w:rPr>
      <w:fldChar w:fldCharType="end"/>
    </w:r>
    <w:r w:rsidRPr="009500DC">
      <w:rPr>
        <w:rFonts w:cstheme="minorHAnsi"/>
        <w:b/>
        <w:sz w:val="20"/>
        <w:szCs w:val="20"/>
      </w:rPr>
      <w:tab/>
    </w:r>
    <w:r>
      <w:rPr>
        <w:rFonts w:cstheme="minorHAnsi"/>
        <w:b/>
        <w:sz w:val="20"/>
        <w:szCs w:val="20"/>
      </w:rPr>
      <w:t>April 14, 2014</w:t>
    </w:r>
  </w:p>
  <w:p w:rsidR="00362199" w:rsidRPr="009500DC" w:rsidRDefault="00362199" w:rsidP="009500DC">
    <w:pPr>
      <w:pStyle w:val="Footer"/>
      <w:pBdr>
        <w:top w:val="single" w:sz="4" w:space="1" w:color="auto"/>
      </w:pBdr>
      <w:rPr>
        <w:rFonts w:cstheme="minorHAnsi"/>
      </w:rPr>
    </w:pPr>
    <w:r w:rsidRPr="009500DC">
      <w:rPr>
        <w:rFonts w:cstheme="minorHAnsi"/>
        <w:b/>
        <w:sz w:val="20"/>
        <w:szCs w:val="20"/>
      </w:rPr>
      <w:t>Southern California Edison</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7000" w:rsidRPr="00D44C3C" w:rsidRDefault="00757000" w:rsidP="00D44C3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44B0" w:rsidRDefault="00FD44B0" w:rsidP="00447D6E">
      <w:r>
        <w:separator/>
      </w:r>
    </w:p>
  </w:footnote>
  <w:footnote w:type="continuationSeparator" w:id="0">
    <w:p w:rsidR="00FD44B0" w:rsidRDefault="00FD44B0" w:rsidP="00447D6E">
      <w:r>
        <w:continuationSeparator/>
      </w:r>
    </w:p>
  </w:footnote>
  <w:footnote w:id="1">
    <w:p w:rsidR="00757000" w:rsidRDefault="00757000">
      <w:pPr>
        <w:pStyle w:val="FootnoteText"/>
      </w:pPr>
      <w:r>
        <w:rPr>
          <w:rStyle w:val="FootnoteReference"/>
        </w:rPr>
        <w:footnoteRef/>
      </w:r>
      <w:r>
        <w:t xml:space="preserve"> www.deeresources.com</w:t>
      </w:r>
    </w:p>
  </w:footnote>
  <w:footnote w:id="2">
    <w:p w:rsidR="00757000" w:rsidRDefault="00757000">
      <w:pPr>
        <w:pStyle w:val="FootnoteText"/>
      </w:pPr>
      <w:r>
        <w:rPr>
          <w:rStyle w:val="FootnoteReference"/>
        </w:rPr>
        <w:footnoteRef/>
      </w:r>
      <w:r>
        <w:t xml:space="preserve"> www.doe2.com</w:t>
      </w:r>
    </w:p>
  </w:footnote>
  <w:footnote w:id="3">
    <w:p w:rsidR="00757000" w:rsidRDefault="00757000">
      <w:pPr>
        <w:pStyle w:val="FootnoteText"/>
      </w:pPr>
      <w:r>
        <w:rPr>
          <w:rStyle w:val="FootnoteReference"/>
        </w:rPr>
        <w:footnoteRef/>
      </w:r>
      <w:r>
        <w:t xml:space="preserve"> www.deeresources.com</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2199" w:rsidRDefault="00FD44B0">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49" type="#_x0000_t136" style="position:absolute;margin-left:0;margin-top:0;width:435.05pt;height:174pt;rotation:315;z-index:-251658752;mso-position-horizontal:center;mso-position-horizontal-relative:margin;mso-position-vertical:center;mso-position-vertical-relative:margin" wrapcoords="21302 2421 14003 2421 13966 2793 14561 4562 14561 8752 11619 2328 11470 1955 10502 9124 8081 3817 7188 2141 7001 2514 5288 2421 4841 2421 4841 2886 5437 4934 5400 6890 3426 3352 2942 2514 223 2421 74 2514 112 3072 670 5586 521 15828 0 16479 74 16572 186 16945 2644 16852 3240 16293 3724 15362 3910 15828 5102 17131 5214 17038 6108 17131 6703 16852 6741 16572 6108 12941 7039 15269 8417 17503 8603 17038 10577 16945 10577 16386 10167 14617 10390 13034 11582 16107 12550 17690 12811 17038 15306 16945 15902 16852 15902 16386 15269 14803 15269 10521 15865 9869 18583 16666 19217 17969 19552 17038 20371 16945 20520 16852 20446 16200 19924 13686 19924 5307 20036 3538 21041 5586 21377 5959 21451 4934 21414 2700 21302 2421" fillcolor="silver" stroked="f">
          <v:fill opacity=".5"/>
          <v:textpath style="font-family:&quot;Times New Roman&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2199" w:rsidRDefault="00362199" w:rsidP="00362199">
    <w:pPr>
      <w:pStyle w:val="Header"/>
      <w:jc w:val="right"/>
    </w:pPr>
  </w:p>
  <w:p w:rsidR="00362199" w:rsidRDefault="00362199" w:rsidP="00362199">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2A5C47E2"/>
    <w:multiLevelType w:val="hybridMultilevel"/>
    <w:tmpl w:val="46DA77DC"/>
    <w:lvl w:ilvl="0" w:tplc="415A7DFA">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4">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3EFB70C2"/>
    <w:multiLevelType w:val="hybridMultilevel"/>
    <w:tmpl w:val="26306A2C"/>
    <w:lvl w:ilvl="0" w:tplc="A4C2536E">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8C7420B"/>
    <w:multiLevelType w:val="hybridMultilevel"/>
    <w:tmpl w:val="C67AD5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E02735A"/>
    <w:multiLevelType w:val="hybridMultilevel"/>
    <w:tmpl w:val="2DBA90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5"/>
  </w:num>
  <w:num w:numId="3">
    <w:abstractNumId w:val="4"/>
  </w:num>
  <w:num w:numId="4">
    <w:abstractNumId w:val="2"/>
  </w:num>
  <w:num w:numId="5">
    <w:abstractNumId w:val="2"/>
  </w:num>
  <w:num w:numId="6">
    <w:abstractNumId w:val="0"/>
  </w:num>
  <w:num w:numId="7">
    <w:abstractNumId w:val="6"/>
  </w:num>
  <w:num w:numId="8">
    <w:abstractNumId w:val="3"/>
  </w:num>
  <w:num w:numId="9">
    <w:abstractNumId w:val="9"/>
  </w:num>
  <w:num w:numId="10">
    <w:abstractNumId w:val="8"/>
  </w:num>
  <w:num w:numId="11">
    <w:abstractNumId w:val="1"/>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20"/>
  <w:characterSpacingControl w:val="doNotCompress"/>
  <w:hdrShapeDefaults>
    <o:shapedefaults v:ext="edit" spidmax="2050"/>
    <o:shapelayout v:ext="edit">
      <o:idmap v:ext="edit" data="2"/>
    </o:shapelayout>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1599B"/>
    <w:rsid w:val="00020125"/>
    <w:rsid w:val="00027183"/>
    <w:rsid w:val="00033EA1"/>
    <w:rsid w:val="00053D13"/>
    <w:rsid w:val="00056947"/>
    <w:rsid w:val="00076DF4"/>
    <w:rsid w:val="0009074D"/>
    <w:rsid w:val="0009592B"/>
    <w:rsid w:val="000968C6"/>
    <w:rsid w:val="000A63C9"/>
    <w:rsid w:val="000C0000"/>
    <w:rsid w:val="000C16D4"/>
    <w:rsid w:val="000C18CC"/>
    <w:rsid w:val="000E6F77"/>
    <w:rsid w:val="000F130A"/>
    <w:rsid w:val="000F71F0"/>
    <w:rsid w:val="00107242"/>
    <w:rsid w:val="00111CB9"/>
    <w:rsid w:val="001206F7"/>
    <w:rsid w:val="00125784"/>
    <w:rsid w:val="00126CC9"/>
    <w:rsid w:val="00136D21"/>
    <w:rsid w:val="00147155"/>
    <w:rsid w:val="00153CB3"/>
    <w:rsid w:val="00157C32"/>
    <w:rsid w:val="00165357"/>
    <w:rsid w:val="001811EE"/>
    <w:rsid w:val="00192A82"/>
    <w:rsid w:val="00197953"/>
    <w:rsid w:val="001A0EB4"/>
    <w:rsid w:val="001A5F62"/>
    <w:rsid w:val="001A61B3"/>
    <w:rsid w:val="001B618B"/>
    <w:rsid w:val="001C4140"/>
    <w:rsid w:val="001C5A94"/>
    <w:rsid w:val="001E0829"/>
    <w:rsid w:val="001F05CE"/>
    <w:rsid w:val="001F4A65"/>
    <w:rsid w:val="002145C2"/>
    <w:rsid w:val="0022193F"/>
    <w:rsid w:val="0023254A"/>
    <w:rsid w:val="00232888"/>
    <w:rsid w:val="00240B74"/>
    <w:rsid w:val="00257C5A"/>
    <w:rsid w:val="0026787D"/>
    <w:rsid w:val="00274FBE"/>
    <w:rsid w:val="002762E1"/>
    <w:rsid w:val="002811BC"/>
    <w:rsid w:val="00283DE8"/>
    <w:rsid w:val="00285966"/>
    <w:rsid w:val="00290ED8"/>
    <w:rsid w:val="00292A37"/>
    <w:rsid w:val="00296CEB"/>
    <w:rsid w:val="002A1477"/>
    <w:rsid w:val="002A3D26"/>
    <w:rsid w:val="002A7829"/>
    <w:rsid w:val="002B1ADF"/>
    <w:rsid w:val="002C444C"/>
    <w:rsid w:val="002C6C7A"/>
    <w:rsid w:val="002D13D2"/>
    <w:rsid w:val="002F1437"/>
    <w:rsid w:val="002F3943"/>
    <w:rsid w:val="0030363A"/>
    <w:rsid w:val="00304601"/>
    <w:rsid w:val="00332700"/>
    <w:rsid w:val="00345D80"/>
    <w:rsid w:val="003471D4"/>
    <w:rsid w:val="0035580A"/>
    <w:rsid w:val="003560BA"/>
    <w:rsid w:val="00362199"/>
    <w:rsid w:val="0036462D"/>
    <w:rsid w:val="00371047"/>
    <w:rsid w:val="003718E1"/>
    <w:rsid w:val="003832D2"/>
    <w:rsid w:val="003A15EB"/>
    <w:rsid w:val="003A3C8D"/>
    <w:rsid w:val="003A6AE6"/>
    <w:rsid w:val="003B59E1"/>
    <w:rsid w:val="003C175E"/>
    <w:rsid w:val="003D2871"/>
    <w:rsid w:val="003D5B83"/>
    <w:rsid w:val="003E2640"/>
    <w:rsid w:val="003E6E47"/>
    <w:rsid w:val="003F0623"/>
    <w:rsid w:val="00405BA6"/>
    <w:rsid w:val="00413CDB"/>
    <w:rsid w:val="004200FE"/>
    <w:rsid w:val="00421183"/>
    <w:rsid w:val="00421C4D"/>
    <w:rsid w:val="004226F2"/>
    <w:rsid w:val="00441957"/>
    <w:rsid w:val="00443D32"/>
    <w:rsid w:val="00447CE5"/>
    <w:rsid w:val="00447D6E"/>
    <w:rsid w:val="0046286E"/>
    <w:rsid w:val="00464AD5"/>
    <w:rsid w:val="00471234"/>
    <w:rsid w:val="00477522"/>
    <w:rsid w:val="00493457"/>
    <w:rsid w:val="00494628"/>
    <w:rsid w:val="004A5AD0"/>
    <w:rsid w:val="004B4A3A"/>
    <w:rsid w:val="004C23F1"/>
    <w:rsid w:val="004C2EB6"/>
    <w:rsid w:val="004C6459"/>
    <w:rsid w:val="004D5E52"/>
    <w:rsid w:val="004E01F5"/>
    <w:rsid w:val="004E76CA"/>
    <w:rsid w:val="0051020F"/>
    <w:rsid w:val="005449AE"/>
    <w:rsid w:val="00560934"/>
    <w:rsid w:val="00564960"/>
    <w:rsid w:val="005734A4"/>
    <w:rsid w:val="00577838"/>
    <w:rsid w:val="00584D5F"/>
    <w:rsid w:val="005A0E53"/>
    <w:rsid w:val="005A1078"/>
    <w:rsid w:val="005B1FD3"/>
    <w:rsid w:val="005B28C1"/>
    <w:rsid w:val="005C2E48"/>
    <w:rsid w:val="005D4BEA"/>
    <w:rsid w:val="005D4DD7"/>
    <w:rsid w:val="005E12A9"/>
    <w:rsid w:val="005E6588"/>
    <w:rsid w:val="005F0C5E"/>
    <w:rsid w:val="006023F7"/>
    <w:rsid w:val="00602799"/>
    <w:rsid w:val="00612041"/>
    <w:rsid w:val="00616F6B"/>
    <w:rsid w:val="006404E6"/>
    <w:rsid w:val="00647ABE"/>
    <w:rsid w:val="006513DA"/>
    <w:rsid w:val="00664B05"/>
    <w:rsid w:val="0067437C"/>
    <w:rsid w:val="00696E95"/>
    <w:rsid w:val="00697868"/>
    <w:rsid w:val="006A055F"/>
    <w:rsid w:val="006A5293"/>
    <w:rsid w:val="006B0DF3"/>
    <w:rsid w:val="006B4A48"/>
    <w:rsid w:val="006C430A"/>
    <w:rsid w:val="006C610A"/>
    <w:rsid w:val="006D2809"/>
    <w:rsid w:val="006E3342"/>
    <w:rsid w:val="006E4B12"/>
    <w:rsid w:val="00702242"/>
    <w:rsid w:val="007048AC"/>
    <w:rsid w:val="00733C7D"/>
    <w:rsid w:val="00740761"/>
    <w:rsid w:val="007430DF"/>
    <w:rsid w:val="00745F77"/>
    <w:rsid w:val="007517A3"/>
    <w:rsid w:val="00754E7F"/>
    <w:rsid w:val="00757000"/>
    <w:rsid w:val="00764D0D"/>
    <w:rsid w:val="00780A03"/>
    <w:rsid w:val="007933F1"/>
    <w:rsid w:val="007C2D5D"/>
    <w:rsid w:val="007E0DE8"/>
    <w:rsid w:val="007E1755"/>
    <w:rsid w:val="007E43F8"/>
    <w:rsid w:val="007E656B"/>
    <w:rsid w:val="007F50E8"/>
    <w:rsid w:val="007F7FBA"/>
    <w:rsid w:val="00800319"/>
    <w:rsid w:val="00801F7F"/>
    <w:rsid w:val="00824F1C"/>
    <w:rsid w:val="008302E8"/>
    <w:rsid w:val="0086115C"/>
    <w:rsid w:val="00875BBD"/>
    <w:rsid w:val="00881A42"/>
    <w:rsid w:val="00885E0A"/>
    <w:rsid w:val="0088603B"/>
    <w:rsid w:val="00893FC3"/>
    <w:rsid w:val="0089577B"/>
    <w:rsid w:val="008A57A2"/>
    <w:rsid w:val="008C2E0E"/>
    <w:rsid w:val="008D2F40"/>
    <w:rsid w:val="008E17CC"/>
    <w:rsid w:val="008F33B4"/>
    <w:rsid w:val="0090077A"/>
    <w:rsid w:val="0090390C"/>
    <w:rsid w:val="00904C7B"/>
    <w:rsid w:val="009138A0"/>
    <w:rsid w:val="00922B85"/>
    <w:rsid w:val="00940E3C"/>
    <w:rsid w:val="009500DC"/>
    <w:rsid w:val="00951923"/>
    <w:rsid w:val="00972C81"/>
    <w:rsid w:val="009824E9"/>
    <w:rsid w:val="00995CB0"/>
    <w:rsid w:val="00996EE2"/>
    <w:rsid w:val="00997E77"/>
    <w:rsid w:val="009A2734"/>
    <w:rsid w:val="009B5B7B"/>
    <w:rsid w:val="009C1777"/>
    <w:rsid w:val="009C2C86"/>
    <w:rsid w:val="009C783D"/>
    <w:rsid w:val="009D0753"/>
    <w:rsid w:val="009E1802"/>
    <w:rsid w:val="009E1CDE"/>
    <w:rsid w:val="009E2271"/>
    <w:rsid w:val="009E4559"/>
    <w:rsid w:val="009E51E2"/>
    <w:rsid w:val="009F7A61"/>
    <w:rsid w:val="00A11C16"/>
    <w:rsid w:val="00A1370B"/>
    <w:rsid w:val="00A1423E"/>
    <w:rsid w:val="00A47577"/>
    <w:rsid w:val="00A500D6"/>
    <w:rsid w:val="00A54707"/>
    <w:rsid w:val="00A615AC"/>
    <w:rsid w:val="00A86DA2"/>
    <w:rsid w:val="00AB21F5"/>
    <w:rsid w:val="00AB3386"/>
    <w:rsid w:val="00AB6641"/>
    <w:rsid w:val="00AB6671"/>
    <w:rsid w:val="00AC5309"/>
    <w:rsid w:val="00AD4DD0"/>
    <w:rsid w:val="00AE6E0B"/>
    <w:rsid w:val="00AF53F9"/>
    <w:rsid w:val="00AF6342"/>
    <w:rsid w:val="00B053FB"/>
    <w:rsid w:val="00B07EE5"/>
    <w:rsid w:val="00B119FB"/>
    <w:rsid w:val="00B26778"/>
    <w:rsid w:val="00B26B83"/>
    <w:rsid w:val="00B31B73"/>
    <w:rsid w:val="00B32479"/>
    <w:rsid w:val="00B36A2E"/>
    <w:rsid w:val="00B403ED"/>
    <w:rsid w:val="00B462DA"/>
    <w:rsid w:val="00B46CB2"/>
    <w:rsid w:val="00B72DCB"/>
    <w:rsid w:val="00B866B4"/>
    <w:rsid w:val="00BA1350"/>
    <w:rsid w:val="00BA590A"/>
    <w:rsid w:val="00BA59FF"/>
    <w:rsid w:val="00BB0B39"/>
    <w:rsid w:val="00BB381C"/>
    <w:rsid w:val="00BB5F75"/>
    <w:rsid w:val="00BD1114"/>
    <w:rsid w:val="00BD3931"/>
    <w:rsid w:val="00BD50D5"/>
    <w:rsid w:val="00BD5B88"/>
    <w:rsid w:val="00C171D6"/>
    <w:rsid w:val="00C21959"/>
    <w:rsid w:val="00C24D03"/>
    <w:rsid w:val="00C25E61"/>
    <w:rsid w:val="00C4284D"/>
    <w:rsid w:val="00C50B81"/>
    <w:rsid w:val="00C523C6"/>
    <w:rsid w:val="00C54EFF"/>
    <w:rsid w:val="00C6101A"/>
    <w:rsid w:val="00C72B8B"/>
    <w:rsid w:val="00C74261"/>
    <w:rsid w:val="00C7540B"/>
    <w:rsid w:val="00C84467"/>
    <w:rsid w:val="00CA2AB4"/>
    <w:rsid w:val="00CB0100"/>
    <w:rsid w:val="00CB1E3C"/>
    <w:rsid w:val="00CE28CF"/>
    <w:rsid w:val="00CE2B95"/>
    <w:rsid w:val="00CE5BEB"/>
    <w:rsid w:val="00CE69E9"/>
    <w:rsid w:val="00CF51B1"/>
    <w:rsid w:val="00D12D37"/>
    <w:rsid w:val="00D25074"/>
    <w:rsid w:val="00D27192"/>
    <w:rsid w:val="00D33D0B"/>
    <w:rsid w:val="00D36798"/>
    <w:rsid w:val="00D44C3C"/>
    <w:rsid w:val="00D67309"/>
    <w:rsid w:val="00D7380B"/>
    <w:rsid w:val="00D75D77"/>
    <w:rsid w:val="00D83962"/>
    <w:rsid w:val="00DA11A0"/>
    <w:rsid w:val="00DA2D8A"/>
    <w:rsid w:val="00DA5E82"/>
    <w:rsid w:val="00DA690B"/>
    <w:rsid w:val="00DA7225"/>
    <w:rsid w:val="00DA72F5"/>
    <w:rsid w:val="00DC4218"/>
    <w:rsid w:val="00DF2EE9"/>
    <w:rsid w:val="00E07752"/>
    <w:rsid w:val="00E16609"/>
    <w:rsid w:val="00E16F08"/>
    <w:rsid w:val="00E233F3"/>
    <w:rsid w:val="00E3370F"/>
    <w:rsid w:val="00E37F72"/>
    <w:rsid w:val="00E42A30"/>
    <w:rsid w:val="00E81F3E"/>
    <w:rsid w:val="00E859BD"/>
    <w:rsid w:val="00E86496"/>
    <w:rsid w:val="00E9493E"/>
    <w:rsid w:val="00E96759"/>
    <w:rsid w:val="00EA36C1"/>
    <w:rsid w:val="00EA4F73"/>
    <w:rsid w:val="00EB34FC"/>
    <w:rsid w:val="00EB76E1"/>
    <w:rsid w:val="00EC0DD1"/>
    <w:rsid w:val="00EF5416"/>
    <w:rsid w:val="00F06443"/>
    <w:rsid w:val="00F06CCF"/>
    <w:rsid w:val="00F07078"/>
    <w:rsid w:val="00F12A99"/>
    <w:rsid w:val="00F20DCF"/>
    <w:rsid w:val="00F22E47"/>
    <w:rsid w:val="00F467AA"/>
    <w:rsid w:val="00F4752B"/>
    <w:rsid w:val="00F56792"/>
    <w:rsid w:val="00F60E32"/>
    <w:rsid w:val="00F7242E"/>
    <w:rsid w:val="00FC6B78"/>
    <w:rsid w:val="00FD44B0"/>
    <w:rsid w:val="00FD5A8C"/>
    <w:rsid w:val="00FE3233"/>
    <w:rsid w:val="00FE7D7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0"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5BA6"/>
    <w:pPr>
      <w:spacing w:after="0" w:line="240" w:lineRule="auto"/>
    </w:pPr>
    <w:rPr>
      <w:rFonts w:eastAsia="Times New Roman" w:cs="Times New Roman"/>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
    <w:semiHidden/>
    <w:unhideWhenUsed/>
    <w:qFormat/>
    <w:rsid w:val="00B119FB"/>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Heading4Char">
    <w:name w:val="Heading 4 Char"/>
    <w:basedOn w:val="DefaultParagraphFont"/>
    <w:link w:val="Heading4"/>
    <w:uiPriority w:val="9"/>
    <w:rsid w:val="00B119FB"/>
    <w:rPr>
      <w:rFonts w:asciiTheme="majorHAnsi" w:eastAsiaTheme="majorEastAsia" w:hAnsiTheme="majorHAnsi" w:cstheme="majorBidi"/>
      <w:b/>
      <w:bCs/>
      <w:i/>
      <w:iCs/>
      <w:color w:val="4F81BD" w:themeColor="accent1"/>
      <w:sz w:val="24"/>
      <w:szCs w:val="24"/>
    </w:rPr>
  </w:style>
  <w:style w:type="paragraph" w:styleId="ListParagraph">
    <w:name w:val="List Paragraph"/>
    <w:basedOn w:val="Normal"/>
    <w:uiPriority w:val="34"/>
    <w:qFormat/>
    <w:rsid w:val="00EA36C1"/>
    <w:pPr>
      <w:ind w:left="720"/>
      <w:contextualSpacing/>
    </w:pPr>
  </w:style>
  <w:style w:type="table" w:styleId="MediumShading1">
    <w:name w:val="Medium Shading 1"/>
    <w:basedOn w:val="TableNormal"/>
    <w:uiPriority w:val="63"/>
    <w:rsid w:val="003C175E"/>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LightGrid">
    <w:name w:val="Light Grid"/>
    <w:basedOn w:val="TableNormal"/>
    <w:uiPriority w:val="62"/>
    <w:rsid w:val="003C175E"/>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styleId="FootnoteText">
    <w:name w:val="footnote text"/>
    <w:basedOn w:val="Normal"/>
    <w:link w:val="FootnoteTextChar"/>
    <w:uiPriority w:val="99"/>
    <w:semiHidden/>
    <w:unhideWhenUsed/>
    <w:rsid w:val="008A57A2"/>
    <w:rPr>
      <w:sz w:val="20"/>
      <w:szCs w:val="20"/>
    </w:rPr>
  </w:style>
  <w:style w:type="character" w:customStyle="1" w:styleId="FootnoteTextChar">
    <w:name w:val="Footnote Text Char"/>
    <w:basedOn w:val="DefaultParagraphFont"/>
    <w:link w:val="FootnoteText"/>
    <w:uiPriority w:val="99"/>
    <w:semiHidden/>
    <w:rsid w:val="008A57A2"/>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8A57A2"/>
    <w:rPr>
      <w:vertAlign w:val="superscript"/>
    </w:rPr>
  </w:style>
  <w:style w:type="character" w:styleId="PageNumber">
    <w:name w:val="page number"/>
    <w:basedOn w:val="DefaultParagraphFont"/>
    <w:rsid w:val="005D4BE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0"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5BA6"/>
    <w:pPr>
      <w:spacing w:after="0" w:line="240" w:lineRule="auto"/>
    </w:pPr>
    <w:rPr>
      <w:rFonts w:eastAsia="Times New Roman" w:cs="Times New Roman"/>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
    <w:semiHidden/>
    <w:unhideWhenUsed/>
    <w:qFormat/>
    <w:rsid w:val="00B119FB"/>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Heading4Char">
    <w:name w:val="Heading 4 Char"/>
    <w:basedOn w:val="DefaultParagraphFont"/>
    <w:link w:val="Heading4"/>
    <w:uiPriority w:val="9"/>
    <w:rsid w:val="00B119FB"/>
    <w:rPr>
      <w:rFonts w:asciiTheme="majorHAnsi" w:eastAsiaTheme="majorEastAsia" w:hAnsiTheme="majorHAnsi" w:cstheme="majorBidi"/>
      <w:b/>
      <w:bCs/>
      <w:i/>
      <w:iCs/>
      <w:color w:val="4F81BD" w:themeColor="accent1"/>
      <w:sz w:val="24"/>
      <w:szCs w:val="24"/>
    </w:rPr>
  </w:style>
  <w:style w:type="paragraph" w:styleId="ListParagraph">
    <w:name w:val="List Paragraph"/>
    <w:basedOn w:val="Normal"/>
    <w:uiPriority w:val="34"/>
    <w:qFormat/>
    <w:rsid w:val="00EA36C1"/>
    <w:pPr>
      <w:ind w:left="720"/>
      <w:contextualSpacing/>
    </w:pPr>
  </w:style>
  <w:style w:type="table" w:styleId="MediumShading1">
    <w:name w:val="Medium Shading 1"/>
    <w:basedOn w:val="TableNormal"/>
    <w:uiPriority w:val="63"/>
    <w:rsid w:val="003C175E"/>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LightGrid">
    <w:name w:val="Light Grid"/>
    <w:basedOn w:val="TableNormal"/>
    <w:uiPriority w:val="62"/>
    <w:rsid w:val="003C175E"/>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styleId="FootnoteText">
    <w:name w:val="footnote text"/>
    <w:basedOn w:val="Normal"/>
    <w:link w:val="FootnoteTextChar"/>
    <w:uiPriority w:val="99"/>
    <w:semiHidden/>
    <w:unhideWhenUsed/>
    <w:rsid w:val="008A57A2"/>
    <w:rPr>
      <w:sz w:val="20"/>
      <w:szCs w:val="20"/>
    </w:rPr>
  </w:style>
  <w:style w:type="character" w:customStyle="1" w:styleId="FootnoteTextChar">
    <w:name w:val="Footnote Text Char"/>
    <w:basedOn w:val="DefaultParagraphFont"/>
    <w:link w:val="FootnoteText"/>
    <w:uiPriority w:val="99"/>
    <w:semiHidden/>
    <w:rsid w:val="008A57A2"/>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8A57A2"/>
    <w:rPr>
      <w:vertAlign w:val="superscript"/>
    </w:rPr>
  </w:style>
  <w:style w:type="character" w:styleId="PageNumber">
    <w:name w:val="page number"/>
    <w:basedOn w:val="DefaultParagraphFont"/>
    <w:rsid w:val="005D4B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8106620">
      <w:bodyDiv w:val="1"/>
      <w:marLeft w:val="0"/>
      <w:marRight w:val="0"/>
      <w:marTop w:val="0"/>
      <w:marBottom w:val="0"/>
      <w:divBdr>
        <w:top w:val="none" w:sz="0" w:space="0" w:color="auto"/>
        <w:left w:val="none" w:sz="0" w:space="0" w:color="auto"/>
        <w:bottom w:val="none" w:sz="0" w:space="0" w:color="auto"/>
        <w:right w:val="none" w:sz="0" w:space="0" w:color="auto"/>
      </w:divBdr>
    </w:div>
    <w:div w:id="466776370">
      <w:bodyDiv w:val="1"/>
      <w:marLeft w:val="0"/>
      <w:marRight w:val="0"/>
      <w:marTop w:val="0"/>
      <w:marBottom w:val="0"/>
      <w:divBdr>
        <w:top w:val="none" w:sz="0" w:space="0" w:color="auto"/>
        <w:left w:val="none" w:sz="0" w:space="0" w:color="auto"/>
        <w:bottom w:val="none" w:sz="0" w:space="0" w:color="auto"/>
        <w:right w:val="none" w:sz="0" w:space="0" w:color="auto"/>
      </w:divBdr>
    </w:div>
    <w:div w:id="690883088">
      <w:bodyDiv w:val="1"/>
      <w:marLeft w:val="0"/>
      <w:marRight w:val="0"/>
      <w:marTop w:val="0"/>
      <w:marBottom w:val="0"/>
      <w:divBdr>
        <w:top w:val="none" w:sz="0" w:space="0" w:color="auto"/>
        <w:left w:val="none" w:sz="0" w:space="0" w:color="auto"/>
        <w:bottom w:val="none" w:sz="0" w:space="0" w:color="auto"/>
        <w:right w:val="none" w:sz="0" w:space="0" w:color="auto"/>
      </w:divBdr>
    </w:div>
    <w:div w:id="692196708">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12211838">
      <w:bodyDiv w:val="1"/>
      <w:marLeft w:val="0"/>
      <w:marRight w:val="0"/>
      <w:marTop w:val="0"/>
      <w:marBottom w:val="0"/>
      <w:divBdr>
        <w:top w:val="none" w:sz="0" w:space="0" w:color="auto"/>
        <w:left w:val="none" w:sz="0" w:space="0" w:color="auto"/>
        <w:bottom w:val="none" w:sz="0" w:space="0" w:color="auto"/>
        <w:right w:val="none" w:sz="0" w:space="0" w:color="auto"/>
      </w:divBdr>
    </w:div>
    <w:div w:id="828446930">
      <w:bodyDiv w:val="1"/>
      <w:marLeft w:val="0"/>
      <w:marRight w:val="0"/>
      <w:marTop w:val="0"/>
      <w:marBottom w:val="0"/>
      <w:divBdr>
        <w:top w:val="none" w:sz="0" w:space="0" w:color="auto"/>
        <w:left w:val="none" w:sz="0" w:space="0" w:color="auto"/>
        <w:bottom w:val="none" w:sz="0" w:space="0" w:color="auto"/>
        <w:right w:val="none" w:sz="0" w:space="0" w:color="auto"/>
      </w:divBdr>
    </w:div>
    <w:div w:id="964042886">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154636800">
      <w:bodyDiv w:val="1"/>
      <w:marLeft w:val="0"/>
      <w:marRight w:val="0"/>
      <w:marTop w:val="0"/>
      <w:marBottom w:val="0"/>
      <w:divBdr>
        <w:top w:val="none" w:sz="0" w:space="0" w:color="auto"/>
        <w:left w:val="none" w:sz="0" w:space="0" w:color="auto"/>
        <w:bottom w:val="none" w:sz="0" w:space="0" w:color="auto"/>
        <w:right w:val="none" w:sz="0" w:space="0" w:color="auto"/>
      </w:divBdr>
    </w:div>
    <w:div w:id="1222863277">
      <w:bodyDiv w:val="1"/>
      <w:marLeft w:val="0"/>
      <w:marRight w:val="0"/>
      <w:marTop w:val="0"/>
      <w:marBottom w:val="0"/>
      <w:divBdr>
        <w:top w:val="none" w:sz="0" w:space="0" w:color="auto"/>
        <w:left w:val="none" w:sz="0" w:space="0" w:color="auto"/>
        <w:bottom w:val="none" w:sz="0" w:space="0" w:color="auto"/>
        <w:right w:val="none" w:sz="0" w:space="0" w:color="auto"/>
      </w:divBdr>
    </w:div>
    <w:div w:id="1277104233">
      <w:bodyDiv w:val="1"/>
      <w:marLeft w:val="0"/>
      <w:marRight w:val="0"/>
      <w:marTop w:val="0"/>
      <w:marBottom w:val="0"/>
      <w:divBdr>
        <w:top w:val="none" w:sz="0" w:space="0" w:color="auto"/>
        <w:left w:val="none" w:sz="0" w:space="0" w:color="auto"/>
        <w:bottom w:val="none" w:sz="0" w:space="0" w:color="auto"/>
        <w:right w:val="none" w:sz="0" w:space="0" w:color="auto"/>
      </w:divBdr>
    </w:div>
    <w:div w:id="1293710696">
      <w:bodyDiv w:val="1"/>
      <w:marLeft w:val="0"/>
      <w:marRight w:val="0"/>
      <w:marTop w:val="0"/>
      <w:marBottom w:val="0"/>
      <w:divBdr>
        <w:top w:val="none" w:sz="0" w:space="0" w:color="auto"/>
        <w:left w:val="none" w:sz="0" w:space="0" w:color="auto"/>
        <w:bottom w:val="none" w:sz="0" w:space="0" w:color="auto"/>
        <w:right w:val="none" w:sz="0" w:space="0" w:color="auto"/>
      </w:divBdr>
    </w:div>
    <w:div w:id="1304651069">
      <w:bodyDiv w:val="1"/>
      <w:marLeft w:val="0"/>
      <w:marRight w:val="0"/>
      <w:marTop w:val="0"/>
      <w:marBottom w:val="0"/>
      <w:divBdr>
        <w:top w:val="none" w:sz="0" w:space="0" w:color="auto"/>
        <w:left w:val="none" w:sz="0" w:space="0" w:color="auto"/>
        <w:bottom w:val="none" w:sz="0" w:space="0" w:color="auto"/>
        <w:right w:val="none" w:sz="0" w:space="0" w:color="auto"/>
      </w:divBdr>
    </w:div>
    <w:div w:id="1403213441">
      <w:bodyDiv w:val="1"/>
      <w:marLeft w:val="0"/>
      <w:marRight w:val="0"/>
      <w:marTop w:val="0"/>
      <w:marBottom w:val="0"/>
      <w:divBdr>
        <w:top w:val="none" w:sz="0" w:space="0" w:color="auto"/>
        <w:left w:val="none" w:sz="0" w:space="0" w:color="auto"/>
        <w:bottom w:val="none" w:sz="0" w:space="0" w:color="auto"/>
        <w:right w:val="none" w:sz="0" w:space="0" w:color="auto"/>
      </w:divBdr>
    </w:div>
    <w:div w:id="1469279601">
      <w:bodyDiv w:val="1"/>
      <w:marLeft w:val="0"/>
      <w:marRight w:val="0"/>
      <w:marTop w:val="0"/>
      <w:marBottom w:val="0"/>
      <w:divBdr>
        <w:top w:val="none" w:sz="0" w:space="0" w:color="auto"/>
        <w:left w:val="none" w:sz="0" w:space="0" w:color="auto"/>
        <w:bottom w:val="none" w:sz="0" w:space="0" w:color="auto"/>
        <w:right w:val="none" w:sz="0" w:space="0" w:color="auto"/>
      </w:divBdr>
    </w:div>
    <w:div w:id="1511410127">
      <w:bodyDiv w:val="1"/>
      <w:marLeft w:val="0"/>
      <w:marRight w:val="0"/>
      <w:marTop w:val="0"/>
      <w:marBottom w:val="0"/>
      <w:divBdr>
        <w:top w:val="none" w:sz="0" w:space="0" w:color="auto"/>
        <w:left w:val="none" w:sz="0" w:space="0" w:color="auto"/>
        <w:bottom w:val="none" w:sz="0" w:space="0" w:color="auto"/>
        <w:right w:val="none" w:sz="0" w:space="0" w:color="auto"/>
      </w:divBdr>
    </w:div>
    <w:div w:id="1956401374">
      <w:bodyDiv w:val="1"/>
      <w:marLeft w:val="0"/>
      <w:marRight w:val="0"/>
      <w:marTop w:val="0"/>
      <w:marBottom w:val="0"/>
      <w:divBdr>
        <w:top w:val="none" w:sz="0" w:space="0" w:color="auto"/>
        <w:left w:val="none" w:sz="0" w:space="0" w:color="auto"/>
        <w:bottom w:val="none" w:sz="0" w:space="0" w:color="auto"/>
        <w:right w:val="none" w:sz="0" w:space="0" w:color="auto"/>
      </w:divBdr>
    </w:div>
    <w:div w:id="2046173508">
      <w:bodyDiv w:val="1"/>
      <w:marLeft w:val="0"/>
      <w:marRight w:val="0"/>
      <w:marTop w:val="0"/>
      <w:marBottom w:val="0"/>
      <w:divBdr>
        <w:top w:val="none" w:sz="0" w:space="0" w:color="auto"/>
        <w:left w:val="none" w:sz="0" w:space="0" w:color="auto"/>
        <w:bottom w:val="none" w:sz="0" w:space="0" w:color="auto"/>
        <w:right w:val="none" w:sz="0" w:space="0" w:color="auto"/>
      </w:divBdr>
    </w:div>
    <w:div w:id="2106341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image" Target="media/image2.emf"/><Relationship Id="rId26" Type="http://schemas.openxmlformats.org/officeDocument/2006/relationships/package" Target="embeddings/Microsoft_Excel_Worksheet2.xlsx"/><Relationship Id="rId3" Type="http://schemas.openxmlformats.org/officeDocument/2006/relationships/styles" Target="styles.xml"/><Relationship Id="rId21" Type="http://schemas.openxmlformats.org/officeDocument/2006/relationships/hyperlink" Target="http://aaa-electric.net/" TargetMode="External"/><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1.emf"/><Relationship Id="rId25" Type="http://schemas.openxmlformats.org/officeDocument/2006/relationships/image" Target="media/image6.emf"/><Relationship Id="rId33"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www.deeresources.com" TargetMode="External"/><Relationship Id="rId20" Type="http://schemas.openxmlformats.org/officeDocument/2006/relationships/image" Target="media/image4.emf"/><Relationship Id="rId29" Type="http://schemas.openxmlformats.org/officeDocument/2006/relationships/hyperlink" Target="http://www1.eere.energy.gov/industry/bestpractices/pdfs/replace_vbelts_motor_systemts5.pd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package" Target="embeddings/Microsoft_Excel_Macro-Enabled_Worksheet1.xlsm"/><Relationship Id="rId32" Type="http://schemas.openxmlformats.org/officeDocument/2006/relationships/package" Target="embeddings/Microsoft_Excel_Worksheet4.xlsx"/><Relationship Id="rId5" Type="http://schemas.openxmlformats.org/officeDocument/2006/relationships/settings" Target="settings.xml"/><Relationship Id="rId15" Type="http://schemas.openxmlformats.org/officeDocument/2006/relationships/footer" Target="footer5.xml"/><Relationship Id="rId23" Type="http://schemas.openxmlformats.org/officeDocument/2006/relationships/image" Target="media/image5.emf"/><Relationship Id="rId28" Type="http://schemas.openxmlformats.org/officeDocument/2006/relationships/package" Target="embeddings/Microsoft_Excel_Worksheet3.xlsx"/><Relationship Id="rId10" Type="http://schemas.openxmlformats.org/officeDocument/2006/relationships/header" Target="header2.xml"/><Relationship Id="rId19" Type="http://schemas.openxmlformats.org/officeDocument/2006/relationships/image" Target="media/image3.emf"/><Relationship Id="rId31" Type="http://schemas.openxmlformats.org/officeDocument/2006/relationships/image" Target="media/image8.e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4.xml"/><Relationship Id="rId22" Type="http://schemas.openxmlformats.org/officeDocument/2006/relationships/hyperlink" Target="http://aaa-electric.net/" TargetMode="External"/><Relationship Id="rId27" Type="http://schemas.openxmlformats.org/officeDocument/2006/relationships/image" Target="media/image7.emf"/><Relationship Id="rId30" Type="http://schemas.openxmlformats.org/officeDocument/2006/relationships/hyperlink" Target="http://www.grainger.com/Grainger/ecatalog/N-1z0r596/Ntt-V-belts" TargetMode="External"/><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14F384-02C4-41E9-AF64-DDBD2DC87B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21</Pages>
  <Words>3885</Words>
  <Characters>22150</Characters>
  <Application>Microsoft Office Word</Application>
  <DocSecurity>0</DocSecurity>
  <Lines>184</Lines>
  <Paragraphs>51</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25984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Matthew Tyler</dc:creator>
  <cp:lastModifiedBy>Hu, Sherry</cp:lastModifiedBy>
  <cp:revision>5</cp:revision>
  <cp:lastPrinted>2014-05-29T18:22:00Z</cp:lastPrinted>
  <dcterms:created xsi:type="dcterms:W3CDTF">2014-05-29T18:19:00Z</dcterms:created>
  <dcterms:modified xsi:type="dcterms:W3CDTF">2014-05-29T23:06:00Z</dcterms:modified>
</cp:coreProperties>
</file>