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48C" w:rsidRPr="007E755F" w:rsidRDefault="009D148C" w:rsidP="00DD6B5E">
      <w:pPr>
        <w:jc w:val="right"/>
        <w:rPr>
          <w:b/>
          <w:bCs/>
          <w:sz w:val="48"/>
          <w:szCs w:val="48"/>
        </w:rPr>
      </w:pPr>
      <w:bookmarkStart w:id="0" w:name="_Toc153189646"/>
      <w:r w:rsidRPr="002E0043">
        <w:rPr>
          <w:b/>
          <w:bCs/>
          <w:sz w:val="48"/>
          <w:szCs w:val="48"/>
        </w:rPr>
        <w:t xml:space="preserve">Work Paper </w:t>
      </w:r>
      <w:bookmarkEnd w:id="0"/>
      <w:r w:rsidRPr="007E755F">
        <w:rPr>
          <w:b/>
          <w:bCs/>
          <w:sz w:val="48"/>
          <w:szCs w:val="48"/>
        </w:rPr>
        <w:t>PGECOHVC142</w:t>
      </w:r>
    </w:p>
    <w:p w:rsidR="009D148C" w:rsidRPr="007E755F" w:rsidRDefault="009D148C" w:rsidP="00A167EC">
      <w:pPr>
        <w:jc w:val="right"/>
        <w:rPr>
          <w:b/>
          <w:bCs/>
          <w:sz w:val="48"/>
          <w:szCs w:val="48"/>
        </w:rPr>
      </w:pPr>
      <w:r w:rsidRPr="007E755F">
        <w:rPr>
          <w:b/>
          <w:bCs/>
          <w:sz w:val="48"/>
          <w:szCs w:val="48"/>
        </w:rPr>
        <w:t xml:space="preserve"> VRF </w:t>
      </w:r>
      <w:proofErr w:type="spellStart"/>
      <w:r w:rsidRPr="007E755F">
        <w:rPr>
          <w:b/>
          <w:bCs/>
          <w:sz w:val="48"/>
          <w:szCs w:val="48"/>
        </w:rPr>
        <w:t>Nonres</w:t>
      </w:r>
      <w:proofErr w:type="spellEnd"/>
    </w:p>
    <w:p w:rsidR="009D148C" w:rsidRPr="007E755F" w:rsidRDefault="009D148C" w:rsidP="002E0043">
      <w:pPr>
        <w:jc w:val="right"/>
        <w:rPr>
          <w:b/>
          <w:bCs/>
          <w:sz w:val="48"/>
          <w:szCs w:val="48"/>
        </w:rPr>
      </w:pPr>
      <w:bookmarkStart w:id="1" w:name="_Toc153189647"/>
      <w:r w:rsidRPr="007E755F">
        <w:rPr>
          <w:b/>
          <w:bCs/>
          <w:sz w:val="48"/>
          <w:szCs w:val="48"/>
        </w:rPr>
        <w:t>Revision #</w:t>
      </w:r>
      <w:bookmarkEnd w:id="1"/>
      <w:r w:rsidR="00751C93">
        <w:rPr>
          <w:b/>
          <w:bCs/>
          <w:sz w:val="48"/>
          <w:szCs w:val="48"/>
        </w:rPr>
        <w:t xml:space="preserve"> 1</w:t>
      </w:r>
    </w:p>
    <w:p w:rsidR="009D148C" w:rsidRDefault="009D148C" w:rsidP="003129E8"/>
    <w:p w:rsidR="009D148C" w:rsidRPr="002E0043" w:rsidRDefault="009D148C" w:rsidP="00D7047A">
      <w:pPr>
        <w:pBdr>
          <w:bottom w:val="single" w:sz="4" w:space="1" w:color="auto"/>
        </w:pBdr>
        <w:rPr>
          <w:b/>
          <w:bCs/>
          <w:sz w:val="36"/>
          <w:szCs w:val="36"/>
        </w:rPr>
      </w:pPr>
      <w:r>
        <w:rPr>
          <w:b/>
          <w:bCs/>
          <w:sz w:val="36"/>
          <w:szCs w:val="36"/>
        </w:rPr>
        <w:t>Pacific Gas &amp; Electric Company</w:t>
      </w:r>
    </w:p>
    <w:p w:rsidR="009D148C" w:rsidRPr="002E0043" w:rsidRDefault="009D148C" w:rsidP="00D7047A">
      <w:pPr>
        <w:rPr>
          <w:b/>
          <w:bCs/>
          <w:sz w:val="32"/>
          <w:szCs w:val="32"/>
        </w:rPr>
      </w:pPr>
      <w:r>
        <w:rPr>
          <w:b/>
          <w:bCs/>
          <w:sz w:val="32"/>
          <w:szCs w:val="32"/>
        </w:rPr>
        <w:t xml:space="preserve">Customer Energy Solutions </w:t>
      </w:r>
    </w:p>
    <w:p w:rsidR="009D148C" w:rsidRDefault="009D148C" w:rsidP="00402211">
      <w:pPr>
        <w:rPr>
          <w:b/>
          <w:bCs/>
        </w:rPr>
      </w:pPr>
    </w:p>
    <w:p w:rsidR="009D148C" w:rsidRDefault="009D148C" w:rsidP="00A167EC">
      <w:pPr>
        <w:ind w:right="-720"/>
        <w:rPr>
          <w:b/>
          <w:bCs/>
          <w:sz w:val="72"/>
          <w:szCs w:val="72"/>
        </w:rPr>
      </w:pPr>
    </w:p>
    <w:p w:rsidR="009D148C" w:rsidRDefault="009D148C" w:rsidP="00A167EC">
      <w:pPr>
        <w:ind w:right="-720"/>
        <w:rPr>
          <w:b/>
          <w:bCs/>
          <w:sz w:val="72"/>
          <w:szCs w:val="72"/>
        </w:rPr>
      </w:pPr>
    </w:p>
    <w:p w:rsidR="009D148C" w:rsidRDefault="009D148C" w:rsidP="00A167EC">
      <w:pPr>
        <w:ind w:right="-720"/>
        <w:rPr>
          <w:b/>
          <w:bCs/>
          <w:sz w:val="72"/>
          <w:szCs w:val="72"/>
        </w:rPr>
      </w:pPr>
    </w:p>
    <w:p w:rsidR="009D148C" w:rsidRPr="007E755F" w:rsidRDefault="009D148C" w:rsidP="00A167EC">
      <w:pPr>
        <w:ind w:right="-720"/>
        <w:rPr>
          <w:b/>
          <w:bCs/>
        </w:rPr>
      </w:pPr>
      <w:r w:rsidRPr="007E755F">
        <w:rPr>
          <w:b/>
          <w:bCs/>
          <w:sz w:val="72"/>
          <w:szCs w:val="72"/>
        </w:rPr>
        <w:t>Variable Refrigerant Flow Nonresidential Systems</w:t>
      </w:r>
    </w:p>
    <w:p w:rsidR="009D148C" w:rsidRPr="00537773" w:rsidRDefault="009D148C" w:rsidP="002D4621">
      <w:pPr>
        <w:ind w:right="-720"/>
        <w:rPr>
          <w:b/>
          <w:bCs/>
        </w:rPr>
      </w:pPr>
      <w:r w:rsidRPr="00537773">
        <w:rPr>
          <w:b/>
          <w:bCs/>
        </w:rPr>
        <w:t>Measure Codes S287, S288, S289, S290</w:t>
      </w:r>
    </w:p>
    <w:p w:rsidR="009D148C" w:rsidRPr="00B421F2" w:rsidRDefault="009D148C" w:rsidP="00844B27">
      <w:pPr>
        <w:rPr>
          <w:b/>
          <w:bCs/>
        </w:rPr>
        <w:sectPr w:rsidR="009D148C" w:rsidRPr="00B421F2" w:rsidSect="00E03431">
          <w:headerReference w:type="default" r:id="rId12"/>
          <w:footerReference w:type="default" r:id="rId13"/>
          <w:footerReference w:type="first" r:id="rId14"/>
          <w:endnotePr>
            <w:numFmt w:val="decimal"/>
          </w:endnotePr>
          <w:pgSz w:w="12240" w:h="15840" w:code="1"/>
          <w:pgMar w:top="1440" w:right="1440" w:bottom="1440" w:left="1440" w:header="720" w:footer="720" w:gutter="0"/>
          <w:pgNumType w:fmt="lowerRoman"/>
          <w:cols w:space="720"/>
          <w:titlePg/>
          <w:docGrid w:linePitch="360"/>
        </w:sectPr>
      </w:pPr>
      <w:r>
        <w:rPr>
          <w:b/>
          <w:bCs/>
        </w:rPr>
        <w:t>Revision 0</w:t>
      </w:r>
    </w:p>
    <w:p w:rsidR="009D148C" w:rsidRDefault="009D148C" w:rsidP="000868EE">
      <w:pPr>
        <w:pStyle w:val="Heading1"/>
        <w:spacing w:before="0"/>
      </w:pPr>
      <w:bookmarkStart w:id="2" w:name="_Toc333929852"/>
      <w:r>
        <w:lastRenderedPageBreak/>
        <w:t>At-a-Glance Summary</w:t>
      </w:r>
      <w:bookmarkEnd w:id="2"/>
    </w:p>
    <w:tbl>
      <w:tblPr>
        <w:tblW w:w="9648" w:type="dxa"/>
        <w:tblInd w:w="-106" w:type="dxa"/>
        <w:tblBorders>
          <w:insideH w:val="single" w:sz="18" w:space="0" w:color="FFFFFF"/>
          <w:insideV w:val="single" w:sz="18" w:space="0" w:color="FFFFFF"/>
        </w:tblBorders>
        <w:tblCellMar>
          <w:left w:w="115" w:type="dxa"/>
          <w:right w:w="115" w:type="dxa"/>
        </w:tblCellMar>
        <w:tblLook w:val="01E0" w:firstRow="1" w:lastRow="1" w:firstColumn="1" w:lastColumn="1" w:noHBand="0" w:noVBand="0"/>
      </w:tblPr>
      <w:tblGrid>
        <w:gridCol w:w="3888"/>
        <w:gridCol w:w="5760"/>
      </w:tblGrid>
      <w:tr w:rsidR="009D148C" w:rsidRPr="00783DAC" w:rsidTr="006B1FCE">
        <w:trPr>
          <w:trHeight w:val="465"/>
        </w:trPr>
        <w:tc>
          <w:tcPr>
            <w:tcW w:w="3888" w:type="dxa"/>
            <w:shd w:val="pct20" w:color="000000" w:fill="FFFFFF"/>
          </w:tcPr>
          <w:p w:rsidR="009D148C" w:rsidRPr="00710140" w:rsidRDefault="009D148C" w:rsidP="0028709C">
            <w:pPr>
              <w:rPr>
                <w:b/>
                <w:bCs/>
              </w:rPr>
            </w:pPr>
            <w:r w:rsidRPr="00710140">
              <w:rPr>
                <w:b/>
                <w:bCs/>
              </w:rPr>
              <w:t>Applicable Measure Codes:</w:t>
            </w:r>
          </w:p>
        </w:tc>
        <w:tc>
          <w:tcPr>
            <w:tcW w:w="5760" w:type="dxa"/>
            <w:shd w:val="pct20" w:color="000000" w:fill="FFFFFF"/>
          </w:tcPr>
          <w:p w:rsidR="009D148C" w:rsidRPr="00783DAC" w:rsidRDefault="009D148C" w:rsidP="0028709C">
            <w:pPr>
              <w:rPr>
                <w:b/>
                <w:bCs/>
                <w:sz w:val="20"/>
                <w:szCs w:val="20"/>
              </w:rPr>
            </w:pPr>
            <w:r>
              <w:rPr>
                <w:b/>
                <w:bCs/>
                <w:sz w:val="20"/>
                <w:szCs w:val="20"/>
              </w:rPr>
              <w:t>S287, S288, S289, S290</w:t>
            </w:r>
            <w:r w:rsidRPr="00783DAC">
              <w:rPr>
                <w:b/>
                <w:bCs/>
                <w:sz w:val="20"/>
                <w:szCs w:val="20"/>
              </w:rPr>
              <w:t xml:space="preserve"> </w:t>
            </w:r>
          </w:p>
        </w:tc>
      </w:tr>
      <w:tr w:rsidR="009D148C" w:rsidRPr="00783DAC" w:rsidTr="006B1FCE">
        <w:trPr>
          <w:trHeight w:val="465"/>
        </w:trPr>
        <w:tc>
          <w:tcPr>
            <w:tcW w:w="3888" w:type="dxa"/>
            <w:shd w:val="pct5" w:color="000000" w:fill="FFFFFF"/>
          </w:tcPr>
          <w:p w:rsidR="009D148C" w:rsidRPr="00972287" w:rsidRDefault="009D148C" w:rsidP="0028709C">
            <w:pPr>
              <w:rPr>
                <w:b/>
                <w:bCs/>
              </w:rPr>
            </w:pPr>
            <w:r w:rsidRPr="00972287">
              <w:rPr>
                <w:b/>
                <w:bCs/>
              </w:rPr>
              <w:t xml:space="preserve">Measure Description: </w:t>
            </w:r>
          </w:p>
        </w:tc>
        <w:tc>
          <w:tcPr>
            <w:tcW w:w="5760" w:type="dxa"/>
            <w:shd w:val="pct5" w:color="000000" w:fill="FFFFFF"/>
          </w:tcPr>
          <w:p w:rsidR="009D148C" w:rsidRPr="00972287" w:rsidRDefault="009D148C" w:rsidP="0028709C">
            <w:pPr>
              <w:rPr>
                <w:sz w:val="20"/>
                <w:szCs w:val="20"/>
              </w:rPr>
            </w:pPr>
            <w:r w:rsidRPr="00972287">
              <w:rPr>
                <w:sz w:val="20"/>
                <w:szCs w:val="20"/>
              </w:rPr>
              <w:t>S287 and S289 replace existing rooftop packaged air conditioners and heat pumps with more efficient Variable Refrigerant Flow units with or without heat recovery.</w:t>
            </w:r>
          </w:p>
          <w:p w:rsidR="009D148C" w:rsidRPr="00972287" w:rsidRDefault="009D148C" w:rsidP="0028709C">
            <w:pPr>
              <w:rPr>
                <w:sz w:val="20"/>
                <w:szCs w:val="20"/>
              </w:rPr>
            </w:pPr>
            <w:r w:rsidRPr="00972287">
              <w:rPr>
                <w:sz w:val="20"/>
                <w:szCs w:val="20"/>
              </w:rPr>
              <w:t>S288 and S290 replace existing VAV HVAC equipment with Variable Refrigerant Flow units with or without heat recovery.</w:t>
            </w:r>
          </w:p>
        </w:tc>
      </w:tr>
      <w:tr w:rsidR="009D148C" w:rsidRPr="00783DAC" w:rsidTr="006B1FCE">
        <w:trPr>
          <w:trHeight w:val="465"/>
        </w:trPr>
        <w:tc>
          <w:tcPr>
            <w:tcW w:w="3888" w:type="dxa"/>
            <w:shd w:val="pct20" w:color="000000" w:fill="FFFFFF"/>
          </w:tcPr>
          <w:p w:rsidR="009D148C" w:rsidRPr="00972287" w:rsidRDefault="009D148C" w:rsidP="0028709C">
            <w:pPr>
              <w:rPr>
                <w:b/>
                <w:bCs/>
              </w:rPr>
            </w:pPr>
            <w:r w:rsidRPr="00972287">
              <w:rPr>
                <w:b/>
                <w:bCs/>
              </w:rPr>
              <w:t xml:space="preserve">Energy Impact Common Units: </w:t>
            </w:r>
          </w:p>
        </w:tc>
        <w:tc>
          <w:tcPr>
            <w:tcW w:w="5760" w:type="dxa"/>
            <w:shd w:val="pct20" w:color="000000" w:fill="FFFFFF"/>
          </w:tcPr>
          <w:p w:rsidR="009D148C" w:rsidRPr="00972287" w:rsidRDefault="009D148C" w:rsidP="0028709C">
            <w:pPr>
              <w:rPr>
                <w:sz w:val="20"/>
                <w:szCs w:val="20"/>
              </w:rPr>
            </w:pPr>
            <w:r w:rsidRPr="00972287">
              <w:rPr>
                <w:sz w:val="20"/>
                <w:szCs w:val="20"/>
              </w:rPr>
              <w:t>Per Ton of AC.</w:t>
            </w:r>
          </w:p>
        </w:tc>
      </w:tr>
      <w:tr w:rsidR="009D148C" w:rsidRPr="00783DAC" w:rsidTr="006B1FCE">
        <w:trPr>
          <w:trHeight w:val="465"/>
        </w:trPr>
        <w:tc>
          <w:tcPr>
            <w:tcW w:w="3888" w:type="dxa"/>
            <w:shd w:val="pct5" w:color="000000" w:fill="FFFFFF"/>
          </w:tcPr>
          <w:p w:rsidR="009D148C" w:rsidRPr="00972287" w:rsidRDefault="009D148C" w:rsidP="0028709C">
            <w:pPr>
              <w:rPr>
                <w:b/>
                <w:bCs/>
              </w:rPr>
            </w:pPr>
            <w:r w:rsidRPr="00972287">
              <w:rPr>
                <w:b/>
                <w:bCs/>
              </w:rPr>
              <w:t>Base Case Description:</w:t>
            </w:r>
          </w:p>
        </w:tc>
        <w:tc>
          <w:tcPr>
            <w:tcW w:w="5760" w:type="dxa"/>
            <w:shd w:val="pct5" w:color="000000" w:fill="FFFFFF"/>
          </w:tcPr>
          <w:p w:rsidR="009D148C" w:rsidRPr="00972287" w:rsidRDefault="009D148C" w:rsidP="003B1D93">
            <w:pPr>
              <w:rPr>
                <w:sz w:val="20"/>
                <w:szCs w:val="20"/>
              </w:rPr>
            </w:pPr>
            <w:r w:rsidRPr="00972287">
              <w:rPr>
                <w:sz w:val="20"/>
                <w:szCs w:val="20"/>
              </w:rPr>
              <w:t xml:space="preserve">Source: </w:t>
            </w:r>
            <w:r w:rsidRPr="0087406B">
              <w:rPr>
                <w:sz w:val="20"/>
                <w:szCs w:val="20"/>
              </w:rPr>
              <w:t>PG&amp;E Calculations</w:t>
            </w:r>
            <w:r w:rsidRPr="00972287">
              <w:rPr>
                <w:sz w:val="20"/>
                <w:szCs w:val="20"/>
              </w:rPr>
              <w:t xml:space="preserve"> of energy and demand usage of existing rooftop packaged unit base case and existing VAV base case. </w:t>
            </w:r>
          </w:p>
        </w:tc>
      </w:tr>
      <w:tr w:rsidR="009D148C" w:rsidRPr="00783DAC" w:rsidTr="006B1FCE">
        <w:trPr>
          <w:trHeight w:val="465"/>
        </w:trPr>
        <w:tc>
          <w:tcPr>
            <w:tcW w:w="3888" w:type="dxa"/>
            <w:shd w:val="pct20" w:color="000000" w:fill="FFFFFF"/>
          </w:tcPr>
          <w:p w:rsidR="009D148C" w:rsidRPr="00972287" w:rsidRDefault="009D148C" w:rsidP="0028709C">
            <w:pPr>
              <w:rPr>
                <w:b/>
                <w:bCs/>
              </w:rPr>
            </w:pPr>
            <w:r w:rsidRPr="00972287">
              <w:rPr>
                <w:b/>
                <w:bCs/>
              </w:rPr>
              <w:t xml:space="preserve">Base Case Energy Consumption: </w:t>
            </w:r>
          </w:p>
        </w:tc>
        <w:tc>
          <w:tcPr>
            <w:tcW w:w="5760" w:type="dxa"/>
            <w:shd w:val="pct20" w:color="000000" w:fill="FFFFFF"/>
          </w:tcPr>
          <w:p w:rsidR="009D148C" w:rsidRDefault="009D148C" w:rsidP="00710140">
            <w:pPr>
              <w:rPr>
                <w:sz w:val="20"/>
                <w:szCs w:val="20"/>
              </w:rPr>
            </w:pPr>
            <w:r w:rsidRPr="00972287">
              <w:rPr>
                <w:sz w:val="20"/>
                <w:szCs w:val="20"/>
              </w:rPr>
              <w:t xml:space="preserve">Source: </w:t>
            </w:r>
            <w:r w:rsidRPr="0087406B">
              <w:rPr>
                <w:sz w:val="20"/>
                <w:szCs w:val="20"/>
              </w:rPr>
              <w:t>PG&amp;E Calculations</w:t>
            </w:r>
            <w:r w:rsidRPr="00972287">
              <w:rPr>
                <w:sz w:val="20"/>
                <w:szCs w:val="20"/>
              </w:rPr>
              <w:t xml:space="preserve"> using </w:t>
            </w:r>
            <w:proofErr w:type="spellStart"/>
            <w:r w:rsidRPr="00972287">
              <w:rPr>
                <w:sz w:val="20"/>
                <w:szCs w:val="20"/>
              </w:rPr>
              <w:t>EnergyPro</w:t>
            </w:r>
            <w:proofErr w:type="spellEnd"/>
            <w:r w:rsidRPr="00972287">
              <w:rPr>
                <w:sz w:val="20"/>
                <w:szCs w:val="20"/>
              </w:rPr>
              <w:t xml:space="preserve"> v</w:t>
            </w:r>
            <w:r>
              <w:rPr>
                <w:sz w:val="20"/>
                <w:szCs w:val="20"/>
              </w:rPr>
              <w:t>5.1.5.1</w:t>
            </w:r>
            <w:r w:rsidRPr="00972287">
              <w:rPr>
                <w:sz w:val="20"/>
                <w:szCs w:val="20"/>
              </w:rPr>
              <w:t xml:space="preserve"> with capability to model variable refrigerant flow</w:t>
            </w:r>
            <w:r>
              <w:rPr>
                <w:sz w:val="20"/>
                <w:szCs w:val="20"/>
              </w:rPr>
              <w:t>.</w:t>
            </w:r>
          </w:p>
          <w:p w:rsidR="009D148C" w:rsidRPr="00972287" w:rsidRDefault="009D148C" w:rsidP="00710140">
            <w:pPr>
              <w:rPr>
                <w:sz w:val="20"/>
                <w:szCs w:val="20"/>
              </w:rPr>
            </w:pPr>
          </w:p>
        </w:tc>
      </w:tr>
      <w:tr w:rsidR="009D148C" w:rsidRPr="00783DAC" w:rsidTr="006B1FCE">
        <w:trPr>
          <w:trHeight w:val="465"/>
        </w:trPr>
        <w:tc>
          <w:tcPr>
            <w:tcW w:w="3888" w:type="dxa"/>
            <w:shd w:val="pct5" w:color="000000" w:fill="FFFFFF"/>
          </w:tcPr>
          <w:p w:rsidR="009D148C" w:rsidRPr="00972287" w:rsidRDefault="009D148C" w:rsidP="0028709C">
            <w:pPr>
              <w:rPr>
                <w:b/>
                <w:bCs/>
              </w:rPr>
            </w:pPr>
            <w:r w:rsidRPr="00972287">
              <w:rPr>
                <w:b/>
                <w:bCs/>
              </w:rPr>
              <w:t>Measure Energy and Demand Consumption:</w:t>
            </w:r>
          </w:p>
          <w:p w:rsidR="009D148C" w:rsidRPr="00972287" w:rsidRDefault="009D148C" w:rsidP="0028709C">
            <w:pPr>
              <w:rPr>
                <w:b/>
                <w:bCs/>
              </w:rPr>
            </w:pPr>
          </w:p>
        </w:tc>
        <w:tc>
          <w:tcPr>
            <w:tcW w:w="5760" w:type="dxa"/>
            <w:shd w:val="pct5" w:color="000000" w:fill="FFFFFF"/>
          </w:tcPr>
          <w:p w:rsidR="009D148C" w:rsidRPr="00972287" w:rsidRDefault="009D148C" w:rsidP="007224ED">
            <w:pPr>
              <w:rPr>
                <w:sz w:val="20"/>
                <w:szCs w:val="20"/>
              </w:rPr>
            </w:pPr>
            <w:r w:rsidRPr="00972287">
              <w:rPr>
                <w:sz w:val="20"/>
                <w:szCs w:val="20"/>
              </w:rPr>
              <w:t xml:space="preserve">Source:  </w:t>
            </w:r>
            <w:r w:rsidRPr="0087406B">
              <w:rPr>
                <w:sz w:val="20"/>
                <w:szCs w:val="20"/>
              </w:rPr>
              <w:t>PG&amp;E Calculations</w:t>
            </w:r>
            <w:r w:rsidRPr="00972287">
              <w:rPr>
                <w:sz w:val="20"/>
                <w:szCs w:val="20"/>
              </w:rPr>
              <w:t xml:space="preserve"> using </w:t>
            </w:r>
            <w:proofErr w:type="spellStart"/>
            <w:r w:rsidRPr="00972287">
              <w:rPr>
                <w:sz w:val="20"/>
                <w:szCs w:val="20"/>
              </w:rPr>
              <w:t>EnergyPro</w:t>
            </w:r>
            <w:proofErr w:type="spellEnd"/>
            <w:r w:rsidRPr="00972287">
              <w:rPr>
                <w:sz w:val="20"/>
                <w:szCs w:val="20"/>
              </w:rPr>
              <w:t xml:space="preserve"> v</w:t>
            </w:r>
            <w:r>
              <w:rPr>
                <w:sz w:val="20"/>
                <w:szCs w:val="20"/>
              </w:rPr>
              <w:t>5.1.5.1</w:t>
            </w:r>
            <w:r w:rsidRPr="00972287">
              <w:rPr>
                <w:sz w:val="20"/>
                <w:szCs w:val="20"/>
              </w:rPr>
              <w:t xml:space="preserve"> with capability to model variable refrigerant flow.</w:t>
            </w:r>
          </w:p>
        </w:tc>
      </w:tr>
      <w:tr w:rsidR="009D148C" w:rsidRPr="00783DAC" w:rsidTr="006B1FCE">
        <w:trPr>
          <w:trHeight w:val="465"/>
        </w:trPr>
        <w:tc>
          <w:tcPr>
            <w:tcW w:w="3888" w:type="dxa"/>
            <w:shd w:val="pct20" w:color="000000" w:fill="FFFFFF"/>
          </w:tcPr>
          <w:p w:rsidR="009D148C" w:rsidRPr="00972287" w:rsidRDefault="009D148C" w:rsidP="0028709C">
            <w:pPr>
              <w:rPr>
                <w:b/>
                <w:bCs/>
              </w:rPr>
            </w:pPr>
            <w:r w:rsidRPr="00972287">
              <w:rPr>
                <w:b/>
                <w:bCs/>
              </w:rPr>
              <w:t>Energy and Demand Savings (Base Case – Measure Case)</w:t>
            </w:r>
          </w:p>
        </w:tc>
        <w:tc>
          <w:tcPr>
            <w:tcW w:w="5760" w:type="dxa"/>
            <w:shd w:val="pct20" w:color="000000" w:fill="FFFFFF"/>
          </w:tcPr>
          <w:p w:rsidR="009D148C" w:rsidRPr="00972287" w:rsidRDefault="009D148C" w:rsidP="00064F44">
            <w:pPr>
              <w:rPr>
                <w:sz w:val="20"/>
                <w:szCs w:val="20"/>
              </w:rPr>
            </w:pPr>
            <w:r w:rsidRPr="00972287">
              <w:rPr>
                <w:sz w:val="20"/>
                <w:szCs w:val="20"/>
              </w:rPr>
              <w:t xml:space="preserve">Source:  </w:t>
            </w:r>
            <w:r w:rsidRPr="0087406B">
              <w:rPr>
                <w:sz w:val="20"/>
                <w:szCs w:val="20"/>
              </w:rPr>
              <w:t>PG&amp;E Calculations</w:t>
            </w:r>
            <w:r w:rsidRPr="00972287">
              <w:rPr>
                <w:sz w:val="20"/>
                <w:szCs w:val="20"/>
              </w:rPr>
              <w:t xml:space="preserve"> in </w:t>
            </w:r>
            <w:proofErr w:type="spellStart"/>
            <w:r w:rsidRPr="00972287">
              <w:rPr>
                <w:sz w:val="20"/>
                <w:szCs w:val="20"/>
              </w:rPr>
              <w:t>EnergyPro</w:t>
            </w:r>
            <w:proofErr w:type="spellEnd"/>
            <w:r w:rsidR="000868EE">
              <w:rPr>
                <w:sz w:val="20"/>
                <w:szCs w:val="20"/>
              </w:rPr>
              <w:t xml:space="preserve"> </w:t>
            </w:r>
            <w:r w:rsidR="000868EE" w:rsidRPr="00972287">
              <w:rPr>
                <w:sz w:val="20"/>
                <w:szCs w:val="20"/>
              </w:rPr>
              <w:t>v</w:t>
            </w:r>
            <w:r w:rsidR="000868EE">
              <w:rPr>
                <w:sz w:val="20"/>
                <w:szCs w:val="20"/>
              </w:rPr>
              <w:t>5.1.5.1</w:t>
            </w:r>
            <w:r w:rsidRPr="00972287">
              <w:rPr>
                <w:sz w:val="20"/>
                <w:szCs w:val="20"/>
              </w:rPr>
              <w:t xml:space="preserve">.  Base consumption averages </w:t>
            </w:r>
            <w:r>
              <w:rPr>
                <w:sz w:val="20"/>
                <w:szCs w:val="20"/>
              </w:rPr>
              <w:t>.37</w:t>
            </w:r>
            <w:r w:rsidRPr="00972287">
              <w:rPr>
                <w:sz w:val="20"/>
                <w:szCs w:val="20"/>
              </w:rPr>
              <w:t xml:space="preserve">kW, </w:t>
            </w:r>
            <w:r>
              <w:rPr>
                <w:sz w:val="20"/>
                <w:szCs w:val="20"/>
              </w:rPr>
              <w:t>912</w:t>
            </w:r>
            <w:r w:rsidRPr="00972287">
              <w:rPr>
                <w:sz w:val="20"/>
                <w:szCs w:val="20"/>
              </w:rPr>
              <w:t xml:space="preserve">kWh, and </w:t>
            </w:r>
            <w:r>
              <w:rPr>
                <w:sz w:val="20"/>
                <w:szCs w:val="20"/>
              </w:rPr>
              <w:t>18</w:t>
            </w:r>
            <w:r w:rsidRPr="00972287">
              <w:rPr>
                <w:sz w:val="20"/>
                <w:szCs w:val="20"/>
              </w:rPr>
              <w:t xml:space="preserve">Therms per </w:t>
            </w:r>
            <w:r>
              <w:rPr>
                <w:sz w:val="20"/>
                <w:szCs w:val="20"/>
              </w:rPr>
              <w:t>ton</w:t>
            </w:r>
            <w:r w:rsidRPr="00972287">
              <w:rPr>
                <w:sz w:val="20"/>
                <w:szCs w:val="20"/>
              </w:rPr>
              <w:t>.</w:t>
            </w:r>
          </w:p>
        </w:tc>
      </w:tr>
      <w:tr w:rsidR="009D148C" w:rsidRPr="00783DAC" w:rsidTr="006B1FCE">
        <w:trPr>
          <w:trHeight w:val="465"/>
        </w:trPr>
        <w:tc>
          <w:tcPr>
            <w:tcW w:w="3888" w:type="dxa"/>
            <w:shd w:val="pct5" w:color="000000" w:fill="FFFFFF"/>
          </w:tcPr>
          <w:p w:rsidR="009D148C" w:rsidRPr="00972287" w:rsidRDefault="009D148C" w:rsidP="0028709C">
            <w:pPr>
              <w:rPr>
                <w:b/>
                <w:bCs/>
              </w:rPr>
            </w:pPr>
            <w:r w:rsidRPr="00972287">
              <w:rPr>
                <w:b/>
                <w:bCs/>
              </w:rPr>
              <w:t xml:space="preserve">Costs Common Units: </w:t>
            </w:r>
          </w:p>
        </w:tc>
        <w:tc>
          <w:tcPr>
            <w:tcW w:w="5760" w:type="dxa"/>
            <w:shd w:val="pct5" w:color="000000" w:fill="FFFFFF"/>
          </w:tcPr>
          <w:p w:rsidR="009D148C" w:rsidRPr="00972287" w:rsidRDefault="009D148C" w:rsidP="0028709C">
            <w:pPr>
              <w:rPr>
                <w:sz w:val="20"/>
                <w:szCs w:val="20"/>
              </w:rPr>
            </w:pPr>
            <w:r w:rsidRPr="00972287">
              <w:rPr>
                <w:sz w:val="20"/>
                <w:szCs w:val="20"/>
              </w:rPr>
              <w:t>$ per ton</w:t>
            </w:r>
          </w:p>
        </w:tc>
      </w:tr>
      <w:tr w:rsidR="009D148C" w:rsidRPr="00783DAC" w:rsidTr="006B1FCE">
        <w:trPr>
          <w:trHeight w:val="465"/>
        </w:trPr>
        <w:tc>
          <w:tcPr>
            <w:tcW w:w="3888" w:type="dxa"/>
            <w:shd w:val="pct20" w:color="000000" w:fill="FFFFFF"/>
          </w:tcPr>
          <w:p w:rsidR="009D148C" w:rsidRPr="00972287" w:rsidRDefault="009D148C" w:rsidP="0028709C">
            <w:pPr>
              <w:rPr>
                <w:b/>
                <w:bCs/>
                <w:highlight w:val="cyan"/>
              </w:rPr>
            </w:pPr>
            <w:r w:rsidRPr="00972287">
              <w:rPr>
                <w:b/>
                <w:bCs/>
              </w:rPr>
              <w:t>Base Case Equipment Cost ($/unit):</w:t>
            </w:r>
          </w:p>
        </w:tc>
        <w:tc>
          <w:tcPr>
            <w:tcW w:w="5760" w:type="dxa"/>
            <w:shd w:val="pct20" w:color="000000" w:fill="FFFFFF"/>
          </w:tcPr>
          <w:p w:rsidR="009D148C" w:rsidRPr="00972287" w:rsidRDefault="009D148C" w:rsidP="00A11F79">
            <w:pPr>
              <w:rPr>
                <w:sz w:val="20"/>
                <w:szCs w:val="20"/>
              </w:rPr>
            </w:pPr>
            <w:r>
              <w:rPr>
                <w:sz w:val="20"/>
                <w:szCs w:val="20"/>
              </w:rPr>
              <w:t>The base case cost range is $1000/ton to $1400/ton.</w:t>
            </w:r>
          </w:p>
        </w:tc>
      </w:tr>
      <w:tr w:rsidR="009D148C" w:rsidRPr="00783DAC" w:rsidTr="006B1FCE">
        <w:trPr>
          <w:trHeight w:val="465"/>
        </w:trPr>
        <w:tc>
          <w:tcPr>
            <w:tcW w:w="3888" w:type="dxa"/>
            <w:shd w:val="pct5" w:color="000000" w:fill="FFFFFF"/>
          </w:tcPr>
          <w:p w:rsidR="009D148C" w:rsidRPr="00972287" w:rsidRDefault="009D148C" w:rsidP="0028709C">
            <w:pPr>
              <w:rPr>
                <w:b/>
                <w:bCs/>
              </w:rPr>
            </w:pPr>
            <w:r w:rsidRPr="00972287">
              <w:rPr>
                <w:b/>
                <w:bCs/>
              </w:rPr>
              <w:t xml:space="preserve">Measure Equipment Cost ($/unit): </w:t>
            </w:r>
          </w:p>
        </w:tc>
        <w:tc>
          <w:tcPr>
            <w:tcW w:w="5760" w:type="dxa"/>
            <w:shd w:val="pct5" w:color="000000" w:fill="FFFFFF"/>
          </w:tcPr>
          <w:p w:rsidR="009D148C" w:rsidRPr="007224ED" w:rsidRDefault="009D148C" w:rsidP="00621EB5">
            <w:pPr>
              <w:rPr>
                <w:sz w:val="20"/>
                <w:szCs w:val="20"/>
              </w:rPr>
            </w:pPr>
            <w:r w:rsidRPr="007224ED">
              <w:rPr>
                <w:sz w:val="20"/>
                <w:szCs w:val="20"/>
              </w:rPr>
              <w:t xml:space="preserve">Source: PG&amp;E Calculations, from </w:t>
            </w:r>
            <w:r>
              <w:rPr>
                <w:sz w:val="20"/>
                <w:szCs w:val="20"/>
              </w:rPr>
              <w:t>distributor</w:t>
            </w:r>
            <w:r w:rsidRPr="007224ED">
              <w:rPr>
                <w:sz w:val="20"/>
                <w:szCs w:val="20"/>
              </w:rPr>
              <w:t xml:space="preserve"> estimates.  $2100/ton for </w:t>
            </w:r>
            <w:r>
              <w:rPr>
                <w:sz w:val="20"/>
                <w:szCs w:val="20"/>
              </w:rPr>
              <w:t>heat pump (</w:t>
            </w:r>
            <w:r w:rsidRPr="007224ED">
              <w:rPr>
                <w:sz w:val="20"/>
                <w:szCs w:val="20"/>
              </w:rPr>
              <w:t>HP</w:t>
            </w:r>
            <w:r>
              <w:rPr>
                <w:sz w:val="20"/>
                <w:szCs w:val="20"/>
              </w:rPr>
              <w:t>)</w:t>
            </w:r>
            <w:r w:rsidRPr="007224ED">
              <w:rPr>
                <w:sz w:val="20"/>
                <w:szCs w:val="20"/>
              </w:rPr>
              <w:t xml:space="preserve">; $2700/ton for </w:t>
            </w:r>
            <w:r>
              <w:rPr>
                <w:sz w:val="20"/>
                <w:szCs w:val="20"/>
              </w:rPr>
              <w:t>heat recovery (</w:t>
            </w:r>
            <w:r w:rsidRPr="007224ED">
              <w:rPr>
                <w:sz w:val="20"/>
                <w:szCs w:val="20"/>
              </w:rPr>
              <w:t>HR</w:t>
            </w:r>
            <w:r>
              <w:rPr>
                <w:sz w:val="20"/>
                <w:szCs w:val="20"/>
              </w:rPr>
              <w:t>)</w:t>
            </w:r>
            <w:r w:rsidRPr="007224ED">
              <w:rPr>
                <w:sz w:val="20"/>
                <w:szCs w:val="20"/>
              </w:rPr>
              <w:t>.</w:t>
            </w:r>
          </w:p>
        </w:tc>
      </w:tr>
      <w:tr w:rsidR="009D148C" w:rsidRPr="00783DAC" w:rsidTr="006B1FCE">
        <w:trPr>
          <w:trHeight w:val="465"/>
        </w:trPr>
        <w:tc>
          <w:tcPr>
            <w:tcW w:w="3888" w:type="dxa"/>
            <w:shd w:val="pct20" w:color="000000" w:fill="FFFFFF"/>
          </w:tcPr>
          <w:p w:rsidR="009D148C" w:rsidRPr="00972287" w:rsidRDefault="009D148C" w:rsidP="0028709C">
            <w:pPr>
              <w:rPr>
                <w:b/>
                <w:bCs/>
              </w:rPr>
            </w:pPr>
            <w:bookmarkStart w:id="3" w:name="OLE_LINK1"/>
            <w:r w:rsidRPr="00972287">
              <w:rPr>
                <w:b/>
                <w:bCs/>
              </w:rPr>
              <w:t xml:space="preserve">Measure Incremental Cost ($/unit): </w:t>
            </w:r>
            <w:bookmarkEnd w:id="3"/>
          </w:p>
        </w:tc>
        <w:tc>
          <w:tcPr>
            <w:tcW w:w="5760" w:type="dxa"/>
            <w:shd w:val="pct20" w:color="000000" w:fill="FFFFFF"/>
          </w:tcPr>
          <w:p w:rsidR="009D148C" w:rsidRDefault="009D148C" w:rsidP="0028709C">
            <w:pPr>
              <w:rPr>
                <w:sz w:val="20"/>
                <w:szCs w:val="20"/>
              </w:rPr>
            </w:pPr>
            <w:r w:rsidRPr="00972287">
              <w:rPr>
                <w:sz w:val="20"/>
                <w:szCs w:val="20"/>
              </w:rPr>
              <w:t xml:space="preserve">Source: </w:t>
            </w:r>
            <w:r>
              <w:rPr>
                <w:sz w:val="20"/>
                <w:szCs w:val="20"/>
              </w:rPr>
              <w:t>Difference between base case cost and measure case cost. The incremental cost is equal to the difference between measure cost and base case cost.</w:t>
            </w:r>
          </w:p>
          <w:p w:rsidR="009D148C" w:rsidRPr="00972287" w:rsidRDefault="009D148C" w:rsidP="0028709C">
            <w:pPr>
              <w:rPr>
                <w:sz w:val="20"/>
                <w:szCs w:val="20"/>
              </w:rPr>
            </w:pPr>
            <w:r w:rsidRPr="00972287">
              <w:rPr>
                <w:sz w:val="20"/>
                <w:szCs w:val="20"/>
              </w:rPr>
              <w:t>ROB = measure equipment cost – base case equipment cost</w:t>
            </w:r>
            <w:r>
              <w:rPr>
                <w:sz w:val="20"/>
                <w:szCs w:val="20"/>
              </w:rPr>
              <w:t>, range $700/ton to $1700/ton.</w:t>
            </w:r>
          </w:p>
          <w:p w:rsidR="009D148C" w:rsidRPr="00972287" w:rsidRDefault="009D148C" w:rsidP="008E38B7">
            <w:pPr>
              <w:rPr>
                <w:sz w:val="20"/>
                <w:szCs w:val="20"/>
              </w:rPr>
            </w:pPr>
            <w:r w:rsidRPr="00972287">
              <w:rPr>
                <w:sz w:val="20"/>
                <w:szCs w:val="20"/>
              </w:rPr>
              <w:t>RET = measure equipment plus labor including overhead and profit</w:t>
            </w:r>
            <w:r>
              <w:rPr>
                <w:sz w:val="20"/>
                <w:szCs w:val="20"/>
              </w:rPr>
              <w:t>. RET or early retirement (ER) is not included in program as of April 2012.</w:t>
            </w:r>
          </w:p>
        </w:tc>
      </w:tr>
      <w:tr w:rsidR="009D148C" w:rsidRPr="00783DAC" w:rsidTr="006B1FCE">
        <w:trPr>
          <w:trHeight w:val="465"/>
        </w:trPr>
        <w:tc>
          <w:tcPr>
            <w:tcW w:w="3888" w:type="dxa"/>
            <w:shd w:val="pct5" w:color="000000" w:fill="FFFFFF"/>
          </w:tcPr>
          <w:p w:rsidR="009D148C" w:rsidRPr="00972287" w:rsidRDefault="009D148C" w:rsidP="0028709C">
            <w:pPr>
              <w:rPr>
                <w:b/>
                <w:bCs/>
              </w:rPr>
            </w:pPr>
            <w:r w:rsidRPr="00972287">
              <w:rPr>
                <w:b/>
                <w:bCs/>
              </w:rPr>
              <w:t xml:space="preserve">Effective Useful Life (years): </w:t>
            </w:r>
          </w:p>
        </w:tc>
        <w:tc>
          <w:tcPr>
            <w:tcW w:w="5760" w:type="dxa"/>
            <w:shd w:val="pct5" w:color="000000" w:fill="FFFFFF"/>
          </w:tcPr>
          <w:p w:rsidR="009D148C" w:rsidRPr="006C531E" w:rsidRDefault="009D148C" w:rsidP="0028709C">
            <w:pPr>
              <w:rPr>
                <w:sz w:val="20"/>
                <w:szCs w:val="20"/>
              </w:rPr>
            </w:pPr>
            <w:r w:rsidRPr="006C531E">
              <w:rPr>
                <w:sz w:val="20"/>
                <w:szCs w:val="20"/>
              </w:rPr>
              <w:t xml:space="preserve">Source:  </w:t>
            </w:r>
            <w:r>
              <w:rPr>
                <w:sz w:val="20"/>
                <w:szCs w:val="20"/>
              </w:rPr>
              <w:t>DEER 2008</w:t>
            </w:r>
            <w:bookmarkStart w:id="4" w:name="_Ref321313030"/>
            <w:r w:rsidRPr="006C531E">
              <w:rPr>
                <w:sz w:val="20"/>
                <w:szCs w:val="20"/>
              </w:rPr>
              <w:endnoteReference w:id="1"/>
            </w:r>
            <w:bookmarkEnd w:id="4"/>
            <w:r w:rsidRPr="006C531E">
              <w:rPr>
                <w:sz w:val="20"/>
                <w:szCs w:val="20"/>
              </w:rPr>
              <w:t xml:space="preserve"> 15 years is based on Nonresidential “Air Conditioners / Heat Pumps (split and unitary),” from updated EUL_Summary_10-1-08.</w:t>
            </w:r>
          </w:p>
        </w:tc>
      </w:tr>
      <w:tr w:rsidR="009D148C" w:rsidRPr="00783DAC" w:rsidTr="006B1FCE">
        <w:trPr>
          <w:trHeight w:val="465"/>
        </w:trPr>
        <w:tc>
          <w:tcPr>
            <w:tcW w:w="3888" w:type="dxa"/>
            <w:shd w:val="pct20" w:color="000000" w:fill="FFFFFF"/>
          </w:tcPr>
          <w:p w:rsidR="009D148C" w:rsidRPr="00972287" w:rsidRDefault="009D148C" w:rsidP="0028709C">
            <w:pPr>
              <w:rPr>
                <w:b/>
                <w:bCs/>
              </w:rPr>
            </w:pPr>
            <w:r w:rsidRPr="00972287">
              <w:rPr>
                <w:b/>
                <w:bCs/>
              </w:rPr>
              <w:t>Program Type:</w:t>
            </w:r>
          </w:p>
        </w:tc>
        <w:tc>
          <w:tcPr>
            <w:tcW w:w="5760" w:type="dxa"/>
            <w:shd w:val="pct20" w:color="000000" w:fill="FFFFFF"/>
          </w:tcPr>
          <w:p w:rsidR="009D148C" w:rsidRPr="00972287" w:rsidRDefault="009D148C" w:rsidP="00962995">
            <w:pPr>
              <w:rPr>
                <w:sz w:val="20"/>
                <w:szCs w:val="20"/>
              </w:rPr>
            </w:pPr>
            <w:r w:rsidRPr="00972287">
              <w:rPr>
                <w:sz w:val="20"/>
                <w:szCs w:val="20"/>
              </w:rPr>
              <w:t>Replace on Burnout</w:t>
            </w:r>
            <w:r>
              <w:rPr>
                <w:sz w:val="20"/>
                <w:szCs w:val="20"/>
              </w:rPr>
              <w:t xml:space="preserve"> (ROB), Upstream Rebate</w:t>
            </w:r>
          </w:p>
        </w:tc>
      </w:tr>
      <w:tr w:rsidR="009D148C" w:rsidRPr="00783DAC" w:rsidTr="006B1FCE">
        <w:trPr>
          <w:trHeight w:val="465"/>
        </w:trPr>
        <w:tc>
          <w:tcPr>
            <w:tcW w:w="3888" w:type="dxa"/>
            <w:shd w:val="pct5" w:color="000000" w:fill="FFFFFF"/>
          </w:tcPr>
          <w:p w:rsidR="009D148C" w:rsidRPr="00972287" w:rsidRDefault="009D148C" w:rsidP="0028709C">
            <w:pPr>
              <w:rPr>
                <w:b/>
                <w:bCs/>
              </w:rPr>
            </w:pPr>
            <w:r w:rsidRPr="00972287">
              <w:rPr>
                <w:b/>
                <w:bCs/>
              </w:rPr>
              <w:t xml:space="preserve">Net-to-Gross Ratios: </w:t>
            </w:r>
          </w:p>
        </w:tc>
        <w:tc>
          <w:tcPr>
            <w:tcW w:w="5760" w:type="dxa"/>
            <w:shd w:val="pct5" w:color="000000" w:fill="FFFFFF"/>
          </w:tcPr>
          <w:p w:rsidR="009D148C" w:rsidRPr="00972287" w:rsidRDefault="009D148C" w:rsidP="00800632">
            <w:pPr>
              <w:rPr>
                <w:sz w:val="20"/>
                <w:szCs w:val="20"/>
              </w:rPr>
            </w:pPr>
            <w:r w:rsidRPr="00972287">
              <w:rPr>
                <w:sz w:val="20"/>
                <w:szCs w:val="20"/>
              </w:rPr>
              <w:t xml:space="preserve">Source:  </w:t>
            </w:r>
            <w:r w:rsidRPr="006C531E">
              <w:rPr>
                <w:sz w:val="20"/>
                <w:szCs w:val="20"/>
              </w:rPr>
              <w:t>DEER</w:t>
            </w:r>
            <w:r w:rsidR="00AE112D">
              <w:rPr>
                <w:sz w:val="20"/>
                <w:szCs w:val="20"/>
              </w:rPr>
              <w:t xml:space="preserve"> 2016</w:t>
            </w:r>
            <w:r w:rsidRPr="00972287">
              <w:rPr>
                <w:sz w:val="20"/>
                <w:szCs w:val="20"/>
              </w:rPr>
              <w:t>; NTG =0</w:t>
            </w:r>
            <w:r w:rsidR="00AE112D">
              <w:rPr>
                <w:sz w:val="20"/>
                <w:szCs w:val="20"/>
              </w:rPr>
              <w:t>.75</w:t>
            </w:r>
            <w:r w:rsidRPr="00972287">
              <w:rPr>
                <w:sz w:val="20"/>
                <w:szCs w:val="20"/>
              </w:rPr>
              <w:t xml:space="preserve"> </w:t>
            </w:r>
            <w:r>
              <w:rPr>
                <w:sz w:val="20"/>
                <w:szCs w:val="20"/>
              </w:rPr>
              <w:t>“</w:t>
            </w:r>
            <w:r w:rsidRPr="00972287">
              <w:rPr>
                <w:sz w:val="20"/>
                <w:szCs w:val="20"/>
              </w:rPr>
              <w:t>All package and split system AC &amp; HP replacements.</w:t>
            </w:r>
            <w:bookmarkStart w:id="5" w:name="_Ref318047508"/>
            <w:r>
              <w:rPr>
                <w:sz w:val="20"/>
                <w:szCs w:val="20"/>
              </w:rPr>
              <w:t>”</w:t>
            </w:r>
            <w:r w:rsidRPr="00CF7875">
              <w:rPr>
                <w:sz w:val="20"/>
                <w:szCs w:val="20"/>
                <w:vertAlign w:val="superscript"/>
              </w:rPr>
              <w:endnoteReference w:id="2"/>
            </w:r>
            <w:bookmarkEnd w:id="5"/>
          </w:p>
        </w:tc>
      </w:tr>
      <w:tr w:rsidR="006B1FCE" w:rsidRPr="00783DAC" w:rsidTr="006B1FCE">
        <w:trPr>
          <w:trHeight w:val="465"/>
        </w:trPr>
        <w:tc>
          <w:tcPr>
            <w:tcW w:w="9648" w:type="dxa"/>
            <w:gridSpan w:val="2"/>
            <w:shd w:val="pct20" w:color="000000" w:fill="FFFFFF"/>
          </w:tcPr>
          <w:p w:rsidR="006B1FCE" w:rsidRPr="00972287" w:rsidRDefault="006B1FCE" w:rsidP="0028709C">
            <w:pPr>
              <w:rPr>
                <w:sz w:val="20"/>
                <w:szCs w:val="20"/>
              </w:rPr>
            </w:pPr>
            <w:r w:rsidRPr="00972287">
              <w:rPr>
                <w:b/>
                <w:bCs/>
              </w:rPr>
              <w:t>Important Comments:</w:t>
            </w:r>
            <w:r>
              <w:rPr>
                <w:b/>
                <w:bCs/>
              </w:rPr>
              <w:t xml:space="preserve"> </w:t>
            </w:r>
            <w:r w:rsidRPr="006B1FCE">
              <w:rPr>
                <w:bCs/>
                <w:sz w:val="20"/>
                <w:szCs w:val="20"/>
              </w:rPr>
              <w:t>“OTR”-This code stands for “Other” building type and it is only used when the customer doesn’t select a building type in the application or the building type doesn’t fall under any of the DEER approved building types. “OTR” building type savings are calculated using the "minimum kwh savings row" of valid DEER building types.  If all kwh are zero, use minimum kw row. If all kwh and kw are zero, use minimum therm. For a lighting measure with all building types, the “MTL” building type will be equivalent to OTR because it is the lowest hours of operation. This is a PG&amp;E Administrative type, additional to any DEER types listed.</w:t>
            </w:r>
          </w:p>
        </w:tc>
      </w:tr>
    </w:tbl>
    <w:p w:rsidR="009D148C" w:rsidRPr="005F19E0" w:rsidRDefault="009D148C" w:rsidP="0006490F">
      <w:pPr>
        <w:rPr>
          <w:b/>
          <w:bCs/>
          <w:color w:val="FF0000"/>
          <w:sz w:val="20"/>
          <w:szCs w:val="20"/>
        </w:rPr>
        <w:sectPr w:rsidR="009D148C" w:rsidRPr="005F19E0" w:rsidSect="00E03431">
          <w:headerReference w:type="default" r:id="rId15"/>
          <w:footerReference w:type="default" r:id="rId16"/>
          <w:endnotePr>
            <w:numFmt w:val="decimal"/>
          </w:endnotePr>
          <w:pgSz w:w="12240" w:h="15840"/>
          <w:pgMar w:top="1440" w:right="1440" w:bottom="1440" w:left="1440" w:header="720" w:footer="720" w:gutter="0"/>
          <w:pgNumType w:fmt="lowerRoman"/>
          <w:cols w:space="720"/>
          <w:docGrid w:linePitch="360"/>
        </w:sectPr>
      </w:pPr>
    </w:p>
    <w:p w:rsidR="009D148C" w:rsidRDefault="009D148C" w:rsidP="00370BD4">
      <w:pPr>
        <w:rPr>
          <w:b/>
          <w:bCs/>
          <w:sz w:val="28"/>
          <w:szCs w:val="28"/>
        </w:rPr>
      </w:pPr>
      <w:r w:rsidRPr="00B54F2E">
        <w:rPr>
          <w:b/>
          <w:bCs/>
          <w:sz w:val="28"/>
          <w:szCs w:val="28"/>
        </w:rPr>
        <w:lastRenderedPageBreak/>
        <w:t>AT A GLANCE MEASURE LIST</w:t>
      </w:r>
    </w:p>
    <w:p w:rsidR="009D148C" w:rsidRDefault="009D148C" w:rsidP="00370BD4">
      <w:pPr>
        <w:rPr>
          <w:b/>
          <w:bCs/>
          <w:sz w:val="28"/>
          <w:szCs w:val="28"/>
        </w:rPr>
      </w:pPr>
    </w:p>
    <w:tbl>
      <w:tblPr>
        <w:tblpPr w:leftFromText="180" w:rightFromText="180" w:vertAnchor="page" w:horzAnchor="margin" w:tblpXSpec="center" w:tblpY="2146"/>
        <w:tblW w:w="23328" w:type="dxa"/>
        <w:tblLayout w:type="fixed"/>
        <w:tblLook w:val="00A0" w:firstRow="1" w:lastRow="0" w:firstColumn="1" w:lastColumn="0" w:noHBand="0" w:noVBand="0"/>
      </w:tblPr>
      <w:tblGrid>
        <w:gridCol w:w="828"/>
        <w:gridCol w:w="450"/>
        <w:gridCol w:w="2610"/>
        <w:gridCol w:w="900"/>
        <w:gridCol w:w="720"/>
        <w:gridCol w:w="540"/>
        <w:gridCol w:w="630"/>
        <w:gridCol w:w="540"/>
        <w:gridCol w:w="720"/>
        <w:gridCol w:w="810"/>
        <w:gridCol w:w="810"/>
        <w:gridCol w:w="720"/>
        <w:gridCol w:w="1260"/>
        <w:gridCol w:w="1080"/>
        <w:gridCol w:w="450"/>
        <w:gridCol w:w="1080"/>
        <w:gridCol w:w="900"/>
        <w:gridCol w:w="630"/>
        <w:gridCol w:w="540"/>
        <w:gridCol w:w="360"/>
        <w:gridCol w:w="630"/>
        <w:gridCol w:w="540"/>
        <w:gridCol w:w="450"/>
        <w:gridCol w:w="1080"/>
        <w:gridCol w:w="540"/>
        <w:gridCol w:w="630"/>
        <w:gridCol w:w="630"/>
        <w:gridCol w:w="702"/>
        <w:gridCol w:w="828"/>
        <w:gridCol w:w="720"/>
      </w:tblGrid>
      <w:tr w:rsidR="009D148C" w:rsidRPr="00055CD8">
        <w:trPr>
          <w:trHeight w:val="270"/>
        </w:trPr>
        <w:tc>
          <w:tcPr>
            <w:tcW w:w="828" w:type="dxa"/>
            <w:tcBorders>
              <w:top w:val="nil"/>
              <w:left w:val="nil"/>
              <w:bottom w:val="nil"/>
              <w:right w:val="nil"/>
            </w:tcBorders>
            <w:noWrap/>
            <w:vAlign w:val="center"/>
          </w:tcPr>
          <w:p w:rsidR="009D148C" w:rsidRPr="00055CD8" w:rsidRDefault="009D148C" w:rsidP="00B232E3">
            <w:pPr>
              <w:jc w:val="center"/>
              <w:rPr>
                <w:sz w:val="20"/>
                <w:szCs w:val="20"/>
              </w:rPr>
            </w:pPr>
          </w:p>
        </w:tc>
        <w:tc>
          <w:tcPr>
            <w:tcW w:w="450" w:type="dxa"/>
            <w:tcBorders>
              <w:top w:val="nil"/>
              <w:left w:val="nil"/>
              <w:bottom w:val="nil"/>
              <w:right w:val="nil"/>
            </w:tcBorders>
            <w:noWrap/>
            <w:vAlign w:val="center"/>
          </w:tcPr>
          <w:p w:rsidR="009D148C" w:rsidRPr="00055CD8" w:rsidRDefault="009D148C" w:rsidP="00B232E3">
            <w:pPr>
              <w:jc w:val="center"/>
              <w:rPr>
                <w:b/>
                <w:bCs/>
                <w:sz w:val="20"/>
                <w:szCs w:val="20"/>
              </w:rPr>
            </w:pPr>
          </w:p>
        </w:tc>
        <w:tc>
          <w:tcPr>
            <w:tcW w:w="2610" w:type="dxa"/>
            <w:tcBorders>
              <w:top w:val="nil"/>
              <w:left w:val="nil"/>
              <w:bottom w:val="nil"/>
              <w:right w:val="nil"/>
            </w:tcBorders>
            <w:noWrap/>
            <w:vAlign w:val="center"/>
          </w:tcPr>
          <w:p w:rsidR="009D148C" w:rsidRPr="00055CD8" w:rsidRDefault="009D148C" w:rsidP="00B232E3">
            <w:pPr>
              <w:jc w:val="center"/>
              <w:rPr>
                <w:b/>
                <w:bCs/>
                <w:sz w:val="20"/>
                <w:szCs w:val="20"/>
              </w:rPr>
            </w:pPr>
          </w:p>
        </w:tc>
        <w:tc>
          <w:tcPr>
            <w:tcW w:w="900" w:type="dxa"/>
            <w:tcBorders>
              <w:top w:val="nil"/>
              <w:left w:val="nil"/>
              <w:bottom w:val="nil"/>
              <w:right w:val="nil"/>
            </w:tcBorders>
            <w:noWrap/>
            <w:vAlign w:val="center"/>
          </w:tcPr>
          <w:p w:rsidR="009D148C" w:rsidRPr="00055CD8" w:rsidRDefault="009D148C" w:rsidP="00B232E3">
            <w:pPr>
              <w:jc w:val="center"/>
              <w:rPr>
                <w:b/>
                <w:bCs/>
                <w:sz w:val="20"/>
                <w:szCs w:val="20"/>
              </w:rPr>
            </w:pPr>
          </w:p>
        </w:tc>
        <w:tc>
          <w:tcPr>
            <w:tcW w:w="720" w:type="dxa"/>
            <w:tcBorders>
              <w:top w:val="nil"/>
              <w:left w:val="nil"/>
              <w:bottom w:val="nil"/>
              <w:right w:val="nil"/>
            </w:tcBorders>
            <w:noWrap/>
            <w:vAlign w:val="center"/>
          </w:tcPr>
          <w:p w:rsidR="009D148C" w:rsidRPr="00055CD8" w:rsidRDefault="009D148C" w:rsidP="00B232E3">
            <w:pPr>
              <w:jc w:val="center"/>
              <w:rPr>
                <w:b/>
                <w:bCs/>
                <w:sz w:val="20"/>
                <w:szCs w:val="20"/>
              </w:rPr>
            </w:pPr>
          </w:p>
        </w:tc>
        <w:tc>
          <w:tcPr>
            <w:tcW w:w="540" w:type="dxa"/>
            <w:tcBorders>
              <w:top w:val="nil"/>
              <w:left w:val="nil"/>
              <w:bottom w:val="nil"/>
              <w:right w:val="nil"/>
            </w:tcBorders>
            <w:noWrap/>
            <w:vAlign w:val="center"/>
          </w:tcPr>
          <w:p w:rsidR="009D148C" w:rsidRPr="00055CD8" w:rsidRDefault="009D148C" w:rsidP="00B232E3">
            <w:pPr>
              <w:jc w:val="center"/>
              <w:rPr>
                <w:b/>
                <w:bCs/>
                <w:sz w:val="20"/>
                <w:szCs w:val="20"/>
              </w:rPr>
            </w:pPr>
          </w:p>
        </w:tc>
        <w:tc>
          <w:tcPr>
            <w:tcW w:w="630" w:type="dxa"/>
            <w:tcBorders>
              <w:top w:val="nil"/>
              <w:left w:val="nil"/>
              <w:bottom w:val="nil"/>
              <w:right w:val="nil"/>
            </w:tcBorders>
            <w:noWrap/>
            <w:vAlign w:val="center"/>
          </w:tcPr>
          <w:p w:rsidR="009D148C" w:rsidRPr="00055CD8" w:rsidRDefault="009D148C" w:rsidP="00B232E3">
            <w:pPr>
              <w:jc w:val="center"/>
              <w:rPr>
                <w:sz w:val="20"/>
                <w:szCs w:val="20"/>
              </w:rPr>
            </w:pPr>
          </w:p>
        </w:tc>
        <w:tc>
          <w:tcPr>
            <w:tcW w:w="540" w:type="dxa"/>
            <w:tcBorders>
              <w:top w:val="nil"/>
              <w:left w:val="nil"/>
              <w:bottom w:val="nil"/>
              <w:right w:val="nil"/>
            </w:tcBorders>
            <w:noWrap/>
            <w:vAlign w:val="center"/>
          </w:tcPr>
          <w:p w:rsidR="009D148C" w:rsidRPr="00055CD8" w:rsidRDefault="009D148C" w:rsidP="00B232E3">
            <w:pPr>
              <w:jc w:val="center"/>
              <w:rPr>
                <w:sz w:val="20"/>
                <w:szCs w:val="20"/>
              </w:rPr>
            </w:pPr>
          </w:p>
        </w:tc>
        <w:tc>
          <w:tcPr>
            <w:tcW w:w="6930" w:type="dxa"/>
            <w:gridSpan w:val="8"/>
            <w:tcBorders>
              <w:top w:val="single" w:sz="8" w:space="0" w:color="auto"/>
              <w:left w:val="single" w:sz="8" w:space="0" w:color="auto"/>
              <w:bottom w:val="nil"/>
              <w:right w:val="single" w:sz="8" w:space="0" w:color="000000"/>
            </w:tcBorders>
            <w:shd w:val="clear" w:color="000000" w:fill="FFFF99"/>
            <w:noWrap/>
            <w:vAlign w:val="center"/>
          </w:tcPr>
          <w:p w:rsidR="009D148C" w:rsidRPr="00055CD8" w:rsidRDefault="009D148C" w:rsidP="00B232E3">
            <w:pPr>
              <w:jc w:val="center"/>
              <w:rPr>
                <w:b/>
                <w:bCs/>
                <w:sz w:val="20"/>
                <w:szCs w:val="20"/>
              </w:rPr>
            </w:pPr>
            <w:r w:rsidRPr="00055CD8">
              <w:rPr>
                <w:b/>
                <w:bCs/>
                <w:sz w:val="20"/>
                <w:szCs w:val="20"/>
              </w:rPr>
              <w:t>1st Baseline</w:t>
            </w:r>
          </w:p>
        </w:tc>
        <w:tc>
          <w:tcPr>
            <w:tcW w:w="5130" w:type="dxa"/>
            <w:gridSpan w:val="8"/>
            <w:tcBorders>
              <w:top w:val="single" w:sz="8" w:space="0" w:color="auto"/>
              <w:left w:val="nil"/>
              <w:bottom w:val="nil"/>
              <w:right w:val="single" w:sz="8" w:space="0" w:color="000000"/>
            </w:tcBorders>
            <w:shd w:val="clear" w:color="000000" w:fill="99CCFF"/>
            <w:noWrap/>
            <w:vAlign w:val="center"/>
          </w:tcPr>
          <w:p w:rsidR="009D148C" w:rsidRPr="00055CD8" w:rsidRDefault="009D148C" w:rsidP="00B232E3">
            <w:pPr>
              <w:jc w:val="center"/>
              <w:rPr>
                <w:b/>
                <w:bCs/>
                <w:sz w:val="20"/>
                <w:szCs w:val="20"/>
              </w:rPr>
            </w:pPr>
            <w:r w:rsidRPr="00055CD8">
              <w:rPr>
                <w:b/>
                <w:bCs/>
                <w:sz w:val="20"/>
                <w:szCs w:val="20"/>
              </w:rPr>
              <w:t>2nd Baseline</w:t>
            </w:r>
          </w:p>
        </w:tc>
        <w:tc>
          <w:tcPr>
            <w:tcW w:w="540" w:type="dxa"/>
            <w:tcBorders>
              <w:top w:val="nil"/>
              <w:left w:val="nil"/>
              <w:bottom w:val="nil"/>
              <w:right w:val="nil"/>
            </w:tcBorders>
            <w:noWrap/>
            <w:vAlign w:val="center"/>
          </w:tcPr>
          <w:p w:rsidR="009D148C" w:rsidRPr="00055CD8" w:rsidRDefault="009D148C" w:rsidP="00B232E3">
            <w:pPr>
              <w:jc w:val="center"/>
              <w:rPr>
                <w:b/>
                <w:bCs/>
                <w:sz w:val="20"/>
                <w:szCs w:val="20"/>
              </w:rPr>
            </w:pPr>
          </w:p>
        </w:tc>
        <w:tc>
          <w:tcPr>
            <w:tcW w:w="630" w:type="dxa"/>
            <w:tcBorders>
              <w:top w:val="nil"/>
              <w:left w:val="nil"/>
              <w:bottom w:val="nil"/>
              <w:right w:val="nil"/>
            </w:tcBorders>
            <w:noWrap/>
            <w:vAlign w:val="center"/>
          </w:tcPr>
          <w:p w:rsidR="009D148C" w:rsidRPr="00055CD8" w:rsidRDefault="009D148C" w:rsidP="00B232E3">
            <w:pPr>
              <w:jc w:val="center"/>
              <w:rPr>
                <w:b/>
                <w:bCs/>
                <w:sz w:val="20"/>
                <w:szCs w:val="20"/>
              </w:rPr>
            </w:pPr>
          </w:p>
        </w:tc>
        <w:tc>
          <w:tcPr>
            <w:tcW w:w="630" w:type="dxa"/>
            <w:tcBorders>
              <w:top w:val="nil"/>
              <w:left w:val="nil"/>
              <w:bottom w:val="nil"/>
              <w:right w:val="nil"/>
            </w:tcBorders>
            <w:noWrap/>
            <w:vAlign w:val="center"/>
          </w:tcPr>
          <w:p w:rsidR="009D148C" w:rsidRPr="00055CD8" w:rsidRDefault="009D148C" w:rsidP="00B232E3">
            <w:pPr>
              <w:jc w:val="center"/>
              <w:rPr>
                <w:b/>
                <w:bCs/>
                <w:sz w:val="20"/>
                <w:szCs w:val="20"/>
              </w:rPr>
            </w:pPr>
          </w:p>
        </w:tc>
        <w:tc>
          <w:tcPr>
            <w:tcW w:w="702" w:type="dxa"/>
            <w:tcBorders>
              <w:top w:val="nil"/>
              <w:left w:val="nil"/>
              <w:bottom w:val="nil"/>
              <w:right w:val="nil"/>
            </w:tcBorders>
            <w:noWrap/>
            <w:vAlign w:val="center"/>
          </w:tcPr>
          <w:p w:rsidR="009D148C" w:rsidRPr="00055CD8" w:rsidRDefault="009D148C" w:rsidP="00B232E3">
            <w:pPr>
              <w:jc w:val="center"/>
              <w:rPr>
                <w:b/>
                <w:bCs/>
                <w:sz w:val="20"/>
                <w:szCs w:val="20"/>
              </w:rPr>
            </w:pPr>
          </w:p>
        </w:tc>
        <w:tc>
          <w:tcPr>
            <w:tcW w:w="828" w:type="dxa"/>
            <w:tcBorders>
              <w:top w:val="nil"/>
              <w:left w:val="nil"/>
              <w:bottom w:val="nil"/>
              <w:right w:val="nil"/>
            </w:tcBorders>
            <w:noWrap/>
            <w:vAlign w:val="center"/>
          </w:tcPr>
          <w:p w:rsidR="009D148C" w:rsidRPr="00055CD8" w:rsidRDefault="009D148C" w:rsidP="00B232E3">
            <w:pPr>
              <w:jc w:val="center"/>
              <w:rPr>
                <w:sz w:val="20"/>
                <w:szCs w:val="20"/>
              </w:rPr>
            </w:pPr>
          </w:p>
        </w:tc>
        <w:tc>
          <w:tcPr>
            <w:tcW w:w="720" w:type="dxa"/>
            <w:tcBorders>
              <w:top w:val="nil"/>
              <w:left w:val="nil"/>
              <w:bottom w:val="nil"/>
              <w:right w:val="nil"/>
            </w:tcBorders>
            <w:noWrap/>
            <w:vAlign w:val="center"/>
          </w:tcPr>
          <w:p w:rsidR="009D148C" w:rsidRPr="00055CD8" w:rsidRDefault="009D148C" w:rsidP="00B232E3">
            <w:pPr>
              <w:jc w:val="center"/>
              <w:rPr>
                <w:sz w:val="20"/>
                <w:szCs w:val="20"/>
              </w:rPr>
            </w:pPr>
          </w:p>
        </w:tc>
      </w:tr>
      <w:tr w:rsidR="009D148C" w:rsidRPr="00055CD8">
        <w:trPr>
          <w:cantSplit/>
          <w:trHeight w:val="1948"/>
        </w:trPr>
        <w:tc>
          <w:tcPr>
            <w:tcW w:w="828" w:type="dxa"/>
            <w:tcBorders>
              <w:top w:val="single" w:sz="8" w:space="0" w:color="auto"/>
              <w:left w:val="single" w:sz="8" w:space="0" w:color="auto"/>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Measure Code</w:t>
            </w:r>
          </w:p>
        </w:tc>
        <w:tc>
          <w:tcPr>
            <w:tcW w:w="450" w:type="dxa"/>
            <w:tcBorders>
              <w:top w:val="single" w:sz="8" w:space="0" w:color="auto"/>
              <w:left w:val="nil"/>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Version Source</w:t>
            </w:r>
          </w:p>
        </w:tc>
        <w:tc>
          <w:tcPr>
            <w:tcW w:w="2610" w:type="dxa"/>
            <w:tcBorders>
              <w:top w:val="single" w:sz="8" w:space="0" w:color="auto"/>
              <w:left w:val="nil"/>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 xml:space="preserve">Measure </w:t>
            </w:r>
            <w:r w:rsidRPr="00055CD8">
              <w:rPr>
                <w:sz w:val="20"/>
                <w:szCs w:val="20"/>
              </w:rPr>
              <w:br/>
              <w:t>Description</w:t>
            </w:r>
          </w:p>
        </w:tc>
        <w:tc>
          <w:tcPr>
            <w:tcW w:w="900" w:type="dxa"/>
            <w:tcBorders>
              <w:top w:val="single" w:sz="8" w:space="0" w:color="auto"/>
              <w:left w:val="nil"/>
              <w:bottom w:val="nil"/>
              <w:right w:val="single" w:sz="8" w:space="0" w:color="auto"/>
            </w:tcBorders>
            <w:shd w:val="clear" w:color="000000" w:fill="99CCFF"/>
            <w:textDirection w:val="btLr"/>
            <w:vAlign w:val="center"/>
          </w:tcPr>
          <w:p w:rsidR="009D148C" w:rsidRPr="00055CD8" w:rsidRDefault="009D148C" w:rsidP="00B232E3">
            <w:pPr>
              <w:ind w:left="113" w:right="113"/>
              <w:jc w:val="center"/>
              <w:rPr>
                <w:sz w:val="20"/>
                <w:szCs w:val="20"/>
              </w:rPr>
            </w:pPr>
            <w:r w:rsidRPr="00055CD8">
              <w:rPr>
                <w:sz w:val="20"/>
                <w:szCs w:val="20"/>
              </w:rPr>
              <w:t>Measure Application Type</w:t>
            </w:r>
          </w:p>
        </w:tc>
        <w:tc>
          <w:tcPr>
            <w:tcW w:w="720" w:type="dxa"/>
            <w:tcBorders>
              <w:top w:val="single" w:sz="8" w:space="0" w:color="auto"/>
              <w:left w:val="nil"/>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Building Type</w:t>
            </w:r>
          </w:p>
        </w:tc>
        <w:tc>
          <w:tcPr>
            <w:tcW w:w="540" w:type="dxa"/>
            <w:tcBorders>
              <w:top w:val="single" w:sz="8" w:space="0" w:color="auto"/>
              <w:left w:val="nil"/>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Building Vintage</w:t>
            </w:r>
          </w:p>
        </w:tc>
        <w:tc>
          <w:tcPr>
            <w:tcW w:w="630" w:type="dxa"/>
            <w:tcBorders>
              <w:top w:val="single" w:sz="8" w:space="0" w:color="auto"/>
              <w:left w:val="nil"/>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Climate Zone</w:t>
            </w:r>
          </w:p>
        </w:tc>
        <w:tc>
          <w:tcPr>
            <w:tcW w:w="540" w:type="dxa"/>
            <w:tcBorders>
              <w:top w:val="single" w:sz="8" w:space="0" w:color="auto"/>
              <w:left w:val="nil"/>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Unit Definition</w:t>
            </w:r>
          </w:p>
        </w:tc>
        <w:tc>
          <w:tcPr>
            <w:tcW w:w="720" w:type="dxa"/>
            <w:tcBorders>
              <w:top w:val="single" w:sz="8" w:space="0" w:color="auto"/>
              <w:left w:val="nil"/>
              <w:bottom w:val="nil"/>
              <w:right w:val="single" w:sz="8" w:space="0" w:color="auto"/>
            </w:tcBorders>
            <w:shd w:val="clear" w:color="000000" w:fill="FFFF99"/>
            <w:textDirection w:val="btLr"/>
            <w:vAlign w:val="center"/>
          </w:tcPr>
          <w:p w:rsidR="009D148C" w:rsidRPr="00055CD8" w:rsidRDefault="009D148C" w:rsidP="00B232E3">
            <w:pPr>
              <w:ind w:left="113" w:right="113"/>
              <w:jc w:val="center"/>
              <w:rPr>
                <w:sz w:val="20"/>
                <w:szCs w:val="20"/>
              </w:rPr>
            </w:pPr>
            <w:r w:rsidRPr="00055CD8">
              <w:rPr>
                <w:sz w:val="20"/>
                <w:szCs w:val="20"/>
              </w:rPr>
              <w:t>KW</w:t>
            </w:r>
            <w:r>
              <w:rPr>
                <w:sz w:val="20"/>
                <w:szCs w:val="20"/>
              </w:rPr>
              <w:t xml:space="preserve"> P</w:t>
            </w:r>
            <w:r w:rsidRPr="00055CD8">
              <w:rPr>
                <w:sz w:val="20"/>
                <w:szCs w:val="20"/>
              </w:rPr>
              <w:t xml:space="preserve">eak </w:t>
            </w:r>
            <w:proofErr w:type="spellStart"/>
            <w:r w:rsidRPr="00055CD8">
              <w:rPr>
                <w:sz w:val="20"/>
                <w:szCs w:val="20"/>
              </w:rPr>
              <w:t>Elec</w:t>
            </w:r>
            <w:proofErr w:type="spellEnd"/>
            <w:r w:rsidRPr="00055CD8">
              <w:rPr>
                <w:sz w:val="20"/>
                <w:szCs w:val="20"/>
              </w:rPr>
              <w:t xml:space="preserve"> Demand Reduction</w:t>
            </w:r>
          </w:p>
        </w:tc>
        <w:tc>
          <w:tcPr>
            <w:tcW w:w="810" w:type="dxa"/>
            <w:tcBorders>
              <w:top w:val="single" w:sz="8" w:space="0" w:color="auto"/>
              <w:left w:val="nil"/>
              <w:bottom w:val="nil"/>
              <w:right w:val="single" w:sz="8" w:space="0" w:color="auto"/>
            </w:tcBorders>
            <w:shd w:val="clear" w:color="000000" w:fill="FFFF99"/>
            <w:textDirection w:val="btLr"/>
            <w:vAlign w:val="center"/>
          </w:tcPr>
          <w:p w:rsidR="009D148C" w:rsidRPr="00055CD8" w:rsidRDefault="009D148C" w:rsidP="00B232E3">
            <w:pPr>
              <w:ind w:left="113" w:right="113"/>
              <w:jc w:val="center"/>
              <w:rPr>
                <w:sz w:val="20"/>
                <w:szCs w:val="20"/>
              </w:rPr>
            </w:pPr>
            <w:r w:rsidRPr="00055CD8">
              <w:rPr>
                <w:sz w:val="20"/>
                <w:szCs w:val="20"/>
              </w:rPr>
              <w:t>KWh</w:t>
            </w:r>
            <w:r w:rsidRPr="00055CD8">
              <w:rPr>
                <w:sz w:val="20"/>
                <w:szCs w:val="20"/>
              </w:rPr>
              <w:br/>
              <w:t>Electric Savings</w:t>
            </w:r>
          </w:p>
        </w:tc>
        <w:tc>
          <w:tcPr>
            <w:tcW w:w="810" w:type="dxa"/>
            <w:tcBorders>
              <w:top w:val="single" w:sz="8" w:space="0" w:color="auto"/>
              <w:left w:val="nil"/>
              <w:bottom w:val="nil"/>
              <w:right w:val="single" w:sz="8" w:space="0" w:color="auto"/>
            </w:tcBorders>
            <w:shd w:val="clear" w:color="000000" w:fill="FFFF99"/>
            <w:textDirection w:val="btLr"/>
            <w:vAlign w:val="center"/>
          </w:tcPr>
          <w:p w:rsidR="009D148C" w:rsidRPr="00055CD8" w:rsidRDefault="009D148C" w:rsidP="00B232E3">
            <w:pPr>
              <w:ind w:left="113" w:right="113"/>
              <w:jc w:val="center"/>
              <w:rPr>
                <w:sz w:val="20"/>
                <w:szCs w:val="20"/>
              </w:rPr>
            </w:pPr>
            <w:r w:rsidRPr="00055CD8">
              <w:rPr>
                <w:sz w:val="20"/>
                <w:szCs w:val="20"/>
              </w:rPr>
              <w:t>THM</w:t>
            </w:r>
            <w:r w:rsidRPr="00055CD8">
              <w:rPr>
                <w:sz w:val="20"/>
                <w:szCs w:val="20"/>
              </w:rPr>
              <w:br/>
              <w:t>Gas Savings</w:t>
            </w:r>
          </w:p>
        </w:tc>
        <w:tc>
          <w:tcPr>
            <w:tcW w:w="720" w:type="dxa"/>
            <w:tcBorders>
              <w:top w:val="single" w:sz="8" w:space="0" w:color="auto"/>
              <w:left w:val="nil"/>
              <w:bottom w:val="nil"/>
              <w:right w:val="single" w:sz="8" w:space="0" w:color="auto"/>
            </w:tcBorders>
            <w:shd w:val="clear" w:color="000000" w:fill="FFFF99"/>
            <w:textDirection w:val="btLr"/>
            <w:vAlign w:val="center"/>
          </w:tcPr>
          <w:p w:rsidR="009D148C" w:rsidRPr="00055CD8" w:rsidRDefault="009D148C" w:rsidP="00B232E3">
            <w:pPr>
              <w:ind w:left="113" w:right="113"/>
              <w:jc w:val="center"/>
              <w:rPr>
                <w:sz w:val="20"/>
                <w:szCs w:val="20"/>
              </w:rPr>
            </w:pPr>
            <w:r w:rsidRPr="00055CD8">
              <w:rPr>
                <w:sz w:val="20"/>
                <w:szCs w:val="20"/>
              </w:rPr>
              <w:t>(EUL) LIFE CYCLE</w:t>
            </w:r>
          </w:p>
        </w:tc>
        <w:tc>
          <w:tcPr>
            <w:tcW w:w="1260" w:type="dxa"/>
            <w:tcBorders>
              <w:top w:val="single" w:sz="8" w:space="0" w:color="auto"/>
              <w:left w:val="nil"/>
              <w:bottom w:val="nil"/>
              <w:right w:val="single" w:sz="8" w:space="0" w:color="auto"/>
            </w:tcBorders>
            <w:shd w:val="clear" w:color="000000" w:fill="FFFF99"/>
            <w:textDirection w:val="btLr"/>
            <w:vAlign w:val="center"/>
          </w:tcPr>
          <w:p w:rsidR="009D148C" w:rsidRPr="00055CD8" w:rsidRDefault="009D148C" w:rsidP="00B232E3">
            <w:pPr>
              <w:ind w:left="113" w:right="113"/>
              <w:jc w:val="center"/>
              <w:rPr>
                <w:sz w:val="20"/>
                <w:szCs w:val="20"/>
              </w:rPr>
            </w:pPr>
            <w:r w:rsidRPr="00055CD8">
              <w:rPr>
                <w:sz w:val="20"/>
                <w:szCs w:val="20"/>
              </w:rPr>
              <w:t>Base Case Cost ($/unit)</w:t>
            </w:r>
          </w:p>
        </w:tc>
        <w:tc>
          <w:tcPr>
            <w:tcW w:w="1080" w:type="dxa"/>
            <w:tcBorders>
              <w:top w:val="single" w:sz="8" w:space="0" w:color="auto"/>
              <w:left w:val="nil"/>
              <w:bottom w:val="nil"/>
              <w:right w:val="single" w:sz="8" w:space="0" w:color="auto"/>
            </w:tcBorders>
            <w:shd w:val="clear" w:color="000000" w:fill="FFFF99"/>
            <w:textDirection w:val="btLr"/>
            <w:vAlign w:val="center"/>
          </w:tcPr>
          <w:p w:rsidR="009D148C" w:rsidRPr="00055CD8" w:rsidRDefault="009D148C" w:rsidP="00B232E3">
            <w:pPr>
              <w:ind w:left="113" w:right="113"/>
              <w:jc w:val="center"/>
              <w:rPr>
                <w:sz w:val="20"/>
                <w:szCs w:val="20"/>
              </w:rPr>
            </w:pPr>
            <w:r w:rsidRPr="00055CD8">
              <w:rPr>
                <w:sz w:val="20"/>
                <w:szCs w:val="20"/>
              </w:rPr>
              <w:t>Measure Cost ($/unit)</w:t>
            </w:r>
          </w:p>
        </w:tc>
        <w:tc>
          <w:tcPr>
            <w:tcW w:w="450" w:type="dxa"/>
            <w:tcBorders>
              <w:top w:val="single" w:sz="8" w:space="0" w:color="auto"/>
              <w:left w:val="nil"/>
              <w:bottom w:val="nil"/>
              <w:right w:val="single" w:sz="8" w:space="0" w:color="auto"/>
            </w:tcBorders>
            <w:shd w:val="clear" w:color="000000" w:fill="FFFF99"/>
            <w:textDirection w:val="btLr"/>
            <w:vAlign w:val="center"/>
          </w:tcPr>
          <w:p w:rsidR="009D148C" w:rsidRPr="00055CD8" w:rsidRDefault="009D148C" w:rsidP="00B232E3">
            <w:pPr>
              <w:ind w:left="113" w:right="113"/>
              <w:jc w:val="center"/>
              <w:rPr>
                <w:sz w:val="20"/>
                <w:szCs w:val="20"/>
              </w:rPr>
            </w:pPr>
            <w:r w:rsidRPr="00055CD8">
              <w:rPr>
                <w:sz w:val="20"/>
                <w:szCs w:val="20"/>
              </w:rPr>
              <w:t>Labor Cost ($/unit)</w:t>
            </w:r>
          </w:p>
        </w:tc>
        <w:tc>
          <w:tcPr>
            <w:tcW w:w="1080" w:type="dxa"/>
            <w:tcBorders>
              <w:top w:val="single" w:sz="8" w:space="0" w:color="auto"/>
              <w:left w:val="nil"/>
              <w:bottom w:val="nil"/>
              <w:right w:val="single" w:sz="8" w:space="0" w:color="auto"/>
            </w:tcBorders>
            <w:shd w:val="clear" w:color="000000" w:fill="FFFF99"/>
            <w:textDirection w:val="btLr"/>
            <w:vAlign w:val="center"/>
          </w:tcPr>
          <w:p w:rsidR="009D148C" w:rsidRPr="00055CD8" w:rsidRDefault="009D148C" w:rsidP="00B232E3">
            <w:pPr>
              <w:ind w:left="113" w:right="113"/>
              <w:jc w:val="center"/>
              <w:rPr>
                <w:sz w:val="20"/>
                <w:szCs w:val="20"/>
              </w:rPr>
            </w:pPr>
            <w:r w:rsidRPr="00055CD8">
              <w:rPr>
                <w:sz w:val="20"/>
                <w:szCs w:val="20"/>
              </w:rPr>
              <w:t>IMC</w:t>
            </w:r>
            <w:r w:rsidRPr="00055CD8">
              <w:rPr>
                <w:sz w:val="20"/>
                <w:szCs w:val="20"/>
              </w:rPr>
              <w:br/>
              <w:t xml:space="preserve">Incremental </w:t>
            </w:r>
            <w:r w:rsidRPr="00055CD8">
              <w:rPr>
                <w:sz w:val="20"/>
                <w:szCs w:val="20"/>
              </w:rPr>
              <w:br/>
              <w:t>Measure</w:t>
            </w:r>
            <w:r w:rsidRPr="00055CD8">
              <w:rPr>
                <w:sz w:val="20"/>
                <w:szCs w:val="20"/>
              </w:rPr>
              <w:br/>
              <w:t>Cost ($/unit)</w:t>
            </w:r>
          </w:p>
        </w:tc>
        <w:tc>
          <w:tcPr>
            <w:tcW w:w="900" w:type="dxa"/>
            <w:tcBorders>
              <w:top w:val="single" w:sz="8" w:space="0" w:color="auto"/>
              <w:left w:val="nil"/>
              <w:bottom w:val="nil"/>
              <w:right w:val="single" w:sz="8" w:space="0" w:color="auto"/>
            </w:tcBorders>
            <w:shd w:val="clear" w:color="000000" w:fill="99CCFF"/>
            <w:textDirection w:val="btLr"/>
            <w:vAlign w:val="center"/>
          </w:tcPr>
          <w:p w:rsidR="009D148C" w:rsidRPr="00055CD8" w:rsidRDefault="009D148C" w:rsidP="00B232E3">
            <w:pPr>
              <w:ind w:left="113" w:right="113"/>
              <w:jc w:val="center"/>
              <w:rPr>
                <w:sz w:val="20"/>
                <w:szCs w:val="20"/>
              </w:rPr>
            </w:pPr>
            <w:r w:rsidRPr="00055CD8">
              <w:rPr>
                <w:sz w:val="20"/>
                <w:szCs w:val="20"/>
              </w:rPr>
              <w:t>KW</w:t>
            </w:r>
            <w:r w:rsidRPr="00055CD8">
              <w:rPr>
                <w:sz w:val="20"/>
                <w:szCs w:val="20"/>
              </w:rPr>
              <w:br/>
              <w:t>Peak Electric Demand Reduction</w:t>
            </w:r>
          </w:p>
        </w:tc>
        <w:tc>
          <w:tcPr>
            <w:tcW w:w="630" w:type="dxa"/>
            <w:tcBorders>
              <w:top w:val="single" w:sz="8" w:space="0" w:color="auto"/>
              <w:left w:val="nil"/>
              <w:bottom w:val="nil"/>
              <w:right w:val="single" w:sz="8" w:space="0" w:color="auto"/>
            </w:tcBorders>
            <w:shd w:val="clear" w:color="000000" w:fill="99CCFF"/>
            <w:textDirection w:val="btLr"/>
            <w:vAlign w:val="center"/>
          </w:tcPr>
          <w:p w:rsidR="009D148C" w:rsidRPr="00055CD8" w:rsidRDefault="009D148C" w:rsidP="00B232E3">
            <w:pPr>
              <w:ind w:left="113" w:right="113"/>
              <w:jc w:val="center"/>
              <w:rPr>
                <w:sz w:val="20"/>
                <w:szCs w:val="20"/>
              </w:rPr>
            </w:pPr>
            <w:r w:rsidRPr="00055CD8">
              <w:rPr>
                <w:sz w:val="20"/>
                <w:szCs w:val="20"/>
              </w:rPr>
              <w:t>KWh</w:t>
            </w:r>
            <w:r w:rsidRPr="00055CD8">
              <w:rPr>
                <w:sz w:val="20"/>
                <w:szCs w:val="20"/>
              </w:rPr>
              <w:br/>
              <w:t>Electric Savings</w:t>
            </w:r>
          </w:p>
        </w:tc>
        <w:tc>
          <w:tcPr>
            <w:tcW w:w="540" w:type="dxa"/>
            <w:tcBorders>
              <w:top w:val="single" w:sz="8" w:space="0" w:color="auto"/>
              <w:left w:val="nil"/>
              <w:bottom w:val="nil"/>
              <w:right w:val="single" w:sz="8" w:space="0" w:color="auto"/>
            </w:tcBorders>
            <w:shd w:val="clear" w:color="000000" w:fill="99CCFF"/>
            <w:textDirection w:val="btLr"/>
            <w:vAlign w:val="center"/>
          </w:tcPr>
          <w:p w:rsidR="009D148C" w:rsidRPr="00055CD8" w:rsidRDefault="009D148C" w:rsidP="00B232E3">
            <w:pPr>
              <w:ind w:left="113" w:right="113"/>
              <w:jc w:val="center"/>
              <w:rPr>
                <w:sz w:val="20"/>
                <w:szCs w:val="20"/>
              </w:rPr>
            </w:pPr>
            <w:r w:rsidRPr="00055CD8">
              <w:rPr>
                <w:sz w:val="20"/>
                <w:szCs w:val="20"/>
              </w:rPr>
              <w:t>THM</w:t>
            </w:r>
            <w:r w:rsidRPr="00055CD8">
              <w:rPr>
                <w:sz w:val="20"/>
                <w:szCs w:val="20"/>
              </w:rPr>
              <w:br/>
              <w:t>Gas Savings</w:t>
            </w:r>
          </w:p>
        </w:tc>
        <w:tc>
          <w:tcPr>
            <w:tcW w:w="360" w:type="dxa"/>
            <w:tcBorders>
              <w:top w:val="single" w:sz="8" w:space="0" w:color="auto"/>
              <w:left w:val="nil"/>
              <w:bottom w:val="nil"/>
              <w:right w:val="single" w:sz="8" w:space="0" w:color="auto"/>
            </w:tcBorders>
            <w:shd w:val="clear" w:color="000000" w:fill="99CCFF"/>
            <w:textDirection w:val="btLr"/>
            <w:vAlign w:val="center"/>
          </w:tcPr>
          <w:p w:rsidR="009D148C" w:rsidRPr="00055CD8" w:rsidRDefault="009D148C" w:rsidP="00B232E3">
            <w:pPr>
              <w:ind w:left="113" w:right="113"/>
              <w:jc w:val="center"/>
              <w:rPr>
                <w:sz w:val="20"/>
                <w:szCs w:val="20"/>
              </w:rPr>
            </w:pPr>
            <w:r w:rsidRPr="00055CD8">
              <w:rPr>
                <w:sz w:val="20"/>
                <w:szCs w:val="20"/>
              </w:rPr>
              <w:t>LIFE CYCLE</w:t>
            </w:r>
          </w:p>
        </w:tc>
        <w:tc>
          <w:tcPr>
            <w:tcW w:w="630" w:type="dxa"/>
            <w:tcBorders>
              <w:top w:val="single" w:sz="8" w:space="0" w:color="auto"/>
              <w:left w:val="nil"/>
              <w:bottom w:val="nil"/>
              <w:right w:val="single" w:sz="8" w:space="0" w:color="auto"/>
            </w:tcBorders>
            <w:shd w:val="clear" w:color="000000" w:fill="99CCFF"/>
            <w:textDirection w:val="btLr"/>
            <w:vAlign w:val="center"/>
          </w:tcPr>
          <w:p w:rsidR="009D148C" w:rsidRPr="00055CD8" w:rsidRDefault="009D148C" w:rsidP="00B232E3">
            <w:pPr>
              <w:ind w:left="113" w:right="113"/>
              <w:jc w:val="center"/>
              <w:rPr>
                <w:sz w:val="20"/>
                <w:szCs w:val="20"/>
              </w:rPr>
            </w:pPr>
            <w:r w:rsidRPr="00055CD8">
              <w:rPr>
                <w:sz w:val="20"/>
                <w:szCs w:val="20"/>
              </w:rPr>
              <w:t>Base Case Cost ($/unit)</w:t>
            </w:r>
          </w:p>
        </w:tc>
        <w:tc>
          <w:tcPr>
            <w:tcW w:w="540" w:type="dxa"/>
            <w:tcBorders>
              <w:top w:val="single" w:sz="8" w:space="0" w:color="auto"/>
              <w:left w:val="nil"/>
              <w:bottom w:val="nil"/>
              <w:right w:val="single" w:sz="8" w:space="0" w:color="auto"/>
            </w:tcBorders>
            <w:shd w:val="clear" w:color="000000" w:fill="99CCFF"/>
            <w:textDirection w:val="btLr"/>
            <w:vAlign w:val="center"/>
          </w:tcPr>
          <w:p w:rsidR="009D148C" w:rsidRPr="00055CD8" w:rsidRDefault="009D148C" w:rsidP="00B232E3">
            <w:pPr>
              <w:ind w:left="113" w:right="113"/>
              <w:jc w:val="center"/>
              <w:rPr>
                <w:sz w:val="20"/>
                <w:szCs w:val="20"/>
              </w:rPr>
            </w:pPr>
            <w:r w:rsidRPr="00055CD8">
              <w:rPr>
                <w:sz w:val="20"/>
                <w:szCs w:val="20"/>
              </w:rPr>
              <w:t>Measure Cost ($/unit)</w:t>
            </w:r>
          </w:p>
        </w:tc>
        <w:tc>
          <w:tcPr>
            <w:tcW w:w="450" w:type="dxa"/>
            <w:tcBorders>
              <w:top w:val="single" w:sz="8" w:space="0" w:color="auto"/>
              <w:left w:val="nil"/>
              <w:bottom w:val="nil"/>
              <w:right w:val="single" w:sz="8" w:space="0" w:color="auto"/>
            </w:tcBorders>
            <w:shd w:val="clear" w:color="000000" w:fill="99CCFF"/>
            <w:textDirection w:val="btLr"/>
            <w:vAlign w:val="center"/>
          </w:tcPr>
          <w:p w:rsidR="009D148C" w:rsidRPr="00055CD8" w:rsidRDefault="009D148C" w:rsidP="00B232E3">
            <w:pPr>
              <w:ind w:left="113" w:right="113"/>
              <w:jc w:val="center"/>
              <w:rPr>
                <w:sz w:val="20"/>
                <w:szCs w:val="20"/>
              </w:rPr>
            </w:pPr>
            <w:r w:rsidRPr="00055CD8">
              <w:rPr>
                <w:sz w:val="20"/>
                <w:szCs w:val="20"/>
              </w:rPr>
              <w:t>Labor Cost ($/unit)</w:t>
            </w:r>
          </w:p>
        </w:tc>
        <w:tc>
          <w:tcPr>
            <w:tcW w:w="1080" w:type="dxa"/>
            <w:tcBorders>
              <w:top w:val="single" w:sz="8" w:space="0" w:color="auto"/>
              <w:left w:val="nil"/>
              <w:bottom w:val="nil"/>
              <w:right w:val="single" w:sz="8" w:space="0" w:color="auto"/>
            </w:tcBorders>
            <w:shd w:val="clear" w:color="000000" w:fill="99CCFF"/>
            <w:textDirection w:val="btLr"/>
            <w:vAlign w:val="center"/>
          </w:tcPr>
          <w:p w:rsidR="009D148C" w:rsidRPr="00055CD8" w:rsidRDefault="009D148C" w:rsidP="00B232E3">
            <w:pPr>
              <w:ind w:left="113" w:right="113"/>
              <w:jc w:val="center"/>
              <w:rPr>
                <w:sz w:val="20"/>
                <w:szCs w:val="20"/>
              </w:rPr>
            </w:pPr>
            <w:r w:rsidRPr="00055CD8">
              <w:rPr>
                <w:sz w:val="20"/>
                <w:szCs w:val="20"/>
              </w:rPr>
              <w:t>IMC</w:t>
            </w:r>
            <w:r w:rsidRPr="00055CD8">
              <w:rPr>
                <w:sz w:val="20"/>
                <w:szCs w:val="20"/>
              </w:rPr>
              <w:br/>
              <w:t xml:space="preserve">Incremental </w:t>
            </w:r>
            <w:r w:rsidRPr="00055CD8">
              <w:rPr>
                <w:sz w:val="20"/>
                <w:szCs w:val="20"/>
              </w:rPr>
              <w:br/>
              <w:t>Measure</w:t>
            </w:r>
            <w:r w:rsidRPr="00055CD8">
              <w:rPr>
                <w:sz w:val="20"/>
                <w:szCs w:val="20"/>
              </w:rPr>
              <w:br/>
              <w:t>Cost ($/unit)</w:t>
            </w:r>
          </w:p>
        </w:tc>
        <w:tc>
          <w:tcPr>
            <w:tcW w:w="540" w:type="dxa"/>
            <w:tcBorders>
              <w:top w:val="single" w:sz="8" w:space="0" w:color="auto"/>
              <w:left w:val="nil"/>
              <w:bottom w:val="nil"/>
              <w:right w:val="single" w:sz="8" w:space="0" w:color="auto"/>
            </w:tcBorders>
            <w:shd w:val="clear" w:color="000000" w:fill="99CC00"/>
            <w:textDirection w:val="btLr"/>
            <w:vAlign w:val="center"/>
          </w:tcPr>
          <w:p w:rsidR="009D148C" w:rsidRPr="00AD70A6" w:rsidRDefault="009D148C" w:rsidP="00B232E3">
            <w:pPr>
              <w:ind w:left="113" w:right="113"/>
              <w:jc w:val="center"/>
              <w:rPr>
                <w:sz w:val="20"/>
                <w:szCs w:val="20"/>
              </w:rPr>
            </w:pPr>
            <w:r w:rsidRPr="00AD70A6">
              <w:rPr>
                <w:sz w:val="20"/>
                <w:szCs w:val="20"/>
              </w:rPr>
              <w:t>GRR_</w:t>
            </w:r>
          </w:p>
          <w:p w:rsidR="009D148C" w:rsidRPr="00196FD4" w:rsidRDefault="009D148C" w:rsidP="00B232E3">
            <w:pPr>
              <w:ind w:left="113" w:right="113"/>
              <w:jc w:val="center"/>
              <w:rPr>
                <w:b/>
                <w:bCs/>
                <w:sz w:val="20"/>
                <w:szCs w:val="20"/>
              </w:rPr>
            </w:pPr>
            <w:r w:rsidRPr="00AD70A6">
              <w:rPr>
                <w:sz w:val="20"/>
                <w:szCs w:val="20"/>
              </w:rPr>
              <w:t>kW</w:t>
            </w:r>
          </w:p>
        </w:tc>
        <w:tc>
          <w:tcPr>
            <w:tcW w:w="630" w:type="dxa"/>
            <w:tcBorders>
              <w:top w:val="single" w:sz="8" w:space="0" w:color="auto"/>
              <w:left w:val="nil"/>
              <w:bottom w:val="nil"/>
              <w:right w:val="single" w:sz="8" w:space="0" w:color="auto"/>
            </w:tcBorders>
            <w:shd w:val="clear" w:color="000000" w:fill="99CC00"/>
            <w:textDirection w:val="btLr"/>
            <w:vAlign w:val="center"/>
          </w:tcPr>
          <w:p w:rsidR="009D148C" w:rsidRDefault="009D148C" w:rsidP="00B232E3">
            <w:pPr>
              <w:ind w:left="113" w:right="113"/>
              <w:jc w:val="center"/>
              <w:rPr>
                <w:sz w:val="20"/>
                <w:szCs w:val="20"/>
              </w:rPr>
            </w:pPr>
            <w:r w:rsidRPr="00055CD8">
              <w:rPr>
                <w:sz w:val="20"/>
                <w:szCs w:val="20"/>
              </w:rPr>
              <w:t>GRR_</w:t>
            </w:r>
          </w:p>
          <w:p w:rsidR="009D148C" w:rsidRPr="00055CD8" w:rsidRDefault="009D148C" w:rsidP="00B232E3">
            <w:pPr>
              <w:ind w:left="113" w:right="113"/>
              <w:jc w:val="center"/>
              <w:rPr>
                <w:sz w:val="20"/>
                <w:szCs w:val="20"/>
              </w:rPr>
            </w:pPr>
            <w:r w:rsidRPr="00055CD8">
              <w:rPr>
                <w:sz w:val="20"/>
                <w:szCs w:val="20"/>
              </w:rPr>
              <w:t>kWh</w:t>
            </w:r>
          </w:p>
        </w:tc>
        <w:tc>
          <w:tcPr>
            <w:tcW w:w="630" w:type="dxa"/>
            <w:tcBorders>
              <w:top w:val="single" w:sz="8" w:space="0" w:color="auto"/>
              <w:left w:val="nil"/>
              <w:bottom w:val="nil"/>
              <w:right w:val="single" w:sz="8" w:space="0" w:color="auto"/>
            </w:tcBorders>
            <w:shd w:val="clear" w:color="000000" w:fill="99CC00"/>
            <w:textDirection w:val="btLr"/>
            <w:vAlign w:val="center"/>
          </w:tcPr>
          <w:p w:rsidR="009D148C" w:rsidRDefault="009D148C" w:rsidP="00B232E3">
            <w:pPr>
              <w:ind w:left="113" w:right="113"/>
              <w:jc w:val="center"/>
              <w:rPr>
                <w:sz w:val="20"/>
                <w:szCs w:val="20"/>
              </w:rPr>
            </w:pPr>
            <w:r w:rsidRPr="00055CD8">
              <w:rPr>
                <w:sz w:val="20"/>
                <w:szCs w:val="20"/>
              </w:rPr>
              <w:t>GRR_</w:t>
            </w:r>
          </w:p>
          <w:p w:rsidR="009D148C" w:rsidRPr="00055CD8" w:rsidRDefault="009D148C" w:rsidP="00B232E3">
            <w:pPr>
              <w:ind w:left="113" w:right="113"/>
              <w:jc w:val="center"/>
              <w:rPr>
                <w:sz w:val="20"/>
                <w:szCs w:val="20"/>
              </w:rPr>
            </w:pPr>
            <w:proofErr w:type="spellStart"/>
            <w:r w:rsidRPr="00055CD8">
              <w:rPr>
                <w:sz w:val="20"/>
                <w:szCs w:val="20"/>
              </w:rPr>
              <w:t>th</w:t>
            </w:r>
            <w:r>
              <w:rPr>
                <w:sz w:val="20"/>
                <w:szCs w:val="20"/>
              </w:rPr>
              <w:t>er</w:t>
            </w:r>
            <w:r w:rsidRPr="00055CD8">
              <w:rPr>
                <w:sz w:val="20"/>
                <w:szCs w:val="20"/>
              </w:rPr>
              <w:t>m</w:t>
            </w:r>
            <w:proofErr w:type="spellEnd"/>
          </w:p>
        </w:tc>
        <w:tc>
          <w:tcPr>
            <w:tcW w:w="702" w:type="dxa"/>
            <w:tcBorders>
              <w:top w:val="single" w:sz="8" w:space="0" w:color="auto"/>
              <w:left w:val="nil"/>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NTG</w:t>
            </w:r>
          </w:p>
        </w:tc>
        <w:tc>
          <w:tcPr>
            <w:tcW w:w="828" w:type="dxa"/>
            <w:tcBorders>
              <w:top w:val="single" w:sz="8" w:space="0" w:color="auto"/>
              <w:left w:val="nil"/>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Implementation Method</w:t>
            </w:r>
            <w:r w:rsidRPr="00055CD8">
              <w:rPr>
                <w:sz w:val="20"/>
                <w:szCs w:val="20"/>
              </w:rPr>
              <w:br/>
              <w:t xml:space="preserve"> [DI, DD, I]</w:t>
            </w:r>
          </w:p>
        </w:tc>
        <w:tc>
          <w:tcPr>
            <w:tcW w:w="720" w:type="dxa"/>
            <w:tcBorders>
              <w:top w:val="single" w:sz="8" w:space="0" w:color="auto"/>
              <w:left w:val="nil"/>
              <w:bottom w:val="nil"/>
              <w:right w:val="single" w:sz="8" w:space="0" w:color="auto"/>
            </w:tcBorders>
            <w:textDirection w:val="btLr"/>
            <w:vAlign w:val="center"/>
          </w:tcPr>
          <w:p w:rsidR="009D148C" w:rsidRPr="00055CD8" w:rsidRDefault="009D148C" w:rsidP="00B232E3">
            <w:pPr>
              <w:ind w:left="113" w:right="113"/>
              <w:jc w:val="center"/>
              <w:rPr>
                <w:sz w:val="20"/>
                <w:szCs w:val="20"/>
              </w:rPr>
            </w:pPr>
            <w:r w:rsidRPr="00055CD8">
              <w:rPr>
                <w:sz w:val="20"/>
                <w:szCs w:val="20"/>
              </w:rPr>
              <w:t>ISR</w:t>
            </w:r>
          </w:p>
        </w:tc>
      </w:tr>
      <w:tr w:rsidR="006B1FCE" w:rsidRPr="00055CD8">
        <w:trPr>
          <w:cantSplit/>
          <w:trHeight w:val="932"/>
        </w:trPr>
        <w:tc>
          <w:tcPr>
            <w:tcW w:w="82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D148C" w:rsidRPr="00785598" w:rsidRDefault="009D148C" w:rsidP="00B232E3">
            <w:pPr>
              <w:jc w:val="center"/>
              <w:rPr>
                <w:sz w:val="20"/>
                <w:szCs w:val="20"/>
              </w:rPr>
            </w:pPr>
            <w:r w:rsidRPr="00785598">
              <w:rPr>
                <w:sz w:val="20"/>
                <w:szCs w:val="20"/>
              </w:rPr>
              <w:t>S287</w:t>
            </w:r>
          </w:p>
        </w:tc>
        <w:tc>
          <w:tcPr>
            <w:tcW w:w="45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p>
        </w:tc>
        <w:tc>
          <w:tcPr>
            <w:tcW w:w="2610" w:type="dxa"/>
            <w:tcBorders>
              <w:top w:val="single" w:sz="4" w:space="0" w:color="auto"/>
              <w:left w:val="nil"/>
              <w:bottom w:val="single" w:sz="4" w:space="0" w:color="auto"/>
              <w:right w:val="single" w:sz="4" w:space="0" w:color="auto"/>
            </w:tcBorders>
            <w:shd w:val="clear" w:color="auto" w:fill="D9D9D9"/>
            <w:noWrap/>
            <w:vAlign w:val="center"/>
          </w:tcPr>
          <w:p w:rsidR="009D148C" w:rsidRPr="00785598" w:rsidRDefault="009D148C" w:rsidP="00B232E3">
            <w:pPr>
              <w:jc w:val="center"/>
              <w:rPr>
                <w:sz w:val="20"/>
                <w:szCs w:val="20"/>
              </w:rPr>
            </w:pPr>
            <w:r w:rsidRPr="00785598">
              <w:rPr>
                <w:sz w:val="20"/>
                <w:szCs w:val="20"/>
              </w:rPr>
              <w:t>HVAC_VARIABLE_REFRIG_FLOW_HEAT_PUMP_&lt;_80_TONS</w:t>
            </w:r>
          </w:p>
        </w:tc>
        <w:tc>
          <w:tcPr>
            <w:tcW w:w="90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ROB</w:t>
            </w:r>
          </w:p>
        </w:tc>
        <w:tc>
          <w:tcPr>
            <w:tcW w:w="720" w:type="dxa"/>
            <w:tcBorders>
              <w:top w:val="single" w:sz="4" w:space="0" w:color="auto"/>
              <w:left w:val="nil"/>
              <w:bottom w:val="single" w:sz="4" w:space="0" w:color="auto"/>
              <w:right w:val="single" w:sz="4" w:space="0" w:color="auto"/>
            </w:tcBorders>
            <w:shd w:val="clear" w:color="auto" w:fill="D9D9D9"/>
            <w:noWrap/>
            <w:vAlign w:val="center"/>
          </w:tcPr>
          <w:p w:rsidR="009D148C" w:rsidRPr="00785598" w:rsidRDefault="009D148C" w:rsidP="00B232E3">
            <w:pPr>
              <w:jc w:val="center"/>
              <w:rPr>
                <w:sz w:val="20"/>
                <w:szCs w:val="20"/>
              </w:rPr>
            </w:pPr>
            <w:r w:rsidRPr="00785598">
              <w:rPr>
                <w:sz w:val="20"/>
                <w:szCs w:val="20"/>
              </w:rPr>
              <w:t>OFS</w:t>
            </w:r>
          </w:p>
        </w:tc>
        <w:tc>
          <w:tcPr>
            <w:tcW w:w="54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D31B00" w:rsidP="00B232E3">
            <w:pPr>
              <w:jc w:val="center"/>
              <w:rPr>
                <w:sz w:val="20"/>
                <w:szCs w:val="20"/>
              </w:rPr>
            </w:pPr>
            <w:r>
              <w:rPr>
                <w:sz w:val="20"/>
                <w:szCs w:val="20"/>
              </w:rPr>
              <w:t>EX</w:t>
            </w:r>
          </w:p>
        </w:tc>
        <w:tc>
          <w:tcPr>
            <w:tcW w:w="63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D31B00" w:rsidP="00B232E3">
            <w:pPr>
              <w:jc w:val="center"/>
              <w:rPr>
                <w:sz w:val="20"/>
                <w:szCs w:val="20"/>
              </w:rPr>
            </w:pPr>
            <w:r>
              <w:rPr>
                <w:sz w:val="20"/>
                <w:szCs w:val="20"/>
              </w:rPr>
              <w:t>Z01</w:t>
            </w:r>
          </w:p>
        </w:tc>
        <w:tc>
          <w:tcPr>
            <w:tcW w:w="540" w:type="dxa"/>
            <w:tcBorders>
              <w:top w:val="single" w:sz="4" w:space="0" w:color="auto"/>
              <w:left w:val="nil"/>
              <w:bottom w:val="single" w:sz="4" w:space="0" w:color="auto"/>
              <w:right w:val="single" w:sz="4" w:space="0" w:color="auto"/>
            </w:tcBorders>
            <w:shd w:val="clear" w:color="auto" w:fill="D9D9D9"/>
            <w:noWrap/>
            <w:textDirection w:val="btLr"/>
            <w:vAlign w:val="center"/>
          </w:tcPr>
          <w:p w:rsidR="009D148C" w:rsidRPr="00055CD8" w:rsidRDefault="00F51D6D" w:rsidP="00B232E3">
            <w:pPr>
              <w:ind w:left="113" w:right="113"/>
              <w:jc w:val="center"/>
              <w:rPr>
                <w:sz w:val="20"/>
                <w:szCs w:val="20"/>
              </w:rPr>
            </w:pPr>
            <w:r>
              <w:rPr>
                <w:sz w:val="20"/>
                <w:szCs w:val="20"/>
              </w:rPr>
              <w:t>Cap-</w:t>
            </w:r>
            <w:r w:rsidR="009D148C">
              <w:rPr>
                <w:sz w:val="20"/>
                <w:szCs w:val="20"/>
              </w:rPr>
              <w:t>ton</w:t>
            </w:r>
          </w:p>
        </w:tc>
        <w:tc>
          <w:tcPr>
            <w:tcW w:w="72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color w:val="000000"/>
                <w:sz w:val="18"/>
                <w:szCs w:val="18"/>
              </w:rPr>
              <w:t>0.32</w:t>
            </w:r>
          </w:p>
        </w:tc>
        <w:tc>
          <w:tcPr>
            <w:tcW w:w="81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color w:val="000000"/>
                <w:sz w:val="18"/>
                <w:szCs w:val="18"/>
              </w:rPr>
              <w:t>283.1</w:t>
            </w:r>
          </w:p>
        </w:tc>
        <w:tc>
          <w:tcPr>
            <w:tcW w:w="81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color w:val="000000"/>
                <w:sz w:val="18"/>
                <w:szCs w:val="18"/>
              </w:rPr>
              <w:t>0.21</w:t>
            </w:r>
          </w:p>
        </w:tc>
        <w:tc>
          <w:tcPr>
            <w:tcW w:w="72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15</w:t>
            </w:r>
          </w:p>
        </w:tc>
        <w:tc>
          <w:tcPr>
            <w:tcW w:w="126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18"/>
                <w:szCs w:val="18"/>
              </w:rPr>
              <w:t>$1,000.00</w:t>
            </w:r>
          </w:p>
        </w:tc>
        <w:tc>
          <w:tcPr>
            <w:tcW w:w="108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18"/>
                <w:szCs w:val="18"/>
              </w:rPr>
              <w:t>$2,100.00</w:t>
            </w:r>
          </w:p>
        </w:tc>
        <w:tc>
          <w:tcPr>
            <w:tcW w:w="45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18"/>
                <w:szCs w:val="18"/>
              </w:rPr>
              <w:t>$0</w:t>
            </w:r>
          </w:p>
        </w:tc>
        <w:tc>
          <w:tcPr>
            <w:tcW w:w="108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786D84" w:rsidP="00B232E3">
            <w:pPr>
              <w:jc w:val="center"/>
              <w:rPr>
                <w:sz w:val="20"/>
                <w:szCs w:val="20"/>
              </w:rPr>
            </w:pPr>
            <w:r>
              <w:rPr>
                <w:sz w:val="18"/>
                <w:szCs w:val="18"/>
              </w:rPr>
              <w:t>$1,1</w:t>
            </w:r>
            <w:r w:rsidR="009D148C">
              <w:rPr>
                <w:sz w:val="18"/>
                <w:szCs w:val="18"/>
              </w:rPr>
              <w:t>00.00</w:t>
            </w:r>
          </w:p>
        </w:tc>
        <w:tc>
          <w:tcPr>
            <w:tcW w:w="90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0</w:t>
            </w:r>
          </w:p>
        </w:tc>
        <w:tc>
          <w:tcPr>
            <w:tcW w:w="63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0</w:t>
            </w:r>
          </w:p>
        </w:tc>
        <w:tc>
          <w:tcPr>
            <w:tcW w:w="54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0</w:t>
            </w:r>
          </w:p>
        </w:tc>
        <w:tc>
          <w:tcPr>
            <w:tcW w:w="36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0</w:t>
            </w:r>
          </w:p>
        </w:tc>
        <w:tc>
          <w:tcPr>
            <w:tcW w:w="63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0</w:t>
            </w:r>
          </w:p>
        </w:tc>
        <w:tc>
          <w:tcPr>
            <w:tcW w:w="54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0</w:t>
            </w:r>
          </w:p>
        </w:tc>
        <w:tc>
          <w:tcPr>
            <w:tcW w:w="45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0</w:t>
            </w:r>
          </w:p>
        </w:tc>
        <w:tc>
          <w:tcPr>
            <w:tcW w:w="108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0</w:t>
            </w:r>
          </w:p>
        </w:tc>
        <w:tc>
          <w:tcPr>
            <w:tcW w:w="54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F51D6D" w:rsidP="00B232E3">
            <w:pPr>
              <w:jc w:val="center"/>
              <w:rPr>
                <w:sz w:val="20"/>
                <w:szCs w:val="20"/>
              </w:rPr>
            </w:pPr>
            <w:r>
              <w:rPr>
                <w:sz w:val="20"/>
                <w:szCs w:val="20"/>
              </w:rPr>
              <w:t>1</w:t>
            </w:r>
          </w:p>
        </w:tc>
        <w:tc>
          <w:tcPr>
            <w:tcW w:w="63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F51D6D" w:rsidP="00B232E3">
            <w:pPr>
              <w:jc w:val="center"/>
              <w:rPr>
                <w:sz w:val="20"/>
                <w:szCs w:val="20"/>
              </w:rPr>
            </w:pPr>
            <w:r>
              <w:rPr>
                <w:sz w:val="20"/>
                <w:szCs w:val="20"/>
              </w:rPr>
              <w:t>1</w:t>
            </w:r>
          </w:p>
        </w:tc>
        <w:tc>
          <w:tcPr>
            <w:tcW w:w="63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F51D6D" w:rsidP="00B232E3">
            <w:pPr>
              <w:jc w:val="center"/>
              <w:rPr>
                <w:sz w:val="20"/>
                <w:szCs w:val="20"/>
              </w:rPr>
            </w:pPr>
            <w:r>
              <w:rPr>
                <w:sz w:val="20"/>
                <w:szCs w:val="20"/>
              </w:rPr>
              <w:t>1</w:t>
            </w:r>
          </w:p>
        </w:tc>
        <w:tc>
          <w:tcPr>
            <w:tcW w:w="702"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AE112D" w:rsidP="00B232E3">
            <w:pPr>
              <w:jc w:val="center"/>
              <w:rPr>
                <w:sz w:val="20"/>
                <w:szCs w:val="20"/>
              </w:rPr>
            </w:pPr>
            <w:r>
              <w:rPr>
                <w:sz w:val="20"/>
                <w:szCs w:val="20"/>
              </w:rPr>
              <w:t>.75</w:t>
            </w:r>
          </w:p>
        </w:tc>
        <w:tc>
          <w:tcPr>
            <w:tcW w:w="828"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I</w:t>
            </w:r>
          </w:p>
        </w:tc>
        <w:tc>
          <w:tcPr>
            <w:tcW w:w="720" w:type="dxa"/>
            <w:tcBorders>
              <w:top w:val="single" w:sz="4" w:space="0" w:color="auto"/>
              <w:left w:val="nil"/>
              <w:bottom w:val="single" w:sz="4" w:space="0" w:color="auto"/>
              <w:right w:val="single" w:sz="4" w:space="0" w:color="auto"/>
            </w:tcBorders>
            <w:shd w:val="clear" w:color="auto" w:fill="D9D9D9"/>
            <w:noWrap/>
            <w:vAlign w:val="center"/>
          </w:tcPr>
          <w:p w:rsidR="009D148C" w:rsidRPr="00055CD8" w:rsidRDefault="009D148C" w:rsidP="00B232E3">
            <w:pPr>
              <w:jc w:val="center"/>
              <w:rPr>
                <w:sz w:val="20"/>
                <w:szCs w:val="20"/>
              </w:rPr>
            </w:pPr>
            <w:r>
              <w:rPr>
                <w:sz w:val="20"/>
                <w:szCs w:val="20"/>
              </w:rPr>
              <w:t>1</w:t>
            </w:r>
          </w:p>
        </w:tc>
      </w:tr>
      <w:tr w:rsidR="00F51D6D" w:rsidRPr="00055CD8" w:rsidTr="00D31B00">
        <w:trPr>
          <w:cantSplit/>
          <w:trHeight w:val="995"/>
        </w:trPr>
        <w:tc>
          <w:tcPr>
            <w:tcW w:w="828" w:type="dxa"/>
            <w:tcBorders>
              <w:top w:val="nil"/>
              <w:left w:val="single" w:sz="4" w:space="0" w:color="auto"/>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S287</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p>
        </w:tc>
        <w:tc>
          <w:tcPr>
            <w:tcW w:w="261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HVAC_VARIABLE_REFRIG_FLOW_HEAT_PUMP_&lt;_80_TONS</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ROB</w:t>
            </w:r>
          </w:p>
        </w:tc>
        <w:tc>
          <w:tcPr>
            <w:tcW w:w="72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OFS</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7F7446">
              <w:rPr>
                <w:sz w:val="20"/>
                <w:szCs w:val="20"/>
              </w:rPr>
              <w:t>EX</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Z02</w:t>
            </w:r>
          </w:p>
        </w:tc>
        <w:tc>
          <w:tcPr>
            <w:tcW w:w="540" w:type="dxa"/>
            <w:tcBorders>
              <w:top w:val="nil"/>
              <w:left w:val="nil"/>
              <w:bottom w:val="single" w:sz="4" w:space="0" w:color="auto"/>
              <w:right w:val="single" w:sz="4" w:space="0" w:color="auto"/>
            </w:tcBorders>
            <w:shd w:val="clear" w:color="auto" w:fill="A6A6A6"/>
            <w:noWrap/>
            <w:textDirection w:val="btLr"/>
            <w:vAlign w:val="center"/>
          </w:tcPr>
          <w:p w:rsidR="00F51D6D" w:rsidRPr="00055CD8" w:rsidRDefault="00F51D6D" w:rsidP="00F51D6D">
            <w:pPr>
              <w:ind w:left="113" w:right="113"/>
              <w:jc w:val="center"/>
              <w:rPr>
                <w:sz w:val="20"/>
                <w:szCs w:val="20"/>
              </w:rPr>
            </w:pPr>
            <w:r>
              <w:rPr>
                <w:sz w:val="20"/>
                <w:szCs w:val="20"/>
              </w:rPr>
              <w:t>Cap-ton</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0.00</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336.3</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1.09</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33714E">
              <w:rPr>
                <w:sz w:val="20"/>
                <w:szCs w:val="20"/>
              </w:rPr>
              <w:t>15</w:t>
            </w:r>
          </w:p>
        </w:tc>
        <w:tc>
          <w:tcPr>
            <w:tcW w:w="12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$1,000.00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$2,100.00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1A55DA">
              <w:rPr>
                <w:sz w:val="18"/>
                <w:szCs w:val="18"/>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786D84" w:rsidP="00F51D6D">
            <w:pPr>
              <w:jc w:val="center"/>
              <w:rPr>
                <w:sz w:val="20"/>
                <w:szCs w:val="20"/>
              </w:rPr>
            </w:pPr>
            <w:r>
              <w:rPr>
                <w:sz w:val="18"/>
                <w:szCs w:val="18"/>
              </w:rPr>
              <w:t>$1,100.00</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3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702" w:type="dxa"/>
            <w:tcBorders>
              <w:top w:val="nil"/>
              <w:left w:val="nil"/>
              <w:bottom w:val="single" w:sz="4" w:space="0" w:color="auto"/>
              <w:right w:val="single" w:sz="4" w:space="0" w:color="auto"/>
            </w:tcBorders>
            <w:shd w:val="clear" w:color="auto" w:fill="A6A6A6"/>
            <w:noWrap/>
            <w:vAlign w:val="center"/>
          </w:tcPr>
          <w:p w:rsidR="00F51D6D" w:rsidRPr="00055CD8" w:rsidRDefault="00AE112D" w:rsidP="00F51D6D">
            <w:pPr>
              <w:jc w:val="center"/>
              <w:rPr>
                <w:sz w:val="20"/>
                <w:szCs w:val="20"/>
              </w:rPr>
            </w:pPr>
            <w:r>
              <w:rPr>
                <w:sz w:val="20"/>
                <w:szCs w:val="20"/>
              </w:rPr>
              <w:t>.75</w:t>
            </w:r>
          </w:p>
        </w:tc>
        <w:tc>
          <w:tcPr>
            <w:tcW w:w="828"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I</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r>
      <w:tr w:rsidR="00F51D6D" w:rsidRPr="00055CD8" w:rsidTr="00D31B00">
        <w:trPr>
          <w:cantSplit/>
          <w:trHeight w:val="887"/>
        </w:trPr>
        <w:tc>
          <w:tcPr>
            <w:tcW w:w="828" w:type="dxa"/>
            <w:tcBorders>
              <w:top w:val="nil"/>
              <w:left w:val="single" w:sz="4" w:space="0" w:color="auto"/>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S287</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p>
        </w:tc>
        <w:tc>
          <w:tcPr>
            <w:tcW w:w="2610" w:type="dxa"/>
            <w:tcBorders>
              <w:top w:val="nil"/>
              <w:left w:val="nil"/>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HVAC_VARIABLE_REFRIG_FLOW_HEAT_PUMP_&lt;_80_TONS</w:t>
            </w:r>
          </w:p>
        </w:tc>
        <w:tc>
          <w:tcPr>
            <w:tcW w:w="90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ROB</w:t>
            </w:r>
          </w:p>
        </w:tc>
        <w:tc>
          <w:tcPr>
            <w:tcW w:w="720" w:type="dxa"/>
            <w:tcBorders>
              <w:top w:val="nil"/>
              <w:left w:val="nil"/>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OFS</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7F7446">
              <w:rPr>
                <w:sz w:val="20"/>
                <w:szCs w:val="20"/>
              </w:rPr>
              <w:t>EX</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Z03</w:t>
            </w:r>
          </w:p>
        </w:tc>
        <w:tc>
          <w:tcPr>
            <w:tcW w:w="540" w:type="dxa"/>
            <w:tcBorders>
              <w:top w:val="nil"/>
              <w:left w:val="nil"/>
              <w:bottom w:val="single" w:sz="4" w:space="0" w:color="auto"/>
              <w:right w:val="single" w:sz="4" w:space="0" w:color="auto"/>
            </w:tcBorders>
            <w:shd w:val="clear" w:color="auto" w:fill="D9D9D9"/>
            <w:noWrap/>
            <w:textDirection w:val="btLr"/>
            <w:vAlign w:val="center"/>
          </w:tcPr>
          <w:p w:rsidR="00F51D6D" w:rsidRPr="00055CD8" w:rsidRDefault="00F51D6D" w:rsidP="00F51D6D">
            <w:pPr>
              <w:ind w:left="113" w:right="113"/>
              <w:jc w:val="center"/>
              <w:rPr>
                <w:sz w:val="20"/>
                <w:szCs w:val="20"/>
              </w:rPr>
            </w:pPr>
            <w:r>
              <w:rPr>
                <w:sz w:val="20"/>
                <w:szCs w:val="20"/>
              </w:rPr>
              <w:t>Cap-ton</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0.34</w:t>
            </w:r>
          </w:p>
        </w:tc>
        <w:tc>
          <w:tcPr>
            <w:tcW w:w="81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319.6</w:t>
            </w:r>
          </w:p>
        </w:tc>
        <w:tc>
          <w:tcPr>
            <w:tcW w:w="81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0.47</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33714E">
              <w:rPr>
                <w:sz w:val="20"/>
                <w:szCs w:val="20"/>
              </w:rPr>
              <w:t>15</w:t>
            </w:r>
          </w:p>
        </w:tc>
        <w:tc>
          <w:tcPr>
            <w:tcW w:w="126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18"/>
                <w:szCs w:val="18"/>
              </w:rPr>
              <w:t>$1,000.00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18"/>
                <w:szCs w:val="18"/>
              </w:rPr>
              <w:t>$2,100.00</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1A55DA">
              <w:rPr>
                <w:sz w:val="18"/>
                <w:szCs w:val="18"/>
              </w:rPr>
              <w:t>$0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786D84">
            <w:pPr>
              <w:jc w:val="center"/>
              <w:rPr>
                <w:sz w:val="20"/>
                <w:szCs w:val="20"/>
              </w:rPr>
            </w:pPr>
            <w:r>
              <w:rPr>
                <w:sz w:val="18"/>
                <w:szCs w:val="18"/>
              </w:rPr>
              <w:t>$1,</w:t>
            </w:r>
            <w:r w:rsidR="00786D84">
              <w:rPr>
                <w:sz w:val="18"/>
                <w:szCs w:val="18"/>
              </w:rPr>
              <w:t xml:space="preserve">1 </w:t>
            </w:r>
            <w:r>
              <w:rPr>
                <w:sz w:val="18"/>
                <w:szCs w:val="18"/>
              </w:rPr>
              <w:t>00.00</w:t>
            </w:r>
          </w:p>
        </w:tc>
        <w:tc>
          <w:tcPr>
            <w:tcW w:w="90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36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702" w:type="dxa"/>
            <w:tcBorders>
              <w:top w:val="nil"/>
              <w:left w:val="nil"/>
              <w:bottom w:val="single" w:sz="4" w:space="0" w:color="auto"/>
              <w:right w:val="single" w:sz="4" w:space="0" w:color="auto"/>
            </w:tcBorders>
            <w:shd w:val="clear" w:color="auto" w:fill="D9D9D9"/>
            <w:noWrap/>
            <w:vAlign w:val="center"/>
          </w:tcPr>
          <w:p w:rsidR="00F51D6D" w:rsidRPr="00055CD8" w:rsidRDefault="00AE112D" w:rsidP="00F51D6D">
            <w:pPr>
              <w:jc w:val="center"/>
              <w:rPr>
                <w:sz w:val="20"/>
                <w:szCs w:val="20"/>
              </w:rPr>
            </w:pPr>
            <w:r>
              <w:rPr>
                <w:sz w:val="20"/>
                <w:szCs w:val="20"/>
              </w:rPr>
              <w:t>.75</w:t>
            </w:r>
          </w:p>
        </w:tc>
        <w:tc>
          <w:tcPr>
            <w:tcW w:w="828"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I</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r>
      <w:tr w:rsidR="00F51D6D" w:rsidRPr="00055CD8" w:rsidTr="00D31B00">
        <w:trPr>
          <w:cantSplit/>
          <w:trHeight w:val="887"/>
        </w:trPr>
        <w:tc>
          <w:tcPr>
            <w:tcW w:w="828" w:type="dxa"/>
            <w:tcBorders>
              <w:top w:val="nil"/>
              <w:left w:val="single" w:sz="4" w:space="0" w:color="auto"/>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S287</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p>
        </w:tc>
        <w:tc>
          <w:tcPr>
            <w:tcW w:w="261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HVAC_VARIABLE_REFRIG_FLOW_HEAT_PUMP_&lt;_80_TONS</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ROB</w:t>
            </w:r>
          </w:p>
        </w:tc>
        <w:tc>
          <w:tcPr>
            <w:tcW w:w="72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OFS</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7F7446">
              <w:rPr>
                <w:sz w:val="20"/>
                <w:szCs w:val="20"/>
              </w:rPr>
              <w:t>EX</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Z04</w:t>
            </w:r>
          </w:p>
        </w:tc>
        <w:tc>
          <w:tcPr>
            <w:tcW w:w="540" w:type="dxa"/>
            <w:tcBorders>
              <w:top w:val="nil"/>
              <w:left w:val="nil"/>
              <w:bottom w:val="single" w:sz="4" w:space="0" w:color="auto"/>
              <w:right w:val="single" w:sz="4" w:space="0" w:color="auto"/>
            </w:tcBorders>
            <w:shd w:val="clear" w:color="auto" w:fill="A6A6A6"/>
            <w:noWrap/>
            <w:textDirection w:val="btLr"/>
            <w:vAlign w:val="center"/>
          </w:tcPr>
          <w:p w:rsidR="00F51D6D" w:rsidRPr="00055CD8" w:rsidRDefault="00F51D6D" w:rsidP="00F51D6D">
            <w:pPr>
              <w:ind w:left="113" w:right="113"/>
              <w:jc w:val="center"/>
              <w:rPr>
                <w:sz w:val="20"/>
                <w:szCs w:val="20"/>
              </w:rPr>
            </w:pPr>
            <w:r>
              <w:rPr>
                <w:sz w:val="20"/>
                <w:szCs w:val="20"/>
              </w:rPr>
              <w:t>Cap-ton</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0.61</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417.0</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0.32</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33714E">
              <w:rPr>
                <w:sz w:val="20"/>
                <w:szCs w:val="20"/>
              </w:rPr>
              <w:t>15</w:t>
            </w:r>
          </w:p>
        </w:tc>
        <w:tc>
          <w:tcPr>
            <w:tcW w:w="12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$1,000.00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$2,100.00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1A55DA">
              <w:rPr>
                <w:sz w:val="18"/>
                <w:szCs w:val="18"/>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786D84">
            <w:pPr>
              <w:jc w:val="center"/>
              <w:rPr>
                <w:sz w:val="20"/>
                <w:szCs w:val="20"/>
              </w:rPr>
            </w:pPr>
            <w:r>
              <w:rPr>
                <w:sz w:val="18"/>
                <w:szCs w:val="18"/>
              </w:rPr>
              <w:t>$1,</w:t>
            </w:r>
            <w:r w:rsidR="00786D84">
              <w:rPr>
                <w:sz w:val="18"/>
                <w:szCs w:val="18"/>
              </w:rPr>
              <w:t>1</w:t>
            </w:r>
            <w:r>
              <w:rPr>
                <w:sz w:val="18"/>
                <w:szCs w:val="18"/>
              </w:rPr>
              <w:t>00.00</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3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702" w:type="dxa"/>
            <w:tcBorders>
              <w:top w:val="nil"/>
              <w:left w:val="nil"/>
              <w:bottom w:val="single" w:sz="4" w:space="0" w:color="auto"/>
              <w:right w:val="single" w:sz="4" w:space="0" w:color="auto"/>
            </w:tcBorders>
            <w:shd w:val="clear" w:color="auto" w:fill="A6A6A6"/>
            <w:noWrap/>
            <w:vAlign w:val="center"/>
          </w:tcPr>
          <w:p w:rsidR="00F51D6D" w:rsidRPr="00055CD8" w:rsidRDefault="00AE112D" w:rsidP="00F51D6D">
            <w:pPr>
              <w:jc w:val="center"/>
              <w:rPr>
                <w:sz w:val="20"/>
                <w:szCs w:val="20"/>
              </w:rPr>
            </w:pPr>
            <w:r>
              <w:rPr>
                <w:sz w:val="20"/>
                <w:szCs w:val="20"/>
              </w:rPr>
              <w:t>.75</w:t>
            </w:r>
          </w:p>
        </w:tc>
        <w:tc>
          <w:tcPr>
            <w:tcW w:w="828"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I</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r>
      <w:tr w:rsidR="00F51D6D" w:rsidRPr="00055CD8" w:rsidTr="00D31B00">
        <w:trPr>
          <w:cantSplit/>
          <w:trHeight w:val="887"/>
        </w:trPr>
        <w:tc>
          <w:tcPr>
            <w:tcW w:w="828" w:type="dxa"/>
            <w:tcBorders>
              <w:top w:val="nil"/>
              <w:left w:val="single" w:sz="4" w:space="0" w:color="auto"/>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S287</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p>
        </w:tc>
        <w:tc>
          <w:tcPr>
            <w:tcW w:w="2610" w:type="dxa"/>
            <w:tcBorders>
              <w:top w:val="nil"/>
              <w:left w:val="nil"/>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HVAC_VARIABLE_REFRIG_FLOW_HEAT_PUMP_&lt;_80_TONS</w:t>
            </w:r>
          </w:p>
        </w:tc>
        <w:tc>
          <w:tcPr>
            <w:tcW w:w="90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ROB</w:t>
            </w:r>
          </w:p>
        </w:tc>
        <w:tc>
          <w:tcPr>
            <w:tcW w:w="720" w:type="dxa"/>
            <w:tcBorders>
              <w:top w:val="nil"/>
              <w:left w:val="nil"/>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OFS</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7F7446">
              <w:rPr>
                <w:sz w:val="20"/>
                <w:szCs w:val="20"/>
              </w:rPr>
              <w:t>EX</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Z05</w:t>
            </w:r>
          </w:p>
        </w:tc>
        <w:tc>
          <w:tcPr>
            <w:tcW w:w="540" w:type="dxa"/>
            <w:tcBorders>
              <w:top w:val="nil"/>
              <w:left w:val="nil"/>
              <w:bottom w:val="single" w:sz="4" w:space="0" w:color="auto"/>
              <w:right w:val="single" w:sz="4" w:space="0" w:color="auto"/>
            </w:tcBorders>
            <w:shd w:val="clear" w:color="auto" w:fill="D9D9D9"/>
            <w:noWrap/>
            <w:textDirection w:val="btLr"/>
            <w:vAlign w:val="center"/>
          </w:tcPr>
          <w:p w:rsidR="00F51D6D" w:rsidRPr="00055CD8" w:rsidRDefault="00F51D6D" w:rsidP="00F51D6D">
            <w:pPr>
              <w:ind w:left="113" w:right="113"/>
              <w:jc w:val="center"/>
              <w:rPr>
                <w:sz w:val="20"/>
                <w:szCs w:val="20"/>
              </w:rPr>
            </w:pPr>
            <w:r>
              <w:rPr>
                <w:sz w:val="20"/>
                <w:szCs w:val="20"/>
              </w:rPr>
              <w:t>Cap-ton</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0.54</w:t>
            </w:r>
          </w:p>
        </w:tc>
        <w:tc>
          <w:tcPr>
            <w:tcW w:w="81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383.9</w:t>
            </w:r>
          </w:p>
        </w:tc>
        <w:tc>
          <w:tcPr>
            <w:tcW w:w="81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4.72</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33714E">
              <w:rPr>
                <w:sz w:val="20"/>
                <w:szCs w:val="20"/>
              </w:rPr>
              <w:t>15</w:t>
            </w:r>
          </w:p>
        </w:tc>
        <w:tc>
          <w:tcPr>
            <w:tcW w:w="126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18"/>
                <w:szCs w:val="18"/>
              </w:rPr>
              <w:t>$1,000.00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18"/>
                <w:szCs w:val="18"/>
              </w:rPr>
              <w:t>$2,100.00</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1A55DA">
              <w:rPr>
                <w:sz w:val="18"/>
                <w:szCs w:val="18"/>
              </w:rPr>
              <w:t>$0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786D84">
            <w:pPr>
              <w:jc w:val="center"/>
              <w:rPr>
                <w:sz w:val="20"/>
                <w:szCs w:val="20"/>
              </w:rPr>
            </w:pPr>
            <w:r>
              <w:rPr>
                <w:sz w:val="18"/>
                <w:szCs w:val="18"/>
              </w:rPr>
              <w:t>$1,</w:t>
            </w:r>
            <w:r w:rsidR="00786D84">
              <w:rPr>
                <w:sz w:val="18"/>
                <w:szCs w:val="18"/>
              </w:rPr>
              <w:t>1</w:t>
            </w:r>
            <w:r>
              <w:rPr>
                <w:sz w:val="18"/>
                <w:szCs w:val="18"/>
              </w:rPr>
              <w:t>00.00</w:t>
            </w:r>
          </w:p>
        </w:tc>
        <w:tc>
          <w:tcPr>
            <w:tcW w:w="90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36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702" w:type="dxa"/>
            <w:tcBorders>
              <w:top w:val="nil"/>
              <w:left w:val="nil"/>
              <w:bottom w:val="single" w:sz="4" w:space="0" w:color="auto"/>
              <w:right w:val="single" w:sz="4" w:space="0" w:color="auto"/>
            </w:tcBorders>
            <w:shd w:val="clear" w:color="auto" w:fill="D9D9D9"/>
            <w:noWrap/>
            <w:vAlign w:val="center"/>
          </w:tcPr>
          <w:p w:rsidR="00F51D6D" w:rsidRPr="00055CD8" w:rsidRDefault="00AE112D" w:rsidP="00F51D6D">
            <w:pPr>
              <w:jc w:val="center"/>
              <w:rPr>
                <w:sz w:val="20"/>
                <w:szCs w:val="20"/>
              </w:rPr>
            </w:pPr>
            <w:r>
              <w:rPr>
                <w:sz w:val="20"/>
                <w:szCs w:val="20"/>
              </w:rPr>
              <w:t>.75</w:t>
            </w:r>
          </w:p>
        </w:tc>
        <w:tc>
          <w:tcPr>
            <w:tcW w:w="828"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I</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r>
      <w:tr w:rsidR="00F51D6D" w:rsidRPr="00055CD8" w:rsidTr="00D31B00">
        <w:trPr>
          <w:cantSplit/>
          <w:trHeight w:val="887"/>
        </w:trPr>
        <w:tc>
          <w:tcPr>
            <w:tcW w:w="828" w:type="dxa"/>
            <w:tcBorders>
              <w:top w:val="nil"/>
              <w:left w:val="single" w:sz="4" w:space="0" w:color="auto"/>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S287</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p>
        </w:tc>
        <w:tc>
          <w:tcPr>
            <w:tcW w:w="261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HVAC_VARIABLE_REFRIG_FLOW_HEAT_PUMP_&lt;_80_TONS</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ROB</w:t>
            </w:r>
          </w:p>
        </w:tc>
        <w:tc>
          <w:tcPr>
            <w:tcW w:w="72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OFS</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7F7446">
              <w:rPr>
                <w:sz w:val="20"/>
                <w:szCs w:val="20"/>
              </w:rPr>
              <w:t>EX</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Z11</w:t>
            </w:r>
          </w:p>
        </w:tc>
        <w:tc>
          <w:tcPr>
            <w:tcW w:w="540" w:type="dxa"/>
            <w:tcBorders>
              <w:top w:val="nil"/>
              <w:left w:val="nil"/>
              <w:bottom w:val="single" w:sz="4" w:space="0" w:color="auto"/>
              <w:right w:val="single" w:sz="4" w:space="0" w:color="auto"/>
            </w:tcBorders>
            <w:shd w:val="clear" w:color="auto" w:fill="A6A6A6"/>
            <w:noWrap/>
            <w:textDirection w:val="btLr"/>
            <w:vAlign w:val="center"/>
          </w:tcPr>
          <w:p w:rsidR="00F51D6D" w:rsidRPr="00055CD8" w:rsidRDefault="00F51D6D" w:rsidP="00F51D6D">
            <w:pPr>
              <w:ind w:left="113" w:right="113"/>
              <w:jc w:val="center"/>
              <w:rPr>
                <w:sz w:val="20"/>
                <w:szCs w:val="20"/>
              </w:rPr>
            </w:pPr>
            <w:r>
              <w:rPr>
                <w:sz w:val="20"/>
                <w:szCs w:val="20"/>
              </w:rPr>
              <w:t>Cap-ton</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0.26</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522.38</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20.95</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33714E">
              <w:rPr>
                <w:sz w:val="20"/>
                <w:szCs w:val="20"/>
              </w:rPr>
              <w:t>15</w:t>
            </w:r>
          </w:p>
        </w:tc>
        <w:tc>
          <w:tcPr>
            <w:tcW w:w="12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$1,000.00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$2,100.00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1A55DA">
              <w:rPr>
                <w:sz w:val="18"/>
                <w:szCs w:val="18"/>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786D84">
            <w:pPr>
              <w:jc w:val="center"/>
              <w:rPr>
                <w:sz w:val="20"/>
                <w:szCs w:val="20"/>
              </w:rPr>
            </w:pPr>
            <w:r>
              <w:rPr>
                <w:sz w:val="18"/>
                <w:szCs w:val="18"/>
              </w:rPr>
              <w:t>$1,</w:t>
            </w:r>
            <w:r w:rsidR="00786D84">
              <w:rPr>
                <w:sz w:val="18"/>
                <w:szCs w:val="18"/>
              </w:rPr>
              <w:t>1</w:t>
            </w:r>
            <w:r>
              <w:rPr>
                <w:sz w:val="18"/>
                <w:szCs w:val="18"/>
              </w:rPr>
              <w:t>00.00</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3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702" w:type="dxa"/>
            <w:tcBorders>
              <w:top w:val="nil"/>
              <w:left w:val="nil"/>
              <w:bottom w:val="single" w:sz="4" w:space="0" w:color="auto"/>
              <w:right w:val="single" w:sz="4" w:space="0" w:color="auto"/>
            </w:tcBorders>
            <w:shd w:val="clear" w:color="auto" w:fill="A6A6A6"/>
            <w:noWrap/>
            <w:vAlign w:val="center"/>
          </w:tcPr>
          <w:p w:rsidR="00F51D6D" w:rsidRPr="00055CD8" w:rsidRDefault="00AE112D" w:rsidP="00F51D6D">
            <w:pPr>
              <w:jc w:val="center"/>
              <w:rPr>
                <w:sz w:val="20"/>
                <w:szCs w:val="20"/>
              </w:rPr>
            </w:pPr>
            <w:r>
              <w:rPr>
                <w:sz w:val="20"/>
                <w:szCs w:val="20"/>
              </w:rPr>
              <w:t>.75</w:t>
            </w:r>
          </w:p>
        </w:tc>
        <w:tc>
          <w:tcPr>
            <w:tcW w:w="828"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I</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r>
      <w:tr w:rsidR="00F51D6D" w:rsidRPr="00055CD8" w:rsidTr="00D31B00">
        <w:trPr>
          <w:cantSplit/>
          <w:trHeight w:val="887"/>
        </w:trPr>
        <w:tc>
          <w:tcPr>
            <w:tcW w:w="828" w:type="dxa"/>
            <w:tcBorders>
              <w:top w:val="nil"/>
              <w:left w:val="single" w:sz="4" w:space="0" w:color="auto"/>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S287</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p>
        </w:tc>
        <w:tc>
          <w:tcPr>
            <w:tcW w:w="2610" w:type="dxa"/>
            <w:tcBorders>
              <w:top w:val="nil"/>
              <w:left w:val="nil"/>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HVAC_VARIABLE_REFRIG_FLOW_HEAT_PUMP_&lt;_80_TONS</w:t>
            </w:r>
          </w:p>
        </w:tc>
        <w:tc>
          <w:tcPr>
            <w:tcW w:w="90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ROB</w:t>
            </w:r>
          </w:p>
        </w:tc>
        <w:tc>
          <w:tcPr>
            <w:tcW w:w="720" w:type="dxa"/>
            <w:tcBorders>
              <w:top w:val="nil"/>
              <w:left w:val="nil"/>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OFS</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7F7446">
              <w:rPr>
                <w:sz w:val="20"/>
                <w:szCs w:val="20"/>
              </w:rPr>
              <w:t>EX</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Z12</w:t>
            </w:r>
          </w:p>
        </w:tc>
        <w:tc>
          <w:tcPr>
            <w:tcW w:w="540" w:type="dxa"/>
            <w:tcBorders>
              <w:top w:val="nil"/>
              <w:left w:val="nil"/>
              <w:bottom w:val="single" w:sz="4" w:space="0" w:color="auto"/>
              <w:right w:val="single" w:sz="4" w:space="0" w:color="auto"/>
            </w:tcBorders>
            <w:shd w:val="clear" w:color="auto" w:fill="D9D9D9"/>
            <w:noWrap/>
            <w:textDirection w:val="btLr"/>
            <w:vAlign w:val="center"/>
          </w:tcPr>
          <w:p w:rsidR="00F51D6D" w:rsidRPr="00055CD8" w:rsidRDefault="00F51D6D" w:rsidP="00F51D6D">
            <w:pPr>
              <w:ind w:left="113" w:right="113"/>
              <w:jc w:val="center"/>
              <w:rPr>
                <w:sz w:val="20"/>
                <w:szCs w:val="20"/>
              </w:rPr>
            </w:pPr>
            <w:r>
              <w:rPr>
                <w:sz w:val="20"/>
                <w:szCs w:val="20"/>
              </w:rPr>
              <w:t>Cap-ton</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0.26</w:t>
            </w:r>
          </w:p>
        </w:tc>
        <w:tc>
          <w:tcPr>
            <w:tcW w:w="81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522.38</w:t>
            </w:r>
          </w:p>
        </w:tc>
        <w:tc>
          <w:tcPr>
            <w:tcW w:w="81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20.95</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33714E">
              <w:rPr>
                <w:sz w:val="20"/>
                <w:szCs w:val="20"/>
              </w:rPr>
              <w:t>15</w:t>
            </w:r>
          </w:p>
        </w:tc>
        <w:tc>
          <w:tcPr>
            <w:tcW w:w="126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18"/>
                <w:szCs w:val="18"/>
              </w:rPr>
              <w:t>$1,000.00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18"/>
                <w:szCs w:val="18"/>
              </w:rPr>
              <w:t>$2,100.00</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1A55DA">
              <w:rPr>
                <w:sz w:val="18"/>
                <w:szCs w:val="18"/>
              </w:rPr>
              <w:t>$0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786D84">
            <w:pPr>
              <w:jc w:val="center"/>
              <w:rPr>
                <w:sz w:val="20"/>
                <w:szCs w:val="20"/>
              </w:rPr>
            </w:pPr>
            <w:r>
              <w:rPr>
                <w:sz w:val="18"/>
                <w:szCs w:val="18"/>
              </w:rPr>
              <w:t>$1,</w:t>
            </w:r>
            <w:r w:rsidR="00786D84">
              <w:rPr>
                <w:sz w:val="18"/>
                <w:szCs w:val="18"/>
              </w:rPr>
              <w:t>1</w:t>
            </w:r>
            <w:r>
              <w:rPr>
                <w:sz w:val="18"/>
                <w:szCs w:val="18"/>
              </w:rPr>
              <w:t>00.00</w:t>
            </w:r>
          </w:p>
        </w:tc>
        <w:tc>
          <w:tcPr>
            <w:tcW w:w="90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36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702" w:type="dxa"/>
            <w:tcBorders>
              <w:top w:val="nil"/>
              <w:left w:val="nil"/>
              <w:bottom w:val="single" w:sz="4" w:space="0" w:color="auto"/>
              <w:right w:val="single" w:sz="4" w:space="0" w:color="auto"/>
            </w:tcBorders>
            <w:shd w:val="clear" w:color="auto" w:fill="D9D9D9"/>
            <w:noWrap/>
            <w:vAlign w:val="center"/>
          </w:tcPr>
          <w:p w:rsidR="00F51D6D" w:rsidRPr="00055CD8" w:rsidRDefault="00AE112D" w:rsidP="00F51D6D">
            <w:pPr>
              <w:jc w:val="center"/>
              <w:rPr>
                <w:sz w:val="20"/>
                <w:szCs w:val="20"/>
              </w:rPr>
            </w:pPr>
            <w:r>
              <w:rPr>
                <w:sz w:val="20"/>
                <w:szCs w:val="20"/>
              </w:rPr>
              <w:t>.75</w:t>
            </w:r>
          </w:p>
        </w:tc>
        <w:tc>
          <w:tcPr>
            <w:tcW w:w="828"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I</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r>
      <w:tr w:rsidR="00F51D6D" w:rsidRPr="00055CD8" w:rsidTr="00D31B00">
        <w:trPr>
          <w:cantSplit/>
          <w:trHeight w:val="995"/>
        </w:trPr>
        <w:tc>
          <w:tcPr>
            <w:tcW w:w="828" w:type="dxa"/>
            <w:tcBorders>
              <w:top w:val="nil"/>
              <w:left w:val="single" w:sz="4" w:space="0" w:color="auto"/>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S287</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p>
        </w:tc>
        <w:tc>
          <w:tcPr>
            <w:tcW w:w="261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HVAC_VARIABLE_REFRIG_FLOW_HEAT_PUMP_&lt;_80_TONS</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ROB</w:t>
            </w:r>
          </w:p>
        </w:tc>
        <w:tc>
          <w:tcPr>
            <w:tcW w:w="72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OFS</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7F7446">
              <w:rPr>
                <w:sz w:val="20"/>
                <w:szCs w:val="20"/>
              </w:rPr>
              <w:t>EX</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Z13</w:t>
            </w:r>
          </w:p>
        </w:tc>
        <w:tc>
          <w:tcPr>
            <w:tcW w:w="540" w:type="dxa"/>
            <w:tcBorders>
              <w:top w:val="nil"/>
              <w:left w:val="nil"/>
              <w:bottom w:val="single" w:sz="4" w:space="0" w:color="auto"/>
              <w:right w:val="single" w:sz="4" w:space="0" w:color="auto"/>
            </w:tcBorders>
            <w:shd w:val="clear" w:color="auto" w:fill="A6A6A6"/>
            <w:noWrap/>
            <w:textDirection w:val="btLr"/>
            <w:vAlign w:val="center"/>
          </w:tcPr>
          <w:p w:rsidR="00F51D6D" w:rsidRPr="00055CD8" w:rsidRDefault="00F51D6D" w:rsidP="00F51D6D">
            <w:pPr>
              <w:ind w:left="113" w:right="113"/>
              <w:jc w:val="center"/>
              <w:rPr>
                <w:sz w:val="20"/>
                <w:szCs w:val="20"/>
              </w:rPr>
            </w:pPr>
            <w:r>
              <w:rPr>
                <w:sz w:val="20"/>
                <w:szCs w:val="20"/>
              </w:rPr>
              <w:t>Cap-ton</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0.09</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683.88</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30.74</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33714E">
              <w:rPr>
                <w:sz w:val="20"/>
                <w:szCs w:val="20"/>
              </w:rPr>
              <w:t>15</w:t>
            </w:r>
          </w:p>
        </w:tc>
        <w:tc>
          <w:tcPr>
            <w:tcW w:w="12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$1,000.00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$2,100.00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1A55DA">
              <w:rPr>
                <w:sz w:val="18"/>
                <w:szCs w:val="18"/>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786D84">
            <w:pPr>
              <w:jc w:val="center"/>
              <w:rPr>
                <w:sz w:val="20"/>
                <w:szCs w:val="20"/>
              </w:rPr>
            </w:pPr>
            <w:r>
              <w:rPr>
                <w:sz w:val="18"/>
                <w:szCs w:val="18"/>
              </w:rPr>
              <w:t>$1,</w:t>
            </w:r>
            <w:r w:rsidR="00786D84">
              <w:rPr>
                <w:sz w:val="18"/>
                <w:szCs w:val="18"/>
              </w:rPr>
              <w:t>1</w:t>
            </w:r>
            <w:r>
              <w:rPr>
                <w:sz w:val="18"/>
                <w:szCs w:val="18"/>
              </w:rPr>
              <w:t>00.00</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3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702" w:type="dxa"/>
            <w:tcBorders>
              <w:top w:val="nil"/>
              <w:left w:val="nil"/>
              <w:bottom w:val="single" w:sz="4" w:space="0" w:color="auto"/>
              <w:right w:val="single" w:sz="4" w:space="0" w:color="auto"/>
            </w:tcBorders>
            <w:shd w:val="clear" w:color="auto" w:fill="A6A6A6"/>
            <w:noWrap/>
            <w:vAlign w:val="center"/>
          </w:tcPr>
          <w:p w:rsidR="00F51D6D" w:rsidRPr="00055CD8" w:rsidRDefault="00AE112D" w:rsidP="00F51D6D">
            <w:pPr>
              <w:jc w:val="center"/>
              <w:rPr>
                <w:sz w:val="20"/>
                <w:szCs w:val="20"/>
              </w:rPr>
            </w:pPr>
            <w:r>
              <w:rPr>
                <w:sz w:val="20"/>
                <w:szCs w:val="20"/>
              </w:rPr>
              <w:t>.75</w:t>
            </w:r>
          </w:p>
        </w:tc>
        <w:tc>
          <w:tcPr>
            <w:tcW w:w="828"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I</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r>
      <w:tr w:rsidR="00F51D6D" w:rsidRPr="00055CD8" w:rsidTr="00D31B00">
        <w:trPr>
          <w:cantSplit/>
          <w:trHeight w:val="977"/>
        </w:trPr>
        <w:tc>
          <w:tcPr>
            <w:tcW w:w="828" w:type="dxa"/>
            <w:tcBorders>
              <w:top w:val="nil"/>
              <w:left w:val="single" w:sz="4" w:space="0" w:color="auto"/>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S287</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p>
        </w:tc>
        <w:tc>
          <w:tcPr>
            <w:tcW w:w="2610" w:type="dxa"/>
            <w:tcBorders>
              <w:top w:val="nil"/>
              <w:left w:val="nil"/>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HVAC_VARIABLE_REFRIG_FLOW_HEAT_PUMP_&lt;_80_TONS</w:t>
            </w:r>
          </w:p>
        </w:tc>
        <w:tc>
          <w:tcPr>
            <w:tcW w:w="90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ROB</w:t>
            </w:r>
          </w:p>
        </w:tc>
        <w:tc>
          <w:tcPr>
            <w:tcW w:w="720" w:type="dxa"/>
            <w:tcBorders>
              <w:top w:val="nil"/>
              <w:left w:val="nil"/>
              <w:bottom w:val="single" w:sz="4" w:space="0" w:color="auto"/>
              <w:right w:val="single" w:sz="4" w:space="0" w:color="auto"/>
            </w:tcBorders>
            <w:shd w:val="clear" w:color="auto" w:fill="D9D9D9"/>
            <w:noWrap/>
            <w:vAlign w:val="center"/>
          </w:tcPr>
          <w:p w:rsidR="00F51D6D" w:rsidRPr="00785598" w:rsidRDefault="00F51D6D" w:rsidP="00F51D6D">
            <w:pPr>
              <w:jc w:val="center"/>
              <w:rPr>
                <w:sz w:val="20"/>
                <w:szCs w:val="20"/>
              </w:rPr>
            </w:pPr>
            <w:r w:rsidRPr="00785598">
              <w:rPr>
                <w:sz w:val="20"/>
                <w:szCs w:val="20"/>
              </w:rPr>
              <w:t>OFS</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7F7446">
              <w:rPr>
                <w:sz w:val="20"/>
                <w:szCs w:val="20"/>
              </w:rPr>
              <w:t>EX</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Z16</w:t>
            </w:r>
          </w:p>
        </w:tc>
        <w:tc>
          <w:tcPr>
            <w:tcW w:w="540" w:type="dxa"/>
            <w:tcBorders>
              <w:top w:val="nil"/>
              <w:left w:val="nil"/>
              <w:bottom w:val="single" w:sz="4" w:space="0" w:color="auto"/>
              <w:right w:val="single" w:sz="4" w:space="0" w:color="auto"/>
            </w:tcBorders>
            <w:shd w:val="clear" w:color="auto" w:fill="D9D9D9"/>
            <w:noWrap/>
            <w:textDirection w:val="btLr"/>
            <w:vAlign w:val="center"/>
          </w:tcPr>
          <w:p w:rsidR="00F51D6D" w:rsidRPr="00055CD8" w:rsidRDefault="00F51D6D" w:rsidP="00F51D6D">
            <w:pPr>
              <w:ind w:left="113" w:right="113"/>
              <w:jc w:val="center"/>
              <w:rPr>
                <w:sz w:val="20"/>
                <w:szCs w:val="20"/>
              </w:rPr>
            </w:pPr>
            <w:r>
              <w:rPr>
                <w:sz w:val="20"/>
                <w:szCs w:val="20"/>
              </w:rPr>
              <w:t>Cap-ton</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0.14</w:t>
            </w:r>
          </w:p>
        </w:tc>
        <w:tc>
          <w:tcPr>
            <w:tcW w:w="81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645.32</w:t>
            </w:r>
          </w:p>
        </w:tc>
        <w:tc>
          <w:tcPr>
            <w:tcW w:w="81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color w:val="000000"/>
                <w:sz w:val="18"/>
                <w:szCs w:val="18"/>
              </w:rPr>
              <w:t>26.44</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33714E">
              <w:rPr>
                <w:sz w:val="20"/>
                <w:szCs w:val="20"/>
              </w:rPr>
              <w:t>15</w:t>
            </w:r>
          </w:p>
        </w:tc>
        <w:tc>
          <w:tcPr>
            <w:tcW w:w="126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18"/>
                <w:szCs w:val="18"/>
              </w:rPr>
              <w:t>$1,000.00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18"/>
                <w:szCs w:val="18"/>
              </w:rPr>
              <w:t>$2,100.00</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sidRPr="001A55DA">
              <w:rPr>
                <w:sz w:val="18"/>
                <w:szCs w:val="18"/>
              </w:rPr>
              <w:t>$0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786D84">
            <w:pPr>
              <w:jc w:val="center"/>
              <w:rPr>
                <w:sz w:val="20"/>
                <w:szCs w:val="20"/>
              </w:rPr>
            </w:pPr>
            <w:r>
              <w:rPr>
                <w:sz w:val="18"/>
                <w:szCs w:val="18"/>
              </w:rPr>
              <w:t>$1,</w:t>
            </w:r>
            <w:r w:rsidR="00786D84">
              <w:rPr>
                <w:sz w:val="18"/>
                <w:szCs w:val="18"/>
              </w:rPr>
              <w:t>1</w:t>
            </w:r>
            <w:r>
              <w:rPr>
                <w:sz w:val="18"/>
                <w:szCs w:val="18"/>
              </w:rPr>
              <w:t>00.00</w:t>
            </w:r>
          </w:p>
        </w:tc>
        <w:tc>
          <w:tcPr>
            <w:tcW w:w="90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36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45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c>
          <w:tcPr>
            <w:tcW w:w="702" w:type="dxa"/>
            <w:tcBorders>
              <w:top w:val="nil"/>
              <w:left w:val="nil"/>
              <w:bottom w:val="single" w:sz="4" w:space="0" w:color="auto"/>
              <w:right w:val="single" w:sz="4" w:space="0" w:color="auto"/>
            </w:tcBorders>
            <w:shd w:val="clear" w:color="auto" w:fill="D9D9D9"/>
            <w:noWrap/>
            <w:vAlign w:val="center"/>
          </w:tcPr>
          <w:p w:rsidR="00F51D6D" w:rsidRPr="00055CD8" w:rsidRDefault="00AE112D" w:rsidP="00F51D6D">
            <w:pPr>
              <w:jc w:val="center"/>
              <w:rPr>
                <w:sz w:val="20"/>
                <w:szCs w:val="20"/>
              </w:rPr>
            </w:pPr>
            <w:r>
              <w:rPr>
                <w:sz w:val="20"/>
                <w:szCs w:val="20"/>
              </w:rPr>
              <w:t>.75</w:t>
            </w:r>
          </w:p>
        </w:tc>
        <w:tc>
          <w:tcPr>
            <w:tcW w:w="828"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I</w:t>
            </w:r>
          </w:p>
        </w:tc>
        <w:tc>
          <w:tcPr>
            <w:tcW w:w="720" w:type="dxa"/>
            <w:tcBorders>
              <w:top w:val="nil"/>
              <w:left w:val="nil"/>
              <w:bottom w:val="single" w:sz="4" w:space="0" w:color="auto"/>
              <w:right w:val="single" w:sz="4" w:space="0" w:color="auto"/>
            </w:tcBorders>
            <w:shd w:val="clear" w:color="auto" w:fill="D9D9D9"/>
            <w:noWrap/>
            <w:vAlign w:val="center"/>
          </w:tcPr>
          <w:p w:rsidR="00F51D6D" w:rsidRPr="00055CD8" w:rsidRDefault="00F51D6D" w:rsidP="00F51D6D">
            <w:pPr>
              <w:jc w:val="center"/>
              <w:rPr>
                <w:sz w:val="20"/>
                <w:szCs w:val="20"/>
              </w:rPr>
            </w:pPr>
            <w:r>
              <w:rPr>
                <w:sz w:val="20"/>
                <w:szCs w:val="20"/>
              </w:rPr>
              <w:t>1</w:t>
            </w:r>
          </w:p>
        </w:tc>
      </w:tr>
      <w:tr w:rsidR="00F51D6D" w:rsidRPr="00055CD8" w:rsidTr="00D31B00">
        <w:trPr>
          <w:cantSplit/>
          <w:trHeight w:val="887"/>
        </w:trPr>
        <w:tc>
          <w:tcPr>
            <w:tcW w:w="828" w:type="dxa"/>
            <w:tcBorders>
              <w:top w:val="nil"/>
              <w:left w:val="single" w:sz="4" w:space="0" w:color="auto"/>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S287</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p>
        </w:tc>
        <w:tc>
          <w:tcPr>
            <w:tcW w:w="261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HVAC_VARIABLE_REFRIG_FLOW_HEAT_PUMP_&lt;_80_TONS</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ROB</w:t>
            </w:r>
          </w:p>
        </w:tc>
        <w:tc>
          <w:tcPr>
            <w:tcW w:w="720" w:type="dxa"/>
            <w:tcBorders>
              <w:top w:val="nil"/>
              <w:left w:val="nil"/>
              <w:bottom w:val="single" w:sz="4" w:space="0" w:color="auto"/>
              <w:right w:val="single" w:sz="4" w:space="0" w:color="auto"/>
            </w:tcBorders>
            <w:shd w:val="clear" w:color="auto" w:fill="A6A6A6"/>
            <w:noWrap/>
            <w:vAlign w:val="center"/>
          </w:tcPr>
          <w:p w:rsidR="00F51D6D" w:rsidRPr="00785598" w:rsidRDefault="00F51D6D" w:rsidP="00F51D6D">
            <w:pPr>
              <w:jc w:val="center"/>
              <w:rPr>
                <w:sz w:val="20"/>
                <w:szCs w:val="20"/>
              </w:rPr>
            </w:pPr>
            <w:r w:rsidRPr="00785598">
              <w:rPr>
                <w:sz w:val="20"/>
                <w:szCs w:val="20"/>
              </w:rPr>
              <w:t>ESE</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7F7446">
              <w:rPr>
                <w:sz w:val="20"/>
                <w:szCs w:val="20"/>
              </w:rPr>
              <w:t>EX</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Z01</w:t>
            </w:r>
          </w:p>
        </w:tc>
        <w:tc>
          <w:tcPr>
            <w:tcW w:w="540" w:type="dxa"/>
            <w:tcBorders>
              <w:top w:val="nil"/>
              <w:left w:val="nil"/>
              <w:bottom w:val="single" w:sz="4" w:space="0" w:color="auto"/>
              <w:right w:val="single" w:sz="4" w:space="0" w:color="auto"/>
            </w:tcBorders>
            <w:shd w:val="clear" w:color="auto" w:fill="A6A6A6"/>
            <w:noWrap/>
            <w:textDirection w:val="btLr"/>
            <w:vAlign w:val="center"/>
          </w:tcPr>
          <w:p w:rsidR="00F51D6D" w:rsidRPr="00055CD8" w:rsidRDefault="00F51D6D" w:rsidP="00F51D6D">
            <w:pPr>
              <w:ind w:left="113" w:right="113"/>
              <w:jc w:val="center"/>
              <w:rPr>
                <w:sz w:val="20"/>
                <w:szCs w:val="20"/>
              </w:rPr>
            </w:pPr>
            <w:r>
              <w:rPr>
                <w:sz w:val="20"/>
                <w:szCs w:val="20"/>
              </w:rPr>
              <w:t>Cap-ton</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0.18</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742.95</w:t>
            </w:r>
          </w:p>
        </w:tc>
        <w:tc>
          <w:tcPr>
            <w:tcW w:w="81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color w:val="000000"/>
                <w:sz w:val="18"/>
                <w:szCs w:val="18"/>
              </w:rPr>
              <w:t>20.37</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33714E">
              <w:rPr>
                <w:sz w:val="20"/>
                <w:szCs w:val="20"/>
              </w:rPr>
              <w:t>15</w:t>
            </w:r>
          </w:p>
        </w:tc>
        <w:tc>
          <w:tcPr>
            <w:tcW w:w="12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$1,000.00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18"/>
                <w:szCs w:val="18"/>
              </w:rPr>
              <w:t>$2,100.00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sidRPr="001A55DA">
              <w:rPr>
                <w:sz w:val="18"/>
                <w:szCs w:val="18"/>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786D84">
            <w:pPr>
              <w:jc w:val="center"/>
              <w:rPr>
                <w:sz w:val="20"/>
                <w:szCs w:val="20"/>
              </w:rPr>
            </w:pPr>
            <w:r>
              <w:rPr>
                <w:sz w:val="18"/>
                <w:szCs w:val="18"/>
              </w:rPr>
              <w:t>$1,</w:t>
            </w:r>
            <w:r w:rsidR="00786D84">
              <w:rPr>
                <w:sz w:val="18"/>
                <w:szCs w:val="18"/>
              </w:rPr>
              <w:t>1</w:t>
            </w:r>
            <w:r>
              <w:rPr>
                <w:sz w:val="18"/>
                <w:szCs w:val="18"/>
              </w:rPr>
              <w:t>00.00</w:t>
            </w:r>
          </w:p>
        </w:tc>
        <w:tc>
          <w:tcPr>
            <w:tcW w:w="90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36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45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0</w:t>
            </w:r>
          </w:p>
        </w:tc>
        <w:tc>
          <w:tcPr>
            <w:tcW w:w="54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63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c>
          <w:tcPr>
            <w:tcW w:w="702" w:type="dxa"/>
            <w:tcBorders>
              <w:top w:val="nil"/>
              <w:left w:val="nil"/>
              <w:bottom w:val="single" w:sz="4" w:space="0" w:color="auto"/>
              <w:right w:val="single" w:sz="4" w:space="0" w:color="auto"/>
            </w:tcBorders>
            <w:shd w:val="clear" w:color="auto" w:fill="A6A6A6"/>
            <w:noWrap/>
            <w:vAlign w:val="center"/>
          </w:tcPr>
          <w:p w:rsidR="00F51D6D" w:rsidRPr="00055CD8" w:rsidRDefault="00AE112D" w:rsidP="00F51D6D">
            <w:pPr>
              <w:jc w:val="center"/>
              <w:rPr>
                <w:sz w:val="20"/>
                <w:szCs w:val="20"/>
              </w:rPr>
            </w:pPr>
            <w:r>
              <w:rPr>
                <w:sz w:val="20"/>
                <w:szCs w:val="20"/>
              </w:rPr>
              <w:t>.75</w:t>
            </w:r>
          </w:p>
        </w:tc>
        <w:tc>
          <w:tcPr>
            <w:tcW w:w="828"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I</w:t>
            </w:r>
          </w:p>
        </w:tc>
        <w:tc>
          <w:tcPr>
            <w:tcW w:w="720" w:type="dxa"/>
            <w:tcBorders>
              <w:top w:val="nil"/>
              <w:left w:val="nil"/>
              <w:bottom w:val="single" w:sz="4" w:space="0" w:color="auto"/>
              <w:right w:val="single" w:sz="4" w:space="0" w:color="auto"/>
            </w:tcBorders>
            <w:shd w:val="clear" w:color="auto" w:fill="A6A6A6"/>
            <w:noWrap/>
            <w:vAlign w:val="center"/>
          </w:tcPr>
          <w:p w:rsidR="00F51D6D" w:rsidRPr="00055CD8" w:rsidRDefault="00F51D6D" w:rsidP="00F51D6D">
            <w:pPr>
              <w:jc w:val="center"/>
              <w:rPr>
                <w:sz w:val="20"/>
                <w:szCs w:val="20"/>
              </w:rPr>
            </w:pPr>
            <w:r>
              <w:rPr>
                <w:sz w:val="20"/>
                <w:szCs w:val="20"/>
              </w:rPr>
              <w:t>1</w:t>
            </w:r>
          </w:p>
        </w:tc>
      </w:tr>
    </w:tbl>
    <w:p w:rsidR="009D148C" w:rsidRDefault="009D148C" w:rsidP="00370BD4">
      <w:pPr>
        <w:rPr>
          <w:b/>
          <w:bCs/>
          <w:sz w:val="24"/>
          <w:szCs w:val="24"/>
        </w:rPr>
        <w:sectPr w:rsidR="009D148C" w:rsidSect="00057B32">
          <w:endnotePr>
            <w:numFmt w:val="decimal"/>
          </w:endnotePr>
          <w:pgSz w:w="24480" w:h="15840" w:orient="landscape" w:code="17"/>
          <w:pgMar w:top="1440" w:right="1440" w:bottom="1440" w:left="1440" w:header="720" w:footer="720" w:gutter="0"/>
          <w:pgNumType w:fmt="lowerRoman"/>
          <w:cols w:space="720"/>
          <w:docGrid w:linePitch="360"/>
        </w:sectPr>
      </w:pPr>
      <w:r w:rsidRPr="006F5BBB">
        <w:rPr>
          <w:b/>
          <w:bCs/>
          <w:sz w:val="24"/>
          <w:szCs w:val="24"/>
        </w:rPr>
        <w:t xml:space="preserve">Note: </w:t>
      </w:r>
      <w:r w:rsidRPr="005148C0">
        <w:rPr>
          <w:b/>
          <w:bCs/>
          <w:sz w:val="24"/>
          <w:szCs w:val="24"/>
        </w:rPr>
        <w:t>For the complete list of Measures, refer to the a</w:t>
      </w:r>
      <w:r w:rsidR="00D31B00">
        <w:rPr>
          <w:b/>
          <w:bCs/>
          <w:sz w:val="24"/>
          <w:szCs w:val="24"/>
        </w:rPr>
        <w:t>ccompanying</w:t>
      </w:r>
      <w:r w:rsidRPr="005148C0">
        <w:rPr>
          <w:b/>
          <w:bCs/>
          <w:sz w:val="24"/>
          <w:szCs w:val="24"/>
        </w:rPr>
        <w:t xml:space="preserve"> calculation spreadsheet</w:t>
      </w:r>
      <w:r w:rsidR="00F96796">
        <w:rPr>
          <w:b/>
          <w:bCs/>
          <w:sz w:val="24"/>
          <w:szCs w:val="24"/>
        </w:rPr>
        <w:t xml:space="preserve"> listed in References.</w:t>
      </w:r>
    </w:p>
    <w:p w:rsidR="009D148C" w:rsidRDefault="009D148C" w:rsidP="00A360E7">
      <w:pPr>
        <w:pStyle w:val="Heading1"/>
      </w:pPr>
      <w:bookmarkStart w:id="6" w:name="_Toc174189524"/>
      <w:bookmarkStart w:id="7" w:name="_Toc333929853"/>
      <w:r>
        <w:lastRenderedPageBreak/>
        <w:t>Work Paper Approvals</w:t>
      </w:r>
      <w:bookmarkEnd w:id="6"/>
      <w:bookmarkEnd w:id="7"/>
    </w:p>
    <w:p w:rsidR="009D148C" w:rsidRDefault="009D148C" w:rsidP="00A360E7"/>
    <w:tbl>
      <w:tblPr>
        <w:tblW w:w="5000" w:type="pct"/>
        <w:tblInd w:w="-106" w:type="dxa"/>
        <w:tblLook w:val="0000" w:firstRow="0" w:lastRow="0" w:firstColumn="0" w:lastColumn="0" w:noHBand="0" w:noVBand="0"/>
      </w:tblPr>
      <w:tblGrid>
        <w:gridCol w:w="5868"/>
        <w:gridCol w:w="3708"/>
      </w:tblGrid>
      <w:tr w:rsidR="009D148C">
        <w:tc>
          <w:tcPr>
            <w:tcW w:w="3064" w:type="pct"/>
          </w:tcPr>
          <w:p w:rsidR="009D148C" w:rsidRPr="00636012" w:rsidRDefault="009D148C" w:rsidP="00EB4700"/>
        </w:tc>
        <w:tc>
          <w:tcPr>
            <w:tcW w:w="1936" w:type="pct"/>
          </w:tcPr>
          <w:p w:rsidR="009D148C" w:rsidRDefault="009D148C" w:rsidP="00EB4700"/>
        </w:tc>
      </w:tr>
      <w:tr w:rsidR="009D148C">
        <w:tc>
          <w:tcPr>
            <w:tcW w:w="3064" w:type="pct"/>
          </w:tcPr>
          <w:p w:rsidR="009D148C" w:rsidRDefault="009D148C" w:rsidP="00EB4700"/>
          <w:p w:rsidR="009D148C" w:rsidRDefault="009D148C" w:rsidP="00EB4700"/>
          <w:p w:rsidR="009D148C" w:rsidRDefault="009D148C" w:rsidP="00EB4700"/>
          <w:p w:rsidR="009D148C" w:rsidRDefault="009D148C" w:rsidP="00EB4700"/>
          <w:p w:rsidR="009D148C" w:rsidRDefault="009D148C" w:rsidP="00EB4700"/>
          <w:p w:rsidR="009D148C" w:rsidRDefault="009D148C" w:rsidP="00EB4700">
            <w:pPr>
              <w:pBdr>
                <w:bottom w:val="single" w:sz="12" w:space="1" w:color="auto"/>
              </w:pBdr>
            </w:pPr>
          </w:p>
          <w:p w:rsidR="009D148C" w:rsidRDefault="009D148C" w:rsidP="00EB4700">
            <w:pPr>
              <w:rPr>
                <w:b/>
                <w:bCs/>
              </w:rPr>
            </w:pPr>
            <w:r>
              <w:rPr>
                <w:b/>
                <w:bCs/>
              </w:rPr>
              <w:t>Grant Brohard</w:t>
            </w:r>
          </w:p>
          <w:p w:rsidR="009D148C" w:rsidRPr="00636012" w:rsidRDefault="009D148C" w:rsidP="00EB4700">
            <w:r w:rsidRPr="00636012">
              <w:t>Manager, Technical Product Support</w:t>
            </w:r>
          </w:p>
        </w:tc>
        <w:tc>
          <w:tcPr>
            <w:tcW w:w="1936" w:type="pct"/>
          </w:tcPr>
          <w:p w:rsidR="009D148C" w:rsidRDefault="009D148C" w:rsidP="00EB4700"/>
          <w:p w:rsidR="009D148C" w:rsidRDefault="009D148C" w:rsidP="00EB4700"/>
          <w:p w:rsidR="009D148C" w:rsidRDefault="009D148C" w:rsidP="00EB4700"/>
          <w:p w:rsidR="009D148C" w:rsidRDefault="009D148C" w:rsidP="00EB4700">
            <w:pPr>
              <w:pBdr>
                <w:bottom w:val="single" w:sz="12" w:space="1" w:color="auto"/>
              </w:pBdr>
            </w:pPr>
          </w:p>
          <w:p w:rsidR="009D148C" w:rsidRDefault="009D148C" w:rsidP="00EB4700">
            <w:pPr>
              <w:pBdr>
                <w:bottom w:val="single" w:sz="12" w:space="1" w:color="auto"/>
              </w:pBdr>
            </w:pPr>
          </w:p>
          <w:p w:rsidR="009D148C" w:rsidRDefault="009D148C" w:rsidP="00EB4700">
            <w:pPr>
              <w:pBdr>
                <w:bottom w:val="single" w:sz="12" w:space="1" w:color="auto"/>
              </w:pBdr>
            </w:pPr>
          </w:p>
          <w:p w:rsidR="009D148C" w:rsidRPr="00CF7875" w:rsidRDefault="009D148C" w:rsidP="00EB4700">
            <w:pPr>
              <w:rPr>
                <w:b/>
                <w:bCs/>
              </w:rPr>
            </w:pPr>
            <w:r w:rsidRPr="00CF7875">
              <w:rPr>
                <w:b/>
                <w:bCs/>
              </w:rPr>
              <w:t>Date</w:t>
            </w:r>
          </w:p>
        </w:tc>
      </w:tr>
      <w:tr w:rsidR="009D148C">
        <w:tc>
          <w:tcPr>
            <w:tcW w:w="3064" w:type="pct"/>
          </w:tcPr>
          <w:p w:rsidR="009D148C" w:rsidRDefault="009D148C" w:rsidP="00EB4700"/>
          <w:p w:rsidR="009D148C" w:rsidRDefault="009D148C" w:rsidP="00EB4700"/>
          <w:p w:rsidR="009D148C" w:rsidRDefault="009D148C" w:rsidP="00EB4700">
            <w:pPr>
              <w:ind w:firstLine="720"/>
            </w:pPr>
          </w:p>
          <w:p w:rsidR="009D148C" w:rsidRDefault="009D148C" w:rsidP="00EB4700"/>
          <w:p w:rsidR="009D148C" w:rsidRDefault="009D148C" w:rsidP="00EB4700"/>
          <w:p w:rsidR="009D148C" w:rsidRPr="00302B74" w:rsidRDefault="009D148C" w:rsidP="00EB4700">
            <w:pPr>
              <w:pBdr>
                <w:bottom w:val="single" w:sz="12" w:space="1" w:color="auto"/>
              </w:pBdr>
              <w:rPr>
                <w:color w:val="FF0000"/>
              </w:rPr>
            </w:pPr>
          </w:p>
          <w:p w:rsidR="009D148C" w:rsidRPr="00C61E17" w:rsidRDefault="009D148C" w:rsidP="00EB4700">
            <w:pPr>
              <w:rPr>
                <w:b/>
                <w:bCs/>
              </w:rPr>
            </w:pPr>
            <w:r w:rsidRPr="00C61E17">
              <w:rPr>
                <w:b/>
                <w:bCs/>
              </w:rPr>
              <w:t>Paola Benassi</w:t>
            </w:r>
          </w:p>
          <w:p w:rsidR="009D148C" w:rsidRDefault="009D148C" w:rsidP="00EB4700">
            <w:r w:rsidRPr="00C61E17">
              <w:t>Manager, CES Core Products HVAC</w:t>
            </w:r>
          </w:p>
          <w:p w:rsidR="009D148C" w:rsidRDefault="009D148C" w:rsidP="00EB4700"/>
        </w:tc>
        <w:tc>
          <w:tcPr>
            <w:tcW w:w="1936" w:type="pct"/>
          </w:tcPr>
          <w:p w:rsidR="009D148C" w:rsidRDefault="009D148C" w:rsidP="00EB4700"/>
          <w:p w:rsidR="009D148C" w:rsidRDefault="009D148C" w:rsidP="00EB4700"/>
          <w:p w:rsidR="009D148C" w:rsidRDefault="009D148C" w:rsidP="00EB4700">
            <w:pPr>
              <w:pBdr>
                <w:bottom w:val="single" w:sz="12" w:space="1" w:color="auto"/>
              </w:pBdr>
            </w:pPr>
          </w:p>
          <w:p w:rsidR="009D148C" w:rsidRDefault="009D148C" w:rsidP="00EB4700">
            <w:pPr>
              <w:pBdr>
                <w:bottom w:val="single" w:sz="12" w:space="1" w:color="auto"/>
              </w:pBdr>
            </w:pPr>
          </w:p>
          <w:p w:rsidR="009D148C" w:rsidRDefault="009D148C" w:rsidP="00EB4700">
            <w:pPr>
              <w:pBdr>
                <w:bottom w:val="single" w:sz="12" w:space="1" w:color="auto"/>
              </w:pBdr>
            </w:pPr>
          </w:p>
          <w:p w:rsidR="009D148C" w:rsidRDefault="009D148C" w:rsidP="00EB4700">
            <w:pPr>
              <w:pBdr>
                <w:bottom w:val="single" w:sz="12" w:space="1" w:color="auto"/>
              </w:pBdr>
            </w:pPr>
          </w:p>
          <w:p w:rsidR="009D148C" w:rsidRPr="00CF7875" w:rsidRDefault="009D148C" w:rsidP="00EB4700">
            <w:pPr>
              <w:rPr>
                <w:b/>
                <w:bCs/>
              </w:rPr>
            </w:pPr>
            <w:r w:rsidRPr="00CF7875">
              <w:rPr>
                <w:b/>
                <w:bCs/>
              </w:rPr>
              <w:t>Date</w:t>
            </w:r>
          </w:p>
          <w:p w:rsidR="009D148C" w:rsidRPr="00302B74" w:rsidRDefault="009D148C" w:rsidP="00EB4700">
            <w:pPr>
              <w:rPr>
                <w:color w:val="FF0000"/>
              </w:rPr>
            </w:pPr>
          </w:p>
        </w:tc>
      </w:tr>
    </w:tbl>
    <w:p w:rsidR="009D148C" w:rsidRDefault="009D148C" w:rsidP="00E71EF1">
      <w:pPr>
        <w:pStyle w:val="Heading1"/>
      </w:pPr>
      <w:r>
        <w:br w:type="page"/>
      </w:r>
      <w:bookmarkStart w:id="8" w:name="_Toc333929854"/>
      <w:r>
        <w:lastRenderedPageBreak/>
        <w:t>Document Revision History</w:t>
      </w:r>
      <w:bookmarkEnd w:id="8"/>
    </w:p>
    <w:p w:rsidR="009D148C" w:rsidRDefault="009D148C" w:rsidP="001A573F">
      <w:r>
        <w:t xml:space="preserve">     </w:t>
      </w:r>
      <w:r>
        <w:tab/>
      </w:r>
      <w:r>
        <w:tab/>
      </w:r>
      <w:r>
        <w:tab/>
      </w:r>
      <w:r>
        <w:tab/>
        <w:t xml:space="preserve">         </w:t>
      </w:r>
    </w:p>
    <w:tbl>
      <w:tblPr>
        <w:tblW w:w="4803" w:type="pct"/>
        <w:tblInd w:w="-106" w:type="dxa"/>
        <w:tblBorders>
          <w:insideH w:val="single" w:sz="18" w:space="0" w:color="FFFFFF"/>
          <w:insideV w:val="single" w:sz="18" w:space="0" w:color="FFFFFF"/>
        </w:tblBorders>
        <w:tblLook w:val="01E0" w:firstRow="1" w:lastRow="1" w:firstColumn="1" w:lastColumn="1" w:noHBand="0" w:noVBand="0"/>
      </w:tblPr>
      <w:tblGrid>
        <w:gridCol w:w="1487"/>
        <w:gridCol w:w="1590"/>
        <w:gridCol w:w="3061"/>
        <w:gridCol w:w="3061"/>
      </w:tblGrid>
      <w:tr w:rsidR="009D148C" w:rsidRPr="00962995" w:rsidTr="00D32C45">
        <w:trPr>
          <w:trHeight w:val="332"/>
        </w:trPr>
        <w:tc>
          <w:tcPr>
            <w:tcW w:w="808" w:type="pct"/>
            <w:tcBorders>
              <w:top w:val="nil"/>
            </w:tcBorders>
            <w:shd w:val="pct20" w:color="000000" w:fill="FFFFFF"/>
          </w:tcPr>
          <w:p w:rsidR="009D148C" w:rsidRPr="00962995" w:rsidRDefault="009D148C" w:rsidP="000374A5">
            <w:pPr>
              <w:jc w:val="center"/>
              <w:rPr>
                <w:b/>
                <w:bCs/>
              </w:rPr>
            </w:pPr>
            <w:r w:rsidRPr="00962995">
              <w:rPr>
                <w:b/>
                <w:bCs/>
              </w:rPr>
              <w:t>Revision #</w:t>
            </w:r>
            <w:r w:rsidRPr="00962995">
              <w:rPr>
                <w:b/>
                <w:bCs/>
              </w:rPr>
              <w:tab/>
            </w:r>
          </w:p>
        </w:tc>
        <w:tc>
          <w:tcPr>
            <w:tcW w:w="864" w:type="pct"/>
            <w:tcBorders>
              <w:top w:val="nil"/>
            </w:tcBorders>
            <w:shd w:val="pct20" w:color="000000" w:fill="FFFFFF"/>
          </w:tcPr>
          <w:p w:rsidR="009D148C" w:rsidRPr="00962995" w:rsidRDefault="009D148C" w:rsidP="000374A5">
            <w:pPr>
              <w:jc w:val="center"/>
              <w:rPr>
                <w:b/>
                <w:bCs/>
                <w:sz w:val="20"/>
                <w:szCs w:val="20"/>
              </w:rPr>
            </w:pPr>
            <w:r w:rsidRPr="00962995">
              <w:rPr>
                <w:b/>
                <w:bCs/>
              </w:rPr>
              <w:t xml:space="preserve">Date </w:t>
            </w:r>
            <w:r w:rsidRPr="00962995">
              <w:rPr>
                <w:b/>
                <w:bCs/>
              </w:rPr>
              <w:tab/>
            </w:r>
          </w:p>
        </w:tc>
        <w:tc>
          <w:tcPr>
            <w:tcW w:w="1664" w:type="pct"/>
            <w:tcBorders>
              <w:top w:val="nil"/>
            </w:tcBorders>
            <w:shd w:val="pct20" w:color="000000" w:fill="FFFFFF"/>
          </w:tcPr>
          <w:p w:rsidR="009D148C" w:rsidRPr="00962995" w:rsidRDefault="009D148C" w:rsidP="009D1600">
            <w:pPr>
              <w:jc w:val="center"/>
              <w:rPr>
                <w:b/>
                <w:bCs/>
                <w:sz w:val="20"/>
                <w:szCs w:val="20"/>
              </w:rPr>
            </w:pPr>
            <w:r w:rsidRPr="00962995">
              <w:rPr>
                <w:b/>
                <w:bCs/>
              </w:rPr>
              <w:t>Section</w:t>
            </w:r>
            <w:r>
              <w:rPr>
                <w:b/>
                <w:bCs/>
              </w:rPr>
              <w:t>-</w:t>
            </w:r>
            <w:r w:rsidRPr="00962995">
              <w:rPr>
                <w:b/>
                <w:bCs/>
              </w:rPr>
              <w:t>by</w:t>
            </w:r>
            <w:r>
              <w:rPr>
                <w:b/>
                <w:bCs/>
              </w:rPr>
              <w:t>-</w:t>
            </w:r>
            <w:r w:rsidRPr="00962995">
              <w:rPr>
                <w:b/>
                <w:bCs/>
              </w:rPr>
              <w:t>Section Description of Revisions</w:t>
            </w:r>
          </w:p>
        </w:tc>
        <w:tc>
          <w:tcPr>
            <w:tcW w:w="1664" w:type="pct"/>
            <w:tcBorders>
              <w:top w:val="nil"/>
            </w:tcBorders>
            <w:shd w:val="pct20" w:color="000000" w:fill="FFFFFF"/>
          </w:tcPr>
          <w:p w:rsidR="009D148C" w:rsidRPr="00962995" w:rsidRDefault="009D148C" w:rsidP="000374A5">
            <w:pPr>
              <w:jc w:val="center"/>
              <w:rPr>
                <w:b/>
                <w:bCs/>
                <w:sz w:val="20"/>
                <w:szCs w:val="20"/>
              </w:rPr>
            </w:pPr>
            <w:r w:rsidRPr="00962995">
              <w:rPr>
                <w:b/>
                <w:bCs/>
              </w:rPr>
              <w:t>Author (Company)</w:t>
            </w:r>
          </w:p>
        </w:tc>
      </w:tr>
      <w:tr w:rsidR="009D148C" w:rsidRPr="00962995" w:rsidTr="00D32C45">
        <w:trPr>
          <w:trHeight w:val="332"/>
        </w:trPr>
        <w:tc>
          <w:tcPr>
            <w:tcW w:w="808" w:type="pct"/>
            <w:shd w:val="pct20" w:color="000000" w:fill="FFFFFF"/>
          </w:tcPr>
          <w:p w:rsidR="009D148C" w:rsidRPr="00962995" w:rsidRDefault="009D148C" w:rsidP="008948E0">
            <w:pPr>
              <w:rPr>
                <w:b/>
                <w:bCs/>
                <w:sz w:val="20"/>
                <w:szCs w:val="20"/>
              </w:rPr>
            </w:pPr>
            <w:r w:rsidRPr="00962995">
              <w:rPr>
                <w:b/>
                <w:bCs/>
                <w:sz w:val="20"/>
                <w:szCs w:val="20"/>
              </w:rPr>
              <w:t>Revision 0</w:t>
            </w:r>
          </w:p>
        </w:tc>
        <w:tc>
          <w:tcPr>
            <w:tcW w:w="864" w:type="pct"/>
            <w:shd w:val="pct20" w:color="000000" w:fill="FFFFFF"/>
          </w:tcPr>
          <w:p w:rsidR="009D148C" w:rsidRPr="00962995" w:rsidRDefault="009D148C" w:rsidP="008948E0">
            <w:pPr>
              <w:rPr>
                <w:b/>
                <w:bCs/>
                <w:sz w:val="20"/>
                <w:szCs w:val="20"/>
              </w:rPr>
            </w:pPr>
            <w:r>
              <w:rPr>
                <w:b/>
                <w:bCs/>
                <w:sz w:val="20"/>
                <w:szCs w:val="20"/>
              </w:rPr>
              <w:t>5/1</w:t>
            </w:r>
            <w:r w:rsidRPr="00962995">
              <w:rPr>
                <w:b/>
                <w:bCs/>
                <w:sz w:val="20"/>
                <w:szCs w:val="20"/>
              </w:rPr>
              <w:t>/2012</w:t>
            </w:r>
          </w:p>
        </w:tc>
        <w:tc>
          <w:tcPr>
            <w:tcW w:w="1664" w:type="pct"/>
            <w:shd w:val="pct20" w:color="000000" w:fill="FFFFFF"/>
          </w:tcPr>
          <w:p w:rsidR="009D148C" w:rsidRPr="00962995" w:rsidRDefault="009D148C" w:rsidP="008948E0">
            <w:pPr>
              <w:rPr>
                <w:b/>
                <w:bCs/>
                <w:sz w:val="20"/>
                <w:szCs w:val="20"/>
              </w:rPr>
            </w:pPr>
            <w:r w:rsidRPr="00962995">
              <w:rPr>
                <w:b/>
                <w:bCs/>
                <w:sz w:val="20"/>
                <w:szCs w:val="20"/>
              </w:rPr>
              <w:t xml:space="preserve">Original work paper: PGECOHVC142 Variable Refrigerant Flow </w:t>
            </w:r>
            <w:proofErr w:type="spellStart"/>
            <w:r w:rsidRPr="00962995">
              <w:rPr>
                <w:b/>
                <w:bCs/>
                <w:sz w:val="20"/>
                <w:szCs w:val="20"/>
              </w:rPr>
              <w:t>Nonres</w:t>
            </w:r>
            <w:proofErr w:type="spellEnd"/>
            <w:r w:rsidRPr="00962995">
              <w:rPr>
                <w:b/>
                <w:bCs/>
                <w:sz w:val="20"/>
                <w:szCs w:val="20"/>
              </w:rPr>
              <w:t xml:space="preserve"> R0</w:t>
            </w:r>
          </w:p>
        </w:tc>
        <w:tc>
          <w:tcPr>
            <w:tcW w:w="1664" w:type="pct"/>
            <w:shd w:val="pct20" w:color="000000" w:fill="FFFFFF"/>
          </w:tcPr>
          <w:p w:rsidR="009D148C" w:rsidRPr="00962995" w:rsidRDefault="009D148C" w:rsidP="009C0F35">
            <w:pPr>
              <w:rPr>
                <w:b/>
                <w:bCs/>
                <w:sz w:val="20"/>
                <w:szCs w:val="20"/>
              </w:rPr>
            </w:pPr>
            <w:r w:rsidRPr="00962995">
              <w:rPr>
                <w:b/>
                <w:bCs/>
                <w:sz w:val="20"/>
                <w:szCs w:val="20"/>
              </w:rPr>
              <w:t xml:space="preserve">Judith Jennings (PG&amp;E) </w:t>
            </w:r>
          </w:p>
          <w:p w:rsidR="009D148C" w:rsidRPr="00962995" w:rsidRDefault="009D148C" w:rsidP="009C0F35">
            <w:pPr>
              <w:rPr>
                <w:b/>
                <w:bCs/>
                <w:sz w:val="20"/>
                <w:szCs w:val="20"/>
              </w:rPr>
            </w:pPr>
            <w:r>
              <w:rPr>
                <w:b/>
                <w:bCs/>
                <w:sz w:val="20"/>
                <w:szCs w:val="20"/>
              </w:rPr>
              <w:t xml:space="preserve">Calculations: </w:t>
            </w:r>
            <w:r w:rsidRPr="00962995">
              <w:rPr>
                <w:b/>
                <w:bCs/>
                <w:sz w:val="20"/>
                <w:szCs w:val="20"/>
              </w:rPr>
              <w:t>Jun Furuta</w:t>
            </w:r>
            <w:r>
              <w:rPr>
                <w:b/>
                <w:bCs/>
                <w:sz w:val="20"/>
                <w:szCs w:val="20"/>
              </w:rPr>
              <w:t xml:space="preserve">, Elizabeth Joyce, Alex </w:t>
            </w:r>
            <w:proofErr w:type="spellStart"/>
            <w:r>
              <w:rPr>
                <w:b/>
                <w:bCs/>
                <w:sz w:val="20"/>
                <w:szCs w:val="20"/>
              </w:rPr>
              <w:t>MacCurdy</w:t>
            </w:r>
            <w:proofErr w:type="spellEnd"/>
            <w:r>
              <w:rPr>
                <w:b/>
                <w:bCs/>
                <w:sz w:val="20"/>
                <w:szCs w:val="20"/>
              </w:rPr>
              <w:t>, Russell Torres</w:t>
            </w:r>
            <w:r w:rsidRPr="00962995">
              <w:rPr>
                <w:b/>
                <w:bCs/>
                <w:sz w:val="20"/>
                <w:szCs w:val="20"/>
              </w:rPr>
              <w:t xml:space="preserve"> (Energy Solutions)</w:t>
            </w:r>
          </w:p>
        </w:tc>
      </w:tr>
      <w:tr w:rsidR="009D148C" w:rsidRPr="00783DAC" w:rsidTr="00D32C45">
        <w:trPr>
          <w:trHeight w:val="1560"/>
        </w:trPr>
        <w:tc>
          <w:tcPr>
            <w:tcW w:w="808" w:type="pct"/>
            <w:tcBorders>
              <w:bottom w:val="single" w:sz="18" w:space="0" w:color="FFFFFF"/>
            </w:tcBorders>
            <w:shd w:val="pct5" w:color="000000" w:fill="FFFFFF"/>
          </w:tcPr>
          <w:p w:rsidR="009D148C" w:rsidRPr="0062416A" w:rsidRDefault="001A4E49" w:rsidP="008948E0">
            <w:r>
              <w:t>Revision 0</w:t>
            </w:r>
          </w:p>
        </w:tc>
        <w:tc>
          <w:tcPr>
            <w:tcW w:w="864" w:type="pct"/>
            <w:tcBorders>
              <w:bottom w:val="single" w:sz="18" w:space="0" w:color="FFFFFF"/>
            </w:tcBorders>
            <w:shd w:val="pct5" w:color="000000" w:fill="FFFFFF"/>
          </w:tcPr>
          <w:p w:rsidR="009D148C" w:rsidRPr="00435D78" w:rsidRDefault="001A4E49" w:rsidP="00C36E39">
            <w:pPr>
              <w:autoSpaceDE w:val="0"/>
              <w:autoSpaceDN w:val="0"/>
              <w:adjustRightInd w:val="0"/>
              <w:rPr>
                <w:sz w:val="20"/>
                <w:szCs w:val="20"/>
                <w:highlight w:val="yellow"/>
              </w:rPr>
            </w:pPr>
            <w:r w:rsidRPr="00F96796">
              <w:rPr>
                <w:sz w:val="20"/>
                <w:szCs w:val="20"/>
              </w:rPr>
              <w:t>8/28/2012</w:t>
            </w:r>
          </w:p>
        </w:tc>
        <w:tc>
          <w:tcPr>
            <w:tcW w:w="1664" w:type="pct"/>
            <w:tcBorders>
              <w:bottom w:val="single" w:sz="18" w:space="0" w:color="FFFFFF"/>
            </w:tcBorders>
            <w:shd w:val="pct5" w:color="000000" w:fill="FFFFFF"/>
          </w:tcPr>
          <w:p w:rsidR="009D148C" w:rsidRDefault="001A4E49" w:rsidP="008948E0">
            <w:pPr>
              <w:rPr>
                <w:b/>
                <w:bCs/>
                <w:sz w:val="20"/>
                <w:szCs w:val="20"/>
              </w:rPr>
            </w:pPr>
            <w:r w:rsidRPr="00962995">
              <w:rPr>
                <w:b/>
                <w:bCs/>
                <w:sz w:val="20"/>
                <w:szCs w:val="20"/>
              </w:rPr>
              <w:t xml:space="preserve">PGECOHVC142 Variable Refrigerant Flow </w:t>
            </w:r>
            <w:proofErr w:type="spellStart"/>
            <w:r w:rsidRPr="00962995">
              <w:rPr>
                <w:b/>
                <w:bCs/>
                <w:sz w:val="20"/>
                <w:szCs w:val="20"/>
              </w:rPr>
              <w:t>Nonres</w:t>
            </w:r>
            <w:proofErr w:type="spellEnd"/>
            <w:r w:rsidRPr="00962995">
              <w:rPr>
                <w:b/>
                <w:bCs/>
                <w:sz w:val="20"/>
                <w:szCs w:val="20"/>
              </w:rPr>
              <w:t xml:space="preserve"> R0</w:t>
            </w:r>
          </w:p>
          <w:p w:rsidR="001A4E49" w:rsidRDefault="001A4E49" w:rsidP="008948E0">
            <w:pPr>
              <w:rPr>
                <w:b/>
                <w:bCs/>
                <w:sz w:val="20"/>
                <w:szCs w:val="20"/>
              </w:rPr>
            </w:pPr>
          </w:p>
          <w:p w:rsidR="001A4E49" w:rsidRPr="001A4E49" w:rsidRDefault="001A4E49" w:rsidP="008948E0">
            <w:pPr>
              <w:rPr>
                <w:bCs/>
                <w:sz w:val="20"/>
                <w:szCs w:val="20"/>
              </w:rPr>
            </w:pPr>
            <w:r w:rsidRPr="001A4E49">
              <w:rPr>
                <w:bCs/>
                <w:sz w:val="20"/>
                <w:szCs w:val="20"/>
              </w:rPr>
              <w:t>Changed vintage and climate zone designations to ED standard, set GRRs to 1, added OTR explanation to AAG summary and Section 2,</w:t>
            </w:r>
          </w:p>
          <w:p w:rsidR="001A4E49" w:rsidRPr="00783DAC" w:rsidRDefault="001A4E49" w:rsidP="00F96796">
            <w:pPr>
              <w:rPr>
                <w:sz w:val="20"/>
                <w:szCs w:val="20"/>
              </w:rPr>
            </w:pPr>
            <w:r w:rsidRPr="001A4E49">
              <w:rPr>
                <w:bCs/>
                <w:sz w:val="20"/>
                <w:szCs w:val="20"/>
              </w:rPr>
              <w:t>Removed</w:t>
            </w:r>
            <w:r w:rsidR="00F96796">
              <w:rPr>
                <w:bCs/>
                <w:sz w:val="20"/>
                <w:szCs w:val="20"/>
              </w:rPr>
              <w:t xml:space="preserve"> all attachments, and changed date.</w:t>
            </w:r>
          </w:p>
        </w:tc>
        <w:tc>
          <w:tcPr>
            <w:tcW w:w="1664" w:type="pct"/>
            <w:tcBorders>
              <w:bottom w:val="single" w:sz="18" w:space="0" w:color="FFFFFF"/>
            </w:tcBorders>
            <w:shd w:val="pct5" w:color="000000" w:fill="FFFFFF"/>
          </w:tcPr>
          <w:p w:rsidR="009D148C" w:rsidRPr="00783DAC" w:rsidRDefault="001A4E49" w:rsidP="001A4E49">
            <w:pPr>
              <w:jc w:val="both"/>
              <w:rPr>
                <w:sz w:val="20"/>
                <w:szCs w:val="20"/>
              </w:rPr>
            </w:pPr>
            <w:r>
              <w:rPr>
                <w:sz w:val="20"/>
                <w:szCs w:val="20"/>
              </w:rPr>
              <w:t>Judith Jennings</w:t>
            </w:r>
          </w:p>
        </w:tc>
      </w:tr>
      <w:tr w:rsidR="00D32C45" w:rsidRPr="00783DAC" w:rsidTr="00D32C45">
        <w:trPr>
          <w:trHeight w:val="1560"/>
        </w:trPr>
        <w:tc>
          <w:tcPr>
            <w:tcW w:w="808" w:type="pct"/>
            <w:tcBorders>
              <w:top w:val="single" w:sz="18" w:space="0" w:color="FFFFFF"/>
              <w:bottom w:val="nil"/>
            </w:tcBorders>
            <w:shd w:val="pct20" w:color="000000" w:themeColor="text1" w:fill="FFFFFF" w:themeFill="background1"/>
          </w:tcPr>
          <w:p w:rsidR="00D32C45" w:rsidRDefault="00D32C45" w:rsidP="008948E0">
            <w:r>
              <w:t>Revision 1</w:t>
            </w:r>
          </w:p>
        </w:tc>
        <w:tc>
          <w:tcPr>
            <w:tcW w:w="864" w:type="pct"/>
            <w:tcBorders>
              <w:top w:val="single" w:sz="18" w:space="0" w:color="FFFFFF"/>
              <w:bottom w:val="nil"/>
            </w:tcBorders>
            <w:shd w:val="pct20" w:color="000000" w:themeColor="text1" w:fill="FFFFFF" w:themeFill="background1"/>
          </w:tcPr>
          <w:p w:rsidR="00D32C45" w:rsidRPr="00F96796" w:rsidRDefault="00D32C45" w:rsidP="00C36E39">
            <w:pPr>
              <w:autoSpaceDE w:val="0"/>
              <w:autoSpaceDN w:val="0"/>
              <w:adjustRightInd w:val="0"/>
              <w:rPr>
                <w:sz w:val="20"/>
                <w:szCs w:val="20"/>
              </w:rPr>
            </w:pPr>
            <w:r>
              <w:rPr>
                <w:sz w:val="20"/>
                <w:szCs w:val="20"/>
              </w:rPr>
              <w:t>1/1/2016</w:t>
            </w:r>
          </w:p>
        </w:tc>
        <w:tc>
          <w:tcPr>
            <w:tcW w:w="1664" w:type="pct"/>
            <w:tcBorders>
              <w:top w:val="single" w:sz="18" w:space="0" w:color="FFFFFF"/>
              <w:bottom w:val="nil"/>
            </w:tcBorders>
            <w:shd w:val="pct20" w:color="000000" w:themeColor="text1" w:fill="FFFFFF" w:themeFill="background1"/>
          </w:tcPr>
          <w:p w:rsidR="00D32C45" w:rsidRDefault="00D32C45" w:rsidP="008948E0">
            <w:pPr>
              <w:rPr>
                <w:b/>
                <w:bCs/>
                <w:sz w:val="20"/>
                <w:szCs w:val="20"/>
              </w:rPr>
            </w:pPr>
            <w:r w:rsidRPr="00962995">
              <w:rPr>
                <w:b/>
                <w:bCs/>
                <w:sz w:val="20"/>
                <w:szCs w:val="20"/>
              </w:rPr>
              <w:t>PGECOHVC142 Var</w:t>
            </w:r>
            <w:r>
              <w:rPr>
                <w:b/>
                <w:bCs/>
                <w:sz w:val="20"/>
                <w:szCs w:val="20"/>
              </w:rPr>
              <w:t xml:space="preserve">iable Refrigerant Flow </w:t>
            </w:r>
            <w:proofErr w:type="spellStart"/>
            <w:r>
              <w:rPr>
                <w:b/>
                <w:bCs/>
                <w:sz w:val="20"/>
                <w:szCs w:val="20"/>
              </w:rPr>
              <w:t>Nonres</w:t>
            </w:r>
            <w:proofErr w:type="spellEnd"/>
            <w:r>
              <w:rPr>
                <w:b/>
                <w:bCs/>
                <w:sz w:val="20"/>
                <w:szCs w:val="20"/>
              </w:rPr>
              <w:t xml:space="preserve"> R1</w:t>
            </w:r>
          </w:p>
          <w:p w:rsidR="00D32C45" w:rsidRDefault="00D32C45" w:rsidP="008948E0">
            <w:pPr>
              <w:rPr>
                <w:b/>
                <w:bCs/>
                <w:sz w:val="20"/>
                <w:szCs w:val="20"/>
              </w:rPr>
            </w:pPr>
          </w:p>
          <w:p w:rsidR="00D32C45" w:rsidRPr="00962995" w:rsidRDefault="00D32C45" w:rsidP="008948E0">
            <w:pPr>
              <w:rPr>
                <w:b/>
                <w:bCs/>
                <w:sz w:val="20"/>
                <w:szCs w:val="20"/>
              </w:rPr>
            </w:pPr>
            <w:r w:rsidRPr="00D32C45">
              <w:rPr>
                <w:bCs/>
                <w:sz w:val="20"/>
                <w:szCs w:val="20"/>
              </w:rPr>
              <w:t>Updated NTG to 0.75.</w:t>
            </w:r>
          </w:p>
        </w:tc>
        <w:tc>
          <w:tcPr>
            <w:tcW w:w="1664" w:type="pct"/>
            <w:tcBorders>
              <w:top w:val="single" w:sz="18" w:space="0" w:color="FFFFFF"/>
              <w:bottom w:val="nil"/>
            </w:tcBorders>
            <w:shd w:val="pct20" w:color="000000" w:themeColor="text1" w:fill="FFFFFF" w:themeFill="background1"/>
          </w:tcPr>
          <w:p w:rsidR="00D32C45" w:rsidRDefault="00D32C45" w:rsidP="001A4E49">
            <w:pPr>
              <w:jc w:val="both"/>
              <w:rPr>
                <w:sz w:val="20"/>
                <w:szCs w:val="20"/>
              </w:rPr>
            </w:pPr>
            <w:r>
              <w:rPr>
                <w:sz w:val="20"/>
                <w:szCs w:val="20"/>
              </w:rPr>
              <w:t>Henry Li</w:t>
            </w:r>
            <w:bookmarkStart w:id="9" w:name="_GoBack"/>
            <w:bookmarkEnd w:id="9"/>
            <w:r>
              <w:rPr>
                <w:sz w:val="20"/>
                <w:szCs w:val="20"/>
              </w:rPr>
              <w:t>u</w:t>
            </w:r>
          </w:p>
        </w:tc>
      </w:tr>
    </w:tbl>
    <w:p w:rsidR="009D148C" w:rsidRPr="00783DAC" w:rsidRDefault="009D148C" w:rsidP="00783DAC">
      <w:pPr>
        <w:rPr>
          <w:vanish/>
        </w:rPr>
      </w:pPr>
      <w:bookmarkStart w:id="10" w:name="_Toc186621650"/>
    </w:p>
    <w:p w:rsidR="009D148C" w:rsidRDefault="009D148C" w:rsidP="00F55847">
      <w:pPr>
        <w:pStyle w:val="Heading1"/>
      </w:pPr>
      <w:bookmarkStart w:id="11" w:name="_Toc304800197"/>
      <w:r w:rsidRPr="006832A4">
        <w:br w:type="page"/>
      </w:r>
      <w:bookmarkStart w:id="12" w:name="_Toc333929855"/>
      <w:r>
        <w:lastRenderedPageBreak/>
        <w:t>Table of Contents</w:t>
      </w:r>
      <w:bookmarkEnd w:id="10"/>
      <w:bookmarkEnd w:id="11"/>
      <w:bookmarkEnd w:id="12"/>
    </w:p>
    <w:p w:rsidR="008550E1" w:rsidRDefault="009D148C">
      <w:pPr>
        <w:pStyle w:val="TOC1"/>
        <w:rPr>
          <w:rFonts w:asciiTheme="minorHAnsi" w:eastAsiaTheme="minorEastAsia" w:hAnsiTheme="minorHAnsi" w:cstheme="minorBidi"/>
          <w:b w:val="0"/>
          <w:bCs w:val="0"/>
          <w:noProof/>
          <w:sz w:val="22"/>
          <w:szCs w:val="22"/>
        </w:rPr>
      </w:pPr>
      <w:r w:rsidRPr="006C5A83">
        <w:rPr>
          <w:rFonts w:ascii="Arial" w:hAnsi="Arial" w:cs="Arial"/>
          <w:sz w:val="22"/>
          <w:szCs w:val="22"/>
        </w:rPr>
        <w:fldChar w:fldCharType="begin"/>
      </w:r>
      <w:r w:rsidRPr="006C5A83">
        <w:rPr>
          <w:rFonts w:ascii="Arial" w:hAnsi="Arial" w:cs="Arial"/>
          <w:sz w:val="22"/>
          <w:szCs w:val="22"/>
        </w:rPr>
        <w:instrText xml:space="preserve"> TOC \o "1-3" \h \z \u </w:instrText>
      </w:r>
      <w:r w:rsidRPr="006C5A83">
        <w:rPr>
          <w:rFonts w:ascii="Arial" w:hAnsi="Arial" w:cs="Arial"/>
          <w:sz w:val="22"/>
          <w:szCs w:val="22"/>
        </w:rPr>
        <w:fldChar w:fldCharType="separate"/>
      </w:r>
      <w:hyperlink w:anchor="_Toc333929852" w:history="1">
        <w:r w:rsidR="008550E1" w:rsidRPr="00C266F9">
          <w:rPr>
            <w:rStyle w:val="Hyperlink"/>
            <w:noProof/>
          </w:rPr>
          <w:t>At-a-Glance Summary</w:t>
        </w:r>
        <w:r w:rsidR="008550E1">
          <w:rPr>
            <w:noProof/>
            <w:webHidden/>
          </w:rPr>
          <w:tab/>
        </w:r>
        <w:r w:rsidR="008550E1">
          <w:rPr>
            <w:noProof/>
            <w:webHidden/>
          </w:rPr>
          <w:fldChar w:fldCharType="begin"/>
        </w:r>
        <w:r w:rsidR="008550E1">
          <w:rPr>
            <w:noProof/>
            <w:webHidden/>
          </w:rPr>
          <w:instrText xml:space="preserve"> PAGEREF _Toc333929852 \h </w:instrText>
        </w:r>
        <w:r w:rsidR="008550E1">
          <w:rPr>
            <w:noProof/>
            <w:webHidden/>
          </w:rPr>
        </w:r>
        <w:r w:rsidR="008550E1">
          <w:rPr>
            <w:noProof/>
            <w:webHidden/>
          </w:rPr>
          <w:fldChar w:fldCharType="separate"/>
        </w:r>
        <w:r w:rsidR="008550E1">
          <w:rPr>
            <w:noProof/>
            <w:webHidden/>
          </w:rPr>
          <w:t>ii</w:t>
        </w:r>
        <w:r w:rsidR="008550E1">
          <w:rPr>
            <w:noProof/>
            <w:webHidden/>
          </w:rPr>
          <w:fldChar w:fldCharType="end"/>
        </w:r>
      </w:hyperlink>
    </w:p>
    <w:p w:rsidR="008550E1" w:rsidRDefault="00751C93">
      <w:pPr>
        <w:pStyle w:val="TOC1"/>
        <w:rPr>
          <w:rFonts w:asciiTheme="minorHAnsi" w:eastAsiaTheme="minorEastAsia" w:hAnsiTheme="minorHAnsi" w:cstheme="minorBidi"/>
          <w:b w:val="0"/>
          <w:bCs w:val="0"/>
          <w:noProof/>
          <w:sz w:val="22"/>
          <w:szCs w:val="22"/>
        </w:rPr>
      </w:pPr>
      <w:hyperlink w:anchor="_Toc333929853" w:history="1">
        <w:r w:rsidR="008550E1" w:rsidRPr="00C266F9">
          <w:rPr>
            <w:rStyle w:val="Hyperlink"/>
            <w:noProof/>
          </w:rPr>
          <w:t>Work Paper Approvals</w:t>
        </w:r>
        <w:r w:rsidR="008550E1">
          <w:rPr>
            <w:noProof/>
            <w:webHidden/>
          </w:rPr>
          <w:tab/>
        </w:r>
        <w:r w:rsidR="008550E1">
          <w:rPr>
            <w:noProof/>
            <w:webHidden/>
          </w:rPr>
          <w:fldChar w:fldCharType="begin"/>
        </w:r>
        <w:r w:rsidR="008550E1">
          <w:rPr>
            <w:noProof/>
            <w:webHidden/>
          </w:rPr>
          <w:instrText xml:space="preserve"> PAGEREF _Toc333929853 \h </w:instrText>
        </w:r>
        <w:r w:rsidR="008550E1">
          <w:rPr>
            <w:noProof/>
            <w:webHidden/>
          </w:rPr>
        </w:r>
        <w:r w:rsidR="008550E1">
          <w:rPr>
            <w:noProof/>
            <w:webHidden/>
          </w:rPr>
          <w:fldChar w:fldCharType="separate"/>
        </w:r>
        <w:r w:rsidR="008550E1">
          <w:rPr>
            <w:noProof/>
            <w:webHidden/>
          </w:rPr>
          <w:t>iv</w:t>
        </w:r>
        <w:r w:rsidR="008550E1">
          <w:rPr>
            <w:noProof/>
            <w:webHidden/>
          </w:rPr>
          <w:fldChar w:fldCharType="end"/>
        </w:r>
      </w:hyperlink>
    </w:p>
    <w:p w:rsidR="008550E1" w:rsidRDefault="00751C93">
      <w:pPr>
        <w:pStyle w:val="TOC1"/>
        <w:rPr>
          <w:rFonts w:asciiTheme="minorHAnsi" w:eastAsiaTheme="minorEastAsia" w:hAnsiTheme="minorHAnsi" w:cstheme="minorBidi"/>
          <w:b w:val="0"/>
          <w:bCs w:val="0"/>
          <w:noProof/>
          <w:sz w:val="22"/>
          <w:szCs w:val="22"/>
        </w:rPr>
      </w:pPr>
      <w:hyperlink w:anchor="_Toc333929854" w:history="1">
        <w:r w:rsidR="008550E1" w:rsidRPr="00C266F9">
          <w:rPr>
            <w:rStyle w:val="Hyperlink"/>
            <w:noProof/>
          </w:rPr>
          <w:t>Document Revision History</w:t>
        </w:r>
        <w:r w:rsidR="008550E1">
          <w:rPr>
            <w:noProof/>
            <w:webHidden/>
          </w:rPr>
          <w:tab/>
        </w:r>
        <w:r w:rsidR="008550E1">
          <w:rPr>
            <w:noProof/>
            <w:webHidden/>
          </w:rPr>
          <w:fldChar w:fldCharType="begin"/>
        </w:r>
        <w:r w:rsidR="008550E1">
          <w:rPr>
            <w:noProof/>
            <w:webHidden/>
          </w:rPr>
          <w:instrText xml:space="preserve"> PAGEREF _Toc333929854 \h </w:instrText>
        </w:r>
        <w:r w:rsidR="008550E1">
          <w:rPr>
            <w:noProof/>
            <w:webHidden/>
          </w:rPr>
        </w:r>
        <w:r w:rsidR="008550E1">
          <w:rPr>
            <w:noProof/>
            <w:webHidden/>
          </w:rPr>
          <w:fldChar w:fldCharType="separate"/>
        </w:r>
        <w:r w:rsidR="008550E1">
          <w:rPr>
            <w:noProof/>
            <w:webHidden/>
          </w:rPr>
          <w:t>v</w:t>
        </w:r>
        <w:r w:rsidR="008550E1">
          <w:rPr>
            <w:noProof/>
            <w:webHidden/>
          </w:rPr>
          <w:fldChar w:fldCharType="end"/>
        </w:r>
      </w:hyperlink>
    </w:p>
    <w:p w:rsidR="008550E1" w:rsidRDefault="00751C93">
      <w:pPr>
        <w:pStyle w:val="TOC1"/>
        <w:rPr>
          <w:rFonts w:asciiTheme="minorHAnsi" w:eastAsiaTheme="minorEastAsia" w:hAnsiTheme="minorHAnsi" w:cstheme="minorBidi"/>
          <w:b w:val="0"/>
          <w:bCs w:val="0"/>
          <w:noProof/>
          <w:sz w:val="22"/>
          <w:szCs w:val="22"/>
        </w:rPr>
      </w:pPr>
      <w:hyperlink w:anchor="_Toc333929855" w:history="1">
        <w:r w:rsidR="008550E1" w:rsidRPr="00C266F9">
          <w:rPr>
            <w:rStyle w:val="Hyperlink"/>
            <w:noProof/>
          </w:rPr>
          <w:t>Table of Contents</w:t>
        </w:r>
        <w:r w:rsidR="008550E1">
          <w:rPr>
            <w:noProof/>
            <w:webHidden/>
          </w:rPr>
          <w:tab/>
        </w:r>
        <w:r w:rsidR="008550E1">
          <w:rPr>
            <w:noProof/>
            <w:webHidden/>
          </w:rPr>
          <w:fldChar w:fldCharType="begin"/>
        </w:r>
        <w:r w:rsidR="008550E1">
          <w:rPr>
            <w:noProof/>
            <w:webHidden/>
          </w:rPr>
          <w:instrText xml:space="preserve"> PAGEREF _Toc333929855 \h </w:instrText>
        </w:r>
        <w:r w:rsidR="008550E1">
          <w:rPr>
            <w:noProof/>
            <w:webHidden/>
          </w:rPr>
        </w:r>
        <w:r w:rsidR="008550E1">
          <w:rPr>
            <w:noProof/>
            <w:webHidden/>
          </w:rPr>
          <w:fldChar w:fldCharType="separate"/>
        </w:r>
        <w:r w:rsidR="008550E1">
          <w:rPr>
            <w:noProof/>
            <w:webHidden/>
          </w:rPr>
          <w:t>vi</w:t>
        </w:r>
        <w:r w:rsidR="008550E1">
          <w:rPr>
            <w:noProof/>
            <w:webHidden/>
          </w:rPr>
          <w:fldChar w:fldCharType="end"/>
        </w:r>
      </w:hyperlink>
    </w:p>
    <w:p w:rsidR="008550E1" w:rsidRDefault="00751C93">
      <w:pPr>
        <w:pStyle w:val="TOC1"/>
        <w:rPr>
          <w:rFonts w:asciiTheme="minorHAnsi" w:eastAsiaTheme="minorEastAsia" w:hAnsiTheme="minorHAnsi" w:cstheme="minorBidi"/>
          <w:b w:val="0"/>
          <w:bCs w:val="0"/>
          <w:noProof/>
          <w:sz w:val="22"/>
          <w:szCs w:val="22"/>
        </w:rPr>
      </w:pPr>
      <w:hyperlink w:anchor="_Toc333929856" w:history="1">
        <w:r w:rsidR="008550E1" w:rsidRPr="00C266F9">
          <w:rPr>
            <w:rStyle w:val="Hyperlink"/>
            <w:noProof/>
          </w:rPr>
          <w:t>List of Tables</w:t>
        </w:r>
        <w:r w:rsidR="008550E1">
          <w:rPr>
            <w:noProof/>
            <w:webHidden/>
          </w:rPr>
          <w:tab/>
        </w:r>
        <w:r w:rsidR="008550E1">
          <w:rPr>
            <w:noProof/>
            <w:webHidden/>
          </w:rPr>
          <w:fldChar w:fldCharType="begin"/>
        </w:r>
        <w:r w:rsidR="008550E1">
          <w:rPr>
            <w:noProof/>
            <w:webHidden/>
          </w:rPr>
          <w:instrText xml:space="preserve"> PAGEREF _Toc333929856 \h </w:instrText>
        </w:r>
        <w:r w:rsidR="008550E1">
          <w:rPr>
            <w:noProof/>
            <w:webHidden/>
          </w:rPr>
        </w:r>
        <w:r w:rsidR="008550E1">
          <w:rPr>
            <w:noProof/>
            <w:webHidden/>
          </w:rPr>
          <w:fldChar w:fldCharType="separate"/>
        </w:r>
        <w:r w:rsidR="008550E1">
          <w:rPr>
            <w:noProof/>
            <w:webHidden/>
          </w:rPr>
          <w:t>vii</w:t>
        </w:r>
        <w:r w:rsidR="008550E1">
          <w:rPr>
            <w:noProof/>
            <w:webHidden/>
          </w:rPr>
          <w:fldChar w:fldCharType="end"/>
        </w:r>
      </w:hyperlink>
    </w:p>
    <w:p w:rsidR="008550E1" w:rsidRDefault="00751C93">
      <w:pPr>
        <w:pStyle w:val="TOC1"/>
        <w:rPr>
          <w:rFonts w:asciiTheme="minorHAnsi" w:eastAsiaTheme="minorEastAsia" w:hAnsiTheme="minorHAnsi" w:cstheme="minorBidi"/>
          <w:b w:val="0"/>
          <w:bCs w:val="0"/>
          <w:noProof/>
          <w:sz w:val="22"/>
          <w:szCs w:val="22"/>
        </w:rPr>
      </w:pPr>
      <w:hyperlink w:anchor="_Toc333929857" w:history="1">
        <w:r w:rsidR="008550E1" w:rsidRPr="00C266F9">
          <w:rPr>
            <w:rStyle w:val="Hyperlink"/>
            <w:noProof/>
          </w:rPr>
          <w:t>Section 1. General Measure &amp; Baseline Data</w:t>
        </w:r>
        <w:r w:rsidR="008550E1">
          <w:rPr>
            <w:noProof/>
            <w:webHidden/>
          </w:rPr>
          <w:tab/>
        </w:r>
        <w:r w:rsidR="008550E1">
          <w:rPr>
            <w:noProof/>
            <w:webHidden/>
          </w:rPr>
          <w:fldChar w:fldCharType="begin"/>
        </w:r>
        <w:r w:rsidR="008550E1">
          <w:rPr>
            <w:noProof/>
            <w:webHidden/>
          </w:rPr>
          <w:instrText xml:space="preserve"> PAGEREF _Toc333929857 \h </w:instrText>
        </w:r>
        <w:r w:rsidR="008550E1">
          <w:rPr>
            <w:noProof/>
            <w:webHidden/>
          </w:rPr>
        </w:r>
        <w:r w:rsidR="008550E1">
          <w:rPr>
            <w:noProof/>
            <w:webHidden/>
          </w:rPr>
          <w:fldChar w:fldCharType="separate"/>
        </w:r>
        <w:r w:rsidR="008550E1">
          <w:rPr>
            <w:noProof/>
            <w:webHidden/>
          </w:rPr>
          <w:t>8</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58" w:history="1">
        <w:r w:rsidR="008550E1" w:rsidRPr="00C266F9">
          <w:rPr>
            <w:rStyle w:val="Hyperlink"/>
            <w:noProof/>
          </w:rPr>
          <w:t>1.1 Product Measure Description &amp; Background</w:t>
        </w:r>
        <w:r w:rsidR="008550E1">
          <w:rPr>
            <w:noProof/>
            <w:webHidden/>
          </w:rPr>
          <w:tab/>
        </w:r>
        <w:r w:rsidR="008550E1">
          <w:rPr>
            <w:noProof/>
            <w:webHidden/>
          </w:rPr>
          <w:fldChar w:fldCharType="begin"/>
        </w:r>
        <w:r w:rsidR="008550E1">
          <w:rPr>
            <w:noProof/>
            <w:webHidden/>
          </w:rPr>
          <w:instrText xml:space="preserve"> PAGEREF _Toc333929858 \h </w:instrText>
        </w:r>
        <w:r w:rsidR="008550E1">
          <w:rPr>
            <w:noProof/>
            <w:webHidden/>
          </w:rPr>
        </w:r>
        <w:r w:rsidR="008550E1">
          <w:rPr>
            <w:noProof/>
            <w:webHidden/>
          </w:rPr>
          <w:fldChar w:fldCharType="separate"/>
        </w:r>
        <w:r w:rsidR="008550E1">
          <w:rPr>
            <w:noProof/>
            <w:webHidden/>
          </w:rPr>
          <w:t>8</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59" w:history="1">
        <w:r w:rsidR="008550E1" w:rsidRPr="00C266F9">
          <w:rPr>
            <w:rStyle w:val="Hyperlink"/>
            <w:noProof/>
          </w:rPr>
          <w:t>1.2 Product Technical Description</w:t>
        </w:r>
        <w:r w:rsidR="008550E1">
          <w:rPr>
            <w:noProof/>
            <w:webHidden/>
          </w:rPr>
          <w:tab/>
        </w:r>
        <w:r w:rsidR="008550E1">
          <w:rPr>
            <w:noProof/>
            <w:webHidden/>
          </w:rPr>
          <w:fldChar w:fldCharType="begin"/>
        </w:r>
        <w:r w:rsidR="008550E1">
          <w:rPr>
            <w:noProof/>
            <w:webHidden/>
          </w:rPr>
          <w:instrText xml:space="preserve"> PAGEREF _Toc333929859 \h </w:instrText>
        </w:r>
        <w:r w:rsidR="008550E1">
          <w:rPr>
            <w:noProof/>
            <w:webHidden/>
          </w:rPr>
        </w:r>
        <w:r w:rsidR="008550E1">
          <w:rPr>
            <w:noProof/>
            <w:webHidden/>
          </w:rPr>
          <w:fldChar w:fldCharType="separate"/>
        </w:r>
        <w:r w:rsidR="008550E1">
          <w:rPr>
            <w:noProof/>
            <w:webHidden/>
          </w:rPr>
          <w:t>8</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60" w:history="1">
        <w:r w:rsidR="008550E1" w:rsidRPr="00C266F9">
          <w:rPr>
            <w:rStyle w:val="Hyperlink"/>
            <w:noProof/>
          </w:rPr>
          <w:t>1.3 Transaction Types</w:t>
        </w:r>
        <w:r w:rsidR="008550E1">
          <w:rPr>
            <w:noProof/>
            <w:webHidden/>
          </w:rPr>
          <w:tab/>
        </w:r>
        <w:r w:rsidR="008550E1">
          <w:rPr>
            <w:noProof/>
            <w:webHidden/>
          </w:rPr>
          <w:fldChar w:fldCharType="begin"/>
        </w:r>
        <w:r w:rsidR="008550E1">
          <w:rPr>
            <w:noProof/>
            <w:webHidden/>
          </w:rPr>
          <w:instrText xml:space="preserve"> PAGEREF _Toc333929860 \h </w:instrText>
        </w:r>
        <w:r w:rsidR="008550E1">
          <w:rPr>
            <w:noProof/>
            <w:webHidden/>
          </w:rPr>
        </w:r>
        <w:r w:rsidR="008550E1">
          <w:rPr>
            <w:noProof/>
            <w:webHidden/>
          </w:rPr>
          <w:fldChar w:fldCharType="separate"/>
        </w:r>
        <w:r w:rsidR="008550E1">
          <w:rPr>
            <w:noProof/>
            <w:webHidden/>
          </w:rPr>
          <w:t>8</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61" w:history="1">
        <w:r w:rsidR="008550E1" w:rsidRPr="00C266F9">
          <w:rPr>
            <w:rStyle w:val="Hyperlink"/>
            <w:noProof/>
          </w:rPr>
          <w:t>1.4 Product Base Case and Measure Case Data</w:t>
        </w:r>
        <w:r w:rsidR="008550E1">
          <w:rPr>
            <w:noProof/>
            <w:webHidden/>
          </w:rPr>
          <w:tab/>
        </w:r>
        <w:r w:rsidR="008550E1">
          <w:rPr>
            <w:noProof/>
            <w:webHidden/>
          </w:rPr>
          <w:fldChar w:fldCharType="begin"/>
        </w:r>
        <w:r w:rsidR="008550E1">
          <w:rPr>
            <w:noProof/>
            <w:webHidden/>
          </w:rPr>
          <w:instrText xml:space="preserve"> PAGEREF _Toc333929861 \h </w:instrText>
        </w:r>
        <w:r w:rsidR="008550E1">
          <w:rPr>
            <w:noProof/>
            <w:webHidden/>
          </w:rPr>
        </w:r>
        <w:r w:rsidR="008550E1">
          <w:rPr>
            <w:noProof/>
            <w:webHidden/>
          </w:rPr>
          <w:fldChar w:fldCharType="separate"/>
        </w:r>
        <w:r w:rsidR="008550E1">
          <w:rPr>
            <w:noProof/>
            <w:webHidden/>
          </w:rPr>
          <w:t>9</w:t>
        </w:r>
        <w:r w:rsidR="008550E1">
          <w:rPr>
            <w:noProof/>
            <w:webHidden/>
          </w:rPr>
          <w:fldChar w:fldCharType="end"/>
        </w:r>
      </w:hyperlink>
    </w:p>
    <w:p w:rsidR="008550E1" w:rsidRDefault="00751C93">
      <w:pPr>
        <w:pStyle w:val="TOC3"/>
        <w:tabs>
          <w:tab w:val="right" w:leader="dot" w:pos="9350"/>
        </w:tabs>
        <w:rPr>
          <w:rFonts w:asciiTheme="minorHAnsi" w:eastAsiaTheme="minorEastAsia" w:hAnsiTheme="minorHAnsi" w:cstheme="minorBidi"/>
          <w:noProof/>
          <w:sz w:val="22"/>
          <w:szCs w:val="22"/>
        </w:rPr>
      </w:pPr>
      <w:hyperlink w:anchor="_Toc333929862" w:history="1">
        <w:r w:rsidR="008550E1" w:rsidRPr="00C266F9">
          <w:rPr>
            <w:rStyle w:val="Hyperlink"/>
            <w:noProof/>
          </w:rPr>
          <w:t>1.4.1 DEER Base Case and Measure Case Information</w:t>
        </w:r>
        <w:r w:rsidR="008550E1">
          <w:rPr>
            <w:noProof/>
            <w:webHidden/>
          </w:rPr>
          <w:tab/>
        </w:r>
        <w:r w:rsidR="008550E1">
          <w:rPr>
            <w:noProof/>
            <w:webHidden/>
          </w:rPr>
          <w:fldChar w:fldCharType="begin"/>
        </w:r>
        <w:r w:rsidR="008550E1">
          <w:rPr>
            <w:noProof/>
            <w:webHidden/>
          </w:rPr>
          <w:instrText xml:space="preserve"> PAGEREF _Toc333929862 \h </w:instrText>
        </w:r>
        <w:r w:rsidR="008550E1">
          <w:rPr>
            <w:noProof/>
            <w:webHidden/>
          </w:rPr>
        </w:r>
        <w:r w:rsidR="008550E1">
          <w:rPr>
            <w:noProof/>
            <w:webHidden/>
          </w:rPr>
          <w:fldChar w:fldCharType="separate"/>
        </w:r>
        <w:r w:rsidR="008550E1">
          <w:rPr>
            <w:noProof/>
            <w:webHidden/>
          </w:rPr>
          <w:t>9</w:t>
        </w:r>
        <w:r w:rsidR="008550E1">
          <w:rPr>
            <w:noProof/>
            <w:webHidden/>
          </w:rPr>
          <w:fldChar w:fldCharType="end"/>
        </w:r>
      </w:hyperlink>
    </w:p>
    <w:p w:rsidR="008550E1" w:rsidRDefault="00751C93">
      <w:pPr>
        <w:pStyle w:val="TOC3"/>
        <w:tabs>
          <w:tab w:val="right" w:leader="dot" w:pos="9350"/>
        </w:tabs>
        <w:rPr>
          <w:rFonts w:asciiTheme="minorHAnsi" w:eastAsiaTheme="minorEastAsia" w:hAnsiTheme="minorHAnsi" w:cstheme="minorBidi"/>
          <w:noProof/>
          <w:sz w:val="22"/>
          <w:szCs w:val="22"/>
        </w:rPr>
      </w:pPr>
      <w:hyperlink w:anchor="_Toc333929863" w:history="1">
        <w:r w:rsidR="008550E1" w:rsidRPr="00C266F9">
          <w:rPr>
            <w:rStyle w:val="Hyperlink"/>
            <w:noProof/>
          </w:rPr>
          <w:t>1.4.2 Codes &amp; Standards Requirements Base Case and Measure Information</w:t>
        </w:r>
        <w:r w:rsidR="008550E1">
          <w:rPr>
            <w:noProof/>
            <w:webHidden/>
          </w:rPr>
          <w:tab/>
        </w:r>
        <w:r w:rsidR="008550E1">
          <w:rPr>
            <w:noProof/>
            <w:webHidden/>
          </w:rPr>
          <w:fldChar w:fldCharType="begin"/>
        </w:r>
        <w:r w:rsidR="008550E1">
          <w:rPr>
            <w:noProof/>
            <w:webHidden/>
          </w:rPr>
          <w:instrText xml:space="preserve"> PAGEREF _Toc333929863 \h </w:instrText>
        </w:r>
        <w:r w:rsidR="008550E1">
          <w:rPr>
            <w:noProof/>
            <w:webHidden/>
          </w:rPr>
        </w:r>
        <w:r w:rsidR="008550E1">
          <w:rPr>
            <w:noProof/>
            <w:webHidden/>
          </w:rPr>
          <w:fldChar w:fldCharType="separate"/>
        </w:r>
        <w:r w:rsidR="008550E1">
          <w:rPr>
            <w:noProof/>
            <w:webHidden/>
          </w:rPr>
          <w:t>10</w:t>
        </w:r>
        <w:r w:rsidR="008550E1">
          <w:rPr>
            <w:noProof/>
            <w:webHidden/>
          </w:rPr>
          <w:fldChar w:fldCharType="end"/>
        </w:r>
      </w:hyperlink>
    </w:p>
    <w:p w:rsidR="008550E1" w:rsidRDefault="00751C93">
      <w:pPr>
        <w:pStyle w:val="TOC3"/>
        <w:tabs>
          <w:tab w:val="right" w:leader="dot" w:pos="9350"/>
        </w:tabs>
        <w:rPr>
          <w:rFonts w:asciiTheme="minorHAnsi" w:eastAsiaTheme="minorEastAsia" w:hAnsiTheme="minorHAnsi" w:cstheme="minorBidi"/>
          <w:noProof/>
          <w:sz w:val="22"/>
          <w:szCs w:val="22"/>
        </w:rPr>
      </w:pPr>
      <w:hyperlink w:anchor="_Toc333929864" w:history="1">
        <w:r w:rsidR="008550E1" w:rsidRPr="00C266F9">
          <w:rPr>
            <w:rStyle w:val="Hyperlink"/>
            <w:noProof/>
          </w:rPr>
          <w:t>1.4.3 EM&amp;V, Market Potential, and Other Studies – Base Case and Measure Case Information</w:t>
        </w:r>
        <w:r w:rsidR="008550E1">
          <w:rPr>
            <w:noProof/>
            <w:webHidden/>
          </w:rPr>
          <w:tab/>
        </w:r>
        <w:r w:rsidR="008550E1">
          <w:rPr>
            <w:noProof/>
            <w:webHidden/>
          </w:rPr>
          <w:fldChar w:fldCharType="begin"/>
        </w:r>
        <w:r w:rsidR="008550E1">
          <w:rPr>
            <w:noProof/>
            <w:webHidden/>
          </w:rPr>
          <w:instrText xml:space="preserve"> PAGEREF _Toc333929864 \h </w:instrText>
        </w:r>
        <w:r w:rsidR="008550E1">
          <w:rPr>
            <w:noProof/>
            <w:webHidden/>
          </w:rPr>
        </w:r>
        <w:r w:rsidR="008550E1">
          <w:rPr>
            <w:noProof/>
            <w:webHidden/>
          </w:rPr>
          <w:fldChar w:fldCharType="separate"/>
        </w:r>
        <w:r w:rsidR="008550E1">
          <w:rPr>
            <w:noProof/>
            <w:webHidden/>
          </w:rPr>
          <w:t>12</w:t>
        </w:r>
        <w:r w:rsidR="008550E1">
          <w:rPr>
            <w:noProof/>
            <w:webHidden/>
          </w:rPr>
          <w:fldChar w:fldCharType="end"/>
        </w:r>
      </w:hyperlink>
    </w:p>
    <w:p w:rsidR="008550E1" w:rsidRDefault="00751C93">
      <w:pPr>
        <w:pStyle w:val="TOC3"/>
        <w:tabs>
          <w:tab w:val="right" w:leader="dot" w:pos="9350"/>
        </w:tabs>
        <w:rPr>
          <w:rFonts w:asciiTheme="minorHAnsi" w:eastAsiaTheme="minorEastAsia" w:hAnsiTheme="minorHAnsi" w:cstheme="minorBidi"/>
          <w:noProof/>
          <w:sz w:val="22"/>
          <w:szCs w:val="22"/>
        </w:rPr>
      </w:pPr>
      <w:hyperlink w:anchor="_Toc333929865" w:history="1">
        <w:r w:rsidR="008550E1" w:rsidRPr="00C266F9">
          <w:rPr>
            <w:rStyle w:val="Hyperlink"/>
            <w:noProof/>
          </w:rPr>
          <w:t>1.4.5 Time-of-Use Adjustment Factor</w:t>
        </w:r>
        <w:r w:rsidR="008550E1">
          <w:rPr>
            <w:noProof/>
            <w:webHidden/>
          </w:rPr>
          <w:tab/>
        </w:r>
        <w:r w:rsidR="008550E1">
          <w:rPr>
            <w:noProof/>
            <w:webHidden/>
          </w:rPr>
          <w:fldChar w:fldCharType="begin"/>
        </w:r>
        <w:r w:rsidR="008550E1">
          <w:rPr>
            <w:noProof/>
            <w:webHidden/>
          </w:rPr>
          <w:instrText xml:space="preserve"> PAGEREF _Toc333929865 \h </w:instrText>
        </w:r>
        <w:r w:rsidR="008550E1">
          <w:rPr>
            <w:noProof/>
            <w:webHidden/>
          </w:rPr>
        </w:r>
        <w:r w:rsidR="008550E1">
          <w:rPr>
            <w:noProof/>
            <w:webHidden/>
          </w:rPr>
          <w:fldChar w:fldCharType="separate"/>
        </w:r>
        <w:r w:rsidR="008550E1">
          <w:rPr>
            <w:noProof/>
            <w:webHidden/>
          </w:rPr>
          <w:t>12</w:t>
        </w:r>
        <w:r w:rsidR="008550E1">
          <w:rPr>
            <w:noProof/>
            <w:webHidden/>
          </w:rPr>
          <w:fldChar w:fldCharType="end"/>
        </w:r>
      </w:hyperlink>
    </w:p>
    <w:p w:rsidR="008550E1" w:rsidRDefault="00751C93">
      <w:pPr>
        <w:pStyle w:val="TOC1"/>
        <w:rPr>
          <w:rFonts w:asciiTheme="minorHAnsi" w:eastAsiaTheme="minorEastAsia" w:hAnsiTheme="minorHAnsi" w:cstheme="minorBidi"/>
          <w:b w:val="0"/>
          <w:bCs w:val="0"/>
          <w:noProof/>
          <w:sz w:val="22"/>
          <w:szCs w:val="22"/>
        </w:rPr>
      </w:pPr>
      <w:hyperlink w:anchor="_Toc333929866" w:history="1">
        <w:r w:rsidR="008550E1" w:rsidRPr="00C266F9">
          <w:rPr>
            <w:rStyle w:val="Hyperlink"/>
            <w:noProof/>
          </w:rPr>
          <w:t>Section 2. Calculation Methods</w:t>
        </w:r>
        <w:r w:rsidR="008550E1">
          <w:rPr>
            <w:noProof/>
            <w:webHidden/>
          </w:rPr>
          <w:tab/>
        </w:r>
        <w:r w:rsidR="008550E1">
          <w:rPr>
            <w:noProof/>
            <w:webHidden/>
          </w:rPr>
          <w:fldChar w:fldCharType="begin"/>
        </w:r>
        <w:r w:rsidR="008550E1">
          <w:rPr>
            <w:noProof/>
            <w:webHidden/>
          </w:rPr>
          <w:instrText xml:space="preserve"> PAGEREF _Toc333929866 \h </w:instrText>
        </w:r>
        <w:r w:rsidR="008550E1">
          <w:rPr>
            <w:noProof/>
            <w:webHidden/>
          </w:rPr>
        </w:r>
        <w:r w:rsidR="008550E1">
          <w:rPr>
            <w:noProof/>
            <w:webHidden/>
          </w:rPr>
          <w:fldChar w:fldCharType="separate"/>
        </w:r>
        <w:r w:rsidR="008550E1">
          <w:rPr>
            <w:noProof/>
            <w:webHidden/>
          </w:rPr>
          <w:t>13</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67" w:history="1">
        <w:r w:rsidR="008550E1" w:rsidRPr="00C266F9">
          <w:rPr>
            <w:rStyle w:val="Hyperlink"/>
            <w:noProof/>
          </w:rPr>
          <w:t>2.1 Electric Energy Savings Estimation Methodologies</w:t>
        </w:r>
        <w:r w:rsidR="008550E1">
          <w:rPr>
            <w:noProof/>
            <w:webHidden/>
          </w:rPr>
          <w:tab/>
        </w:r>
        <w:r w:rsidR="008550E1">
          <w:rPr>
            <w:noProof/>
            <w:webHidden/>
          </w:rPr>
          <w:fldChar w:fldCharType="begin"/>
        </w:r>
        <w:r w:rsidR="008550E1">
          <w:rPr>
            <w:noProof/>
            <w:webHidden/>
          </w:rPr>
          <w:instrText xml:space="preserve"> PAGEREF _Toc333929867 \h </w:instrText>
        </w:r>
        <w:r w:rsidR="008550E1">
          <w:rPr>
            <w:noProof/>
            <w:webHidden/>
          </w:rPr>
        </w:r>
        <w:r w:rsidR="008550E1">
          <w:rPr>
            <w:noProof/>
            <w:webHidden/>
          </w:rPr>
          <w:fldChar w:fldCharType="separate"/>
        </w:r>
        <w:r w:rsidR="008550E1">
          <w:rPr>
            <w:noProof/>
            <w:webHidden/>
          </w:rPr>
          <w:t>13</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68" w:history="1">
        <w:r w:rsidR="008550E1" w:rsidRPr="00C266F9">
          <w:rPr>
            <w:rStyle w:val="Hyperlink"/>
            <w:noProof/>
          </w:rPr>
          <w:t>2.2. Demand Reduction Estimation Methodologies</w:t>
        </w:r>
        <w:r w:rsidR="008550E1">
          <w:rPr>
            <w:noProof/>
            <w:webHidden/>
          </w:rPr>
          <w:tab/>
        </w:r>
        <w:r w:rsidR="008550E1">
          <w:rPr>
            <w:noProof/>
            <w:webHidden/>
          </w:rPr>
          <w:fldChar w:fldCharType="begin"/>
        </w:r>
        <w:r w:rsidR="008550E1">
          <w:rPr>
            <w:noProof/>
            <w:webHidden/>
          </w:rPr>
          <w:instrText xml:space="preserve"> PAGEREF _Toc333929868 \h </w:instrText>
        </w:r>
        <w:r w:rsidR="008550E1">
          <w:rPr>
            <w:noProof/>
            <w:webHidden/>
          </w:rPr>
        </w:r>
        <w:r w:rsidR="008550E1">
          <w:rPr>
            <w:noProof/>
            <w:webHidden/>
          </w:rPr>
          <w:fldChar w:fldCharType="separate"/>
        </w:r>
        <w:r w:rsidR="008550E1">
          <w:rPr>
            <w:noProof/>
            <w:webHidden/>
          </w:rPr>
          <w:t>14</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69" w:history="1">
        <w:r w:rsidR="008550E1" w:rsidRPr="00C266F9">
          <w:rPr>
            <w:rStyle w:val="Hyperlink"/>
            <w:noProof/>
          </w:rPr>
          <w:t>2.3. Gas Energy Savings Estimation Methodologies</w:t>
        </w:r>
        <w:r w:rsidR="008550E1">
          <w:rPr>
            <w:noProof/>
            <w:webHidden/>
          </w:rPr>
          <w:tab/>
        </w:r>
        <w:r w:rsidR="008550E1">
          <w:rPr>
            <w:noProof/>
            <w:webHidden/>
          </w:rPr>
          <w:fldChar w:fldCharType="begin"/>
        </w:r>
        <w:r w:rsidR="008550E1">
          <w:rPr>
            <w:noProof/>
            <w:webHidden/>
          </w:rPr>
          <w:instrText xml:space="preserve"> PAGEREF _Toc333929869 \h </w:instrText>
        </w:r>
        <w:r w:rsidR="008550E1">
          <w:rPr>
            <w:noProof/>
            <w:webHidden/>
          </w:rPr>
        </w:r>
        <w:r w:rsidR="008550E1">
          <w:rPr>
            <w:noProof/>
            <w:webHidden/>
          </w:rPr>
          <w:fldChar w:fldCharType="separate"/>
        </w:r>
        <w:r w:rsidR="008550E1">
          <w:rPr>
            <w:noProof/>
            <w:webHidden/>
          </w:rPr>
          <w:t>15</w:t>
        </w:r>
        <w:r w:rsidR="008550E1">
          <w:rPr>
            <w:noProof/>
            <w:webHidden/>
          </w:rPr>
          <w:fldChar w:fldCharType="end"/>
        </w:r>
      </w:hyperlink>
    </w:p>
    <w:p w:rsidR="008550E1" w:rsidRDefault="00751C93">
      <w:pPr>
        <w:pStyle w:val="TOC1"/>
        <w:rPr>
          <w:rFonts w:asciiTheme="minorHAnsi" w:eastAsiaTheme="minorEastAsia" w:hAnsiTheme="minorHAnsi" w:cstheme="minorBidi"/>
          <w:b w:val="0"/>
          <w:bCs w:val="0"/>
          <w:noProof/>
          <w:sz w:val="22"/>
          <w:szCs w:val="22"/>
        </w:rPr>
      </w:pPr>
      <w:hyperlink w:anchor="_Toc333929870" w:history="1">
        <w:r w:rsidR="008550E1" w:rsidRPr="00C266F9">
          <w:rPr>
            <w:rStyle w:val="Hyperlink"/>
            <w:noProof/>
          </w:rPr>
          <w:t>Section 3. Load Shapes</w:t>
        </w:r>
        <w:r w:rsidR="008550E1">
          <w:rPr>
            <w:noProof/>
            <w:webHidden/>
          </w:rPr>
          <w:tab/>
        </w:r>
        <w:r w:rsidR="008550E1">
          <w:rPr>
            <w:noProof/>
            <w:webHidden/>
          </w:rPr>
          <w:fldChar w:fldCharType="begin"/>
        </w:r>
        <w:r w:rsidR="008550E1">
          <w:rPr>
            <w:noProof/>
            <w:webHidden/>
          </w:rPr>
          <w:instrText xml:space="preserve"> PAGEREF _Toc333929870 \h </w:instrText>
        </w:r>
        <w:r w:rsidR="008550E1">
          <w:rPr>
            <w:noProof/>
            <w:webHidden/>
          </w:rPr>
        </w:r>
        <w:r w:rsidR="008550E1">
          <w:rPr>
            <w:noProof/>
            <w:webHidden/>
          </w:rPr>
          <w:fldChar w:fldCharType="separate"/>
        </w:r>
        <w:r w:rsidR="008550E1">
          <w:rPr>
            <w:noProof/>
            <w:webHidden/>
          </w:rPr>
          <w:t>15</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71" w:history="1">
        <w:r w:rsidR="008550E1" w:rsidRPr="00C266F9">
          <w:rPr>
            <w:rStyle w:val="Hyperlink"/>
            <w:noProof/>
          </w:rPr>
          <w:t>3.1 Base Case Load Shapes</w:t>
        </w:r>
        <w:r w:rsidR="008550E1">
          <w:rPr>
            <w:noProof/>
            <w:webHidden/>
          </w:rPr>
          <w:tab/>
        </w:r>
        <w:r w:rsidR="008550E1">
          <w:rPr>
            <w:noProof/>
            <w:webHidden/>
          </w:rPr>
          <w:fldChar w:fldCharType="begin"/>
        </w:r>
        <w:r w:rsidR="008550E1">
          <w:rPr>
            <w:noProof/>
            <w:webHidden/>
          </w:rPr>
          <w:instrText xml:space="preserve"> PAGEREF _Toc333929871 \h </w:instrText>
        </w:r>
        <w:r w:rsidR="008550E1">
          <w:rPr>
            <w:noProof/>
            <w:webHidden/>
          </w:rPr>
        </w:r>
        <w:r w:rsidR="008550E1">
          <w:rPr>
            <w:noProof/>
            <w:webHidden/>
          </w:rPr>
          <w:fldChar w:fldCharType="separate"/>
        </w:r>
        <w:r w:rsidR="008550E1">
          <w:rPr>
            <w:noProof/>
            <w:webHidden/>
          </w:rPr>
          <w:t>15</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72" w:history="1">
        <w:r w:rsidR="008550E1" w:rsidRPr="00C266F9">
          <w:rPr>
            <w:rStyle w:val="Hyperlink"/>
            <w:noProof/>
          </w:rPr>
          <w:t>3.2 Measure Load Shapes</w:t>
        </w:r>
        <w:r w:rsidR="008550E1">
          <w:rPr>
            <w:noProof/>
            <w:webHidden/>
          </w:rPr>
          <w:tab/>
        </w:r>
        <w:r w:rsidR="008550E1">
          <w:rPr>
            <w:noProof/>
            <w:webHidden/>
          </w:rPr>
          <w:fldChar w:fldCharType="begin"/>
        </w:r>
        <w:r w:rsidR="008550E1">
          <w:rPr>
            <w:noProof/>
            <w:webHidden/>
          </w:rPr>
          <w:instrText xml:space="preserve"> PAGEREF _Toc333929872 \h </w:instrText>
        </w:r>
        <w:r w:rsidR="008550E1">
          <w:rPr>
            <w:noProof/>
            <w:webHidden/>
          </w:rPr>
        </w:r>
        <w:r w:rsidR="008550E1">
          <w:rPr>
            <w:noProof/>
            <w:webHidden/>
          </w:rPr>
          <w:fldChar w:fldCharType="separate"/>
        </w:r>
        <w:r w:rsidR="008550E1">
          <w:rPr>
            <w:noProof/>
            <w:webHidden/>
          </w:rPr>
          <w:t>15</w:t>
        </w:r>
        <w:r w:rsidR="008550E1">
          <w:rPr>
            <w:noProof/>
            <w:webHidden/>
          </w:rPr>
          <w:fldChar w:fldCharType="end"/>
        </w:r>
      </w:hyperlink>
    </w:p>
    <w:p w:rsidR="008550E1" w:rsidRDefault="00751C93">
      <w:pPr>
        <w:pStyle w:val="TOC1"/>
        <w:rPr>
          <w:rFonts w:asciiTheme="minorHAnsi" w:eastAsiaTheme="minorEastAsia" w:hAnsiTheme="minorHAnsi" w:cstheme="minorBidi"/>
          <w:b w:val="0"/>
          <w:bCs w:val="0"/>
          <w:noProof/>
          <w:sz w:val="22"/>
          <w:szCs w:val="22"/>
        </w:rPr>
      </w:pPr>
      <w:hyperlink w:anchor="_Toc333929873" w:history="1">
        <w:r w:rsidR="008550E1" w:rsidRPr="00C266F9">
          <w:rPr>
            <w:rStyle w:val="Hyperlink"/>
            <w:noProof/>
          </w:rPr>
          <w:t>Section 4. Base Case &amp; Measure Costs</w:t>
        </w:r>
        <w:r w:rsidR="008550E1">
          <w:rPr>
            <w:noProof/>
            <w:webHidden/>
          </w:rPr>
          <w:tab/>
        </w:r>
        <w:r w:rsidR="008550E1">
          <w:rPr>
            <w:noProof/>
            <w:webHidden/>
          </w:rPr>
          <w:fldChar w:fldCharType="begin"/>
        </w:r>
        <w:r w:rsidR="008550E1">
          <w:rPr>
            <w:noProof/>
            <w:webHidden/>
          </w:rPr>
          <w:instrText xml:space="preserve"> PAGEREF _Toc333929873 \h </w:instrText>
        </w:r>
        <w:r w:rsidR="008550E1">
          <w:rPr>
            <w:noProof/>
            <w:webHidden/>
          </w:rPr>
        </w:r>
        <w:r w:rsidR="008550E1">
          <w:rPr>
            <w:noProof/>
            <w:webHidden/>
          </w:rPr>
          <w:fldChar w:fldCharType="separate"/>
        </w:r>
        <w:r w:rsidR="008550E1">
          <w:rPr>
            <w:noProof/>
            <w:webHidden/>
          </w:rPr>
          <w:t>15</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74" w:history="1">
        <w:r w:rsidR="008550E1" w:rsidRPr="00C266F9">
          <w:rPr>
            <w:rStyle w:val="Hyperlink"/>
            <w:noProof/>
          </w:rPr>
          <w:t>4.1 Base Case(s) Costs</w:t>
        </w:r>
        <w:r w:rsidR="008550E1">
          <w:rPr>
            <w:noProof/>
            <w:webHidden/>
          </w:rPr>
          <w:tab/>
        </w:r>
        <w:r w:rsidR="008550E1">
          <w:rPr>
            <w:noProof/>
            <w:webHidden/>
          </w:rPr>
          <w:fldChar w:fldCharType="begin"/>
        </w:r>
        <w:r w:rsidR="008550E1">
          <w:rPr>
            <w:noProof/>
            <w:webHidden/>
          </w:rPr>
          <w:instrText xml:space="preserve"> PAGEREF _Toc333929874 \h </w:instrText>
        </w:r>
        <w:r w:rsidR="008550E1">
          <w:rPr>
            <w:noProof/>
            <w:webHidden/>
          </w:rPr>
        </w:r>
        <w:r w:rsidR="008550E1">
          <w:rPr>
            <w:noProof/>
            <w:webHidden/>
          </w:rPr>
          <w:fldChar w:fldCharType="separate"/>
        </w:r>
        <w:r w:rsidR="008550E1">
          <w:rPr>
            <w:noProof/>
            <w:webHidden/>
          </w:rPr>
          <w:t>15</w:t>
        </w:r>
        <w:r w:rsidR="008550E1">
          <w:rPr>
            <w:noProof/>
            <w:webHidden/>
          </w:rPr>
          <w:fldChar w:fldCharType="end"/>
        </w:r>
      </w:hyperlink>
    </w:p>
    <w:p w:rsidR="008550E1" w:rsidRDefault="00751C93">
      <w:pPr>
        <w:pStyle w:val="TOC2"/>
        <w:tabs>
          <w:tab w:val="right" w:leader="dot" w:pos="9350"/>
        </w:tabs>
        <w:rPr>
          <w:rFonts w:asciiTheme="minorHAnsi" w:eastAsiaTheme="minorEastAsia" w:hAnsiTheme="minorHAnsi" w:cstheme="minorBidi"/>
          <w:i w:val="0"/>
          <w:iCs w:val="0"/>
          <w:noProof/>
          <w:sz w:val="22"/>
          <w:szCs w:val="22"/>
        </w:rPr>
      </w:pPr>
      <w:hyperlink w:anchor="_Toc333929875" w:history="1">
        <w:r w:rsidR="008550E1" w:rsidRPr="00C266F9">
          <w:rPr>
            <w:rStyle w:val="Hyperlink"/>
            <w:noProof/>
          </w:rPr>
          <w:t>4.2 Incremental &amp; Full Measure Costs</w:t>
        </w:r>
        <w:r w:rsidR="008550E1">
          <w:rPr>
            <w:noProof/>
            <w:webHidden/>
          </w:rPr>
          <w:tab/>
        </w:r>
        <w:r w:rsidR="008550E1">
          <w:rPr>
            <w:noProof/>
            <w:webHidden/>
          </w:rPr>
          <w:fldChar w:fldCharType="begin"/>
        </w:r>
        <w:r w:rsidR="008550E1">
          <w:rPr>
            <w:noProof/>
            <w:webHidden/>
          </w:rPr>
          <w:instrText xml:space="preserve"> PAGEREF _Toc333929875 \h </w:instrText>
        </w:r>
        <w:r w:rsidR="008550E1">
          <w:rPr>
            <w:noProof/>
            <w:webHidden/>
          </w:rPr>
        </w:r>
        <w:r w:rsidR="008550E1">
          <w:rPr>
            <w:noProof/>
            <w:webHidden/>
          </w:rPr>
          <w:fldChar w:fldCharType="separate"/>
        </w:r>
        <w:r w:rsidR="008550E1">
          <w:rPr>
            <w:noProof/>
            <w:webHidden/>
          </w:rPr>
          <w:t>16</w:t>
        </w:r>
        <w:r w:rsidR="008550E1">
          <w:rPr>
            <w:noProof/>
            <w:webHidden/>
          </w:rPr>
          <w:fldChar w:fldCharType="end"/>
        </w:r>
      </w:hyperlink>
    </w:p>
    <w:p w:rsidR="008550E1" w:rsidRDefault="00751C93">
      <w:pPr>
        <w:pStyle w:val="TOC3"/>
        <w:tabs>
          <w:tab w:val="right" w:leader="dot" w:pos="9350"/>
        </w:tabs>
        <w:rPr>
          <w:rFonts w:asciiTheme="minorHAnsi" w:eastAsiaTheme="minorEastAsia" w:hAnsiTheme="minorHAnsi" w:cstheme="minorBidi"/>
          <w:noProof/>
          <w:sz w:val="22"/>
          <w:szCs w:val="22"/>
        </w:rPr>
      </w:pPr>
      <w:hyperlink w:anchor="_Toc333929876" w:history="1">
        <w:r w:rsidR="008550E1" w:rsidRPr="00C266F9">
          <w:rPr>
            <w:rStyle w:val="Hyperlink"/>
            <w:noProof/>
          </w:rPr>
          <w:t>4.2.1 Full (or Gross) Measure Cost</w:t>
        </w:r>
        <w:r w:rsidR="008550E1">
          <w:rPr>
            <w:noProof/>
            <w:webHidden/>
          </w:rPr>
          <w:tab/>
        </w:r>
        <w:r w:rsidR="008550E1">
          <w:rPr>
            <w:noProof/>
            <w:webHidden/>
          </w:rPr>
          <w:fldChar w:fldCharType="begin"/>
        </w:r>
        <w:r w:rsidR="008550E1">
          <w:rPr>
            <w:noProof/>
            <w:webHidden/>
          </w:rPr>
          <w:instrText xml:space="preserve"> PAGEREF _Toc333929876 \h </w:instrText>
        </w:r>
        <w:r w:rsidR="008550E1">
          <w:rPr>
            <w:noProof/>
            <w:webHidden/>
          </w:rPr>
        </w:r>
        <w:r w:rsidR="008550E1">
          <w:rPr>
            <w:noProof/>
            <w:webHidden/>
          </w:rPr>
          <w:fldChar w:fldCharType="separate"/>
        </w:r>
        <w:r w:rsidR="008550E1">
          <w:rPr>
            <w:noProof/>
            <w:webHidden/>
          </w:rPr>
          <w:t>16</w:t>
        </w:r>
        <w:r w:rsidR="008550E1">
          <w:rPr>
            <w:noProof/>
            <w:webHidden/>
          </w:rPr>
          <w:fldChar w:fldCharType="end"/>
        </w:r>
      </w:hyperlink>
    </w:p>
    <w:p w:rsidR="008550E1" w:rsidRDefault="00751C93">
      <w:pPr>
        <w:pStyle w:val="TOC3"/>
        <w:tabs>
          <w:tab w:val="right" w:leader="dot" w:pos="9350"/>
        </w:tabs>
        <w:rPr>
          <w:rFonts w:asciiTheme="minorHAnsi" w:eastAsiaTheme="minorEastAsia" w:hAnsiTheme="minorHAnsi" w:cstheme="minorBidi"/>
          <w:noProof/>
          <w:sz w:val="22"/>
          <w:szCs w:val="22"/>
        </w:rPr>
      </w:pPr>
      <w:hyperlink w:anchor="_Toc333929877" w:history="1">
        <w:r w:rsidR="008550E1" w:rsidRPr="00C266F9">
          <w:rPr>
            <w:rStyle w:val="Hyperlink"/>
            <w:noProof/>
          </w:rPr>
          <w:t>4.2.2 Incremental Measure Costs</w:t>
        </w:r>
        <w:r w:rsidR="008550E1">
          <w:rPr>
            <w:noProof/>
            <w:webHidden/>
          </w:rPr>
          <w:tab/>
        </w:r>
        <w:r w:rsidR="008550E1">
          <w:rPr>
            <w:noProof/>
            <w:webHidden/>
          </w:rPr>
          <w:fldChar w:fldCharType="begin"/>
        </w:r>
        <w:r w:rsidR="008550E1">
          <w:rPr>
            <w:noProof/>
            <w:webHidden/>
          </w:rPr>
          <w:instrText xml:space="preserve"> PAGEREF _Toc333929877 \h </w:instrText>
        </w:r>
        <w:r w:rsidR="008550E1">
          <w:rPr>
            <w:noProof/>
            <w:webHidden/>
          </w:rPr>
        </w:r>
        <w:r w:rsidR="008550E1">
          <w:rPr>
            <w:noProof/>
            <w:webHidden/>
          </w:rPr>
          <w:fldChar w:fldCharType="separate"/>
        </w:r>
        <w:r w:rsidR="008550E1">
          <w:rPr>
            <w:noProof/>
            <w:webHidden/>
          </w:rPr>
          <w:t>16</w:t>
        </w:r>
        <w:r w:rsidR="008550E1">
          <w:rPr>
            <w:noProof/>
            <w:webHidden/>
          </w:rPr>
          <w:fldChar w:fldCharType="end"/>
        </w:r>
      </w:hyperlink>
    </w:p>
    <w:p w:rsidR="008550E1" w:rsidRDefault="00751C93">
      <w:pPr>
        <w:pStyle w:val="TOC1"/>
        <w:rPr>
          <w:rFonts w:asciiTheme="minorHAnsi" w:eastAsiaTheme="minorEastAsia" w:hAnsiTheme="minorHAnsi" w:cstheme="minorBidi"/>
          <w:b w:val="0"/>
          <w:bCs w:val="0"/>
          <w:noProof/>
          <w:sz w:val="22"/>
          <w:szCs w:val="22"/>
        </w:rPr>
      </w:pPr>
      <w:hyperlink w:anchor="_Toc333929878" w:history="1">
        <w:r w:rsidR="008550E1" w:rsidRPr="00C266F9">
          <w:rPr>
            <w:rStyle w:val="Hyperlink"/>
            <w:noProof/>
          </w:rPr>
          <w:t>References</w:t>
        </w:r>
        <w:r w:rsidR="008550E1">
          <w:rPr>
            <w:noProof/>
            <w:webHidden/>
          </w:rPr>
          <w:tab/>
        </w:r>
        <w:r w:rsidR="008550E1">
          <w:rPr>
            <w:noProof/>
            <w:webHidden/>
          </w:rPr>
          <w:fldChar w:fldCharType="begin"/>
        </w:r>
        <w:r w:rsidR="008550E1">
          <w:rPr>
            <w:noProof/>
            <w:webHidden/>
          </w:rPr>
          <w:instrText xml:space="preserve"> PAGEREF _Toc333929878 \h </w:instrText>
        </w:r>
        <w:r w:rsidR="008550E1">
          <w:rPr>
            <w:noProof/>
            <w:webHidden/>
          </w:rPr>
        </w:r>
        <w:r w:rsidR="008550E1">
          <w:rPr>
            <w:noProof/>
            <w:webHidden/>
          </w:rPr>
          <w:fldChar w:fldCharType="separate"/>
        </w:r>
        <w:r w:rsidR="008550E1">
          <w:rPr>
            <w:noProof/>
            <w:webHidden/>
          </w:rPr>
          <w:t>17</w:t>
        </w:r>
        <w:r w:rsidR="008550E1">
          <w:rPr>
            <w:noProof/>
            <w:webHidden/>
          </w:rPr>
          <w:fldChar w:fldCharType="end"/>
        </w:r>
      </w:hyperlink>
    </w:p>
    <w:p w:rsidR="009D148C" w:rsidRDefault="009D148C" w:rsidP="007E6A9B">
      <w:pPr>
        <w:pStyle w:val="Heading1"/>
        <w:spacing w:before="0" w:after="0"/>
      </w:pPr>
      <w:r w:rsidRPr="006C5A83">
        <w:rPr>
          <w:sz w:val="22"/>
          <w:szCs w:val="22"/>
        </w:rPr>
        <w:fldChar w:fldCharType="end"/>
      </w:r>
      <w:r>
        <w:br w:type="page"/>
      </w:r>
      <w:bookmarkStart w:id="13" w:name="_Toc172205729"/>
      <w:bookmarkStart w:id="14" w:name="_Toc333929856"/>
      <w:r>
        <w:lastRenderedPageBreak/>
        <w:t>List of Tables</w:t>
      </w:r>
      <w:bookmarkEnd w:id="13"/>
      <w:bookmarkEnd w:id="14"/>
    </w:p>
    <w:p w:rsidR="009D148C" w:rsidRPr="00C41969" w:rsidRDefault="009D148C">
      <w:pPr>
        <w:pStyle w:val="TableofFigures"/>
        <w:tabs>
          <w:tab w:val="right" w:leader="dot" w:pos="9350"/>
        </w:tabs>
        <w:rPr>
          <w:b w:val="0"/>
          <w:bCs w:val="0"/>
          <w:noProof/>
          <w:sz w:val="22"/>
          <w:szCs w:val="22"/>
        </w:rPr>
      </w:pPr>
      <w:r w:rsidRPr="00972450">
        <w:fldChar w:fldCharType="begin"/>
      </w:r>
      <w:r w:rsidRPr="00972450">
        <w:instrText xml:space="preserve"> TOC \c "Table" </w:instrText>
      </w:r>
      <w:r w:rsidRPr="00972450">
        <w:fldChar w:fldCharType="separate"/>
      </w:r>
      <w:r w:rsidRPr="001F7E04">
        <w:rPr>
          <w:rFonts w:ascii="Arial" w:hAnsi="Arial" w:cs="Arial"/>
          <w:noProof/>
        </w:rPr>
        <w:t>Table 1  Net-to-Gross Ratios</w:t>
      </w:r>
      <w:r>
        <w:rPr>
          <w:noProof/>
        </w:rPr>
        <w:tab/>
      </w:r>
      <w:r>
        <w:rPr>
          <w:noProof/>
        </w:rPr>
        <w:fldChar w:fldCharType="begin"/>
      </w:r>
      <w:r>
        <w:rPr>
          <w:noProof/>
        </w:rPr>
        <w:instrText xml:space="preserve"> PAGEREF _Toc323027331 \h </w:instrText>
      </w:r>
      <w:r>
        <w:rPr>
          <w:noProof/>
        </w:rPr>
      </w:r>
      <w:r>
        <w:rPr>
          <w:noProof/>
        </w:rPr>
        <w:fldChar w:fldCharType="separate"/>
      </w:r>
      <w:r w:rsidR="008550E1">
        <w:rPr>
          <w:noProof/>
        </w:rPr>
        <w:t>10</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2 Efficiency Requirements for AC and HP Equipment</w:t>
      </w:r>
      <w:r>
        <w:rPr>
          <w:noProof/>
        </w:rPr>
        <w:tab/>
      </w:r>
      <w:r>
        <w:rPr>
          <w:noProof/>
        </w:rPr>
        <w:fldChar w:fldCharType="begin"/>
      </w:r>
      <w:r>
        <w:rPr>
          <w:noProof/>
        </w:rPr>
        <w:instrText xml:space="preserve"> PAGEREF _Toc323027332 \h </w:instrText>
      </w:r>
      <w:r>
        <w:rPr>
          <w:noProof/>
        </w:rPr>
      </w:r>
      <w:r>
        <w:rPr>
          <w:noProof/>
        </w:rPr>
        <w:fldChar w:fldCharType="separate"/>
      </w:r>
      <w:r w:rsidR="008550E1">
        <w:rPr>
          <w:noProof/>
        </w:rPr>
        <w:t>10</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3 Minimum 2008 Title 24 Efficiencies for Packaged</w:t>
      </w:r>
      <w:r>
        <w:rPr>
          <w:noProof/>
        </w:rPr>
        <w:tab/>
      </w:r>
      <w:r>
        <w:rPr>
          <w:noProof/>
        </w:rPr>
        <w:fldChar w:fldCharType="begin"/>
      </w:r>
      <w:r>
        <w:rPr>
          <w:noProof/>
        </w:rPr>
        <w:instrText xml:space="preserve"> PAGEREF _Toc323027333 \h </w:instrText>
      </w:r>
      <w:r>
        <w:rPr>
          <w:noProof/>
        </w:rPr>
      </w:r>
      <w:r>
        <w:rPr>
          <w:noProof/>
        </w:rPr>
        <w:fldChar w:fldCharType="separate"/>
      </w:r>
      <w:r w:rsidR="008550E1">
        <w:rPr>
          <w:noProof/>
        </w:rPr>
        <w:t>11</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4 Minimum 2008 Title 24 Efficiencies for Packaged Heat Pumps.</w:t>
      </w:r>
      <w:r>
        <w:rPr>
          <w:noProof/>
        </w:rPr>
        <w:tab/>
      </w:r>
      <w:r>
        <w:rPr>
          <w:noProof/>
        </w:rPr>
        <w:fldChar w:fldCharType="begin"/>
      </w:r>
      <w:r>
        <w:rPr>
          <w:noProof/>
        </w:rPr>
        <w:instrText xml:space="preserve"> PAGEREF _Toc323027334 \h </w:instrText>
      </w:r>
      <w:r>
        <w:rPr>
          <w:noProof/>
        </w:rPr>
      </w:r>
      <w:r>
        <w:rPr>
          <w:noProof/>
        </w:rPr>
        <w:fldChar w:fldCharType="separate"/>
      </w:r>
      <w:r w:rsidR="008550E1">
        <w:rPr>
          <w:noProof/>
        </w:rPr>
        <w:t>11</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5 DEER 2011 Hours of Operation</w:t>
      </w:r>
      <w:r>
        <w:rPr>
          <w:noProof/>
        </w:rPr>
        <w:tab/>
      </w:r>
      <w:r>
        <w:rPr>
          <w:noProof/>
        </w:rPr>
        <w:fldChar w:fldCharType="begin"/>
      </w:r>
      <w:r>
        <w:rPr>
          <w:noProof/>
        </w:rPr>
        <w:instrText xml:space="preserve"> PAGEREF _Toc323027335 \h </w:instrText>
      </w:r>
      <w:r>
        <w:rPr>
          <w:noProof/>
        </w:rPr>
      </w:r>
      <w:r>
        <w:rPr>
          <w:noProof/>
        </w:rPr>
        <w:fldChar w:fldCharType="separate"/>
      </w:r>
      <w:r w:rsidR="008550E1">
        <w:rPr>
          <w:noProof/>
        </w:rPr>
        <w:t>11</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6 Base Case and Measure Case Costs Per Ton</w:t>
      </w:r>
      <w:r>
        <w:rPr>
          <w:noProof/>
        </w:rPr>
        <w:tab/>
      </w:r>
      <w:r>
        <w:rPr>
          <w:noProof/>
        </w:rPr>
        <w:fldChar w:fldCharType="begin"/>
      </w:r>
      <w:r>
        <w:rPr>
          <w:noProof/>
        </w:rPr>
        <w:instrText xml:space="preserve"> PAGEREF _Toc323027336 \h </w:instrText>
      </w:r>
      <w:r>
        <w:rPr>
          <w:noProof/>
        </w:rPr>
      </w:r>
      <w:r>
        <w:rPr>
          <w:noProof/>
        </w:rPr>
        <w:fldChar w:fldCharType="separate"/>
      </w:r>
      <w:r w:rsidR="008550E1">
        <w:rPr>
          <w:noProof/>
        </w:rPr>
        <w:t>12</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7 Effective Useful Life</w:t>
      </w:r>
      <w:r>
        <w:rPr>
          <w:noProof/>
        </w:rPr>
        <w:tab/>
      </w:r>
      <w:r>
        <w:rPr>
          <w:noProof/>
        </w:rPr>
        <w:fldChar w:fldCharType="begin"/>
      </w:r>
      <w:r>
        <w:rPr>
          <w:noProof/>
        </w:rPr>
        <w:instrText xml:space="preserve"> PAGEREF _Toc323027337 \h </w:instrText>
      </w:r>
      <w:r>
        <w:rPr>
          <w:noProof/>
        </w:rPr>
      </w:r>
      <w:r>
        <w:rPr>
          <w:noProof/>
        </w:rPr>
        <w:fldChar w:fldCharType="separate"/>
      </w:r>
      <w:r w:rsidR="008550E1">
        <w:rPr>
          <w:noProof/>
        </w:rPr>
        <w:t>12</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8 Small Office VRF Heat Pump vs. Single Zone Packaged AC</w:t>
      </w:r>
      <w:r>
        <w:rPr>
          <w:noProof/>
        </w:rPr>
        <w:tab/>
      </w:r>
      <w:r>
        <w:rPr>
          <w:noProof/>
        </w:rPr>
        <w:fldChar w:fldCharType="begin"/>
      </w:r>
      <w:r>
        <w:rPr>
          <w:noProof/>
        </w:rPr>
        <w:instrText xml:space="preserve"> PAGEREF _Toc323027338 \h </w:instrText>
      </w:r>
      <w:r>
        <w:rPr>
          <w:noProof/>
        </w:rPr>
      </w:r>
      <w:r>
        <w:rPr>
          <w:noProof/>
        </w:rPr>
        <w:fldChar w:fldCharType="separate"/>
      </w:r>
      <w:r w:rsidR="008550E1">
        <w:rPr>
          <w:noProof/>
        </w:rPr>
        <w:t>14</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9</w:t>
      </w:r>
      <w:r w:rsidRPr="001F7E04">
        <w:rPr>
          <w:rFonts w:ascii="Arial" w:hAnsi="Arial" w:cs="Arial"/>
          <w:i/>
          <w:iCs/>
          <w:noProof/>
        </w:rPr>
        <w:t xml:space="preserve"> </w:t>
      </w:r>
      <w:r w:rsidRPr="001F7E04">
        <w:rPr>
          <w:rFonts w:ascii="Arial" w:hAnsi="Arial" w:cs="Arial"/>
          <w:noProof/>
        </w:rPr>
        <w:t>Small Office VRF Heat Recovery vs Single Zone Packaged AC</w:t>
      </w:r>
      <w:r>
        <w:rPr>
          <w:noProof/>
        </w:rPr>
        <w:tab/>
      </w:r>
      <w:r>
        <w:rPr>
          <w:noProof/>
        </w:rPr>
        <w:fldChar w:fldCharType="begin"/>
      </w:r>
      <w:r>
        <w:rPr>
          <w:noProof/>
        </w:rPr>
        <w:instrText xml:space="preserve"> PAGEREF _Toc323027339 \h </w:instrText>
      </w:r>
      <w:r>
        <w:rPr>
          <w:noProof/>
        </w:rPr>
      </w:r>
      <w:r>
        <w:rPr>
          <w:noProof/>
        </w:rPr>
        <w:fldChar w:fldCharType="separate"/>
      </w:r>
      <w:r w:rsidR="008550E1">
        <w:rPr>
          <w:noProof/>
        </w:rPr>
        <w:t>14</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10 Target Sectors and Load Shapes</w:t>
      </w:r>
      <w:r>
        <w:rPr>
          <w:noProof/>
        </w:rPr>
        <w:tab/>
      </w:r>
      <w:r>
        <w:rPr>
          <w:noProof/>
        </w:rPr>
        <w:fldChar w:fldCharType="begin"/>
      </w:r>
      <w:r>
        <w:rPr>
          <w:noProof/>
        </w:rPr>
        <w:instrText xml:space="preserve"> PAGEREF _Toc323027340 \h </w:instrText>
      </w:r>
      <w:r>
        <w:rPr>
          <w:noProof/>
        </w:rPr>
      </w:r>
      <w:r>
        <w:rPr>
          <w:noProof/>
        </w:rPr>
        <w:fldChar w:fldCharType="separate"/>
      </w:r>
      <w:r w:rsidR="008550E1">
        <w:rPr>
          <w:noProof/>
        </w:rPr>
        <w:t>15</w:t>
      </w:r>
      <w:r>
        <w:rPr>
          <w:noProof/>
        </w:rPr>
        <w:fldChar w:fldCharType="end"/>
      </w:r>
    </w:p>
    <w:p w:rsidR="009D148C" w:rsidRPr="00C41969" w:rsidRDefault="009D148C">
      <w:pPr>
        <w:pStyle w:val="TableofFigures"/>
        <w:tabs>
          <w:tab w:val="right" w:leader="dot" w:pos="9350"/>
        </w:tabs>
        <w:rPr>
          <w:b w:val="0"/>
          <w:bCs w:val="0"/>
          <w:noProof/>
          <w:sz w:val="22"/>
          <w:szCs w:val="22"/>
        </w:rPr>
      </w:pPr>
      <w:r w:rsidRPr="001F7E04">
        <w:rPr>
          <w:rFonts w:ascii="Arial" w:hAnsi="Arial" w:cs="Arial"/>
          <w:noProof/>
        </w:rPr>
        <w:t>Table 11  Sample Base Case Costs</w:t>
      </w:r>
      <w:r>
        <w:rPr>
          <w:noProof/>
        </w:rPr>
        <w:tab/>
      </w:r>
      <w:r>
        <w:rPr>
          <w:noProof/>
        </w:rPr>
        <w:fldChar w:fldCharType="begin"/>
      </w:r>
      <w:r>
        <w:rPr>
          <w:noProof/>
        </w:rPr>
        <w:instrText xml:space="preserve"> PAGEREF _Toc323027341 \h </w:instrText>
      </w:r>
      <w:r>
        <w:rPr>
          <w:noProof/>
        </w:rPr>
      </w:r>
      <w:r>
        <w:rPr>
          <w:noProof/>
        </w:rPr>
        <w:fldChar w:fldCharType="separate"/>
      </w:r>
      <w:r w:rsidR="008550E1">
        <w:rPr>
          <w:noProof/>
        </w:rPr>
        <w:t>16</w:t>
      </w:r>
      <w:r>
        <w:rPr>
          <w:noProof/>
        </w:rPr>
        <w:fldChar w:fldCharType="end"/>
      </w:r>
    </w:p>
    <w:p w:rsidR="009D148C" w:rsidRDefault="009D148C" w:rsidP="005A1F9D">
      <w:r w:rsidRPr="00972450">
        <w:fldChar w:fldCharType="end"/>
      </w:r>
      <w:r w:rsidRPr="005A1F9D">
        <w:t xml:space="preserve"> </w:t>
      </w:r>
    </w:p>
    <w:p w:rsidR="009D148C" w:rsidRPr="001B23D7" w:rsidRDefault="009D148C" w:rsidP="006C5A83">
      <w:pPr>
        <w:pStyle w:val="Heading1"/>
        <w:sectPr w:rsidR="009D148C" w:rsidRPr="001B23D7" w:rsidSect="00057B32">
          <w:endnotePr>
            <w:numFmt w:val="decimal"/>
          </w:endnotePr>
          <w:pgSz w:w="12240" w:h="15840" w:code="1"/>
          <w:pgMar w:top="1440" w:right="1440" w:bottom="1440" w:left="1440" w:header="720" w:footer="720" w:gutter="0"/>
          <w:pgNumType w:fmt="lowerRoman"/>
          <w:cols w:space="720"/>
          <w:docGrid w:linePitch="360"/>
        </w:sectPr>
      </w:pPr>
    </w:p>
    <w:p w:rsidR="009D148C" w:rsidRPr="00E4074A" w:rsidRDefault="009D148C" w:rsidP="00E4074A">
      <w:pPr>
        <w:pStyle w:val="Heading1"/>
      </w:pPr>
      <w:bookmarkStart w:id="15" w:name="_Toc333929857"/>
      <w:bookmarkStart w:id="16" w:name="_Toc172205732"/>
      <w:proofErr w:type="gramStart"/>
      <w:r w:rsidRPr="00E4074A">
        <w:lastRenderedPageBreak/>
        <w:t>Section 1.</w:t>
      </w:r>
      <w:proofErr w:type="gramEnd"/>
      <w:r w:rsidRPr="00E4074A">
        <w:t xml:space="preserve"> General Measure &amp; Baseline Data</w:t>
      </w:r>
      <w:bookmarkEnd w:id="15"/>
    </w:p>
    <w:p w:rsidR="009D148C" w:rsidRDefault="009D148C" w:rsidP="001248A3">
      <w:pPr>
        <w:pStyle w:val="Heading2"/>
      </w:pPr>
      <w:bookmarkStart w:id="17" w:name="_Toc333929858"/>
      <w:bookmarkEnd w:id="16"/>
      <w:r>
        <w:t xml:space="preserve">1.1 Product </w:t>
      </w:r>
      <w:r w:rsidRPr="001248A3">
        <w:t>Measure Description &amp; Background</w:t>
      </w:r>
      <w:bookmarkEnd w:id="17"/>
    </w:p>
    <w:p w:rsidR="009D148C" w:rsidRPr="003457B3" w:rsidRDefault="009D148C" w:rsidP="004B210D">
      <w:r w:rsidRPr="00521920">
        <w:rPr>
          <w:b/>
          <w:bCs/>
          <w:i/>
          <w:iCs/>
        </w:rPr>
        <w:t>Catalog Description</w:t>
      </w:r>
      <w:r>
        <w:rPr>
          <w:b/>
          <w:bCs/>
          <w:i/>
          <w:iCs/>
        </w:rPr>
        <w:t xml:space="preserve"> – </w:t>
      </w:r>
      <w:r w:rsidRPr="004B210D">
        <w:t>Variable Refrigerant Flow systems can replace existing air conditioning or heat pump systems with more efficient units that provide</w:t>
      </w:r>
      <w:r>
        <w:t xml:space="preserve"> refrigerant to conditioned zones depending on their need for cooling (or heating)</w:t>
      </w:r>
      <w:r w:rsidRPr="00457A8C">
        <w:t xml:space="preserve"> </w:t>
      </w:r>
      <w:r>
        <w:t>without ductwork. Outside air is provided via a separate system, and so is not dependent on the flowrate of conditioned air. Duct losses are eliminated, though existing ductwork may be reusable to supply outside air.</w:t>
      </w:r>
    </w:p>
    <w:p w:rsidR="009D148C" w:rsidRDefault="009D148C" w:rsidP="003457B3">
      <w:pPr>
        <w:spacing w:before="120"/>
        <w:rPr>
          <w:b/>
          <w:bCs/>
          <w:i/>
          <w:iCs/>
        </w:rPr>
      </w:pPr>
      <w:r>
        <w:rPr>
          <w:b/>
          <w:bCs/>
          <w:i/>
          <w:iCs/>
        </w:rPr>
        <w:t>Program Restrictions and Guidelines</w:t>
      </w:r>
    </w:p>
    <w:p w:rsidR="009D148C" w:rsidRDefault="009D148C" w:rsidP="00480BAD">
      <w:pPr>
        <w:ind w:left="360"/>
        <w:rPr>
          <w:b/>
          <w:bCs/>
          <w:i/>
          <w:iCs/>
          <w:sz w:val="20"/>
          <w:szCs w:val="20"/>
        </w:rPr>
      </w:pPr>
      <w:r w:rsidRPr="00521920">
        <w:rPr>
          <w:b/>
          <w:bCs/>
          <w:i/>
          <w:iCs/>
          <w:sz w:val="20"/>
          <w:szCs w:val="20"/>
        </w:rPr>
        <w:t>Terms and Conditions</w:t>
      </w:r>
      <w:r>
        <w:rPr>
          <w:b/>
          <w:bCs/>
          <w:i/>
          <w:iCs/>
          <w:sz w:val="20"/>
          <w:szCs w:val="20"/>
        </w:rPr>
        <w:t xml:space="preserve">: </w:t>
      </w:r>
    </w:p>
    <w:p w:rsidR="009D148C" w:rsidRPr="003457B3" w:rsidRDefault="009D148C" w:rsidP="003457B3">
      <w:pPr>
        <w:numPr>
          <w:ilvl w:val="0"/>
          <w:numId w:val="19"/>
        </w:numPr>
        <w:rPr>
          <w:b/>
          <w:bCs/>
          <w:i/>
          <w:iCs/>
          <w:sz w:val="20"/>
          <w:szCs w:val="20"/>
        </w:rPr>
      </w:pPr>
      <w:r>
        <w:rPr>
          <w:b/>
          <w:bCs/>
          <w:i/>
          <w:iCs/>
          <w:sz w:val="20"/>
          <w:szCs w:val="20"/>
        </w:rPr>
        <w:t>Must be a PG&amp;E nonresidential electric customer</w:t>
      </w:r>
    </w:p>
    <w:p w:rsidR="009D148C" w:rsidRPr="00CC63BB" w:rsidRDefault="009D148C" w:rsidP="00CC63BB">
      <w:pPr>
        <w:numPr>
          <w:ilvl w:val="0"/>
          <w:numId w:val="19"/>
        </w:numPr>
        <w:rPr>
          <w:b/>
          <w:bCs/>
          <w:i/>
          <w:iCs/>
          <w:sz w:val="20"/>
          <w:szCs w:val="20"/>
        </w:rPr>
      </w:pPr>
      <w:r>
        <w:rPr>
          <w:b/>
          <w:bCs/>
          <w:i/>
          <w:iCs/>
          <w:sz w:val="20"/>
          <w:szCs w:val="20"/>
        </w:rPr>
        <w:t>Must take the place of existing rooftop packaged units or VAV systems</w:t>
      </w:r>
    </w:p>
    <w:p w:rsidR="009D148C" w:rsidRDefault="009D148C" w:rsidP="00480BAD">
      <w:pPr>
        <w:ind w:left="360"/>
        <w:rPr>
          <w:b/>
          <w:bCs/>
          <w:i/>
          <w:iCs/>
          <w:sz w:val="20"/>
          <w:szCs w:val="20"/>
        </w:rPr>
      </w:pPr>
    </w:p>
    <w:p w:rsidR="009D148C" w:rsidRPr="00521920" w:rsidRDefault="009D148C" w:rsidP="003457B3">
      <w:pPr>
        <w:ind w:left="360"/>
        <w:rPr>
          <w:b/>
          <w:bCs/>
          <w:i/>
          <w:iCs/>
          <w:sz w:val="20"/>
          <w:szCs w:val="20"/>
        </w:rPr>
      </w:pPr>
      <w:r>
        <w:rPr>
          <w:b/>
          <w:bCs/>
          <w:i/>
          <w:iCs/>
          <w:sz w:val="20"/>
          <w:szCs w:val="20"/>
        </w:rPr>
        <w:t>Market Applicabilit</w:t>
      </w:r>
      <w:r w:rsidRPr="00A562A6">
        <w:rPr>
          <w:b/>
          <w:bCs/>
          <w:i/>
          <w:iCs/>
          <w:sz w:val="20"/>
          <w:szCs w:val="20"/>
        </w:rPr>
        <w:t xml:space="preserve">y: </w:t>
      </w:r>
      <w:r>
        <w:rPr>
          <w:b/>
          <w:bCs/>
          <w:i/>
          <w:iCs/>
          <w:sz w:val="20"/>
          <w:szCs w:val="20"/>
        </w:rPr>
        <w:t>This program applies to nonresidential customers with unitary or split-system AC or HP equipment or VAV systems, through the upstream rebate program.</w:t>
      </w:r>
    </w:p>
    <w:p w:rsidR="009D148C" w:rsidRDefault="009D148C" w:rsidP="00872913">
      <w:pPr>
        <w:rPr>
          <w:b/>
          <w:bCs/>
          <w:i/>
          <w:iCs/>
        </w:rPr>
      </w:pPr>
    </w:p>
    <w:p w:rsidR="009D148C" w:rsidRPr="00806070" w:rsidRDefault="009D148C" w:rsidP="00E4074A">
      <w:pPr>
        <w:pStyle w:val="Heading2"/>
      </w:pPr>
      <w:bookmarkStart w:id="18" w:name="_Toc333929859"/>
      <w:r>
        <w:t xml:space="preserve">1.2 Product </w:t>
      </w:r>
      <w:r w:rsidRPr="00806070">
        <w:t>Technical Description</w:t>
      </w:r>
      <w:bookmarkEnd w:id="18"/>
    </w:p>
    <w:p w:rsidR="009D148C" w:rsidRDefault="009D148C" w:rsidP="00654DFA">
      <w:pPr>
        <w:pStyle w:val="Caption"/>
        <w:rPr>
          <w:rFonts w:cs="Arial"/>
        </w:rPr>
      </w:pPr>
      <w:r>
        <w:rPr>
          <w:rFonts w:cs="Arial"/>
        </w:rPr>
        <w:t xml:space="preserve">Table </w:t>
      </w:r>
      <w:r>
        <w:rPr>
          <w:rFonts w:cs="Arial"/>
        </w:rPr>
        <w:fldChar w:fldCharType="begin"/>
      </w:r>
      <w:r>
        <w:rPr>
          <w:rFonts w:cs="Arial"/>
        </w:rPr>
        <w:instrText xml:space="preserve"> SEQ Table \* ARABIC </w:instrText>
      </w:r>
      <w:r>
        <w:rPr>
          <w:rFonts w:cs="Arial"/>
        </w:rPr>
        <w:fldChar w:fldCharType="separate"/>
      </w:r>
      <w:r w:rsidR="002E4C74">
        <w:rPr>
          <w:rFonts w:cs="Arial"/>
          <w:noProof/>
        </w:rPr>
        <w:t>1</w:t>
      </w:r>
      <w:r>
        <w:rPr>
          <w:rFonts w:cs="Arial"/>
        </w:rPr>
        <w:fldChar w:fldCharType="end"/>
      </w:r>
      <w:r>
        <w:rPr>
          <w:rFonts w:cs="Arial"/>
        </w:rPr>
        <w:t xml:space="preserve"> DEER Use and Technology Table</w:t>
      </w:r>
    </w:p>
    <w:p w:rsidR="009D148C" w:rsidRDefault="008D432A" w:rsidP="003457B3">
      <w:pPr>
        <w:spacing w:after="120"/>
      </w:pPr>
      <w:r>
        <w:rPr>
          <w:noProof/>
        </w:rPr>
        <w:drawing>
          <wp:inline distT="0" distB="0" distL="0" distR="0" wp14:anchorId="7C4F762B" wp14:editId="0F754244">
            <wp:extent cx="5895975" cy="10382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95975" cy="1038225"/>
                    </a:xfrm>
                    <a:prstGeom prst="rect">
                      <a:avLst/>
                    </a:prstGeom>
                    <a:noFill/>
                    <a:ln>
                      <a:noFill/>
                    </a:ln>
                  </pic:spPr>
                </pic:pic>
              </a:graphicData>
            </a:graphic>
          </wp:inline>
        </w:drawing>
      </w:r>
    </w:p>
    <w:p w:rsidR="009D148C" w:rsidRPr="003457B3" w:rsidRDefault="009D148C" w:rsidP="003457B3">
      <w:pPr>
        <w:spacing w:after="120"/>
      </w:pPr>
      <w:r w:rsidRPr="003457B3">
        <w:t>Variable Refrigerant Flow (VRF) systems are multi-zone units that circulate refrigerant from an outdoor compressor</w:t>
      </w:r>
      <w:r>
        <w:t xml:space="preserve"> </w:t>
      </w:r>
      <w:r w:rsidRPr="003457B3">
        <w:t xml:space="preserve">to multiple indoor </w:t>
      </w:r>
      <w:r>
        <w:t>evaporator</w:t>
      </w:r>
      <w:r w:rsidRPr="003457B3">
        <w:t xml:space="preserve"> units.  </w:t>
      </w:r>
      <w:r>
        <w:t>VRFs incorporate inverter-</w:t>
      </w:r>
      <w:r w:rsidRPr="003457B3">
        <w:t>driven compressors that modulate the flow of refrigerant in the system</w:t>
      </w:r>
      <w:r>
        <w:t xml:space="preserve"> and ECM fans that adjust air flow</w:t>
      </w:r>
      <w:r w:rsidRPr="003457B3">
        <w:t xml:space="preserve"> in response to the actual cooling and heating demand. Thus, they provide significantly better part load performance over conventional packaged and split-systems, while maintaining more precise temperature control. Different combinations of indoor ductless and ducted units can be utilized for these systems depending on the application and </w:t>
      </w:r>
      <w:r>
        <w:t xml:space="preserve">zone </w:t>
      </w:r>
      <w:r w:rsidRPr="003457B3">
        <w:t>layout of the build</w:t>
      </w:r>
      <w:r>
        <w:t xml:space="preserve">ing.  </w:t>
      </w:r>
    </w:p>
    <w:p w:rsidR="009D148C" w:rsidRPr="003457B3" w:rsidRDefault="009D148C" w:rsidP="003457B3">
      <w:pPr>
        <w:spacing w:after="120"/>
      </w:pPr>
      <w:r w:rsidRPr="003457B3">
        <w:t xml:space="preserve">VRF systems are modular in design. The </w:t>
      </w:r>
      <w:r>
        <w:t>individual outdoor units</w:t>
      </w:r>
      <w:r w:rsidRPr="003457B3">
        <w:t xml:space="preserve"> range in size from 6 tons up to 30 tons</w:t>
      </w:r>
      <w:r>
        <w:t>. M</w:t>
      </w:r>
      <w:r w:rsidRPr="003457B3">
        <w:t>ore capacity can be added by increasing the number of outdoor units</w:t>
      </w:r>
      <w:r w:rsidRPr="00457A8C">
        <w:t xml:space="preserve"> </w:t>
      </w:r>
      <w:r w:rsidRPr="003457B3">
        <w:t xml:space="preserve">as </w:t>
      </w:r>
      <w:r>
        <w:t>required</w:t>
      </w:r>
      <w:r w:rsidRPr="003457B3">
        <w:t xml:space="preserve"> for the application.  Unlike traditional packaged multi-zone air conditioners that </w:t>
      </w:r>
      <w:r>
        <w:t xml:space="preserve">supply conditioned air to </w:t>
      </w:r>
      <w:r w:rsidRPr="003457B3">
        <w:t xml:space="preserve">all zones and </w:t>
      </w:r>
      <w:r>
        <w:t xml:space="preserve">often </w:t>
      </w:r>
      <w:r w:rsidRPr="003457B3">
        <w:t xml:space="preserve">must reheat the supply air to accommodate different </w:t>
      </w:r>
      <w:r>
        <w:t>conditions</w:t>
      </w:r>
      <w:r w:rsidRPr="003457B3">
        <w:t xml:space="preserve"> </w:t>
      </w:r>
      <w:r>
        <w:t>in diverse zones, VRF system</w:t>
      </w:r>
      <w:r w:rsidRPr="003457B3">
        <w:t xml:space="preserve">s control each zone by modulating the amount of refrigerant that is delivered to each </w:t>
      </w:r>
      <w:r>
        <w:t xml:space="preserve">evaporator </w:t>
      </w:r>
      <w:r w:rsidRPr="003457B3">
        <w:t>fan co</w:t>
      </w:r>
      <w:r>
        <w:t>il unit within the zone.  R</w:t>
      </w:r>
      <w:r w:rsidRPr="003457B3">
        <w:t xml:space="preserve">efrigerant </w:t>
      </w:r>
      <w:r>
        <w:t xml:space="preserve">is delivered </w:t>
      </w:r>
      <w:r w:rsidRPr="003457B3">
        <w:t xml:space="preserve">to </w:t>
      </w:r>
      <w:r>
        <w:t>each zone</w:t>
      </w:r>
      <w:r w:rsidRPr="003457B3">
        <w:t xml:space="preserve"> </w:t>
      </w:r>
      <w:r>
        <w:t>depending on its need, and zones with intermittent demand</w:t>
      </w:r>
      <w:r w:rsidRPr="003457B3">
        <w:t xml:space="preserve"> can be turned </w:t>
      </w:r>
      <w:r>
        <w:t xml:space="preserve">down or completely </w:t>
      </w:r>
      <w:r w:rsidRPr="003457B3">
        <w:t xml:space="preserve">off during times </w:t>
      </w:r>
      <w:r>
        <w:t>of</w:t>
      </w:r>
      <w:r w:rsidRPr="003457B3">
        <w:t xml:space="preserve"> little to no cooling or heating demand. The inverter</w:t>
      </w:r>
      <w:r>
        <w:t>-</w:t>
      </w:r>
      <w:r w:rsidRPr="003457B3">
        <w:t xml:space="preserve">controlled compressor responds to </w:t>
      </w:r>
      <w:r>
        <w:t>changing</w:t>
      </w:r>
      <w:r w:rsidRPr="003457B3">
        <w:t xml:space="preserve"> demand by </w:t>
      </w:r>
      <w:r>
        <w:t>varying</w:t>
      </w:r>
      <w:r w:rsidRPr="003457B3">
        <w:t xml:space="preserve"> its speed</w:t>
      </w:r>
      <w:r>
        <w:t>,</w:t>
      </w:r>
      <w:r w:rsidRPr="003457B3">
        <w:t xml:space="preserve"> effective</w:t>
      </w:r>
      <w:r>
        <w:t>ly</w:t>
      </w:r>
      <w:r w:rsidRPr="003457B3">
        <w:t xml:space="preserve"> reducin</w:t>
      </w:r>
      <w:r>
        <w:t>g capacity and energy consumption during part-</w:t>
      </w:r>
      <w:r w:rsidRPr="003457B3">
        <w:t xml:space="preserve">load conditions.   </w:t>
      </w:r>
    </w:p>
    <w:p w:rsidR="009D148C" w:rsidRDefault="009D148C" w:rsidP="003457B3">
      <w:pPr>
        <w:pStyle w:val="Heading2"/>
      </w:pPr>
      <w:bookmarkStart w:id="19" w:name="_Toc333929860"/>
      <w:r>
        <w:t>1.3 Transaction Types</w:t>
      </w:r>
      <w:bookmarkEnd w:id="19"/>
      <w:r>
        <w:t xml:space="preserve"> </w:t>
      </w:r>
    </w:p>
    <w:p w:rsidR="009D148C" w:rsidRPr="00103CBE" w:rsidRDefault="009D148C" w:rsidP="00962995">
      <w:r w:rsidRPr="00103CBE">
        <w:t xml:space="preserve">This work paper deals with Replace on Burnout (ROB) measures for two types of VRF systems, Heat Pumps (HP) and Heat Recovery (HR) units &gt;65kBtu/h.  A heat pump can either be in heating or cooling mode at any one time.  A heat recovery unit can provide heating and cooling </w:t>
      </w:r>
      <w:r w:rsidRPr="00103CBE">
        <w:lastRenderedPageBreak/>
        <w:t xml:space="preserve">simultaneously to different zones by removing heat from a zone requesting cooling, and delivering it to a zone requesting heat, thereby reducing compressor load and increasing energy savings. </w:t>
      </w:r>
    </w:p>
    <w:p w:rsidR="009D148C" w:rsidRPr="00103CBE" w:rsidRDefault="009D148C" w:rsidP="00962995"/>
    <w:p w:rsidR="009D148C" w:rsidRPr="00103CBE" w:rsidRDefault="009D148C" w:rsidP="00962995">
      <w:r w:rsidRPr="00103CBE">
        <w:t xml:space="preserve">This work paper documents the energy savings from using VRF units compared to two Title 24 baselines: </w:t>
      </w:r>
    </w:p>
    <w:p w:rsidR="009D148C" w:rsidRPr="00103CBE" w:rsidRDefault="009D148C" w:rsidP="00962995">
      <w:pPr>
        <w:keepNext/>
        <w:numPr>
          <w:ilvl w:val="0"/>
          <w:numId w:val="21"/>
        </w:numPr>
      </w:pPr>
      <w:r w:rsidRPr="00103CBE">
        <w:t xml:space="preserve">single-zone packaged DX air conditioners with gas heating, and </w:t>
      </w:r>
    </w:p>
    <w:p w:rsidR="009D148C" w:rsidRPr="00103CBE" w:rsidRDefault="009D148C" w:rsidP="00962995">
      <w:pPr>
        <w:numPr>
          <w:ilvl w:val="0"/>
          <w:numId w:val="21"/>
        </w:numPr>
      </w:pPr>
      <w:proofErr w:type="gramStart"/>
      <w:r w:rsidRPr="00103CBE">
        <w:t>multi-zone</w:t>
      </w:r>
      <w:proofErr w:type="gramEnd"/>
      <w:r w:rsidRPr="00103CBE">
        <w:t xml:space="preserve"> packaged DX variable air volume (VAV) Air Conditioners with a separate gas boiler and reheat.</w:t>
      </w:r>
    </w:p>
    <w:p w:rsidR="009D148C" w:rsidRPr="00103CBE" w:rsidRDefault="009D148C" w:rsidP="00962995"/>
    <w:p w:rsidR="009D148C" w:rsidRPr="00103CBE" w:rsidRDefault="009D148C" w:rsidP="00962995">
      <w:r w:rsidRPr="00103CBE">
        <w:t>VRF systems are appropriate for Replace on Burnout (ROB) for each of these baseline system types. Early retirement will be added to the work paper if it becomes clear that there are cases where this baseline is appropriate.</w:t>
      </w:r>
    </w:p>
    <w:p w:rsidR="009D148C" w:rsidRPr="00103CBE" w:rsidRDefault="009D148C" w:rsidP="00962995"/>
    <w:p w:rsidR="009D148C" w:rsidRPr="005A6094" w:rsidRDefault="009D148C" w:rsidP="00962995">
      <w:r w:rsidRPr="00103CBE">
        <w:t>The delivery method for this work paper is Upstream Programs - Up</w:t>
      </w:r>
      <w:r>
        <w:t>s</w:t>
      </w:r>
      <w:r w:rsidRPr="00103CBE">
        <w:t>tream Incentive.</w:t>
      </w:r>
    </w:p>
    <w:p w:rsidR="009D148C" w:rsidRDefault="009D148C" w:rsidP="00E4074A">
      <w:pPr>
        <w:pStyle w:val="Heading2"/>
      </w:pPr>
    </w:p>
    <w:p w:rsidR="009D148C" w:rsidRDefault="009D148C" w:rsidP="00E4074A">
      <w:pPr>
        <w:pStyle w:val="Heading2"/>
      </w:pPr>
      <w:bookmarkStart w:id="20" w:name="_Toc333929861"/>
      <w:r>
        <w:t>1.4 Product Base Case and Measure Case Data</w:t>
      </w:r>
      <w:bookmarkEnd w:id="20"/>
    </w:p>
    <w:p w:rsidR="009D148C" w:rsidRDefault="009D148C" w:rsidP="00E4074A">
      <w:pPr>
        <w:pStyle w:val="Heading3"/>
      </w:pPr>
      <w:bookmarkStart w:id="21" w:name="_Toc333929862"/>
      <w:r>
        <w:t xml:space="preserve">1.4.1 </w:t>
      </w:r>
      <w:r w:rsidRPr="001248A3">
        <w:t xml:space="preserve">DEER </w:t>
      </w:r>
      <w:r>
        <w:t>Base Case and Measure Case Information</w:t>
      </w:r>
      <w:bookmarkEnd w:id="21"/>
      <w:r>
        <w:t xml:space="preserve"> </w:t>
      </w:r>
    </w:p>
    <w:p w:rsidR="009D148C" w:rsidRPr="005A6094" w:rsidRDefault="009D148C" w:rsidP="005A6094">
      <w:pPr>
        <w:spacing w:after="120"/>
      </w:pPr>
      <w:r w:rsidRPr="005A6094">
        <w:t>Variable Refrigerant Flow units are not included in the 2011 Database for Energy Efficient Resources (DEER). Because of the multi-zone, inverter-controlled operation, it was not possible to extrapolate data from the standard package and split systems.</w:t>
      </w:r>
    </w:p>
    <w:p w:rsidR="009D148C" w:rsidRPr="005A6094" w:rsidRDefault="009D148C" w:rsidP="005A6094">
      <w:pPr>
        <w:spacing w:after="120"/>
      </w:pPr>
      <w:r w:rsidRPr="005A6094">
        <w:t xml:space="preserve">Instead, energy savings were determined using the </w:t>
      </w:r>
      <w:proofErr w:type="spellStart"/>
      <w:r w:rsidRPr="005A6094">
        <w:t>EnergyPro</w:t>
      </w:r>
      <w:proofErr w:type="spellEnd"/>
      <w:r w:rsidRPr="005A6094">
        <w:t xml:space="preserve"> v5.1.</w:t>
      </w:r>
      <w:r>
        <w:t>5</w:t>
      </w:r>
      <w:r w:rsidRPr="005A6094">
        <w:t>.</w:t>
      </w:r>
      <w:r>
        <w:t>1</w:t>
      </w:r>
      <w:r w:rsidRPr="005A6094">
        <w:t xml:space="preserve"> [B] building energy modeling software. </w:t>
      </w:r>
      <w:proofErr w:type="spellStart"/>
      <w:r w:rsidRPr="005A6094">
        <w:t>EnergyPro</w:t>
      </w:r>
      <w:proofErr w:type="spellEnd"/>
      <w:r w:rsidRPr="005A6094">
        <w:t xml:space="preserve"> is certified for demonstrating compliance with the current Title 24 code for non-residential/high-rise residential/hotel-motel buildings using the performance approach.</w:t>
      </w:r>
      <w:r>
        <w:t xml:space="preserve"> The VRF module is pending final review by the California Energy Commission for compliance with the Title 24 ACM.</w:t>
      </w:r>
      <w:r w:rsidRPr="005A6094">
        <w:t xml:space="preserve"> It uses the DOE-2.1E v119 software engine licensed from the Department of Energy. </w:t>
      </w:r>
      <w:r>
        <w:t>The application for the VRF module to comply with Title 24 Alternative Calculation Method is still pending final review by the California Energy Commission.</w:t>
      </w:r>
    </w:p>
    <w:p w:rsidR="009D148C" w:rsidRPr="005A6094" w:rsidRDefault="009D148C" w:rsidP="005A6094">
      <w:pPr>
        <w:spacing w:after="120"/>
      </w:pPr>
      <w:r w:rsidRPr="005A6094">
        <w:t xml:space="preserve">The </w:t>
      </w:r>
      <w:proofErr w:type="spellStart"/>
      <w:r w:rsidRPr="005A6094">
        <w:t>EnergyPro</w:t>
      </w:r>
      <w:proofErr w:type="spellEnd"/>
      <w:r w:rsidRPr="005A6094">
        <w:t xml:space="preserve"> models developed for this work paper include a 7200 sq. ft., two-story office building (small office), a 41,500 sq. ft., three-story office building (large office)</w:t>
      </w:r>
      <w:r>
        <w:t xml:space="preserve">, and a 24,000 </w:t>
      </w:r>
      <w:r w:rsidRPr="005A6094">
        <w:t xml:space="preserve">sq. ft., </w:t>
      </w:r>
      <w:r>
        <w:t>single</w:t>
      </w:r>
      <w:r w:rsidRPr="005A6094">
        <w:t xml:space="preserve">-story </w:t>
      </w:r>
      <w:r>
        <w:t>school building</w:t>
      </w:r>
      <w:r w:rsidRPr="005A6094">
        <w:t xml:space="preserve"> (</w:t>
      </w:r>
      <w:r>
        <w:t>middle school</w:t>
      </w:r>
      <w:r w:rsidRPr="005A6094">
        <w:t xml:space="preserve">). </w:t>
      </w:r>
      <w:r>
        <w:t>All</w:t>
      </w:r>
      <w:r w:rsidRPr="005A6094">
        <w:t xml:space="preserve"> buildings were simulated using heat pump and heat recovery configurations and in all climate zones served by Pacific Gas and Electric (PG&amp;E).  The average system size for the 7200 sq. ft. building was </w:t>
      </w:r>
      <w:r>
        <w:t>18</w:t>
      </w:r>
      <w:r w:rsidRPr="005A6094">
        <w:t xml:space="preserve"> tons</w:t>
      </w:r>
      <w:r>
        <w:t>,</w:t>
      </w:r>
      <w:r w:rsidRPr="005A6094">
        <w:t xml:space="preserve"> the average size for the 41,500 sq. ft. building was </w:t>
      </w:r>
      <w:r>
        <w:t>77</w:t>
      </w:r>
      <w:r w:rsidRPr="005A6094">
        <w:t xml:space="preserve"> tons</w:t>
      </w:r>
      <w:r>
        <w:t xml:space="preserve">, and the </w:t>
      </w:r>
      <w:r w:rsidRPr="005A6094">
        <w:t xml:space="preserve">average size for the </w:t>
      </w:r>
      <w:r>
        <w:t>24,000</w:t>
      </w:r>
      <w:r w:rsidRPr="005A6094">
        <w:t xml:space="preserve"> sq. ft. building was </w:t>
      </w:r>
      <w:r>
        <w:t>74</w:t>
      </w:r>
      <w:r w:rsidRPr="005A6094">
        <w:t xml:space="preserve"> tons. </w:t>
      </w:r>
    </w:p>
    <w:p w:rsidR="009D148C" w:rsidRPr="00130A23" w:rsidRDefault="009D148C" w:rsidP="009C5CA7">
      <w:r w:rsidRPr="00130A23">
        <w:rPr>
          <w:b/>
          <w:bCs/>
        </w:rPr>
        <w:t>Delta Wattage Assumption (ΔW):</w:t>
      </w:r>
      <w:r w:rsidRPr="00130A23">
        <w:t xml:space="preserve"> Wattage </w:t>
      </w:r>
      <w:r>
        <w:t xml:space="preserve">and kWh </w:t>
      </w:r>
      <w:r w:rsidRPr="00130A23">
        <w:t>for the base case units (Split or Packaged AC or HP units or VAV systems) and the measure case units (VRF heat pump units with or without heat recovery)</w:t>
      </w:r>
      <w:r>
        <w:t xml:space="preserve"> are </w:t>
      </w:r>
      <w:r w:rsidRPr="00130A23">
        <w:t xml:space="preserve">calculated in </w:t>
      </w:r>
      <w:proofErr w:type="spellStart"/>
      <w:r w:rsidRPr="00130A23">
        <w:t>EnergyPro</w:t>
      </w:r>
      <w:proofErr w:type="spellEnd"/>
      <w:r w:rsidRPr="00130A23">
        <w:t>.</w:t>
      </w:r>
    </w:p>
    <w:p w:rsidR="009D148C" w:rsidRPr="000C1BDF" w:rsidRDefault="009D148C" w:rsidP="009C5CA7">
      <w:pPr>
        <w:rPr>
          <w:sz w:val="20"/>
          <w:szCs w:val="20"/>
        </w:rPr>
      </w:pPr>
      <w:r>
        <w:rPr>
          <w:sz w:val="20"/>
          <w:szCs w:val="20"/>
        </w:rPr>
        <w:t xml:space="preserve"> </w:t>
      </w:r>
    </w:p>
    <w:p w:rsidR="009D148C" w:rsidRPr="00130A23" w:rsidRDefault="009D148C" w:rsidP="00BE4F0E">
      <w:pPr>
        <w:spacing w:after="120"/>
        <w:rPr>
          <w:highlight w:val="yellow"/>
        </w:rPr>
      </w:pPr>
      <w:r w:rsidRPr="00130A23">
        <w:rPr>
          <w:b/>
          <w:bCs/>
        </w:rPr>
        <w:t>EUL and RUL:</w:t>
      </w:r>
      <w:r w:rsidRPr="00130A23">
        <w:t xml:space="preserve"> The EUL and RUL for base cases </w:t>
      </w:r>
      <w:r>
        <w:t>were</w:t>
      </w:r>
      <w:r w:rsidRPr="00130A23">
        <w:t xml:space="preserve"> downloaded directly from DEER 2011 directly using the split and unitary system AC and HP descriptions HVAC-</w:t>
      </w:r>
      <w:proofErr w:type="spellStart"/>
      <w:r w:rsidRPr="00130A23">
        <w:t>HtCl</w:t>
      </w:r>
      <w:proofErr w:type="spellEnd"/>
      <w:r w:rsidRPr="00130A23">
        <w:t xml:space="preserve"> </w:t>
      </w:r>
      <w:r>
        <w:t>and</w:t>
      </w:r>
      <w:r w:rsidRPr="00130A23">
        <w:t xml:space="preserve"> HVAC-</w:t>
      </w:r>
      <w:proofErr w:type="spellStart"/>
      <w:r w:rsidRPr="00130A23">
        <w:t>SpCl</w:t>
      </w:r>
      <w:proofErr w:type="spellEnd"/>
      <w:r>
        <w:t xml:space="preserve"> </w:t>
      </w:r>
      <w:r w:rsidRPr="00130A23">
        <w:t xml:space="preserve">(Version source D08 V 2.05). </w:t>
      </w:r>
    </w:p>
    <w:p w:rsidR="009D148C" w:rsidRDefault="009D148C" w:rsidP="009C5CA7">
      <w:pPr>
        <w:rPr>
          <w:b/>
          <w:bCs/>
          <w:sz w:val="20"/>
          <w:szCs w:val="20"/>
        </w:rPr>
      </w:pPr>
      <w:r w:rsidRPr="00BE4F0E">
        <w:rPr>
          <w:b/>
          <w:bCs/>
          <w:sz w:val="20"/>
          <w:szCs w:val="20"/>
        </w:rPr>
        <w:t>EUL</w:t>
      </w:r>
      <w:r w:rsidRPr="00BA7D18">
        <w:rPr>
          <w:b/>
          <w:bCs/>
          <w:sz w:val="20"/>
          <w:szCs w:val="20"/>
        </w:rPr>
        <w:t xml:space="preserve">: </w:t>
      </w:r>
      <w:r>
        <w:rPr>
          <w:b/>
          <w:bCs/>
          <w:sz w:val="20"/>
          <w:szCs w:val="20"/>
        </w:rPr>
        <w:t>15 years</w:t>
      </w:r>
      <w:r w:rsidRPr="00BA7D18">
        <w:rPr>
          <w:b/>
          <w:bCs/>
          <w:sz w:val="20"/>
          <w:szCs w:val="20"/>
        </w:rPr>
        <w:t xml:space="preserve"> </w:t>
      </w:r>
    </w:p>
    <w:p w:rsidR="009D148C" w:rsidRPr="00BA7D18" w:rsidRDefault="009D148C" w:rsidP="009C5CA7">
      <w:pPr>
        <w:rPr>
          <w:b/>
          <w:bCs/>
          <w:sz w:val="20"/>
          <w:szCs w:val="20"/>
        </w:rPr>
      </w:pPr>
      <w:r>
        <w:rPr>
          <w:b/>
          <w:bCs/>
          <w:sz w:val="20"/>
          <w:szCs w:val="20"/>
        </w:rPr>
        <w:t>RUL: 5 years (not used in this version of the work paper, due to lack of data on unit condition at time of retirement),</w:t>
      </w:r>
    </w:p>
    <w:p w:rsidR="009D148C" w:rsidRPr="00BA7D18" w:rsidRDefault="009D148C" w:rsidP="00900BDF">
      <w:pPr>
        <w:ind w:left="360"/>
        <w:rPr>
          <w:sz w:val="20"/>
          <w:szCs w:val="20"/>
          <w:highlight w:val="yellow"/>
        </w:rPr>
      </w:pPr>
      <w:bookmarkStart w:id="22" w:name="OLE_LINK2"/>
      <w:bookmarkStart w:id="23" w:name="OLE_LINK3"/>
    </w:p>
    <w:bookmarkEnd w:id="22"/>
    <w:bookmarkEnd w:id="23"/>
    <w:p w:rsidR="009D148C" w:rsidRPr="00BE55E9" w:rsidRDefault="009D148C" w:rsidP="00175673">
      <w:pPr>
        <w:rPr>
          <w:i/>
          <w:iCs/>
        </w:rPr>
      </w:pPr>
      <w:proofErr w:type="spellStart"/>
      <w:r w:rsidRPr="00130A23">
        <w:rPr>
          <w:b/>
          <w:bCs/>
        </w:rPr>
        <w:t>Therms</w:t>
      </w:r>
      <w:proofErr w:type="spellEnd"/>
      <w:r w:rsidRPr="00130A23">
        <w:rPr>
          <w:b/>
          <w:bCs/>
        </w:rPr>
        <w:t xml:space="preserve"> Savings Assumption (</w:t>
      </w:r>
      <w:proofErr w:type="spellStart"/>
      <w:r w:rsidRPr="00130A23">
        <w:rPr>
          <w:b/>
          <w:bCs/>
        </w:rPr>
        <w:t>ΔTh</w:t>
      </w:r>
      <w:proofErr w:type="spellEnd"/>
      <w:r w:rsidRPr="00130A23">
        <w:rPr>
          <w:b/>
          <w:bCs/>
        </w:rPr>
        <w:t>):</w:t>
      </w:r>
      <w:r>
        <w:t xml:space="preserve"> </w:t>
      </w:r>
      <w:proofErr w:type="spellStart"/>
      <w:r>
        <w:t>Therm</w:t>
      </w:r>
      <w:proofErr w:type="spellEnd"/>
      <w:r>
        <w:t xml:space="preserve"> savings are calculated in </w:t>
      </w:r>
      <w:proofErr w:type="spellStart"/>
      <w:r>
        <w:t>EnergyPro</w:t>
      </w:r>
      <w:proofErr w:type="spellEnd"/>
      <w:r>
        <w:t xml:space="preserve"> along with the Wattages and kWh.</w:t>
      </w:r>
    </w:p>
    <w:p w:rsidR="009D148C" w:rsidRPr="00130A23" w:rsidRDefault="009D148C" w:rsidP="00175673"/>
    <w:p w:rsidR="009D148C" w:rsidRPr="00BE55E9" w:rsidRDefault="009D148C" w:rsidP="00765936">
      <w:r w:rsidRPr="00BE55E9">
        <w:rPr>
          <w:b/>
          <w:bCs/>
        </w:rPr>
        <w:t>Hours of Operation</w:t>
      </w:r>
      <w:r w:rsidRPr="00BE55E9">
        <w:t>: Hours</w:t>
      </w:r>
      <w:r>
        <w:t xml:space="preserve"> of operation are taken from DEER 2008 (now incorporated into DEER 2011) and the T24 ACM according to building type. In this work paper, only Small Office, Large Office, and Middle School building types are covered.</w:t>
      </w:r>
    </w:p>
    <w:p w:rsidR="009D148C" w:rsidRPr="003C48F5" w:rsidRDefault="009D148C" w:rsidP="009C5CA7">
      <w:pPr>
        <w:rPr>
          <w:b/>
          <w:bCs/>
        </w:rPr>
      </w:pPr>
    </w:p>
    <w:p w:rsidR="009D148C" w:rsidRPr="00D90C5E" w:rsidRDefault="009D148C" w:rsidP="00901732">
      <w:pPr>
        <w:keepNext/>
        <w:rPr>
          <w:sz w:val="20"/>
          <w:szCs w:val="20"/>
        </w:rPr>
      </w:pPr>
      <w:r w:rsidRPr="001B5D3E">
        <w:rPr>
          <w:b/>
          <w:bCs/>
        </w:rPr>
        <w:t>Net-to-Gross Assumption:</w:t>
      </w:r>
      <w:r w:rsidRPr="001B5D3E">
        <w:t xml:space="preserve"> </w:t>
      </w:r>
      <w:r w:rsidRPr="008F48E1">
        <w:rPr>
          <w:sz w:val="20"/>
          <w:szCs w:val="20"/>
        </w:rPr>
        <w:t xml:space="preserve">Table </w:t>
      </w:r>
      <w:r>
        <w:rPr>
          <w:sz w:val="20"/>
          <w:szCs w:val="20"/>
        </w:rPr>
        <w:t>1</w:t>
      </w:r>
      <w:r w:rsidRPr="008F48E1">
        <w:rPr>
          <w:sz w:val="20"/>
          <w:szCs w:val="20"/>
        </w:rPr>
        <w:t xml:space="preserve"> below summarizes all applicable DEER based Net-to-Gross ratios for programs that may be used by this measure.</w:t>
      </w:r>
    </w:p>
    <w:p w:rsidR="009D148C" w:rsidRPr="008F48E1" w:rsidRDefault="009D148C" w:rsidP="00BD19B9">
      <w:pPr>
        <w:pStyle w:val="TableofFigures"/>
        <w:keepNext/>
        <w:jc w:val="center"/>
        <w:rPr>
          <w:rFonts w:ascii="Arial" w:hAnsi="Arial" w:cs="Arial"/>
        </w:rPr>
      </w:pPr>
      <w:bookmarkStart w:id="24" w:name="_Toc323027331"/>
      <w:r w:rsidRPr="008F48E1">
        <w:rPr>
          <w:rFonts w:ascii="Arial" w:hAnsi="Arial" w:cs="Arial"/>
        </w:rPr>
        <w:t xml:space="preserve">Table </w:t>
      </w:r>
      <w:r w:rsidRPr="008F48E1">
        <w:rPr>
          <w:rFonts w:ascii="Arial" w:hAnsi="Arial" w:cs="Arial"/>
        </w:rPr>
        <w:fldChar w:fldCharType="begin"/>
      </w:r>
      <w:r w:rsidRPr="008F48E1">
        <w:rPr>
          <w:rFonts w:ascii="Arial" w:hAnsi="Arial" w:cs="Arial"/>
        </w:rPr>
        <w:instrText xml:space="preserve"> SEQ Table \* ARABIC \s 1 </w:instrText>
      </w:r>
      <w:r w:rsidRPr="008F48E1">
        <w:rPr>
          <w:rFonts w:ascii="Arial" w:hAnsi="Arial" w:cs="Arial"/>
        </w:rPr>
        <w:fldChar w:fldCharType="separate"/>
      </w:r>
      <w:r w:rsidR="002E4C74">
        <w:rPr>
          <w:rFonts w:ascii="Arial" w:hAnsi="Arial" w:cs="Arial"/>
          <w:noProof/>
        </w:rPr>
        <w:t>2</w:t>
      </w:r>
      <w:r w:rsidRPr="008F48E1">
        <w:rPr>
          <w:rFonts w:ascii="Arial" w:hAnsi="Arial" w:cs="Arial"/>
        </w:rPr>
        <w:fldChar w:fldCharType="end"/>
      </w:r>
      <w:r w:rsidRPr="008F48E1">
        <w:rPr>
          <w:rFonts w:ascii="Arial" w:hAnsi="Arial" w:cs="Arial"/>
        </w:rPr>
        <w:t xml:space="preserve">  Net-to-Gross Ratios</w:t>
      </w:r>
      <w:bookmarkEnd w:id="24"/>
    </w:p>
    <w:tbl>
      <w:tblPr>
        <w:tblW w:w="1692" w:type="pct"/>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1"/>
        <w:gridCol w:w="990"/>
      </w:tblGrid>
      <w:tr w:rsidR="004D47BB" w:rsidRPr="00783DAC" w:rsidTr="004D47BB">
        <w:trPr>
          <w:jc w:val="center"/>
        </w:trPr>
        <w:tc>
          <w:tcPr>
            <w:tcW w:w="3473" w:type="pct"/>
            <w:shd w:val="pct20" w:color="000000" w:fill="FFFFFF"/>
          </w:tcPr>
          <w:p w:rsidR="004D47BB" w:rsidRPr="00783DAC" w:rsidRDefault="004D47BB" w:rsidP="004D47BB">
            <w:pPr>
              <w:keepNext/>
              <w:jc w:val="center"/>
              <w:rPr>
                <w:b/>
                <w:bCs/>
                <w:sz w:val="20"/>
                <w:szCs w:val="20"/>
              </w:rPr>
            </w:pPr>
            <w:r>
              <w:rPr>
                <w:b/>
                <w:bCs/>
                <w:sz w:val="20"/>
                <w:szCs w:val="20"/>
              </w:rPr>
              <w:t>Description</w:t>
            </w:r>
          </w:p>
        </w:tc>
        <w:tc>
          <w:tcPr>
            <w:tcW w:w="1527" w:type="pct"/>
            <w:shd w:val="pct20" w:color="000000" w:fill="FFFFFF"/>
          </w:tcPr>
          <w:p w:rsidR="004D47BB" w:rsidRPr="00F53ADA" w:rsidRDefault="004D47BB" w:rsidP="004D47BB">
            <w:pPr>
              <w:keepNext/>
              <w:jc w:val="center"/>
              <w:rPr>
                <w:b/>
                <w:bCs/>
                <w:sz w:val="20"/>
                <w:szCs w:val="20"/>
              </w:rPr>
            </w:pPr>
            <w:r w:rsidRPr="00F53ADA">
              <w:rPr>
                <w:b/>
                <w:bCs/>
                <w:sz w:val="20"/>
                <w:szCs w:val="20"/>
              </w:rPr>
              <w:t>NTG</w:t>
            </w:r>
          </w:p>
        </w:tc>
      </w:tr>
      <w:tr w:rsidR="004D47BB" w:rsidRPr="00783DAC" w:rsidTr="004D47BB">
        <w:trPr>
          <w:jc w:val="center"/>
        </w:trPr>
        <w:tc>
          <w:tcPr>
            <w:tcW w:w="3473" w:type="pct"/>
            <w:shd w:val="pct5" w:color="000000" w:fill="FFFFFF"/>
            <w:vAlign w:val="center"/>
          </w:tcPr>
          <w:p w:rsidR="004D47BB" w:rsidRPr="00783DAC" w:rsidRDefault="004D47BB" w:rsidP="004D47BB">
            <w:pPr>
              <w:jc w:val="center"/>
              <w:rPr>
                <w:sz w:val="20"/>
                <w:szCs w:val="20"/>
              </w:rPr>
            </w:pPr>
            <w:r>
              <w:rPr>
                <w:sz w:val="20"/>
                <w:szCs w:val="20"/>
              </w:rPr>
              <w:t>DEER--</w:t>
            </w:r>
            <w:proofErr w:type="spellStart"/>
            <w:r w:rsidRPr="00194F89">
              <w:rPr>
                <w:sz w:val="20"/>
                <w:szCs w:val="20"/>
              </w:rPr>
              <w:t>NonRes</w:t>
            </w:r>
            <w:proofErr w:type="spellEnd"/>
            <w:r w:rsidRPr="00194F89">
              <w:rPr>
                <w:sz w:val="20"/>
                <w:szCs w:val="20"/>
              </w:rPr>
              <w:t>-</w:t>
            </w:r>
            <w:proofErr w:type="spellStart"/>
            <w:r w:rsidRPr="00194F89">
              <w:rPr>
                <w:sz w:val="20"/>
                <w:szCs w:val="20"/>
              </w:rPr>
              <w:t>sAll</w:t>
            </w:r>
            <w:proofErr w:type="spellEnd"/>
            <w:r w:rsidRPr="00194F89">
              <w:rPr>
                <w:sz w:val="20"/>
                <w:szCs w:val="20"/>
              </w:rPr>
              <w:t>-</w:t>
            </w:r>
            <w:proofErr w:type="spellStart"/>
            <w:r w:rsidRPr="00194F89">
              <w:rPr>
                <w:sz w:val="20"/>
                <w:szCs w:val="20"/>
              </w:rPr>
              <w:t>mHVAC</w:t>
            </w:r>
            <w:proofErr w:type="spellEnd"/>
            <w:r w:rsidRPr="00194F89">
              <w:rPr>
                <w:sz w:val="20"/>
                <w:szCs w:val="20"/>
              </w:rPr>
              <w:t>-DX-up</w:t>
            </w:r>
          </w:p>
        </w:tc>
        <w:tc>
          <w:tcPr>
            <w:tcW w:w="1527" w:type="pct"/>
            <w:shd w:val="pct5" w:color="000000" w:fill="FFFFFF"/>
            <w:vAlign w:val="center"/>
          </w:tcPr>
          <w:p w:rsidR="004D47BB" w:rsidRPr="00783DAC" w:rsidRDefault="004D47BB" w:rsidP="004D47BB">
            <w:pPr>
              <w:jc w:val="center"/>
              <w:rPr>
                <w:sz w:val="20"/>
                <w:szCs w:val="20"/>
              </w:rPr>
            </w:pPr>
            <w:r>
              <w:rPr>
                <w:sz w:val="20"/>
                <w:szCs w:val="20"/>
              </w:rPr>
              <w:t>0.75</w:t>
            </w:r>
          </w:p>
        </w:tc>
      </w:tr>
    </w:tbl>
    <w:p w:rsidR="009D148C" w:rsidRPr="008F48E1" w:rsidRDefault="009D148C" w:rsidP="009C5CA7">
      <w:pPr>
        <w:rPr>
          <w:sz w:val="20"/>
          <w:szCs w:val="20"/>
        </w:rPr>
      </w:pPr>
    </w:p>
    <w:p w:rsidR="009D148C" w:rsidRPr="008F48E1" w:rsidRDefault="009D148C" w:rsidP="009C5CA7">
      <w:pPr>
        <w:rPr>
          <w:sz w:val="20"/>
          <w:szCs w:val="20"/>
        </w:rPr>
      </w:pPr>
      <w:r w:rsidRPr="008F48E1">
        <w:rPr>
          <w:sz w:val="20"/>
          <w:szCs w:val="20"/>
        </w:rPr>
        <w:t>The NTG Ratios in Table 1 are appropriate for the measure(s) because:</w:t>
      </w:r>
    </w:p>
    <w:p w:rsidR="009D148C" w:rsidRPr="008F48E1" w:rsidRDefault="009D148C" w:rsidP="008F48E1">
      <w:pPr>
        <w:numPr>
          <w:ilvl w:val="0"/>
          <w:numId w:val="13"/>
        </w:numPr>
        <w:tabs>
          <w:tab w:val="clear" w:pos="1440"/>
        </w:tabs>
        <w:ind w:left="720"/>
        <w:rPr>
          <w:sz w:val="20"/>
          <w:szCs w:val="20"/>
        </w:rPr>
      </w:pPr>
      <w:r>
        <w:rPr>
          <w:sz w:val="20"/>
          <w:szCs w:val="20"/>
        </w:rPr>
        <w:t>These measures are replacements for Nonresidential packaged and split system AC and HP units.</w:t>
      </w:r>
    </w:p>
    <w:p w:rsidR="009D148C" w:rsidRDefault="009D148C" w:rsidP="008F48E1">
      <w:pPr>
        <w:numPr>
          <w:ilvl w:val="0"/>
          <w:numId w:val="13"/>
        </w:numPr>
        <w:tabs>
          <w:tab w:val="clear" w:pos="1440"/>
        </w:tabs>
        <w:ind w:left="720"/>
        <w:rPr>
          <w:sz w:val="20"/>
          <w:szCs w:val="20"/>
        </w:rPr>
      </w:pPr>
      <w:r>
        <w:rPr>
          <w:sz w:val="20"/>
          <w:szCs w:val="20"/>
        </w:rPr>
        <w:t>This is a nonresidential upstream HVAC DX (direct expansion) program.</w:t>
      </w:r>
    </w:p>
    <w:p w:rsidR="009D148C" w:rsidRDefault="009D148C" w:rsidP="00757CF6"/>
    <w:p w:rsidR="009D148C" w:rsidRDefault="009D148C" w:rsidP="00757CF6">
      <w:r w:rsidRPr="00901732">
        <w:rPr>
          <w:b/>
          <w:bCs/>
        </w:rPr>
        <w:t>In service rate:</w:t>
      </w:r>
      <w:r w:rsidRPr="00765936">
        <w:rPr>
          <w:b/>
          <w:bCs/>
          <w:sz w:val="20"/>
          <w:szCs w:val="20"/>
        </w:rPr>
        <w:t xml:space="preserve">  </w:t>
      </w:r>
      <w:r w:rsidRPr="00713B63">
        <w:rPr>
          <w:sz w:val="20"/>
          <w:szCs w:val="20"/>
        </w:rPr>
        <w:t>VRF measures are installed when purchased</w:t>
      </w:r>
      <w:r>
        <w:rPr>
          <w:sz w:val="20"/>
          <w:szCs w:val="20"/>
        </w:rPr>
        <w:t>, so the ISR is 1.0</w:t>
      </w:r>
      <w:r w:rsidRPr="00713B63">
        <w:rPr>
          <w:sz w:val="20"/>
          <w:szCs w:val="20"/>
        </w:rPr>
        <w:t>.</w:t>
      </w:r>
    </w:p>
    <w:p w:rsidR="009D148C" w:rsidRPr="008F48E1" w:rsidRDefault="009D148C" w:rsidP="00757CF6">
      <w:pPr>
        <w:rPr>
          <w:sz w:val="20"/>
          <w:szCs w:val="20"/>
        </w:rPr>
      </w:pPr>
    </w:p>
    <w:p w:rsidR="009D148C" w:rsidRPr="002E0043" w:rsidRDefault="009D148C" w:rsidP="00E4074A">
      <w:pPr>
        <w:pStyle w:val="Heading3"/>
      </w:pPr>
      <w:bookmarkStart w:id="25" w:name="_Toc333929863"/>
      <w:r>
        <w:t xml:space="preserve">1.4.2 </w:t>
      </w:r>
      <w:r w:rsidRPr="001248A3">
        <w:t xml:space="preserve">Codes &amp; Standards Requirements </w:t>
      </w:r>
      <w:r>
        <w:t>Base Case and Measure Information</w:t>
      </w:r>
      <w:bookmarkEnd w:id="25"/>
    </w:p>
    <w:p w:rsidR="009D148C" w:rsidRPr="005D3977" w:rsidRDefault="009D148C" w:rsidP="00D01643">
      <w:pPr>
        <w:autoSpaceDE w:val="0"/>
        <w:autoSpaceDN w:val="0"/>
        <w:adjustRightInd w:val="0"/>
      </w:pPr>
    </w:p>
    <w:p w:rsidR="009D148C" w:rsidRDefault="009D148C" w:rsidP="00016129">
      <w:pPr>
        <w:rPr>
          <w:sz w:val="20"/>
          <w:szCs w:val="20"/>
        </w:rPr>
      </w:pPr>
      <w:r w:rsidRPr="00F07EF1">
        <w:rPr>
          <w:rStyle w:val="Strong"/>
          <w:rFonts w:cs="Arial"/>
        </w:rPr>
        <w:t>Title 20</w:t>
      </w:r>
      <w:r w:rsidRPr="00BD19B9">
        <w:rPr>
          <w:b/>
          <w:bCs/>
          <w:i/>
          <w:iCs/>
        </w:rPr>
        <w:t>:</w:t>
      </w:r>
      <w:r w:rsidRPr="00BD19B9">
        <w:t xml:space="preserve"> </w:t>
      </w:r>
      <w:r>
        <w:t>A</w:t>
      </w:r>
      <w:r w:rsidRPr="00F2665F">
        <w:t>ir conditioning and heat pump equipment are regulated under Title 20 of the California Energy Regulations</w:t>
      </w:r>
      <w:r w:rsidRPr="001975B0">
        <w:rPr>
          <w:vertAlign w:val="superscript"/>
        </w:rPr>
        <w:endnoteReference w:id="3"/>
      </w:r>
      <w:r>
        <w:t xml:space="preserve"> as noted in Table 2</w:t>
      </w:r>
      <w:r w:rsidRPr="00F2665F">
        <w:t>.</w:t>
      </w:r>
      <w:r>
        <w:t xml:space="preserve"> Units are required to have a TXV.</w:t>
      </w:r>
    </w:p>
    <w:p w:rsidR="009D148C" w:rsidRPr="00D7671E" w:rsidRDefault="009D148C" w:rsidP="00D7671E">
      <w:pPr>
        <w:pStyle w:val="Caption"/>
        <w:jc w:val="center"/>
        <w:rPr>
          <w:rFonts w:cs="Arial"/>
          <w:color w:val="FF0000"/>
        </w:rPr>
      </w:pPr>
      <w:bookmarkStart w:id="26" w:name="_Toc323027332"/>
      <w:r w:rsidRPr="00D7671E">
        <w:rPr>
          <w:rFonts w:cs="Arial"/>
        </w:rPr>
        <w:t xml:space="preserve">Table </w:t>
      </w:r>
      <w:r w:rsidRPr="00D7671E">
        <w:rPr>
          <w:rFonts w:cs="Arial"/>
        </w:rPr>
        <w:fldChar w:fldCharType="begin"/>
      </w:r>
      <w:r w:rsidRPr="00D7671E">
        <w:rPr>
          <w:rFonts w:cs="Arial"/>
        </w:rPr>
        <w:instrText xml:space="preserve"> SEQ Table \* ARABIC </w:instrText>
      </w:r>
      <w:r w:rsidRPr="00D7671E">
        <w:rPr>
          <w:rFonts w:cs="Arial"/>
        </w:rPr>
        <w:fldChar w:fldCharType="separate"/>
      </w:r>
      <w:r w:rsidR="002E4C74">
        <w:rPr>
          <w:rFonts w:cs="Arial"/>
          <w:noProof/>
        </w:rPr>
        <w:t>3</w:t>
      </w:r>
      <w:r w:rsidRPr="00D7671E">
        <w:rPr>
          <w:rFonts w:cs="Arial"/>
        </w:rPr>
        <w:fldChar w:fldCharType="end"/>
      </w:r>
      <w:r w:rsidRPr="00D7671E">
        <w:rPr>
          <w:rFonts w:cs="Arial"/>
        </w:rPr>
        <w:t xml:space="preserve"> Efficiency Requirements for AC and HP Equipment</w:t>
      </w:r>
      <w:bookmarkEnd w:id="26"/>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3"/>
        <w:gridCol w:w="1715"/>
        <w:gridCol w:w="1530"/>
        <w:gridCol w:w="2300"/>
        <w:gridCol w:w="2218"/>
      </w:tblGrid>
      <w:tr w:rsidR="009D148C" w:rsidRPr="00783DAC" w:rsidTr="00EF0651">
        <w:trPr>
          <w:jc w:val="center"/>
        </w:trPr>
        <w:tc>
          <w:tcPr>
            <w:tcW w:w="1813" w:type="dxa"/>
            <w:shd w:val="clear" w:color="auto" w:fill="A6A6A6"/>
          </w:tcPr>
          <w:p w:rsidR="009D148C" w:rsidRPr="00783DAC" w:rsidRDefault="009D148C" w:rsidP="002E0043">
            <w:pPr>
              <w:rPr>
                <w:sz w:val="20"/>
                <w:szCs w:val="20"/>
              </w:rPr>
            </w:pPr>
            <w:r w:rsidRPr="00783DAC">
              <w:rPr>
                <w:b/>
                <w:bCs/>
                <w:sz w:val="20"/>
                <w:szCs w:val="20"/>
              </w:rPr>
              <w:t xml:space="preserve">Title 20 Std.  Description  </w:t>
            </w:r>
          </w:p>
        </w:tc>
        <w:tc>
          <w:tcPr>
            <w:tcW w:w="1715" w:type="dxa"/>
            <w:shd w:val="clear" w:color="auto" w:fill="A6A6A6"/>
          </w:tcPr>
          <w:p w:rsidR="009D148C" w:rsidRPr="00783DAC" w:rsidRDefault="009D148C" w:rsidP="002E0043">
            <w:pPr>
              <w:rPr>
                <w:sz w:val="20"/>
                <w:szCs w:val="20"/>
              </w:rPr>
            </w:pPr>
            <w:r w:rsidRPr="00783DAC">
              <w:rPr>
                <w:b/>
                <w:bCs/>
                <w:sz w:val="20"/>
                <w:szCs w:val="20"/>
              </w:rPr>
              <w:t>Base or Measure Case</w:t>
            </w:r>
          </w:p>
        </w:tc>
        <w:tc>
          <w:tcPr>
            <w:tcW w:w="1530" w:type="dxa"/>
            <w:shd w:val="clear" w:color="auto" w:fill="A6A6A6"/>
          </w:tcPr>
          <w:p w:rsidR="009D148C" w:rsidRDefault="009D148C" w:rsidP="002E0043">
            <w:pPr>
              <w:rPr>
                <w:b/>
                <w:bCs/>
                <w:sz w:val="20"/>
                <w:szCs w:val="20"/>
              </w:rPr>
            </w:pPr>
            <w:r>
              <w:rPr>
                <w:b/>
                <w:bCs/>
                <w:sz w:val="20"/>
                <w:szCs w:val="20"/>
              </w:rPr>
              <w:t>Capacity</w:t>
            </w:r>
          </w:p>
        </w:tc>
        <w:tc>
          <w:tcPr>
            <w:tcW w:w="2300" w:type="dxa"/>
            <w:shd w:val="clear" w:color="auto" w:fill="A6A6A6"/>
          </w:tcPr>
          <w:p w:rsidR="009D148C" w:rsidRPr="00783DAC" w:rsidRDefault="009D148C" w:rsidP="002E0043">
            <w:pPr>
              <w:rPr>
                <w:b/>
                <w:bCs/>
                <w:sz w:val="20"/>
                <w:szCs w:val="20"/>
              </w:rPr>
            </w:pPr>
            <w:r>
              <w:rPr>
                <w:b/>
                <w:bCs/>
                <w:sz w:val="20"/>
                <w:szCs w:val="20"/>
              </w:rPr>
              <w:t xml:space="preserve">Minimum </w:t>
            </w:r>
            <w:r w:rsidRPr="00783DAC">
              <w:rPr>
                <w:b/>
                <w:bCs/>
                <w:sz w:val="20"/>
                <w:szCs w:val="20"/>
              </w:rPr>
              <w:t>Value</w:t>
            </w:r>
          </w:p>
        </w:tc>
        <w:tc>
          <w:tcPr>
            <w:tcW w:w="2218" w:type="dxa"/>
            <w:shd w:val="clear" w:color="auto" w:fill="A6A6A6"/>
          </w:tcPr>
          <w:p w:rsidR="009D148C" w:rsidRPr="00783DAC" w:rsidRDefault="009D148C" w:rsidP="002E0043">
            <w:pPr>
              <w:rPr>
                <w:sz w:val="20"/>
                <w:szCs w:val="20"/>
              </w:rPr>
            </w:pPr>
            <w:r w:rsidRPr="00783DAC">
              <w:rPr>
                <w:b/>
                <w:bCs/>
                <w:sz w:val="20"/>
                <w:szCs w:val="20"/>
              </w:rPr>
              <w:t>Code Source or Reference</w:t>
            </w:r>
          </w:p>
        </w:tc>
      </w:tr>
      <w:tr w:rsidR="009D148C" w:rsidRPr="00D7671E" w:rsidTr="00EF0651">
        <w:trPr>
          <w:jc w:val="center"/>
        </w:trPr>
        <w:tc>
          <w:tcPr>
            <w:tcW w:w="1813" w:type="dxa"/>
            <w:shd w:val="clear" w:color="auto" w:fill="F2F2F2"/>
          </w:tcPr>
          <w:p w:rsidR="009D148C" w:rsidRPr="00D7671E" w:rsidRDefault="009D148C" w:rsidP="002E0043">
            <w:pPr>
              <w:rPr>
                <w:b/>
                <w:bCs/>
                <w:i/>
                <w:iCs/>
                <w:sz w:val="20"/>
                <w:szCs w:val="20"/>
              </w:rPr>
            </w:pPr>
            <w:r w:rsidRPr="00D7671E">
              <w:rPr>
                <w:sz w:val="20"/>
                <w:szCs w:val="20"/>
              </w:rPr>
              <w:t>Single package air-cooled heat pumps</w:t>
            </w:r>
          </w:p>
        </w:tc>
        <w:tc>
          <w:tcPr>
            <w:tcW w:w="1715" w:type="dxa"/>
            <w:shd w:val="clear" w:color="auto" w:fill="F2F2F2"/>
          </w:tcPr>
          <w:p w:rsidR="009D148C" w:rsidRPr="00D7671E" w:rsidRDefault="009D148C" w:rsidP="002E0043">
            <w:pPr>
              <w:rPr>
                <w:i/>
                <w:iCs/>
                <w:sz w:val="20"/>
                <w:szCs w:val="20"/>
              </w:rPr>
            </w:pPr>
            <w:r w:rsidRPr="00D7671E">
              <w:rPr>
                <w:i/>
                <w:iCs/>
                <w:sz w:val="20"/>
                <w:szCs w:val="20"/>
              </w:rPr>
              <w:t>Measure</w:t>
            </w:r>
          </w:p>
        </w:tc>
        <w:tc>
          <w:tcPr>
            <w:tcW w:w="1530" w:type="dxa"/>
            <w:shd w:val="clear" w:color="auto" w:fill="F2F2F2"/>
          </w:tcPr>
          <w:p w:rsidR="009D148C" w:rsidRPr="00D7671E" w:rsidRDefault="009D148C" w:rsidP="00F2665F">
            <w:pPr>
              <w:autoSpaceDE w:val="0"/>
              <w:autoSpaceDN w:val="0"/>
              <w:adjustRightInd w:val="0"/>
              <w:rPr>
                <w:sz w:val="20"/>
                <w:szCs w:val="20"/>
              </w:rPr>
            </w:pPr>
            <w:r w:rsidRPr="00D7671E">
              <w:rPr>
                <w:sz w:val="20"/>
                <w:szCs w:val="20"/>
              </w:rPr>
              <w:t>&lt; 65,000</w:t>
            </w:r>
          </w:p>
        </w:tc>
        <w:tc>
          <w:tcPr>
            <w:tcW w:w="2300" w:type="dxa"/>
            <w:shd w:val="clear" w:color="auto" w:fill="F2F2F2"/>
          </w:tcPr>
          <w:p w:rsidR="009D148C" w:rsidRPr="00D7671E" w:rsidRDefault="009D148C" w:rsidP="00F2665F">
            <w:pPr>
              <w:autoSpaceDE w:val="0"/>
              <w:autoSpaceDN w:val="0"/>
              <w:adjustRightInd w:val="0"/>
              <w:rPr>
                <w:sz w:val="20"/>
                <w:szCs w:val="20"/>
              </w:rPr>
            </w:pPr>
            <w:r w:rsidRPr="00D7671E">
              <w:rPr>
                <w:sz w:val="20"/>
                <w:szCs w:val="20"/>
              </w:rPr>
              <w:t>11.6 EER</w:t>
            </w:r>
          </w:p>
          <w:p w:rsidR="009D148C" w:rsidRPr="00D7671E" w:rsidRDefault="009D148C" w:rsidP="00F2665F">
            <w:pPr>
              <w:autoSpaceDE w:val="0"/>
              <w:autoSpaceDN w:val="0"/>
              <w:adjustRightInd w:val="0"/>
              <w:rPr>
                <w:sz w:val="20"/>
                <w:szCs w:val="20"/>
              </w:rPr>
            </w:pPr>
            <w:r w:rsidRPr="00D7671E">
              <w:rPr>
                <w:sz w:val="20"/>
                <w:szCs w:val="20"/>
              </w:rPr>
              <w:t>13.0 SEER</w:t>
            </w:r>
          </w:p>
          <w:p w:rsidR="009D148C" w:rsidRPr="00D7671E" w:rsidRDefault="009D148C" w:rsidP="00F2665F">
            <w:pPr>
              <w:rPr>
                <w:i/>
                <w:iCs/>
                <w:sz w:val="20"/>
                <w:szCs w:val="20"/>
              </w:rPr>
            </w:pPr>
            <w:r w:rsidRPr="00D7671E">
              <w:rPr>
                <w:sz w:val="20"/>
                <w:szCs w:val="20"/>
              </w:rPr>
              <w:t>7.7 HSPF</w:t>
            </w:r>
          </w:p>
        </w:tc>
        <w:tc>
          <w:tcPr>
            <w:tcW w:w="2218" w:type="dxa"/>
            <w:shd w:val="clear" w:color="auto" w:fill="F2F2F2"/>
          </w:tcPr>
          <w:p w:rsidR="009D148C" w:rsidRPr="00D7671E" w:rsidRDefault="009D148C" w:rsidP="002E0043">
            <w:pPr>
              <w:rPr>
                <w:i/>
                <w:iCs/>
                <w:sz w:val="20"/>
                <w:szCs w:val="20"/>
              </w:rPr>
            </w:pPr>
            <w:r w:rsidRPr="00D7671E">
              <w:rPr>
                <w:i/>
                <w:iCs/>
                <w:sz w:val="20"/>
                <w:szCs w:val="20"/>
              </w:rPr>
              <w:t>Table C-6, Title 20,2008</w:t>
            </w:r>
          </w:p>
        </w:tc>
      </w:tr>
      <w:tr w:rsidR="009D148C" w:rsidRPr="00D7671E" w:rsidTr="00EF0651">
        <w:trPr>
          <w:jc w:val="center"/>
        </w:trPr>
        <w:tc>
          <w:tcPr>
            <w:tcW w:w="1813" w:type="dxa"/>
            <w:shd w:val="clear" w:color="auto" w:fill="D9D9D9"/>
          </w:tcPr>
          <w:p w:rsidR="009D148C" w:rsidRPr="00D7671E" w:rsidRDefault="009D148C" w:rsidP="002E0043">
            <w:pPr>
              <w:rPr>
                <w:i/>
                <w:iCs/>
                <w:sz w:val="20"/>
                <w:szCs w:val="20"/>
              </w:rPr>
            </w:pPr>
            <w:r w:rsidRPr="00D7671E">
              <w:rPr>
                <w:sz w:val="20"/>
                <w:szCs w:val="20"/>
              </w:rPr>
              <w:t>Other air-cooled heat pumps</w:t>
            </w:r>
          </w:p>
        </w:tc>
        <w:tc>
          <w:tcPr>
            <w:tcW w:w="1715" w:type="dxa"/>
            <w:shd w:val="clear" w:color="auto" w:fill="D9D9D9"/>
          </w:tcPr>
          <w:p w:rsidR="009D148C" w:rsidRPr="00D7671E" w:rsidRDefault="009D148C" w:rsidP="002E0043">
            <w:pPr>
              <w:rPr>
                <w:i/>
                <w:iCs/>
                <w:sz w:val="20"/>
                <w:szCs w:val="20"/>
              </w:rPr>
            </w:pPr>
            <w:r w:rsidRPr="00D7671E">
              <w:rPr>
                <w:i/>
                <w:iCs/>
                <w:sz w:val="20"/>
                <w:szCs w:val="20"/>
              </w:rPr>
              <w:t>Measure</w:t>
            </w:r>
          </w:p>
        </w:tc>
        <w:tc>
          <w:tcPr>
            <w:tcW w:w="1530" w:type="dxa"/>
            <w:shd w:val="clear" w:color="auto" w:fill="D9D9D9"/>
          </w:tcPr>
          <w:p w:rsidR="009D148C" w:rsidRPr="00D7671E" w:rsidRDefault="009D148C" w:rsidP="00F2665F">
            <w:pPr>
              <w:autoSpaceDE w:val="0"/>
              <w:autoSpaceDN w:val="0"/>
              <w:adjustRightInd w:val="0"/>
              <w:rPr>
                <w:sz w:val="20"/>
                <w:szCs w:val="20"/>
              </w:rPr>
            </w:pPr>
            <w:r w:rsidRPr="00D7671E">
              <w:rPr>
                <w:sz w:val="20"/>
                <w:szCs w:val="20"/>
              </w:rPr>
              <w:t>&lt; 65,000</w:t>
            </w:r>
          </w:p>
        </w:tc>
        <w:tc>
          <w:tcPr>
            <w:tcW w:w="2300" w:type="dxa"/>
            <w:shd w:val="clear" w:color="auto" w:fill="D9D9D9"/>
          </w:tcPr>
          <w:p w:rsidR="009D148C" w:rsidRPr="00D7671E" w:rsidRDefault="009D148C" w:rsidP="00F2665F">
            <w:pPr>
              <w:autoSpaceDE w:val="0"/>
              <w:autoSpaceDN w:val="0"/>
              <w:adjustRightInd w:val="0"/>
              <w:rPr>
                <w:sz w:val="20"/>
                <w:szCs w:val="20"/>
              </w:rPr>
            </w:pPr>
            <w:r w:rsidRPr="00D7671E">
              <w:rPr>
                <w:sz w:val="20"/>
                <w:szCs w:val="20"/>
              </w:rPr>
              <w:t>11.6 EER</w:t>
            </w:r>
          </w:p>
          <w:p w:rsidR="009D148C" w:rsidRPr="00D7671E" w:rsidRDefault="009D148C" w:rsidP="00F2665F">
            <w:pPr>
              <w:autoSpaceDE w:val="0"/>
              <w:autoSpaceDN w:val="0"/>
              <w:adjustRightInd w:val="0"/>
              <w:rPr>
                <w:sz w:val="20"/>
                <w:szCs w:val="20"/>
              </w:rPr>
            </w:pPr>
            <w:r w:rsidRPr="00D7671E">
              <w:rPr>
                <w:sz w:val="20"/>
                <w:szCs w:val="20"/>
              </w:rPr>
              <w:t>13.0 SEER</w:t>
            </w:r>
          </w:p>
          <w:p w:rsidR="009D148C" w:rsidRPr="00D7671E" w:rsidRDefault="009D148C" w:rsidP="00F2665F">
            <w:pPr>
              <w:rPr>
                <w:i/>
                <w:iCs/>
                <w:sz w:val="20"/>
                <w:szCs w:val="20"/>
              </w:rPr>
            </w:pPr>
            <w:r w:rsidRPr="00D7671E">
              <w:rPr>
                <w:sz w:val="20"/>
                <w:szCs w:val="20"/>
              </w:rPr>
              <w:t>7.9 HSPF</w:t>
            </w:r>
          </w:p>
        </w:tc>
        <w:tc>
          <w:tcPr>
            <w:tcW w:w="2218" w:type="dxa"/>
            <w:shd w:val="clear" w:color="auto" w:fill="D9D9D9"/>
          </w:tcPr>
          <w:p w:rsidR="009D148C" w:rsidRPr="00D7671E" w:rsidRDefault="009D148C" w:rsidP="002E0043">
            <w:pPr>
              <w:rPr>
                <w:i/>
                <w:iCs/>
                <w:sz w:val="20"/>
                <w:szCs w:val="20"/>
              </w:rPr>
            </w:pPr>
            <w:r w:rsidRPr="00D7671E">
              <w:rPr>
                <w:i/>
                <w:iCs/>
                <w:sz w:val="20"/>
                <w:szCs w:val="20"/>
              </w:rPr>
              <w:t>Table C-6, Title 20,2008</w:t>
            </w:r>
          </w:p>
        </w:tc>
      </w:tr>
      <w:tr w:rsidR="009D148C" w:rsidRPr="00D7671E" w:rsidTr="00EF0651">
        <w:trPr>
          <w:jc w:val="center"/>
        </w:trPr>
        <w:tc>
          <w:tcPr>
            <w:tcW w:w="1813" w:type="dxa"/>
            <w:shd w:val="clear" w:color="auto" w:fill="F2F2F2"/>
          </w:tcPr>
          <w:p w:rsidR="009D148C" w:rsidRPr="00D7671E" w:rsidRDefault="009D148C" w:rsidP="002E0043">
            <w:pPr>
              <w:rPr>
                <w:sz w:val="20"/>
                <w:szCs w:val="20"/>
              </w:rPr>
            </w:pPr>
            <w:r w:rsidRPr="00D7671E">
              <w:rPr>
                <w:sz w:val="20"/>
                <w:szCs w:val="20"/>
              </w:rPr>
              <w:t>Air-source heat pumps</w:t>
            </w:r>
          </w:p>
        </w:tc>
        <w:tc>
          <w:tcPr>
            <w:tcW w:w="1715" w:type="dxa"/>
            <w:shd w:val="clear" w:color="auto" w:fill="F2F2F2"/>
          </w:tcPr>
          <w:p w:rsidR="009D148C" w:rsidRPr="00D7671E" w:rsidRDefault="009D148C">
            <w:pPr>
              <w:rPr>
                <w:sz w:val="20"/>
                <w:szCs w:val="20"/>
              </w:rPr>
            </w:pPr>
            <w:r w:rsidRPr="00D7671E">
              <w:rPr>
                <w:i/>
                <w:iCs/>
                <w:sz w:val="20"/>
                <w:szCs w:val="20"/>
              </w:rPr>
              <w:t>Measure</w:t>
            </w:r>
          </w:p>
        </w:tc>
        <w:tc>
          <w:tcPr>
            <w:tcW w:w="1530" w:type="dxa"/>
            <w:shd w:val="clear" w:color="auto" w:fill="F2F2F2"/>
          </w:tcPr>
          <w:p w:rsidR="009D148C" w:rsidRPr="00D7671E" w:rsidRDefault="009D148C" w:rsidP="00381B15">
            <w:pPr>
              <w:autoSpaceDE w:val="0"/>
              <w:autoSpaceDN w:val="0"/>
              <w:adjustRightInd w:val="0"/>
              <w:rPr>
                <w:sz w:val="20"/>
                <w:szCs w:val="20"/>
              </w:rPr>
            </w:pPr>
            <w:r w:rsidRPr="00D7671E">
              <w:rPr>
                <w:sz w:val="20"/>
                <w:szCs w:val="20"/>
              </w:rPr>
              <w:t>≥ 65,000 and</w:t>
            </w:r>
          </w:p>
          <w:p w:rsidR="009D148C" w:rsidRPr="00D7671E" w:rsidRDefault="009D148C" w:rsidP="00381B15">
            <w:pPr>
              <w:autoSpaceDE w:val="0"/>
              <w:autoSpaceDN w:val="0"/>
              <w:adjustRightInd w:val="0"/>
              <w:rPr>
                <w:sz w:val="20"/>
                <w:szCs w:val="20"/>
              </w:rPr>
            </w:pPr>
            <w:r w:rsidRPr="00D7671E">
              <w:rPr>
                <w:sz w:val="20"/>
                <w:szCs w:val="20"/>
              </w:rPr>
              <w:t>&lt; 135,000</w:t>
            </w:r>
          </w:p>
        </w:tc>
        <w:tc>
          <w:tcPr>
            <w:tcW w:w="2300" w:type="dxa"/>
            <w:shd w:val="clear" w:color="auto" w:fill="F2F2F2"/>
          </w:tcPr>
          <w:p w:rsidR="009D148C" w:rsidRPr="00D7671E" w:rsidRDefault="009D148C" w:rsidP="00381B15">
            <w:pPr>
              <w:autoSpaceDE w:val="0"/>
              <w:autoSpaceDN w:val="0"/>
              <w:adjustRightInd w:val="0"/>
              <w:rPr>
                <w:sz w:val="20"/>
                <w:szCs w:val="20"/>
              </w:rPr>
            </w:pPr>
            <w:r w:rsidRPr="00D7671E">
              <w:rPr>
                <w:sz w:val="20"/>
                <w:szCs w:val="20"/>
              </w:rPr>
              <w:t>11.0 EER</w:t>
            </w:r>
          </w:p>
          <w:p w:rsidR="009D148C" w:rsidRPr="00D7671E" w:rsidRDefault="009D148C" w:rsidP="00381B15">
            <w:pPr>
              <w:autoSpaceDE w:val="0"/>
              <w:autoSpaceDN w:val="0"/>
              <w:adjustRightInd w:val="0"/>
              <w:rPr>
                <w:sz w:val="20"/>
                <w:szCs w:val="20"/>
              </w:rPr>
            </w:pPr>
            <w:r w:rsidRPr="00D7671E">
              <w:rPr>
                <w:sz w:val="20"/>
                <w:szCs w:val="20"/>
              </w:rPr>
              <w:t>3.4 at 47° F. COP</w:t>
            </w:r>
          </w:p>
          <w:p w:rsidR="009D148C" w:rsidRPr="00D7671E" w:rsidRDefault="009D148C" w:rsidP="00381B15">
            <w:pPr>
              <w:autoSpaceDE w:val="0"/>
              <w:autoSpaceDN w:val="0"/>
              <w:adjustRightInd w:val="0"/>
              <w:rPr>
                <w:sz w:val="20"/>
                <w:szCs w:val="20"/>
              </w:rPr>
            </w:pPr>
            <w:r w:rsidRPr="00D7671E">
              <w:rPr>
                <w:sz w:val="20"/>
                <w:szCs w:val="20"/>
              </w:rPr>
              <w:t>2.4 at 17° F. COP</w:t>
            </w:r>
          </w:p>
        </w:tc>
        <w:tc>
          <w:tcPr>
            <w:tcW w:w="2218" w:type="dxa"/>
            <w:shd w:val="clear" w:color="auto" w:fill="F2F2F2"/>
          </w:tcPr>
          <w:p w:rsidR="009D148C" w:rsidRPr="00D7671E" w:rsidRDefault="009D148C" w:rsidP="002E0043">
            <w:pPr>
              <w:rPr>
                <w:i/>
                <w:iCs/>
                <w:sz w:val="20"/>
                <w:szCs w:val="20"/>
              </w:rPr>
            </w:pPr>
            <w:r w:rsidRPr="00D7671E">
              <w:rPr>
                <w:i/>
                <w:iCs/>
                <w:sz w:val="20"/>
                <w:szCs w:val="20"/>
              </w:rPr>
              <w:t>Table C-6, Title 20,2008</w:t>
            </w:r>
          </w:p>
        </w:tc>
      </w:tr>
      <w:tr w:rsidR="009D148C" w:rsidRPr="00D7671E" w:rsidTr="00EF0651">
        <w:trPr>
          <w:jc w:val="center"/>
        </w:trPr>
        <w:tc>
          <w:tcPr>
            <w:tcW w:w="1813" w:type="dxa"/>
            <w:shd w:val="clear" w:color="auto" w:fill="D9D9D9"/>
          </w:tcPr>
          <w:p w:rsidR="009D148C" w:rsidRPr="00D7671E" w:rsidRDefault="009D148C" w:rsidP="002E0043">
            <w:pPr>
              <w:rPr>
                <w:sz w:val="20"/>
                <w:szCs w:val="20"/>
              </w:rPr>
            </w:pPr>
            <w:r w:rsidRPr="00D7671E">
              <w:rPr>
                <w:sz w:val="20"/>
                <w:szCs w:val="20"/>
              </w:rPr>
              <w:t>Air-source heat pumps</w:t>
            </w:r>
          </w:p>
        </w:tc>
        <w:tc>
          <w:tcPr>
            <w:tcW w:w="1715" w:type="dxa"/>
            <w:shd w:val="clear" w:color="auto" w:fill="D9D9D9"/>
          </w:tcPr>
          <w:p w:rsidR="009D148C" w:rsidRPr="00D7671E" w:rsidRDefault="009D148C">
            <w:pPr>
              <w:rPr>
                <w:i/>
                <w:iCs/>
                <w:sz w:val="20"/>
                <w:szCs w:val="20"/>
              </w:rPr>
            </w:pPr>
            <w:r w:rsidRPr="00D7671E">
              <w:rPr>
                <w:i/>
                <w:iCs/>
                <w:sz w:val="20"/>
                <w:szCs w:val="20"/>
              </w:rPr>
              <w:t>Measure</w:t>
            </w:r>
          </w:p>
        </w:tc>
        <w:tc>
          <w:tcPr>
            <w:tcW w:w="1530" w:type="dxa"/>
            <w:shd w:val="clear" w:color="auto" w:fill="D9D9D9"/>
          </w:tcPr>
          <w:p w:rsidR="009D148C" w:rsidRPr="00D7671E" w:rsidRDefault="009D148C" w:rsidP="003441D7">
            <w:pPr>
              <w:autoSpaceDE w:val="0"/>
              <w:autoSpaceDN w:val="0"/>
              <w:adjustRightInd w:val="0"/>
              <w:rPr>
                <w:sz w:val="20"/>
                <w:szCs w:val="20"/>
              </w:rPr>
            </w:pPr>
            <w:r w:rsidRPr="00D7671E">
              <w:rPr>
                <w:sz w:val="20"/>
                <w:szCs w:val="20"/>
              </w:rPr>
              <w:t>≥ 135,000 and</w:t>
            </w:r>
          </w:p>
          <w:p w:rsidR="009D148C" w:rsidRPr="00D7671E" w:rsidRDefault="009D148C" w:rsidP="003441D7">
            <w:pPr>
              <w:autoSpaceDE w:val="0"/>
              <w:autoSpaceDN w:val="0"/>
              <w:adjustRightInd w:val="0"/>
              <w:rPr>
                <w:sz w:val="20"/>
                <w:szCs w:val="20"/>
              </w:rPr>
            </w:pPr>
            <w:r w:rsidRPr="00D7671E">
              <w:rPr>
                <w:sz w:val="20"/>
                <w:szCs w:val="20"/>
              </w:rPr>
              <w:t>&lt; 240,000</w:t>
            </w:r>
          </w:p>
        </w:tc>
        <w:tc>
          <w:tcPr>
            <w:tcW w:w="2300" w:type="dxa"/>
            <w:shd w:val="clear" w:color="auto" w:fill="D9D9D9"/>
          </w:tcPr>
          <w:p w:rsidR="009D148C" w:rsidRPr="00D7671E" w:rsidRDefault="009D148C" w:rsidP="003441D7">
            <w:pPr>
              <w:autoSpaceDE w:val="0"/>
              <w:autoSpaceDN w:val="0"/>
              <w:adjustRightInd w:val="0"/>
              <w:rPr>
                <w:sz w:val="20"/>
                <w:szCs w:val="20"/>
              </w:rPr>
            </w:pPr>
            <w:r w:rsidRPr="00D7671E">
              <w:rPr>
                <w:sz w:val="20"/>
                <w:szCs w:val="20"/>
              </w:rPr>
              <w:t>10.8 EER</w:t>
            </w:r>
          </w:p>
          <w:p w:rsidR="009D148C" w:rsidRPr="00D7671E" w:rsidRDefault="009D148C" w:rsidP="003441D7">
            <w:pPr>
              <w:autoSpaceDE w:val="0"/>
              <w:autoSpaceDN w:val="0"/>
              <w:adjustRightInd w:val="0"/>
              <w:rPr>
                <w:sz w:val="20"/>
                <w:szCs w:val="20"/>
              </w:rPr>
            </w:pPr>
            <w:r w:rsidRPr="00D7671E">
              <w:rPr>
                <w:sz w:val="20"/>
                <w:szCs w:val="20"/>
              </w:rPr>
              <w:t>3.3 at 47° F. COP</w:t>
            </w:r>
          </w:p>
          <w:p w:rsidR="009D148C" w:rsidRPr="00D7671E" w:rsidRDefault="009D148C" w:rsidP="003441D7">
            <w:pPr>
              <w:autoSpaceDE w:val="0"/>
              <w:autoSpaceDN w:val="0"/>
              <w:adjustRightInd w:val="0"/>
              <w:rPr>
                <w:sz w:val="20"/>
                <w:szCs w:val="20"/>
              </w:rPr>
            </w:pPr>
            <w:r w:rsidRPr="00D7671E">
              <w:rPr>
                <w:sz w:val="20"/>
                <w:szCs w:val="20"/>
              </w:rPr>
              <w:t>2.2 at 17° F. COP</w:t>
            </w:r>
          </w:p>
        </w:tc>
        <w:tc>
          <w:tcPr>
            <w:tcW w:w="2218" w:type="dxa"/>
            <w:shd w:val="clear" w:color="auto" w:fill="D9D9D9"/>
          </w:tcPr>
          <w:p w:rsidR="009D148C" w:rsidRPr="00D7671E" w:rsidRDefault="009D148C" w:rsidP="002E0043">
            <w:pPr>
              <w:rPr>
                <w:i/>
                <w:iCs/>
                <w:sz w:val="20"/>
                <w:szCs w:val="20"/>
              </w:rPr>
            </w:pPr>
            <w:r w:rsidRPr="00D7671E">
              <w:rPr>
                <w:i/>
                <w:iCs/>
                <w:sz w:val="20"/>
                <w:szCs w:val="20"/>
              </w:rPr>
              <w:t>Table C-6, Title 20,2008</w:t>
            </w:r>
          </w:p>
        </w:tc>
      </w:tr>
    </w:tbl>
    <w:p w:rsidR="009D148C" w:rsidRPr="001B4ACB" w:rsidRDefault="009D148C" w:rsidP="002E0043">
      <w:pPr>
        <w:rPr>
          <w:i/>
          <w:iCs/>
          <w:sz w:val="20"/>
          <w:szCs w:val="20"/>
        </w:rPr>
      </w:pPr>
    </w:p>
    <w:p w:rsidR="009D148C" w:rsidRPr="005D3977" w:rsidRDefault="009D148C" w:rsidP="00490870">
      <w:pPr>
        <w:autoSpaceDE w:val="0"/>
        <w:autoSpaceDN w:val="0"/>
        <w:adjustRightInd w:val="0"/>
      </w:pPr>
      <w:r w:rsidRPr="00F07EF1">
        <w:rPr>
          <w:rStyle w:val="Strong"/>
          <w:rFonts w:cs="Arial"/>
        </w:rPr>
        <w:t>Title 24:</w:t>
      </w:r>
      <w:r w:rsidRPr="00490870">
        <w:t xml:space="preserve"> </w:t>
      </w:r>
      <w:r>
        <w:t>The measures described in this work paper</w:t>
      </w:r>
      <w:r w:rsidRPr="005D3977">
        <w:t xml:space="preserve"> </w:t>
      </w:r>
      <w:r>
        <w:t>are regulated under</w:t>
      </w:r>
      <w:r w:rsidRPr="005D3977">
        <w:t xml:space="preserve"> Title 24 of the California </w:t>
      </w:r>
      <w:r>
        <w:t>Energy Regulations</w:t>
      </w:r>
      <w:r w:rsidRPr="00F07EF1">
        <w:rPr>
          <w:vertAlign w:val="superscript"/>
        </w:rPr>
        <w:endnoteReference w:id="4"/>
      </w:r>
      <w:r w:rsidRPr="005D3977">
        <w:t xml:space="preserve">. An application submitted on behalf of four VRF manufacturers by </w:t>
      </w:r>
      <w:proofErr w:type="spellStart"/>
      <w:r w:rsidRPr="005D3977">
        <w:t>EnergySoft</w:t>
      </w:r>
      <w:proofErr w:type="spellEnd"/>
      <w:r w:rsidRPr="005D3977">
        <w:t xml:space="preserve">, the developer of </w:t>
      </w:r>
      <w:proofErr w:type="spellStart"/>
      <w:r w:rsidRPr="005D3977">
        <w:t>EnergyPro</w:t>
      </w:r>
      <w:proofErr w:type="spellEnd"/>
      <w:r w:rsidRPr="005D3977">
        <w:t>, is pending approval by the California Energy Commission to accept VRF modeling using Energy Pro under the Title 24 A</w:t>
      </w:r>
      <w:r>
        <w:t xml:space="preserve">lternative </w:t>
      </w:r>
      <w:r w:rsidRPr="005D3977">
        <w:t>C</w:t>
      </w:r>
      <w:r>
        <w:t xml:space="preserve">alculation </w:t>
      </w:r>
      <w:r w:rsidRPr="005D3977">
        <w:t>M</w:t>
      </w:r>
      <w:r>
        <w:t>ethod (ACM)</w:t>
      </w:r>
      <w:r w:rsidRPr="005D3977">
        <w:t xml:space="preserve">. VRFs are currently sold in California through a waiver issued by </w:t>
      </w:r>
      <w:r>
        <w:t xml:space="preserve">the Department of Energy. </w:t>
      </w:r>
      <w:r w:rsidRPr="005D3977">
        <w:t>The following tables were taken from Table</w:t>
      </w:r>
      <w:r>
        <w:t>s</w:t>
      </w:r>
      <w:r w:rsidRPr="005D3977">
        <w:t xml:space="preserve"> 112-A &amp; 112-B (page 51) of the 2008 Title 24 Residential &amp; Nonresidential Regulations/Standards. </w:t>
      </w:r>
    </w:p>
    <w:p w:rsidR="009D148C" w:rsidRPr="005D3977" w:rsidRDefault="009D148C" w:rsidP="00490870">
      <w:pPr>
        <w:autoSpaceDE w:val="0"/>
        <w:autoSpaceDN w:val="0"/>
        <w:adjustRightInd w:val="0"/>
      </w:pPr>
    </w:p>
    <w:p w:rsidR="009D148C" w:rsidRPr="00D7671E" w:rsidRDefault="009D148C" w:rsidP="00EE32F4">
      <w:pPr>
        <w:pStyle w:val="Caption"/>
        <w:keepNext/>
        <w:jc w:val="center"/>
        <w:rPr>
          <w:rFonts w:cs="Arial"/>
        </w:rPr>
      </w:pPr>
      <w:bookmarkStart w:id="27" w:name="_Toc323027333"/>
      <w:r w:rsidRPr="00D7671E">
        <w:rPr>
          <w:rFonts w:cs="Arial"/>
        </w:rPr>
        <w:lastRenderedPageBreak/>
        <w:t xml:space="preserve">Table </w:t>
      </w:r>
      <w:r w:rsidRPr="00D7671E">
        <w:rPr>
          <w:rFonts w:cs="Arial"/>
        </w:rPr>
        <w:fldChar w:fldCharType="begin"/>
      </w:r>
      <w:r w:rsidRPr="00D7671E">
        <w:rPr>
          <w:rFonts w:cs="Arial"/>
        </w:rPr>
        <w:instrText xml:space="preserve"> SEQ Table \* ARABIC </w:instrText>
      </w:r>
      <w:r w:rsidRPr="00D7671E">
        <w:rPr>
          <w:rFonts w:cs="Arial"/>
        </w:rPr>
        <w:fldChar w:fldCharType="separate"/>
      </w:r>
      <w:r w:rsidR="002E4C74">
        <w:rPr>
          <w:rFonts w:cs="Arial"/>
          <w:noProof/>
        </w:rPr>
        <w:t>4</w:t>
      </w:r>
      <w:r w:rsidRPr="00D7671E">
        <w:rPr>
          <w:rFonts w:cs="Arial"/>
        </w:rPr>
        <w:fldChar w:fldCharType="end"/>
      </w:r>
      <w:r w:rsidRPr="00D7671E">
        <w:rPr>
          <w:rFonts w:cs="Arial"/>
        </w:rPr>
        <w:t xml:space="preserve"> Minimum 2008 Title 24 Efficiencies for Packaged</w:t>
      </w:r>
      <w:bookmarkEnd w:id="27"/>
      <w:r w:rsidRPr="00D7671E">
        <w:rPr>
          <w:rFonts w:cs="Arial"/>
        </w:rPr>
        <w:t xml:space="preserve"> </w:t>
      </w:r>
    </w:p>
    <w:p w:rsidR="009D148C" w:rsidRPr="00D7671E" w:rsidRDefault="009D148C" w:rsidP="00713B63">
      <w:pPr>
        <w:pStyle w:val="TableofFigures"/>
        <w:keepNext/>
        <w:jc w:val="center"/>
        <w:rPr>
          <w:rFonts w:ascii="Arial" w:hAnsi="Arial" w:cs="Arial"/>
        </w:rPr>
      </w:pPr>
      <w:r w:rsidRPr="00D7671E">
        <w:rPr>
          <w:rFonts w:ascii="Arial" w:hAnsi="Arial" w:cs="Arial"/>
        </w:rPr>
        <w:t>Air Conditioning Units (single zone or VAV) with Electric Heat</w:t>
      </w:r>
    </w:p>
    <w:tbl>
      <w:tblPr>
        <w:tblW w:w="8577" w:type="dxa"/>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3537"/>
        <w:gridCol w:w="5040"/>
      </w:tblGrid>
      <w:tr w:rsidR="009D148C" w:rsidRPr="005D3977">
        <w:trPr>
          <w:trHeight w:val="255"/>
          <w:jc w:val="center"/>
        </w:trPr>
        <w:tc>
          <w:tcPr>
            <w:tcW w:w="3537" w:type="dxa"/>
            <w:shd w:val="clear" w:color="auto" w:fill="BFBFBF"/>
            <w:noWrap/>
            <w:vAlign w:val="bottom"/>
          </w:tcPr>
          <w:p w:rsidR="009D148C" w:rsidRPr="005D3977" w:rsidRDefault="009D148C" w:rsidP="00713B63">
            <w:pPr>
              <w:keepNext/>
              <w:jc w:val="center"/>
              <w:rPr>
                <w:b/>
                <w:bCs/>
              </w:rPr>
            </w:pPr>
            <w:r w:rsidRPr="005D3977">
              <w:rPr>
                <w:b/>
                <w:bCs/>
              </w:rPr>
              <w:t>Unit Capacity</w:t>
            </w:r>
          </w:p>
        </w:tc>
        <w:tc>
          <w:tcPr>
            <w:tcW w:w="5040" w:type="dxa"/>
            <w:shd w:val="clear" w:color="auto" w:fill="BFBFBF"/>
            <w:noWrap/>
            <w:vAlign w:val="bottom"/>
          </w:tcPr>
          <w:p w:rsidR="009D148C" w:rsidRPr="005D3977" w:rsidRDefault="009D148C" w:rsidP="00713B63">
            <w:pPr>
              <w:keepNext/>
              <w:jc w:val="center"/>
              <w:rPr>
                <w:b/>
                <w:bCs/>
              </w:rPr>
            </w:pPr>
            <w:r w:rsidRPr="005D3977">
              <w:rPr>
                <w:b/>
                <w:bCs/>
              </w:rPr>
              <w:t xml:space="preserve">Minimum EER/SEER </w:t>
            </w:r>
          </w:p>
          <w:p w:rsidR="009D148C" w:rsidRPr="005D3977" w:rsidRDefault="009D148C" w:rsidP="00713B63">
            <w:pPr>
              <w:keepNext/>
              <w:jc w:val="center"/>
              <w:rPr>
                <w:b/>
                <w:bCs/>
              </w:rPr>
            </w:pPr>
            <w:r w:rsidRPr="005D3977">
              <w:rPr>
                <w:b/>
                <w:bCs/>
              </w:rPr>
              <w:t>(After January 1, 2010)</w:t>
            </w:r>
          </w:p>
        </w:tc>
      </w:tr>
      <w:tr w:rsidR="009D148C" w:rsidRPr="005D3977">
        <w:trPr>
          <w:trHeight w:val="255"/>
          <w:jc w:val="center"/>
        </w:trPr>
        <w:tc>
          <w:tcPr>
            <w:tcW w:w="3537" w:type="dxa"/>
            <w:shd w:val="clear" w:color="auto" w:fill="F2F2F2"/>
            <w:noWrap/>
            <w:vAlign w:val="center"/>
          </w:tcPr>
          <w:p w:rsidR="009D148C" w:rsidRPr="005D3977" w:rsidRDefault="009D148C" w:rsidP="00713B63">
            <w:pPr>
              <w:keepNext/>
              <w:jc w:val="center"/>
            </w:pPr>
            <w:r w:rsidRPr="005D3977">
              <w:t>&lt;65kBtuh</w:t>
            </w:r>
          </w:p>
        </w:tc>
        <w:tc>
          <w:tcPr>
            <w:tcW w:w="5040" w:type="dxa"/>
            <w:shd w:val="clear" w:color="auto" w:fill="F2F2F2"/>
            <w:noWrap/>
            <w:vAlign w:val="center"/>
          </w:tcPr>
          <w:p w:rsidR="009D148C" w:rsidRPr="005D3977" w:rsidRDefault="009D148C" w:rsidP="00713B63">
            <w:pPr>
              <w:keepNext/>
              <w:jc w:val="center"/>
            </w:pPr>
            <w:r w:rsidRPr="005D3977">
              <w:t>13.0 SEER</w:t>
            </w:r>
          </w:p>
        </w:tc>
      </w:tr>
      <w:tr w:rsidR="009D148C" w:rsidRPr="005D3977">
        <w:trPr>
          <w:trHeight w:val="255"/>
          <w:jc w:val="center"/>
        </w:trPr>
        <w:tc>
          <w:tcPr>
            <w:tcW w:w="3537" w:type="dxa"/>
            <w:shd w:val="clear" w:color="auto" w:fill="D9D9D9"/>
            <w:noWrap/>
            <w:vAlign w:val="center"/>
          </w:tcPr>
          <w:p w:rsidR="009D148C" w:rsidRPr="005D3977" w:rsidRDefault="009D148C" w:rsidP="00713B63">
            <w:pPr>
              <w:keepNext/>
              <w:jc w:val="center"/>
            </w:pPr>
            <w:r w:rsidRPr="005D3977">
              <w:t>≥65kBtu</w:t>
            </w:r>
            <w:r>
              <w:t>/</w:t>
            </w:r>
            <w:r w:rsidRPr="005D3977">
              <w:t xml:space="preserve">h &amp; &lt;135 </w:t>
            </w:r>
            <w:proofErr w:type="spellStart"/>
            <w:r w:rsidRPr="005D3977">
              <w:t>kBtu</w:t>
            </w:r>
            <w:proofErr w:type="spellEnd"/>
            <w:r>
              <w:t>/</w:t>
            </w:r>
            <w:r w:rsidRPr="005D3977">
              <w:t>h</w:t>
            </w:r>
          </w:p>
        </w:tc>
        <w:tc>
          <w:tcPr>
            <w:tcW w:w="5040" w:type="dxa"/>
            <w:shd w:val="clear" w:color="auto" w:fill="D9D9D9"/>
            <w:noWrap/>
            <w:vAlign w:val="center"/>
          </w:tcPr>
          <w:p w:rsidR="009D148C" w:rsidRPr="005D3977" w:rsidRDefault="009D148C" w:rsidP="00713B63">
            <w:pPr>
              <w:keepNext/>
              <w:jc w:val="center"/>
            </w:pPr>
            <w:r w:rsidRPr="005D3977">
              <w:t>11.2 EER</w:t>
            </w:r>
          </w:p>
        </w:tc>
      </w:tr>
      <w:tr w:rsidR="009D148C" w:rsidRPr="005D3977">
        <w:trPr>
          <w:trHeight w:val="255"/>
          <w:jc w:val="center"/>
        </w:trPr>
        <w:tc>
          <w:tcPr>
            <w:tcW w:w="3537" w:type="dxa"/>
            <w:shd w:val="clear" w:color="auto" w:fill="F2F2F2"/>
            <w:noWrap/>
            <w:vAlign w:val="center"/>
          </w:tcPr>
          <w:p w:rsidR="009D148C" w:rsidRPr="005D3977" w:rsidRDefault="009D148C" w:rsidP="00713B63">
            <w:pPr>
              <w:keepNext/>
              <w:jc w:val="center"/>
            </w:pPr>
            <w:r w:rsidRPr="005D3977">
              <w:t>≥135kBtu</w:t>
            </w:r>
            <w:r>
              <w:t>/</w:t>
            </w:r>
            <w:r w:rsidRPr="005D3977">
              <w:t xml:space="preserve">h &amp; &lt;240 </w:t>
            </w:r>
            <w:proofErr w:type="spellStart"/>
            <w:r w:rsidRPr="005D3977">
              <w:t>kBtu</w:t>
            </w:r>
            <w:proofErr w:type="spellEnd"/>
            <w:r>
              <w:t>/</w:t>
            </w:r>
            <w:r w:rsidRPr="005D3977">
              <w:t>h</w:t>
            </w:r>
          </w:p>
        </w:tc>
        <w:tc>
          <w:tcPr>
            <w:tcW w:w="5040" w:type="dxa"/>
            <w:shd w:val="clear" w:color="auto" w:fill="F2F2F2"/>
            <w:noWrap/>
            <w:vAlign w:val="center"/>
          </w:tcPr>
          <w:p w:rsidR="009D148C" w:rsidRPr="005D3977" w:rsidRDefault="009D148C" w:rsidP="00713B63">
            <w:pPr>
              <w:keepNext/>
              <w:jc w:val="center"/>
            </w:pPr>
            <w:r w:rsidRPr="005D3977">
              <w:t>11.0 EER</w:t>
            </w:r>
          </w:p>
        </w:tc>
      </w:tr>
      <w:tr w:rsidR="009D148C" w:rsidRPr="005D3977">
        <w:trPr>
          <w:trHeight w:val="255"/>
          <w:jc w:val="center"/>
        </w:trPr>
        <w:tc>
          <w:tcPr>
            <w:tcW w:w="3537" w:type="dxa"/>
            <w:shd w:val="clear" w:color="auto" w:fill="D9D9D9"/>
            <w:noWrap/>
            <w:vAlign w:val="center"/>
          </w:tcPr>
          <w:p w:rsidR="009D148C" w:rsidRPr="005D3977" w:rsidRDefault="009D148C" w:rsidP="00713B63">
            <w:pPr>
              <w:keepNext/>
              <w:jc w:val="center"/>
            </w:pPr>
            <w:r w:rsidRPr="005D3977">
              <w:t>≥240kBtu</w:t>
            </w:r>
            <w:r>
              <w:t>/</w:t>
            </w:r>
            <w:r w:rsidRPr="005D3977">
              <w:t xml:space="preserve">h &amp; &lt;760 </w:t>
            </w:r>
            <w:proofErr w:type="spellStart"/>
            <w:r w:rsidRPr="005D3977">
              <w:t>kBtu</w:t>
            </w:r>
            <w:proofErr w:type="spellEnd"/>
            <w:r>
              <w:t>/</w:t>
            </w:r>
            <w:r w:rsidRPr="005D3977">
              <w:t>h</w:t>
            </w:r>
          </w:p>
        </w:tc>
        <w:tc>
          <w:tcPr>
            <w:tcW w:w="5040" w:type="dxa"/>
            <w:shd w:val="clear" w:color="auto" w:fill="D9D9D9"/>
            <w:noWrap/>
            <w:vAlign w:val="center"/>
          </w:tcPr>
          <w:p w:rsidR="009D148C" w:rsidRPr="005D3977" w:rsidRDefault="009D148C" w:rsidP="00713B63">
            <w:pPr>
              <w:keepNext/>
              <w:jc w:val="center"/>
            </w:pPr>
            <w:r w:rsidRPr="005D3977">
              <w:t>10.5 EER</w:t>
            </w:r>
          </w:p>
        </w:tc>
      </w:tr>
      <w:tr w:rsidR="009D148C" w:rsidRPr="005D3977">
        <w:trPr>
          <w:trHeight w:val="255"/>
          <w:jc w:val="center"/>
        </w:trPr>
        <w:tc>
          <w:tcPr>
            <w:tcW w:w="3537" w:type="dxa"/>
            <w:shd w:val="clear" w:color="auto" w:fill="F2F2F2"/>
            <w:noWrap/>
            <w:vAlign w:val="center"/>
          </w:tcPr>
          <w:p w:rsidR="009D148C" w:rsidRPr="005D3977" w:rsidRDefault="009D148C" w:rsidP="000B6C33">
            <w:pPr>
              <w:jc w:val="center"/>
            </w:pPr>
            <w:r w:rsidRPr="005D3977">
              <w:t xml:space="preserve">≥760 </w:t>
            </w:r>
            <w:proofErr w:type="spellStart"/>
            <w:r w:rsidRPr="005D3977">
              <w:t>kBtu</w:t>
            </w:r>
            <w:proofErr w:type="spellEnd"/>
            <w:r>
              <w:t>/</w:t>
            </w:r>
            <w:r w:rsidRPr="005D3977">
              <w:t>h</w:t>
            </w:r>
          </w:p>
        </w:tc>
        <w:tc>
          <w:tcPr>
            <w:tcW w:w="5040" w:type="dxa"/>
            <w:shd w:val="clear" w:color="auto" w:fill="F2F2F2"/>
            <w:noWrap/>
            <w:vAlign w:val="center"/>
          </w:tcPr>
          <w:p w:rsidR="009D148C" w:rsidRPr="005D3977" w:rsidRDefault="009D148C" w:rsidP="000B6C33">
            <w:pPr>
              <w:jc w:val="center"/>
            </w:pPr>
            <w:r w:rsidRPr="005D3977">
              <w:t>9.7 EER</w:t>
            </w:r>
          </w:p>
        </w:tc>
      </w:tr>
    </w:tbl>
    <w:p w:rsidR="009D148C" w:rsidRPr="005D3977" w:rsidRDefault="009D148C" w:rsidP="00490870">
      <w:pPr>
        <w:autoSpaceDE w:val="0"/>
        <w:autoSpaceDN w:val="0"/>
        <w:adjustRightInd w:val="0"/>
      </w:pPr>
    </w:p>
    <w:p w:rsidR="009D148C" w:rsidRPr="00D7671E" w:rsidRDefault="009D148C" w:rsidP="00EE32F4">
      <w:pPr>
        <w:pStyle w:val="Caption"/>
        <w:keepNext/>
        <w:jc w:val="center"/>
        <w:rPr>
          <w:rFonts w:cs="Arial"/>
        </w:rPr>
      </w:pPr>
      <w:bookmarkStart w:id="28" w:name="_Toc323027334"/>
      <w:proofErr w:type="gramStart"/>
      <w:r w:rsidRPr="00D7671E">
        <w:rPr>
          <w:rFonts w:cs="Arial"/>
        </w:rPr>
        <w:t xml:space="preserve">Table </w:t>
      </w:r>
      <w:r w:rsidRPr="00D7671E">
        <w:rPr>
          <w:rFonts w:cs="Arial"/>
        </w:rPr>
        <w:fldChar w:fldCharType="begin"/>
      </w:r>
      <w:r w:rsidRPr="00D7671E">
        <w:rPr>
          <w:rFonts w:cs="Arial"/>
        </w:rPr>
        <w:instrText xml:space="preserve"> SEQ Table \* ARABIC </w:instrText>
      </w:r>
      <w:r w:rsidRPr="00D7671E">
        <w:rPr>
          <w:rFonts w:cs="Arial"/>
        </w:rPr>
        <w:fldChar w:fldCharType="separate"/>
      </w:r>
      <w:r w:rsidR="002E4C74">
        <w:rPr>
          <w:rFonts w:cs="Arial"/>
          <w:noProof/>
        </w:rPr>
        <w:t>5</w:t>
      </w:r>
      <w:r w:rsidRPr="00D7671E">
        <w:rPr>
          <w:rFonts w:cs="Arial"/>
        </w:rPr>
        <w:fldChar w:fldCharType="end"/>
      </w:r>
      <w:r w:rsidRPr="00D7671E">
        <w:rPr>
          <w:rFonts w:cs="Arial"/>
        </w:rPr>
        <w:t xml:space="preserve"> Minimum 2008 Title 24 Efficiencies for Packaged Heat Pumps.</w:t>
      </w:r>
      <w:bookmarkEnd w:id="28"/>
      <w:proofErr w:type="gramEnd"/>
    </w:p>
    <w:tbl>
      <w:tblPr>
        <w:tblW w:w="8597" w:type="dxa"/>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3033"/>
        <w:gridCol w:w="2849"/>
        <w:gridCol w:w="2715"/>
      </w:tblGrid>
      <w:tr w:rsidR="009D148C" w:rsidRPr="005D3977">
        <w:trPr>
          <w:trHeight w:val="255"/>
          <w:jc w:val="center"/>
        </w:trPr>
        <w:tc>
          <w:tcPr>
            <w:tcW w:w="3033" w:type="dxa"/>
            <w:shd w:val="clear" w:color="auto" w:fill="BFBFBF"/>
            <w:noWrap/>
            <w:vAlign w:val="bottom"/>
          </w:tcPr>
          <w:p w:rsidR="009D148C" w:rsidRPr="005D3977" w:rsidRDefault="009D148C" w:rsidP="00490870">
            <w:pPr>
              <w:keepNext/>
              <w:jc w:val="center"/>
              <w:rPr>
                <w:b/>
                <w:bCs/>
              </w:rPr>
            </w:pPr>
            <w:r w:rsidRPr="005D3977">
              <w:rPr>
                <w:b/>
                <w:bCs/>
              </w:rPr>
              <w:t>Unit Capacity (Cooling)</w:t>
            </w:r>
          </w:p>
        </w:tc>
        <w:tc>
          <w:tcPr>
            <w:tcW w:w="2849" w:type="dxa"/>
            <w:shd w:val="clear" w:color="auto" w:fill="BFBFBF"/>
            <w:noWrap/>
            <w:vAlign w:val="bottom"/>
          </w:tcPr>
          <w:p w:rsidR="009D148C" w:rsidRPr="005D3977" w:rsidRDefault="009D148C" w:rsidP="00490870">
            <w:pPr>
              <w:keepNext/>
              <w:jc w:val="center"/>
              <w:rPr>
                <w:b/>
                <w:bCs/>
              </w:rPr>
            </w:pPr>
            <w:r w:rsidRPr="005D3977">
              <w:rPr>
                <w:b/>
                <w:bCs/>
              </w:rPr>
              <w:t>Cooling</w:t>
            </w:r>
          </w:p>
          <w:p w:rsidR="009D148C" w:rsidRPr="005D3977" w:rsidRDefault="009D148C" w:rsidP="00490870">
            <w:pPr>
              <w:keepNext/>
              <w:jc w:val="center"/>
              <w:rPr>
                <w:b/>
                <w:bCs/>
              </w:rPr>
            </w:pPr>
            <w:r w:rsidRPr="005D3977">
              <w:rPr>
                <w:b/>
                <w:bCs/>
              </w:rPr>
              <w:t xml:space="preserve">Minimum EER/SEER </w:t>
            </w:r>
          </w:p>
          <w:p w:rsidR="009D148C" w:rsidRPr="005D3977" w:rsidRDefault="009D148C" w:rsidP="00490870">
            <w:pPr>
              <w:keepNext/>
              <w:jc w:val="center"/>
              <w:rPr>
                <w:b/>
                <w:bCs/>
              </w:rPr>
            </w:pPr>
            <w:r w:rsidRPr="005D3977">
              <w:rPr>
                <w:b/>
                <w:bCs/>
              </w:rPr>
              <w:t>(After January 1, 2010)</w:t>
            </w:r>
          </w:p>
        </w:tc>
        <w:tc>
          <w:tcPr>
            <w:tcW w:w="2715" w:type="dxa"/>
            <w:shd w:val="clear" w:color="auto" w:fill="BFBFBF"/>
          </w:tcPr>
          <w:p w:rsidR="009D148C" w:rsidRPr="005D3977" w:rsidRDefault="009D148C" w:rsidP="00490870">
            <w:pPr>
              <w:keepNext/>
              <w:jc w:val="center"/>
              <w:rPr>
                <w:b/>
                <w:bCs/>
              </w:rPr>
            </w:pPr>
            <w:r w:rsidRPr="005D3977">
              <w:rPr>
                <w:b/>
                <w:bCs/>
              </w:rPr>
              <w:t>Heating</w:t>
            </w:r>
          </w:p>
          <w:p w:rsidR="009D148C" w:rsidRPr="005D3977" w:rsidRDefault="009D148C" w:rsidP="00490870">
            <w:pPr>
              <w:keepNext/>
              <w:jc w:val="center"/>
              <w:rPr>
                <w:b/>
                <w:bCs/>
              </w:rPr>
            </w:pPr>
            <w:r w:rsidRPr="005D3977">
              <w:rPr>
                <w:b/>
                <w:bCs/>
              </w:rPr>
              <w:t>Minimum COP/HSPF (After January 1, 2010)</w:t>
            </w:r>
          </w:p>
        </w:tc>
      </w:tr>
      <w:tr w:rsidR="009D148C" w:rsidRPr="005D3977">
        <w:trPr>
          <w:trHeight w:val="255"/>
          <w:jc w:val="center"/>
        </w:trPr>
        <w:tc>
          <w:tcPr>
            <w:tcW w:w="3033" w:type="dxa"/>
            <w:shd w:val="clear" w:color="auto" w:fill="F2F2F2"/>
            <w:noWrap/>
            <w:vAlign w:val="center"/>
          </w:tcPr>
          <w:p w:rsidR="009D148C" w:rsidRPr="005D3977" w:rsidRDefault="009D148C" w:rsidP="00490870">
            <w:pPr>
              <w:keepNext/>
              <w:jc w:val="center"/>
            </w:pPr>
            <w:r w:rsidRPr="005D3977">
              <w:t>&lt;65kBtuh</w:t>
            </w:r>
          </w:p>
        </w:tc>
        <w:tc>
          <w:tcPr>
            <w:tcW w:w="2849" w:type="dxa"/>
            <w:shd w:val="clear" w:color="auto" w:fill="F2F2F2"/>
            <w:noWrap/>
            <w:vAlign w:val="center"/>
          </w:tcPr>
          <w:p w:rsidR="009D148C" w:rsidRPr="005D3977" w:rsidRDefault="009D148C" w:rsidP="00490870">
            <w:pPr>
              <w:keepNext/>
              <w:jc w:val="center"/>
            </w:pPr>
            <w:r w:rsidRPr="005D3977">
              <w:t>13.0 SEER</w:t>
            </w:r>
          </w:p>
        </w:tc>
        <w:tc>
          <w:tcPr>
            <w:tcW w:w="2715" w:type="dxa"/>
            <w:shd w:val="clear" w:color="auto" w:fill="F2F2F2"/>
          </w:tcPr>
          <w:p w:rsidR="009D148C" w:rsidRPr="005D3977" w:rsidRDefault="009D148C" w:rsidP="00490870">
            <w:pPr>
              <w:keepNext/>
              <w:jc w:val="center"/>
            </w:pPr>
            <w:r w:rsidRPr="005D3977">
              <w:t>7.7 HSPF</w:t>
            </w:r>
          </w:p>
        </w:tc>
      </w:tr>
      <w:tr w:rsidR="009D148C" w:rsidRPr="005D3977">
        <w:trPr>
          <w:trHeight w:val="255"/>
          <w:jc w:val="center"/>
        </w:trPr>
        <w:tc>
          <w:tcPr>
            <w:tcW w:w="3033" w:type="dxa"/>
            <w:shd w:val="clear" w:color="auto" w:fill="D9D9D9"/>
            <w:noWrap/>
            <w:vAlign w:val="center"/>
          </w:tcPr>
          <w:p w:rsidR="009D148C" w:rsidRPr="005D3977" w:rsidRDefault="009D148C" w:rsidP="00490870">
            <w:pPr>
              <w:keepNext/>
              <w:jc w:val="center"/>
            </w:pPr>
            <w:r w:rsidRPr="005D3977">
              <w:t>≥65kBtu</w:t>
            </w:r>
            <w:r>
              <w:t>/</w:t>
            </w:r>
            <w:r w:rsidRPr="005D3977">
              <w:t xml:space="preserve">h &amp; &lt;135 </w:t>
            </w:r>
            <w:proofErr w:type="spellStart"/>
            <w:r w:rsidRPr="005D3977">
              <w:t>kBtu</w:t>
            </w:r>
            <w:proofErr w:type="spellEnd"/>
            <w:r>
              <w:t>/</w:t>
            </w:r>
            <w:r w:rsidRPr="005D3977">
              <w:t>h</w:t>
            </w:r>
          </w:p>
        </w:tc>
        <w:tc>
          <w:tcPr>
            <w:tcW w:w="2849" w:type="dxa"/>
            <w:shd w:val="clear" w:color="auto" w:fill="D9D9D9"/>
            <w:noWrap/>
            <w:vAlign w:val="center"/>
          </w:tcPr>
          <w:p w:rsidR="009D148C" w:rsidRPr="005D3977" w:rsidRDefault="009D148C" w:rsidP="00490870">
            <w:pPr>
              <w:keepNext/>
              <w:jc w:val="center"/>
            </w:pPr>
            <w:r w:rsidRPr="005D3977">
              <w:t>11.0 EER</w:t>
            </w:r>
          </w:p>
        </w:tc>
        <w:tc>
          <w:tcPr>
            <w:tcW w:w="2715" w:type="dxa"/>
            <w:shd w:val="clear" w:color="auto" w:fill="D9D9D9"/>
          </w:tcPr>
          <w:p w:rsidR="009D148C" w:rsidRPr="005D3977" w:rsidRDefault="009D148C" w:rsidP="00490870">
            <w:pPr>
              <w:keepNext/>
              <w:jc w:val="center"/>
            </w:pPr>
            <w:r w:rsidRPr="005D3977">
              <w:t>3.3 COP</w:t>
            </w:r>
          </w:p>
        </w:tc>
      </w:tr>
      <w:tr w:rsidR="009D148C" w:rsidRPr="005D3977">
        <w:trPr>
          <w:trHeight w:val="255"/>
          <w:jc w:val="center"/>
        </w:trPr>
        <w:tc>
          <w:tcPr>
            <w:tcW w:w="3033" w:type="dxa"/>
            <w:shd w:val="clear" w:color="auto" w:fill="F2F2F2"/>
            <w:noWrap/>
            <w:vAlign w:val="center"/>
          </w:tcPr>
          <w:p w:rsidR="009D148C" w:rsidRPr="005D3977" w:rsidRDefault="009D148C" w:rsidP="00490870">
            <w:pPr>
              <w:keepNext/>
              <w:jc w:val="center"/>
            </w:pPr>
            <w:r w:rsidRPr="005D3977">
              <w:t>≥135kBtu</w:t>
            </w:r>
            <w:r>
              <w:t>/</w:t>
            </w:r>
            <w:r w:rsidRPr="005D3977">
              <w:t xml:space="preserve">h &amp; &lt;240 </w:t>
            </w:r>
            <w:proofErr w:type="spellStart"/>
            <w:r w:rsidRPr="005D3977">
              <w:t>kBtu</w:t>
            </w:r>
            <w:proofErr w:type="spellEnd"/>
            <w:r>
              <w:t>/</w:t>
            </w:r>
            <w:r w:rsidRPr="005D3977">
              <w:t>h</w:t>
            </w:r>
          </w:p>
        </w:tc>
        <w:tc>
          <w:tcPr>
            <w:tcW w:w="2849" w:type="dxa"/>
            <w:shd w:val="clear" w:color="auto" w:fill="F2F2F2"/>
            <w:noWrap/>
            <w:vAlign w:val="center"/>
          </w:tcPr>
          <w:p w:rsidR="009D148C" w:rsidRPr="005D3977" w:rsidRDefault="009D148C" w:rsidP="00490870">
            <w:pPr>
              <w:keepNext/>
              <w:jc w:val="center"/>
            </w:pPr>
            <w:r w:rsidRPr="005D3977">
              <w:t>10.6 EER</w:t>
            </w:r>
          </w:p>
        </w:tc>
        <w:tc>
          <w:tcPr>
            <w:tcW w:w="2715" w:type="dxa"/>
            <w:shd w:val="clear" w:color="auto" w:fill="F2F2F2"/>
          </w:tcPr>
          <w:p w:rsidR="009D148C" w:rsidRPr="005D3977" w:rsidRDefault="009D148C" w:rsidP="00490870">
            <w:pPr>
              <w:keepNext/>
              <w:jc w:val="center"/>
            </w:pPr>
            <w:r w:rsidRPr="005D3977">
              <w:t>3.2 COP</w:t>
            </w:r>
          </w:p>
        </w:tc>
      </w:tr>
      <w:tr w:rsidR="009D148C" w:rsidRPr="005D3977">
        <w:trPr>
          <w:trHeight w:val="255"/>
          <w:jc w:val="center"/>
        </w:trPr>
        <w:tc>
          <w:tcPr>
            <w:tcW w:w="3033" w:type="dxa"/>
            <w:shd w:val="clear" w:color="auto" w:fill="D9D9D9"/>
            <w:noWrap/>
            <w:vAlign w:val="center"/>
          </w:tcPr>
          <w:p w:rsidR="009D148C" w:rsidRPr="005D3977" w:rsidRDefault="009D148C" w:rsidP="000B6C33">
            <w:pPr>
              <w:jc w:val="center"/>
            </w:pPr>
            <w:r w:rsidRPr="005D3977">
              <w:t>≥240kBtu</w:t>
            </w:r>
            <w:r>
              <w:t>/</w:t>
            </w:r>
            <w:r w:rsidRPr="005D3977">
              <w:t>h</w:t>
            </w:r>
          </w:p>
        </w:tc>
        <w:tc>
          <w:tcPr>
            <w:tcW w:w="2849" w:type="dxa"/>
            <w:shd w:val="clear" w:color="auto" w:fill="D9D9D9"/>
            <w:noWrap/>
            <w:vAlign w:val="center"/>
          </w:tcPr>
          <w:p w:rsidR="009D148C" w:rsidRPr="005D3977" w:rsidRDefault="009D148C" w:rsidP="000B6C33">
            <w:pPr>
              <w:jc w:val="center"/>
            </w:pPr>
            <w:r w:rsidRPr="005D3977">
              <w:t>9.5 EER</w:t>
            </w:r>
          </w:p>
        </w:tc>
        <w:tc>
          <w:tcPr>
            <w:tcW w:w="2715" w:type="dxa"/>
            <w:shd w:val="clear" w:color="auto" w:fill="D9D9D9"/>
          </w:tcPr>
          <w:p w:rsidR="009D148C" w:rsidRPr="005D3977" w:rsidRDefault="009D148C" w:rsidP="000B6C33">
            <w:pPr>
              <w:jc w:val="center"/>
            </w:pPr>
            <w:r w:rsidRPr="005D3977">
              <w:t>3.2 COP</w:t>
            </w:r>
          </w:p>
        </w:tc>
      </w:tr>
    </w:tbl>
    <w:p w:rsidR="009D148C" w:rsidRPr="00490870" w:rsidRDefault="009D148C" w:rsidP="00490870">
      <w:pPr>
        <w:autoSpaceDE w:val="0"/>
        <w:autoSpaceDN w:val="0"/>
        <w:adjustRightInd w:val="0"/>
        <w:rPr>
          <w:i/>
          <w:iCs/>
        </w:rPr>
      </w:pPr>
      <w:r w:rsidRPr="00490870">
        <w:rPr>
          <w:i/>
          <w:iCs/>
        </w:rPr>
        <w:t>Note: Deduct 0.2 from the required EER for units with a heating section other than electric resistance heat.</w:t>
      </w:r>
    </w:p>
    <w:p w:rsidR="009D148C" w:rsidRDefault="009D148C" w:rsidP="00EE53FF">
      <w:pPr>
        <w:rPr>
          <w:i/>
          <w:iCs/>
        </w:rPr>
      </w:pPr>
    </w:p>
    <w:p w:rsidR="009D148C" w:rsidRDefault="009D148C" w:rsidP="00713B63">
      <w:pPr>
        <w:rPr>
          <w:b/>
          <w:bCs/>
          <w:i/>
          <w:iCs/>
          <w:sz w:val="20"/>
          <w:szCs w:val="20"/>
        </w:rPr>
      </w:pPr>
      <w:r w:rsidRPr="00F07EF1">
        <w:rPr>
          <w:rStyle w:val="Strong"/>
          <w:rFonts w:cs="Arial"/>
        </w:rPr>
        <w:t>Federal Standards:</w:t>
      </w:r>
      <w:r w:rsidRPr="00713B63">
        <w:t xml:space="preserve"> </w:t>
      </w:r>
      <w:r w:rsidRPr="00713B63">
        <w:rPr>
          <w:sz w:val="20"/>
          <w:szCs w:val="20"/>
        </w:rPr>
        <w:t>The California standards exceed Federal requirements.</w:t>
      </w:r>
    </w:p>
    <w:p w:rsidR="009D148C" w:rsidRDefault="009D148C" w:rsidP="00CB0475">
      <w:pPr>
        <w:rPr>
          <w:sz w:val="20"/>
          <w:szCs w:val="20"/>
        </w:rPr>
      </w:pPr>
    </w:p>
    <w:p w:rsidR="009D148C" w:rsidRDefault="009D148C" w:rsidP="00CB0475">
      <w:pPr>
        <w:rPr>
          <w:b/>
          <w:bCs/>
          <w:sz w:val="20"/>
          <w:szCs w:val="20"/>
        </w:rPr>
      </w:pPr>
      <w:r w:rsidRPr="0034136E">
        <w:rPr>
          <w:b/>
          <w:bCs/>
          <w:sz w:val="20"/>
          <w:szCs w:val="20"/>
        </w:rPr>
        <w:t xml:space="preserve">Hours of Operation:  </w:t>
      </w:r>
      <w:r w:rsidRPr="00E764AF">
        <w:rPr>
          <w:sz w:val="20"/>
          <w:szCs w:val="20"/>
        </w:rPr>
        <w:t>The DEER hours of operation refer to non-</w:t>
      </w:r>
      <w:proofErr w:type="spellStart"/>
      <w:r w:rsidRPr="00E764AF">
        <w:rPr>
          <w:sz w:val="20"/>
          <w:szCs w:val="20"/>
        </w:rPr>
        <w:t>CFL</w:t>
      </w:r>
      <w:r>
        <w:rPr>
          <w:sz w:val="20"/>
          <w:szCs w:val="20"/>
        </w:rPr>
        <w:t>equivalent</w:t>
      </w:r>
      <w:proofErr w:type="spellEnd"/>
      <w:r>
        <w:rPr>
          <w:sz w:val="20"/>
          <w:szCs w:val="20"/>
        </w:rPr>
        <w:t xml:space="preserve"> full-load </w:t>
      </w:r>
      <w:r w:rsidRPr="00E764AF">
        <w:rPr>
          <w:sz w:val="20"/>
          <w:szCs w:val="20"/>
        </w:rPr>
        <w:t>lighting hours. Title 24 ACM schedule uses 4300 hours for HVAC operation for offices.</w:t>
      </w:r>
      <w:r>
        <w:rPr>
          <w:b/>
          <w:bCs/>
          <w:sz w:val="20"/>
          <w:szCs w:val="20"/>
        </w:rPr>
        <w:tab/>
      </w:r>
    </w:p>
    <w:p w:rsidR="009D148C" w:rsidRPr="00132E72" w:rsidRDefault="009D148C" w:rsidP="00CB0475">
      <w:pPr>
        <w:rPr>
          <w:sz w:val="20"/>
          <w:szCs w:val="20"/>
        </w:rPr>
      </w:pPr>
      <w:r>
        <w:rPr>
          <w:b/>
          <w:bCs/>
          <w:sz w:val="20"/>
          <w:szCs w:val="20"/>
        </w:rPr>
        <w:tab/>
      </w:r>
    </w:p>
    <w:p w:rsidR="009D148C" w:rsidRPr="00D7671E" w:rsidRDefault="009D148C" w:rsidP="00D7671E">
      <w:pPr>
        <w:pStyle w:val="Caption"/>
        <w:jc w:val="center"/>
        <w:rPr>
          <w:rFonts w:cs="Arial"/>
          <w:b w:val="0"/>
          <w:bCs w:val="0"/>
        </w:rPr>
      </w:pPr>
      <w:bookmarkStart w:id="29" w:name="_Toc323027335"/>
      <w:r w:rsidRPr="00D7671E">
        <w:rPr>
          <w:rFonts w:cs="Arial"/>
        </w:rPr>
        <w:t xml:space="preserve">Table </w:t>
      </w:r>
      <w:r w:rsidRPr="00D7671E">
        <w:rPr>
          <w:rFonts w:cs="Arial"/>
        </w:rPr>
        <w:fldChar w:fldCharType="begin"/>
      </w:r>
      <w:r w:rsidRPr="00D7671E">
        <w:rPr>
          <w:rFonts w:cs="Arial"/>
        </w:rPr>
        <w:instrText xml:space="preserve"> SEQ Table \* ARABIC </w:instrText>
      </w:r>
      <w:r w:rsidRPr="00D7671E">
        <w:rPr>
          <w:rFonts w:cs="Arial"/>
        </w:rPr>
        <w:fldChar w:fldCharType="separate"/>
      </w:r>
      <w:r w:rsidR="002E4C74">
        <w:rPr>
          <w:rFonts w:cs="Arial"/>
          <w:noProof/>
        </w:rPr>
        <w:t>6</w:t>
      </w:r>
      <w:r w:rsidRPr="00D7671E">
        <w:rPr>
          <w:rFonts w:cs="Arial"/>
        </w:rPr>
        <w:fldChar w:fldCharType="end"/>
      </w:r>
      <w:r w:rsidRPr="00D7671E">
        <w:rPr>
          <w:rFonts w:cs="Arial"/>
        </w:rPr>
        <w:t xml:space="preserve"> Hours of Operation</w:t>
      </w:r>
      <w:bookmarkEnd w:id="29"/>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1016"/>
        <w:gridCol w:w="1017"/>
        <w:gridCol w:w="1927"/>
        <w:gridCol w:w="1350"/>
        <w:gridCol w:w="1710"/>
      </w:tblGrid>
      <w:tr w:rsidR="009D148C" w:rsidRPr="00783DAC" w:rsidTr="002F4369">
        <w:trPr>
          <w:jc w:val="center"/>
        </w:trPr>
        <w:tc>
          <w:tcPr>
            <w:tcW w:w="2088" w:type="dxa"/>
            <w:shd w:val="clear" w:color="auto" w:fill="BFBFBF"/>
          </w:tcPr>
          <w:p w:rsidR="009D148C" w:rsidRDefault="009D148C" w:rsidP="00FC0CB3">
            <w:pPr>
              <w:rPr>
                <w:b/>
                <w:bCs/>
                <w:sz w:val="20"/>
                <w:szCs w:val="20"/>
              </w:rPr>
            </w:pPr>
            <w:r>
              <w:rPr>
                <w:b/>
                <w:bCs/>
                <w:sz w:val="20"/>
                <w:szCs w:val="20"/>
              </w:rPr>
              <w:t xml:space="preserve">Building type </w:t>
            </w:r>
          </w:p>
          <w:p w:rsidR="009D148C" w:rsidRPr="00783DAC" w:rsidRDefault="009D148C" w:rsidP="00FC0CB3">
            <w:pPr>
              <w:rPr>
                <w:b/>
                <w:bCs/>
                <w:sz w:val="20"/>
                <w:szCs w:val="20"/>
              </w:rPr>
            </w:pPr>
            <w:r>
              <w:rPr>
                <w:b/>
                <w:bCs/>
                <w:sz w:val="20"/>
                <w:szCs w:val="20"/>
              </w:rPr>
              <w:t>(DEER code)</w:t>
            </w:r>
          </w:p>
        </w:tc>
        <w:tc>
          <w:tcPr>
            <w:tcW w:w="1016" w:type="dxa"/>
            <w:shd w:val="clear" w:color="auto" w:fill="BFBFBF"/>
          </w:tcPr>
          <w:p w:rsidR="009D148C" w:rsidRPr="00783DAC" w:rsidRDefault="009D148C" w:rsidP="00E764AF">
            <w:pPr>
              <w:rPr>
                <w:b/>
                <w:bCs/>
                <w:sz w:val="20"/>
                <w:szCs w:val="20"/>
              </w:rPr>
            </w:pPr>
            <w:r w:rsidRPr="00783DAC">
              <w:rPr>
                <w:b/>
                <w:bCs/>
                <w:sz w:val="20"/>
                <w:szCs w:val="20"/>
              </w:rPr>
              <w:t>B</w:t>
            </w:r>
            <w:r>
              <w:rPr>
                <w:b/>
                <w:bCs/>
                <w:sz w:val="20"/>
                <w:szCs w:val="20"/>
              </w:rPr>
              <w:t>uilding</w:t>
            </w:r>
            <w:r w:rsidRPr="00783DAC">
              <w:rPr>
                <w:b/>
                <w:bCs/>
                <w:sz w:val="20"/>
                <w:szCs w:val="20"/>
              </w:rPr>
              <w:t xml:space="preserve"> Vintage  </w:t>
            </w:r>
          </w:p>
        </w:tc>
        <w:tc>
          <w:tcPr>
            <w:tcW w:w="1017" w:type="dxa"/>
            <w:shd w:val="clear" w:color="auto" w:fill="BFBFBF"/>
          </w:tcPr>
          <w:p w:rsidR="009D148C" w:rsidRPr="00783DAC" w:rsidRDefault="009D148C" w:rsidP="00FC0CB3">
            <w:pPr>
              <w:rPr>
                <w:b/>
                <w:bCs/>
                <w:sz w:val="20"/>
                <w:szCs w:val="20"/>
              </w:rPr>
            </w:pPr>
            <w:r w:rsidRPr="00783DAC">
              <w:rPr>
                <w:b/>
                <w:bCs/>
                <w:sz w:val="20"/>
                <w:szCs w:val="20"/>
              </w:rPr>
              <w:t xml:space="preserve">Climate Zone  </w:t>
            </w:r>
          </w:p>
        </w:tc>
        <w:tc>
          <w:tcPr>
            <w:tcW w:w="1927" w:type="dxa"/>
            <w:shd w:val="clear" w:color="auto" w:fill="BFBFBF"/>
          </w:tcPr>
          <w:p w:rsidR="009D148C" w:rsidRPr="00783DAC" w:rsidRDefault="009D148C" w:rsidP="00E764AF">
            <w:pPr>
              <w:rPr>
                <w:b/>
                <w:bCs/>
                <w:sz w:val="20"/>
                <w:szCs w:val="20"/>
              </w:rPr>
            </w:pPr>
            <w:r w:rsidRPr="00D21681">
              <w:rPr>
                <w:b/>
                <w:bCs/>
                <w:sz w:val="20"/>
                <w:szCs w:val="20"/>
              </w:rPr>
              <w:t>DEER 2011</w:t>
            </w:r>
            <w:r w:rsidRPr="00D21681">
              <w:rPr>
                <w:b/>
                <w:bCs/>
                <w:sz w:val="20"/>
                <w:szCs w:val="20"/>
                <w:vertAlign w:val="superscript"/>
              </w:rPr>
              <w:endnoteReference w:id="5"/>
            </w:r>
            <w:r w:rsidRPr="00D21681">
              <w:rPr>
                <w:b/>
                <w:bCs/>
                <w:sz w:val="20"/>
                <w:szCs w:val="20"/>
              </w:rPr>
              <w:t xml:space="preserve"> </w:t>
            </w:r>
            <w:r w:rsidRPr="00D21681">
              <w:rPr>
                <w:b/>
                <w:bCs/>
                <w:sz w:val="20"/>
                <w:szCs w:val="20"/>
                <w:vertAlign w:val="superscript"/>
              </w:rPr>
              <w:t xml:space="preserve"> </w:t>
            </w:r>
            <w:r>
              <w:rPr>
                <w:b/>
                <w:bCs/>
                <w:sz w:val="20"/>
                <w:szCs w:val="20"/>
              </w:rPr>
              <w:t>Non-CFL Lighting EFLH</w:t>
            </w:r>
            <w:r w:rsidRPr="00783DAC">
              <w:rPr>
                <w:b/>
                <w:bCs/>
                <w:sz w:val="20"/>
                <w:szCs w:val="20"/>
              </w:rPr>
              <w:t xml:space="preserve"> </w:t>
            </w:r>
            <w:proofErr w:type="spellStart"/>
            <w:r w:rsidRPr="00783DAC">
              <w:rPr>
                <w:b/>
                <w:bCs/>
                <w:sz w:val="20"/>
                <w:szCs w:val="20"/>
              </w:rPr>
              <w:t>hrs</w:t>
            </w:r>
            <w:proofErr w:type="spellEnd"/>
            <w:r w:rsidRPr="00783DAC">
              <w:rPr>
                <w:b/>
                <w:bCs/>
                <w:sz w:val="20"/>
                <w:szCs w:val="20"/>
              </w:rPr>
              <w:t>/</w:t>
            </w:r>
            <w:proofErr w:type="spellStart"/>
            <w:r w:rsidRPr="00783DAC">
              <w:rPr>
                <w:b/>
                <w:bCs/>
                <w:sz w:val="20"/>
                <w:szCs w:val="20"/>
              </w:rPr>
              <w:t>yr</w:t>
            </w:r>
            <w:proofErr w:type="spellEnd"/>
          </w:p>
        </w:tc>
        <w:tc>
          <w:tcPr>
            <w:tcW w:w="1350" w:type="dxa"/>
            <w:shd w:val="clear" w:color="auto" w:fill="BFBFBF"/>
          </w:tcPr>
          <w:p w:rsidR="009D148C" w:rsidRDefault="009D148C" w:rsidP="00FC0CB3">
            <w:pPr>
              <w:rPr>
                <w:b/>
                <w:bCs/>
                <w:sz w:val="20"/>
                <w:szCs w:val="20"/>
              </w:rPr>
            </w:pPr>
            <w:r>
              <w:rPr>
                <w:b/>
                <w:bCs/>
                <w:sz w:val="20"/>
                <w:szCs w:val="20"/>
              </w:rPr>
              <w:t>DEER 2011 sum of occupied hours</w:t>
            </w:r>
          </w:p>
        </w:tc>
        <w:tc>
          <w:tcPr>
            <w:tcW w:w="1710" w:type="dxa"/>
            <w:shd w:val="clear" w:color="auto" w:fill="BFBFBF"/>
          </w:tcPr>
          <w:p w:rsidR="009D148C" w:rsidRPr="00783DAC" w:rsidRDefault="009D148C" w:rsidP="00E764AF">
            <w:pPr>
              <w:rPr>
                <w:b/>
                <w:bCs/>
                <w:sz w:val="20"/>
                <w:szCs w:val="20"/>
              </w:rPr>
            </w:pPr>
            <w:r>
              <w:rPr>
                <w:b/>
                <w:bCs/>
                <w:sz w:val="20"/>
                <w:szCs w:val="20"/>
              </w:rPr>
              <w:t xml:space="preserve">T24 ACM HVAC Hours of Operation </w:t>
            </w:r>
            <w:proofErr w:type="spellStart"/>
            <w:r>
              <w:rPr>
                <w:b/>
                <w:bCs/>
                <w:sz w:val="20"/>
                <w:szCs w:val="20"/>
              </w:rPr>
              <w:t>hrs</w:t>
            </w:r>
            <w:proofErr w:type="spellEnd"/>
            <w:r>
              <w:rPr>
                <w:b/>
                <w:bCs/>
                <w:sz w:val="20"/>
                <w:szCs w:val="20"/>
              </w:rPr>
              <w:t>/</w:t>
            </w:r>
            <w:proofErr w:type="spellStart"/>
            <w:r>
              <w:rPr>
                <w:b/>
                <w:bCs/>
                <w:sz w:val="20"/>
                <w:szCs w:val="20"/>
              </w:rPr>
              <w:t>yr</w:t>
            </w:r>
            <w:proofErr w:type="spellEnd"/>
          </w:p>
        </w:tc>
      </w:tr>
      <w:tr w:rsidR="009D148C" w:rsidRPr="00EE32F4" w:rsidTr="002F4369">
        <w:trPr>
          <w:jc w:val="center"/>
        </w:trPr>
        <w:tc>
          <w:tcPr>
            <w:tcW w:w="2088" w:type="dxa"/>
            <w:shd w:val="clear" w:color="auto" w:fill="F2F2F2"/>
          </w:tcPr>
          <w:p w:rsidR="009D148C" w:rsidRPr="00EE32F4" w:rsidRDefault="009D148C" w:rsidP="00FC0CB3">
            <w:pPr>
              <w:rPr>
                <w:sz w:val="20"/>
                <w:szCs w:val="20"/>
              </w:rPr>
            </w:pPr>
            <w:r w:rsidRPr="00EE32F4">
              <w:rPr>
                <w:sz w:val="20"/>
                <w:szCs w:val="20"/>
              </w:rPr>
              <w:t>Large Office (OFL)</w:t>
            </w:r>
          </w:p>
        </w:tc>
        <w:tc>
          <w:tcPr>
            <w:tcW w:w="1016" w:type="dxa"/>
            <w:shd w:val="clear" w:color="auto" w:fill="F2F2F2"/>
          </w:tcPr>
          <w:p w:rsidR="009D148C" w:rsidRPr="00EE32F4" w:rsidRDefault="009D148C" w:rsidP="00FC0CB3">
            <w:pPr>
              <w:rPr>
                <w:sz w:val="20"/>
                <w:szCs w:val="20"/>
              </w:rPr>
            </w:pPr>
            <w:r w:rsidRPr="00EE32F4">
              <w:rPr>
                <w:sz w:val="20"/>
                <w:szCs w:val="20"/>
              </w:rPr>
              <w:t>AV</w:t>
            </w:r>
          </w:p>
        </w:tc>
        <w:tc>
          <w:tcPr>
            <w:tcW w:w="1017" w:type="dxa"/>
            <w:shd w:val="clear" w:color="auto" w:fill="F2F2F2"/>
          </w:tcPr>
          <w:p w:rsidR="009D148C" w:rsidRPr="00EE32F4" w:rsidRDefault="009D148C" w:rsidP="00FC0CB3">
            <w:pPr>
              <w:rPr>
                <w:sz w:val="20"/>
                <w:szCs w:val="20"/>
              </w:rPr>
            </w:pPr>
            <w:r w:rsidRPr="00EE32F4">
              <w:rPr>
                <w:sz w:val="20"/>
                <w:szCs w:val="20"/>
              </w:rPr>
              <w:t>ALL</w:t>
            </w:r>
          </w:p>
        </w:tc>
        <w:tc>
          <w:tcPr>
            <w:tcW w:w="1927" w:type="dxa"/>
            <w:shd w:val="clear" w:color="auto" w:fill="F2F2F2"/>
          </w:tcPr>
          <w:p w:rsidR="009D148C" w:rsidRPr="00EE32F4" w:rsidRDefault="009D148C" w:rsidP="00FC0CB3">
            <w:pPr>
              <w:rPr>
                <w:sz w:val="20"/>
                <w:szCs w:val="20"/>
              </w:rPr>
            </w:pPr>
            <w:r w:rsidRPr="00EE32F4">
              <w:rPr>
                <w:sz w:val="20"/>
                <w:szCs w:val="20"/>
              </w:rPr>
              <w:t>2641</w:t>
            </w:r>
          </w:p>
        </w:tc>
        <w:tc>
          <w:tcPr>
            <w:tcW w:w="1350" w:type="dxa"/>
            <w:shd w:val="clear" w:color="auto" w:fill="F2F2F2"/>
          </w:tcPr>
          <w:p w:rsidR="009D148C" w:rsidRDefault="009D148C" w:rsidP="00FC0CB3">
            <w:pPr>
              <w:rPr>
                <w:sz w:val="20"/>
                <w:szCs w:val="20"/>
              </w:rPr>
            </w:pPr>
          </w:p>
        </w:tc>
        <w:tc>
          <w:tcPr>
            <w:tcW w:w="1710" w:type="dxa"/>
            <w:shd w:val="clear" w:color="auto" w:fill="F2F2F2"/>
          </w:tcPr>
          <w:p w:rsidR="009D148C" w:rsidRDefault="009D148C" w:rsidP="00FC0CB3">
            <w:pPr>
              <w:rPr>
                <w:sz w:val="20"/>
                <w:szCs w:val="20"/>
              </w:rPr>
            </w:pPr>
            <w:r>
              <w:rPr>
                <w:sz w:val="20"/>
                <w:szCs w:val="20"/>
              </w:rPr>
              <w:t>4300</w:t>
            </w:r>
          </w:p>
        </w:tc>
      </w:tr>
      <w:tr w:rsidR="009D148C" w:rsidRPr="00EE32F4" w:rsidTr="002F4369">
        <w:trPr>
          <w:jc w:val="center"/>
        </w:trPr>
        <w:tc>
          <w:tcPr>
            <w:tcW w:w="2088" w:type="dxa"/>
            <w:shd w:val="clear" w:color="auto" w:fill="D9D9D9"/>
          </w:tcPr>
          <w:p w:rsidR="009D148C" w:rsidRPr="00EE32F4" w:rsidRDefault="009D148C" w:rsidP="00FC0CB3">
            <w:pPr>
              <w:rPr>
                <w:sz w:val="20"/>
                <w:szCs w:val="20"/>
              </w:rPr>
            </w:pPr>
            <w:r w:rsidRPr="00EE32F4">
              <w:rPr>
                <w:sz w:val="20"/>
                <w:szCs w:val="20"/>
              </w:rPr>
              <w:t>Small Office (OFS)</w:t>
            </w:r>
          </w:p>
        </w:tc>
        <w:tc>
          <w:tcPr>
            <w:tcW w:w="1016" w:type="dxa"/>
            <w:shd w:val="clear" w:color="auto" w:fill="D9D9D9"/>
          </w:tcPr>
          <w:p w:rsidR="009D148C" w:rsidRPr="00EE32F4" w:rsidRDefault="009D148C">
            <w:r w:rsidRPr="00EE32F4">
              <w:rPr>
                <w:sz w:val="20"/>
                <w:szCs w:val="20"/>
              </w:rPr>
              <w:t>AV</w:t>
            </w:r>
          </w:p>
        </w:tc>
        <w:tc>
          <w:tcPr>
            <w:tcW w:w="1017" w:type="dxa"/>
            <w:shd w:val="clear" w:color="auto" w:fill="D9D9D9"/>
          </w:tcPr>
          <w:p w:rsidR="009D148C" w:rsidRPr="00EE32F4" w:rsidRDefault="009D148C" w:rsidP="009958A9">
            <w:pPr>
              <w:rPr>
                <w:sz w:val="20"/>
                <w:szCs w:val="20"/>
              </w:rPr>
            </w:pPr>
            <w:r w:rsidRPr="00EE32F4">
              <w:rPr>
                <w:sz w:val="20"/>
                <w:szCs w:val="20"/>
              </w:rPr>
              <w:t>ALL</w:t>
            </w:r>
          </w:p>
        </w:tc>
        <w:tc>
          <w:tcPr>
            <w:tcW w:w="1927" w:type="dxa"/>
            <w:shd w:val="clear" w:color="auto" w:fill="D9D9D9"/>
          </w:tcPr>
          <w:p w:rsidR="009D148C" w:rsidRPr="00EE32F4" w:rsidRDefault="009D148C" w:rsidP="00FC0CB3">
            <w:pPr>
              <w:rPr>
                <w:sz w:val="20"/>
                <w:szCs w:val="20"/>
              </w:rPr>
            </w:pPr>
            <w:r w:rsidRPr="00EE32F4">
              <w:rPr>
                <w:sz w:val="20"/>
                <w:szCs w:val="20"/>
              </w:rPr>
              <w:t>2594</w:t>
            </w:r>
          </w:p>
        </w:tc>
        <w:tc>
          <w:tcPr>
            <w:tcW w:w="1350" w:type="dxa"/>
            <w:shd w:val="clear" w:color="auto" w:fill="D9D9D9"/>
          </w:tcPr>
          <w:p w:rsidR="009D148C" w:rsidRDefault="009D148C" w:rsidP="00FC0CB3">
            <w:pPr>
              <w:rPr>
                <w:sz w:val="20"/>
                <w:szCs w:val="20"/>
              </w:rPr>
            </w:pPr>
          </w:p>
        </w:tc>
        <w:tc>
          <w:tcPr>
            <w:tcW w:w="1710" w:type="dxa"/>
            <w:shd w:val="clear" w:color="auto" w:fill="D9D9D9"/>
          </w:tcPr>
          <w:p w:rsidR="009D148C" w:rsidRDefault="009D148C" w:rsidP="00FC0CB3">
            <w:pPr>
              <w:rPr>
                <w:sz w:val="20"/>
                <w:szCs w:val="20"/>
              </w:rPr>
            </w:pPr>
            <w:r>
              <w:rPr>
                <w:sz w:val="20"/>
                <w:szCs w:val="20"/>
              </w:rPr>
              <w:t>4300</w:t>
            </w:r>
          </w:p>
        </w:tc>
      </w:tr>
      <w:tr w:rsidR="009D148C" w:rsidRPr="00EE32F4" w:rsidTr="002F4369">
        <w:trPr>
          <w:jc w:val="center"/>
        </w:trPr>
        <w:tc>
          <w:tcPr>
            <w:tcW w:w="2088" w:type="dxa"/>
            <w:shd w:val="clear" w:color="auto" w:fill="F2F2F2"/>
          </w:tcPr>
          <w:p w:rsidR="009D148C" w:rsidRPr="00EE32F4" w:rsidRDefault="009D148C" w:rsidP="00FC0CB3">
            <w:pPr>
              <w:rPr>
                <w:sz w:val="20"/>
                <w:szCs w:val="20"/>
              </w:rPr>
            </w:pPr>
            <w:r w:rsidRPr="00EE32F4">
              <w:rPr>
                <w:sz w:val="20"/>
                <w:szCs w:val="20"/>
              </w:rPr>
              <w:t>Middle School (ESE)</w:t>
            </w:r>
          </w:p>
        </w:tc>
        <w:tc>
          <w:tcPr>
            <w:tcW w:w="1016" w:type="dxa"/>
            <w:shd w:val="clear" w:color="auto" w:fill="F2F2F2"/>
          </w:tcPr>
          <w:p w:rsidR="009D148C" w:rsidRPr="00EE32F4" w:rsidRDefault="009D148C">
            <w:r w:rsidRPr="00EE32F4">
              <w:rPr>
                <w:sz w:val="20"/>
                <w:szCs w:val="20"/>
              </w:rPr>
              <w:t>AV</w:t>
            </w:r>
          </w:p>
        </w:tc>
        <w:tc>
          <w:tcPr>
            <w:tcW w:w="1017" w:type="dxa"/>
            <w:shd w:val="clear" w:color="auto" w:fill="F2F2F2"/>
          </w:tcPr>
          <w:p w:rsidR="009D148C" w:rsidRPr="00EE32F4" w:rsidRDefault="009D148C" w:rsidP="009958A9">
            <w:pPr>
              <w:rPr>
                <w:sz w:val="20"/>
                <w:szCs w:val="20"/>
              </w:rPr>
            </w:pPr>
            <w:r w:rsidRPr="00EE32F4">
              <w:rPr>
                <w:sz w:val="20"/>
                <w:szCs w:val="20"/>
              </w:rPr>
              <w:t>ALL</w:t>
            </w:r>
          </w:p>
        </w:tc>
        <w:tc>
          <w:tcPr>
            <w:tcW w:w="1927" w:type="dxa"/>
            <w:shd w:val="clear" w:color="auto" w:fill="F2F2F2"/>
          </w:tcPr>
          <w:p w:rsidR="009D148C" w:rsidRPr="00EE32F4" w:rsidRDefault="009D148C" w:rsidP="00FC0CB3">
            <w:pPr>
              <w:rPr>
                <w:sz w:val="20"/>
                <w:szCs w:val="20"/>
              </w:rPr>
            </w:pPr>
            <w:r w:rsidRPr="00EE32F4">
              <w:rPr>
                <w:sz w:val="20"/>
                <w:szCs w:val="20"/>
              </w:rPr>
              <w:t>2285</w:t>
            </w:r>
          </w:p>
        </w:tc>
        <w:tc>
          <w:tcPr>
            <w:tcW w:w="1350" w:type="dxa"/>
            <w:shd w:val="clear" w:color="auto" w:fill="F2F2F2"/>
          </w:tcPr>
          <w:p w:rsidR="009D148C" w:rsidRDefault="009D148C" w:rsidP="00FC0CB3">
            <w:pPr>
              <w:rPr>
                <w:sz w:val="20"/>
                <w:szCs w:val="20"/>
              </w:rPr>
            </w:pPr>
            <w:r>
              <w:rPr>
                <w:sz w:val="20"/>
                <w:szCs w:val="20"/>
              </w:rPr>
              <w:t>1488</w:t>
            </w:r>
            <w:r>
              <w:rPr>
                <w:rStyle w:val="FootnoteReference"/>
                <w:rFonts w:cs="Arial"/>
                <w:sz w:val="20"/>
                <w:szCs w:val="20"/>
              </w:rPr>
              <w:footnoteReference w:id="1"/>
            </w:r>
          </w:p>
        </w:tc>
        <w:tc>
          <w:tcPr>
            <w:tcW w:w="1710" w:type="dxa"/>
            <w:shd w:val="clear" w:color="auto" w:fill="F2F2F2"/>
          </w:tcPr>
          <w:p w:rsidR="009D148C" w:rsidRDefault="009D148C" w:rsidP="00FC0CB3">
            <w:pPr>
              <w:rPr>
                <w:sz w:val="20"/>
                <w:szCs w:val="20"/>
              </w:rPr>
            </w:pPr>
            <w:proofErr w:type="spellStart"/>
            <w:r>
              <w:rPr>
                <w:sz w:val="20"/>
                <w:szCs w:val="20"/>
              </w:rPr>
              <w:t>tba</w:t>
            </w:r>
            <w:proofErr w:type="spellEnd"/>
          </w:p>
        </w:tc>
      </w:tr>
    </w:tbl>
    <w:p w:rsidR="009D148C" w:rsidRDefault="009D148C" w:rsidP="000E132D">
      <w:pPr>
        <w:rPr>
          <w:b/>
          <w:bCs/>
          <w:sz w:val="20"/>
          <w:szCs w:val="20"/>
        </w:rPr>
      </w:pPr>
    </w:p>
    <w:p w:rsidR="009D148C" w:rsidRDefault="009D148C" w:rsidP="000E132D">
      <w:pPr>
        <w:rPr>
          <w:b/>
          <w:bCs/>
          <w:sz w:val="20"/>
          <w:szCs w:val="20"/>
        </w:rPr>
      </w:pPr>
      <w:r>
        <w:rPr>
          <w:b/>
          <w:bCs/>
          <w:sz w:val="20"/>
          <w:szCs w:val="20"/>
        </w:rPr>
        <w:t>Costs:</w:t>
      </w:r>
    </w:p>
    <w:p w:rsidR="009D148C" w:rsidRDefault="009D148C" w:rsidP="000E132D">
      <w:pPr>
        <w:rPr>
          <w:b/>
          <w:bCs/>
          <w:sz w:val="20"/>
          <w:szCs w:val="20"/>
        </w:rPr>
      </w:pPr>
    </w:p>
    <w:p w:rsidR="009D148C" w:rsidRDefault="009D148C" w:rsidP="0036186F">
      <w:pPr>
        <w:spacing w:after="120"/>
        <w:rPr>
          <w:sz w:val="20"/>
          <w:szCs w:val="20"/>
        </w:rPr>
      </w:pPr>
      <w:r w:rsidRPr="00A07490">
        <w:rPr>
          <w:sz w:val="20"/>
          <w:szCs w:val="20"/>
        </w:rPr>
        <w:t>The [Base Case / Measure Case / Incremental] Costs were developed from early results of the SCE VRF program for Large and Small Offices</w:t>
      </w:r>
      <w:r>
        <w:rPr>
          <w:sz w:val="20"/>
          <w:szCs w:val="20"/>
        </w:rPr>
        <w:t xml:space="preserve"> for 2010-2011</w:t>
      </w:r>
      <w:r w:rsidRPr="00A07490">
        <w:rPr>
          <w:sz w:val="20"/>
          <w:szCs w:val="20"/>
        </w:rPr>
        <w:t xml:space="preserve">. </w:t>
      </w:r>
      <w:r>
        <w:rPr>
          <w:sz w:val="20"/>
          <w:szCs w:val="20"/>
        </w:rPr>
        <w:t>The cost is listed by system capacity and features in Table 7.</w:t>
      </w:r>
    </w:p>
    <w:p w:rsidR="009D148C" w:rsidRPr="00D7671E" w:rsidRDefault="009D148C" w:rsidP="0081424B">
      <w:pPr>
        <w:pStyle w:val="Caption"/>
        <w:keepNext/>
        <w:jc w:val="center"/>
        <w:rPr>
          <w:rFonts w:cs="Arial"/>
        </w:rPr>
      </w:pPr>
      <w:bookmarkStart w:id="30" w:name="_Toc323027336"/>
      <w:r w:rsidRPr="00D7671E">
        <w:rPr>
          <w:rFonts w:cs="Arial"/>
        </w:rPr>
        <w:lastRenderedPageBreak/>
        <w:t xml:space="preserve">Table </w:t>
      </w:r>
      <w:r w:rsidRPr="00D7671E">
        <w:rPr>
          <w:rFonts w:cs="Arial"/>
        </w:rPr>
        <w:fldChar w:fldCharType="begin"/>
      </w:r>
      <w:r w:rsidRPr="00D7671E">
        <w:rPr>
          <w:rFonts w:cs="Arial"/>
        </w:rPr>
        <w:instrText xml:space="preserve"> SEQ Table \* ARABIC </w:instrText>
      </w:r>
      <w:r w:rsidRPr="00D7671E">
        <w:rPr>
          <w:rFonts w:cs="Arial"/>
        </w:rPr>
        <w:fldChar w:fldCharType="separate"/>
      </w:r>
      <w:r w:rsidR="002E4C74">
        <w:rPr>
          <w:rFonts w:cs="Arial"/>
          <w:noProof/>
        </w:rPr>
        <w:t>7</w:t>
      </w:r>
      <w:r w:rsidRPr="00D7671E">
        <w:rPr>
          <w:rFonts w:cs="Arial"/>
        </w:rPr>
        <w:fldChar w:fldCharType="end"/>
      </w:r>
      <w:r w:rsidRPr="00D7671E">
        <w:rPr>
          <w:rFonts w:cs="Arial"/>
        </w:rPr>
        <w:t xml:space="preserve"> Base Case and Measure Case Costs </w:t>
      </w:r>
      <w:proofErr w:type="gramStart"/>
      <w:r w:rsidRPr="00D7671E">
        <w:rPr>
          <w:rFonts w:cs="Arial"/>
        </w:rPr>
        <w:t>Per</w:t>
      </w:r>
      <w:proofErr w:type="gramEnd"/>
      <w:r w:rsidRPr="00D7671E">
        <w:rPr>
          <w:rFonts w:cs="Arial"/>
        </w:rPr>
        <w:t xml:space="preserve"> Ton</w:t>
      </w:r>
      <w:bookmarkEnd w:id="30"/>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58"/>
        <w:gridCol w:w="990"/>
        <w:gridCol w:w="1080"/>
        <w:gridCol w:w="720"/>
        <w:gridCol w:w="1260"/>
      </w:tblGrid>
      <w:tr w:rsidR="009D148C" w:rsidRPr="00783DAC" w:rsidTr="004D56FE">
        <w:trPr>
          <w:jc w:val="center"/>
        </w:trPr>
        <w:tc>
          <w:tcPr>
            <w:tcW w:w="5058" w:type="dxa"/>
            <w:shd w:val="clear" w:color="auto" w:fill="BFBFBF"/>
          </w:tcPr>
          <w:p w:rsidR="009D148C" w:rsidRPr="00783DAC" w:rsidRDefault="009D148C" w:rsidP="0081424B">
            <w:pPr>
              <w:keepNext/>
              <w:rPr>
                <w:b/>
                <w:bCs/>
                <w:sz w:val="20"/>
                <w:szCs w:val="20"/>
              </w:rPr>
            </w:pPr>
          </w:p>
        </w:tc>
        <w:tc>
          <w:tcPr>
            <w:tcW w:w="2790" w:type="dxa"/>
            <w:gridSpan w:val="3"/>
            <w:shd w:val="clear" w:color="auto" w:fill="BFBFBF"/>
          </w:tcPr>
          <w:p w:rsidR="009D148C" w:rsidRPr="00783DAC" w:rsidRDefault="009D148C" w:rsidP="0081424B">
            <w:pPr>
              <w:keepNext/>
              <w:jc w:val="center"/>
              <w:rPr>
                <w:b/>
                <w:bCs/>
                <w:sz w:val="20"/>
                <w:szCs w:val="20"/>
              </w:rPr>
            </w:pPr>
            <w:r w:rsidRPr="00783DAC">
              <w:rPr>
                <w:b/>
                <w:bCs/>
                <w:sz w:val="20"/>
                <w:szCs w:val="20"/>
              </w:rPr>
              <w:t>Costs ($</w:t>
            </w:r>
            <w:r>
              <w:rPr>
                <w:b/>
                <w:bCs/>
                <w:sz w:val="20"/>
                <w:szCs w:val="20"/>
              </w:rPr>
              <w:t>/ton</w:t>
            </w:r>
            <w:r w:rsidRPr="00783DAC">
              <w:rPr>
                <w:b/>
                <w:bCs/>
                <w:sz w:val="20"/>
                <w:szCs w:val="20"/>
              </w:rPr>
              <w:t>)</w:t>
            </w:r>
          </w:p>
        </w:tc>
        <w:tc>
          <w:tcPr>
            <w:tcW w:w="1260" w:type="dxa"/>
            <w:shd w:val="clear" w:color="auto" w:fill="BFBFBF"/>
          </w:tcPr>
          <w:p w:rsidR="009D148C" w:rsidRPr="00783DAC" w:rsidRDefault="009D148C" w:rsidP="0081424B">
            <w:pPr>
              <w:keepNext/>
              <w:rPr>
                <w:b/>
                <w:bCs/>
                <w:sz w:val="20"/>
                <w:szCs w:val="20"/>
              </w:rPr>
            </w:pPr>
          </w:p>
        </w:tc>
      </w:tr>
      <w:tr w:rsidR="009D148C" w:rsidRPr="00783DAC" w:rsidTr="004D56FE">
        <w:trPr>
          <w:jc w:val="center"/>
        </w:trPr>
        <w:tc>
          <w:tcPr>
            <w:tcW w:w="5058" w:type="dxa"/>
            <w:shd w:val="clear" w:color="auto" w:fill="BFBFBF"/>
          </w:tcPr>
          <w:p w:rsidR="009D148C" w:rsidRPr="00783DAC" w:rsidRDefault="009D148C" w:rsidP="0081424B">
            <w:pPr>
              <w:keepNext/>
              <w:rPr>
                <w:b/>
                <w:bCs/>
                <w:sz w:val="20"/>
                <w:szCs w:val="20"/>
              </w:rPr>
            </w:pPr>
            <w:r>
              <w:rPr>
                <w:b/>
                <w:bCs/>
                <w:sz w:val="20"/>
                <w:szCs w:val="20"/>
              </w:rPr>
              <w:t>System Type/Size</w:t>
            </w:r>
          </w:p>
        </w:tc>
        <w:tc>
          <w:tcPr>
            <w:tcW w:w="990" w:type="dxa"/>
            <w:shd w:val="clear" w:color="auto" w:fill="BFBFBF"/>
          </w:tcPr>
          <w:p w:rsidR="009D148C" w:rsidRPr="00783DAC" w:rsidRDefault="009D148C" w:rsidP="0081424B">
            <w:pPr>
              <w:keepNext/>
              <w:rPr>
                <w:b/>
                <w:bCs/>
                <w:sz w:val="20"/>
                <w:szCs w:val="20"/>
              </w:rPr>
            </w:pPr>
            <w:r w:rsidRPr="00783DAC">
              <w:rPr>
                <w:b/>
                <w:bCs/>
                <w:sz w:val="20"/>
                <w:szCs w:val="20"/>
              </w:rPr>
              <w:t>Base Case</w:t>
            </w:r>
          </w:p>
        </w:tc>
        <w:tc>
          <w:tcPr>
            <w:tcW w:w="1080" w:type="dxa"/>
            <w:shd w:val="clear" w:color="auto" w:fill="BFBFBF"/>
          </w:tcPr>
          <w:p w:rsidR="009D148C" w:rsidRPr="00783DAC" w:rsidRDefault="009D148C" w:rsidP="0081424B">
            <w:pPr>
              <w:keepNext/>
              <w:rPr>
                <w:b/>
                <w:bCs/>
                <w:sz w:val="20"/>
                <w:szCs w:val="20"/>
              </w:rPr>
            </w:pPr>
            <w:r w:rsidRPr="00783DAC">
              <w:rPr>
                <w:b/>
                <w:bCs/>
                <w:sz w:val="20"/>
                <w:szCs w:val="20"/>
              </w:rPr>
              <w:t>Measure Case</w:t>
            </w:r>
          </w:p>
        </w:tc>
        <w:tc>
          <w:tcPr>
            <w:tcW w:w="720" w:type="dxa"/>
            <w:shd w:val="clear" w:color="auto" w:fill="BFBFBF"/>
          </w:tcPr>
          <w:p w:rsidR="009D148C" w:rsidRPr="00783DAC" w:rsidRDefault="009D148C" w:rsidP="0081424B">
            <w:pPr>
              <w:keepNext/>
              <w:rPr>
                <w:b/>
                <w:bCs/>
                <w:sz w:val="20"/>
                <w:szCs w:val="20"/>
              </w:rPr>
            </w:pPr>
            <w:r w:rsidRPr="00783DAC">
              <w:rPr>
                <w:b/>
                <w:bCs/>
                <w:sz w:val="20"/>
                <w:szCs w:val="20"/>
              </w:rPr>
              <w:t xml:space="preserve">IMC </w:t>
            </w:r>
          </w:p>
        </w:tc>
        <w:tc>
          <w:tcPr>
            <w:tcW w:w="1260" w:type="dxa"/>
            <w:shd w:val="clear" w:color="auto" w:fill="BFBFBF"/>
          </w:tcPr>
          <w:p w:rsidR="009D148C" w:rsidRPr="00783DAC" w:rsidRDefault="009D148C" w:rsidP="0081424B">
            <w:pPr>
              <w:keepNext/>
              <w:rPr>
                <w:b/>
                <w:bCs/>
                <w:sz w:val="20"/>
                <w:szCs w:val="20"/>
              </w:rPr>
            </w:pPr>
            <w:r w:rsidRPr="00783DAC">
              <w:rPr>
                <w:b/>
                <w:bCs/>
                <w:sz w:val="20"/>
                <w:szCs w:val="20"/>
              </w:rPr>
              <w:t xml:space="preserve">DEER </w:t>
            </w:r>
            <w:r w:rsidRPr="0036186F">
              <w:rPr>
                <w:b/>
                <w:bCs/>
                <w:sz w:val="18"/>
                <w:szCs w:val="18"/>
              </w:rPr>
              <w:t>Version</w:t>
            </w:r>
          </w:p>
        </w:tc>
      </w:tr>
      <w:tr w:rsidR="009D148C" w:rsidRPr="00783DAC" w:rsidTr="004D56FE">
        <w:trPr>
          <w:jc w:val="center"/>
        </w:trPr>
        <w:tc>
          <w:tcPr>
            <w:tcW w:w="5058" w:type="dxa"/>
            <w:shd w:val="clear" w:color="auto" w:fill="FFFFFF"/>
          </w:tcPr>
          <w:p w:rsidR="009D148C" w:rsidRPr="00EE32F4" w:rsidRDefault="009D148C" w:rsidP="0081424B">
            <w:pPr>
              <w:keepNext/>
              <w:rPr>
                <w:sz w:val="20"/>
                <w:szCs w:val="20"/>
              </w:rPr>
            </w:pPr>
            <w:r w:rsidRPr="00EE32F4">
              <w:rPr>
                <w:sz w:val="20"/>
                <w:szCs w:val="20"/>
              </w:rPr>
              <w:t>HVAC_VARIABLE_REFRIG_FLOW_HEAT_PUMP_&lt;_80_TONS</w:t>
            </w:r>
          </w:p>
        </w:tc>
        <w:tc>
          <w:tcPr>
            <w:tcW w:w="990" w:type="dxa"/>
            <w:shd w:val="clear" w:color="auto" w:fill="FFFFFF"/>
          </w:tcPr>
          <w:p w:rsidR="009D148C" w:rsidRPr="00EE32F4" w:rsidRDefault="009D148C" w:rsidP="0081424B">
            <w:pPr>
              <w:keepNext/>
              <w:jc w:val="center"/>
              <w:rPr>
                <w:sz w:val="20"/>
                <w:szCs w:val="20"/>
              </w:rPr>
            </w:pPr>
            <w:r w:rsidRPr="00EE32F4">
              <w:rPr>
                <w:sz w:val="20"/>
                <w:szCs w:val="20"/>
              </w:rPr>
              <w:t>1000</w:t>
            </w:r>
          </w:p>
        </w:tc>
        <w:tc>
          <w:tcPr>
            <w:tcW w:w="1080" w:type="dxa"/>
            <w:shd w:val="clear" w:color="auto" w:fill="FFFFFF"/>
          </w:tcPr>
          <w:p w:rsidR="009D148C" w:rsidRPr="00EE32F4" w:rsidRDefault="009D148C" w:rsidP="0081424B">
            <w:pPr>
              <w:keepNext/>
              <w:jc w:val="center"/>
              <w:rPr>
                <w:sz w:val="20"/>
                <w:szCs w:val="20"/>
              </w:rPr>
            </w:pPr>
            <w:r w:rsidRPr="00EE32F4">
              <w:rPr>
                <w:sz w:val="20"/>
                <w:szCs w:val="20"/>
              </w:rPr>
              <w:t>2100</w:t>
            </w:r>
          </w:p>
        </w:tc>
        <w:tc>
          <w:tcPr>
            <w:tcW w:w="720" w:type="dxa"/>
            <w:shd w:val="clear" w:color="auto" w:fill="FFFFFF"/>
          </w:tcPr>
          <w:p w:rsidR="009D148C" w:rsidRPr="00EE32F4" w:rsidRDefault="009D148C" w:rsidP="0081424B">
            <w:pPr>
              <w:keepNext/>
              <w:jc w:val="center"/>
              <w:rPr>
                <w:sz w:val="20"/>
                <w:szCs w:val="20"/>
              </w:rPr>
            </w:pPr>
            <w:r w:rsidRPr="00EE32F4">
              <w:rPr>
                <w:sz w:val="20"/>
                <w:szCs w:val="20"/>
              </w:rPr>
              <w:t>1100</w:t>
            </w:r>
          </w:p>
        </w:tc>
        <w:tc>
          <w:tcPr>
            <w:tcW w:w="1260" w:type="dxa"/>
            <w:shd w:val="clear" w:color="auto" w:fill="FFFFFF"/>
          </w:tcPr>
          <w:p w:rsidR="009D148C" w:rsidRPr="0036186F" w:rsidRDefault="009D148C" w:rsidP="00654DFA">
            <w:pPr>
              <w:keepNext/>
              <w:rPr>
                <w:sz w:val="20"/>
                <w:szCs w:val="20"/>
              </w:rPr>
            </w:pPr>
            <w:r>
              <w:rPr>
                <w:sz w:val="20"/>
                <w:szCs w:val="20"/>
              </w:rPr>
              <w:t>SCE VRF program</w:t>
            </w:r>
          </w:p>
        </w:tc>
      </w:tr>
      <w:tr w:rsidR="009D148C" w:rsidRPr="00783DAC" w:rsidTr="004D56FE">
        <w:trPr>
          <w:trHeight w:val="431"/>
          <w:jc w:val="center"/>
        </w:trPr>
        <w:tc>
          <w:tcPr>
            <w:tcW w:w="5058" w:type="dxa"/>
            <w:shd w:val="clear" w:color="auto" w:fill="D9D9D9"/>
          </w:tcPr>
          <w:p w:rsidR="009D148C" w:rsidRPr="00EE32F4" w:rsidRDefault="009D148C" w:rsidP="0081424B">
            <w:pPr>
              <w:keepNext/>
              <w:rPr>
                <w:sz w:val="20"/>
                <w:szCs w:val="20"/>
              </w:rPr>
            </w:pPr>
            <w:r w:rsidRPr="00EE32F4">
              <w:rPr>
                <w:sz w:val="20"/>
                <w:szCs w:val="20"/>
              </w:rPr>
              <w:t>HVAC_VARIABLE_REFRIG_FLOW_HEAT_PUMP &gt;=_ 80_TONS</w:t>
            </w:r>
          </w:p>
        </w:tc>
        <w:tc>
          <w:tcPr>
            <w:tcW w:w="990" w:type="dxa"/>
            <w:shd w:val="clear" w:color="auto" w:fill="D9D9D9"/>
          </w:tcPr>
          <w:p w:rsidR="009D148C" w:rsidRPr="00EE32F4" w:rsidRDefault="009D148C" w:rsidP="0081424B">
            <w:pPr>
              <w:keepNext/>
              <w:jc w:val="center"/>
              <w:rPr>
                <w:sz w:val="20"/>
                <w:szCs w:val="20"/>
              </w:rPr>
            </w:pPr>
            <w:r w:rsidRPr="00EE32F4">
              <w:rPr>
                <w:sz w:val="20"/>
                <w:szCs w:val="20"/>
              </w:rPr>
              <w:t>1400</w:t>
            </w:r>
          </w:p>
        </w:tc>
        <w:tc>
          <w:tcPr>
            <w:tcW w:w="1080" w:type="dxa"/>
            <w:shd w:val="clear" w:color="auto" w:fill="D9D9D9"/>
          </w:tcPr>
          <w:p w:rsidR="009D148C" w:rsidRPr="00EE32F4" w:rsidRDefault="009D148C" w:rsidP="0081424B">
            <w:pPr>
              <w:keepNext/>
              <w:jc w:val="center"/>
              <w:rPr>
                <w:sz w:val="20"/>
                <w:szCs w:val="20"/>
              </w:rPr>
            </w:pPr>
            <w:r w:rsidRPr="00EE32F4">
              <w:rPr>
                <w:sz w:val="20"/>
                <w:szCs w:val="20"/>
              </w:rPr>
              <w:t>2100</w:t>
            </w:r>
          </w:p>
        </w:tc>
        <w:tc>
          <w:tcPr>
            <w:tcW w:w="720" w:type="dxa"/>
            <w:shd w:val="clear" w:color="auto" w:fill="D9D9D9"/>
          </w:tcPr>
          <w:p w:rsidR="009D148C" w:rsidRPr="00EE32F4" w:rsidRDefault="009D148C" w:rsidP="0081424B">
            <w:pPr>
              <w:keepNext/>
              <w:jc w:val="center"/>
              <w:rPr>
                <w:sz w:val="20"/>
                <w:szCs w:val="20"/>
              </w:rPr>
            </w:pPr>
            <w:r w:rsidRPr="00EE32F4">
              <w:rPr>
                <w:sz w:val="20"/>
                <w:szCs w:val="20"/>
              </w:rPr>
              <w:t>700</w:t>
            </w:r>
          </w:p>
        </w:tc>
        <w:tc>
          <w:tcPr>
            <w:tcW w:w="1260" w:type="dxa"/>
            <w:shd w:val="clear" w:color="auto" w:fill="D9D9D9"/>
          </w:tcPr>
          <w:p w:rsidR="009D148C" w:rsidRPr="0036186F" w:rsidRDefault="009D148C" w:rsidP="0081424B">
            <w:pPr>
              <w:keepNext/>
            </w:pPr>
            <w:r>
              <w:rPr>
                <w:sz w:val="20"/>
                <w:szCs w:val="20"/>
              </w:rPr>
              <w:t>SCE VRF program</w:t>
            </w:r>
          </w:p>
        </w:tc>
      </w:tr>
      <w:tr w:rsidR="009D148C" w:rsidRPr="00783DAC" w:rsidTr="004D56FE">
        <w:trPr>
          <w:jc w:val="center"/>
        </w:trPr>
        <w:tc>
          <w:tcPr>
            <w:tcW w:w="5058" w:type="dxa"/>
            <w:shd w:val="clear" w:color="auto" w:fill="FFFFFF"/>
          </w:tcPr>
          <w:p w:rsidR="009D148C" w:rsidRPr="00EE32F4" w:rsidRDefault="009D148C" w:rsidP="0081424B">
            <w:pPr>
              <w:keepNext/>
              <w:rPr>
                <w:sz w:val="20"/>
                <w:szCs w:val="20"/>
              </w:rPr>
            </w:pPr>
            <w:r w:rsidRPr="00EE32F4">
              <w:rPr>
                <w:sz w:val="20"/>
                <w:szCs w:val="20"/>
              </w:rPr>
              <w:t>HVAC_VARIABLE_REFRIG_FLOW_HEAT_RECOVERY_&lt;_80_TONS</w:t>
            </w:r>
          </w:p>
        </w:tc>
        <w:tc>
          <w:tcPr>
            <w:tcW w:w="990" w:type="dxa"/>
            <w:shd w:val="clear" w:color="auto" w:fill="FFFFFF"/>
          </w:tcPr>
          <w:p w:rsidR="009D148C" w:rsidRPr="00EE32F4" w:rsidRDefault="009D148C" w:rsidP="0081424B">
            <w:pPr>
              <w:keepNext/>
              <w:jc w:val="center"/>
              <w:rPr>
                <w:sz w:val="20"/>
                <w:szCs w:val="20"/>
              </w:rPr>
            </w:pPr>
            <w:r w:rsidRPr="00EE32F4">
              <w:rPr>
                <w:sz w:val="20"/>
                <w:szCs w:val="20"/>
              </w:rPr>
              <w:t>1000</w:t>
            </w:r>
          </w:p>
        </w:tc>
        <w:tc>
          <w:tcPr>
            <w:tcW w:w="1080" w:type="dxa"/>
            <w:shd w:val="clear" w:color="auto" w:fill="FFFFFF"/>
          </w:tcPr>
          <w:p w:rsidR="009D148C" w:rsidRPr="00EE32F4" w:rsidRDefault="009D148C" w:rsidP="0081424B">
            <w:pPr>
              <w:keepNext/>
              <w:jc w:val="center"/>
              <w:rPr>
                <w:sz w:val="20"/>
                <w:szCs w:val="20"/>
              </w:rPr>
            </w:pPr>
            <w:r w:rsidRPr="00EE32F4">
              <w:rPr>
                <w:sz w:val="20"/>
                <w:szCs w:val="20"/>
              </w:rPr>
              <w:t>2700</w:t>
            </w:r>
          </w:p>
        </w:tc>
        <w:tc>
          <w:tcPr>
            <w:tcW w:w="720" w:type="dxa"/>
            <w:shd w:val="clear" w:color="auto" w:fill="FFFFFF"/>
          </w:tcPr>
          <w:p w:rsidR="009D148C" w:rsidRPr="00EE32F4" w:rsidRDefault="009D148C" w:rsidP="0081424B">
            <w:pPr>
              <w:keepNext/>
              <w:jc w:val="center"/>
              <w:rPr>
                <w:sz w:val="20"/>
                <w:szCs w:val="20"/>
              </w:rPr>
            </w:pPr>
            <w:r w:rsidRPr="00EE32F4">
              <w:rPr>
                <w:sz w:val="20"/>
                <w:szCs w:val="20"/>
              </w:rPr>
              <w:t>1700</w:t>
            </w:r>
          </w:p>
        </w:tc>
        <w:tc>
          <w:tcPr>
            <w:tcW w:w="1260" w:type="dxa"/>
            <w:shd w:val="clear" w:color="auto" w:fill="FFFFFF"/>
          </w:tcPr>
          <w:p w:rsidR="009D148C" w:rsidRPr="0036186F" w:rsidRDefault="009D148C" w:rsidP="0081424B">
            <w:pPr>
              <w:keepNext/>
            </w:pPr>
            <w:r>
              <w:rPr>
                <w:sz w:val="20"/>
                <w:szCs w:val="20"/>
              </w:rPr>
              <w:t>SCE VRF program</w:t>
            </w:r>
          </w:p>
        </w:tc>
      </w:tr>
      <w:tr w:rsidR="009D148C" w:rsidRPr="00783DAC" w:rsidTr="004D56FE">
        <w:trPr>
          <w:jc w:val="center"/>
        </w:trPr>
        <w:tc>
          <w:tcPr>
            <w:tcW w:w="5058" w:type="dxa"/>
            <w:shd w:val="clear" w:color="auto" w:fill="D9D9D9"/>
          </w:tcPr>
          <w:p w:rsidR="009D148C" w:rsidRPr="00EE32F4" w:rsidRDefault="009D148C" w:rsidP="00ED20C9">
            <w:pPr>
              <w:rPr>
                <w:sz w:val="20"/>
                <w:szCs w:val="20"/>
              </w:rPr>
            </w:pPr>
            <w:r w:rsidRPr="00EE32F4">
              <w:rPr>
                <w:sz w:val="20"/>
                <w:szCs w:val="20"/>
              </w:rPr>
              <w:t>HVAC_VARIABLE_REFRIG_FLOW_HEAT_RECOVERY_ &gt;=_ 80_TONS</w:t>
            </w:r>
          </w:p>
        </w:tc>
        <w:tc>
          <w:tcPr>
            <w:tcW w:w="990" w:type="dxa"/>
            <w:shd w:val="clear" w:color="auto" w:fill="D9D9D9"/>
          </w:tcPr>
          <w:p w:rsidR="009D148C" w:rsidRPr="00EE32F4" w:rsidRDefault="009D148C" w:rsidP="00EE32F4">
            <w:pPr>
              <w:jc w:val="center"/>
              <w:rPr>
                <w:sz w:val="20"/>
                <w:szCs w:val="20"/>
              </w:rPr>
            </w:pPr>
            <w:r w:rsidRPr="00EE32F4">
              <w:rPr>
                <w:sz w:val="20"/>
                <w:szCs w:val="20"/>
              </w:rPr>
              <w:t>1400</w:t>
            </w:r>
          </w:p>
        </w:tc>
        <w:tc>
          <w:tcPr>
            <w:tcW w:w="1080" w:type="dxa"/>
            <w:shd w:val="clear" w:color="auto" w:fill="D9D9D9"/>
          </w:tcPr>
          <w:p w:rsidR="009D148C" w:rsidRPr="00EE32F4" w:rsidRDefault="009D148C" w:rsidP="00EE32F4">
            <w:pPr>
              <w:jc w:val="center"/>
              <w:rPr>
                <w:sz w:val="20"/>
                <w:szCs w:val="20"/>
              </w:rPr>
            </w:pPr>
            <w:r w:rsidRPr="00EE32F4">
              <w:rPr>
                <w:sz w:val="20"/>
                <w:szCs w:val="20"/>
              </w:rPr>
              <w:t>2700</w:t>
            </w:r>
          </w:p>
        </w:tc>
        <w:tc>
          <w:tcPr>
            <w:tcW w:w="720" w:type="dxa"/>
            <w:shd w:val="clear" w:color="auto" w:fill="D9D9D9"/>
          </w:tcPr>
          <w:p w:rsidR="009D148C" w:rsidRPr="00EE32F4" w:rsidRDefault="009D148C" w:rsidP="00EE32F4">
            <w:pPr>
              <w:jc w:val="center"/>
              <w:rPr>
                <w:sz w:val="20"/>
                <w:szCs w:val="20"/>
              </w:rPr>
            </w:pPr>
            <w:r w:rsidRPr="00EE32F4">
              <w:rPr>
                <w:sz w:val="20"/>
                <w:szCs w:val="20"/>
              </w:rPr>
              <w:t>1300</w:t>
            </w:r>
          </w:p>
        </w:tc>
        <w:tc>
          <w:tcPr>
            <w:tcW w:w="1260" w:type="dxa"/>
            <w:shd w:val="clear" w:color="auto" w:fill="D9D9D9"/>
          </w:tcPr>
          <w:p w:rsidR="009D148C" w:rsidRPr="0036186F" w:rsidRDefault="009D148C" w:rsidP="009958A9">
            <w:r>
              <w:rPr>
                <w:sz w:val="20"/>
                <w:szCs w:val="20"/>
              </w:rPr>
              <w:t>SCE VRF program</w:t>
            </w:r>
          </w:p>
        </w:tc>
      </w:tr>
    </w:tbl>
    <w:p w:rsidR="009D148C" w:rsidRPr="008F48E1" w:rsidRDefault="009D148C" w:rsidP="00CB0475">
      <w:pPr>
        <w:rPr>
          <w:b/>
          <w:bCs/>
          <w:sz w:val="20"/>
          <w:szCs w:val="20"/>
        </w:rPr>
      </w:pPr>
    </w:p>
    <w:p w:rsidR="009D148C" w:rsidRPr="00BA7D18" w:rsidRDefault="009D148C" w:rsidP="0036186F">
      <w:pPr>
        <w:keepNext/>
        <w:rPr>
          <w:b/>
          <w:bCs/>
          <w:sz w:val="20"/>
          <w:szCs w:val="20"/>
        </w:rPr>
      </w:pPr>
      <w:r>
        <w:rPr>
          <w:b/>
          <w:bCs/>
          <w:sz w:val="20"/>
          <w:szCs w:val="20"/>
        </w:rPr>
        <w:t>Effective Useful Life</w:t>
      </w:r>
      <w:r w:rsidRPr="00765936">
        <w:rPr>
          <w:b/>
          <w:bCs/>
          <w:sz w:val="20"/>
          <w:szCs w:val="20"/>
        </w:rPr>
        <w:t>:</w:t>
      </w:r>
    </w:p>
    <w:p w:rsidR="009D148C" w:rsidRDefault="009D148C" w:rsidP="0036186F">
      <w:pPr>
        <w:spacing w:after="120"/>
        <w:rPr>
          <w:sz w:val="20"/>
          <w:szCs w:val="20"/>
        </w:rPr>
      </w:pPr>
      <w:r w:rsidRPr="00A07490">
        <w:rPr>
          <w:sz w:val="20"/>
          <w:szCs w:val="20"/>
        </w:rPr>
        <w:t>The Effective Useful Life estimates were downloaded from DEER directly</w:t>
      </w:r>
      <w:r>
        <w:rPr>
          <w:sz w:val="20"/>
          <w:szCs w:val="20"/>
        </w:rPr>
        <w:t xml:space="preserve"> </w:t>
      </w:r>
      <w:r w:rsidRPr="00A07490">
        <w:rPr>
          <w:sz w:val="20"/>
          <w:szCs w:val="20"/>
        </w:rPr>
        <w:t xml:space="preserve">for the </w:t>
      </w:r>
      <w:r w:rsidRPr="00657A45">
        <w:rPr>
          <w:sz w:val="20"/>
          <w:szCs w:val="20"/>
        </w:rPr>
        <w:t>HVAC - Split/Package</w:t>
      </w:r>
      <w:r>
        <w:rPr>
          <w:sz w:val="20"/>
          <w:szCs w:val="20"/>
        </w:rPr>
        <w:t xml:space="preserve"> category. In the EUL_Summary_10-1-08.xls</w:t>
      </w:r>
      <w:r w:rsidRPr="00CF7875">
        <w:rPr>
          <w:sz w:val="20"/>
          <w:szCs w:val="20"/>
          <w:vertAlign w:val="superscript"/>
        </w:rPr>
        <w:endnoteReference w:id="6"/>
      </w:r>
      <w:r>
        <w:rPr>
          <w:sz w:val="20"/>
          <w:szCs w:val="20"/>
        </w:rPr>
        <w:t xml:space="preserve"> </w:t>
      </w:r>
      <w:r w:rsidRPr="00657A45">
        <w:rPr>
          <w:sz w:val="20"/>
          <w:szCs w:val="20"/>
        </w:rPr>
        <w:t xml:space="preserve">Commercial AC class </w:t>
      </w:r>
      <w:r>
        <w:rPr>
          <w:sz w:val="20"/>
          <w:szCs w:val="20"/>
        </w:rPr>
        <w:t xml:space="preserve">is </w:t>
      </w:r>
      <w:r w:rsidRPr="00657A45">
        <w:rPr>
          <w:sz w:val="20"/>
          <w:szCs w:val="20"/>
        </w:rPr>
        <w:t>set to 15</w:t>
      </w:r>
      <w:r>
        <w:rPr>
          <w:sz w:val="20"/>
          <w:szCs w:val="20"/>
        </w:rPr>
        <w:t xml:space="preserve"> years.</w:t>
      </w:r>
    </w:p>
    <w:p w:rsidR="009D148C" w:rsidRPr="00EB4A5B" w:rsidRDefault="009D148C" w:rsidP="00EB4A5B">
      <w:pPr>
        <w:pStyle w:val="Caption"/>
        <w:keepNext/>
        <w:jc w:val="center"/>
        <w:rPr>
          <w:rFonts w:cs="Arial"/>
        </w:rPr>
      </w:pPr>
      <w:bookmarkStart w:id="31" w:name="_Toc323027337"/>
      <w:r w:rsidRPr="00EB4A5B">
        <w:rPr>
          <w:rFonts w:cs="Arial"/>
        </w:rPr>
        <w:t xml:space="preserve">Table </w:t>
      </w:r>
      <w:r w:rsidRPr="00EB4A5B">
        <w:rPr>
          <w:rFonts w:cs="Arial"/>
        </w:rPr>
        <w:fldChar w:fldCharType="begin"/>
      </w:r>
      <w:r w:rsidRPr="00EB4A5B">
        <w:rPr>
          <w:rFonts w:cs="Arial"/>
        </w:rPr>
        <w:instrText xml:space="preserve"> SEQ Table \* ARABIC </w:instrText>
      </w:r>
      <w:r w:rsidRPr="00EB4A5B">
        <w:rPr>
          <w:rFonts w:cs="Arial"/>
        </w:rPr>
        <w:fldChar w:fldCharType="separate"/>
      </w:r>
      <w:r w:rsidR="002E4C74">
        <w:rPr>
          <w:rFonts w:cs="Arial"/>
          <w:noProof/>
        </w:rPr>
        <w:t>8</w:t>
      </w:r>
      <w:r w:rsidRPr="00EB4A5B">
        <w:rPr>
          <w:rFonts w:cs="Arial"/>
        </w:rPr>
        <w:fldChar w:fldCharType="end"/>
      </w:r>
      <w:r w:rsidRPr="00EB4A5B">
        <w:rPr>
          <w:rFonts w:cs="Arial"/>
        </w:rPr>
        <w:t xml:space="preserve"> Effective Useful Life</w:t>
      </w:r>
      <w:bookmarkEnd w:id="31"/>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8"/>
        <w:gridCol w:w="1440"/>
        <w:gridCol w:w="1676"/>
        <w:gridCol w:w="1106"/>
        <w:gridCol w:w="1117"/>
        <w:gridCol w:w="1561"/>
        <w:gridCol w:w="930"/>
      </w:tblGrid>
      <w:tr w:rsidR="009D148C" w:rsidRPr="00783DAC" w:rsidTr="00F16EDB">
        <w:trPr>
          <w:jc w:val="center"/>
        </w:trPr>
        <w:tc>
          <w:tcPr>
            <w:tcW w:w="1278" w:type="dxa"/>
            <w:shd w:val="clear" w:color="auto" w:fill="BFBFBF"/>
          </w:tcPr>
          <w:p w:rsidR="009D148C" w:rsidRPr="00783DAC" w:rsidRDefault="009D148C" w:rsidP="0036186F">
            <w:pPr>
              <w:spacing w:before="120"/>
              <w:rPr>
                <w:b/>
                <w:bCs/>
                <w:sz w:val="20"/>
                <w:szCs w:val="20"/>
              </w:rPr>
            </w:pPr>
            <w:r w:rsidRPr="00783DAC">
              <w:rPr>
                <w:b/>
                <w:bCs/>
                <w:sz w:val="20"/>
                <w:szCs w:val="20"/>
              </w:rPr>
              <w:t xml:space="preserve">Building </w:t>
            </w:r>
            <w:r>
              <w:rPr>
                <w:b/>
                <w:bCs/>
                <w:sz w:val="20"/>
                <w:szCs w:val="20"/>
              </w:rPr>
              <w:t>T</w:t>
            </w:r>
            <w:r w:rsidRPr="00783DAC">
              <w:rPr>
                <w:b/>
                <w:bCs/>
                <w:sz w:val="20"/>
                <w:szCs w:val="20"/>
              </w:rPr>
              <w:t xml:space="preserve">ype  </w:t>
            </w:r>
          </w:p>
        </w:tc>
        <w:tc>
          <w:tcPr>
            <w:tcW w:w="1440" w:type="dxa"/>
            <w:shd w:val="clear" w:color="auto" w:fill="BFBFBF"/>
          </w:tcPr>
          <w:p w:rsidR="009D148C" w:rsidRPr="00783DAC" w:rsidRDefault="009D148C" w:rsidP="0036186F">
            <w:pPr>
              <w:spacing w:before="120"/>
              <w:rPr>
                <w:b/>
                <w:bCs/>
                <w:sz w:val="20"/>
                <w:szCs w:val="20"/>
              </w:rPr>
            </w:pPr>
            <w:proofErr w:type="spellStart"/>
            <w:r w:rsidRPr="00783DAC">
              <w:rPr>
                <w:b/>
                <w:bCs/>
                <w:sz w:val="20"/>
                <w:szCs w:val="20"/>
              </w:rPr>
              <w:t>Bldg</w:t>
            </w:r>
            <w:proofErr w:type="spellEnd"/>
            <w:r w:rsidRPr="00783DAC">
              <w:rPr>
                <w:b/>
                <w:bCs/>
                <w:sz w:val="20"/>
                <w:szCs w:val="20"/>
              </w:rPr>
              <w:t xml:space="preserve"> Vintage  </w:t>
            </w:r>
          </w:p>
        </w:tc>
        <w:tc>
          <w:tcPr>
            <w:tcW w:w="1676" w:type="dxa"/>
            <w:shd w:val="clear" w:color="auto" w:fill="BFBFBF"/>
          </w:tcPr>
          <w:p w:rsidR="009D148C" w:rsidRPr="00783DAC" w:rsidRDefault="009D148C" w:rsidP="0036186F">
            <w:pPr>
              <w:spacing w:before="120"/>
              <w:rPr>
                <w:b/>
                <w:bCs/>
                <w:sz w:val="20"/>
                <w:szCs w:val="20"/>
              </w:rPr>
            </w:pPr>
            <w:r w:rsidRPr="00783DAC">
              <w:rPr>
                <w:b/>
                <w:bCs/>
                <w:sz w:val="20"/>
                <w:szCs w:val="20"/>
              </w:rPr>
              <w:t xml:space="preserve">Climate Zone  </w:t>
            </w:r>
          </w:p>
        </w:tc>
        <w:tc>
          <w:tcPr>
            <w:tcW w:w="0" w:type="auto"/>
            <w:shd w:val="clear" w:color="auto" w:fill="BFBFBF"/>
          </w:tcPr>
          <w:p w:rsidR="009D148C" w:rsidRPr="00783DAC" w:rsidRDefault="009D148C" w:rsidP="0036186F">
            <w:pPr>
              <w:spacing w:before="120"/>
              <w:rPr>
                <w:b/>
                <w:bCs/>
                <w:sz w:val="20"/>
                <w:szCs w:val="20"/>
              </w:rPr>
            </w:pPr>
            <w:r>
              <w:rPr>
                <w:b/>
                <w:bCs/>
                <w:sz w:val="20"/>
                <w:szCs w:val="20"/>
              </w:rPr>
              <w:t>EUL (</w:t>
            </w:r>
            <w:proofErr w:type="spellStart"/>
            <w:r>
              <w:rPr>
                <w:b/>
                <w:bCs/>
                <w:sz w:val="20"/>
                <w:szCs w:val="20"/>
              </w:rPr>
              <w:t>yrs</w:t>
            </w:r>
            <w:proofErr w:type="spellEnd"/>
            <w:r>
              <w:rPr>
                <w:b/>
                <w:bCs/>
                <w:sz w:val="20"/>
                <w:szCs w:val="20"/>
              </w:rPr>
              <w:t>)</w:t>
            </w:r>
          </w:p>
        </w:tc>
        <w:tc>
          <w:tcPr>
            <w:tcW w:w="0" w:type="auto"/>
            <w:shd w:val="clear" w:color="auto" w:fill="BFBFBF"/>
          </w:tcPr>
          <w:p w:rsidR="009D148C" w:rsidRPr="00783DAC" w:rsidRDefault="009D148C" w:rsidP="0036186F">
            <w:pPr>
              <w:spacing w:before="120"/>
              <w:rPr>
                <w:b/>
                <w:bCs/>
                <w:sz w:val="20"/>
                <w:szCs w:val="20"/>
              </w:rPr>
            </w:pPr>
            <w:r>
              <w:rPr>
                <w:b/>
                <w:bCs/>
                <w:sz w:val="20"/>
                <w:szCs w:val="20"/>
              </w:rPr>
              <w:t>RUL (</w:t>
            </w:r>
            <w:proofErr w:type="spellStart"/>
            <w:r>
              <w:rPr>
                <w:b/>
                <w:bCs/>
                <w:sz w:val="20"/>
                <w:szCs w:val="20"/>
              </w:rPr>
              <w:t>yrs</w:t>
            </w:r>
            <w:proofErr w:type="spellEnd"/>
            <w:r>
              <w:rPr>
                <w:b/>
                <w:bCs/>
                <w:sz w:val="20"/>
                <w:szCs w:val="20"/>
              </w:rPr>
              <w:t>)</w:t>
            </w:r>
          </w:p>
        </w:tc>
        <w:tc>
          <w:tcPr>
            <w:tcW w:w="0" w:type="auto"/>
            <w:shd w:val="clear" w:color="auto" w:fill="BFBFBF"/>
          </w:tcPr>
          <w:p w:rsidR="009D148C" w:rsidRPr="00783DAC" w:rsidRDefault="009D148C" w:rsidP="0036186F">
            <w:pPr>
              <w:spacing w:before="120"/>
              <w:rPr>
                <w:b/>
                <w:bCs/>
                <w:sz w:val="20"/>
                <w:szCs w:val="20"/>
              </w:rPr>
            </w:pPr>
            <w:r w:rsidRPr="00783DAC">
              <w:rPr>
                <w:b/>
                <w:bCs/>
                <w:sz w:val="20"/>
                <w:szCs w:val="20"/>
              </w:rPr>
              <w:t>DEER Version</w:t>
            </w:r>
          </w:p>
        </w:tc>
        <w:tc>
          <w:tcPr>
            <w:tcW w:w="930" w:type="dxa"/>
            <w:shd w:val="clear" w:color="auto" w:fill="BFBFBF"/>
          </w:tcPr>
          <w:p w:rsidR="009D148C" w:rsidRPr="00783DAC" w:rsidRDefault="009D148C" w:rsidP="0036186F">
            <w:pPr>
              <w:spacing w:before="120"/>
              <w:rPr>
                <w:b/>
                <w:bCs/>
                <w:sz w:val="20"/>
                <w:szCs w:val="20"/>
              </w:rPr>
            </w:pPr>
            <w:r w:rsidRPr="00783DAC">
              <w:rPr>
                <w:b/>
                <w:bCs/>
                <w:sz w:val="20"/>
                <w:szCs w:val="20"/>
              </w:rPr>
              <w:t>Impact IDs</w:t>
            </w:r>
          </w:p>
        </w:tc>
      </w:tr>
      <w:tr w:rsidR="009D148C" w:rsidRPr="00DC6DCF" w:rsidTr="00F16EDB">
        <w:trPr>
          <w:jc w:val="center"/>
        </w:trPr>
        <w:tc>
          <w:tcPr>
            <w:tcW w:w="1278" w:type="dxa"/>
            <w:shd w:val="clear" w:color="auto" w:fill="F2F2F2"/>
          </w:tcPr>
          <w:p w:rsidR="009D148C" w:rsidRPr="00DC6DCF" w:rsidRDefault="009D148C" w:rsidP="00DC6DCF">
            <w:pPr>
              <w:spacing w:before="120"/>
              <w:jc w:val="center"/>
              <w:rPr>
                <w:sz w:val="20"/>
                <w:szCs w:val="20"/>
              </w:rPr>
            </w:pPr>
            <w:r w:rsidRPr="00DC6DCF">
              <w:rPr>
                <w:sz w:val="20"/>
                <w:szCs w:val="20"/>
              </w:rPr>
              <w:t>ALL</w:t>
            </w:r>
          </w:p>
        </w:tc>
        <w:tc>
          <w:tcPr>
            <w:tcW w:w="1440" w:type="dxa"/>
            <w:shd w:val="clear" w:color="auto" w:fill="F2F2F2"/>
          </w:tcPr>
          <w:p w:rsidR="009D148C" w:rsidRPr="00DC6DCF" w:rsidRDefault="009D148C" w:rsidP="00DC6DCF">
            <w:pPr>
              <w:spacing w:before="120"/>
              <w:jc w:val="center"/>
              <w:rPr>
                <w:sz w:val="20"/>
                <w:szCs w:val="20"/>
              </w:rPr>
            </w:pPr>
            <w:r w:rsidRPr="00DC6DCF">
              <w:rPr>
                <w:sz w:val="20"/>
                <w:szCs w:val="20"/>
              </w:rPr>
              <w:t>AV</w:t>
            </w:r>
          </w:p>
        </w:tc>
        <w:tc>
          <w:tcPr>
            <w:tcW w:w="1676" w:type="dxa"/>
            <w:shd w:val="clear" w:color="auto" w:fill="F2F2F2"/>
          </w:tcPr>
          <w:p w:rsidR="009D148C" w:rsidRPr="00DC6DCF" w:rsidRDefault="009D148C" w:rsidP="00DC6DCF">
            <w:pPr>
              <w:spacing w:before="120"/>
              <w:jc w:val="center"/>
              <w:rPr>
                <w:sz w:val="20"/>
                <w:szCs w:val="20"/>
              </w:rPr>
            </w:pPr>
            <w:r w:rsidRPr="00DC6DCF">
              <w:rPr>
                <w:sz w:val="20"/>
                <w:szCs w:val="20"/>
              </w:rPr>
              <w:t>ALL</w:t>
            </w:r>
          </w:p>
        </w:tc>
        <w:tc>
          <w:tcPr>
            <w:tcW w:w="0" w:type="auto"/>
            <w:shd w:val="clear" w:color="auto" w:fill="F2F2F2"/>
          </w:tcPr>
          <w:p w:rsidR="009D148C" w:rsidRPr="00DC6DCF" w:rsidRDefault="009D148C" w:rsidP="00DC6DCF">
            <w:pPr>
              <w:spacing w:before="120"/>
              <w:jc w:val="center"/>
              <w:rPr>
                <w:sz w:val="20"/>
                <w:szCs w:val="20"/>
              </w:rPr>
            </w:pPr>
            <w:r w:rsidRPr="00DC6DCF">
              <w:rPr>
                <w:sz w:val="20"/>
                <w:szCs w:val="20"/>
              </w:rPr>
              <w:t>15</w:t>
            </w:r>
          </w:p>
        </w:tc>
        <w:tc>
          <w:tcPr>
            <w:tcW w:w="0" w:type="auto"/>
            <w:shd w:val="clear" w:color="auto" w:fill="F2F2F2"/>
          </w:tcPr>
          <w:p w:rsidR="009D148C" w:rsidRPr="00DC6DCF" w:rsidRDefault="009D148C" w:rsidP="00DC6DCF">
            <w:pPr>
              <w:spacing w:before="120"/>
              <w:jc w:val="center"/>
              <w:rPr>
                <w:sz w:val="20"/>
                <w:szCs w:val="20"/>
              </w:rPr>
            </w:pPr>
            <w:r>
              <w:rPr>
                <w:sz w:val="20"/>
                <w:szCs w:val="20"/>
              </w:rPr>
              <w:t>n/a</w:t>
            </w:r>
          </w:p>
        </w:tc>
        <w:tc>
          <w:tcPr>
            <w:tcW w:w="0" w:type="auto"/>
            <w:shd w:val="clear" w:color="auto" w:fill="F2F2F2"/>
          </w:tcPr>
          <w:p w:rsidR="009D148C" w:rsidRPr="00DC6DCF" w:rsidRDefault="009D148C" w:rsidP="00DC6DCF">
            <w:pPr>
              <w:spacing w:before="120"/>
              <w:jc w:val="center"/>
              <w:rPr>
                <w:sz w:val="20"/>
                <w:szCs w:val="20"/>
              </w:rPr>
            </w:pPr>
            <w:r w:rsidRPr="00DC6DCF">
              <w:rPr>
                <w:sz w:val="20"/>
                <w:szCs w:val="20"/>
              </w:rPr>
              <w:t>DEER 2011</w:t>
            </w:r>
          </w:p>
        </w:tc>
        <w:tc>
          <w:tcPr>
            <w:tcW w:w="930" w:type="dxa"/>
            <w:shd w:val="clear" w:color="auto" w:fill="F2F2F2"/>
          </w:tcPr>
          <w:p w:rsidR="009D148C" w:rsidRPr="00DC6DCF" w:rsidRDefault="009D148C" w:rsidP="00DC6DCF">
            <w:pPr>
              <w:spacing w:before="120"/>
              <w:jc w:val="center"/>
              <w:rPr>
                <w:sz w:val="20"/>
                <w:szCs w:val="20"/>
              </w:rPr>
            </w:pPr>
            <w:proofErr w:type="spellStart"/>
            <w:r>
              <w:rPr>
                <w:sz w:val="20"/>
                <w:szCs w:val="20"/>
              </w:rPr>
              <w:t>Comm</w:t>
            </w:r>
            <w:proofErr w:type="spellEnd"/>
            <w:r>
              <w:rPr>
                <w:sz w:val="20"/>
                <w:szCs w:val="20"/>
              </w:rPr>
              <w:t xml:space="preserve"> AC</w:t>
            </w:r>
          </w:p>
        </w:tc>
      </w:tr>
    </w:tbl>
    <w:p w:rsidR="009D148C" w:rsidRDefault="009D148C" w:rsidP="00CB0475">
      <w:pPr>
        <w:tabs>
          <w:tab w:val="left" w:pos="6435"/>
        </w:tabs>
        <w:rPr>
          <w:b/>
          <w:bCs/>
          <w:sz w:val="20"/>
          <w:szCs w:val="20"/>
          <w:u w:val="single"/>
        </w:rPr>
      </w:pPr>
    </w:p>
    <w:p w:rsidR="009D148C" w:rsidRDefault="009D148C" w:rsidP="00E4074A">
      <w:pPr>
        <w:pStyle w:val="Heading3"/>
      </w:pPr>
      <w:bookmarkStart w:id="32" w:name="_Toc333929864"/>
      <w:r>
        <w:t xml:space="preserve">1.4.3 </w:t>
      </w:r>
      <w:r w:rsidRPr="001248A3">
        <w:t>EM&amp;V</w:t>
      </w:r>
      <w:r>
        <w:t>, Market Potential,</w:t>
      </w:r>
      <w:r w:rsidRPr="001248A3">
        <w:t xml:space="preserve"> </w:t>
      </w:r>
      <w:r>
        <w:t xml:space="preserve">and Other </w:t>
      </w:r>
      <w:r w:rsidRPr="001248A3">
        <w:t>Studies</w:t>
      </w:r>
      <w:r>
        <w:t xml:space="preserve"> – Base Case and Measure Case Information</w:t>
      </w:r>
      <w:bookmarkEnd w:id="32"/>
    </w:p>
    <w:p w:rsidR="009D148C" w:rsidRPr="00A02F0A" w:rsidRDefault="009D148C" w:rsidP="00A35CF8">
      <w:pPr>
        <w:rPr>
          <w:sz w:val="20"/>
          <w:szCs w:val="20"/>
        </w:rPr>
      </w:pPr>
      <w:r w:rsidRPr="005C12E8">
        <w:rPr>
          <w:sz w:val="20"/>
          <w:szCs w:val="20"/>
        </w:rPr>
        <w:t>M&amp;V studies being carried out currently w</w:t>
      </w:r>
      <w:r>
        <w:rPr>
          <w:sz w:val="20"/>
          <w:szCs w:val="20"/>
        </w:rPr>
        <w:t>ill</w:t>
      </w:r>
      <w:r w:rsidRPr="005C12E8">
        <w:rPr>
          <w:sz w:val="20"/>
          <w:szCs w:val="20"/>
        </w:rPr>
        <w:t xml:space="preserve"> apply to these measures. Information on these studies will be available and this work paper will be updated as soon as possible after the studies are completed.</w:t>
      </w:r>
      <w:r>
        <w:rPr>
          <w:sz w:val="20"/>
          <w:szCs w:val="20"/>
        </w:rPr>
        <w:t xml:space="preserve"> </w:t>
      </w:r>
      <w:r w:rsidRPr="00A02F0A">
        <w:rPr>
          <w:sz w:val="20"/>
          <w:szCs w:val="20"/>
        </w:rPr>
        <w:t xml:space="preserve"> </w:t>
      </w:r>
    </w:p>
    <w:p w:rsidR="009D148C" w:rsidRDefault="009D148C" w:rsidP="00A35CF8">
      <w:pPr>
        <w:rPr>
          <w:b/>
          <w:bCs/>
          <w:i/>
          <w:iCs/>
        </w:rPr>
      </w:pPr>
    </w:p>
    <w:p w:rsidR="009D148C" w:rsidRDefault="009D148C" w:rsidP="00A35CF8">
      <w:pPr>
        <w:rPr>
          <w:b/>
          <w:bCs/>
          <w:i/>
          <w:iCs/>
        </w:rPr>
      </w:pPr>
      <w:r w:rsidRPr="00C80E3F">
        <w:rPr>
          <w:b/>
          <w:bCs/>
          <w:i/>
          <w:iCs/>
        </w:rPr>
        <w:t xml:space="preserve">1.4.3.1 </w:t>
      </w:r>
      <w:r>
        <w:rPr>
          <w:b/>
          <w:bCs/>
          <w:i/>
          <w:iCs/>
        </w:rPr>
        <w:t>SCE/EPRI Investigations</w:t>
      </w:r>
      <w:r w:rsidRPr="00614A48">
        <w:rPr>
          <w:b/>
          <w:bCs/>
          <w:i/>
          <w:iCs/>
          <w:vertAlign w:val="superscript"/>
        </w:rPr>
        <w:endnoteReference w:id="7"/>
      </w:r>
    </w:p>
    <w:p w:rsidR="009D148C" w:rsidRPr="005C12E8" w:rsidRDefault="009D148C" w:rsidP="00A35CF8">
      <w:pPr>
        <w:rPr>
          <w:sz w:val="20"/>
          <w:szCs w:val="20"/>
        </w:rPr>
      </w:pPr>
      <w:r w:rsidRPr="005C12E8">
        <w:rPr>
          <w:sz w:val="20"/>
          <w:szCs w:val="20"/>
        </w:rPr>
        <w:t>No information yet available.</w:t>
      </w:r>
    </w:p>
    <w:p w:rsidR="009D148C" w:rsidRPr="005C12E8" w:rsidRDefault="009D148C" w:rsidP="00A35CF8">
      <w:pPr>
        <w:rPr>
          <w:b/>
          <w:bCs/>
          <w:i/>
          <w:iCs/>
          <w:sz w:val="20"/>
          <w:szCs w:val="20"/>
        </w:rPr>
      </w:pPr>
    </w:p>
    <w:p w:rsidR="009D148C" w:rsidRPr="005C12E8" w:rsidRDefault="009D148C" w:rsidP="00C80E3F">
      <w:pPr>
        <w:rPr>
          <w:b/>
          <w:bCs/>
          <w:i/>
          <w:iCs/>
        </w:rPr>
      </w:pPr>
      <w:r>
        <w:rPr>
          <w:b/>
          <w:bCs/>
          <w:i/>
          <w:iCs/>
        </w:rPr>
        <w:t>1.4.3.2</w:t>
      </w:r>
      <w:r w:rsidRPr="005C12E8">
        <w:rPr>
          <w:b/>
          <w:bCs/>
          <w:i/>
          <w:iCs/>
        </w:rPr>
        <w:t xml:space="preserve"> Northwest Utilities Investigations</w:t>
      </w:r>
      <w:r w:rsidRPr="00614A48">
        <w:rPr>
          <w:b/>
          <w:bCs/>
          <w:i/>
          <w:iCs/>
          <w:vertAlign w:val="superscript"/>
        </w:rPr>
        <w:endnoteReference w:id="8"/>
      </w:r>
    </w:p>
    <w:p w:rsidR="009D148C" w:rsidRDefault="009D148C" w:rsidP="005C12E8">
      <w:pPr>
        <w:rPr>
          <w:sz w:val="20"/>
          <w:szCs w:val="20"/>
        </w:rPr>
      </w:pPr>
      <w:r w:rsidRPr="005C12E8">
        <w:rPr>
          <w:sz w:val="20"/>
          <w:szCs w:val="20"/>
        </w:rPr>
        <w:t>No information yet available.</w:t>
      </w:r>
    </w:p>
    <w:p w:rsidR="009D148C" w:rsidRPr="005C12E8" w:rsidRDefault="009D148C" w:rsidP="005C12E8">
      <w:pPr>
        <w:rPr>
          <w:sz w:val="20"/>
          <w:szCs w:val="20"/>
        </w:rPr>
      </w:pPr>
    </w:p>
    <w:p w:rsidR="009D148C" w:rsidRPr="00757CF6" w:rsidRDefault="009D148C" w:rsidP="00E4074A">
      <w:pPr>
        <w:pStyle w:val="Heading3"/>
      </w:pPr>
      <w:bookmarkStart w:id="33" w:name="_Toc333929865"/>
      <w:r w:rsidRPr="00836F9B">
        <w:t>1.4.5 Time-of-Use Adjustment Factor</w:t>
      </w:r>
      <w:bookmarkEnd w:id="33"/>
    </w:p>
    <w:p w:rsidR="009D148C" w:rsidRPr="00CF6760" w:rsidRDefault="009D148C" w:rsidP="00757CF6">
      <w:r w:rsidRPr="00CF6760">
        <w:t>As directed by the CPUC in decision 06-06-063 dated June 29, 2006, time-of-use (TOU) adjustment factors are to be applied for residential AC and commercial AC (direct-expansion cooling) measures only.  The specific TOU adjustment factors are inherent in the avoided-cost calculation performed in the E3 calculator.  In order to apply the TOU adjustment factor correctly to each measure, the following equation was used to calculate the “% Eligible for TOU AC Adjustment” value found in the summary table:</w:t>
      </w:r>
    </w:p>
    <w:p w:rsidR="009D148C" w:rsidRPr="00CF6760" w:rsidRDefault="009D148C" w:rsidP="00757CF6"/>
    <w:p w:rsidR="009D148C" w:rsidRPr="00CF6760" w:rsidRDefault="008D432A" w:rsidP="00757CF6">
      <w:pPr>
        <w:jc w:val="center"/>
      </w:pPr>
      <w:r>
        <w:rPr>
          <w:noProof/>
          <w:position w:val="-30"/>
        </w:rPr>
        <w:drawing>
          <wp:inline distT="0" distB="0" distL="0" distR="0" wp14:anchorId="72D34443" wp14:editId="2DEEBB52">
            <wp:extent cx="1409700" cy="44767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9700" cy="447675"/>
                    </a:xfrm>
                    <a:prstGeom prst="rect">
                      <a:avLst/>
                    </a:prstGeom>
                    <a:noFill/>
                    <a:ln>
                      <a:noFill/>
                    </a:ln>
                  </pic:spPr>
                </pic:pic>
              </a:graphicData>
            </a:graphic>
          </wp:inline>
        </w:drawing>
      </w:r>
    </w:p>
    <w:p w:rsidR="009D148C" w:rsidRPr="00CF6760" w:rsidRDefault="009D148C" w:rsidP="00757CF6">
      <w:pPr>
        <w:jc w:val="center"/>
      </w:pPr>
    </w:p>
    <w:p w:rsidR="009D148C" w:rsidRPr="00CF6760" w:rsidRDefault="009D148C" w:rsidP="00757CF6">
      <w:proofErr w:type="gramStart"/>
      <w:r w:rsidRPr="00CF6760">
        <w:t>where</w:t>
      </w:r>
      <w:proofErr w:type="gramEnd"/>
      <w:r w:rsidRPr="00CF6760">
        <w:t xml:space="preserve"> </w:t>
      </w:r>
      <w:proofErr w:type="spellStart"/>
      <w:r w:rsidRPr="00CF6760">
        <w:rPr>
          <w:i/>
          <w:iCs/>
        </w:rPr>
        <w:t>kW</w:t>
      </w:r>
      <w:r w:rsidRPr="00CF6760">
        <w:rPr>
          <w:i/>
          <w:iCs/>
          <w:vertAlign w:val="subscript"/>
        </w:rPr>
        <w:t>AC</w:t>
      </w:r>
      <w:proofErr w:type="spellEnd"/>
      <w:r w:rsidRPr="00CF6760">
        <w:rPr>
          <w:vertAlign w:val="subscript"/>
        </w:rPr>
        <w:t xml:space="preserve">  </w:t>
      </w:r>
      <w:r w:rsidRPr="00CF6760">
        <w:t xml:space="preserve">is the kW savings associated with the AC unit, and </w:t>
      </w:r>
      <w:proofErr w:type="spellStart"/>
      <w:r w:rsidRPr="00CF6760">
        <w:rPr>
          <w:i/>
          <w:iCs/>
        </w:rPr>
        <w:t>kW</w:t>
      </w:r>
      <w:r w:rsidRPr="00CF6760">
        <w:rPr>
          <w:i/>
          <w:iCs/>
          <w:vertAlign w:val="subscript"/>
        </w:rPr>
        <w:t>Total</w:t>
      </w:r>
      <w:proofErr w:type="spellEnd"/>
      <w:r w:rsidRPr="00CF6760">
        <w:t xml:space="preserve"> is the total kW savings for the sum of kW measures.  The TOU for this measure is 100%.</w:t>
      </w:r>
    </w:p>
    <w:p w:rsidR="009D148C" w:rsidRPr="00CF6760" w:rsidRDefault="009D148C" w:rsidP="00757CF6"/>
    <w:p w:rsidR="009D148C" w:rsidRDefault="009D148C" w:rsidP="00103CBE">
      <w:pPr>
        <w:pStyle w:val="Heading1"/>
      </w:pPr>
      <w:r>
        <w:br w:type="page"/>
      </w:r>
      <w:bookmarkStart w:id="34" w:name="_Toc333929866"/>
      <w:proofErr w:type="gramStart"/>
      <w:r w:rsidRPr="00CF3FF0">
        <w:lastRenderedPageBreak/>
        <w:t>Section 2.</w:t>
      </w:r>
      <w:proofErr w:type="gramEnd"/>
      <w:r w:rsidRPr="00CF3FF0">
        <w:t xml:space="preserve"> Calculation Methods</w:t>
      </w:r>
      <w:bookmarkEnd w:id="34"/>
    </w:p>
    <w:p w:rsidR="009D148C" w:rsidRPr="007A3628" w:rsidRDefault="009D148C" w:rsidP="000D69F0">
      <w:r w:rsidRPr="007A3628">
        <w:t>Energy efficiency measures that involve a change in source from gas to electricity (or vice-versa) are required to meet three tests:</w:t>
      </w:r>
    </w:p>
    <w:p w:rsidR="009D148C" w:rsidRPr="007A3628" w:rsidRDefault="009D148C" w:rsidP="000D69F0"/>
    <w:p w:rsidR="009D148C" w:rsidRPr="007A3628" w:rsidRDefault="009D148C" w:rsidP="000D69F0">
      <w:pPr>
        <w:pStyle w:val="ListParagraph"/>
        <w:numPr>
          <w:ilvl w:val="0"/>
          <w:numId w:val="25"/>
        </w:numPr>
        <w:rPr>
          <w:rFonts w:ascii="Arial" w:hAnsi="Arial" w:cs="Arial"/>
        </w:rPr>
      </w:pPr>
      <w:r w:rsidRPr="007A3628">
        <w:rPr>
          <w:rFonts w:ascii="Arial" w:hAnsi="Arial" w:cs="Arial"/>
        </w:rPr>
        <w:t>Must not increase source BTU consumption.</w:t>
      </w:r>
    </w:p>
    <w:p w:rsidR="009D148C" w:rsidRDefault="009D148C" w:rsidP="001975B0">
      <w:pPr>
        <w:pStyle w:val="ListParagraph"/>
        <w:numPr>
          <w:ilvl w:val="0"/>
          <w:numId w:val="25"/>
        </w:numPr>
        <w:rPr>
          <w:rFonts w:ascii="Arial" w:hAnsi="Arial" w:cs="Arial"/>
        </w:rPr>
      </w:pPr>
      <w:r w:rsidRPr="001975B0">
        <w:rPr>
          <w:rFonts w:ascii="Arial" w:hAnsi="Arial" w:cs="Arial"/>
        </w:rPr>
        <w:t xml:space="preserve">Must have a TRC and PAC greater than one. </w:t>
      </w:r>
    </w:p>
    <w:p w:rsidR="009D148C" w:rsidRPr="001975B0" w:rsidRDefault="009D148C" w:rsidP="001975B0">
      <w:pPr>
        <w:pStyle w:val="ListParagraph"/>
        <w:numPr>
          <w:ilvl w:val="0"/>
          <w:numId w:val="25"/>
        </w:numPr>
        <w:rPr>
          <w:rFonts w:ascii="Arial" w:hAnsi="Arial" w:cs="Arial"/>
        </w:rPr>
      </w:pPr>
      <w:r w:rsidRPr="001975B0">
        <w:rPr>
          <w:rFonts w:ascii="Arial" w:hAnsi="Arial" w:cs="Arial"/>
        </w:rPr>
        <w:t xml:space="preserve">Must not adversely impact the environment. </w:t>
      </w:r>
    </w:p>
    <w:p w:rsidR="009D148C" w:rsidRPr="007A3628" w:rsidRDefault="009D148C" w:rsidP="000D69F0">
      <w:pPr>
        <w:pStyle w:val="ListParagraph"/>
        <w:ind w:left="0"/>
        <w:rPr>
          <w:rFonts w:ascii="Arial" w:hAnsi="Arial" w:cs="Arial"/>
        </w:rPr>
      </w:pPr>
    </w:p>
    <w:p w:rsidR="009D148C" w:rsidRPr="007A3628" w:rsidRDefault="009D148C" w:rsidP="000D69F0">
      <w:pPr>
        <w:pStyle w:val="ListParagraph"/>
        <w:ind w:left="0"/>
        <w:rPr>
          <w:rFonts w:ascii="Arial" w:hAnsi="Arial" w:cs="Arial"/>
        </w:rPr>
      </w:pPr>
      <w:r w:rsidRPr="007A3628">
        <w:rPr>
          <w:rFonts w:ascii="Arial" w:hAnsi="Arial" w:cs="Arial"/>
        </w:rPr>
        <w:t xml:space="preserve">The calculations in this work paper show that VRF systems pass the first test. These measures also meet the TRC and PAC </w:t>
      </w:r>
      <w:r>
        <w:rPr>
          <w:rFonts w:ascii="Arial" w:hAnsi="Arial" w:cs="Arial"/>
        </w:rPr>
        <w:t>requirement</w:t>
      </w:r>
      <w:r w:rsidRPr="007A3628">
        <w:rPr>
          <w:rFonts w:ascii="Arial" w:hAnsi="Arial" w:cs="Arial"/>
        </w:rPr>
        <w:t>s, and thus pass the second test. Because the measures save energy, they also reduce greenhouse gases</w:t>
      </w:r>
      <w:r>
        <w:rPr>
          <w:rFonts w:ascii="Arial" w:hAnsi="Arial" w:cs="Arial"/>
        </w:rPr>
        <w:t>, reducing the negat</w:t>
      </w:r>
      <w:r w:rsidR="009B211E">
        <w:rPr>
          <w:rFonts w:ascii="Arial" w:hAnsi="Arial" w:cs="Arial"/>
        </w:rPr>
        <w:t>ive impact on the environment.</w:t>
      </w:r>
    </w:p>
    <w:p w:rsidR="009D148C" w:rsidRPr="000D69F0" w:rsidRDefault="009D148C" w:rsidP="000D69F0"/>
    <w:p w:rsidR="009D148C" w:rsidRDefault="009D148C" w:rsidP="00D20486">
      <w:pPr>
        <w:pStyle w:val="Heading2"/>
      </w:pPr>
      <w:bookmarkStart w:id="35" w:name="_Toc333929867"/>
      <w:r>
        <w:t>2.1 Electric Energy Savings Estimation Methodologies</w:t>
      </w:r>
      <w:bookmarkEnd w:id="35"/>
    </w:p>
    <w:p w:rsidR="009D148C" w:rsidRPr="00DD2654" w:rsidRDefault="009D148C" w:rsidP="00F31AA8">
      <w:r w:rsidRPr="00DD2654">
        <w:t>The basic equati</w:t>
      </w:r>
      <w:r>
        <w:t>o</w:t>
      </w:r>
      <w:r w:rsidRPr="00DD2654">
        <w:t>ns describing energy savings are given as:</w:t>
      </w:r>
    </w:p>
    <w:p w:rsidR="009D148C" w:rsidRDefault="009D148C" w:rsidP="00F31AA8">
      <w:pPr>
        <w:rPr>
          <w:b/>
          <w:bCs/>
          <w:sz w:val="20"/>
          <w:szCs w:val="20"/>
        </w:rPr>
      </w:pPr>
    </w:p>
    <w:p w:rsidR="009D148C" w:rsidRPr="001A3026" w:rsidRDefault="009D148C" w:rsidP="00F31AA8">
      <w:pPr>
        <w:rPr>
          <w:sz w:val="20"/>
          <w:szCs w:val="20"/>
        </w:rPr>
      </w:pPr>
      <w:r w:rsidRPr="00CF3FF0">
        <w:rPr>
          <w:b/>
          <w:bCs/>
          <w:sz w:val="20"/>
          <w:szCs w:val="20"/>
        </w:rPr>
        <w:t>∆Watts/</w:t>
      </w:r>
      <w:r>
        <w:rPr>
          <w:b/>
          <w:bCs/>
          <w:sz w:val="20"/>
          <w:szCs w:val="20"/>
        </w:rPr>
        <w:t>ton</w:t>
      </w:r>
      <w:r w:rsidRPr="00CF3FF0">
        <w:rPr>
          <w:b/>
          <w:bCs/>
          <w:sz w:val="20"/>
          <w:szCs w:val="20"/>
        </w:rPr>
        <w:t>:</w:t>
      </w:r>
      <w:r w:rsidRPr="00CF3FF0" w:rsidDel="00CF3FF0">
        <w:rPr>
          <w:b/>
          <w:bCs/>
          <w:sz w:val="20"/>
          <w:szCs w:val="20"/>
        </w:rPr>
        <w:t xml:space="preserve"> </w:t>
      </w:r>
      <w:r w:rsidRPr="001A3026">
        <w:rPr>
          <w:sz w:val="20"/>
          <w:szCs w:val="20"/>
        </w:rPr>
        <w:t xml:space="preserve">The demand difference (watts per </w:t>
      </w:r>
      <w:r>
        <w:rPr>
          <w:sz w:val="20"/>
          <w:szCs w:val="20"/>
        </w:rPr>
        <w:t>ton</w:t>
      </w:r>
      <w:r w:rsidRPr="001A3026">
        <w:rPr>
          <w:sz w:val="20"/>
          <w:szCs w:val="20"/>
        </w:rPr>
        <w:t>) is simply the difference between the electric demand of the base unit and the electric demand of the energy</w:t>
      </w:r>
      <w:r>
        <w:rPr>
          <w:sz w:val="20"/>
          <w:szCs w:val="20"/>
        </w:rPr>
        <w:t>-</w:t>
      </w:r>
      <w:r w:rsidRPr="001A3026">
        <w:rPr>
          <w:sz w:val="20"/>
          <w:szCs w:val="20"/>
        </w:rPr>
        <w:t>efficient unit.</w:t>
      </w:r>
    </w:p>
    <w:p w:rsidR="009D148C" w:rsidRPr="001A3026" w:rsidRDefault="009D148C" w:rsidP="00F31AA8">
      <w:pPr>
        <w:ind w:left="720"/>
        <w:rPr>
          <w:sz w:val="20"/>
          <w:szCs w:val="20"/>
        </w:rPr>
      </w:pPr>
    </w:p>
    <w:p w:rsidR="009D148C" w:rsidRDefault="009D148C" w:rsidP="00F31AA8">
      <w:pPr>
        <w:ind w:left="720"/>
        <w:rPr>
          <w:b/>
          <w:bCs/>
          <w:sz w:val="20"/>
          <w:szCs w:val="20"/>
        </w:rPr>
      </w:pPr>
      <w:r w:rsidRPr="001A3026">
        <w:rPr>
          <w:b/>
          <w:bCs/>
          <w:sz w:val="20"/>
          <w:szCs w:val="20"/>
          <w:u w:val="single"/>
        </w:rPr>
        <w:t>∆Watts/</w:t>
      </w:r>
      <w:r>
        <w:rPr>
          <w:b/>
          <w:bCs/>
          <w:sz w:val="20"/>
          <w:szCs w:val="20"/>
          <w:u w:val="single"/>
        </w:rPr>
        <w:t>ton</w:t>
      </w:r>
      <w:r w:rsidRPr="001A3026">
        <w:rPr>
          <w:b/>
          <w:bCs/>
          <w:sz w:val="20"/>
          <w:szCs w:val="20"/>
        </w:rPr>
        <w:tab/>
        <w:t>= Base</w:t>
      </w:r>
      <w:r>
        <w:rPr>
          <w:b/>
          <w:bCs/>
          <w:sz w:val="20"/>
          <w:szCs w:val="20"/>
        </w:rPr>
        <w:t xml:space="preserve"> Case</w:t>
      </w:r>
      <w:r w:rsidRPr="001A3026">
        <w:rPr>
          <w:b/>
          <w:bCs/>
          <w:sz w:val="20"/>
          <w:szCs w:val="20"/>
        </w:rPr>
        <w:t xml:space="preserve"> Watts/</w:t>
      </w:r>
      <w:proofErr w:type="gramStart"/>
      <w:r>
        <w:rPr>
          <w:b/>
          <w:bCs/>
          <w:sz w:val="20"/>
          <w:szCs w:val="20"/>
        </w:rPr>
        <w:t>ton</w:t>
      </w:r>
      <w:r w:rsidRPr="001A3026">
        <w:rPr>
          <w:b/>
          <w:bCs/>
          <w:sz w:val="20"/>
          <w:szCs w:val="20"/>
        </w:rPr>
        <w:t xml:space="preserve">  -</w:t>
      </w:r>
      <w:proofErr w:type="gramEnd"/>
      <w:r w:rsidRPr="001A3026">
        <w:rPr>
          <w:b/>
          <w:bCs/>
          <w:sz w:val="20"/>
          <w:szCs w:val="20"/>
        </w:rPr>
        <w:t xml:space="preserve">  </w:t>
      </w:r>
      <w:r>
        <w:rPr>
          <w:b/>
          <w:bCs/>
          <w:sz w:val="20"/>
          <w:szCs w:val="20"/>
        </w:rPr>
        <w:t xml:space="preserve">Measure Case </w:t>
      </w:r>
      <w:r w:rsidRPr="001A3026">
        <w:rPr>
          <w:b/>
          <w:bCs/>
          <w:sz w:val="20"/>
          <w:szCs w:val="20"/>
        </w:rPr>
        <w:t>Watts</w:t>
      </w:r>
      <w:r>
        <w:rPr>
          <w:b/>
          <w:bCs/>
          <w:sz w:val="20"/>
          <w:szCs w:val="20"/>
        </w:rPr>
        <w:t>/ton</w:t>
      </w:r>
    </w:p>
    <w:p w:rsidR="009D148C" w:rsidRDefault="009D148C" w:rsidP="00F31AA8">
      <w:pPr>
        <w:ind w:left="720"/>
        <w:rPr>
          <w:b/>
          <w:bCs/>
          <w:sz w:val="20"/>
          <w:szCs w:val="20"/>
          <w:u w:val="single"/>
        </w:rPr>
      </w:pPr>
    </w:p>
    <w:p w:rsidR="009D148C" w:rsidRDefault="009D148C" w:rsidP="00F31AA8">
      <w:pPr>
        <w:rPr>
          <w:sz w:val="20"/>
          <w:szCs w:val="20"/>
        </w:rPr>
      </w:pPr>
    </w:p>
    <w:p w:rsidR="009D148C" w:rsidRPr="004D7301" w:rsidRDefault="009D148C" w:rsidP="00F31AA8">
      <w:pPr>
        <w:rPr>
          <w:sz w:val="20"/>
          <w:szCs w:val="20"/>
        </w:rPr>
      </w:pPr>
      <w:proofErr w:type="gramStart"/>
      <w:r>
        <w:rPr>
          <w:sz w:val="20"/>
          <w:szCs w:val="20"/>
        </w:rPr>
        <w:t>where</w:t>
      </w:r>
      <w:proofErr w:type="gramEnd"/>
      <w:r>
        <w:rPr>
          <w:sz w:val="20"/>
          <w:szCs w:val="20"/>
        </w:rPr>
        <w:t xml:space="preserve">: </w:t>
      </w:r>
      <w:r w:rsidRPr="004D7301">
        <w:rPr>
          <w:sz w:val="20"/>
          <w:szCs w:val="20"/>
        </w:rPr>
        <w:t>Base Case Watts/</w:t>
      </w:r>
      <w:r>
        <w:rPr>
          <w:sz w:val="20"/>
          <w:szCs w:val="20"/>
        </w:rPr>
        <w:t>ton</w:t>
      </w:r>
      <w:r w:rsidRPr="004D7301">
        <w:rPr>
          <w:sz w:val="20"/>
          <w:szCs w:val="20"/>
        </w:rPr>
        <w:t xml:space="preserve"> represents code/industry</w:t>
      </w:r>
      <w:r>
        <w:rPr>
          <w:sz w:val="20"/>
          <w:szCs w:val="20"/>
        </w:rPr>
        <w:t xml:space="preserve"> </w:t>
      </w:r>
      <w:r w:rsidRPr="004D7301">
        <w:rPr>
          <w:sz w:val="20"/>
          <w:szCs w:val="20"/>
        </w:rPr>
        <w:t>standard base unit demand</w:t>
      </w:r>
      <w:r>
        <w:rPr>
          <w:sz w:val="20"/>
          <w:szCs w:val="20"/>
        </w:rPr>
        <w:t xml:space="preserve"> per ton of air conditioning capacity. </w:t>
      </w:r>
    </w:p>
    <w:p w:rsidR="009D148C" w:rsidRDefault="009D148C" w:rsidP="00F31AA8">
      <w:pPr>
        <w:rPr>
          <w:sz w:val="20"/>
          <w:szCs w:val="20"/>
        </w:rPr>
      </w:pPr>
    </w:p>
    <w:p w:rsidR="009D148C" w:rsidRPr="00C52D33" w:rsidRDefault="009D148C" w:rsidP="00F31AA8">
      <w:pPr>
        <w:rPr>
          <w:b/>
          <w:bCs/>
          <w:sz w:val="20"/>
          <w:szCs w:val="20"/>
        </w:rPr>
      </w:pPr>
      <w:r w:rsidRPr="00C52D33">
        <w:rPr>
          <w:b/>
          <w:bCs/>
          <w:sz w:val="20"/>
          <w:szCs w:val="20"/>
        </w:rPr>
        <w:t>Annual Electric Savings:</w:t>
      </w:r>
    </w:p>
    <w:p w:rsidR="009D148C" w:rsidRPr="001A3026" w:rsidRDefault="009D148C" w:rsidP="00F31AA8">
      <w:pPr>
        <w:ind w:left="720"/>
        <w:rPr>
          <w:sz w:val="20"/>
          <w:szCs w:val="20"/>
        </w:rPr>
      </w:pPr>
    </w:p>
    <w:p w:rsidR="009D148C" w:rsidRPr="001A3026" w:rsidRDefault="009D148C" w:rsidP="00F31AA8">
      <w:pPr>
        <w:ind w:left="720"/>
        <w:rPr>
          <w:b/>
          <w:bCs/>
          <w:sz w:val="20"/>
          <w:szCs w:val="20"/>
        </w:rPr>
      </w:pPr>
      <w:r w:rsidRPr="001A3026">
        <w:rPr>
          <w:b/>
          <w:bCs/>
          <w:sz w:val="20"/>
          <w:szCs w:val="20"/>
        </w:rPr>
        <w:t>Energy Savings [kWh/</w:t>
      </w:r>
      <w:r>
        <w:rPr>
          <w:b/>
          <w:bCs/>
          <w:sz w:val="20"/>
          <w:szCs w:val="20"/>
        </w:rPr>
        <w:t>ton</w:t>
      </w:r>
      <w:r w:rsidRPr="001A3026">
        <w:rPr>
          <w:b/>
          <w:bCs/>
          <w:sz w:val="20"/>
          <w:szCs w:val="20"/>
        </w:rPr>
        <w:t xml:space="preserve"> = </w:t>
      </w:r>
      <w:r w:rsidRPr="001A3026">
        <w:rPr>
          <w:b/>
          <w:bCs/>
          <w:sz w:val="20"/>
          <w:szCs w:val="20"/>
          <w:u w:val="single"/>
        </w:rPr>
        <w:t>(∆Watts/</w:t>
      </w:r>
      <w:r>
        <w:rPr>
          <w:b/>
          <w:bCs/>
          <w:sz w:val="20"/>
          <w:szCs w:val="20"/>
          <w:u w:val="single"/>
        </w:rPr>
        <w:t>ton</w:t>
      </w:r>
      <w:r w:rsidRPr="001A3026">
        <w:rPr>
          <w:b/>
          <w:bCs/>
          <w:sz w:val="20"/>
          <w:szCs w:val="20"/>
          <w:u w:val="single"/>
        </w:rPr>
        <w:t>) x (hours/day</w:t>
      </w:r>
      <w:proofErr w:type="gramStart"/>
      <w:r w:rsidRPr="001A3026">
        <w:rPr>
          <w:b/>
          <w:bCs/>
          <w:sz w:val="20"/>
          <w:szCs w:val="20"/>
          <w:u w:val="single"/>
        </w:rPr>
        <w:t>)x</w:t>
      </w:r>
      <w:proofErr w:type="gramEnd"/>
      <w:r w:rsidRPr="001A3026">
        <w:rPr>
          <w:b/>
          <w:bCs/>
          <w:sz w:val="20"/>
          <w:szCs w:val="20"/>
          <w:u w:val="single"/>
        </w:rPr>
        <w:t>(days/year)</w:t>
      </w:r>
    </w:p>
    <w:p w:rsidR="009D148C" w:rsidRPr="001A3026" w:rsidRDefault="009D148C" w:rsidP="00F31AA8">
      <w:pPr>
        <w:ind w:left="720"/>
        <w:rPr>
          <w:b/>
          <w:bCs/>
          <w:sz w:val="20"/>
          <w:szCs w:val="20"/>
        </w:rPr>
      </w:pPr>
      <w:r w:rsidRPr="001A3026">
        <w:rPr>
          <w:b/>
          <w:bCs/>
          <w:sz w:val="20"/>
          <w:szCs w:val="20"/>
        </w:rPr>
        <w:tab/>
      </w:r>
      <w:r w:rsidRPr="001A3026">
        <w:rPr>
          <w:b/>
          <w:bCs/>
          <w:sz w:val="20"/>
          <w:szCs w:val="20"/>
        </w:rPr>
        <w:tab/>
      </w:r>
      <w:r w:rsidRPr="001A3026">
        <w:rPr>
          <w:b/>
          <w:bCs/>
          <w:sz w:val="20"/>
          <w:szCs w:val="20"/>
        </w:rPr>
        <w:tab/>
      </w:r>
      <w:r w:rsidRPr="001A3026">
        <w:rPr>
          <w:b/>
          <w:bCs/>
          <w:sz w:val="20"/>
          <w:szCs w:val="20"/>
        </w:rPr>
        <w:tab/>
        <w:t xml:space="preserve">     </w:t>
      </w:r>
      <w:r>
        <w:rPr>
          <w:b/>
          <w:bCs/>
          <w:sz w:val="20"/>
          <w:szCs w:val="20"/>
        </w:rPr>
        <w:t xml:space="preserve">              </w:t>
      </w:r>
      <w:r w:rsidRPr="001A3026">
        <w:rPr>
          <w:b/>
          <w:bCs/>
          <w:sz w:val="20"/>
          <w:szCs w:val="20"/>
        </w:rPr>
        <w:t>1,000 Watts / kW</w:t>
      </w:r>
    </w:p>
    <w:p w:rsidR="009D148C" w:rsidRDefault="009D148C" w:rsidP="00DD2654"/>
    <w:p w:rsidR="009D148C" w:rsidRDefault="009D148C" w:rsidP="00F31AA8">
      <w:pPr>
        <w:pStyle w:val="TableofFigures"/>
        <w:keepNext/>
        <w:ind w:left="0" w:firstLine="0"/>
        <w:rPr>
          <w:rFonts w:ascii="Arial" w:hAnsi="Arial" w:cs="Arial"/>
          <w:b w:val="0"/>
          <w:bCs w:val="0"/>
          <w:sz w:val="22"/>
          <w:szCs w:val="22"/>
        </w:rPr>
      </w:pPr>
      <w:r>
        <w:rPr>
          <w:rFonts w:ascii="Arial" w:hAnsi="Arial" w:cs="Arial"/>
          <w:b w:val="0"/>
          <w:bCs w:val="0"/>
          <w:sz w:val="22"/>
          <w:szCs w:val="22"/>
        </w:rPr>
        <w:t>In an actual HVAC savings calculation, the multiple factors affecting energy use require a complex analysis, based on these basic equations but accounting for many factors including occupancy schedules, weather, building construction type, vintage, and climate zone.</w:t>
      </w:r>
    </w:p>
    <w:p w:rsidR="009D148C" w:rsidRDefault="009D148C" w:rsidP="00F31AA8">
      <w:pPr>
        <w:pStyle w:val="TableofFigures"/>
        <w:keepNext/>
        <w:ind w:left="0" w:firstLine="0"/>
        <w:rPr>
          <w:rFonts w:ascii="Arial" w:hAnsi="Arial" w:cs="Arial"/>
          <w:b w:val="0"/>
          <w:bCs w:val="0"/>
          <w:sz w:val="22"/>
          <w:szCs w:val="22"/>
        </w:rPr>
      </w:pPr>
    </w:p>
    <w:p w:rsidR="009D148C" w:rsidRDefault="009D148C" w:rsidP="00F31AA8">
      <w:pPr>
        <w:pStyle w:val="TableofFigures"/>
        <w:keepNext/>
        <w:ind w:left="0" w:firstLine="0"/>
        <w:rPr>
          <w:rFonts w:ascii="Arial" w:hAnsi="Arial" w:cs="Arial"/>
          <w:b w:val="0"/>
          <w:bCs w:val="0"/>
          <w:sz w:val="22"/>
          <w:szCs w:val="22"/>
        </w:rPr>
      </w:pPr>
      <w:r w:rsidRPr="00F07F11">
        <w:rPr>
          <w:rFonts w:ascii="Arial" w:hAnsi="Arial" w:cs="Arial"/>
          <w:b w:val="0"/>
          <w:bCs w:val="0"/>
          <w:sz w:val="22"/>
          <w:szCs w:val="22"/>
        </w:rPr>
        <w:t>Energy savings for VRF</w:t>
      </w:r>
      <w:r>
        <w:rPr>
          <w:rFonts w:ascii="Arial" w:hAnsi="Arial" w:cs="Arial"/>
          <w:b w:val="0"/>
          <w:bCs w:val="0"/>
          <w:sz w:val="22"/>
          <w:szCs w:val="22"/>
        </w:rPr>
        <w:t xml:space="preserve"> are calculated using </w:t>
      </w:r>
      <w:proofErr w:type="spellStart"/>
      <w:r>
        <w:rPr>
          <w:rFonts w:ascii="Arial" w:hAnsi="Arial" w:cs="Arial"/>
          <w:b w:val="0"/>
          <w:bCs w:val="0"/>
          <w:sz w:val="22"/>
          <w:szCs w:val="22"/>
        </w:rPr>
        <w:t>EnergyPro</w:t>
      </w:r>
      <w:proofErr w:type="spellEnd"/>
      <w:r>
        <w:rPr>
          <w:rFonts w:ascii="Arial" w:hAnsi="Arial" w:cs="Arial"/>
          <w:b w:val="0"/>
          <w:bCs w:val="0"/>
          <w:sz w:val="22"/>
          <w:szCs w:val="22"/>
        </w:rPr>
        <w:t xml:space="preserve"> software, version 5.1.5.1. A VRF module was developed for this software using manufacturer data. This version has been reviewed and found to be applicable for simulating current VRF equipment for the end uses specified in this work paper.</w:t>
      </w:r>
      <w:r w:rsidRPr="000D69F0">
        <w:rPr>
          <w:rFonts w:ascii="Arial" w:hAnsi="Arial" w:cs="Arial"/>
          <w:b w:val="0"/>
          <w:bCs w:val="0"/>
          <w:sz w:val="22"/>
          <w:szCs w:val="22"/>
          <w:vertAlign w:val="superscript"/>
        </w:rPr>
        <w:endnoteReference w:id="9"/>
      </w:r>
      <w:r>
        <w:rPr>
          <w:rFonts w:ascii="Arial" w:hAnsi="Arial" w:cs="Arial"/>
          <w:b w:val="0"/>
          <w:bCs w:val="0"/>
          <w:sz w:val="22"/>
          <w:szCs w:val="22"/>
        </w:rPr>
        <w:t xml:space="preserve"> </w:t>
      </w:r>
    </w:p>
    <w:p w:rsidR="009D148C" w:rsidRPr="00DD2654" w:rsidRDefault="009D148C" w:rsidP="00DD2654">
      <w:pPr>
        <w:rPr>
          <w:sz w:val="16"/>
          <w:szCs w:val="16"/>
        </w:rPr>
      </w:pPr>
    </w:p>
    <w:p w:rsidR="009D148C" w:rsidRPr="00C52D33" w:rsidRDefault="009D148C" w:rsidP="00A95746">
      <w:pPr>
        <w:numPr>
          <w:ilvl w:val="0"/>
          <w:numId w:val="14"/>
        </w:numPr>
        <w:tabs>
          <w:tab w:val="clear" w:pos="1440"/>
          <w:tab w:val="num" w:pos="360"/>
        </w:tabs>
        <w:ind w:left="360"/>
        <w:rPr>
          <w:i/>
          <w:iCs/>
          <w:sz w:val="20"/>
          <w:szCs w:val="20"/>
        </w:rPr>
      </w:pPr>
      <w:r w:rsidRPr="00C52D33">
        <w:rPr>
          <w:sz w:val="20"/>
          <w:szCs w:val="20"/>
        </w:rPr>
        <w:t>This measure includes HVAC interactive effects savings because it is calculated in a complete building simulation model that uses the DOE2.1E program.</w:t>
      </w:r>
    </w:p>
    <w:p w:rsidR="009D148C" w:rsidRPr="00C52D33" w:rsidRDefault="009D148C" w:rsidP="00A95746">
      <w:pPr>
        <w:numPr>
          <w:ilvl w:val="0"/>
          <w:numId w:val="14"/>
        </w:numPr>
        <w:tabs>
          <w:tab w:val="clear" w:pos="1440"/>
        </w:tabs>
        <w:ind w:left="360"/>
        <w:rPr>
          <w:sz w:val="20"/>
          <w:szCs w:val="20"/>
        </w:rPr>
      </w:pPr>
      <w:r w:rsidRPr="00C52D33">
        <w:rPr>
          <w:sz w:val="20"/>
          <w:szCs w:val="20"/>
        </w:rPr>
        <w:t>This measure is not an Early Retirement (ER</w:t>
      </w:r>
      <w:proofErr w:type="gramStart"/>
      <w:r w:rsidRPr="00C52D33">
        <w:rPr>
          <w:sz w:val="20"/>
          <w:szCs w:val="20"/>
        </w:rPr>
        <w:t>)measure</w:t>
      </w:r>
      <w:proofErr w:type="gramEnd"/>
      <w:r w:rsidRPr="00C52D33">
        <w:rPr>
          <w:sz w:val="20"/>
          <w:szCs w:val="20"/>
        </w:rPr>
        <w:t>. If required in the statewide update for 2013, ER data will be added.</w:t>
      </w:r>
    </w:p>
    <w:p w:rsidR="009D148C" w:rsidRPr="00DD2654" w:rsidRDefault="009D148C" w:rsidP="00DD2654">
      <w:pPr>
        <w:rPr>
          <w:sz w:val="16"/>
          <w:szCs w:val="16"/>
        </w:rPr>
      </w:pPr>
    </w:p>
    <w:p w:rsidR="009D148C" w:rsidRDefault="009D148C" w:rsidP="00C20AEE">
      <w:pPr>
        <w:pStyle w:val="TableofFigures"/>
        <w:keepNext/>
        <w:ind w:left="0" w:firstLine="0"/>
        <w:rPr>
          <w:rFonts w:ascii="Arial" w:hAnsi="Arial" w:cs="Arial"/>
          <w:b w:val="0"/>
          <w:bCs w:val="0"/>
          <w:sz w:val="22"/>
          <w:szCs w:val="22"/>
        </w:rPr>
      </w:pPr>
      <w:r>
        <w:rPr>
          <w:rFonts w:ascii="Arial" w:hAnsi="Arial" w:cs="Arial"/>
          <w:b w:val="0"/>
          <w:bCs w:val="0"/>
          <w:sz w:val="22"/>
          <w:szCs w:val="22"/>
        </w:rPr>
        <w:t xml:space="preserve">The previous version of the VRF work paper, developed for SCE, used similar models and an earlier version of the </w:t>
      </w:r>
      <w:proofErr w:type="spellStart"/>
      <w:r>
        <w:rPr>
          <w:rFonts w:ascii="Arial" w:hAnsi="Arial" w:cs="Arial"/>
          <w:b w:val="0"/>
          <w:bCs w:val="0"/>
          <w:sz w:val="22"/>
          <w:szCs w:val="22"/>
        </w:rPr>
        <w:t>EnergyPro</w:t>
      </w:r>
      <w:proofErr w:type="spellEnd"/>
      <w:r>
        <w:rPr>
          <w:rFonts w:ascii="Arial" w:hAnsi="Arial" w:cs="Arial"/>
          <w:b w:val="0"/>
          <w:bCs w:val="0"/>
          <w:sz w:val="22"/>
          <w:szCs w:val="22"/>
        </w:rPr>
        <w:t xml:space="preserve"> software. </w:t>
      </w:r>
      <w:r w:rsidRPr="00EC47AE">
        <w:rPr>
          <w:rFonts w:ascii="Arial" w:hAnsi="Arial" w:cs="Arial"/>
          <w:b w:val="0"/>
          <w:bCs w:val="0"/>
          <w:sz w:val="22"/>
          <w:szCs w:val="22"/>
        </w:rPr>
        <w:t xml:space="preserve">To verify the accuracy of the </w:t>
      </w:r>
      <w:proofErr w:type="spellStart"/>
      <w:r w:rsidRPr="00EC47AE">
        <w:rPr>
          <w:rFonts w:ascii="Arial" w:hAnsi="Arial" w:cs="Arial"/>
          <w:b w:val="0"/>
          <w:bCs w:val="0"/>
          <w:sz w:val="22"/>
          <w:szCs w:val="22"/>
        </w:rPr>
        <w:t>EnergyPro</w:t>
      </w:r>
      <w:proofErr w:type="spellEnd"/>
      <w:r w:rsidRPr="00EC47AE">
        <w:rPr>
          <w:rFonts w:ascii="Arial" w:hAnsi="Arial" w:cs="Arial"/>
          <w:b w:val="0"/>
          <w:bCs w:val="0"/>
          <w:sz w:val="22"/>
          <w:szCs w:val="22"/>
        </w:rPr>
        <w:t xml:space="preserve"> modeling and analysis performed for th</w:t>
      </w:r>
      <w:r>
        <w:rPr>
          <w:rFonts w:ascii="Arial" w:hAnsi="Arial" w:cs="Arial"/>
          <w:b w:val="0"/>
          <w:bCs w:val="0"/>
          <w:sz w:val="22"/>
          <w:szCs w:val="22"/>
        </w:rPr>
        <w:t>at</w:t>
      </w:r>
      <w:r w:rsidRPr="00EC47AE">
        <w:rPr>
          <w:rFonts w:ascii="Arial" w:hAnsi="Arial" w:cs="Arial"/>
          <w:b w:val="0"/>
          <w:bCs w:val="0"/>
          <w:sz w:val="22"/>
          <w:szCs w:val="22"/>
        </w:rPr>
        <w:t xml:space="preserve"> work paper, representative building models for all the VRF and base case systems were reviewed by Martyn Dodd, the developer of </w:t>
      </w:r>
      <w:proofErr w:type="spellStart"/>
      <w:r w:rsidRPr="00EC47AE">
        <w:rPr>
          <w:rFonts w:ascii="Arial" w:hAnsi="Arial" w:cs="Arial"/>
          <w:b w:val="0"/>
          <w:bCs w:val="0"/>
          <w:sz w:val="22"/>
          <w:szCs w:val="22"/>
        </w:rPr>
        <w:t>EnergyPro</w:t>
      </w:r>
      <w:proofErr w:type="spellEnd"/>
      <w:r w:rsidRPr="00EC47AE">
        <w:rPr>
          <w:rFonts w:ascii="Arial" w:hAnsi="Arial" w:cs="Arial"/>
          <w:b w:val="0"/>
          <w:bCs w:val="0"/>
          <w:sz w:val="22"/>
          <w:szCs w:val="22"/>
        </w:rPr>
        <w:t xml:space="preserve"> </w:t>
      </w:r>
      <w:r>
        <w:rPr>
          <w:rFonts w:ascii="Arial" w:hAnsi="Arial" w:cs="Arial"/>
          <w:b w:val="0"/>
          <w:bCs w:val="0"/>
          <w:sz w:val="22"/>
          <w:szCs w:val="22"/>
        </w:rPr>
        <w:t>and</w:t>
      </w:r>
      <w:r w:rsidRPr="00EC47AE">
        <w:rPr>
          <w:rFonts w:ascii="Arial" w:hAnsi="Arial" w:cs="Arial"/>
          <w:b w:val="0"/>
          <w:bCs w:val="0"/>
          <w:sz w:val="22"/>
          <w:szCs w:val="22"/>
        </w:rPr>
        <w:t xml:space="preserve"> principal of </w:t>
      </w:r>
      <w:proofErr w:type="spellStart"/>
      <w:r w:rsidRPr="00EC47AE">
        <w:rPr>
          <w:rFonts w:ascii="Arial" w:hAnsi="Arial" w:cs="Arial"/>
          <w:b w:val="0"/>
          <w:bCs w:val="0"/>
          <w:sz w:val="22"/>
          <w:szCs w:val="22"/>
        </w:rPr>
        <w:t>EnergySoft</w:t>
      </w:r>
      <w:proofErr w:type="spellEnd"/>
      <w:r w:rsidRPr="00EC47AE">
        <w:rPr>
          <w:rFonts w:ascii="Arial" w:hAnsi="Arial" w:cs="Arial"/>
          <w:b w:val="0"/>
          <w:bCs w:val="0"/>
          <w:sz w:val="22"/>
          <w:szCs w:val="22"/>
        </w:rPr>
        <w:t xml:space="preserve">, LLC. He also reviewed the data summary from all the simulation reports developed </w:t>
      </w:r>
      <w:r w:rsidRPr="00EC47AE">
        <w:rPr>
          <w:rFonts w:ascii="Arial" w:hAnsi="Arial" w:cs="Arial"/>
          <w:b w:val="0"/>
          <w:bCs w:val="0"/>
          <w:sz w:val="22"/>
          <w:szCs w:val="22"/>
        </w:rPr>
        <w:lastRenderedPageBreak/>
        <w:t xml:space="preserve">in </w:t>
      </w:r>
      <w:proofErr w:type="spellStart"/>
      <w:r w:rsidRPr="00EC47AE">
        <w:rPr>
          <w:rFonts w:ascii="Arial" w:hAnsi="Arial" w:cs="Arial"/>
          <w:b w:val="0"/>
          <w:bCs w:val="0"/>
          <w:sz w:val="22"/>
          <w:szCs w:val="22"/>
        </w:rPr>
        <w:t>EnergyPro</w:t>
      </w:r>
      <w:proofErr w:type="spellEnd"/>
      <w:r w:rsidRPr="00EC47AE">
        <w:rPr>
          <w:rFonts w:ascii="Arial" w:hAnsi="Arial" w:cs="Arial"/>
          <w:b w:val="0"/>
          <w:bCs w:val="0"/>
          <w:sz w:val="22"/>
          <w:szCs w:val="22"/>
        </w:rPr>
        <w:t xml:space="preserve"> as well as the average savings, demand reduction and duct loss analyses for correct interpretation of the simulation results.</w:t>
      </w:r>
      <w:r>
        <w:rPr>
          <w:rStyle w:val="EndnoteReference"/>
          <w:rFonts w:ascii="Arial" w:hAnsi="Arial" w:cs="Arial"/>
          <w:b w:val="0"/>
          <w:bCs w:val="0"/>
          <w:sz w:val="22"/>
          <w:szCs w:val="22"/>
        </w:rPr>
        <w:endnoteReference w:id="10"/>
      </w:r>
    </w:p>
    <w:p w:rsidR="001A4E49" w:rsidRDefault="001A4E49" w:rsidP="001A4E49"/>
    <w:p w:rsidR="001A4E49" w:rsidRPr="001A4E49" w:rsidRDefault="001A4E49" w:rsidP="001A4E49">
      <w:r w:rsidRPr="001A4E49">
        <w:t xml:space="preserve">“OTR”-This code stands for “Other” building type and it is only used when the customer doesn’t select a building type in the application or the building type doesn’t fall under any of the DEER approved building types. “OTR” building type savings are calculated using the "minimum kwh savings row" of valid DEER building types.  If all </w:t>
      </w:r>
      <w:proofErr w:type="gramStart"/>
      <w:r w:rsidRPr="001A4E49">
        <w:t>kwh</w:t>
      </w:r>
      <w:proofErr w:type="gramEnd"/>
      <w:r w:rsidRPr="001A4E49">
        <w:t xml:space="preserve"> are zero, use minimum kw row. If all </w:t>
      </w:r>
      <w:proofErr w:type="gramStart"/>
      <w:r w:rsidRPr="001A4E49">
        <w:t>kwh</w:t>
      </w:r>
      <w:proofErr w:type="gramEnd"/>
      <w:r w:rsidRPr="001A4E49">
        <w:t xml:space="preserve"> and kw are zero, use minimum therm. For a lighting measure with all building types, the “MTL” building type will be equivalent to OTR because it is the lowest hours of operation. This is a PG&amp;E Administrative type, additional to any DEER types listed.</w:t>
      </w:r>
    </w:p>
    <w:p w:rsidR="009D148C" w:rsidRPr="00F07F11" w:rsidRDefault="009D148C" w:rsidP="00F07F11"/>
    <w:p w:rsidR="009D148C" w:rsidRPr="00EB4A5B" w:rsidRDefault="009D148C" w:rsidP="009E22DC">
      <w:pPr>
        <w:pStyle w:val="TableofFigures"/>
        <w:keepNext/>
        <w:rPr>
          <w:rFonts w:ascii="Arial" w:hAnsi="Arial" w:cs="Arial"/>
        </w:rPr>
      </w:pPr>
      <w:bookmarkStart w:id="36" w:name="_Toc323027338"/>
      <w:r w:rsidRPr="00EB4A5B">
        <w:rPr>
          <w:rFonts w:ascii="Arial" w:hAnsi="Arial" w:cs="Arial"/>
        </w:rPr>
        <w:t xml:space="preserve">Table </w:t>
      </w:r>
      <w:r w:rsidRPr="00EB4A5B">
        <w:rPr>
          <w:rFonts w:ascii="Arial" w:hAnsi="Arial" w:cs="Arial"/>
        </w:rPr>
        <w:fldChar w:fldCharType="begin"/>
      </w:r>
      <w:r w:rsidRPr="00EB4A5B">
        <w:rPr>
          <w:rFonts w:ascii="Arial" w:hAnsi="Arial" w:cs="Arial"/>
        </w:rPr>
        <w:instrText xml:space="preserve"> SEQ Table \* ARABIC </w:instrText>
      </w:r>
      <w:r w:rsidRPr="00EB4A5B">
        <w:rPr>
          <w:rFonts w:ascii="Arial" w:hAnsi="Arial" w:cs="Arial"/>
        </w:rPr>
        <w:fldChar w:fldCharType="separate"/>
      </w:r>
      <w:r w:rsidR="002E4C74">
        <w:rPr>
          <w:rFonts w:ascii="Arial" w:hAnsi="Arial" w:cs="Arial"/>
          <w:noProof/>
        </w:rPr>
        <w:t>9</w:t>
      </w:r>
      <w:r w:rsidRPr="00EB4A5B">
        <w:rPr>
          <w:rFonts w:ascii="Arial" w:hAnsi="Arial" w:cs="Arial"/>
        </w:rPr>
        <w:fldChar w:fldCharType="end"/>
      </w:r>
      <w:r w:rsidRPr="00EB4A5B">
        <w:rPr>
          <w:rFonts w:ascii="Arial" w:hAnsi="Arial" w:cs="Arial"/>
        </w:rPr>
        <w:t xml:space="preserve"> Small Office VRF Heat Pump vs. Single Zone Packaged AC</w:t>
      </w:r>
      <w:bookmarkEnd w:id="36"/>
    </w:p>
    <w:tbl>
      <w:tblPr>
        <w:tblW w:w="82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2610"/>
        <w:gridCol w:w="2430"/>
        <w:gridCol w:w="2160"/>
      </w:tblGrid>
      <w:tr w:rsidR="009D148C">
        <w:trPr>
          <w:trHeight w:val="510"/>
        </w:trPr>
        <w:tc>
          <w:tcPr>
            <w:tcW w:w="1008" w:type="dxa"/>
            <w:shd w:val="clear" w:color="auto" w:fill="BFBFBF"/>
            <w:noWrap/>
            <w:vAlign w:val="bottom"/>
          </w:tcPr>
          <w:p w:rsidR="009D148C" w:rsidRDefault="009D148C" w:rsidP="0084259D">
            <w:pPr>
              <w:jc w:val="center"/>
              <w:rPr>
                <w:sz w:val="20"/>
                <w:szCs w:val="20"/>
              </w:rPr>
            </w:pPr>
          </w:p>
        </w:tc>
        <w:tc>
          <w:tcPr>
            <w:tcW w:w="2610" w:type="dxa"/>
            <w:shd w:val="clear" w:color="auto" w:fill="BFBFBF"/>
            <w:noWrap/>
            <w:vAlign w:val="bottom"/>
          </w:tcPr>
          <w:p w:rsidR="009D148C" w:rsidRDefault="009D148C" w:rsidP="00FD5D89">
            <w:pPr>
              <w:jc w:val="center"/>
              <w:rPr>
                <w:b/>
                <w:bCs/>
                <w:sz w:val="20"/>
                <w:szCs w:val="20"/>
              </w:rPr>
            </w:pPr>
            <w:r>
              <w:rPr>
                <w:b/>
                <w:bCs/>
                <w:sz w:val="20"/>
                <w:szCs w:val="20"/>
              </w:rPr>
              <w:t>Average Demand Reduction</w:t>
            </w:r>
          </w:p>
        </w:tc>
        <w:tc>
          <w:tcPr>
            <w:tcW w:w="2430" w:type="dxa"/>
            <w:shd w:val="clear" w:color="auto" w:fill="BFBFBF"/>
            <w:vAlign w:val="bottom"/>
          </w:tcPr>
          <w:p w:rsidR="009D148C" w:rsidRDefault="009D148C" w:rsidP="00FD5D89">
            <w:pPr>
              <w:jc w:val="center"/>
              <w:rPr>
                <w:b/>
                <w:bCs/>
                <w:sz w:val="20"/>
                <w:szCs w:val="20"/>
              </w:rPr>
            </w:pPr>
            <w:r>
              <w:rPr>
                <w:b/>
                <w:bCs/>
                <w:sz w:val="20"/>
                <w:szCs w:val="20"/>
              </w:rPr>
              <w:t>Average Annual Energy Savings</w:t>
            </w:r>
          </w:p>
        </w:tc>
        <w:tc>
          <w:tcPr>
            <w:tcW w:w="2160" w:type="dxa"/>
            <w:shd w:val="clear" w:color="auto" w:fill="BFBFBF"/>
          </w:tcPr>
          <w:p w:rsidR="009D148C" w:rsidRDefault="009D148C" w:rsidP="0084259D">
            <w:pPr>
              <w:jc w:val="center"/>
              <w:rPr>
                <w:b/>
                <w:bCs/>
                <w:sz w:val="20"/>
                <w:szCs w:val="20"/>
              </w:rPr>
            </w:pPr>
            <w:r>
              <w:rPr>
                <w:b/>
                <w:bCs/>
                <w:sz w:val="20"/>
                <w:szCs w:val="20"/>
              </w:rPr>
              <w:t>Average Annual Gas Savings</w:t>
            </w:r>
          </w:p>
        </w:tc>
      </w:tr>
      <w:tr w:rsidR="009D148C">
        <w:trPr>
          <w:trHeight w:val="255"/>
        </w:trPr>
        <w:tc>
          <w:tcPr>
            <w:tcW w:w="1008" w:type="dxa"/>
            <w:shd w:val="clear" w:color="auto" w:fill="F2F2F2"/>
            <w:noWrap/>
            <w:vAlign w:val="bottom"/>
          </w:tcPr>
          <w:p w:rsidR="009D148C" w:rsidRDefault="009D148C" w:rsidP="0084259D">
            <w:pPr>
              <w:jc w:val="center"/>
              <w:rPr>
                <w:b/>
                <w:bCs/>
                <w:sz w:val="20"/>
                <w:szCs w:val="20"/>
              </w:rPr>
            </w:pPr>
            <w:r>
              <w:rPr>
                <w:b/>
                <w:bCs/>
                <w:sz w:val="20"/>
                <w:szCs w:val="20"/>
              </w:rPr>
              <w:t>CZ</w:t>
            </w:r>
          </w:p>
        </w:tc>
        <w:tc>
          <w:tcPr>
            <w:tcW w:w="2610" w:type="dxa"/>
            <w:shd w:val="clear" w:color="auto" w:fill="F2F2F2"/>
            <w:noWrap/>
            <w:vAlign w:val="bottom"/>
          </w:tcPr>
          <w:p w:rsidR="009D148C" w:rsidRDefault="009D148C" w:rsidP="0084259D">
            <w:pPr>
              <w:jc w:val="center"/>
              <w:rPr>
                <w:b/>
                <w:bCs/>
                <w:sz w:val="20"/>
                <w:szCs w:val="20"/>
              </w:rPr>
            </w:pPr>
            <w:r>
              <w:rPr>
                <w:b/>
                <w:bCs/>
                <w:sz w:val="20"/>
                <w:szCs w:val="20"/>
              </w:rPr>
              <w:t>(kW/ton)</w:t>
            </w:r>
          </w:p>
        </w:tc>
        <w:tc>
          <w:tcPr>
            <w:tcW w:w="2430" w:type="dxa"/>
            <w:shd w:val="clear" w:color="auto" w:fill="F2F2F2"/>
            <w:noWrap/>
            <w:vAlign w:val="bottom"/>
          </w:tcPr>
          <w:p w:rsidR="009D148C" w:rsidRDefault="009D148C" w:rsidP="00FD5D89">
            <w:pPr>
              <w:jc w:val="center"/>
              <w:rPr>
                <w:b/>
                <w:bCs/>
                <w:sz w:val="20"/>
                <w:szCs w:val="20"/>
              </w:rPr>
            </w:pPr>
            <w:r>
              <w:rPr>
                <w:b/>
                <w:bCs/>
                <w:sz w:val="20"/>
                <w:szCs w:val="20"/>
              </w:rPr>
              <w:t xml:space="preserve">(kWh/ton) </w:t>
            </w:r>
          </w:p>
        </w:tc>
        <w:tc>
          <w:tcPr>
            <w:tcW w:w="2160" w:type="dxa"/>
            <w:shd w:val="clear" w:color="auto" w:fill="F2F2F2"/>
          </w:tcPr>
          <w:p w:rsidR="009D148C" w:rsidRDefault="009D148C" w:rsidP="0084259D">
            <w:pPr>
              <w:jc w:val="center"/>
              <w:rPr>
                <w:b/>
                <w:bCs/>
                <w:sz w:val="20"/>
                <w:szCs w:val="20"/>
              </w:rPr>
            </w:pPr>
            <w:r>
              <w:rPr>
                <w:b/>
                <w:bCs/>
                <w:sz w:val="20"/>
                <w:szCs w:val="20"/>
              </w:rPr>
              <w:t>(</w:t>
            </w:r>
            <w:proofErr w:type="spellStart"/>
            <w:r>
              <w:rPr>
                <w:b/>
                <w:bCs/>
                <w:sz w:val="20"/>
                <w:szCs w:val="20"/>
              </w:rPr>
              <w:t>Therms</w:t>
            </w:r>
            <w:proofErr w:type="spellEnd"/>
            <w:r>
              <w:rPr>
                <w:b/>
                <w:bCs/>
                <w:sz w:val="20"/>
                <w:szCs w:val="20"/>
              </w:rPr>
              <w:t>)</w:t>
            </w:r>
          </w:p>
        </w:tc>
      </w:tr>
      <w:tr w:rsidR="009D148C">
        <w:trPr>
          <w:trHeight w:val="255"/>
        </w:trPr>
        <w:tc>
          <w:tcPr>
            <w:tcW w:w="1008" w:type="dxa"/>
            <w:shd w:val="clear" w:color="auto" w:fill="D9D9D9"/>
            <w:noWrap/>
            <w:vAlign w:val="bottom"/>
          </w:tcPr>
          <w:p w:rsidR="009D148C" w:rsidRDefault="009D148C" w:rsidP="0084259D">
            <w:pPr>
              <w:jc w:val="center"/>
              <w:rPr>
                <w:b/>
                <w:bCs/>
                <w:sz w:val="20"/>
                <w:szCs w:val="20"/>
              </w:rPr>
            </w:pPr>
            <w:r>
              <w:rPr>
                <w:b/>
                <w:bCs/>
                <w:sz w:val="20"/>
                <w:szCs w:val="20"/>
              </w:rPr>
              <w:t>01</w:t>
            </w:r>
          </w:p>
        </w:tc>
        <w:tc>
          <w:tcPr>
            <w:tcW w:w="2610" w:type="dxa"/>
            <w:shd w:val="clear" w:color="auto" w:fill="D9D9D9"/>
            <w:noWrap/>
            <w:vAlign w:val="bottom"/>
          </w:tcPr>
          <w:p w:rsidR="009D148C" w:rsidRDefault="009D148C" w:rsidP="00970AF3">
            <w:pPr>
              <w:jc w:val="center"/>
              <w:rPr>
                <w:sz w:val="20"/>
                <w:szCs w:val="20"/>
              </w:rPr>
            </w:pPr>
            <w:r>
              <w:rPr>
                <w:sz w:val="20"/>
                <w:szCs w:val="20"/>
              </w:rPr>
              <w:t>0.84</w:t>
            </w:r>
          </w:p>
        </w:tc>
        <w:tc>
          <w:tcPr>
            <w:tcW w:w="2430" w:type="dxa"/>
            <w:shd w:val="clear" w:color="auto" w:fill="D9D9D9"/>
            <w:noWrap/>
            <w:vAlign w:val="bottom"/>
          </w:tcPr>
          <w:p w:rsidR="009D148C" w:rsidRDefault="009D148C" w:rsidP="000E379B">
            <w:pPr>
              <w:jc w:val="center"/>
              <w:rPr>
                <w:sz w:val="20"/>
                <w:szCs w:val="20"/>
              </w:rPr>
            </w:pPr>
            <w:r>
              <w:rPr>
                <w:sz w:val="20"/>
                <w:szCs w:val="20"/>
              </w:rPr>
              <w:t>2089</w:t>
            </w:r>
          </w:p>
        </w:tc>
        <w:tc>
          <w:tcPr>
            <w:tcW w:w="2160" w:type="dxa"/>
            <w:shd w:val="clear" w:color="auto" w:fill="D9D9D9"/>
            <w:vAlign w:val="bottom"/>
          </w:tcPr>
          <w:p w:rsidR="009D148C" w:rsidRDefault="009D148C" w:rsidP="00970AF3">
            <w:pPr>
              <w:jc w:val="center"/>
              <w:rPr>
                <w:sz w:val="20"/>
                <w:szCs w:val="20"/>
              </w:rPr>
            </w:pPr>
            <w:r>
              <w:rPr>
                <w:sz w:val="20"/>
                <w:szCs w:val="20"/>
              </w:rPr>
              <w:t>8.53</w:t>
            </w:r>
          </w:p>
        </w:tc>
      </w:tr>
      <w:tr w:rsidR="009D148C">
        <w:trPr>
          <w:trHeight w:val="255"/>
        </w:trPr>
        <w:tc>
          <w:tcPr>
            <w:tcW w:w="1008" w:type="dxa"/>
            <w:shd w:val="clear" w:color="auto" w:fill="F2F2F2"/>
            <w:noWrap/>
            <w:vAlign w:val="bottom"/>
          </w:tcPr>
          <w:p w:rsidR="009D148C" w:rsidRDefault="009D148C" w:rsidP="0084259D">
            <w:pPr>
              <w:jc w:val="center"/>
              <w:rPr>
                <w:b/>
                <w:bCs/>
                <w:sz w:val="20"/>
                <w:szCs w:val="20"/>
              </w:rPr>
            </w:pPr>
            <w:r>
              <w:rPr>
                <w:b/>
                <w:bCs/>
                <w:sz w:val="20"/>
                <w:szCs w:val="20"/>
              </w:rPr>
              <w:t>02</w:t>
            </w:r>
          </w:p>
        </w:tc>
        <w:tc>
          <w:tcPr>
            <w:tcW w:w="2610" w:type="dxa"/>
            <w:shd w:val="clear" w:color="auto" w:fill="F2F2F2"/>
            <w:noWrap/>
            <w:vAlign w:val="bottom"/>
          </w:tcPr>
          <w:p w:rsidR="009D148C" w:rsidRDefault="009D148C" w:rsidP="00970AF3">
            <w:pPr>
              <w:jc w:val="center"/>
              <w:rPr>
                <w:sz w:val="20"/>
                <w:szCs w:val="20"/>
              </w:rPr>
            </w:pPr>
            <w:r>
              <w:rPr>
                <w:sz w:val="20"/>
                <w:szCs w:val="20"/>
              </w:rPr>
              <w:t>0.84</w:t>
            </w:r>
          </w:p>
        </w:tc>
        <w:tc>
          <w:tcPr>
            <w:tcW w:w="2430" w:type="dxa"/>
            <w:shd w:val="clear" w:color="auto" w:fill="F2F2F2"/>
            <w:noWrap/>
            <w:vAlign w:val="bottom"/>
          </w:tcPr>
          <w:p w:rsidR="009D148C" w:rsidRDefault="009D148C" w:rsidP="000E379B">
            <w:pPr>
              <w:jc w:val="center"/>
              <w:rPr>
                <w:sz w:val="20"/>
                <w:szCs w:val="20"/>
              </w:rPr>
            </w:pPr>
            <w:r>
              <w:rPr>
                <w:sz w:val="20"/>
                <w:szCs w:val="20"/>
              </w:rPr>
              <w:t>2089</w:t>
            </w:r>
          </w:p>
        </w:tc>
        <w:tc>
          <w:tcPr>
            <w:tcW w:w="2160" w:type="dxa"/>
            <w:shd w:val="clear" w:color="auto" w:fill="F2F2F2"/>
            <w:vAlign w:val="bottom"/>
          </w:tcPr>
          <w:p w:rsidR="009D148C" w:rsidRDefault="009D148C" w:rsidP="00970AF3">
            <w:pPr>
              <w:jc w:val="center"/>
              <w:rPr>
                <w:sz w:val="20"/>
                <w:szCs w:val="20"/>
              </w:rPr>
            </w:pPr>
            <w:r>
              <w:rPr>
                <w:sz w:val="20"/>
                <w:szCs w:val="20"/>
              </w:rPr>
              <w:t>8.53</w:t>
            </w:r>
          </w:p>
        </w:tc>
      </w:tr>
      <w:tr w:rsidR="009D148C">
        <w:trPr>
          <w:trHeight w:val="255"/>
        </w:trPr>
        <w:tc>
          <w:tcPr>
            <w:tcW w:w="1008" w:type="dxa"/>
            <w:shd w:val="clear" w:color="auto" w:fill="D9D9D9"/>
            <w:noWrap/>
            <w:vAlign w:val="bottom"/>
          </w:tcPr>
          <w:p w:rsidR="009D148C" w:rsidRDefault="009D148C" w:rsidP="0084259D">
            <w:pPr>
              <w:jc w:val="center"/>
              <w:rPr>
                <w:b/>
                <w:bCs/>
                <w:sz w:val="20"/>
                <w:szCs w:val="20"/>
              </w:rPr>
            </w:pPr>
            <w:r>
              <w:rPr>
                <w:b/>
                <w:bCs/>
                <w:sz w:val="20"/>
                <w:szCs w:val="20"/>
              </w:rPr>
              <w:t>03</w:t>
            </w:r>
          </w:p>
        </w:tc>
        <w:tc>
          <w:tcPr>
            <w:tcW w:w="2610" w:type="dxa"/>
            <w:shd w:val="clear" w:color="auto" w:fill="D9D9D9"/>
            <w:noWrap/>
            <w:vAlign w:val="bottom"/>
          </w:tcPr>
          <w:p w:rsidR="009D148C" w:rsidRDefault="009D148C" w:rsidP="00970AF3">
            <w:pPr>
              <w:jc w:val="center"/>
              <w:rPr>
                <w:sz w:val="20"/>
                <w:szCs w:val="20"/>
              </w:rPr>
            </w:pPr>
            <w:r>
              <w:rPr>
                <w:sz w:val="20"/>
                <w:szCs w:val="20"/>
              </w:rPr>
              <w:t>0.66</w:t>
            </w:r>
          </w:p>
        </w:tc>
        <w:tc>
          <w:tcPr>
            <w:tcW w:w="2430" w:type="dxa"/>
            <w:shd w:val="clear" w:color="auto" w:fill="D9D9D9"/>
            <w:noWrap/>
            <w:vAlign w:val="bottom"/>
          </w:tcPr>
          <w:p w:rsidR="009D148C" w:rsidRDefault="009D148C" w:rsidP="00970AF3">
            <w:pPr>
              <w:jc w:val="center"/>
              <w:rPr>
                <w:sz w:val="20"/>
                <w:szCs w:val="20"/>
              </w:rPr>
            </w:pPr>
            <w:r>
              <w:rPr>
                <w:sz w:val="20"/>
                <w:szCs w:val="20"/>
              </w:rPr>
              <w:t>2092</w:t>
            </w:r>
          </w:p>
        </w:tc>
        <w:tc>
          <w:tcPr>
            <w:tcW w:w="2160" w:type="dxa"/>
            <w:shd w:val="clear" w:color="auto" w:fill="D9D9D9"/>
            <w:vAlign w:val="bottom"/>
          </w:tcPr>
          <w:p w:rsidR="009D148C" w:rsidRDefault="009D148C" w:rsidP="00970AF3">
            <w:pPr>
              <w:jc w:val="center"/>
              <w:rPr>
                <w:sz w:val="20"/>
                <w:szCs w:val="20"/>
              </w:rPr>
            </w:pPr>
            <w:r>
              <w:rPr>
                <w:sz w:val="20"/>
                <w:szCs w:val="20"/>
              </w:rPr>
              <w:t>15.8</w:t>
            </w:r>
          </w:p>
        </w:tc>
      </w:tr>
      <w:tr w:rsidR="009D148C">
        <w:trPr>
          <w:trHeight w:val="255"/>
        </w:trPr>
        <w:tc>
          <w:tcPr>
            <w:tcW w:w="1008" w:type="dxa"/>
            <w:shd w:val="clear" w:color="auto" w:fill="F2F2F2"/>
            <w:noWrap/>
            <w:vAlign w:val="bottom"/>
          </w:tcPr>
          <w:p w:rsidR="009D148C" w:rsidRDefault="009D148C" w:rsidP="0084259D">
            <w:pPr>
              <w:jc w:val="center"/>
              <w:rPr>
                <w:b/>
                <w:bCs/>
                <w:sz w:val="20"/>
                <w:szCs w:val="20"/>
              </w:rPr>
            </w:pPr>
            <w:r>
              <w:rPr>
                <w:b/>
                <w:bCs/>
                <w:sz w:val="20"/>
                <w:szCs w:val="20"/>
              </w:rPr>
              <w:t>04</w:t>
            </w:r>
          </w:p>
        </w:tc>
        <w:tc>
          <w:tcPr>
            <w:tcW w:w="2610" w:type="dxa"/>
            <w:shd w:val="clear" w:color="auto" w:fill="F2F2F2"/>
            <w:noWrap/>
            <w:vAlign w:val="bottom"/>
          </w:tcPr>
          <w:p w:rsidR="009D148C" w:rsidRDefault="009D148C" w:rsidP="00970AF3">
            <w:pPr>
              <w:jc w:val="center"/>
              <w:rPr>
                <w:sz w:val="20"/>
                <w:szCs w:val="20"/>
              </w:rPr>
            </w:pPr>
            <w:r>
              <w:rPr>
                <w:sz w:val="20"/>
                <w:szCs w:val="20"/>
              </w:rPr>
              <w:t>0.71</w:t>
            </w:r>
          </w:p>
        </w:tc>
        <w:tc>
          <w:tcPr>
            <w:tcW w:w="2430" w:type="dxa"/>
            <w:shd w:val="clear" w:color="auto" w:fill="F2F2F2"/>
            <w:noWrap/>
            <w:vAlign w:val="bottom"/>
          </w:tcPr>
          <w:p w:rsidR="009D148C" w:rsidRDefault="009D148C" w:rsidP="00970AF3">
            <w:pPr>
              <w:jc w:val="center"/>
              <w:rPr>
                <w:sz w:val="20"/>
                <w:szCs w:val="20"/>
              </w:rPr>
            </w:pPr>
            <w:r>
              <w:rPr>
                <w:sz w:val="20"/>
                <w:szCs w:val="20"/>
              </w:rPr>
              <w:t>2088</w:t>
            </w:r>
          </w:p>
        </w:tc>
        <w:tc>
          <w:tcPr>
            <w:tcW w:w="2160" w:type="dxa"/>
            <w:shd w:val="clear" w:color="auto" w:fill="F2F2F2"/>
            <w:vAlign w:val="bottom"/>
          </w:tcPr>
          <w:p w:rsidR="009D148C" w:rsidRDefault="009D148C" w:rsidP="00970AF3">
            <w:pPr>
              <w:jc w:val="center"/>
              <w:rPr>
                <w:sz w:val="20"/>
                <w:szCs w:val="20"/>
              </w:rPr>
            </w:pPr>
            <w:r>
              <w:rPr>
                <w:sz w:val="20"/>
                <w:szCs w:val="20"/>
              </w:rPr>
              <w:t>14.2</w:t>
            </w:r>
          </w:p>
        </w:tc>
      </w:tr>
      <w:tr w:rsidR="009D148C">
        <w:trPr>
          <w:trHeight w:val="255"/>
        </w:trPr>
        <w:tc>
          <w:tcPr>
            <w:tcW w:w="1008" w:type="dxa"/>
            <w:shd w:val="clear" w:color="auto" w:fill="D9D9D9"/>
            <w:noWrap/>
            <w:vAlign w:val="bottom"/>
          </w:tcPr>
          <w:p w:rsidR="009D148C" w:rsidRDefault="009D148C" w:rsidP="0084259D">
            <w:pPr>
              <w:jc w:val="center"/>
              <w:rPr>
                <w:b/>
                <w:bCs/>
                <w:sz w:val="20"/>
                <w:szCs w:val="20"/>
              </w:rPr>
            </w:pPr>
            <w:r>
              <w:rPr>
                <w:b/>
                <w:bCs/>
                <w:sz w:val="20"/>
                <w:szCs w:val="20"/>
              </w:rPr>
              <w:t>05</w:t>
            </w:r>
          </w:p>
        </w:tc>
        <w:tc>
          <w:tcPr>
            <w:tcW w:w="2610" w:type="dxa"/>
            <w:shd w:val="clear" w:color="auto" w:fill="D9D9D9"/>
            <w:noWrap/>
            <w:vAlign w:val="bottom"/>
          </w:tcPr>
          <w:p w:rsidR="009D148C" w:rsidRDefault="009D148C" w:rsidP="007535CC">
            <w:pPr>
              <w:jc w:val="center"/>
              <w:rPr>
                <w:sz w:val="20"/>
                <w:szCs w:val="20"/>
              </w:rPr>
            </w:pPr>
            <w:r>
              <w:rPr>
                <w:sz w:val="20"/>
                <w:szCs w:val="20"/>
              </w:rPr>
              <w:t>0.67</w:t>
            </w:r>
          </w:p>
        </w:tc>
        <w:tc>
          <w:tcPr>
            <w:tcW w:w="2430" w:type="dxa"/>
            <w:shd w:val="clear" w:color="auto" w:fill="D9D9D9"/>
            <w:noWrap/>
            <w:vAlign w:val="bottom"/>
          </w:tcPr>
          <w:p w:rsidR="009D148C" w:rsidRDefault="009D148C" w:rsidP="00970AF3">
            <w:pPr>
              <w:jc w:val="center"/>
              <w:rPr>
                <w:sz w:val="20"/>
                <w:szCs w:val="20"/>
              </w:rPr>
            </w:pPr>
            <w:r>
              <w:rPr>
                <w:sz w:val="20"/>
                <w:szCs w:val="20"/>
              </w:rPr>
              <w:t>2238</w:t>
            </w:r>
          </w:p>
        </w:tc>
        <w:tc>
          <w:tcPr>
            <w:tcW w:w="2160" w:type="dxa"/>
            <w:shd w:val="clear" w:color="auto" w:fill="D9D9D9"/>
            <w:vAlign w:val="bottom"/>
          </w:tcPr>
          <w:p w:rsidR="009D148C" w:rsidRDefault="009D148C" w:rsidP="00970AF3">
            <w:pPr>
              <w:jc w:val="center"/>
              <w:rPr>
                <w:sz w:val="20"/>
                <w:szCs w:val="20"/>
              </w:rPr>
            </w:pPr>
            <w:r>
              <w:rPr>
                <w:sz w:val="20"/>
                <w:szCs w:val="20"/>
              </w:rPr>
              <w:t>10.4</w:t>
            </w:r>
          </w:p>
        </w:tc>
      </w:tr>
      <w:tr w:rsidR="009D148C">
        <w:trPr>
          <w:trHeight w:val="255"/>
        </w:trPr>
        <w:tc>
          <w:tcPr>
            <w:tcW w:w="1008" w:type="dxa"/>
            <w:shd w:val="clear" w:color="auto" w:fill="F2F2F2"/>
            <w:noWrap/>
            <w:vAlign w:val="bottom"/>
          </w:tcPr>
          <w:p w:rsidR="009D148C" w:rsidRDefault="009D148C" w:rsidP="0084259D">
            <w:pPr>
              <w:jc w:val="center"/>
              <w:rPr>
                <w:b/>
                <w:bCs/>
                <w:sz w:val="20"/>
                <w:szCs w:val="20"/>
              </w:rPr>
            </w:pPr>
            <w:r>
              <w:rPr>
                <w:b/>
                <w:bCs/>
                <w:sz w:val="20"/>
                <w:szCs w:val="20"/>
              </w:rPr>
              <w:t>11</w:t>
            </w:r>
          </w:p>
        </w:tc>
        <w:tc>
          <w:tcPr>
            <w:tcW w:w="2610" w:type="dxa"/>
            <w:shd w:val="clear" w:color="auto" w:fill="F2F2F2"/>
            <w:noWrap/>
            <w:vAlign w:val="bottom"/>
          </w:tcPr>
          <w:p w:rsidR="009D148C" w:rsidRDefault="009D148C" w:rsidP="007535CC">
            <w:pPr>
              <w:jc w:val="center"/>
              <w:rPr>
                <w:sz w:val="20"/>
                <w:szCs w:val="20"/>
              </w:rPr>
            </w:pPr>
            <w:r>
              <w:rPr>
                <w:sz w:val="20"/>
                <w:szCs w:val="20"/>
              </w:rPr>
              <w:t>0.91</w:t>
            </w:r>
          </w:p>
        </w:tc>
        <w:tc>
          <w:tcPr>
            <w:tcW w:w="2430" w:type="dxa"/>
            <w:shd w:val="clear" w:color="auto" w:fill="F2F2F2"/>
            <w:noWrap/>
            <w:vAlign w:val="bottom"/>
          </w:tcPr>
          <w:p w:rsidR="009D148C" w:rsidRDefault="009D148C" w:rsidP="00970AF3">
            <w:pPr>
              <w:jc w:val="center"/>
              <w:rPr>
                <w:sz w:val="20"/>
                <w:szCs w:val="20"/>
              </w:rPr>
            </w:pPr>
            <w:r>
              <w:rPr>
                <w:sz w:val="20"/>
                <w:szCs w:val="20"/>
              </w:rPr>
              <w:t>2086</w:t>
            </w:r>
          </w:p>
        </w:tc>
        <w:tc>
          <w:tcPr>
            <w:tcW w:w="2160" w:type="dxa"/>
            <w:shd w:val="clear" w:color="auto" w:fill="F2F2F2"/>
            <w:vAlign w:val="bottom"/>
          </w:tcPr>
          <w:p w:rsidR="009D148C" w:rsidRDefault="009D148C" w:rsidP="00970AF3">
            <w:pPr>
              <w:jc w:val="center"/>
              <w:rPr>
                <w:sz w:val="20"/>
                <w:szCs w:val="20"/>
              </w:rPr>
            </w:pPr>
            <w:r>
              <w:rPr>
                <w:sz w:val="20"/>
                <w:szCs w:val="20"/>
              </w:rPr>
              <w:t>16.0</w:t>
            </w:r>
          </w:p>
        </w:tc>
      </w:tr>
      <w:tr w:rsidR="009D148C">
        <w:trPr>
          <w:trHeight w:val="255"/>
        </w:trPr>
        <w:tc>
          <w:tcPr>
            <w:tcW w:w="1008" w:type="dxa"/>
            <w:shd w:val="clear" w:color="auto" w:fill="D9D9D9"/>
            <w:noWrap/>
            <w:vAlign w:val="bottom"/>
          </w:tcPr>
          <w:p w:rsidR="009D148C" w:rsidRDefault="009D148C" w:rsidP="0084259D">
            <w:pPr>
              <w:jc w:val="center"/>
              <w:rPr>
                <w:b/>
                <w:bCs/>
                <w:sz w:val="20"/>
                <w:szCs w:val="20"/>
              </w:rPr>
            </w:pPr>
            <w:r>
              <w:rPr>
                <w:b/>
                <w:bCs/>
                <w:sz w:val="20"/>
                <w:szCs w:val="20"/>
              </w:rPr>
              <w:t>12</w:t>
            </w:r>
          </w:p>
        </w:tc>
        <w:tc>
          <w:tcPr>
            <w:tcW w:w="2610" w:type="dxa"/>
            <w:shd w:val="clear" w:color="auto" w:fill="D9D9D9"/>
            <w:noWrap/>
            <w:vAlign w:val="bottom"/>
          </w:tcPr>
          <w:p w:rsidR="009D148C" w:rsidRDefault="009D148C" w:rsidP="00970AF3">
            <w:pPr>
              <w:jc w:val="center"/>
              <w:rPr>
                <w:sz w:val="20"/>
                <w:szCs w:val="20"/>
              </w:rPr>
            </w:pPr>
            <w:r>
              <w:rPr>
                <w:sz w:val="20"/>
                <w:szCs w:val="20"/>
              </w:rPr>
              <w:t>0.80</w:t>
            </w:r>
          </w:p>
        </w:tc>
        <w:tc>
          <w:tcPr>
            <w:tcW w:w="2430" w:type="dxa"/>
            <w:shd w:val="clear" w:color="auto" w:fill="D9D9D9"/>
            <w:noWrap/>
            <w:vAlign w:val="bottom"/>
          </w:tcPr>
          <w:p w:rsidR="009D148C" w:rsidRDefault="009D148C" w:rsidP="00970AF3">
            <w:pPr>
              <w:jc w:val="center"/>
              <w:rPr>
                <w:sz w:val="20"/>
                <w:szCs w:val="20"/>
              </w:rPr>
            </w:pPr>
            <w:r>
              <w:rPr>
                <w:sz w:val="20"/>
                <w:szCs w:val="20"/>
              </w:rPr>
              <w:t>1990</w:t>
            </w:r>
          </w:p>
        </w:tc>
        <w:tc>
          <w:tcPr>
            <w:tcW w:w="2160" w:type="dxa"/>
            <w:shd w:val="clear" w:color="auto" w:fill="D9D9D9"/>
            <w:vAlign w:val="bottom"/>
          </w:tcPr>
          <w:p w:rsidR="009D148C" w:rsidRDefault="009D148C" w:rsidP="00970AF3">
            <w:pPr>
              <w:jc w:val="center"/>
              <w:rPr>
                <w:sz w:val="20"/>
                <w:szCs w:val="20"/>
              </w:rPr>
            </w:pPr>
            <w:r>
              <w:rPr>
                <w:sz w:val="20"/>
                <w:szCs w:val="20"/>
              </w:rPr>
              <w:t>11.3</w:t>
            </w:r>
          </w:p>
        </w:tc>
      </w:tr>
      <w:tr w:rsidR="009D148C">
        <w:trPr>
          <w:trHeight w:val="255"/>
        </w:trPr>
        <w:tc>
          <w:tcPr>
            <w:tcW w:w="1008" w:type="dxa"/>
            <w:shd w:val="clear" w:color="auto" w:fill="F2F2F2"/>
            <w:noWrap/>
            <w:vAlign w:val="bottom"/>
          </w:tcPr>
          <w:p w:rsidR="009D148C" w:rsidRDefault="009D148C" w:rsidP="0084259D">
            <w:pPr>
              <w:jc w:val="center"/>
              <w:rPr>
                <w:b/>
                <w:bCs/>
                <w:sz w:val="20"/>
                <w:szCs w:val="20"/>
              </w:rPr>
            </w:pPr>
            <w:r>
              <w:rPr>
                <w:b/>
                <w:bCs/>
                <w:sz w:val="20"/>
                <w:szCs w:val="20"/>
              </w:rPr>
              <w:t>13</w:t>
            </w:r>
          </w:p>
        </w:tc>
        <w:tc>
          <w:tcPr>
            <w:tcW w:w="2610" w:type="dxa"/>
            <w:shd w:val="clear" w:color="auto" w:fill="F2F2F2"/>
            <w:noWrap/>
            <w:vAlign w:val="bottom"/>
          </w:tcPr>
          <w:p w:rsidR="009D148C" w:rsidRDefault="009D148C" w:rsidP="00970AF3">
            <w:pPr>
              <w:jc w:val="center"/>
              <w:rPr>
                <w:sz w:val="20"/>
                <w:szCs w:val="20"/>
              </w:rPr>
            </w:pPr>
            <w:r>
              <w:rPr>
                <w:sz w:val="20"/>
                <w:szCs w:val="20"/>
              </w:rPr>
              <w:t>0.98</w:t>
            </w:r>
          </w:p>
        </w:tc>
        <w:tc>
          <w:tcPr>
            <w:tcW w:w="2430" w:type="dxa"/>
            <w:shd w:val="clear" w:color="auto" w:fill="F2F2F2"/>
            <w:noWrap/>
            <w:vAlign w:val="bottom"/>
          </w:tcPr>
          <w:p w:rsidR="009D148C" w:rsidRDefault="009D148C" w:rsidP="00970AF3">
            <w:pPr>
              <w:jc w:val="center"/>
              <w:rPr>
                <w:sz w:val="20"/>
                <w:szCs w:val="20"/>
              </w:rPr>
            </w:pPr>
            <w:r>
              <w:rPr>
                <w:sz w:val="20"/>
                <w:szCs w:val="20"/>
              </w:rPr>
              <w:t>2364</w:t>
            </w:r>
          </w:p>
        </w:tc>
        <w:tc>
          <w:tcPr>
            <w:tcW w:w="2160" w:type="dxa"/>
            <w:shd w:val="clear" w:color="auto" w:fill="F2F2F2"/>
            <w:vAlign w:val="bottom"/>
          </w:tcPr>
          <w:p w:rsidR="009D148C" w:rsidRDefault="009D148C" w:rsidP="00970AF3">
            <w:pPr>
              <w:jc w:val="center"/>
              <w:rPr>
                <w:sz w:val="20"/>
                <w:szCs w:val="20"/>
              </w:rPr>
            </w:pPr>
            <w:r>
              <w:rPr>
                <w:sz w:val="20"/>
                <w:szCs w:val="20"/>
              </w:rPr>
              <w:t>7.62</w:t>
            </w:r>
          </w:p>
        </w:tc>
      </w:tr>
      <w:tr w:rsidR="009D148C">
        <w:trPr>
          <w:trHeight w:val="255"/>
        </w:trPr>
        <w:tc>
          <w:tcPr>
            <w:tcW w:w="1008" w:type="dxa"/>
            <w:shd w:val="clear" w:color="auto" w:fill="D9D9D9"/>
            <w:noWrap/>
            <w:vAlign w:val="bottom"/>
          </w:tcPr>
          <w:p w:rsidR="009D148C" w:rsidRDefault="009D148C" w:rsidP="0084259D">
            <w:pPr>
              <w:jc w:val="center"/>
              <w:rPr>
                <w:b/>
                <w:bCs/>
                <w:sz w:val="20"/>
                <w:szCs w:val="20"/>
              </w:rPr>
            </w:pPr>
            <w:r>
              <w:rPr>
                <w:b/>
                <w:bCs/>
                <w:sz w:val="20"/>
                <w:szCs w:val="20"/>
              </w:rPr>
              <w:t>16</w:t>
            </w:r>
          </w:p>
        </w:tc>
        <w:tc>
          <w:tcPr>
            <w:tcW w:w="2610" w:type="dxa"/>
            <w:shd w:val="clear" w:color="auto" w:fill="D9D9D9"/>
            <w:noWrap/>
            <w:vAlign w:val="bottom"/>
          </w:tcPr>
          <w:p w:rsidR="009D148C" w:rsidRDefault="009D148C" w:rsidP="00970AF3">
            <w:pPr>
              <w:jc w:val="center"/>
              <w:rPr>
                <w:sz w:val="20"/>
                <w:szCs w:val="20"/>
              </w:rPr>
            </w:pPr>
            <w:r>
              <w:rPr>
                <w:sz w:val="20"/>
                <w:szCs w:val="20"/>
              </w:rPr>
              <w:t>0.87</w:t>
            </w:r>
          </w:p>
        </w:tc>
        <w:tc>
          <w:tcPr>
            <w:tcW w:w="2430" w:type="dxa"/>
            <w:shd w:val="clear" w:color="auto" w:fill="D9D9D9"/>
            <w:noWrap/>
            <w:vAlign w:val="bottom"/>
          </w:tcPr>
          <w:p w:rsidR="009D148C" w:rsidRDefault="009D148C" w:rsidP="00970AF3">
            <w:pPr>
              <w:jc w:val="center"/>
              <w:rPr>
                <w:sz w:val="20"/>
                <w:szCs w:val="20"/>
              </w:rPr>
            </w:pPr>
            <w:r>
              <w:rPr>
                <w:sz w:val="20"/>
                <w:szCs w:val="20"/>
              </w:rPr>
              <w:t>2053</w:t>
            </w:r>
          </w:p>
        </w:tc>
        <w:tc>
          <w:tcPr>
            <w:tcW w:w="2160" w:type="dxa"/>
            <w:shd w:val="clear" w:color="auto" w:fill="D9D9D9"/>
            <w:vAlign w:val="bottom"/>
          </w:tcPr>
          <w:p w:rsidR="009D148C" w:rsidRDefault="009D148C" w:rsidP="00970AF3">
            <w:pPr>
              <w:jc w:val="center"/>
              <w:rPr>
                <w:sz w:val="20"/>
                <w:szCs w:val="20"/>
              </w:rPr>
            </w:pPr>
            <w:r>
              <w:rPr>
                <w:sz w:val="20"/>
                <w:szCs w:val="20"/>
              </w:rPr>
              <w:t>38.2</w:t>
            </w:r>
          </w:p>
        </w:tc>
      </w:tr>
    </w:tbl>
    <w:p w:rsidR="009D148C" w:rsidRPr="00F07F11" w:rsidRDefault="009D148C" w:rsidP="00152F90"/>
    <w:p w:rsidR="009D148C" w:rsidRPr="00EB4A5B" w:rsidRDefault="009D148C" w:rsidP="00152F90">
      <w:pPr>
        <w:pStyle w:val="TableofFigures"/>
        <w:keepNext/>
        <w:rPr>
          <w:rFonts w:ascii="Arial" w:hAnsi="Arial" w:cs="Arial"/>
        </w:rPr>
      </w:pPr>
      <w:bookmarkStart w:id="37" w:name="_Toc323027339"/>
      <w:r w:rsidRPr="00EB4A5B">
        <w:rPr>
          <w:rFonts w:ascii="Arial" w:hAnsi="Arial" w:cs="Arial"/>
        </w:rPr>
        <w:t xml:space="preserve">Table </w:t>
      </w:r>
      <w:r w:rsidRPr="00EB4A5B">
        <w:rPr>
          <w:rFonts w:ascii="Arial" w:hAnsi="Arial" w:cs="Arial"/>
        </w:rPr>
        <w:fldChar w:fldCharType="begin"/>
      </w:r>
      <w:r w:rsidRPr="00EB4A5B">
        <w:rPr>
          <w:rFonts w:ascii="Arial" w:hAnsi="Arial" w:cs="Arial"/>
        </w:rPr>
        <w:instrText xml:space="preserve"> SEQ Table \* ARABIC </w:instrText>
      </w:r>
      <w:r w:rsidRPr="00EB4A5B">
        <w:rPr>
          <w:rFonts w:ascii="Arial" w:hAnsi="Arial" w:cs="Arial"/>
        </w:rPr>
        <w:fldChar w:fldCharType="separate"/>
      </w:r>
      <w:r w:rsidR="002E4C74">
        <w:rPr>
          <w:rFonts w:ascii="Arial" w:hAnsi="Arial" w:cs="Arial"/>
          <w:noProof/>
        </w:rPr>
        <w:t>10</w:t>
      </w:r>
      <w:r w:rsidRPr="00EB4A5B">
        <w:rPr>
          <w:rFonts w:ascii="Arial" w:hAnsi="Arial" w:cs="Arial"/>
        </w:rPr>
        <w:fldChar w:fldCharType="end"/>
      </w:r>
      <w:r w:rsidRPr="00EB4A5B">
        <w:rPr>
          <w:rFonts w:ascii="Arial" w:hAnsi="Arial" w:cs="Arial"/>
          <w:i/>
          <w:iCs/>
        </w:rPr>
        <w:t xml:space="preserve"> </w:t>
      </w:r>
      <w:r w:rsidRPr="00EB4A5B">
        <w:rPr>
          <w:rFonts w:ascii="Arial" w:hAnsi="Arial" w:cs="Arial"/>
        </w:rPr>
        <w:t>Small Office VRF Heat Recovery vs Single Zone Packaged AC</w:t>
      </w:r>
      <w:bookmarkEnd w:id="37"/>
    </w:p>
    <w:tbl>
      <w:tblPr>
        <w:tblW w:w="8193" w:type="dxa"/>
        <w:tblInd w:w="2" w:type="dxa"/>
        <w:tblLook w:val="0000" w:firstRow="0" w:lastRow="0" w:firstColumn="0" w:lastColumn="0" w:noHBand="0" w:noVBand="0"/>
      </w:tblPr>
      <w:tblGrid>
        <w:gridCol w:w="705"/>
        <w:gridCol w:w="2700"/>
        <w:gridCol w:w="2880"/>
        <w:gridCol w:w="1908"/>
      </w:tblGrid>
      <w:tr w:rsidR="009D148C">
        <w:trPr>
          <w:trHeight w:val="510"/>
        </w:trPr>
        <w:tc>
          <w:tcPr>
            <w:tcW w:w="705" w:type="dxa"/>
            <w:tcBorders>
              <w:top w:val="single" w:sz="4" w:space="0" w:color="auto"/>
              <w:left w:val="single" w:sz="4" w:space="0" w:color="auto"/>
              <w:bottom w:val="single" w:sz="4" w:space="0" w:color="auto"/>
              <w:right w:val="single" w:sz="4" w:space="0" w:color="auto"/>
            </w:tcBorders>
            <w:shd w:val="clear" w:color="auto" w:fill="BFBFBF"/>
            <w:noWrap/>
            <w:vAlign w:val="bottom"/>
          </w:tcPr>
          <w:p w:rsidR="009D148C" w:rsidRDefault="009D148C" w:rsidP="0084259D">
            <w:pPr>
              <w:jc w:val="center"/>
              <w:rPr>
                <w:b/>
                <w:bCs/>
                <w:sz w:val="20"/>
                <w:szCs w:val="20"/>
              </w:rPr>
            </w:pPr>
          </w:p>
        </w:tc>
        <w:tc>
          <w:tcPr>
            <w:tcW w:w="2700" w:type="dxa"/>
            <w:tcBorders>
              <w:top w:val="single" w:sz="4" w:space="0" w:color="auto"/>
              <w:left w:val="single" w:sz="4" w:space="0" w:color="auto"/>
              <w:bottom w:val="single" w:sz="4" w:space="0" w:color="auto"/>
              <w:right w:val="single" w:sz="4" w:space="0" w:color="auto"/>
            </w:tcBorders>
            <w:shd w:val="clear" w:color="auto" w:fill="BFBFBF"/>
            <w:noWrap/>
            <w:vAlign w:val="bottom"/>
          </w:tcPr>
          <w:p w:rsidR="009D148C" w:rsidRDefault="009D148C" w:rsidP="0084259D">
            <w:pPr>
              <w:jc w:val="center"/>
              <w:rPr>
                <w:b/>
                <w:bCs/>
                <w:sz w:val="20"/>
                <w:szCs w:val="20"/>
              </w:rPr>
            </w:pPr>
            <w:r>
              <w:rPr>
                <w:b/>
                <w:bCs/>
                <w:sz w:val="20"/>
                <w:szCs w:val="20"/>
              </w:rPr>
              <w:t xml:space="preserve"> Average Demand Reduction</w:t>
            </w:r>
          </w:p>
        </w:tc>
        <w:tc>
          <w:tcPr>
            <w:tcW w:w="2880" w:type="dxa"/>
            <w:tcBorders>
              <w:top w:val="single" w:sz="4" w:space="0" w:color="auto"/>
              <w:left w:val="single" w:sz="4" w:space="0" w:color="auto"/>
              <w:bottom w:val="single" w:sz="4" w:space="0" w:color="auto"/>
              <w:right w:val="single" w:sz="4" w:space="0" w:color="auto"/>
            </w:tcBorders>
            <w:shd w:val="clear" w:color="auto" w:fill="BFBFBF"/>
            <w:vAlign w:val="bottom"/>
          </w:tcPr>
          <w:p w:rsidR="009D148C" w:rsidRDefault="009D148C" w:rsidP="0084259D">
            <w:pPr>
              <w:jc w:val="center"/>
              <w:rPr>
                <w:b/>
                <w:bCs/>
                <w:sz w:val="20"/>
                <w:szCs w:val="20"/>
              </w:rPr>
            </w:pPr>
            <w:r>
              <w:rPr>
                <w:b/>
                <w:bCs/>
                <w:sz w:val="20"/>
                <w:szCs w:val="20"/>
              </w:rPr>
              <w:t>Average Energy Savings</w:t>
            </w:r>
          </w:p>
        </w:tc>
        <w:tc>
          <w:tcPr>
            <w:tcW w:w="1908" w:type="dxa"/>
            <w:tcBorders>
              <w:top w:val="single" w:sz="4" w:space="0" w:color="auto"/>
              <w:left w:val="single" w:sz="4" w:space="0" w:color="auto"/>
              <w:bottom w:val="single" w:sz="4" w:space="0" w:color="auto"/>
              <w:right w:val="single" w:sz="4" w:space="0" w:color="auto"/>
            </w:tcBorders>
            <w:shd w:val="clear" w:color="auto" w:fill="BFBFBF"/>
          </w:tcPr>
          <w:p w:rsidR="009D148C" w:rsidRDefault="009D148C" w:rsidP="009958A9">
            <w:pPr>
              <w:jc w:val="center"/>
              <w:rPr>
                <w:b/>
                <w:bCs/>
                <w:sz w:val="20"/>
                <w:szCs w:val="20"/>
              </w:rPr>
            </w:pPr>
            <w:r>
              <w:rPr>
                <w:b/>
                <w:bCs/>
                <w:sz w:val="20"/>
                <w:szCs w:val="20"/>
              </w:rPr>
              <w:t>Average Annual Gas Savings</w:t>
            </w:r>
          </w:p>
        </w:tc>
      </w:tr>
      <w:tr w:rsidR="009D148C">
        <w:trPr>
          <w:trHeight w:val="255"/>
        </w:trPr>
        <w:tc>
          <w:tcPr>
            <w:tcW w:w="705"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9D148C" w:rsidRDefault="009D148C" w:rsidP="0084259D">
            <w:pPr>
              <w:jc w:val="center"/>
              <w:rPr>
                <w:b/>
                <w:bCs/>
                <w:sz w:val="20"/>
                <w:szCs w:val="20"/>
              </w:rPr>
            </w:pPr>
            <w:r>
              <w:rPr>
                <w:b/>
                <w:bCs/>
                <w:sz w:val="20"/>
                <w:szCs w:val="20"/>
              </w:rPr>
              <w:t>CZ</w:t>
            </w:r>
          </w:p>
        </w:tc>
        <w:tc>
          <w:tcPr>
            <w:tcW w:w="2700"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9D148C" w:rsidRDefault="009D148C" w:rsidP="0084259D">
            <w:pPr>
              <w:jc w:val="center"/>
              <w:rPr>
                <w:b/>
                <w:bCs/>
                <w:sz w:val="20"/>
                <w:szCs w:val="20"/>
              </w:rPr>
            </w:pPr>
            <w:r>
              <w:rPr>
                <w:b/>
                <w:bCs/>
                <w:sz w:val="20"/>
                <w:szCs w:val="20"/>
              </w:rPr>
              <w:t>(kW/ton)</w:t>
            </w:r>
          </w:p>
        </w:tc>
        <w:tc>
          <w:tcPr>
            <w:tcW w:w="2880"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9D148C" w:rsidRDefault="009D148C" w:rsidP="0084259D">
            <w:pPr>
              <w:jc w:val="center"/>
              <w:rPr>
                <w:b/>
                <w:bCs/>
                <w:sz w:val="20"/>
                <w:szCs w:val="20"/>
              </w:rPr>
            </w:pPr>
            <w:r>
              <w:rPr>
                <w:b/>
                <w:bCs/>
                <w:sz w:val="20"/>
                <w:szCs w:val="20"/>
              </w:rPr>
              <w:t>(kWh/ton)</w:t>
            </w:r>
          </w:p>
        </w:tc>
        <w:tc>
          <w:tcPr>
            <w:tcW w:w="1908" w:type="dxa"/>
            <w:tcBorders>
              <w:top w:val="single" w:sz="4" w:space="0" w:color="auto"/>
              <w:left w:val="single" w:sz="4" w:space="0" w:color="auto"/>
              <w:bottom w:val="single" w:sz="4" w:space="0" w:color="auto"/>
              <w:right w:val="single" w:sz="4" w:space="0" w:color="auto"/>
            </w:tcBorders>
            <w:shd w:val="clear" w:color="auto" w:fill="F2F2F2"/>
          </w:tcPr>
          <w:p w:rsidR="009D148C" w:rsidRDefault="009D148C" w:rsidP="009958A9">
            <w:pPr>
              <w:jc w:val="center"/>
              <w:rPr>
                <w:b/>
                <w:bCs/>
                <w:sz w:val="20"/>
                <w:szCs w:val="20"/>
              </w:rPr>
            </w:pPr>
            <w:r>
              <w:rPr>
                <w:b/>
                <w:bCs/>
                <w:sz w:val="20"/>
                <w:szCs w:val="20"/>
              </w:rPr>
              <w:t>(</w:t>
            </w:r>
            <w:proofErr w:type="spellStart"/>
            <w:r>
              <w:rPr>
                <w:b/>
                <w:bCs/>
                <w:sz w:val="20"/>
                <w:szCs w:val="20"/>
              </w:rPr>
              <w:t>Therms</w:t>
            </w:r>
            <w:proofErr w:type="spellEnd"/>
            <w:r>
              <w:rPr>
                <w:b/>
                <w:bCs/>
                <w:sz w:val="20"/>
                <w:szCs w:val="20"/>
              </w:rPr>
              <w:t>)</w:t>
            </w:r>
          </w:p>
        </w:tc>
      </w:tr>
      <w:tr w:rsidR="009D148C">
        <w:trPr>
          <w:trHeight w:val="255"/>
        </w:trPr>
        <w:tc>
          <w:tcPr>
            <w:tcW w:w="705" w:type="dxa"/>
            <w:tcBorders>
              <w:top w:val="single" w:sz="4" w:space="0" w:color="auto"/>
              <w:left w:val="single" w:sz="4" w:space="0" w:color="auto"/>
              <w:bottom w:val="single" w:sz="4" w:space="0" w:color="auto"/>
              <w:right w:val="nil"/>
            </w:tcBorders>
            <w:shd w:val="clear" w:color="auto" w:fill="D9D9D9"/>
            <w:noWrap/>
            <w:vAlign w:val="bottom"/>
          </w:tcPr>
          <w:p w:rsidR="009D148C" w:rsidRDefault="009D148C" w:rsidP="0084259D">
            <w:pPr>
              <w:jc w:val="center"/>
              <w:rPr>
                <w:b/>
                <w:bCs/>
                <w:sz w:val="20"/>
                <w:szCs w:val="20"/>
              </w:rPr>
            </w:pPr>
            <w:r>
              <w:rPr>
                <w:b/>
                <w:bCs/>
                <w:sz w:val="20"/>
                <w:szCs w:val="20"/>
              </w:rPr>
              <w:t>01</w:t>
            </w:r>
          </w:p>
        </w:tc>
        <w:tc>
          <w:tcPr>
            <w:tcW w:w="2700"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0.83</w:t>
            </w:r>
          </w:p>
        </w:tc>
        <w:tc>
          <w:tcPr>
            <w:tcW w:w="2880" w:type="dxa"/>
            <w:tcBorders>
              <w:top w:val="single" w:sz="4" w:space="0" w:color="auto"/>
              <w:left w:val="nil"/>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2064</w:t>
            </w:r>
          </w:p>
        </w:tc>
        <w:tc>
          <w:tcPr>
            <w:tcW w:w="1908" w:type="dxa"/>
            <w:tcBorders>
              <w:top w:val="single" w:sz="4" w:space="0" w:color="auto"/>
              <w:left w:val="nil"/>
              <w:bottom w:val="single" w:sz="4" w:space="0" w:color="auto"/>
              <w:right w:val="single" w:sz="4" w:space="0" w:color="auto"/>
            </w:tcBorders>
            <w:shd w:val="clear" w:color="auto" w:fill="D9D9D9"/>
            <w:vAlign w:val="bottom"/>
          </w:tcPr>
          <w:p w:rsidR="009D148C" w:rsidRDefault="009D148C" w:rsidP="00970AF3">
            <w:pPr>
              <w:jc w:val="center"/>
              <w:rPr>
                <w:sz w:val="20"/>
                <w:szCs w:val="20"/>
              </w:rPr>
            </w:pPr>
            <w:r>
              <w:rPr>
                <w:sz w:val="20"/>
                <w:szCs w:val="20"/>
              </w:rPr>
              <w:t>8.53</w:t>
            </w:r>
          </w:p>
        </w:tc>
      </w:tr>
      <w:tr w:rsidR="009D148C">
        <w:trPr>
          <w:trHeight w:val="255"/>
        </w:trPr>
        <w:tc>
          <w:tcPr>
            <w:tcW w:w="705" w:type="dxa"/>
            <w:tcBorders>
              <w:top w:val="single" w:sz="4" w:space="0" w:color="auto"/>
              <w:left w:val="single" w:sz="4" w:space="0" w:color="auto"/>
              <w:bottom w:val="single" w:sz="4" w:space="0" w:color="auto"/>
              <w:right w:val="nil"/>
            </w:tcBorders>
            <w:shd w:val="clear" w:color="auto" w:fill="F2F2F2"/>
            <w:noWrap/>
            <w:vAlign w:val="bottom"/>
          </w:tcPr>
          <w:p w:rsidR="009D148C" w:rsidRDefault="009D148C" w:rsidP="0084259D">
            <w:pPr>
              <w:jc w:val="center"/>
              <w:rPr>
                <w:b/>
                <w:bCs/>
                <w:sz w:val="20"/>
                <w:szCs w:val="20"/>
              </w:rPr>
            </w:pPr>
            <w:r>
              <w:rPr>
                <w:b/>
                <w:bCs/>
                <w:sz w:val="20"/>
                <w:szCs w:val="20"/>
              </w:rPr>
              <w:t>02</w:t>
            </w:r>
          </w:p>
        </w:tc>
        <w:tc>
          <w:tcPr>
            <w:tcW w:w="2700"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9D148C" w:rsidRDefault="009D148C" w:rsidP="00970AF3">
            <w:pPr>
              <w:jc w:val="center"/>
              <w:rPr>
                <w:sz w:val="20"/>
                <w:szCs w:val="20"/>
              </w:rPr>
            </w:pPr>
            <w:r>
              <w:rPr>
                <w:sz w:val="20"/>
                <w:szCs w:val="20"/>
              </w:rPr>
              <w:t>0.83</w:t>
            </w:r>
          </w:p>
        </w:tc>
        <w:tc>
          <w:tcPr>
            <w:tcW w:w="2880" w:type="dxa"/>
            <w:tcBorders>
              <w:top w:val="single" w:sz="4" w:space="0" w:color="auto"/>
              <w:left w:val="nil"/>
              <w:bottom w:val="single" w:sz="4" w:space="0" w:color="auto"/>
              <w:right w:val="single" w:sz="4" w:space="0" w:color="auto"/>
            </w:tcBorders>
            <w:shd w:val="clear" w:color="auto" w:fill="F2F2F2"/>
            <w:noWrap/>
            <w:vAlign w:val="bottom"/>
          </w:tcPr>
          <w:p w:rsidR="009D148C" w:rsidRDefault="009D148C" w:rsidP="00970AF3">
            <w:pPr>
              <w:jc w:val="center"/>
              <w:rPr>
                <w:sz w:val="20"/>
                <w:szCs w:val="20"/>
              </w:rPr>
            </w:pPr>
            <w:r>
              <w:rPr>
                <w:sz w:val="20"/>
                <w:szCs w:val="20"/>
              </w:rPr>
              <w:t>2064</w:t>
            </w:r>
          </w:p>
        </w:tc>
        <w:tc>
          <w:tcPr>
            <w:tcW w:w="1908" w:type="dxa"/>
            <w:tcBorders>
              <w:top w:val="single" w:sz="4" w:space="0" w:color="auto"/>
              <w:left w:val="nil"/>
              <w:bottom w:val="single" w:sz="4" w:space="0" w:color="auto"/>
              <w:right w:val="single" w:sz="4" w:space="0" w:color="auto"/>
            </w:tcBorders>
            <w:shd w:val="clear" w:color="auto" w:fill="F2F2F2"/>
            <w:vAlign w:val="bottom"/>
          </w:tcPr>
          <w:p w:rsidR="009D148C" w:rsidRDefault="009D148C" w:rsidP="00970AF3">
            <w:pPr>
              <w:jc w:val="center"/>
              <w:rPr>
                <w:sz w:val="20"/>
                <w:szCs w:val="20"/>
              </w:rPr>
            </w:pPr>
            <w:r>
              <w:rPr>
                <w:sz w:val="20"/>
                <w:szCs w:val="20"/>
              </w:rPr>
              <w:t>8.53</w:t>
            </w:r>
          </w:p>
        </w:tc>
      </w:tr>
      <w:tr w:rsidR="009D148C">
        <w:trPr>
          <w:trHeight w:val="255"/>
        </w:trPr>
        <w:tc>
          <w:tcPr>
            <w:tcW w:w="705" w:type="dxa"/>
            <w:tcBorders>
              <w:top w:val="single" w:sz="4" w:space="0" w:color="auto"/>
              <w:left w:val="single" w:sz="4" w:space="0" w:color="auto"/>
              <w:bottom w:val="single" w:sz="4" w:space="0" w:color="auto"/>
              <w:right w:val="nil"/>
            </w:tcBorders>
            <w:shd w:val="clear" w:color="auto" w:fill="D9D9D9"/>
            <w:noWrap/>
            <w:vAlign w:val="bottom"/>
          </w:tcPr>
          <w:p w:rsidR="009D148C" w:rsidRDefault="009D148C" w:rsidP="0084259D">
            <w:pPr>
              <w:jc w:val="center"/>
              <w:rPr>
                <w:b/>
                <w:bCs/>
                <w:sz w:val="20"/>
                <w:szCs w:val="20"/>
              </w:rPr>
            </w:pPr>
            <w:r>
              <w:rPr>
                <w:b/>
                <w:bCs/>
                <w:sz w:val="20"/>
                <w:szCs w:val="20"/>
              </w:rPr>
              <w:t>03</w:t>
            </w:r>
          </w:p>
        </w:tc>
        <w:tc>
          <w:tcPr>
            <w:tcW w:w="2700"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0.66</w:t>
            </w:r>
          </w:p>
        </w:tc>
        <w:tc>
          <w:tcPr>
            <w:tcW w:w="2880" w:type="dxa"/>
            <w:tcBorders>
              <w:top w:val="single" w:sz="4" w:space="0" w:color="auto"/>
              <w:left w:val="nil"/>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2077</w:t>
            </w:r>
          </w:p>
        </w:tc>
        <w:tc>
          <w:tcPr>
            <w:tcW w:w="1908" w:type="dxa"/>
            <w:tcBorders>
              <w:top w:val="single" w:sz="4" w:space="0" w:color="auto"/>
              <w:left w:val="nil"/>
              <w:bottom w:val="single" w:sz="4" w:space="0" w:color="auto"/>
              <w:right w:val="single" w:sz="4" w:space="0" w:color="auto"/>
            </w:tcBorders>
            <w:shd w:val="clear" w:color="auto" w:fill="D9D9D9"/>
            <w:vAlign w:val="bottom"/>
          </w:tcPr>
          <w:p w:rsidR="009D148C" w:rsidRDefault="009D148C" w:rsidP="00970AF3">
            <w:pPr>
              <w:jc w:val="center"/>
              <w:rPr>
                <w:sz w:val="20"/>
                <w:szCs w:val="20"/>
              </w:rPr>
            </w:pPr>
            <w:r>
              <w:rPr>
                <w:sz w:val="20"/>
                <w:szCs w:val="20"/>
              </w:rPr>
              <w:t>15.8</w:t>
            </w:r>
          </w:p>
        </w:tc>
      </w:tr>
      <w:tr w:rsidR="009D148C">
        <w:trPr>
          <w:trHeight w:val="255"/>
        </w:trPr>
        <w:tc>
          <w:tcPr>
            <w:tcW w:w="705" w:type="dxa"/>
            <w:tcBorders>
              <w:top w:val="single" w:sz="4" w:space="0" w:color="auto"/>
              <w:left w:val="single" w:sz="4" w:space="0" w:color="auto"/>
              <w:bottom w:val="single" w:sz="4" w:space="0" w:color="auto"/>
              <w:right w:val="nil"/>
            </w:tcBorders>
            <w:shd w:val="clear" w:color="auto" w:fill="F2F2F2"/>
            <w:noWrap/>
            <w:vAlign w:val="bottom"/>
          </w:tcPr>
          <w:p w:rsidR="009D148C" w:rsidRDefault="009D148C" w:rsidP="0084259D">
            <w:pPr>
              <w:jc w:val="center"/>
              <w:rPr>
                <w:b/>
                <w:bCs/>
                <w:sz w:val="20"/>
                <w:szCs w:val="20"/>
              </w:rPr>
            </w:pPr>
            <w:r>
              <w:rPr>
                <w:b/>
                <w:bCs/>
                <w:sz w:val="20"/>
                <w:szCs w:val="20"/>
              </w:rPr>
              <w:t>04</w:t>
            </w:r>
          </w:p>
        </w:tc>
        <w:tc>
          <w:tcPr>
            <w:tcW w:w="2700"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9D148C" w:rsidRDefault="009D148C" w:rsidP="00970AF3">
            <w:pPr>
              <w:jc w:val="center"/>
              <w:rPr>
                <w:sz w:val="20"/>
                <w:szCs w:val="20"/>
              </w:rPr>
            </w:pPr>
            <w:r>
              <w:rPr>
                <w:sz w:val="20"/>
                <w:szCs w:val="20"/>
              </w:rPr>
              <w:t>0.71</w:t>
            </w:r>
          </w:p>
        </w:tc>
        <w:tc>
          <w:tcPr>
            <w:tcW w:w="2880" w:type="dxa"/>
            <w:tcBorders>
              <w:top w:val="single" w:sz="4" w:space="0" w:color="auto"/>
              <w:left w:val="nil"/>
              <w:bottom w:val="single" w:sz="4" w:space="0" w:color="auto"/>
              <w:right w:val="single" w:sz="4" w:space="0" w:color="auto"/>
            </w:tcBorders>
            <w:shd w:val="clear" w:color="auto" w:fill="F2F2F2"/>
            <w:noWrap/>
            <w:vAlign w:val="bottom"/>
          </w:tcPr>
          <w:p w:rsidR="009D148C" w:rsidRDefault="009D148C" w:rsidP="00970AF3">
            <w:pPr>
              <w:jc w:val="center"/>
              <w:rPr>
                <w:sz w:val="20"/>
                <w:szCs w:val="20"/>
              </w:rPr>
            </w:pPr>
            <w:r>
              <w:rPr>
                <w:sz w:val="20"/>
                <w:szCs w:val="20"/>
              </w:rPr>
              <w:t>2062</w:t>
            </w:r>
          </w:p>
        </w:tc>
        <w:tc>
          <w:tcPr>
            <w:tcW w:w="1908" w:type="dxa"/>
            <w:tcBorders>
              <w:top w:val="single" w:sz="4" w:space="0" w:color="auto"/>
              <w:left w:val="nil"/>
              <w:bottom w:val="single" w:sz="4" w:space="0" w:color="auto"/>
              <w:right w:val="single" w:sz="4" w:space="0" w:color="auto"/>
            </w:tcBorders>
            <w:shd w:val="clear" w:color="auto" w:fill="F2F2F2"/>
            <w:vAlign w:val="bottom"/>
          </w:tcPr>
          <w:p w:rsidR="009D148C" w:rsidRDefault="009D148C" w:rsidP="00970AF3">
            <w:pPr>
              <w:jc w:val="center"/>
              <w:rPr>
                <w:sz w:val="20"/>
                <w:szCs w:val="20"/>
              </w:rPr>
            </w:pPr>
            <w:r>
              <w:rPr>
                <w:sz w:val="20"/>
                <w:szCs w:val="20"/>
              </w:rPr>
              <w:t>14.2</w:t>
            </w:r>
          </w:p>
        </w:tc>
      </w:tr>
      <w:tr w:rsidR="009D148C">
        <w:trPr>
          <w:trHeight w:val="255"/>
        </w:trPr>
        <w:tc>
          <w:tcPr>
            <w:tcW w:w="705" w:type="dxa"/>
            <w:tcBorders>
              <w:top w:val="single" w:sz="4" w:space="0" w:color="auto"/>
              <w:left w:val="single" w:sz="4" w:space="0" w:color="auto"/>
              <w:bottom w:val="single" w:sz="4" w:space="0" w:color="auto"/>
              <w:right w:val="nil"/>
            </w:tcBorders>
            <w:shd w:val="clear" w:color="auto" w:fill="D9D9D9"/>
            <w:noWrap/>
            <w:vAlign w:val="bottom"/>
          </w:tcPr>
          <w:p w:rsidR="009D148C" w:rsidRDefault="009D148C" w:rsidP="0084259D">
            <w:pPr>
              <w:jc w:val="center"/>
              <w:rPr>
                <w:b/>
                <w:bCs/>
                <w:sz w:val="20"/>
                <w:szCs w:val="20"/>
              </w:rPr>
            </w:pPr>
            <w:r>
              <w:rPr>
                <w:b/>
                <w:bCs/>
                <w:sz w:val="20"/>
                <w:szCs w:val="20"/>
              </w:rPr>
              <w:t>05</w:t>
            </w:r>
          </w:p>
        </w:tc>
        <w:tc>
          <w:tcPr>
            <w:tcW w:w="2700"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0.66</w:t>
            </w:r>
          </w:p>
        </w:tc>
        <w:tc>
          <w:tcPr>
            <w:tcW w:w="2880" w:type="dxa"/>
            <w:tcBorders>
              <w:top w:val="single" w:sz="4" w:space="0" w:color="auto"/>
              <w:left w:val="nil"/>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2222</w:t>
            </w:r>
          </w:p>
        </w:tc>
        <w:tc>
          <w:tcPr>
            <w:tcW w:w="1908" w:type="dxa"/>
            <w:tcBorders>
              <w:top w:val="single" w:sz="4" w:space="0" w:color="auto"/>
              <w:left w:val="nil"/>
              <w:bottom w:val="single" w:sz="4" w:space="0" w:color="auto"/>
              <w:right w:val="single" w:sz="4" w:space="0" w:color="auto"/>
            </w:tcBorders>
            <w:shd w:val="clear" w:color="auto" w:fill="D9D9D9"/>
            <w:vAlign w:val="bottom"/>
          </w:tcPr>
          <w:p w:rsidR="009D148C" w:rsidRDefault="009D148C" w:rsidP="00970AF3">
            <w:pPr>
              <w:jc w:val="center"/>
              <w:rPr>
                <w:sz w:val="20"/>
                <w:szCs w:val="20"/>
              </w:rPr>
            </w:pPr>
            <w:r>
              <w:rPr>
                <w:sz w:val="20"/>
                <w:szCs w:val="20"/>
              </w:rPr>
              <w:t>10.4</w:t>
            </w:r>
          </w:p>
        </w:tc>
      </w:tr>
      <w:tr w:rsidR="009D148C">
        <w:trPr>
          <w:trHeight w:val="255"/>
        </w:trPr>
        <w:tc>
          <w:tcPr>
            <w:tcW w:w="705" w:type="dxa"/>
            <w:tcBorders>
              <w:top w:val="single" w:sz="4" w:space="0" w:color="auto"/>
              <w:left w:val="single" w:sz="4" w:space="0" w:color="auto"/>
              <w:bottom w:val="single" w:sz="4" w:space="0" w:color="auto"/>
              <w:right w:val="nil"/>
            </w:tcBorders>
            <w:shd w:val="clear" w:color="auto" w:fill="F2F2F2"/>
            <w:noWrap/>
            <w:vAlign w:val="bottom"/>
          </w:tcPr>
          <w:p w:rsidR="009D148C" w:rsidRDefault="009D148C" w:rsidP="0084259D">
            <w:pPr>
              <w:jc w:val="center"/>
              <w:rPr>
                <w:b/>
                <w:bCs/>
                <w:sz w:val="20"/>
                <w:szCs w:val="20"/>
              </w:rPr>
            </w:pPr>
            <w:r>
              <w:rPr>
                <w:b/>
                <w:bCs/>
                <w:sz w:val="20"/>
                <w:szCs w:val="20"/>
              </w:rPr>
              <w:t>11</w:t>
            </w:r>
          </w:p>
        </w:tc>
        <w:tc>
          <w:tcPr>
            <w:tcW w:w="2700"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9D148C" w:rsidRDefault="009D148C" w:rsidP="00970AF3">
            <w:pPr>
              <w:jc w:val="center"/>
              <w:rPr>
                <w:sz w:val="20"/>
                <w:szCs w:val="20"/>
              </w:rPr>
            </w:pPr>
            <w:r>
              <w:rPr>
                <w:sz w:val="20"/>
                <w:szCs w:val="20"/>
              </w:rPr>
              <w:t>0</w:t>
            </w:r>
            <w:r w:rsidR="00AE112D">
              <w:rPr>
                <w:sz w:val="20"/>
                <w:szCs w:val="20"/>
              </w:rPr>
              <w:t>.75</w:t>
            </w:r>
          </w:p>
        </w:tc>
        <w:tc>
          <w:tcPr>
            <w:tcW w:w="2880" w:type="dxa"/>
            <w:tcBorders>
              <w:top w:val="single" w:sz="4" w:space="0" w:color="auto"/>
              <w:left w:val="nil"/>
              <w:bottom w:val="single" w:sz="4" w:space="0" w:color="auto"/>
              <w:right w:val="single" w:sz="4" w:space="0" w:color="auto"/>
            </w:tcBorders>
            <w:shd w:val="clear" w:color="auto" w:fill="F2F2F2"/>
            <w:noWrap/>
            <w:vAlign w:val="bottom"/>
          </w:tcPr>
          <w:p w:rsidR="009D148C" w:rsidRDefault="009D148C" w:rsidP="00970AF3">
            <w:pPr>
              <w:jc w:val="center"/>
              <w:rPr>
                <w:sz w:val="20"/>
                <w:szCs w:val="20"/>
              </w:rPr>
            </w:pPr>
            <w:r>
              <w:rPr>
                <w:sz w:val="20"/>
                <w:szCs w:val="20"/>
              </w:rPr>
              <w:t>2047</w:t>
            </w:r>
          </w:p>
        </w:tc>
        <w:tc>
          <w:tcPr>
            <w:tcW w:w="1908" w:type="dxa"/>
            <w:tcBorders>
              <w:top w:val="single" w:sz="4" w:space="0" w:color="auto"/>
              <w:left w:val="nil"/>
              <w:bottom w:val="single" w:sz="4" w:space="0" w:color="auto"/>
              <w:right w:val="single" w:sz="4" w:space="0" w:color="auto"/>
            </w:tcBorders>
            <w:shd w:val="clear" w:color="auto" w:fill="F2F2F2"/>
            <w:vAlign w:val="bottom"/>
          </w:tcPr>
          <w:p w:rsidR="009D148C" w:rsidRDefault="009D148C" w:rsidP="00970AF3">
            <w:pPr>
              <w:jc w:val="center"/>
              <w:rPr>
                <w:sz w:val="20"/>
                <w:szCs w:val="20"/>
              </w:rPr>
            </w:pPr>
            <w:r>
              <w:rPr>
                <w:sz w:val="20"/>
                <w:szCs w:val="20"/>
              </w:rPr>
              <w:t>16.0</w:t>
            </w:r>
          </w:p>
        </w:tc>
      </w:tr>
      <w:tr w:rsidR="009D148C">
        <w:trPr>
          <w:trHeight w:val="255"/>
        </w:trPr>
        <w:tc>
          <w:tcPr>
            <w:tcW w:w="705" w:type="dxa"/>
            <w:tcBorders>
              <w:top w:val="single" w:sz="4" w:space="0" w:color="auto"/>
              <w:left w:val="single" w:sz="4" w:space="0" w:color="auto"/>
              <w:bottom w:val="single" w:sz="4" w:space="0" w:color="auto"/>
              <w:right w:val="nil"/>
            </w:tcBorders>
            <w:shd w:val="clear" w:color="auto" w:fill="D9D9D9"/>
            <w:noWrap/>
            <w:vAlign w:val="bottom"/>
          </w:tcPr>
          <w:p w:rsidR="009D148C" w:rsidRDefault="009D148C" w:rsidP="0084259D">
            <w:pPr>
              <w:jc w:val="center"/>
              <w:rPr>
                <w:b/>
                <w:bCs/>
                <w:sz w:val="20"/>
                <w:szCs w:val="20"/>
              </w:rPr>
            </w:pPr>
            <w:r>
              <w:rPr>
                <w:b/>
                <w:bCs/>
                <w:sz w:val="20"/>
                <w:szCs w:val="20"/>
              </w:rPr>
              <w:t>12</w:t>
            </w:r>
          </w:p>
        </w:tc>
        <w:tc>
          <w:tcPr>
            <w:tcW w:w="2700"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0.79</w:t>
            </w:r>
          </w:p>
        </w:tc>
        <w:tc>
          <w:tcPr>
            <w:tcW w:w="2880" w:type="dxa"/>
            <w:tcBorders>
              <w:top w:val="single" w:sz="4" w:space="0" w:color="auto"/>
              <w:left w:val="nil"/>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1954</w:t>
            </w:r>
          </w:p>
        </w:tc>
        <w:tc>
          <w:tcPr>
            <w:tcW w:w="1908" w:type="dxa"/>
            <w:tcBorders>
              <w:top w:val="single" w:sz="4" w:space="0" w:color="auto"/>
              <w:left w:val="nil"/>
              <w:bottom w:val="single" w:sz="4" w:space="0" w:color="auto"/>
              <w:right w:val="single" w:sz="4" w:space="0" w:color="auto"/>
            </w:tcBorders>
            <w:shd w:val="clear" w:color="auto" w:fill="D9D9D9"/>
            <w:vAlign w:val="bottom"/>
          </w:tcPr>
          <w:p w:rsidR="009D148C" w:rsidRDefault="009D148C" w:rsidP="00970AF3">
            <w:pPr>
              <w:jc w:val="center"/>
              <w:rPr>
                <w:sz w:val="20"/>
                <w:szCs w:val="20"/>
              </w:rPr>
            </w:pPr>
            <w:r>
              <w:rPr>
                <w:sz w:val="20"/>
                <w:szCs w:val="20"/>
              </w:rPr>
              <w:t>11.3</w:t>
            </w:r>
          </w:p>
        </w:tc>
      </w:tr>
      <w:tr w:rsidR="009D148C">
        <w:trPr>
          <w:trHeight w:val="255"/>
        </w:trPr>
        <w:tc>
          <w:tcPr>
            <w:tcW w:w="705" w:type="dxa"/>
            <w:tcBorders>
              <w:top w:val="single" w:sz="4" w:space="0" w:color="auto"/>
              <w:left w:val="single" w:sz="4" w:space="0" w:color="auto"/>
              <w:bottom w:val="single" w:sz="4" w:space="0" w:color="auto"/>
              <w:right w:val="nil"/>
            </w:tcBorders>
            <w:shd w:val="clear" w:color="auto" w:fill="F2F2F2"/>
            <w:noWrap/>
            <w:vAlign w:val="bottom"/>
          </w:tcPr>
          <w:p w:rsidR="009D148C" w:rsidRDefault="009D148C" w:rsidP="0084259D">
            <w:pPr>
              <w:jc w:val="center"/>
              <w:rPr>
                <w:b/>
                <w:bCs/>
                <w:sz w:val="20"/>
                <w:szCs w:val="20"/>
              </w:rPr>
            </w:pPr>
            <w:r>
              <w:rPr>
                <w:b/>
                <w:bCs/>
                <w:sz w:val="20"/>
                <w:szCs w:val="20"/>
              </w:rPr>
              <w:t>13</w:t>
            </w:r>
          </w:p>
        </w:tc>
        <w:tc>
          <w:tcPr>
            <w:tcW w:w="2700"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9D148C" w:rsidRDefault="009D148C" w:rsidP="00970AF3">
            <w:pPr>
              <w:jc w:val="center"/>
              <w:rPr>
                <w:sz w:val="20"/>
                <w:szCs w:val="20"/>
              </w:rPr>
            </w:pPr>
            <w:r>
              <w:rPr>
                <w:sz w:val="20"/>
                <w:szCs w:val="20"/>
              </w:rPr>
              <w:t>0.97</w:t>
            </w:r>
          </w:p>
        </w:tc>
        <w:tc>
          <w:tcPr>
            <w:tcW w:w="2880" w:type="dxa"/>
            <w:tcBorders>
              <w:top w:val="single" w:sz="4" w:space="0" w:color="auto"/>
              <w:left w:val="nil"/>
              <w:bottom w:val="single" w:sz="4" w:space="0" w:color="auto"/>
              <w:right w:val="single" w:sz="4" w:space="0" w:color="auto"/>
            </w:tcBorders>
            <w:shd w:val="clear" w:color="auto" w:fill="F2F2F2"/>
            <w:noWrap/>
            <w:vAlign w:val="bottom"/>
          </w:tcPr>
          <w:p w:rsidR="009D148C" w:rsidRDefault="009D148C" w:rsidP="00970AF3">
            <w:pPr>
              <w:jc w:val="center"/>
              <w:rPr>
                <w:sz w:val="20"/>
                <w:szCs w:val="20"/>
              </w:rPr>
            </w:pPr>
            <w:r>
              <w:rPr>
                <w:sz w:val="20"/>
                <w:szCs w:val="20"/>
              </w:rPr>
              <w:t>2323</w:t>
            </w:r>
          </w:p>
        </w:tc>
        <w:tc>
          <w:tcPr>
            <w:tcW w:w="1908" w:type="dxa"/>
            <w:tcBorders>
              <w:top w:val="single" w:sz="4" w:space="0" w:color="auto"/>
              <w:left w:val="nil"/>
              <w:bottom w:val="single" w:sz="4" w:space="0" w:color="auto"/>
              <w:right w:val="single" w:sz="4" w:space="0" w:color="auto"/>
            </w:tcBorders>
            <w:shd w:val="clear" w:color="auto" w:fill="F2F2F2"/>
            <w:vAlign w:val="bottom"/>
          </w:tcPr>
          <w:p w:rsidR="009D148C" w:rsidRDefault="009D148C" w:rsidP="00D979E4">
            <w:pPr>
              <w:jc w:val="center"/>
              <w:rPr>
                <w:sz w:val="20"/>
                <w:szCs w:val="20"/>
              </w:rPr>
            </w:pPr>
            <w:r>
              <w:rPr>
                <w:sz w:val="20"/>
                <w:szCs w:val="20"/>
              </w:rPr>
              <w:t>7.62</w:t>
            </w:r>
          </w:p>
        </w:tc>
      </w:tr>
      <w:tr w:rsidR="009D148C">
        <w:trPr>
          <w:trHeight w:val="255"/>
        </w:trPr>
        <w:tc>
          <w:tcPr>
            <w:tcW w:w="705" w:type="dxa"/>
            <w:tcBorders>
              <w:top w:val="single" w:sz="4" w:space="0" w:color="auto"/>
              <w:left w:val="single" w:sz="4" w:space="0" w:color="auto"/>
              <w:bottom w:val="single" w:sz="4" w:space="0" w:color="auto"/>
              <w:right w:val="nil"/>
            </w:tcBorders>
            <w:shd w:val="clear" w:color="auto" w:fill="D9D9D9"/>
            <w:noWrap/>
            <w:vAlign w:val="bottom"/>
          </w:tcPr>
          <w:p w:rsidR="009D148C" w:rsidRDefault="009D148C" w:rsidP="0084259D">
            <w:pPr>
              <w:jc w:val="center"/>
              <w:rPr>
                <w:b/>
                <w:bCs/>
                <w:sz w:val="20"/>
                <w:szCs w:val="20"/>
              </w:rPr>
            </w:pPr>
            <w:r>
              <w:rPr>
                <w:b/>
                <w:bCs/>
                <w:sz w:val="20"/>
                <w:szCs w:val="20"/>
              </w:rPr>
              <w:t>16</w:t>
            </w:r>
          </w:p>
        </w:tc>
        <w:tc>
          <w:tcPr>
            <w:tcW w:w="2700"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0.87</w:t>
            </w:r>
          </w:p>
        </w:tc>
        <w:tc>
          <w:tcPr>
            <w:tcW w:w="2880" w:type="dxa"/>
            <w:tcBorders>
              <w:top w:val="single" w:sz="4" w:space="0" w:color="auto"/>
              <w:left w:val="nil"/>
              <w:bottom w:val="single" w:sz="4" w:space="0" w:color="auto"/>
              <w:right w:val="single" w:sz="4" w:space="0" w:color="auto"/>
            </w:tcBorders>
            <w:shd w:val="clear" w:color="auto" w:fill="D9D9D9"/>
            <w:noWrap/>
            <w:vAlign w:val="bottom"/>
          </w:tcPr>
          <w:p w:rsidR="009D148C" w:rsidRDefault="009D148C" w:rsidP="00970AF3">
            <w:pPr>
              <w:jc w:val="center"/>
              <w:rPr>
                <w:sz w:val="20"/>
                <w:szCs w:val="20"/>
              </w:rPr>
            </w:pPr>
            <w:r>
              <w:rPr>
                <w:sz w:val="20"/>
                <w:szCs w:val="20"/>
              </w:rPr>
              <w:t>2031</w:t>
            </w:r>
          </w:p>
        </w:tc>
        <w:tc>
          <w:tcPr>
            <w:tcW w:w="1908" w:type="dxa"/>
            <w:tcBorders>
              <w:top w:val="single" w:sz="4" w:space="0" w:color="auto"/>
              <w:left w:val="nil"/>
              <w:bottom w:val="single" w:sz="4" w:space="0" w:color="auto"/>
              <w:right w:val="single" w:sz="4" w:space="0" w:color="auto"/>
            </w:tcBorders>
            <w:shd w:val="clear" w:color="auto" w:fill="D9D9D9"/>
            <w:vAlign w:val="bottom"/>
          </w:tcPr>
          <w:p w:rsidR="009D148C" w:rsidRDefault="009D148C" w:rsidP="00970AF3">
            <w:pPr>
              <w:jc w:val="center"/>
              <w:rPr>
                <w:sz w:val="20"/>
                <w:szCs w:val="20"/>
              </w:rPr>
            </w:pPr>
            <w:r>
              <w:rPr>
                <w:sz w:val="20"/>
                <w:szCs w:val="20"/>
              </w:rPr>
              <w:t>38.2</w:t>
            </w:r>
          </w:p>
        </w:tc>
      </w:tr>
    </w:tbl>
    <w:p w:rsidR="009D148C" w:rsidRDefault="009D148C" w:rsidP="00E23EC3">
      <w:pPr>
        <w:rPr>
          <w:sz w:val="20"/>
          <w:szCs w:val="20"/>
        </w:rPr>
      </w:pPr>
    </w:p>
    <w:p w:rsidR="009D148C" w:rsidRPr="00F07F11" w:rsidRDefault="009D148C" w:rsidP="00F07F11">
      <w:pPr>
        <w:pStyle w:val="Heading2"/>
        <w:keepNext w:val="0"/>
      </w:pPr>
      <w:bookmarkStart w:id="38" w:name="_Toc333929868"/>
      <w:r>
        <w:t>2.2. Demand Reduction Estimation Methodologies</w:t>
      </w:r>
      <w:bookmarkEnd w:id="38"/>
    </w:p>
    <w:p w:rsidR="009D148C" w:rsidRPr="00CF3FF0" w:rsidRDefault="009D148C" w:rsidP="00EB46D0">
      <w:pPr>
        <w:rPr>
          <w:i/>
          <w:iCs/>
          <w:sz w:val="20"/>
          <w:szCs w:val="20"/>
        </w:rPr>
      </w:pPr>
    </w:p>
    <w:p w:rsidR="009D148C" w:rsidRPr="00DC015F" w:rsidRDefault="009D148C" w:rsidP="003F3DED">
      <w:pPr>
        <w:rPr>
          <w:sz w:val="20"/>
          <w:szCs w:val="20"/>
        </w:rPr>
      </w:pPr>
      <w:r w:rsidRPr="00DC015F">
        <w:rPr>
          <w:sz w:val="20"/>
          <w:szCs w:val="20"/>
        </w:rPr>
        <w:t>The basic concept of Demand Reduction is described by the following equation:</w:t>
      </w:r>
    </w:p>
    <w:p w:rsidR="009D148C" w:rsidRPr="00CF3FF0" w:rsidRDefault="009D148C" w:rsidP="003F3DED">
      <w:pPr>
        <w:ind w:left="720"/>
        <w:rPr>
          <w:i/>
          <w:iCs/>
          <w:sz w:val="20"/>
          <w:szCs w:val="20"/>
        </w:rPr>
      </w:pPr>
    </w:p>
    <w:p w:rsidR="009D148C" w:rsidRDefault="009D148C" w:rsidP="00B82F6B">
      <w:pPr>
        <w:ind w:left="720"/>
        <w:rPr>
          <w:b/>
          <w:bCs/>
          <w:sz w:val="20"/>
          <w:szCs w:val="20"/>
        </w:rPr>
      </w:pPr>
      <w:r>
        <w:rPr>
          <w:b/>
          <w:bCs/>
          <w:sz w:val="20"/>
          <w:szCs w:val="20"/>
        </w:rPr>
        <w:t xml:space="preserve">EUL </w:t>
      </w:r>
      <w:r w:rsidRPr="00CF3FF0">
        <w:rPr>
          <w:b/>
          <w:bCs/>
          <w:sz w:val="20"/>
          <w:szCs w:val="20"/>
        </w:rPr>
        <w:t>Demand Reduction [kW/</w:t>
      </w:r>
      <w:r>
        <w:rPr>
          <w:b/>
          <w:bCs/>
          <w:sz w:val="20"/>
          <w:szCs w:val="20"/>
        </w:rPr>
        <w:t>ton</w:t>
      </w:r>
      <w:r w:rsidRPr="00CF3FF0">
        <w:rPr>
          <w:b/>
          <w:bCs/>
          <w:sz w:val="20"/>
          <w:szCs w:val="20"/>
        </w:rPr>
        <w:t xml:space="preserve">] = </w:t>
      </w:r>
      <w:r w:rsidRPr="00CF3FF0">
        <w:rPr>
          <w:b/>
          <w:bCs/>
          <w:sz w:val="20"/>
          <w:szCs w:val="20"/>
          <w:u w:val="single"/>
        </w:rPr>
        <w:t>(</w:t>
      </w:r>
      <w:r>
        <w:rPr>
          <w:b/>
          <w:bCs/>
          <w:sz w:val="20"/>
          <w:szCs w:val="20"/>
          <w:u w:val="single"/>
        </w:rPr>
        <w:t xml:space="preserve">EUL </w:t>
      </w:r>
      <w:r w:rsidRPr="00CF3FF0">
        <w:rPr>
          <w:b/>
          <w:bCs/>
          <w:sz w:val="20"/>
          <w:szCs w:val="20"/>
          <w:u w:val="single"/>
        </w:rPr>
        <w:t>∆Watts/</w:t>
      </w:r>
      <w:r>
        <w:rPr>
          <w:b/>
          <w:bCs/>
          <w:sz w:val="20"/>
          <w:szCs w:val="20"/>
          <w:u w:val="single"/>
        </w:rPr>
        <w:t>ton</w:t>
      </w:r>
      <w:r w:rsidRPr="00CF3FF0">
        <w:rPr>
          <w:b/>
          <w:bCs/>
          <w:sz w:val="20"/>
          <w:szCs w:val="20"/>
          <w:u w:val="single"/>
        </w:rPr>
        <w:t>) x (DEER Peak Hour Load Share)</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 xml:space="preserve">          </w:t>
      </w:r>
      <w:r w:rsidRPr="00CF3FF0">
        <w:rPr>
          <w:b/>
          <w:bCs/>
          <w:sz w:val="20"/>
          <w:szCs w:val="20"/>
        </w:rPr>
        <w:t xml:space="preserve">          1,000 Watts s/ kW</w:t>
      </w:r>
    </w:p>
    <w:p w:rsidR="009D148C" w:rsidRDefault="009D148C" w:rsidP="00DC015F">
      <w:pPr>
        <w:rPr>
          <w:b/>
          <w:bCs/>
          <w:sz w:val="20"/>
          <w:szCs w:val="20"/>
        </w:rPr>
      </w:pPr>
    </w:p>
    <w:p w:rsidR="009D148C" w:rsidRPr="00DC015F" w:rsidRDefault="009D148C" w:rsidP="00DC015F">
      <w:pPr>
        <w:rPr>
          <w:sz w:val="20"/>
          <w:szCs w:val="20"/>
        </w:rPr>
      </w:pPr>
      <w:r w:rsidRPr="00DC015F">
        <w:rPr>
          <w:sz w:val="20"/>
          <w:szCs w:val="20"/>
        </w:rPr>
        <w:t xml:space="preserve">Just as for the </w:t>
      </w:r>
      <w:r>
        <w:rPr>
          <w:sz w:val="20"/>
          <w:szCs w:val="20"/>
        </w:rPr>
        <w:t>energy (kWh/ton)</w:t>
      </w:r>
      <w:r w:rsidRPr="00DC015F">
        <w:rPr>
          <w:sz w:val="20"/>
          <w:szCs w:val="20"/>
        </w:rPr>
        <w:t xml:space="preserve"> calculation, the </w:t>
      </w:r>
      <w:r>
        <w:rPr>
          <w:sz w:val="20"/>
          <w:szCs w:val="20"/>
        </w:rPr>
        <w:t>actual demand</w:t>
      </w:r>
      <w:r w:rsidRPr="00DC015F">
        <w:rPr>
          <w:sz w:val="20"/>
          <w:szCs w:val="20"/>
        </w:rPr>
        <w:t xml:space="preserve"> calculation is much more </w:t>
      </w:r>
      <w:r>
        <w:rPr>
          <w:sz w:val="20"/>
          <w:szCs w:val="20"/>
        </w:rPr>
        <w:t>detailed</w:t>
      </w:r>
      <w:r w:rsidRPr="00DC015F">
        <w:rPr>
          <w:sz w:val="20"/>
          <w:szCs w:val="20"/>
        </w:rPr>
        <w:t xml:space="preserve"> and is </w:t>
      </w:r>
      <w:r>
        <w:rPr>
          <w:sz w:val="20"/>
          <w:szCs w:val="20"/>
        </w:rPr>
        <w:t>carried out</w:t>
      </w:r>
      <w:r w:rsidRPr="00DC015F">
        <w:rPr>
          <w:sz w:val="20"/>
          <w:szCs w:val="20"/>
        </w:rPr>
        <w:t xml:space="preserve"> in </w:t>
      </w:r>
      <w:proofErr w:type="spellStart"/>
      <w:r w:rsidRPr="00DC015F">
        <w:rPr>
          <w:sz w:val="20"/>
          <w:szCs w:val="20"/>
        </w:rPr>
        <w:t>EnergyPro</w:t>
      </w:r>
      <w:proofErr w:type="spellEnd"/>
      <w:r w:rsidRPr="00DC015F">
        <w:rPr>
          <w:sz w:val="20"/>
          <w:szCs w:val="20"/>
        </w:rPr>
        <w:t>.</w:t>
      </w:r>
    </w:p>
    <w:p w:rsidR="009D148C" w:rsidRPr="00742B64" w:rsidRDefault="009D148C" w:rsidP="00742B64">
      <w:pPr>
        <w:pStyle w:val="Heading2"/>
      </w:pPr>
      <w:bookmarkStart w:id="39" w:name="_Toc333929869"/>
      <w:r w:rsidRPr="00BF0332">
        <w:lastRenderedPageBreak/>
        <w:t>2.3. Gas Energy Savings Estimation Methodologies</w:t>
      </w:r>
      <w:bookmarkEnd w:id="39"/>
    </w:p>
    <w:p w:rsidR="009D148C" w:rsidRPr="00CF3FF0" w:rsidRDefault="009D148C" w:rsidP="00CF3FF0">
      <w:pPr>
        <w:numPr>
          <w:ilvl w:val="0"/>
          <w:numId w:val="16"/>
        </w:numPr>
        <w:tabs>
          <w:tab w:val="clear" w:pos="1440"/>
          <w:tab w:val="num" w:pos="360"/>
        </w:tabs>
        <w:ind w:left="360"/>
        <w:rPr>
          <w:sz w:val="20"/>
          <w:szCs w:val="20"/>
        </w:rPr>
      </w:pPr>
      <w:r>
        <w:rPr>
          <w:sz w:val="20"/>
          <w:szCs w:val="20"/>
        </w:rPr>
        <w:t>Gas savings associated with this measure are due to switching from gas to electric (heat pump) heating energy.</w:t>
      </w:r>
      <w:r w:rsidRPr="00CF3FF0">
        <w:rPr>
          <w:sz w:val="20"/>
          <w:szCs w:val="20"/>
        </w:rPr>
        <w:t xml:space="preserve"> </w:t>
      </w:r>
      <w:r>
        <w:rPr>
          <w:sz w:val="20"/>
          <w:szCs w:val="20"/>
        </w:rPr>
        <w:t>The calculations are based on an average base case that accounts for the diversity of existing heating systems in the PG&amp;E service territory.</w:t>
      </w:r>
    </w:p>
    <w:p w:rsidR="009D148C" w:rsidRPr="008301F0" w:rsidRDefault="009D148C" w:rsidP="00CF3FF0">
      <w:pPr>
        <w:numPr>
          <w:ilvl w:val="0"/>
          <w:numId w:val="16"/>
        </w:numPr>
        <w:tabs>
          <w:tab w:val="clear" w:pos="1440"/>
          <w:tab w:val="num" w:pos="360"/>
        </w:tabs>
        <w:ind w:left="360"/>
        <w:rPr>
          <w:i/>
          <w:iCs/>
          <w:sz w:val="20"/>
          <w:szCs w:val="20"/>
        </w:rPr>
      </w:pPr>
      <w:r w:rsidRPr="008301F0">
        <w:rPr>
          <w:sz w:val="20"/>
          <w:szCs w:val="20"/>
        </w:rPr>
        <w:t>Gas estimates include calculated interactive effects.</w:t>
      </w:r>
    </w:p>
    <w:p w:rsidR="009D148C" w:rsidRDefault="009D148C" w:rsidP="00CF3FF0">
      <w:pPr>
        <w:rPr>
          <w:i/>
          <w:iCs/>
          <w:sz w:val="20"/>
          <w:szCs w:val="20"/>
        </w:rPr>
      </w:pPr>
    </w:p>
    <w:p w:rsidR="009D148C" w:rsidRPr="00CF3FF0" w:rsidRDefault="009D148C" w:rsidP="00AD4B84">
      <w:pPr>
        <w:rPr>
          <w:b/>
          <w:bCs/>
          <w:sz w:val="20"/>
          <w:szCs w:val="20"/>
        </w:rPr>
      </w:pPr>
      <w:r w:rsidRPr="00CF3FF0">
        <w:rPr>
          <w:b/>
          <w:bCs/>
          <w:sz w:val="20"/>
          <w:szCs w:val="20"/>
        </w:rPr>
        <w:t>Annual Gas Savings:</w:t>
      </w:r>
    </w:p>
    <w:p w:rsidR="009D148C" w:rsidRDefault="009D148C" w:rsidP="00CF6760">
      <w:pPr>
        <w:rPr>
          <w:sz w:val="20"/>
          <w:szCs w:val="20"/>
        </w:rPr>
      </w:pPr>
      <w:r w:rsidRPr="00B82F6B">
        <w:rPr>
          <w:sz w:val="20"/>
          <w:szCs w:val="20"/>
        </w:rPr>
        <w:t>Energy Savings [</w:t>
      </w:r>
      <w:proofErr w:type="spellStart"/>
      <w:r w:rsidRPr="00B82F6B">
        <w:rPr>
          <w:sz w:val="20"/>
          <w:szCs w:val="20"/>
        </w:rPr>
        <w:t>therms</w:t>
      </w:r>
      <w:proofErr w:type="spellEnd"/>
      <w:r w:rsidRPr="00B82F6B">
        <w:rPr>
          <w:sz w:val="20"/>
          <w:szCs w:val="20"/>
        </w:rPr>
        <w:t>/</w:t>
      </w:r>
      <w:r>
        <w:rPr>
          <w:sz w:val="20"/>
          <w:szCs w:val="20"/>
        </w:rPr>
        <w:t>ton</w:t>
      </w:r>
      <w:r w:rsidRPr="00B82F6B">
        <w:rPr>
          <w:sz w:val="20"/>
          <w:szCs w:val="20"/>
        </w:rPr>
        <w:t xml:space="preserve">] = Annual </w:t>
      </w:r>
      <w:r>
        <w:rPr>
          <w:sz w:val="20"/>
          <w:szCs w:val="20"/>
        </w:rPr>
        <w:t xml:space="preserve">Base Gas Usage - </w:t>
      </w:r>
      <w:r w:rsidRPr="00B82F6B">
        <w:rPr>
          <w:sz w:val="20"/>
          <w:szCs w:val="20"/>
        </w:rPr>
        <w:t>Annual Energy</w:t>
      </w:r>
      <w:r>
        <w:rPr>
          <w:sz w:val="20"/>
          <w:szCs w:val="20"/>
        </w:rPr>
        <w:t>-</w:t>
      </w:r>
      <w:r w:rsidRPr="00B82F6B">
        <w:rPr>
          <w:sz w:val="20"/>
          <w:szCs w:val="20"/>
        </w:rPr>
        <w:t>Efficient Gas Usage</w:t>
      </w:r>
    </w:p>
    <w:p w:rsidR="009D148C" w:rsidRDefault="009D148C" w:rsidP="00CF6760">
      <w:pPr>
        <w:rPr>
          <w:sz w:val="20"/>
          <w:szCs w:val="20"/>
        </w:rPr>
      </w:pPr>
    </w:p>
    <w:p w:rsidR="009B211E" w:rsidRDefault="009B211E" w:rsidP="00CF6760">
      <w:pPr>
        <w:rPr>
          <w:sz w:val="20"/>
          <w:szCs w:val="20"/>
        </w:rPr>
      </w:pPr>
    </w:p>
    <w:p w:rsidR="009B211E" w:rsidRDefault="009B211E" w:rsidP="00CF6760">
      <w:pPr>
        <w:rPr>
          <w:sz w:val="20"/>
          <w:szCs w:val="20"/>
        </w:rPr>
      </w:pPr>
    </w:p>
    <w:p w:rsidR="009B211E" w:rsidRDefault="009B211E" w:rsidP="00CF6760">
      <w:pPr>
        <w:rPr>
          <w:sz w:val="20"/>
          <w:szCs w:val="20"/>
        </w:rPr>
      </w:pPr>
    </w:p>
    <w:p w:rsidR="009B211E" w:rsidRDefault="009B211E" w:rsidP="00CF6760">
      <w:pPr>
        <w:rPr>
          <w:sz w:val="20"/>
          <w:szCs w:val="20"/>
        </w:rPr>
      </w:pPr>
    </w:p>
    <w:p w:rsidR="009B211E" w:rsidRPr="00CF6760" w:rsidRDefault="009B211E" w:rsidP="00CF6760">
      <w:pPr>
        <w:rPr>
          <w:sz w:val="20"/>
          <w:szCs w:val="20"/>
        </w:rPr>
      </w:pPr>
    </w:p>
    <w:p w:rsidR="009D148C" w:rsidRPr="00E4074A" w:rsidRDefault="009D148C" w:rsidP="00E4074A">
      <w:pPr>
        <w:pStyle w:val="Heading1"/>
      </w:pPr>
      <w:bookmarkStart w:id="40" w:name="_Toc333929870"/>
      <w:proofErr w:type="gramStart"/>
      <w:r w:rsidRPr="00E4074A">
        <w:t>Section 3.</w:t>
      </w:r>
      <w:proofErr w:type="gramEnd"/>
      <w:r w:rsidRPr="00E4074A">
        <w:t xml:space="preserve"> Load Shapes</w:t>
      </w:r>
      <w:bookmarkEnd w:id="40"/>
      <w:r w:rsidRPr="00E4074A">
        <w:t xml:space="preserve"> </w:t>
      </w:r>
    </w:p>
    <w:p w:rsidR="009D148C" w:rsidRPr="00E4074A" w:rsidRDefault="009D148C" w:rsidP="00E4074A">
      <w:pPr>
        <w:pStyle w:val="Heading2"/>
      </w:pPr>
      <w:bookmarkStart w:id="41" w:name="_Toc173742996"/>
      <w:bookmarkStart w:id="42" w:name="_Toc333929871"/>
      <w:r w:rsidRPr="00E4074A">
        <w:t>3.1 Base Case Load Shapes</w:t>
      </w:r>
      <w:bookmarkEnd w:id="41"/>
      <w:bookmarkEnd w:id="42"/>
    </w:p>
    <w:bookmarkStart w:id="43" w:name="_Toc173742997"/>
    <w:p w:rsidR="009D148C" w:rsidRDefault="009D148C" w:rsidP="00AC70A2">
      <w:pPr>
        <w:rPr>
          <w:sz w:val="20"/>
          <w:szCs w:val="20"/>
        </w:rPr>
      </w:pPr>
      <w:r>
        <w:rPr>
          <w:sz w:val="20"/>
          <w:szCs w:val="20"/>
        </w:rPr>
        <w:fldChar w:fldCharType="begin"/>
      </w:r>
      <w:proofErr w:type="spellStart"/>
      <w:proofErr w:type="gramStart"/>
      <w:r w:rsidRPr="007A4D97">
        <w:rPr>
          <w:sz w:val="20"/>
          <w:szCs w:val="20"/>
        </w:rPr>
        <w:instrText>xe</w:instrText>
      </w:r>
      <w:proofErr w:type="spellEnd"/>
      <w:proofErr w:type="gramEnd"/>
      <w:r w:rsidRPr="007A4D97">
        <w:rPr>
          <w:sz w:val="20"/>
          <w:szCs w:val="20"/>
        </w:rPr>
        <w:instrText xml:space="preserve"> "load shape"</w:instrText>
      </w:r>
      <w:r>
        <w:rPr>
          <w:sz w:val="20"/>
          <w:szCs w:val="20"/>
        </w:rPr>
        <w:fldChar w:fldCharType="end"/>
      </w:r>
      <w:r>
        <w:rPr>
          <w:sz w:val="20"/>
          <w:szCs w:val="20"/>
        </w:rPr>
        <w:t>The</w:t>
      </w:r>
      <w:r w:rsidRPr="007A4D97">
        <w:rPr>
          <w:sz w:val="20"/>
          <w:szCs w:val="20"/>
        </w:rPr>
        <w:t xml:space="preserve"> load shape chosen for this measure is the </w:t>
      </w:r>
      <w:proofErr w:type="spellStart"/>
      <w:r>
        <w:rPr>
          <w:sz w:val="20"/>
          <w:szCs w:val="20"/>
        </w:rPr>
        <w:t>HVAC_Split-Package_AC</w:t>
      </w:r>
      <w:proofErr w:type="spellEnd"/>
      <w:r>
        <w:rPr>
          <w:sz w:val="20"/>
          <w:szCs w:val="20"/>
        </w:rPr>
        <w:t xml:space="preserve"> from DEER2011</w:t>
      </w:r>
      <w:r>
        <w:rPr>
          <w:sz w:val="20"/>
          <w:szCs w:val="20"/>
        </w:rPr>
        <w:endnoteReference w:id="11"/>
      </w:r>
      <w:r>
        <w:rPr>
          <w:sz w:val="20"/>
          <w:szCs w:val="20"/>
        </w:rPr>
        <w:t>.</w:t>
      </w:r>
    </w:p>
    <w:p w:rsidR="009D148C" w:rsidRPr="00AC70A2" w:rsidRDefault="009D148C" w:rsidP="00AC70A2">
      <w:pPr>
        <w:rPr>
          <w:sz w:val="20"/>
          <w:szCs w:val="20"/>
        </w:rPr>
      </w:pPr>
    </w:p>
    <w:p w:rsidR="009D148C" w:rsidRPr="00EB4A5B" w:rsidRDefault="009D148C" w:rsidP="00E04B23">
      <w:pPr>
        <w:pStyle w:val="TableofFigures"/>
        <w:jc w:val="center"/>
        <w:rPr>
          <w:rFonts w:ascii="Arial" w:hAnsi="Arial" w:cs="Arial"/>
        </w:rPr>
      </w:pPr>
      <w:bookmarkStart w:id="44" w:name="_Toc323027340"/>
      <w:r w:rsidRPr="00EB4A5B">
        <w:rPr>
          <w:rFonts w:ascii="Arial" w:hAnsi="Arial" w:cs="Arial"/>
        </w:rPr>
        <w:t xml:space="preserve">Table </w:t>
      </w:r>
      <w:r w:rsidRPr="00EB4A5B">
        <w:rPr>
          <w:rFonts w:ascii="Arial" w:hAnsi="Arial" w:cs="Arial"/>
        </w:rPr>
        <w:fldChar w:fldCharType="begin"/>
      </w:r>
      <w:r w:rsidRPr="00EB4A5B">
        <w:rPr>
          <w:rFonts w:ascii="Arial" w:hAnsi="Arial" w:cs="Arial"/>
        </w:rPr>
        <w:instrText xml:space="preserve"> SEQ Table \* ARABIC </w:instrText>
      </w:r>
      <w:r w:rsidRPr="00EB4A5B">
        <w:rPr>
          <w:rFonts w:ascii="Arial" w:hAnsi="Arial" w:cs="Arial"/>
        </w:rPr>
        <w:fldChar w:fldCharType="separate"/>
      </w:r>
      <w:r w:rsidR="002E4C74">
        <w:rPr>
          <w:rFonts w:ascii="Arial" w:hAnsi="Arial" w:cs="Arial"/>
          <w:noProof/>
        </w:rPr>
        <w:t>11</w:t>
      </w:r>
      <w:r w:rsidRPr="00EB4A5B">
        <w:rPr>
          <w:rFonts w:ascii="Arial" w:hAnsi="Arial" w:cs="Arial"/>
        </w:rPr>
        <w:fldChar w:fldCharType="end"/>
      </w:r>
      <w:r w:rsidRPr="00EB4A5B">
        <w:rPr>
          <w:rFonts w:ascii="Arial" w:hAnsi="Arial" w:cs="Arial"/>
        </w:rPr>
        <w:t xml:space="preserve"> Target Sectors and Load Shapes</w:t>
      </w:r>
      <w:bookmarkEnd w:id="44"/>
    </w:p>
    <w:tbl>
      <w:tblPr>
        <w:tblW w:w="34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2919"/>
      </w:tblGrid>
      <w:tr w:rsidR="009D148C" w:rsidRPr="00AC00AE">
        <w:trPr>
          <w:jc w:val="center"/>
        </w:trPr>
        <w:tc>
          <w:tcPr>
            <w:tcW w:w="2792" w:type="pct"/>
            <w:shd w:val="clear" w:color="auto" w:fill="BFBFBF"/>
          </w:tcPr>
          <w:p w:rsidR="009D148C" w:rsidRPr="00AC00AE" w:rsidRDefault="009D148C" w:rsidP="00E04B23">
            <w:pPr>
              <w:jc w:val="center"/>
              <w:rPr>
                <w:b/>
                <w:bCs/>
                <w:sz w:val="20"/>
                <w:szCs w:val="20"/>
                <w:highlight w:val="yellow"/>
              </w:rPr>
            </w:pPr>
            <w:r w:rsidRPr="00AC00AE">
              <w:rPr>
                <w:b/>
                <w:bCs/>
                <w:sz w:val="20"/>
                <w:szCs w:val="20"/>
              </w:rPr>
              <w:t>Building Type</w:t>
            </w:r>
          </w:p>
        </w:tc>
        <w:tc>
          <w:tcPr>
            <w:tcW w:w="2208" w:type="pct"/>
            <w:shd w:val="clear" w:color="auto" w:fill="BFBFBF"/>
          </w:tcPr>
          <w:p w:rsidR="009D148C" w:rsidRPr="00AC00AE" w:rsidRDefault="009D148C" w:rsidP="00E04B23">
            <w:pPr>
              <w:jc w:val="center"/>
              <w:rPr>
                <w:b/>
                <w:bCs/>
                <w:sz w:val="20"/>
                <w:szCs w:val="20"/>
              </w:rPr>
            </w:pPr>
            <w:r w:rsidRPr="00AC00AE">
              <w:rPr>
                <w:b/>
                <w:bCs/>
                <w:sz w:val="20"/>
                <w:szCs w:val="20"/>
              </w:rPr>
              <w:t>Load Shape</w:t>
            </w:r>
          </w:p>
        </w:tc>
      </w:tr>
      <w:tr w:rsidR="009D148C" w:rsidRPr="00AC00AE">
        <w:trPr>
          <w:jc w:val="center"/>
        </w:trPr>
        <w:tc>
          <w:tcPr>
            <w:tcW w:w="2792" w:type="pct"/>
            <w:shd w:val="pct5" w:color="000000" w:fill="FFFFFF"/>
          </w:tcPr>
          <w:p w:rsidR="009D148C" w:rsidRPr="00AC00AE" w:rsidRDefault="009D148C" w:rsidP="00E04B23">
            <w:pPr>
              <w:jc w:val="center"/>
              <w:rPr>
                <w:sz w:val="20"/>
                <w:szCs w:val="20"/>
              </w:rPr>
            </w:pPr>
            <w:r w:rsidRPr="00AC00AE">
              <w:rPr>
                <w:sz w:val="20"/>
                <w:szCs w:val="20"/>
              </w:rPr>
              <w:t>Office - Small</w:t>
            </w:r>
          </w:p>
        </w:tc>
        <w:tc>
          <w:tcPr>
            <w:tcW w:w="2208" w:type="pct"/>
            <w:shd w:val="pct5" w:color="000000" w:fill="FFFFFF"/>
          </w:tcPr>
          <w:p w:rsidR="009D148C" w:rsidRDefault="009D148C" w:rsidP="00E04B23">
            <w:pPr>
              <w:jc w:val="center"/>
            </w:pPr>
            <w:proofErr w:type="spellStart"/>
            <w:r w:rsidRPr="00BA4DF5">
              <w:rPr>
                <w:sz w:val="20"/>
                <w:szCs w:val="20"/>
              </w:rPr>
              <w:t>HVAC_Split-Package_AC</w:t>
            </w:r>
            <w:proofErr w:type="spellEnd"/>
          </w:p>
        </w:tc>
      </w:tr>
      <w:tr w:rsidR="009D148C" w:rsidRPr="00AC00AE">
        <w:trPr>
          <w:jc w:val="center"/>
        </w:trPr>
        <w:tc>
          <w:tcPr>
            <w:tcW w:w="2792" w:type="pct"/>
            <w:shd w:val="pct20" w:color="000000" w:fill="FFFFFF"/>
          </w:tcPr>
          <w:p w:rsidR="009D148C" w:rsidRPr="00AC00AE" w:rsidRDefault="009D148C" w:rsidP="00E04B23">
            <w:pPr>
              <w:jc w:val="center"/>
              <w:rPr>
                <w:sz w:val="20"/>
                <w:szCs w:val="20"/>
              </w:rPr>
            </w:pPr>
            <w:r w:rsidRPr="00AC00AE">
              <w:rPr>
                <w:sz w:val="20"/>
                <w:szCs w:val="20"/>
              </w:rPr>
              <w:t>Office - Large</w:t>
            </w:r>
          </w:p>
        </w:tc>
        <w:tc>
          <w:tcPr>
            <w:tcW w:w="2208" w:type="pct"/>
            <w:shd w:val="pct20" w:color="000000" w:fill="FFFFFF"/>
          </w:tcPr>
          <w:p w:rsidR="009D148C" w:rsidRDefault="009D148C" w:rsidP="00E04B23">
            <w:pPr>
              <w:jc w:val="center"/>
            </w:pPr>
            <w:proofErr w:type="spellStart"/>
            <w:r w:rsidRPr="00BA4DF5">
              <w:rPr>
                <w:sz w:val="20"/>
                <w:szCs w:val="20"/>
              </w:rPr>
              <w:t>HVAC_Split-Package_AC</w:t>
            </w:r>
            <w:proofErr w:type="spellEnd"/>
          </w:p>
        </w:tc>
      </w:tr>
      <w:tr w:rsidR="009D148C" w:rsidRPr="00AC00AE">
        <w:trPr>
          <w:jc w:val="center"/>
        </w:trPr>
        <w:tc>
          <w:tcPr>
            <w:tcW w:w="2792" w:type="pct"/>
            <w:shd w:val="clear" w:color="auto" w:fill="F2F2F2"/>
          </w:tcPr>
          <w:p w:rsidR="009D148C" w:rsidRPr="00AC00AE" w:rsidRDefault="009D148C" w:rsidP="00E04B23">
            <w:pPr>
              <w:jc w:val="center"/>
              <w:rPr>
                <w:sz w:val="20"/>
                <w:szCs w:val="20"/>
              </w:rPr>
            </w:pPr>
            <w:r>
              <w:rPr>
                <w:sz w:val="20"/>
                <w:szCs w:val="20"/>
              </w:rPr>
              <w:t>Education – Secondary School</w:t>
            </w:r>
          </w:p>
        </w:tc>
        <w:tc>
          <w:tcPr>
            <w:tcW w:w="2208" w:type="pct"/>
            <w:shd w:val="clear" w:color="auto" w:fill="F2F2F2"/>
          </w:tcPr>
          <w:p w:rsidR="009D148C" w:rsidRDefault="009D148C" w:rsidP="00E04B23">
            <w:pPr>
              <w:jc w:val="center"/>
            </w:pPr>
            <w:proofErr w:type="spellStart"/>
            <w:r w:rsidRPr="00BA4DF5">
              <w:rPr>
                <w:sz w:val="20"/>
                <w:szCs w:val="20"/>
              </w:rPr>
              <w:t>HVAC_Split-Package_AC</w:t>
            </w:r>
            <w:proofErr w:type="spellEnd"/>
          </w:p>
        </w:tc>
      </w:tr>
    </w:tbl>
    <w:p w:rsidR="009D148C" w:rsidRPr="00AC70A2" w:rsidRDefault="009D148C" w:rsidP="00AC70A2">
      <w:pPr>
        <w:pStyle w:val="Heading2"/>
        <w:keepNext w:val="0"/>
      </w:pPr>
      <w:bookmarkStart w:id="45" w:name="_Toc333929872"/>
      <w:r w:rsidRPr="007A4D97">
        <w:t>3.2 Measure Load Shapes</w:t>
      </w:r>
      <w:bookmarkEnd w:id="43"/>
      <w:bookmarkEnd w:id="45"/>
      <w:r>
        <w:rPr>
          <w:sz w:val="20"/>
          <w:szCs w:val="20"/>
        </w:rPr>
        <w:t xml:space="preserve"> </w:t>
      </w:r>
    </w:p>
    <w:p w:rsidR="009D148C" w:rsidRDefault="009D148C" w:rsidP="003C6DFA">
      <w:pPr>
        <w:rPr>
          <w:sz w:val="20"/>
          <w:szCs w:val="20"/>
        </w:rPr>
      </w:pPr>
      <w:r>
        <w:rPr>
          <w:sz w:val="20"/>
          <w:szCs w:val="20"/>
        </w:rPr>
        <w:t xml:space="preserve">The measure load shape is the same as the base case load shape, </w:t>
      </w:r>
      <w:proofErr w:type="spellStart"/>
      <w:r>
        <w:rPr>
          <w:sz w:val="20"/>
          <w:szCs w:val="20"/>
        </w:rPr>
        <w:t>HVAC_Split-Package_AC</w:t>
      </w:r>
      <w:proofErr w:type="spellEnd"/>
      <w:r>
        <w:rPr>
          <w:sz w:val="20"/>
          <w:szCs w:val="20"/>
        </w:rPr>
        <w:t>.</w:t>
      </w:r>
    </w:p>
    <w:p w:rsidR="009D148C" w:rsidRPr="0064639D" w:rsidRDefault="009D148C" w:rsidP="005700EE">
      <w:pPr>
        <w:pStyle w:val="Heading1"/>
      </w:pPr>
      <w:bookmarkStart w:id="46" w:name="_Toc333929873"/>
      <w:proofErr w:type="gramStart"/>
      <w:r>
        <w:t>Section 4.</w:t>
      </w:r>
      <w:proofErr w:type="gramEnd"/>
      <w:r>
        <w:t xml:space="preserve"> Base Case &amp; Measure Costs</w:t>
      </w:r>
      <w:bookmarkEnd w:id="46"/>
    </w:p>
    <w:p w:rsidR="009D148C" w:rsidRPr="00F55847" w:rsidRDefault="009D148C" w:rsidP="00E4074A">
      <w:pPr>
        <w:pStyle w:val="Heading2"/>
      </w:pPr>
      <w:bookmarkStart w:id="47" w:name="_Toc333929874"/>
      <w:r>
        <w:t>4.1 Base Case(s) Costs</w:t>
      </w:r>
      <w:bookmarkEnd w:id="47"/>
    </w:p>
    <w:p w:rsidR="009D148C" w:rsidRPr="005700EE" w:rsidRDefault="009D148C" w:rsidP="00875698">
      <w:pPr>
        <w:rPr>
          <w:b/>
          <w:bCs/>
          <w:sz w:val="20"/>
          <w:szCs w:val="20"/>
        </w:rPr>
      </w:pPr>
      <w:r w:rsidRPr="005700EE">
        <w:rPr>
          <w:b/>
          <w:bCs/>
          <w:sz w:val="20"/>
          <w:szCs w:val="20"/>
        </w:rPr>
        <w:t>ROB</w:t>
      </w:r>
    </w:p>
    <w:p w:rsidR="009D148C" w:rsidRPr="005700EE" w:rsidRDefault="009D148C" w:rsidP="00875698">
      <w:pPr>
        <w:rPr>
          <w:sz w:val="20"/>
          <w:szCs w:val="20"/>
        </w:rPr>
      </w:pPr>
      <w:r w:rsidRPr="005700EE">
        <w:rPr>
          <w:sz w:val="20"/>
          <w:szCs w:val="20"/>
        </w:rPr>
        <w:t>For this measure categ</w:t>
      </w:r>
      <w:r>
        <w:rPr>
          <w:sz w:val="20"/>
          <w:szCs w:val="20"/>
        </w:rPr>
        <w:t>ory, the base case cost is</w:t>
      </w:r>
      <w:r w:rsidRPr="005700EE">
        <w:rPr>
          <w:sz w:val="20"/>
          <w:szCs w:val="20"/>
        </w:rPr>
        <w:t xml:space="preserve"> used to calculate the incremental measure cost.</w:t>
      </w:r>
    </w:p>
    <w:p w:rsidR="009D148C" w:rsidRPr="005700EE" w:rsidRDefault="009D148C" w:rsidP="00875698">
      <w:pPr>
        <w:rPr>
          <w:b/>
          <w:bCs/>
          <w:sz w:val="20"/>
          <w:szCs w:val="20"/>
        </w:rPr>
      </w:pPr>
    </w:p>
    <w:p w:rsidR="009D148C" w:rsidRPr="005700EE" w:rsidRDefault="009D148C" w:rsidP="00081CA5">
      <w:pPr>
        <w:keepNext/>
        <w:rPr>
          <w:b/>
          <w:bCs/>
          <w:sz w:val="20"/>
          <w:szCs w:val="20"/>
        </w:rPr>
      </w:pPr>
      <w:r w:rsidRPr="005700EE">
        <w:rPr>
          <w:b/>
          <w:bCs/>
          <w:sz w:val="20"/>
          <w:szCs w:val="20"/>
        </w:rPr>
        <w:t>Base Case Cost</w:t>
      </w:r>
    </w:p>
    <w:p w:rsidR="009D148C" w:rsidRPr="00DD1C47" w:rsidRDefault="009D148C" w:rsidP="00774FDC">
      <w:pPr>
        <w:rPr>
          <w:sz w:val="20"/>
          <w:szCs w:val="20"/>
        </w:rPr>
      </w:pPr>
      <w:r w:rsidRPr="005700EE">
        <w:rPr>
          <w:sz w:val="20"/>
          <w:szCs w:val="20"/>
        </w:rPr>
        <w:t>DEER 20</w:t>
      </w:r>
      <w:r>
        <w:rPr>
          <w:sz w:val="20"/>
          <w:szCs w:val="20"/>
        </w:rPr>
        <w:t>11</w:t>
      </w:r>
      <w:r w:rsidRPr="005700EE">
        <w:rPr>
          <w:sz w:val="20"/>
          <w:szCs w:val="20"/>
        </w:rPr>
        <w:t xml:space="preserve"> did not provide any cost information on this type of equipment.  The base case equipment (material) costs were obtained from Energy Solutions by averaging data collected from RS Means</w:t>
      </w:r>
      <w:r w:rsidRPr="00057B32">
        <w:rPr>
          <w:sz w:val="20"/>
          <w:szCs w:val="20"/>
          <w:vertAlign w:val="superscript"/>
        </w:rPr>
        <w:endnoteReference w:id="12"/>
      </w:r>
      <w:r w:rsidRPr="005700EE">
        <w:rPr>
          <w:sz w:val="20"/>
          <w:szCs w:val="20"/>
        </w:rPr>
        <w:t xml:space="preserve"> and interviews with HVAC </w:t>
      </w:r>
      <w:r>
        <w:rPr>
          <w:sz w:val="20"/>
          <w:szCs w:val="20"/>
        </w:rPr>
        <w:t>distributors</w:t>
      </w:r>
      <w:r w:rsidRPr="005700EE">
        <w:rPr>
          <w:sz w:val="20"/>
          <w:szCs w:val="20"/>
        </w:rPr>
        <w:t xml:space="preserve">.  </w:t>
      </w:r>
      <w:r>
        <w:rPr>
          <w:sz w:val="20"/>
          <w:szCs w:val="20"/>
        </w:rPr>
        <w:t>Because this is an upstream measure, labor costs are not included.</w:t>
      </w:r>
      <w:r w:rsidRPr="005700EE">
        <w:rPr>
          <w:sz w:val="20"/>
          <w:szCs w:val="20"/>
        </w:rPr>
        <w:t xml:space="preserve">  </w:t>
      </w:r>
      <w:r>
        <w:rPr>
          <w:sz w:val="20"/>
          <w:szCs w:val="20"/>
        </w:rPr>
        <w:t>The base case costs represent the equipment cost for replacing the old equipment with the same type of equipment. These values are shown in Table 5, along with the referenced replacement equipment.</w:t>
      </w:r>
    </w:p>
    <w:p w:rsidR="009D148C" w:rsidRPr="005700EE" w:rsidRDefault="009D148C" w:rsidP="00875698">
      <w:pPr>
        <w:rPr>
          <w:sz w:val="20"/>
          <w:szCs w:val="20"/>
        </w:rPr>
      </w:pPr>
    </w:p>
    <w:p w:rsidR="009D148C" w:rsidRPr="00E04B23" w:rsidRDefault="009D148C" w:rsidP="009B211E">
      <w:pPr>
        <w:pStyle w:val="TableofFigures"/>
        <w:keepNext/>
        <w:ind w:left="475" w:hanging="475"/>
        <w:jc w:val="center"/>
        <w:rPr>
          <w:rFonts w:ascii="Arial" w:hAnsi="Arial" w:cs="Arial"/>
        </w:rPr>
      </w:pPr>
      <w:bookmarkStart w:id="48" w:name="_Toc323027341"/>
      <w:r w:rsidRPr="00E04B23">
        <w:rPr>
          <w:rFonts w:ascii="Arial" w:hAnsi="Arial" w:cs="Arial"/>
        </w:rPr>
        <w:lastRenderedPageBreak/>
        <w:t xml:space="preserve">Table </w:t>
      </w:r>
      <w:r w:rsidRPr="00E04B23">
        <w:rPr>
          <w:rFonts w:ascii="Arial" w:hAnsi="Arial" w:cs="Arial"/>
        </w:rPr>
        <w:fldChar w:fldCharType="begin"/>
      </w:r>
      <w:r w:rsidRPr="00E04B23">
        <w:rPr>
          <w:rFonts w:ascii="Arial" w:hAnsi="Arial" w:cs="Arial"/>
        </w:rPr>
        <w:instrText xml:space="preserve"> SEQ Table \* ARABIC </w:instrText>
      </w:r>
      <w:r w:rsidRPr="00E04B23">
        <w:rPr>
          <w:rFonts w:ascii="Arial" w:hAnsi="Arial" w:cs="Arial"/>
        </w:rPr>
        <w:fldChar w:fldCharType="separate"/>
      </w:r>
      <w:r w:rsidR="002E4C74">
        <w:rPr>
          <w:rFonts w:ascii="Arial" w:hAnsi="Arial" w:cs="Arial"/>
          <w:noProof/>
        </w:rPr>
        <w:t>12</w:t>
      </w:r>
      <w:r w:rsidRPr="00E04B23">
        <w:rPr>
          <w:rFonts w:ascii="Arial" w:hAnsi="Arial" w:cs="Arial"/>
        </w:rPr>
        <w:fldChar w:fldCharType="end"/>
      </w:r>
      <w:r w:rsidRPr="00E04B23">
        <w:rPr>
          <w:rFonts w:ascii="Arial" w:hAnsi="Arial" w:cs="Arial"/>
        </w:rPr>
        <w:t xml:space="preserve">  Sample Base Case Costs</w:t>
      </w:r>
      <w:bookmarkEnd w:id="48"/>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9"/>
        <w:gridCol w:w="1353"/>
        <w:gridCol w:w="2634"/>
      </w:tblGrid>
      <w:tr w:rsidR="009D148C" w:rsidRPr="00E04B23">
        <w:trPr>
          <w:trHeight w:val="461"/>
          <w:jc w:val="center"/>
        </w:trPr>
        <w:tc>
          <w:tcPr>
            <w:tcW w:w="3381" w:type="dxa"/>
            <w:shd w:val="clear" w:color="auto" w:fill="BFBFBF"/>
            <w:vAlign w:val="center"/>
          </w:tcPr>
          <w:p w:rsidR="009D148C" w:rsidRPr="00E04B23" w:rsidRDefault="009D148C" w:rsidP="00CB1860">
            <w:pPr>
              <w:keepNext/>
              <w:jc w:val="center"/>
              <w:rPr>
                <w:b/>
                <w:bCs/>
              </w:rPr>
            </w:pPr>
            <w:r w:rsidRPr="00E04B23">
              <w:rPr>
                <w:b/>
                <w:bCs/>
              </w:rPr>
              <w:t>Measure Name (Title 24 Baseline)</w:t>
            </w:r>
          </w:p>
        </w:tc>
        <w:tc>
          <w:tcPr>
            <w:tcW w:w="1350" w:type="dxa"/>
            <w:shd w:val="clear" w:color="auto" w:fill="BFBFBF"/>
            <w:vAlign w:val="center"/>
          </w:tcPr>
          <w:p w:rsidR="009D148C" w:rsidRPr="00E04B23" w:rsidRDefault="009D148C" w:rsidP="00A63073">
            <w:pPr>
              <w:keepNext/>
              <w:jc w:val="center"/>
              <w:rPr>
                <w:b/>
                <w:bCs/>
              </w:rPr>
            </w:pPr>
            <w:r w:rsidRPr="00E04B23">
              <w:rPr>
                <w:b/>
                <w:bCs/>
              </w:rPr>
              <w:t>Base Case Equipment Cost/ton</w:t>
            </w:r>
          </w:p>
        </w:tc>
        <w:tc>
          <w:tcPr>
            <w:tcW w:w="2635" w:type="dxa"/>
            <w:shd w:val="clear" w:color="auto" w:fill="BFBFBF"/>
            <w:vAlign w:val="center"/>
          </w:tcPr>
          <w:p w:rsidR="009D148C" w:rsidRPr="00E04B23" w:rsidRDefault="009D148C" w:rsidP="00CB1860">
            <w:pPr>
              <w:keepNext/>
              <w:jc w:val="center"/>
              <w:rPr>
                <w:b/>
                <w:bCs/>
              </w:rPr>
            </w:pPr>
            <w:r w:rsidRPr="00E04B23">
              <w:rPr>
                <w:b/>
                <w:bCs/>
              </w:rPr>
              <w:t>RS Means 2010 Reference</w:t>
            </w:r>
          </w:p>
        </w:tc>
      </w:tr>
      <w:tr w:rsidR="009D148C" w:rsidRPr="00E04B23">
        <w:trPr>
          <w:trHeight w:val="461"/>
          <w:jc w:val="center"/>
        </w:trPr>
        <w:tc>
          <w:tcPr>
            <w:tcW w:w="3381" w:type="dxa"/>
            <w:shd w:val="clear" w:color="auto" w:fill="F2F2F2"/>
            <w:vAlign w:val="center"/>
          </w:tcPr>
          <w:p w:rsidR="009D148C" w:rsidRPr="00E04B23" w:rsidRDefault="009D148C" w:rsidP="00CB1860">
            <w:pPr>
              <w:keepNext/>
            </w:pPr>
            <w:r w:rsidRPr="00E04B23">
              <w:t>Single-zone Packaged DX Air Conditioner with gas heating</w:t>
            </w:r>
          </w:p>
        </w:tc>
        <w:tc>
          <w:tcPr>
            <w:tcW w:w="1350" w:type="dxa"/>
            <w:shd w:val="clear" w:color="auto" w:fill="F2F2F2"/>
            <w:vAlign w:val="center"/>
          </w:tcPr>
          <w:p w:rsidR="009D148C" w:rsidRPr="00E04B23" w:rsidRDefault="009D148C" w:rsidP="00CB1860">
            <w:pPr>
              <w:keepNext/>
              <w:jc w:val="center"/>
            </w:pPr>
            <w:r w:rsidRPr="00E04B23">
              <w:t>$1,000</w:t>
            </w:r>
          </w:p>
        </w:tc>
        <w:tc>
          <w:tcPr>
            <w:tcW w:w="2635" w:type="dxa"/>
            <w:shd w:val="clear" w:color="auto" w:fill="F2F2F2"/>
            <w:vAlign w:val="center"/>
          </w:tcPr>
          <w:p w:rsidR="009D148C" w:rsidRPr="00E04B23" w:rsidRDefault="009D148C" w:rsidP="00CB1860">
            <w:pPr>
              <w:keepNext/>
              <w:jc w:val="center"/>
            </w:pPr>
            <w:r w:rsidRPr="00E04B23">
              <w:t>23 74 33.10 1140</w:t>
            </w:r>
          </w:p>
          <w:p w:rsidR="009D148C" w:rsidRPr="00E04B23" w:rsidRDefault="009D148C" w:rsidP="00CB1860">
            <w:pPr>
              <w:keepNext/>
              <w:jc w:val="center"/>
            </w:pPr>
            <w:r w:rsidRPr="00E04B23">
              <w:t xml:space="preserve">5 ton cooling, </w:t>
            </w:r>
          </w:p>
          <w:p w:rsidR="009D148C" w:rsidRPr="00E04B23" w:rsidRDefault="009D148C" w:rsidP="00CB1860">
            <w:pPr>
              <w:keepNext/>
              <w:jc w:val="center"/>
            </w:pPr>
            <w:r w:rsidRPr="00E04B23">
              <w:t>112 MBH heating</w:t>
            </w:r>
          </w:p>
        </w:tc>
      </w:tr>
      <w:tr w:rsidR="009D148C" w:rsidRPr="00E04B23">
        <w:trPr>
          <w:trHeight w:val="461"/>
          <w:jc w:val="center"/>
        </w:trPr>
        <w:tc>
          <w:tcPr>
            <w:tcW w:w="3381" w:type="dxa"/>
            <w:shd w:val="clear" w:color="auto" w:fill="D9D9D9"/>
            <w:vAlign w:val="center"/>
          </w:tcPr>
          <w:p w:rsidR="009D148C" w:rsidRPr="00E04B23" w:rsidRDefault="009D148C" w:rsidP="00CB1860">
            <w:pPr>
              <w:keepNext/>
            </w:pPr>
            <w:r w:rsidRPr="00E04B23">
              <w:t>Single-zone Packaged DX Heat Pump</w:t>
            </w:r>
          </w:p>
        </w:tc>
        <w:tc>
          <w:tcPr>
            <w:tcW w:w="1350" w:type="dxa"/>
            <w:shd w:val="clear" w:color="auto" w:fill="D9D9D9"/>
            <w:vAlign w:val="center"/>
          </w:tcPr>
          <w:p w:rsidR="009D148C" w:rsidRPr="00E04B23" w:rsidRDefault="009D148C" w:rsidP="00CB1860">
            <w:pPr>
              <w:keepNext/>
              <w:jc w:val="center"/>
            </w:pPr>
            <w:r w:rsidRPr="00E04B23">
              <w:t>$1,000</w:t>
            </w:r>
          </w:p>
        </w:tc>
        <w:tc>
          <w:tcPr>
            <w:tcW w:w="2635" w:type="dxa"/>
            <w:shd w:val="clear" w:color="auto" w:fill="D9D9D9"/>
            <w:vAlign w:val="center"/>
          </w:tcPr>
          <w:p w:rsidR="009D148C" w:rsidRPr="00E04B23" w:rsidRDefault="009D148C" w:rsidP="00CB1860">
            <w:pPr>
              <w:keepNext/>
              <w:jc w:val="center"/>
            </w:pPr>
            <w:r w:rsidRPr="00E04B23">
              <w:t>23 74 33.10 1310</w:t>
            </w:r>
          </w:p>
          <w:p w:rsidR="009D148C" w:rsidRPr="00E04B23" w:rsidRDefault="009D148C" w:rsidP="00CB1860">
            <w:pPr>
              <w:keepNext/>
              <w:jc w:val="center"/>
            </w:pPr>
            <w:r w:rsidRPr="00E04B23">
              <w:t xml:space="preserve">Electric cool, electric heat </w:t>
            </w:r>
          </w:p>
          <w:p w:rsidR="009D148C" w:rsidRPr="00E04B23" w:rsidRDefault="009D148C" w:rsidP="00CB1860">
            <w:pPr>
              <w:keepNext/>
              <w:jc w:val="center"/>
            </w:pPr>
            <w:r w:rsidRPr="00E04B23">
              <w:t>5 ton</w:t>
            </w:r>
          </w:p>
        </w:tc>
      </w:tr>
      <w:tr w:rsidR="009D148C" w:rsidRPr="00E04B23">
        <w:trPr>
          <w:trHeight w:val="461"/>
          <w:jc w:val="center"/>
        </w:trPr>
        <w:tc>
          <w:tcPr>
            <w:tcW w:w="3381" w:type="dxa"/>
            <w:shd w:val="clear" w:color="auto" w:fill="F2F2F2"/>
            <w:vAlign w:val="center"/>
          </w:tcPr>
          <w:p w:rsidR="009D148C" w:rsidRPr="00E04B23" w:rsidRDefault="009D148C" w:rsidP="00ED6DB9">
            <w:r w:rsidRPr="00E04B23">
              <w:t>Multi-zone Packaged DX VAV Air Conditioner with gas boiler and reheat</w:t>
            </w:r>
          </w:p>
        </w:tc>
        <w:tc>
          <w:tcPr>
            <w:tcW w:w="1350" w:type="dxa"/>
            <w:shd w:val="clear" w:color="auto" w:fill="F2F2F2"/>
            <w:vAlign w:val="center"/>
          </w:tcPr>
          <w:p w:rsidR="009D148C" w:rsidRPr="00E04B23" w:rsidRDefault="009D148C" w:rsidP="00972287">
            <w:pPr>
              <w:jc w:val="center"/>
            </w:pPr>
            <w:r w:rsidRPr="00E04B23">
              <w:t>$1,400</w:t>
            </w:r>
          </w:p>
        </w:tc>
        <w:tc>
          <w:tcPr>
            <w:tcW w:w="2635" w:type="dxa"/>
            <w:shd w:val="clear" w:color="auto" w:fill="F2F2F2"/>
            <w:vAlign w:val="center"/>
          </w:tcPr>
          <w:p w:rsidR="009D148C" w:rsidRPr="00E04B23" w:rsidRDefault="009D148C" w:rsidP="00972287">
            <w:pPr>
              <w:jc w:val="center"/>
            </w:pPr>
            <w:r w:rsidRPr="00E04B23">
              <w:t>23 74 33.10 7130</w:t>
            </w:r>
          </w:p>
          <w:p w:rsidR="009D148C" w:rsidRPr="00E04B23" w:rsidRDefault="009D148C" w:rsidP="00972287">
            <w:pPr>
              <w:jc w:val="center"/>
            </w:pPr>
            <w:proofErr w:type="spellStart"/>
            <w:r w:rsidRPr="00E04B23">
              <w:t>Multizone</w:t>
            </w:r>
            <w:proofErr w:type="spellEnd"/>
            <w:r w:rsidRPr="00E04B23">
              <w:t xml:space="preserve">, cool/heat, </w:t>
            </w:r>
          </w:p>
          <w:p w:rsidR="009D148C" w:rsidRPr="00E04B23" w:rsidRDefault="009D148C" w:rsidP="00972287">
            <w:pPr>
              <w:jc w:val="center"/>
              <w:rPr>
                <w:highlight w:val="yellow"/>
              </w:rPr>
            </w:pPr>
            <w:r w:rsidRPr="00E04B23">
              <w:t>VAV distribution, 105 ton cooling</w:t>
            </w:r>
          </w:p>
        </w:tc>
      </w:tr>
    </w:tbl>
    <w:p w:rsidR="009D148C" w:rsidRDefault="009D148C" w:rsidP="00AB2D9E">
      <w:pPr>
        <w:rPr>
          <w:sz w:val="20"/>
          <w:szCs w:val="20"/>
        </w:rPr>
      </w:pPr>
    </w:p>
    <w:p w:rsidR="009D148C" w:rsidRPr="00DD1C47" w:rsidRDefault="009D148C" w:rsidP="00AB2D9E">
      <w:pPr>
        <w:rPr>
          <w:sz w:val="20"/>
          <w:szCs w:val="20"/>
        </w:rPr>
      </w:pPr>
    </w:p>
    <w:p w:rsidR="009D148C" w:rsidRPr="00E506F8" w:rsidRDefault="009D148C" w:rsidP="00E506F8">
      <w:pPr>
        <w:pStyle w:val="Heading2"/>
      </w:pPr>
      <w:bookmarkStart w:id="49" w:name="_Toc333929875"/>
      <w:r w:rsidRPr="00E506F8">
        <w:t>4.</w:t>
      </w:r>
      <w:r>
        <w:t>2</w:t>
      </w:r>
      <w:r w:rsidRPr="00E506F8">
        <w:t xml:space="preserve"> Incremental &amp; Full Measure Costs</w:t>
      </w:r>
      <w:bookmarkEnd w:id="49"/>
    </w:p>
    <w:p w:rsidR="009D148C" w:rsidRPr="009958A9" w:rsidRDefault="009D148C" w:rsidP="009958A9">
      <w:pPr>
        <w:pStyle w:val="Heading3"/>
      </w:pPr>
      <w:bookmarkStart w:id="50" w:name="_Toc333929876"/>
      <w:r w:rsidRPr="009958A9">
        <w:t xml:space="preserve">4.2.1 </w:t>
      </w:r>
      <w:r>
        <w:t>Full</w:t>
      </w:r>
      <w:r w:rsidRPr="009958A9">
        <w:t xml:space="preserve"> (or </w:t>
      </w:r>
      <w:r>
        <w:t>Gross</w:t>
      </w:r>
      <w:r w:rsidRPr="009958A9">
        <w:t>) Measure Cost</w:t>
      </w:r>
      <w:bookmarkEnd w:id="50"/>
    </w:p>
    <w:p w:rsidR="009D148C" w:rsidRPr="003F57BD" w:rsidRDefault="009D148C" w:rsidP="003F57BD">
      <w:pPr>
        <w:rPr>
          <w:sz w:val="20"/>
          <w:szCs w:val="20"/>
        </w:rPr>
      </w:pPr>
      <w:r>
        <w:rPr>
          <w:sz w:val="20"/>
          <w:szCs w:val="20"/>
        </w:rPr>
        <w:t>Gross measure cost</w:t>
      </w:r>
      <w:r w:rsidRPr="003F57BD">
        <w:rPr>
          <w:sz w:val="20"/>
          <w:szCs w:val="20"/>
        </w:rPr>
        <w:t xml:space="preserve"> is the cost to install an energy efficient measure per the </w:t>
      </w:r>
      <w:r>
        <w:rPr>
          <w:sz w:val="20"/>
          <w:szCs w:val="20"/>
        </w:rPr>
        <w:t xml:space="preserve">CPUC calculators. </w:t>
      </w:r>
      <w:r w:rsidRPr="003F57BD">
        <w:rPr>
          <w:sz w:val="20"/>
          <w:szCs w:val="20"/>
        </w:rPr>
        <w:t xml:space="preserve">This definition implies </w:t>
      </w:r>
      <w:r>
        <w:rPr>
          <w:sz w:val="20"/>
          <w:szCs w:val="20"/>
        </w:rPr>
        <w:t>a</w:t>
      </w:r>
      <w:r w:rsidRPr="003F57BD">
        <w:rPr>
          <w:sz w:val="20"/>
          <w:szCs w:val="20"/>
        </w:rPr>
        <w:t xml:space="preserve"> different meaning depending on the install type.  </w:t>
      </w:r>
      <w:r>
        <w:rPr>
          <w:sz w:val="20"/>
          <w:szCs w:val="20"/>
        </w:rPr>
        <w:t>This measure falls under the ROB category, so labor would be required regardless of the type of equipment installed.</w:t>
      </w:r>
    </w:p>
    <w:p w:rsidR="009D148C" w:rsidRPr="009958A9" w:rsidRDefault="009D148C" w:rsidP="009958A9">
      <w:pPr>
        <w:pStyle w:val="Heading3"/>
      </w:pPr>
      <w:bookmarkStart w:id="51" w:name="_Toc333929877"/>
      <w:r>
        <w:t xml:space="preserve">4.2.2 </w:t>
      </w:r>
      <w:r w:rsidRPr="009958A9">
        <w:t>Incremental Measure Costs</w:t>
      </w:r>
      <w:bookmarkEnd w:id="51"/>
    </w:p>
    <w:p w:rsidR="009D148C" w:rsidRDefault="009D148C" w:rsidP="00EE32F4">
      <w:pPr>
        <w:rPr>
          <w:sz w:val="20"/>
          <w:szCs w:val="20"/>
        </w:rPr>
      </w:pPr>
      <w:r w:rsidRPr="00ED3B31">
        <w:rPr>
          <w:sz w:val="20"/>
          <w:szCs w:val="20"/>
        </w:rPr>
        <w:t>Incremental Measure Cost is the premium cost to install an energy</w:t>
      </w:r>
      <w:r>
        <w:rPr>
          <w:sz w:val="20"/>
          <w:szCs w:val="20"/>
        </w:rPr>
        <w:t>-</w:t>
      </w:r>
      <w:r w:rsidRPr="00ED3B31">
        <w:rPr>
          <w:sz w:val="20"/>
          <w:szCs w:val="20"/>
        </w:rPr>
        <w:t xml:space="preserve">efficient measure over </w:t>
      </w:r>
      <w:r>
        <w:rPr>
          <w:sz w:val="20"/>
          <w:szCs w:val="20"/>
        </w:rPr>
        <w:t xml:space="preserve">the cost of installing </w:t>
      </w:r>
      <w:r w:rsidRPr="00ED3B31">
        <w:rPr>
          <w:sz w:val="20"/>
          <w:szCs w:val="20"/>
        </w:rPr>
        <w:t>a standard measure or code baseline measure.  While IMC has a straightforward definition depending on the install</w:t>
      </w:r>
      <w:r>
        <w:rPr>
          <w:sz w:val="20"/>
          <w:szCs w:val="20"/>
        </w:rPr>
        <w:t xml:space="preserve"> type, the equation does vary. </w:t>
      </w:r>
    </w:p>
    <w:p w:rsidR="009D148C" w:rsidRDefault="009D148C" w:rsidP="00EE32F4">
      <w:pPr>
        <w:rPr>
          <w:sz w:val="20"/>
          <w:szCs w:val="20"/>
        </w:rPr>
      </w:pPr>
    </w:p>
    <w:p w:rsidR="009D148C" w:rsidRPr="00EE32F4" w:rsidRDefault="009D148C" w:rsidP="00EE32F4">
      <w:pPr>
        <w:rPr>
          <w:sz w:val="20"/>
          <w:szCs w:val="20"/>
        </w:rPr>
      </w:pPr>
      <w:r w:rsidRPr="00EE32F4">
        <w:rPr>
          <w:sz w:val="20"/>
          <w:szCs w:val="20"/>
        </w:rPr>
        <w:t>This measure transaction type is ROB. The Incremental Measure Cost (IMC) for ROB is represented by the equation below</w:t>
      </w:r>
      <w:r w:rsidRPr="00EE32F4">
        <w:rPr>
          <w:i/>
          <w:iCs/>
          <w:sz w:val="20"/>
          <w:szCs w:val="20"/>
          <w:vertAlign w:val="superscript"/>
        </w:rPr>
        <w:footnoteReference w:id="2"/>
      </w:r>
      <w:r w:rsidRPr="00EE32F4">
        <w:rPr>
          <w:sz w:val="20"/>
          <w:szCs w:val="20"/>
        </w:rPr>
        <w:t>:</w:t>
      </w:r>
    </w:p>
    <w:p w:rsidR="009D148C" w:rsidRPr="00605B68" w:rsidRDefault="009D148C" w:rsidP="00ED3B31"/>
    <w:p w:rsidR="009D148C" w:rsidRPr="00605B68" w:rsidRDefault="009D148C" w:rsidP="00ED3B31">
      <w:pPr>
        <w:ind w:firstLine="720"/>
        <w:rPr>
          <w:sz w:val="20"/>
          <w:szCs w:val="20"/>
        </w:rPr>
      </w:pPr>
      <w:r w:rsidRPr="00605B68">
        <w:rPr>
          <w:sz w:val="20"/>
          <w:szCs w:val="20"/>
        </w:rPr>
        <w:t>IMC = (Measure Equipment Cost + Measure Labor Cost) –</w:t>
      </w:r>
    </w:p>
    <w:p w:rsidR="009D148C" w:rsidRPr="00605B68" w:rsidRDefault="009D148C" w:rsidP="00ED3B31">
      <w:pPr>
        <w:ind w:left="720" w:firstLine="720"/>
        <w:rPr>
          <w:sz w:val="20"/>
          <w:szCs w:val="20"/>
        </w:rPr>
      </w:pPr>
      <w:r w:rsidRPr="00605B68">
        <w:rPr>
          <w:sz w:val="20"/>
          <w:szCs w:val="20"/>
        </w:rPr>
        <w:t xml:space="preserve">    (Base Case Equipment Cost + Base Case Labor Cost)</w:t>
      </w:r>
    </w:p>
    <w:p w:rsidR="009D148C" w:rsidRDefault="009D148C" w:rsidP="00E506F8">
      <w:pPr>
        <w:rPr>
          <w:i/>
          <w:iCs/>
          <w:sz w:val="20"/>
          <w:szCs w:val="20"/>
        </w:rPr>
      </w:pPr>
    </w:p>
    <w:p w:rsidR="009D148C" w:rsidRDefault="009D148C" w:rsidP="00C24013">
      <w:pPr>
        <w:rPr>
          <w:sz w:val="20"/>
          <w:szCs w:val="20"/>
        </w:rPr>
      </w:pPr>
      <w:r>
        <w:rPr>
          <w:sz w:val="20"/>
          <w:szCs w:val="20"/>
        </w:rPr>
        <w:t>For this measure, the labor costs are assumed to be the same for the base and the measure cases, so they would cancel out of the above equation. However b</w:t>
      </w:r>
      <w:r w:rsidRPr="00C24013">
        <w:rPr>
          <w:sz w:val="20"/>
          <w:szCs w:val="20"/>
        </w:rPr>
        <w:t>ecause this is an Upstream program, the labor costs are not included in the IMC</w:t>
      </w:r>
      <w:r>
        <w:rPr>
          <w:sz w:val="20"/>
          <w:szCs w:val="20"/>
        </w:rPr>
        <w:t xml:space="preserve"> anyway</w:t>
      </w:r>
      <w:r w:rsidRPr="00C24013">
        <w:rPr>
          <w:sz w:val="20"/>
          <w:szCs w:val="20"/>
        </w:rPr>
        <w:t>.</w:t>
      </w:r>
      <w:r>
        <w:rPr>
          <w:sz w:val="20"/>
          <w:szCs w:val="20"/>
        </w:rPr>
        <w:t xml:space="preserve"> For either one of these reasons, the above equation becomes:</w:t>
      </w:r>
    </w:p>
    <w:p w:rsidR="009D148C" w:rsidRDefault="009D148C" w:rsidP="00C24013">
      <w:pPr>
        <w:rPr>
          <w:sz w:val="20"/>
          <w:szCs w:val="20"/>
        </w:rPr>
      </w:pPr>
    </w:p>
    <w:p w:rsidR="009D148C" w:rsidRPr="00605B68" w:rsidRDefault="009D148C" w:rsidP="00756E21">
      <w:pPr>
        <w:ind w:firstLine="720"/>
        <w:rPr>
          <w:sz w:val="20"/>
          <w:szCs w:val="20"/>
        </w:rPr>
      </w:pPr>
      <w:r w:rsidRPr="00605B68">
        <w:rPr>
          <w:sz w:val="20"/>
          <w:szCs w:val="20"/>
        </w:rPr>
        <w:t>IMC = (Measure Equipment Cost) – (Base Case Equipment Cost)</w:t>
      </w:r>
    </w:p>
    <w:p w:rsidR="009D148C" w:rsidRDefault="009D148C" w:rsidP="00C24013">
      <w:pPr>
        <w:rPr>
          <w:sz w:val="20"/>
          <w:szCs w:val="20"/>
        </w:rPr>
      </w:pPr>
    </w:p>
    <w:p w:rsidR="009D148C" w:rsidRDefault="009D148C" w:rsidP="00C24013">
      <w:pPr>
        <w:rPr>
          <w:sz w:val="20"/>
          <w:szCs w:val="20"/>
        </w:rPr>
      </w:pPr>
    </w:p>
    <w:p w:rsidR="009D148C" w:rsidRDefault="009D148C" w:rsidP="00C24013">
      <w:pPr>
        <w:rPr>
          <w:sz w:val="20"/>
          <w:szCs w:val="20"/>
        </w:rPr>
      </w:pPr>
      <w:r>
        <w:rPr>
          <w:sz w:val="20"/>
          <w:szCs w:val="20"/>
        </w:rPr>
        <w:t>The incremental cost is included in the Appendix. A more detailed description of measure cost considerations is given in “Measure Cost rev5 PGE slb4 111111.doc,”</w:t>
      </w:r>
      <w:r w:rsidR="001A4E49">
        <w:rPr>
          <w:rStyle w:val="EndnoteReference"/>
          <w:sz w:val="20"/>
          <w:szCs w:val="20"/>
        </w:rPr>
        <w:endnoteReference w:id="13"/>
      </w:r>
      <w:r>
        <w:rPr>
          <w:sz w:val="20"/>
          <w:szCs w:val="20"/>
        </w:rPr>
        <w:t xml:space="preserve"> </w:t>
      </w:r>
      <w:r w:rsidR="001A4E49">
        <w:rPr>
          <w:sz w:val="20"/>
          <w:szCs w:val="20"/>
        </w:rPr>
        <w:t>in accompanying documents</w:t>
      </w:r>
      <w:r>
        <w:rPr>
          <w:sz w:val="20"/>
          <w:szCs w:val="20"/>
        </w:rPr>
        <w:t>.</w:t>
      </w:r>
    </w:p>
    <w:p w:rsidR="009B211E" w:rsidRDefault="009B211E">
      <w:bookmarkStart w:id="52" w:name="_MON_1395062741"/>
      <w:bookmarkStart w:id="53" w:name="_MON_1382719630"/>
      <w:bookmarkStart w:id="54" w:name="_MON_1382719778"/>
      <w:bookmarkStart w:id="55" w:name="_MON_1395227694"/>
      <w:bookmarkEnd w:id="52"/>
      <w:bookmarkEnd w:id="53"/>
      <w:bookmarkEnd w:id="54"/>
      <w:bookmarkEnd w:id="55"/>
      <w:r>
        <w:br w:type="page"/>
      </w:r>
    </w:p>
    <w:p w:rsidR="009D148C" w:rsidRDefault="009D148C" w:rsidP="002F5F82">
      <w:pPr>
        <w:rPr>
          <w:rStyle w:val="Heading1Char"/>
        </w:rPr>
      </w:pPr>
      <w:bookmarkStart w:id="56" w:name="_Toc333929878"/>
      <w:r w:rsidRPr="00EA1529">
        <w:rPr>
          <w:rStyle w:val="Heading1Char"/>
        </w:rPr>
        <w:lastRenderedPageBreak/>
        <w:t>References</w:t>
      </w:r>
      <w:bookmarkEnd w:id="56"/>
    </w:p>
    <w:p w:rsidR="009A323C" w:rsidRPr="009A323C" w:rsidRDefault="009A323C" w:rsidP="002F5F82">
      <w:pPr>
        <w:rPr>
          <w:rStyle w:val="Heading1Char"/>
          <w:b w:val="0"/>
          <w:sz w:val="22"/>
          <w:szCs w:val="22"/>
        </w:rPr>
      </w:pPr>
      <w:bookmarkStart w:id="57" w:name="_Toc333929879"/>
      <w:r w:rsidRPr="009A323C">
        <w:rPr>
          <w:rStyle w:val="Heading1Char"/>
          <w:b w:val="0"/>
          <w:sz w:val="22"/>
          <w:szCs w:val="22"/>
        </w:rPr>
        <w:t>Measure</w:t>
      </w:r>
      <w:r>
        <w:rPr>
          <w:rStyle w:val="Heading1Char"/>
          <w:b w:val="0"/>
          <w:sz w:val="22"/>
          <w:szCs w:val="22"/>
        </w:rPr>
        <w:t xml:space="preserve"> savings are found in the accompanying spreadsheet </w:t>
      </w:r>
      <w:r w:rsidRPr="009A323C">
        <w:rPr>
          <w:rStyle w:val="Heading1Char"/>
          <w:b w:val="0"/>
          <w:sz w:val="22"/>
          <w:szCs w:val="22"/>
        </w:rPr>
        <w:t xml:space="preserve">HVC142 VRF </w:t>
      </w:r>
      <w:proofErr w:type="spellStart"/>
      <w:r w:rsidRPr="009A323C">
        <w:rPr>
          <w:rStyle w:val="Heading1Char"/>
          <w:b w:val="0"/>
          <w:sz w:val="22"/>
          <w:szCs w:val="22"/>
        </w:rPr>
        <w:t>Nonres_At</w:t>
      </w:r>
      <w:proofErr w:type="spellEnd"/>
      <w:r w:rsidRPr="009A323C">
        <w:rPr>
          <w:rStyle w:val="Heading1Char"/>
          <w:b w:val="0"/>
          <w:sz w:val="22"/>
          <w:szCs w:val="22"/>
        </w:rPr>
        <w:t>-A-Glance Template_v0 1REV08-23.xlsx</w:t>
      </w:r>
      <w:r>
        <w:rPr>
          <w:rStyle w:val="Heading1Char"/>
          <w:b w:val="0"/>
          <w:sz w:val="22"/>
          <w:szCs w:val="22"/>
        </w:rPr>
        <w:t>.</w:t>
      </w:r>
      <w:bookmarkEnd w:id="57"/>
    </w:p>
    <w:sectPr w:rsidR="009A323C" w:rsidRPr="009A323C" w:rsidSect="009B211E">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F86" w:rsidRDefault="00C27F86">
      <w:r>
        <w:separator/>
      </w:r>
    </w:p>
  </w:endnote>
  <w:endnote w:type="continuationSeparator" w:id="0">
    <w:p w:rsidR="00C27F86" w:rsidRDefault="00C27F86">
      <w:r>
        <w:continuationSeparator/>
      </w:r>
    </w:p>
  </w:endnote>
  <w:endnote w:id="1">
    <w:p w:rsidR="00751C93" w:rsidRPr="009A323C" w:rsidRDefault="00751C93" w:rsidP="00EA1529">
      <w:pPr>
        <w:ind w:left="144" w:hanging="144"/>
      </w:pPr>
      <w:r w:rsidRPr="009A323C">
        <w:endnoteRef/>
      </w:r>
      <w:r w:rsidRPr="009A323C">
        <w:t xml:space="preserve"> EUL_Summary_10-1-08.xls, downloaded from </w:t>
      </w:r>
      <w:hyperlink r:id="rId1" w:history="1">
        <w:r w:rsidRPr="009A323C">
          <w:t>www.deeresources.com</w:t>
        </w:r>
      </w:hyperlink>
      <w:r w:rsidRPr="009A323C">
        <w:t xml:space="preserve"> 3/19/2012.</w:t>
      </w:r>
    </w:p>
  </w:endnote>
  <w:endnote w:id="2">
    <w:p w:rsidR="00751C93" w:rsidRPr="009A323C" w:rsidRDefault="00751C93" w:rsidP="00EA1529">
      <w:pPr>
        <w:ind w:left="144" w:hanging="144"/>
      </w:pPr>
      <w:r w:rsidRPr="009A323C">
        <w:endnoteRef/>
      </w:r>
      <w:r w:rsidRPr="009A323C">
        <w:t xml:space="preserve"> DEER 2011-NTG_IncludingCarryoversFromDEER2008_2011-12-07.xls, found on Deeresources.com</w:t>
      </w:r>
    </w:p>
  </w:endnote>
  <w:endnote w:id="3">
    <w:p w:rsidR="00751C93" w:rsidRPr="009A323C" w:rsidRDefault="00751C93" w:rsidP="00EA1529">
      <w:pPr>
        <w:autoSpaceDE w:val="0"/>
        <w:autoSpaceDN w:val="0"/>
        <w:adjustRightInd w:val="0"/>
        <w:ind w:left="144" w:hanging="144"/>
      </w:pPr>
      <w:r w:rsidRPr="009A323C">
        <w:endnoteRef/>
      </w:r>
      <w:r w:rsidRPr="009A323C">
        <w:t xml:space="preserve"> California Energy Commission, </w:t>
      </w:r>
      <w:r w:rsidRPr="009A323C">
        <w:rPr>
          <w:u w:val="single"/>
        </w:rPr>
        <w:t>California Code of Regulations,</w:t>
      </w:r>
      <w:r w:rsidRPr="009A323C">
        <w:t xml:space="preserve"> Title 20. Public Utilities and Energy, CEC-140-2008-001-REV1, August 2008.</w:t>
      </w:r>
    </w:p>
  </w:endnote>
  <w:endnote w:id="4">
    <w:p w:rsidR="00751C93" w:rsidRPr="009A323C" w:rsidRDefault="00751C93" w:rsidP="00EA1529">
      <w:pPr>
        <w:ind w:left="144" w:hanging="144"/>
      </w:pPr>
      <w:r w:rsidRPr="009A323C">
        <w:endnoteRef/>
      </w:r>
      <w:r w:rsidRPr="009A323C">
        <w:t xml:space="preserve"> California Energy Commission, </w:t>
      </w:r>
      <w:r w:rsidRPr="009A323C">
        <w:rPr>
          <w:u w:val="single"/>
        </w:rPr>
        <w:t>2008 California Building Energy Efficiency Standards</w:t>
      </w:r>
      <w:r w:rsidRPr="009A323C">
        <w:t xml:space="preserve">, Title 24, adopted April 23, 2008, </w:t>
      </w:r>
      <w:r w:rsidRPr="009A323C">
        <w:rPr>
          <w:u w:val="single"/>
        </w:rPr>
        <w:t>Nonresidential Compliance Manual</w:t>
      </w:r>
      <w:r w:rsidRPr="009A323C">
        <w:t xml:space="preserve"> adopted January 14, 2009.</w:t>
      </w:r>
    </w:p>
  </w:endnote>
  <w:endnote w:id="5">
    <w:p w:rsidR="00751C93" w:rsidRPr="009A323C" w:rsidRDefault="00751C93" w:rsidP="00EA1529">
      <w:pPr>
        <w:ind w:left="144" w:hanging="144"/>
      </w:pPr>
      <w:r w:rsidRPr="009A323C">
        <w:endnoteRef/>
      </w:r>
      <w:r w:rsidRPr="009A323C">
        <w:t xml:space="preserve"> CPUC DEER LightingHVACInteractiveEffects_13Dec2011.xls, downloaded from </w:t>
      </w:r>
      <w:hyperlink r:id="rId2" w:history="1">
        <w:r w:rsidRPr="009A323C">
          <w:t>www.deeresources.com</w:t>
        </w:r>
      </w:hyperlink>
      <w:r w:rsidRPr="009A323C">
        <w:t xml:space="preserve"> on 4/5/2012</w:t>
      </w:r>
    </w:p>
  </w:endnote>
  <w:endnote w:id="6">
    <w:p w:rsidR="00751C93" w:rsidRPr="009A323C" w:rsidRDefault="00751C93" w:rsidP="00EA1529">
      <w:pPr>
        <w:ind w:left="144" w:hanging="144"/>
      </w:pPr>
      <w:r w:rsidRPr="009A323C">
        <w:endnoteRef/>
      </w:r>
      <w:r w:rsidRPr="009A323C">
        <w:t xml:space="preserve"> CPUC DEER EUL_Summary_10-1-08.xls downloaded from </w:t>
      </w:r>
      <w:hyperlink r:id="rId3" w:history="1">
        <w:r w:rsidRPr="009A323C">
          <w:t>www.deeresources.com</w:t>
        </w:r>
      </w:hyperlink>
      <w:r w:rsidRPr="009A323C">
        <w:t xml:space="preserve"> on 2/17/2010.</w:t>
      </w:r>
    </w:p>
  </w:endnote>
  <w:endnote w:id="7">
    <w:p w:rsidR="00751C93" w:rsidRPr="009A323C" w:rsidRDefault="00751C93" w:rsidP="00EA1529">
      <w:pPr>
        <w:ind w:left="144" w:hanging="144"/>
      </w:pPr>
      <w:r w:rsidRPr="009A323C">
        <w:endnoteRef/>
      </w:r>
      <w:r w:rsidRPr="009A323C">
        <w:t xml:space="preserve"> SCE/EPRI Investigation in process</w:t>
      </w:r>
    </w:p>
  </w:endnote>
  <w:endnote w:id="8">
    <w:p w:rsidR="00751C93" w:rsidRPr="009A323C" w:rsidRDefault="00751C93" w:rsidP="00EA1529">
      <w:pPr>
        <w:ind w:left="144" w:hanging="144"/>
      </w:pPr>
      <w:r w:rsidRPr="009A323C">
        <w:endnoteRef/>
      </w:r>
      <w:r w:rsidRPr="009A323C">
        <w:t xml:space="preserve"> Northwest Utilities Investigations in process</w:t>
      </w:r>
    </w:p>
  </w:endnote>
  <w:endnote w:id="9">
    <w:p w:rsidR="00751C93" w:rsidRPr="009A323C" w:rsidRDefault="00751C93" w:rsidP="00EA1529">
      <w:pPr>
        <w:ind w:left="144" w:hanging="144"/>
      </w:pPr>
      <w:r w:rsidRPr="009A323C">
        <w:endnoteRef/>
      </w:r>
      <w:r w:rsidRPr="009A323C">
        <w:t xml:space="preserve"> Jun Furuta, Energy Solutions, January 2012.</w:t>
      </w:r>
    </w:p>
  </w:endnote>
  <w:endnote w:id="10">
    <w:p w:rsidR="00751C93" w:rsidRPr="009A323C" w:rsidRDefault="00751C93" w:rsidP="00EA1529">
      <w:pPr>
        <w:pStyle w:val="CommentText"/>
        <w:ind w:left="144" w:hanging="144"/>
        <w:rPr>
          <w:sz w:val="22"/>
          <w:szCs w:val="22"/>
        </w:rPr>
      </w:pPr>
      <w:r w:rsidRPr="009A323C">
        <w:rPr>
          <w:rStyle w:val="EndnoteReference"/>
          <w:sz w:val="22"/>
          <w:szCs w:val="22"/>
          <w:vertAlign w:val="baseline"/>
        </w:rPr>
        <w:endnoteRef/>
      </w:r>
      <w:r w:rsidRPr="009A323C">
        <w:rPr>
          <w:sz w:val="22"/>
          <w:szCs w:val="22"/>
        </w:rPr>
        <w:t xml:space="preserve"> Dodd, Martyn, </w:t>
      </w:r>
      <w:proofErr w:type="spellStart"/>
      <w:r w:rsidRPr="009A323C">
        <w:rPr>
          <w:sz w:val="22"/>
          <w:szCs w:val="22"/>
        </w:rPr>
        <w:t>EnergySoft</w:t>
      </w:r>
      <w:proofErr w:type="spellEnd"/>
      <w:r w:rsidRPr="009A323C">
        <w:rPr>
          <w:sz w:val="22"/>
          <w:szCs w:val="22"/>
        </w:rPr>
        <w:t>, LLC, Building models, data analysis, and work paper methodology review, April 2010</w:t>
      </w:r>
    </w:p>
  </w:endnote>
  <w:endnote w:id="11">
    <w:p w:rsidR="00751C93" w:rsidRPr="009A323C" w:rsidRDefault="00751C93" w:rsidP="00EA1529">
      <w:pPr>
        <w:ind w:left="144" w:hanging="144"/>
      </w:pPr>
      <w:r w:rsidRPr="009A323C">
        <w:endnoteRef/>
      </w:r>
      <w:r w:rsidRPr="009A323C">
        <w:t xml:space="preserve"> CPUC DEER DEER2011-HrlyProfiles-PGE-v1.xls, downloaded from </w:t>
      </w:r>
      <w:hyperlink r:id="rId4" w:history="1">
        <w:r w:rsidRPr="009A323C">
          <w:t>www.deeresources.com</w:t>
        </w:r>
      </w:hyperlink>
      <w:r w:rsidRPr="009A323C">
        <w:t xml:space="preserve"> on 4/5/2012.</w:t>
      </w:r>
    </w:p>
  </w:endnote>
  <w:endnote w:id="12">
    <w:p w:rsidR="00751C93" w:rsidRPr="009A323C" w:rsidRDefault="00751C93" w:rsidP="00EA1529">
      <w:pPr>
        <w:ind w:left="144" w:hanging="144"/>
      </w:pPr>
      <w:r w:rsidRPr="009A323C">
        <w:endnoteRef/>
      </w:r>
      <w:r w:rsidRPr="009A323C">
        <w:t xml:space="preserve"> R. S. Means, </w:t>
      </w:r>
      <w:r w:rsidRPr="009A323C">
        <w:rPr>
          <w:u w:val="single"/>
        </w:rPr>
        <w:t>Mechanical Cost Data.</w:t>
      </w:r>
      <w:r w:rsidRPr="009A323C">
        <w:t xml:space="preserve"> 2010.</w:t>
      </w:r>
    </w:p>
  </w:endnote>
  <w:endnote w:id="13">
    <w:p w:rsidR="00751C93" w:rsidRPr="009A323C" w:rsidRDefault="00751C93">
      <w:pPr>
        <w:pStyle w:val="EndnoteText"/>
        <w:rPr>
          <w:sz w:val="22"/>
          <w:szCs w:val="22"/>
        </w:rPr>
      </w:pPr>
      <w:r w:rsidRPr="009A323C">
        <w:rPr>
          <w:rStyle w:val="EndnoteReference"/>
          <w:sz w:val="22"/>
          <w:szCs w:val="22"/>
          <w:vertAlign w:val="baseline"/>
        </w:rPr>
        <w:endnoteRef/>
      </w:r>
      <w:r w:rsidRPr="009A323C">
        <w:rPr>
          <w:sz w:val="22"/>
          <w:szCs w:val="22"/>
        </w:rPr>
        <w:t xml:space="preserve"> Measure Cost rev5 PGE slb4 111111.doc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C93" w:rsidRPr="00846195" w:rsidRDefault="00751C93" w:rsidP="00E57743">
    <w:pPr>
      <w:framePr w:wrap="auto" w:vAnchor="text" w:hAnchor="margin" w:xAlign="center" w:y="1"/>
      <w:rPr>
        <w:b/>
        <w:bCs/>
        <w:sz w:val="20"/>
        <w:szCs w:val="20"/>
      </w:rPr>
    </w:pPr>
    <w:r w:rsidRPr="00846195">
      <w:rPr>
        <w:b/>
        <w:bCs/>
        <w:sz w:val="20"/>
        <w:szCs w:val="20"/>
      </w:rPr>
      <w:fldChar w:fldCharType="begin"/>
    </w:r>
    <w:r w:rsidRPr="00846195">
      <w:rPr>
        <w:b/>
        <w:bCs/>
        <w:sz w:val="20"/>
        <w:szCs w:val="20"/>
      </w:rPr>
      <w:instrText xml:space="preserve">PAGE  </w:instrText>
    </w:r>
    <w:r w:rsidRPr="00846195">
      <w:rPr>
        <w:b/>
        <w:bCs/>
        <w:sz w:val="20"/>
        <w:szCs w:val="20"/>
      </w:rPr>
      <w:fldChar w:fldCharType="separate"/>
    </w:r>
    <w:r>
      <w:rPr>
        <w:b/>
        <w:bCs/>
        <w:noProof/>
        <w:sz w:val="20"/>
        <w:szCs w:val="20"/>
      </w:rPr>
      <w:t>ii</w:t>
    </w:r>
    <w:r w:rsidRPr="00846195">
      <w:rPr>
        <w:b/>
        <w:bCs/>
        <w:sz w:val="20"/>
        <w:szCs w:val="20"/>
      </w:rPr>
      <w:fldChar w:fldCharType="end"/>
    </w:r>
  </w:p>
  <w:p w:rsidR="00751C93" w:rsidRDefault="00751C93" w:rsidP="00D7047A">
    <w:pPr>
      <w:pBdr>
        <w:top w:val="single" w:sz="4" w:space="1" w:color="auto"/>
      </w:pBdr>
      <w:tabs>
        <w:tab w:val="right" w:pos="9360"/>
      </w:tabs>
      <w:rPr>
        <w:b/>
        <w:bCs/>
        <w:sz w:val="20"/>
        <w:szCs w:val="20"/>
      </w:rPr>
    </w:pPr>
    <w:r>
      <w:rPr>
        <w:b/>
        <w:bCs/>
        <w:color w:val="FF0000"/>
        <w:sz w:val="20"/>
        <w:szCs w:val="20"/>
      </w:rPr>
      <w:t xml:space="preserve">Work Paper </w:t>
    </w:r>
    <w:proofErr w:type="gramStart"/>
    <w:r>
      <w:rPr>
        <w:b/>
        <w:bCs/>
        <w:color w:val="FF0000"/>
        <w:sz w:val="20"/>
        <w:szCs w:val="20"/>
      </w:rPr>
      <w:t>PGE(</w:t>
    </w:r>
    <w:proofErr w:type="gramEnd"/>
    <w:r>
      <w:rPr>
        <w:b/>
        <w:bCs/>
        <w:color w:val="FF0000"/>
        <w:sz w:val="20"/>
        <w:szCs w:val="20"/>
      </w:rPr>
      <w:t>End-Use)###</w:t>
    </w:r>
    <w:r>
      <w:rPr>
        <w:b/>
        <w:bCs/>
        <w:sz w:val="20"/>
        <w:szCs w:val="20"/>
      </w:rPr>
      <w:t xml:space="preserve">, Revision </w:t>
    </w:r>
    <w:r w:rsidRPr="000170B5">
      <w:rPr>
        <w:b/>
        <w:bCs/>
        <w:color w:val="FF0000"/>
        <w:sz w:val="20"/>
        <w:szCs w:val="20"/>
      </w:rPr>
      <w:t>X</w:t>
    </w:r>
    <w:r>
      <w:rPr>
        <w:b/>
        <w:bCs/>
        <w:sz w:val="20"/>
        <w:szCs w:val="20"/>
      </w:rPr>
      <w:tab/>
    </w:r>
    <w:r>
      <w:rPr>
        <w:b/>
        <w:bCs/>
        <w:sz w:val="20"/>
        <w:szCs w:val="20"/>
      </w:rPr>
      <w:tab/>
      <w:t>11/20/2007</w:t>
    </w:r>
  </w:p>
  <w:p w:rsidR="00751C93" w:rsidRDefault="00751C93" w:rsidP="00D7047A">
    <w:pPr>
      <w:rPr>
        <w:b/>
        <w:bCs/>
        <w:sz w:val="20"/>
        <w:szCs w:val="20"/>
      </w:rPr>
    </w:pPr>
    <w:r>
      <w:rPr>
        <w:b/>
        <w:bCs/>
        <w:sz w:val="20"/>
        <w:szCs w:val="20"/>
      </w:rPr>
      <w:t>Pacific Gas &amp; Electric Company</w:t>
    </w:r>
  </w:p>
  <w:p w:rsidR="00751C93" w:rsidRPr="00844B27" w:rsidRDefault="00751C93" w:rsidP="00D7047A">
    <w:pPr>
      <w:rPr>
        <w:b/>
        <w:bCs/>
        <w:color w:val="0000FF"/>
        <w:sz w:val="20"/>
        <w:szCs w:val="20"/>
      </w:rPr>
    </w:pPr>
    <w:r w:rsidRPr="00844B27">
      <w:rPr>
        <w:b/>
        <w:bCs/>
        <w:color w:val="0000FF"/>
        <w:sz w:val="20"/>
        <w:szCs w:val="20"/>
      </w:rPr>
      <w:fldChar w:fldCharType="begin"/>
    </w:r>
    <w:r w:rsidRPr="00844B27">
      <w:rPr>
        <w:b/>
        <w:bCs/>
        <w:color w:val="0000FF"/>
        <w:sz w:val="20"/>
        <w:szCs w:val="20"/>
      </w:rPr>
      <w:instrText xml:space="preserve"> FILENAME </w:instrText>
    </w:r>
    <w:r w:rsidRPr="00844B27">
      <w:rPr>
        <w:b/>
        <w:bCs/>
        <w:color w:val="0000FF"/>
        <w:sz w:val="20"/>
        <w:szCs w:val="20"/>
      </w:rPr>
      <w:fldChar w:fldCharType="separate"/>
    </w:r>
    <w:r>
      <w:rPr>
        <w:b/>
        <w:bCs/>
        <w:noProof/>
        <w:color w:val="0000FF"/>
        <w:sz w:val="20"/>
        <w:szCs w:val="20"/>
      </w:rPr>
      <w:t>PGECOHVC142 R0 Variable Refrigerant Flow NonresREV-0828.docx</w:t>
    </w:r>
    <w:r w:rsidRPr="00844B27">
      <w:rPr>
        <w:b/>
        <w:bCs/>
        <w:color w:val="0000F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C93" w:rsidRPr="002E0E3F" w:rsidRDefault="00751C93" w:rsidP="00274A7E">
    <w:pPr>
      <w:jc w:val="right"/>
      <w:rPr>
        <w:b/>
        <w:bCs/>
        <w:sz w:val="36"/>
        <w:szCs w:val="36"/>
      </w:rPr>
    </w:pPr>
    <w:r>
      <w:rPr>
        <w:b/>
        <w:bCs/>
        <w:sz w:val="36"/>
        <w:szCs w:val="36"/>
      </w:rPr>
      <w:t xml:space="preserve">Last revised 1/1/2016 </w:t>
    </w:r>
  </w:p>
  <w:p w:rsidR="00751C93" w:rsidRDefault="00751C9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C93" w:rsidRPr="00C36E39" w:rsidRDefault="00751C93" w:rsidP="00D7047A">
    <w:pPr>
      <w:pBdr>
        <w:top w:val="single" w:sz="4" w:space="1" w:color="auto"/>
      </w:pBdr>
      <w:tabs>
        <w:tab w:val="right" w:pos="9360"/>
      </w:tabs>
      <w:rPr>
        <w:b/>
        <w:bCs/>
        <w:sz w:val="20"/>
        <w:szCs w:val="20"/>
      </w:rPr>
    </w:pPr>
    <w:r w:rsidRPr="00C36E39">
      <w:rPr>
        <w:b/>
        <w:bCs/>
        <w:sz w:val="20"/>
        <w:szCs w:val="20"/>
      </w:rPr>
      <w:t>PGE</w:t>
    </w:r>
    <w:r w:rsidRPr="00C36E39">
      <w:rPr>
        <w:b/>
        <w:bCs/>
        <w:i/>
        <w:iCs/>
        <w:sz w:val="20"/>
        <w:szCs w:val="20"/>
      </w:rPr>
      <w:t>COHVC142</w:t>
    </w:r>
    <w:r w:rsidRPr="00C36E39">
      <w:rPr>
        <w:b/>
        <w:bCs/>
        <w:sz w:val="20"/>
        <w:szCs w:val="20"/>
      </w:rPr>
      <w:t>, Variable Refrigerant</w:t>
    </w:r>
    <w:r w:rsidR="0013630F">
      <w:rPr>
        <w:b/>
        <w:bCs/>
        <w:sz w:val="20"/>
        <w:szCs w:val="20"/>
      </w:rPr>
      <w:t xml:space="preserve"> Flow Nonresidential, Revision 1</w:t>
    </w:r>
    <w:r w:rsidRPr="00C36E39">
      <w:rPr>
        <w:b/>
        <w:bCs/>
        <w:sz w:val="20"/>
        <w:szCs w:val="20"/>
      </w:rPr>
      <w:tab/>
    </w:r>
    <w:r w:rsidR="0013630F">
      <w:rPr>
        <w:b/>
        <w:bCs/>
        <w:sz w:val="20"/>
        <w:szCs w:val="20"/>
      </w:rPr>
      <w:t>1/1/2016</w:t>
    </w:r>
  </w:p>
  <w:p w:rsidR="00751C93" w:rsidRPr="00846195" w:rsidRDefault="00751C93" w:rsidP="00875698">
    <w:pPr>
      <w:framePr w:h="241" w:hRule="exact" w:wrap="auto" w:vAnchor="text" w:hAnchor="margin" w:xAlign="center" w:y="11"/>
      <w:rPr>
        <w:b/>
        <w:bCs/>
        <w:sz w:val="20"/>
        <w:szCs w:val="20"/>
      </w:rPr>
    </w:pPr>
    <w:r w:rsidRPr="00846195">
      <w:rPr>
        <w:b/>
        <w:bCs/>
        <w:sz w:val="20"/>
        <w:szCs w:val="20"/>
      </w:rPr>
      <w:fldChar w:fldCharType="begin"/>
    </w:r>
    <w:r w:rsidRPr="00846195">
      <w:rPr>
        <w:b/>
        <w:bCs/>
        <w:sz w:val="20"/>
        <w:szCs w:val="20"/>
      </w:rPr>
      <w:instrText xml:space="preserve">PAGE  </w:instrText>
    </w:r>
    <w:r w:rsidRPr="00846195">
      <w:rPr>
        <w:b/>
        <w:bCs/>
        <w:sz w:val="20"/>
        <w:szCs w:val="20"/>
      </w:rPr>
      <w:fldChar w:fldCharType="separate"/>
    </w:r>
    <w:r w:rsidR="00D32C45">
      <w:rPr>
        <w:b/>
        <w:bCs/>
        <w:noProof/>
        <w:sz w:val="20"/>
        <w:szCs w:val="20"/>
      </w:rPr>
      <w:t>v</w:t>
    </w:r>
    <w:r w:rsidRPr="00846195">
      <w:rPr>
        <w:b/>
        <w:bCs/>
        <w:sz w:val="20"/>
        <w:szCs w:val="20"/>
      </w:rPr>
      <w:fldChar w:fldCharType="end"/>
    </w:r>
  </w:p>
  <w:p w:rsidR="00751C93" w:rsidRDefault="00751C93" w:rsidP="00792FA3">
    <w:pPr>
      <w:rPr>
        <w:b/>
        <w:bCs/>
        <w:sz w:val="20"/>
        <w:szCs w:val="20"/>
      </w:rPr>
    </w:pPr>
    <w:r>
      <w:rPr>
        <w:b/>
        <w:bCs/>
        <w:sz w:val="20"/>
        <w:szCs w:val="20"/>
      </w:rPr>
      <w:t>Pacific Gas &amp; Electric Company</w:t>
    </w:r>
  </w:p>
  <w:p w:rsidR="00751C93" w:rsidRDefault="00751C93" w:rsidP="00D7047A">
    <w:pPr>
      <w:rPr>
        <w:b/>
        <w:bCs/>
        <w:color w:val="0000FF"/>
        <w:sz w:val="20"/>
        <w:szCs w:val="20"/>
      </w:rPr>
    </w:pPr>
    <w:r w:rsidRPr="00844B27">
      <w:rPr>
        <w:b/>
        <w:bCs/>
        <w:color w:val="0000FF"/>
        <w:sz w:val="20"/>
        <w:szCs w:val="20"/>
      </w:rPr>
      <w:fldChar w:fldCharType="begin"/>
    </w:r>
    <w:r w:rsidRPr="00844B27">
      <w:rPr>
        <w:b/>
        <w:bCs/>
        <w:color w:val="0000FF"/>
        <w:sz w:val="20"/>
        <w:szCs w:val="20"/>
      </w:rPr>
      <w:instrText xml:space="preserve"> FILENAME </w:instrText>
    </w:r>
    <w:r w:rsidRPr="00844B27">
      <w:rPr>
        <w:b/>
        <w:bCs/>
        <w:color w:val="0000FF"/>
        <w:sz w:val="20"/>
        <w:szCs w:val="20"/>
      </w:rPr>
      <w:fldChar w:fldCharType="separate"/>
    </w:r>
    <w:r w:rsidR="0013630F">
      <w:rPr>
        <w:b/>
        <w:bCs/>
        <w:noProof/>
        <w:color w:val="0000FF"/>
        <w:sz w:val="20"/>
        <w:szCs w:val="20"/>
      </w:rPr>
      <w:t>PGECOHVC142 R1</w:t>
    </w:r>
    <w:r>
      <w:rPr>
        <w:b/>
        <w:bCs/>
        <w:noProof/>
        <w:color w:val="0000FF"/>
        <w:sz w:val="20"/>
        <w:szCs w:val="20"/>
      </w:rPr>
      <w:t xml:space="preserve"> Variable Refrigerant Flow Nonres.docx</w:t>
    </w:r>
    <w:r w:rsidRPr="00844B27">
      <w:rPr>
        <w:b/>
        <w:bCs/>
        <w:color w:val="0000FF"/>
        <w:sz w:val="20"/>
        <w:szCs w:val="20"/>
      </w:rPr>
      <w:fldChar w:fldCharType="end"/>
    </w:r>
    <w:r>
      <w:rPr>
        <w:b/>
        <w:bCs/>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F86" w:rsidRDefault="00C27F86">
      <w:r>
        <w:separator/>
      </w:r>
    </w:p>
  </w:footnote>
  <w:footnote w:type="continuationSeparator" w:id="0">
    <w:p w:rsidR="00C27F86" w:rsidRDefault="00C27F86">
      <w:r>
        <w:continuationSeparator/>
      </w:r>
    </w:p>
  </w:footnote>
  <w:footnote w:id="1">
    <w:p w:rsidR="00751C93" w:rsidRPr="0081424B" w:rsidRDefault="00751C93" w:rsidP="00E764AF">
      <w:pPr>
        <w:tabs>
          <w:tab w:val="left" w:pos="2880"/>
          <w:tab w:val="left" w:pos="7200"/>
        </w:tabs>
        <w:rPr>
          <w:sz w:val="18"/>
          <w:szCs w:val="18"/>
        </w:rPr>
      </w:pPr>
      <w:r w:rsidRPr="0081424B">
        <w:rPr>
          <w:rStyle w:val="FootnoteReference"/>
          <w:rFonts w:cs="Arial"/>
          <w:sz w:val="18"/>
          <w:szCs w:val="18"/>
        </w:rPr>
        <w:footnoteRef/>
      </w:r>
      <w:r w:rsidRPr="0081424B">
        <w:rPr>
          <w:sz w:val="18"/>
          <w:szCs w:val="18"/>
        </w:rPr>
        <w:t xml:space="preserve"> 1488 </w:t>
      </w:r>
      <w:proofErr w:type="spellStart"/>
      <w:r w:rsidRPr="0081424B">
        <w:rPr>
          <w:sz w:val="18"/>
          <w:szCs w:val="18"/>
        </w:rPr>
        <w:t>hrs</w:t>
      </w:r>
      <w:proofErr w:type="spellEnd"/>
      <w:r w:rsidRPr="0081424B">
        <w:rPr>
          <w:sz w:val="18"/>
          <w:szCs w:val="18"/>
        </w:rPr>
        <w:t xml:space="preserve"> using the DEER 2008 occupancy schedule of :</w:t>
      </w:r>
    </w:p>
    <w:p w:rsidR="00751C93" w:rsidRDefault="00751C93" w:rsidP="0081424B">
      <w:pPr>
        <w:tabs>
          <w:tab w:val="left" w:pos="2880"/>
          <w:tab w:val="left" w:pos="7200"/>
        </w:tabs>
      </w:pPr>
      <w:r w:rsidRPr="0081424B">
        <w:rPr>
          <w:sz w:val="18"/>
          <w:szCs w:val="18"/>
        </w:rPr>
        <w:t xml:space="preserve">7a-3p WD Jan 7-Apr 5;  Apr 13-Jun 14; Aug 19-Dec 15  </w:t>
      </w:r>
    </w:p>
  </w:footnote>
  <w:footnote w:id="2">
    <w:p w:rsidR="00751C93" w:rsidRPr="00C20AEE" w:rsidRDefault="00751C93" w:rsidP="00C24013">
      <w:pPr>
        <w:rPr>
          <w:sz w:val="20"/>
          <w:szCs w:val="20"/>
        </w:rPr>
      </w:pPr>
      <w:r w:rsidRPr="00C20AEE">
        <w:rPr>
          <w:i/>
          <w:iCs/>
          <w:sz w:val="20"/>
          <w:szCs w:val="20"/>
          <w:vertAlign w:val="superscript"/>
        </w:rPr>
        <w:footnoteRef/>
      </w:r>
      <w:r w:rsidRPr="00C20AEE">
        <w:rPr>
          <w:sz w:val="20"/>
          <w:szCs w:val="20"/>
        </w:rPr>
        <w:t xml:space="preserve"> Note: Various complicated price fluctuations are not addressed in these equations, such as future costs due to inflation in labor, future costs due to deflation in material cost, and other variables that cannot be accurately described at this time.</w:t>
      </w:r>
    </w:p>
    <w:p w:rsidR="00751C93" w:rsidRDefault="00751C93" w:rsidP="00C240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C93" w:rsidRDefault="00751C93" w:rsidP="001A573F">
    <w:pPr>
      <w:pStyle w:val="TOC3"/>
      <w:jc w:val="right"/>
    </w:pPr>
  </w:p>
  <w:p w:rsidR="00751C93" w:rsidRDefault="00751C93" w:rsidP="001A573F">
    <w:pPr>
      <w:pStyle w:val="TOC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C93" w:rsidRDefault="00751C93" w:rsidP="001A573F">
    <w:pPr>
      <w:pStyle w:val="TOC3"/>
      <w:jc w:val="right"/>
    </w:pPr>
  </w:p>
  <w:p w:rsidR="00751C93" w:rsidRDefault="00751C93" w:rsidP="001A573F">
    <w:pPr>
      <w:pStyle w:val="TOC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Wingdings" w:hint="default"/>
      </w:rPr>
    </w:lvl>
    <w:lvl w:ilvl="3" w:tplc="04090001">
      <w:start w:val="1"/>
      <w:numFmt w:val="bullet"/>
      <w:lvlText w:val=""/>
      <w:lvlJc w:val="left"/>
      <w:pPr>
        <w:tabs>
          <w:tab w:val="num" w:pos="1800"/>
        </w:tabs>
        <w:ind w:left="1800" w:hanging="360"/>
      </w:pPr>
      <w:rPr>
        <w:rFonts w:ascii="Symbol" w:hAnsi="Symbol" w:cs="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Wingdings" w:hint="default"/>
      </w:rPr>
    </w:lvl>
    <w:lvl w:ilvl="6" w:tplc="04090001">
      <w:start w:val="1"/>
      <w:numFmt w:val="bullet"/>
      <w:lvlText w:val=""/>
      <w:lvlJc w:val="left"/>
      <w:pPr>
        <w:tabs>
          <w:tab w:val="num" w:pos="3960"/>
        </w:tabs>
        <w:ind w:left="3960" w:hanging="360"/>
      </w:pPr>
      <w:rPr>
        <w:rFonts w:ascii="Symbol" w:hAnsi="Symbol" w:cs="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1702DB3"/>
    <w:multiLevelType w:val="hybridMultilevel"/>
    <w:tmpl w:val="E4BC8D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cs="Wingdings" w:hint="default"/>
      </w:rPr>
    </w:lvl>
    <w:lvl w:ilvl="3" w:tplc="04090001">
      <w:start w:val="1"/>
      <w:numFmt w:val="bullet"/>
      <w:lvlText w:val=""/>
      <w:lvlJc w:val="left"/>
      <w:pPr>
        <w:tabs>
          <w:tab w:val="num" w:pos="2160"/>
        </w:tabs>
        <w:ind w:left="2160" w:hanging="360"/>
      </w:pPr>
      <w:rPr>
        <w:rFonts w:ascii="Symbol" w:hAnsi="Symbol" w:cs="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cs="Wingdings" w:hint="default"/>
      </w:rPr>
    </w:lvl>
    <w:lvl w:ilvl="6" w:tplc="04090001">
      <w:start w:val="1"/>
      <w:numFmt w:val="bullet"/>
      <w:lvlText w:val=""/>
      <w:lvlJc w:val="left"/>
      <w:pPr>
        <w:tabs>
          <w:tab w:val="num" w:pos="4320"/>
        </w:tabs>
        <w:ind w:left="4320" w:hanging="360"/>
      </w:pPr>
      <w:rPr>
        <w:rFonts w:ascii="Symbol" w:hAnsi="Symbol" w:cs="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cs="Wingdings" w:hint="default"/>
      </w:rPr>
    </w:lvl>
  </w:abstractNum>
  <w:abstractNum w:abstractNumId="9">
    <w:nsid w:val="30EE6405"/>
    <w:multiLevelType w:val="multilevel"/>
    <w:tmpl w:val="5024F02A"/>
    <w:lvl w:ilvl="0">
      <w:start w:val="1"/>
      <w:numFmt w:val="decimal"/>
      <w:lvlText w:val="%1.0"/>
      <w:lvlJc w:val="left"/>
      <w:pPr>
        <w:tabs>
          <w:tab w:val="num" w:pos="540"/>
        </w:tabs>
        <w:ind w:left="540" w:hanging="540"/>
      </w:pPr>
      <w:rPr>
        <w:rFonts w:ascii="Arial" w:hAnsi="Arial" w:cs="Arial" w:hint="default"/>
        <w:b/>
        <w:bCs/>
        <w:i w:val="0"/>
        <w:iCs w:val="0"/>
        <w:sz w:val="20"/>
        <w:szCs w:val="20"/>
      </w:rPr>
    </w:lvl>
    <w:lvl w:ilvl="1">
      <w:start w:val="2"/>
      <w:numFmt w:val="decimal"/>
      <w:lvlText w:val="%1.%2"/>
      <w:lvlJc w:val="left"/>
      <w:pPr>
        <w:tabs>
          <w:tab w:val="num" w:pos="1440"/>
        </w:tabs>
        <w:ind w:left="1440" w:hanging="720"/>
      </w:pPr>
      <w:rPr>
        <w:rFonts w:ascii="Arial" w:hAnsi="Arial" w:cs="Arial" w:hint="default"/>
        <w:b/>
        <w:bCs/>
        <w:i/>
        <w:iCs/>
        <w:sz w:val="24"/>
        <w:szCs w:val="24"/>
      </w:rPr>
    </w:lvl>
    <w:lvl w:ilvl="2">
      <w:start w:val="1"/>
      <w:numFmt w:val="decimal"/>
      <w:lvlText w:val="%1.%2.%3"/>
      <w:lvlJc w:val="left"/>
      <w:pPr>
        <w:tabs>
          <w:tab w:val="num" w:pos="1872"/>
        </w:tabs>
        <w:ind w:left="1872" w:hanging="720"/>
      </w:pPr>
      <w:rPr>
        <w:rFonts w:ascii="Arial" w:hAnsi="Arial" w:cs="Arial" w:hint="default"/>
        <w:b w:val="0"/>
        <w:bCs w:val="0"/>
        <w:i w:val="0"/>
        <w:iCs w:val="0"/>
        <w:sz w:val="20"/>
        <w:szCs w:val="20"/>
      </w:rPr>
    </w:lvl>
    <w:lvl w:ilvl="3">
      <w:start w:val="1"/>
      <w:numFmt w:val="decimal"/>
      <w:lvlText w:val="%1.%2.%3.%4"/>
      <w:lvlJc w:val="left"/>
      <w:pPr>
        <w:tabs>
          <w:tab w:val="num" w:pos="2448"/>
        </w:tabs>
        <w:ind w:left="3600" w:hanging="720"/>
      </w:pPr>
      <w:rPr>
        <w:rFonts w:ascii="Arial" w:hAnsi="Arial" w:cs="Arial" w:hint="default"/>
        <w:b w:val="0"/>
        <w:bCs w:val="0"/>
        <w:i w:val="0"/>
        <w:iCs w:val="0"/>
        <w:sz w:val="20"/>
        <w:szCs w:val="20"/>
      </w:rPr>
    </w:lvl>
    <w:lvl w:ilvl="4">
      <w:start w:val="1"/>
      <w:numFmt w:val="decimal"/>
      <w:lvlText w:val="%1.%2.%3.%4.%5"/>
      <w:lvlJc w:val="left"/>
      <w:pPr>
        <w:tabs>
          <w:tab w:val="num" w:pos="3384"/>
        </w:tabs>
        <w:ind w:left="3384" w:hanging="1080"/>
      </w:pPr>
      <w:rPr>
        <w:rFonts w:ascii="Arial" w:hAnsi="Arial" w:cs="Arial" w:hint="default"/>
        <w:b w:val="0"/>
        <w:bCs w:val="0"/>
        <w:i w:val="0"/>
        <w:iCs w:val="0"/>
        <w:sz w:val="20"/>
        <w:szCs w:val="20"/>
      </w:rPr>
    </w:lvl>
    <w:lvl w:ilvl="5">
      <w:start w:val="1"/>
      <w:numFmt w:val="decimal"/>
      <w:lvlText w:val="%1.%2.%3.%4.%5.%6"/>
      <w:lvlJc w:val="left"/>
      <w:pPr>
        <w:tabs>
          <w:tab w:val="num" w:pos="3960"/>
        </w:tabs>
        <w:ind w:left="3960" w:hanging="1080"/>
      </w:pPr>
      <w:rPr>
        <w:rFonts w:ascii="Arial" w:hAnsi="Arial" w:cs="Arial" w:hint="default"/>
        <w:b w:val="0"/>
        <w:bCs w:val="0"/>
        <w:i w:val="0"/>
        <w:iCs w:val="0"/>
        <w:sz w:val="20"/>
        <w:szCs w:val="20"/>
      </w:rPr>
    </w:lvl>
    <w:lvl w:ilvl="6">
      <w:start w:val="1"/>
      <w:numFmt w:val="decimal"/>
      <w:lvlText w:val="%1.%2.%3.%4.%5.%6.%7"/>
      <w:lvlJc w:val="left"/>
      <w:pPr>
        <w:tabs>
          <w:tab w:val="num" w:pos="4896"/>
        </w:tabs>
        <w:ind w:left="4896" w:hanging="1440"/>
      </w:pPr>
      <w:rPr>
        <w:rFonts w:ascii="Arial" w:hAnsi="Arial" w:cs="Arial" w:hint="default"/>
        <w:b w:val="0"/>
        <w:bCs w:val="0"/>
        <w:i w:val="0"/>
        <w:iCs w:val="0"/>
        <w:sz w:val="20"/>
        <w:szCs w:val="20"/>
      </w:rPr>
    </w:lvl>
    <w:lvl w:ilvl="7">
      <w:start w:val="1"/>
      <w:numFmt w:val="decimal"/>
      <w:lvlText w:val="%1.%2.%3.%4.%5.%6.%7.%8"/>
      <w:lvlJc w:val="left"/>
      <w:pPr>
        <w:tabs>
          <w:tab w:val="num" w:pos="5472"/>
        </w:tabs>
        <w:ind w:left="5472" w:hanging="1440"/>
      </w:pPr>
      <w:rPr>
        <w:rFonts w:ascii="Arial" w:hAnsi="Arial" w:cs="Arial" w:hint="default"/>
        <w:b w:val="0"/>
        <w:bCs w:val="0"/>
        <w:i w:val="0"/>
        <w:iCs w:val="0"/>
        <w:sz w:val="20"/>
        <w:szCs w:val="20"/>
      </w:rPr>
    </w:lvl>
    <w:lvl w:ilvl="8">
      <w:start w:val="1"/>
      <w:numFmt w:val="decimal"/>
      <w:lvlText w:val="%1.%2.%3.%4.%5.%6.%7.%8.%9"/>
      <w:lvlJc w:val="left"/>
      <w:pPr>
        <w:tabs>
          <w:tab w:val="num" w:pos="6048"/>
        </w:tabs>
        <w:ind w:left="6048" w:hanging="1440"/>
      </w:pPr>
      <w:rPr>
        <w:rFonts w:hint="default"/>
      </w:rPr>
    </w:lvl>
  </w:abstractNum>
  <w:abstractNum w:abstractNumId="1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3E1D151B"/>
    <w:multiLevelType w:val="hybridMultilevel"/>
    <w:tmpl w:val="A790DA3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47C75954"/>
    <w:multiLevelType w:val="hybridMultilevel"/>
    <w:tmpl w:val="7F8CC5D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481F7FAD"/>
    <w:multiLevelType w:val="hybridMultilevel"/>
    <w:tmpl w:val="EEBE7AFC"/>
    <w:lvl w:ilvl="0" w:tplc="3E00CF7A">
      <w:start w:val="1"/>
      <w:numFmt w:val="bullet"/>
      <w:lvlText w:val=""/>
      <w:lvlJc w:val="left"/>
      <w:pPr>
        <w:tabs>
          <w:tab w:val="num" w:pos="1440"/>
        </w:tabs>
        <w:ind w:left="144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4ABA1397"/>
    <w:multiLevelType w:val="hybridMultilevel"/>
    <w:tmpl w:val="5BFC44B6"/>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7">
    <w:nsid w:val="58063558"/>
    <w:multiLevelType w:val="hybridMultilevel"/>
    <w:tmpl w:val="CE6C9A36"/>
    <w:lvl w:ilvl="0" w:tplc="E01ADADC">
      <w:start w:val="4"/>
      <w:numFmt w:val="bullet"/>
      <w:lvlText w:val="-"/>
      <w:lvlJc w:val="left"/>
      <w:pPr>
        <w:ind w:left="3960" w:hanging="360"/>
      </w:pPr>
      <w:rPr>
        <w:rFonts w:ascii="Arial" w:eastAsia="Times New Roman" w:hAnsi="Arial" w:hint="default"/>
      </w:rPr>
    </w:lvl>
    <w:lvl w:ilvl="1" w:tplc="04090003">
      <w:start w:val="1"/>
      <w:numFmt w:val="bullet"/>
      <w:lvlText w:val="o"/>
      <w:lvlJc w:val="left"/>
      <w:pPr>
        <w:ind w:left="4680" w:hanging="360"/>
      </w:pPr>
      <w:rPr>
        <w:rFonts w:ascii="Courier New" w:hAnsi="Courier New" w:cs="Courier New" w:hint="default"/>
      </w:rPr>
    </w:lvl>
    <w:lvl w:ilvl="2" w:tplc="04090005">
      <w:start w:val="1"/>
      <w:numFmt w:val="bullet"/>
      <w:lvlText w:val=""/>
      <w:lvlJc w:val="left"/>
      <w:pPr>
        <w:ind w:left="5400" w:hanging="360"/>
      </w:pPr>
      <w:rPr>
        <w:rFonts w:ascii="Wingdings" w:hAnsi="Wingdings" w:cs="Wingdings" w:hint="default"/>
      </w:rPr>
    </w:lvl>
    <w:lvl w:ilvl="3" w:tplc="04090001">
      <w:start w:val="1"/>
      <w:numFmt w:val="bullet"/>
      <w:lvlText w:val=""/>
      <w:lvlJc w:val="left"/>
      <w:pPr>
        <w:ind w:left="6120" w:hanging="360"/>
      </w:pPr>
      <w:rPr>
        <w:rFonts w:ascii="Symbol" w:hAnsi="Symbol" w:cs="Symbol" w:hint="default"/>
      </w:rPr>
    </w:lvl>
    <w:lvl w:ilvl="4" w:tplc="04090003">
      <w:start w:val="1"/>
      <w:numFmt w:val="bullet"/>
      <w:lvlText w:val="o"/>
      <w:lvlJc w:val="left"/>
      <w:pPr>
        <w:ind w:left="6840" w:hanging="360"/>
      </w:pPr>
      <w:rPr>
        <w:rFonts w:ascii="Courier New" w:hAnsi="Courier New" w:cs="Courier New" w:hint="default"/>
      </w:rPr>
    </w:lvl>
    <w:lvl w:ilvl="5" w:tplc="04090005">
      <w:start w:val="1"/>
      <w:numFmt w:val="bullet"/>
      <w:lvlText w:val=""/>
      <w:lvlJc w:val="left"/>
      <w:pPr>
        <w:ind w:left="7560" w:hanging="360"/>
      </w:pPr>
      <w:rPr>
        <w:rFonts w:ascii="Wingdings" w:hAnsi="Wingdings" w:cs="Wingdings" w:hint="default"/>
      </w:rPr>
    </w:lvl>
    <w:lvl w:ilvl="6" w:tplc="04090001">
      <w:start w:val="1"/>
      <w:numFmt w:val="bullet"/>
      <w:lvlText w:val=""/>
      <w:lvlJc w:val="left"/>
      <w:pPr>
        <w:ind w:left="8280" w:hanging="360"/>
      </w:pPr>
      <w:rPr>
        <w:rFonts w:ascii="Symbol" w:hAnsi="Symbol" w:cs="Symbol" w:hint="default"/>
      </w:rPr>
    </w:lvl>
    <w:lvl w:ilvl="7" w:tplc="04090003">
      <w:start w:val="1"/>
      <w:numFmt w:val="bullet"/>
      <w:lvlText w:val="o"/>
      <w:lvlJc w:val="left"/>
      <w:pPr>
        <w:ind w:left="9000" w:hanging="360"/>
      </w:pPr>
      <w:rPr>
        <w:rFonts w:ascii="Courier New" w:hAnsi="Courier New" w:cs="Courier New" w:hint="default"/>
      </w:rPr>
    </w:lvl>
    <w:lvl w:ilvl="8" w:tplc="04090005">
      <w:start w:val="1"/>
      <w:numFmt w:val="bullet"/>
      <w:lvlText w:val=""/>
      <w:lvlJc w:val="left"/>
      <w:pPr>
        <w:ind w:left="9720" w:hanging="360"/>
      </w:pPr>
      <w:rPr>
        <w:rFonts w:ascii="Wingdings" w:hAnsi="Wingdings" w:cs="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Wingdings" w:hint="default"/>
      </w:rPr>
    </w:lvl>
    <w:lvl w:ilvl="3" w:tplc="04090001">
      <w:start w:val="1"/>
      <w:numFmt w:val="bullet"/>
      <w:lvlText w:val=""/>
      <w:lvlJc w:val="left"/>
      <w:pPr>
        <w:tabs>
          <w:tab w:val="num" w:pos="1800"/>
        </w:tabs>
        <w:ind w:left="1800" w:hanging="360"/>
      </w:pPr>
      <w:rPr>
        <w:rFonts w:ascii="Symbol" w:hAnsi="Symbol" w:cs="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Wingdings" w:hint="default"/>
      </w:rPr>
    </w:lvl>
    <w:lvl w:ilvl="6" w:tplc="04090001">
      <w:start w:val="1"/>
      <w:numFmt w:val="bullet"/>
      <w:lvlText w:val=""/>
      <w:lvlJc w:val="left"/>
      <w:pPr>
        <w:tabs>
          <w:tab w:val="num" w:pos="3960"/>
        </w:tabs>
        <w:ind w:left="3960" w:hanging="360"/>
      </w:pPr>
      <w:rPr>
        <w:rFonts w:ascii="Symbol" w:hAnsi="Symbol" w:cs="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cs="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0">
    <w:nsid w:val="676973FD"/>
    <w:multiLevelType w:val="hybridMultilevel"/>
    <w:tmpl w:val="24123B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CF94E2A"/>
    <w:multiLevelType w:val="hybridMultilevel"/>
    <w:tmpl w:val="CCD6BB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E520867"/>
    <w:multiLevelType w:val="hybridMultilevel"/>
    <w:tmpl w:val="DCC86B40"/>
    <w:lvl w:ilvl="0" w:tplc="AF7CA8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77820856"/>
    <w:multiLevelType w:val="singleLevel"/>
    <w:tmpl w:val="6C78A414"/>
    <w:lvl w:ilvl="0">
      <w:start w:val="1"/>
      <w:numFmt w:val="decimal"/>
      <w:lvlText w:val="%1."/>
      <w:legacy w:legacy="1" w:legacySpace="0" w:legacyIndent="0"/>
      <w:lvlJc w:val="left"/>
    </w:lvl>
  </w:abstractNum>
  <w:abstractNum w:abstractNumId="24">
    <w:nsid w:val="7B3D28A2"/>
    <w:multiLevelType w:val="hybridMultilevel"/>
    <w:tmpl w:val="C152E9A0"/>
    <w:lvl w:ilvl="0" w:tplc="3E00CF7A">
      <w:start w:val="1"/>
      <w:numFmt w:val="bullet"/>
      <w:lvlText w:val=""/>
      <w:lvlJc w:val="left"/>
      <w:pPr>
        <w:tabs>
          <w:tab w:val="num" w:pos="1440"/>
        </w:tabs>
        <w:ind w:left="144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0"/>
  </w:num>
  <w:num w:numId="3">
    <w:abstractNumId w:val="5"/>
  </w:num>
  <w:num w:numId="4">
    <w:abstractNumId w:val="7"/>
  </w:num>
  <w:num w:numId="5">
    <w:abstractNumId w:val="23"/>
  </w:num>
  <w:num w:numId="6">
    <w:abstractNumId w:val="9"/>
  </w:num>
  <w:num w:numId="7">
    <w:abstractNumId w:val="6"/>
  </w:num>
  <w:num w:numId="8">
    <w:abstractNumId w:val="12"/>
  </w:num>
  <w:num w:numId="9">
    <w:abstractNumId w:val="8"/>
  </w:num>
  <w:num w:numId="10">
    <w:abstractNumId w:val="1"/>
  </w:num>
  <w:num w:numId="11">
    <w:abstractNumId w:val="18"/>
  </w:num>
  <w:num w:numId="12">
    <w:abstractNumId w:val="19"/>
  </w:num>
  <w:num w:numId="13">
    <w:abstractNumId w:val="3"/>
  </w:num>
  <w:num w:numId="14">
    <w:abstractNumId w:val="24"/>
  </w:num>
  <w:num w:numId="15">
    <w:abstractNumId w:val="13"/>
  </w:num>
  <w:num w:numId="16">
    <w:abstractNumId w:val="15"/>
  </w:num>
  <w:num w:numId="17">
    <w:abstractNumId w:val="0"/>
  </w:num>
  <w:num w:numId="18">
    <w:abstractNumId w:val="14"/>
  </w:num>
  <w:num w:numId="19">
    <w:abstractNumId w:val="16"/>
  </w:num>
  <w:num w:numId="20">
    <w:abstractNumId w:val="4"/>
  </w:num>
  <w:num w:numId="21">
    <w:abstractNumId w:val="22"/>
  </w:num>
  <w:num w:numId="22">
    <w:abstractNumId w:val="17"/>
  </w:num>
  <w:num w:numId="23">
    <w:abstractNumId w:val="21"/>
  </w:num>
  <w:num w:numId="24">
    <w:abstractNumId w:val="1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5E70"/>
    <w:rsid w:val="00012F86"/>
    <w:rsid w:val="000140A4"/>
    <w:rsid w:val="00014740"/>
    <w:rsid w:val="00016129"/>
    <w:rsid w:val="00016CD2"/>
    <w:rsid w:val="000170B5"/>
    <w:rsid w:val="00017488"/>
    <w:rsid w:val="000229F0"/>
    <w:rsid w:val="00024857"/>
    <w:rsid w:val="00024AA9"/>
    <w:rsid w:val="00026F78"/>
    <w:rsid w:val="000272C2"/>
    <w:rsid w:val="0003064A"/>
    <w:rsid w:val="00032B63"/>
    <w:rsid w:val="000337AC"/>
    <w:rsid w:val="000348DC"/>
    <w:rsid w:val="000351CB"/>
    <w:rsid w:val="000374A5"/>
    <w:rsid w:val="00044570"/>
    <w:rsid w:val="00055CD8"/>
    <w:rsid w:val="000571F6"/>
    <w:rsid w:val="00057B32"/>
    <w:rsid w:val="00057C09"/>
    <w:rsid w:val="00063FA7"/>
    <w:rsid w:val="0006490F"/>
    <w:rsid w:val="00064F44"/>
    <w:rsid w:val="00066D5B"/>
    <w:rsid w:val="000678A2"/>
    <w:rsid w:val="00067EB5"/>
    <w:rsid w:val="000701EB"/>
    <w:rsid w:val="000719AA"/>
    <w:rsid w:val="000749EA"/>
    <w:rsid w:val="00077161"/>
    <w:rsid w:val="00081214"/>
    <w:rsid w:val="000814B9"/>
    <w:rsid w:val="00081CA5"/>
    <w:rsid w:val="000842B9"/>
    <w:rsid w:val="00085DF5"/>
    <w:rsid w:val="00086594"/>
    <w:rsid w:val="000868EE"/>
    <w:rsid w:val="00087378"/>
    <w:rsid w:val="00087512"/>
    <w:rsid w:val="00090E3B"/>
    <w:rsid w:val="00091CA9"/>
    <w:rsid w:val="00095610"/>
    <w:rsid w:val="000966CC"/>
    <w:rsid w:val="000A2FB3"/>
    <w:rsid w:val="000A48F2"/>
    <w:rsid w:val="000B0B1E"/>
    <w:rsid w:val="000B6C33"/>
    <w:rsid w:val="000C0FD3"/>
    <w:rsid w:val="000C1BDF"/>
    <w:rsid w:val="000C3A1D"/>
    <w:rsid w:val="000D69F0"/>
    <w:rsid w:val="000E132D"/>
    <w:rsid w:val="000E31B5"/>
    <w:rsid w:val="000E379B"/>
    <w:rsid w:val="000F0069"/>
    <w:rsid w:val="000F11DD"/>
    <w:rsid w:val="00103CBE"/>
    <w:rsid w:val="00115EB1"/>
    <w:rsid w:val="001248A3"/>
    <w:rsid w:val="00124F32"/>
    <w:rsid w:val="00126483"/>
    <w:rsid w:val="00126A4E"/>
    <w:rsid w:val="00127CC8"/>
    <w:rsid w:val="0013046A"/>
    <w:rsid w:val="0013080C"/>
    <w:rsid w:val="0013087E"/>
    <w:rsid w:val="00130A23"/>
    <w:rsid w:val="00132A5E"/>
    <w:rsid w:val="00132E72"/>
    <w:rsid w:val="00133198"/>
    <w:rsid w:val="00133C60"/>
    <w:rsid w:val="0013630F"/>
    <w:rsid w:val="00136D56"/>
    <w:rsid w:val="00150EC7"/>
    <w:rsid w:val="00152F90"/>
    <w:rsid w:val="00155EF5"/>
    <w:rsid w:val="00166E7C"/>
    <w:rsid w:val="00167F2B"/>
    <w:rsid w:val="00170F2B"/>
    <w:rsid w:val="00172149"/>
    <w:rsid w:val="00175673"/>
    <w:rsid w:val="00176431"/>
    <w:rsid w:val="00183C8E"/>
    <w:rsid w:val="0019042C"/>
    <w:rsid w:val="001946B1"/>
    <w:rsid w:val="00194E14"/>
    <w:rsid w:val="00194F89"/>
    <w:rsid w:val="001965AF"/>
    <w:rsid w:val="00196D7C"/>
    <w:rsid w:val="00196FD4"/>
    <w:rsid w:val="001975B0"/>
    <w:rsid w:val="0019792B"/>
    <w:rsid w:val="00197A23"/>
    <w:rsid w:val="001A3026"/>
    <w:rsid w:val="001A3E0E"/>
    <w:rsid w:val="001A4516"/>
    <w:rsid w:val="001A4E49"/>
    <w:rsid w:val="001A550C"/>
    <w:rsid w:val="001A55DA"/>
    <w:rsid w:val="001A573F"/>
    <w:rsid w:val="001A64C6"/>
    <w:rsid w:val="001A7081"/>
    <w:rsid w:val="001A70AD"/>
    <w:rsid w:val="001A73E3"/>
    <w:rsid w:val="001B238D"/>
    <w:rsid w:val="001B23D7"/>
    <w:rsid w:val="001B242B"/>
    <w:rsid w:val="001B4ACB"/>
    <w:rsid w:val="001B5D3E"/>
    <w:rsid w:val="001B5E15"/>
    <w:rsid w:val="001B75E6"/>
    <w:rsid w:val="001B792D"/>
    <w:rsid w:val="001C2942"/>
    <w:rsid w:val="001D11CE"/>
    <w:rsid w:val="001D16C2"/>
    <w:rsid w:val="001D3F48"/>
    <w:rsid w:val="001D483C"/>
    <w:rsid w:val="001D6639"/>
    <w:rsid w:val="001F4083"/>
    <w:rsid w:val="001F60D5"/>
    <w:rsid w:val="001F627F"/>
    <w:rsid w:val="001F7023"/>
    <w:rsid w:val="001F7E04"/>
    <w:rsid w:val="00200174"/>
    <w:rsid w:val="00207DD7"/>
    <w:rsid w:val="00211BAC"/>
    <w:rsid w:val="002154B2"/>
    <w:rsid w:val="002170D6"/>
    <w:rsid w:val="002203EA"/>
    <w:rsid w:val="0022055B"/>
    <w:rsid w:val="002207C3"/>
    <w:rsid w:val="00221248"/>
    <w:rsid w:val="00221397"/>
    <w:rsid w:val="00221991"/>
    <w:rsid w:val="00223A0A"/>
    <w:rsid w:val="0022428B"/>
    <w:rsid w:val="002257FA"/>
    <w:rsid w:val="002258B2"/>
    <w:rsid w:val="00235694"/>
    <w:rsid w:val="0023613A"/>
    <w:rsid w:val="0024233E"/>
    <w:rsid w:val="00243BAC"/>
    <w:rsid w:val="00244BD6"/>
    <w:rsid w:val="00245A56"/>
    <w:rsid w:val="002466F4"/>
    <w:rsid w:val="00252352"/>
    <w:rsid w:val="00253984"/>
    <w:rsid w:val="00255067"/>
    <w:rsid w:val="0025738E"/>
    <w:rsid w:val="002628B9"/>
    <w:rsid w:val="00264B03"/>
    <w:rsid w:val="0027474D"/>
    <w:rsid w:val="00274A7E"/>
    <w:rsid w:val="00276ED1"/>
    <w:rsid w:val="0027792C"/>
    <w:rsid w:val="0028268D"/>
    <w:rsid w:val="002830A1"/>
    <w:rsid w:val="00285AF5"/>
    <w:rsid w:val="0028709C"/>
    <w:rsid w:val="00291D75"/>
    <w:rsid w:val="00295B67"/>
    <w:rsid w:val="00296DBC"/>
    <w:rsid w:val="002A1FF2"/>
    <w:rsid w:val="002A2C2E"/>
    <w:rsid w:val="002A4536"/>
    <w:rsid w:val="002A4B6C"/>
    <w:rsid w:val="002B0ECF"/>
    <w:rsid w:val="002C12FA"/>
    <w:rsid w:val="002C21F9"/>
    <w:rsid w:val="002C26EB"/>
    <w:rsid w:val="002C321E"/>
    <w:rsid w:val="002C42E0"/>
    <w:rsid w:val="002C4F1C"/>
    <w:rsid w:val="002C518C"/>
    <w:rsid w:val="002C7B46"/>
    <w:rsid w:val="002D27DC"/>
    <w:rsid w:val="002D4621"/>
    <w:rsid w:val="002D4DCC"/>
    <w:rsid w:val="002D595D"/>
    <w:rsid w:val="002D5B11"/>
    <w:rsid w:val="002E0043"/>
    <w:rsid w:val="002E0E3F"/>
    <w:rsid w:val="002E40A2"/>
    <w:rsid w:val="002E47B4"/>
    <w:rsid w:val="002E4C74"/>
    <w:rsid w:val="002E5671"/>
    <w:rsid w:val="002F105C"/>
    <w:rsid w:val="002F3610"/>
    <w:rsid w:val="002F3EEC"/>
    <w:rsid w:val="002F3FE5"/>
    <w:rsid w:val="002F4369"/>
    <w:rsid w:val="002F4E8C"/>
    <w:rsid w:val="002F5F82"/>
    <w:rsid w:val="0030114D"/>
    <w:rsid w:val="003023F5"/>
    <w:rsid w:val="00302B74"/>
    <w:rsid w:val="003032B7"/>
    <w:rsid w:val="00303B53"/>
    <w:rsid w:val="0030550A"/>
    <w:rsid w:val="003129E8"/>
    <w:rsid w:val="00315AB7"/>
    <w:rsid w:val="0032348E"/>
    <w:rsid w:val="00324AFE"/>
    <w:rsid w:val="00324D0F"/>
    <w:rsid w:val="003259CD"/>
    <w:rsid w:val="0032657A"/>
    <w:rsid w:val="00331416"/>
    <w:rsid w:val="00333E01"/>
    <w:rsid w:val="00335017"/>
    <w:rsid w:val="0033714E"/>
    <w:rsid w:val="00340DAD"/>
    <w:rsid w:val="0034136E"/>
    <w:rsid w:val="003441D7"/>
    <w:rsid w:val="003457B3"/>
    <w:rsid w:val="00345971"/>
    <w:rsid w:val="00345DE6"/>
    <w:rsid w:val="0034647B"/>
    <w:rsid w:val="00350382"/>
    <w:rsid w:val="00353DC2"/>
    <w:rsid w:val="0036186F"/>
    <w:rsid w:val="00362067"/>
    <w:rsid w:val="00370BD4"/>
    <w:rsid w:val="00374640"/>
    <w:rsid w:val="00377407"/>
    <w:rsid w:val="00381B15"/>
    <w:rsid w:val="0038391A"/>
    <w:rsid w:val="00383E3C"/>
    <w:rsid w:val="00392B5E"/>
    <w:rsid w:val="00392C05"/>
    <w:rsid w:val="00393618"/>
    <w:rsid w:val="00393D41"/>
    <w:rsid w:val="00395845"/>
    <w:rsid w:val="00396B6C"/>
    <w:rsid w:val="003A1B51"/>
    <w:rsid w:val="003A3E9A"/>
    <w:rsid w:val="003A648E"/>
    <w:rsid w:val="003A66D0"/>
    <w:rsid w:val="003B0305"/>
    <w:rsid w:val="003B1D93"/>
    <w:rsid w:val="003B384E"/>
    <w:rsid w:val="003B51DE"/>
    <w:rsid w:val="003C27C4"/>
    <w:rsid w:val="003C3A3C"/>
    <w:rsid w:val="003C48C5"/>
    <w:rsid w:val="003C48F5"/>
    <w:rsid w:val="003C5980"/>
    <w:rsid w:val="003C6DFA"/>
    <w:rsid w:val="003D04BC"/>
    <w:rsid w:val="003D2483"/>
    <w:rsid w:val="003D36AD"/>
    <w:rsid w:val="003D3F36"/>
    <w:rsid w:val="003D5191"/>
    <w:rsid w:val="003D60B8"/>
    <w:rsid w:val="003D6E8F"/>
    <w:rsid w:val="003E24CE"/>
    <w:rsid w:val="003E3441"/>
    <w:rsid w:val="003E3941"/>
    <w:rsid w:val="003E540D"/>
    <w:rsid w:val="003E7422"/>
    <w:rsid w:val="003E7CF9"/>
    <w:rsid w:val="003E7E0A"/>
    <w:rsid w:val="003F0CBE"/>
    <w:rsid w:val="003F1093"/>
    <w:rsid w:val="003F3DED"/>
    <w:rsid w:val="003F4F67"/>
    <w:rsid w:val="003F57BD"/>
    <w:rsid w:val="003F5B70"/>
    <w:rsid w:val="004018B3"/>
    <w:rsid w:val="00402211"/>
    <w:rsid w:val="0040323C"/>
    <w:rsid w:val="00403FBE"/>
    <w:rsid w:val="00406F13"/>
    <w:rsid w:val="004078BB"/>
    <w:rsid w:val="0041339D"/>
    <w:rsid w:val="00415754"/>
    <w:rsid w:val="004162E3"/>
    <w:rsid w:val="00416551"/>
    <w:rsid w:val="00421ED8"/>
    <w:rsid w:val="0042297B"/>
    <w:rsid w:val="00422F19"/>
    <w:rsid w:val="00423B48"/>
    <w:rsid w:val="0042494B"/>
    <w:rsid w:val="00425663"/>
    <w:rsid w:val="00425FE9"/>
    <w:rsid w:val="00427131"/>
    <w:rsid w:val="004323E9"/>
    <w:rsid w:val="00432C65"/>
    <w:rsid w:val="004339ED"/>
    <w:rsid w:val="00433B89"/>
    <w:rsid w:val="00435D78"/>
    <w:rsid w:val="00436835"/>
    <w:rsid w:val="00436F7E"/>
    <w:rsid w:val="00437947"/>
    <w:rsid w:val="0044128D"/>
    <w:rsid w:val="004419D3"/>
    <w:rsid w:val="0044337C"/>
    <w:rsid w:val="00445790"/>
    <w:rsid w:val="00447FF7"/>
    <w:rsid w:val="00450273"/>
    <w:rsid w:val="004509A5"/>
    <w:rsid w:val="004525E0"/>
    <w:rsid w:val="004551F3"/>
    <w:rsid w:val="00455856"/>
    <w:rsid w:val="004563F1"/>
    <w:rsid w:val="00457A8C"/>
    <w:rsid w:val="004602EC"/>
    <w:rsid w:val="0046147E"/>
    <w:rsid w:val="004617A6"/>
    <w:rsid w:val="00467FE9"/>
    <w:rsid w:val="00474025"/>
    <w:rsid w:val="0048008C"/>
    <w:rsid w:val="004809C9"/>
    <w:rsid w:val="00480BAD"/>
    <w:rsid w:val="00480C7E"/>
    <w:rsid w:val="00484477"/>
    <w:rsid w:val="00486CF9"/>
    <w:rsid w:val="00487D95"/>
    <w:rsid w:val="00490870"/>
    <w:rsid w:val="00492048"/>
    <w:rsid w:val="004967A2"/>
    <w:rsid w:val="00497CD3"/>
    <w:rsid w:val="004A2D46"/>
    <w:rsid w:val="004A3A35"/>
    <w:rsid w:val="004A6FCA"/>
    <w:rsid w:val="004B0F48"/>
    <w:rsid w:val="004B210D"/>
    <w:rsid w:val="004B2CFB"/>
    <w:rsid w:val="004B4489"/>
    <w:rsid w:val="004C4E2A"/>
    <w:rsid w:val="004C56D1"/>
    <w:rsid w:val="004D2C76"/>
    <w:rsid w:val="004D47BB"/>
    <w:rsid w:val="004D56FE"/>
    <w:rsid w:val="004D58D5"/>
    <w:rsid w:val="004D71AF"/>
    <w:rsid w:val="004D7301"/>
    <w:rsid w:val="004F1DB8"/>
    <w:rsid w:val="004F3EDB"/>
    <w:rsid w:val="004F55EC"/>
    <w:rsid w:val="004F61DD"/>
    <w:rsid w:val="00502569"/>
    <w:rsid w:val="00506204"/>
    <w:rsid w:val="00511171"/>
    <w:rsid w:val="005136CC"/>
    <w:rsid w:val="00513858"/>
    <w:rsid w:val="005148C0"/>
    <w:rsid w:val="00514B37"/>
    <w:rsid w:val="00514EEC"/>
    <w:rsid w:val="00521874"/>
    <w:rsid w:val="00521920"/>
    <w:rsid w:val="005246B1"/>
    <w:rsid w:val="005308BB"/>
    <w:rsid w:val="00530B04"/>
    <w:rsid w:val="0053683E"/>
    <w:rsid w:val="00537773"/>
    <w:rsid w:val="00537B0D"/>
    <w:rsid w:val="005403E8"/>
    <w:rsid w:val="00542990"/>
    <w:rsid w:val="00542A98"/>
    <w:rsid w:val="005453C5"/>
    <w:rsid w:val="0054599C"/>
    <w:rsid w:val="00545A84"/>
    <w:rsid w:val="00551EF3"/>
    <w:rsid w:val="00554084"/>
    <w:rsid w:val="00557E24"/>
    <w:rsid w:val="00560593"/>
    <w:rsid w:val="0056163A"/>
    <w:rsid w:val="00562217"/>
    <w:rsid w:val="0056285C"/>
    <w:rsid w:val="00563BE5"/>
    <w:rsid w:val="00567397"/>
    <w:rsid w:val="005700EE"/>
    <w:rsid w:val="00574FBD"/>
    <w:rsid w:val="005773BB"/>
    <w:rsid w:val="00585C83"/>
    <w:rsid w:val="00586604"/>
    <w:rsid w:val="005A0524"/>
    <w:rsid w:val="005A1F9D"/>
    <w:rsid w:val="005A3798"/>
    <w:rsid w:val="005A6094"/>
    <w:rsid w:val="005A67E5"/>
    <w:rsid w:val="005A6C49"/>
    <w:rsid w:val="005A7302"/>
    <w:rsid w:val="005C12E8"/>
    <w:rsid w:val="005C2844"/>
    <w:rsid w:val="005C7AAC"/>
    <w:rsid w:val="005C7F3F"/>
    <w:rsid w:val="005D03AC"/>
    <w:rsid w:val="005D1A73"/>
    <w:rsid w:val="005D3977"/>
    <w:rsid w:val="005D6266"/>
    <w:rsid w:val="005E2187"/>
    <w:rsid w:val="005E4FE9"/>
    <w:rsid w:val="005F19E0"/>
    <w:rsid w:val="005F57B5"/>
    <w:rsid w:val="005F7AA1"/>
    <w:rsid w:val="00604FAE"/>
    <w:rsid w:val="00605B68"/>
    <w:rsid w:val="00607605"/>
    <w:rsid w:val="0061001E"/>
    <w:rsid w:val="00610B3C"/>
    <w:rsid w:val="00614A48"/>
    <w:rsid w:val="00621EB5"/>
    <w:rsid w:val="00622319"/>
    <w:rsid w:val="006224CE"/>
    <w:rsid w:val="00623394"/>
    <w:rsid w:val="0062416A"/>
    <w:rsid w:val="00624FA5"/>
    <w:rsid w:val="00625FB3"/>
    <w:rsid w:val="00626129"/>
    <w:rsid w:val="00632A52"/>
    <w:rsid w:val="00634414"/>
    <w:rsid w:val="00636012"/>
    <w:rsid w:val="00636987"/>
    <w:rsid w:val="00640BB6"/>
    <w:rsid w:val="00642FCD"/>
    <w:rsid w:val="006433B2"/>
    <w:rsid w:val="0064639D"/>
    <w:rsid w:val="00652DD9"/>
    <w:rsid w:val="00654DFA"/>
    <w:rsid w:val="006559C8"/>
    <w:rsid w:val="00657405"/>
    <w:rsid w:val="00657A45"/>
    <w:rsid w:val="006605C2"/>
    <w:rsid w:val="00661864"/>
    <w:rsid w:val="00663A00"/>
    <w:rsid w:val="00664FA6"/>
    <w:rsid w:val="0066632E"/>
    <w:rsid w:val="006832A4"/>
    <w:rsid w:val="006872DB"/>
    <w:rsid w:val="00687E5B"/>
    <w:rsid w:val="00695ED2"/>
    <w:rsid w:val="006A03B2"/>
    <w:rsid w:val="006A1022"/>
    <w:rsid w:val="006A1A83"/>
    <w:rsid w:val="006A2C4B"/>
    <w:rsid w:val="006A3D49"/>
    <w:rsid w:val="006A4106"/>
    <w:rsid w:val="006A4694"/>
    <w:rsid w:val="006A541C"/>
    <w:rsid w:val="006A55D2"/>
    <w:rsid w:val="006B0C5D"/>
    <w:rsid w:val="006B1FCE"/>
    <w:rsid w:val="006B42B8"/>
    <w:rsid w:val="006B6104"/>
    <w:rsid w:val="006B763D"/>
    <w:rsid w:val="006B7EDD"/>
    <w:rsid w:val="006C531E"/>
    <w:rsid w:val="006C5A83"/>
    <w:rsid w:val="006D0365"/>
    <w:rsid w:val="006D2068"/>
    <w:rsid w:val="006D4AE1"/>
    <w:rsid w:val="006D52D8"/>
    <w:rsid w:val="006D57A6"/>
    <w:rsid w:val="006D5AAB"/>
    <w:rsid w:val="006E0111"/>
    <w:rsid w:val="006E3C13"/>
    <w:rsid w:val="006E7BDA"/>
    <w:rsid w:val="006F0139"/>
    <w:rsid w:val="006F214B"/>
    <w:rsid w:val="006F28C7"/>
    <w:rsid w:val="006F5BBB"/>
    <w:rsid w:val="007001DD"/>
    <w:rsid w:val="0070443C"/>
    <w:rsid w:val="00710140"/>
    <w:rsid w:val="00712407"/>
    <w:rsid w:val="00712477"/>
    <w:rsid w:val="00713B63"/>
    <w:rsid w:val="007178FD"/>
    <w:rsid w:val="00721A54"/>
    <w:rsid w:val="00721C75"/>
    <w:rsid w:val="007224ED"/>
    <w:rsid w:val="007228DB"/>
    <w:rsid w:val="00723862"/>
    <w:rsid w:val="00731859"/>
    <w:rsid w:val="00733275"/>
    <w:rsid w:val="00735A4C"/>
    <w:rsid w:val="00735CB1"/>
    <w:rsid w:val="00741F74"/>
    <w:rsid w:val="00742B64"/>
    <w:rsid w:val="00742E8A"/>
    <w:rsid w:val="007431B7"/>
    <w:rsid w:val="007444F5"/>
    <w:rsid w:val="00745482"/>
    <w:rsid w:val="00746DDC"/>
    <w:rsid w:val="007475AA"/>
    <w:rsid w:val="0075061C"/>
    <w:rsid w:val="00751C93"/>
    <w:rsid w:val="007535CC"/>
    <w:rsid w:val="00754D25"/>
    <w:rsid w:val="00755961"/>
    <w:rsid w:val="00756A18"/>
    <w:rsid w:val="00756E21"/>
    <w:rsid w:val="00757507"/>
    <w:rsid w:val="00757590"/>
    <w:rsid w:val="00757CF6"/>
    <w:rsid w:val="007652CE"/>
    <w:rsid w:val="00765936"/>
    <w:rsid w:val="0076685D"/>
    <w:rsid w:val="00774057"/>
    <w:rsid w:val="0077416A"/>
    <w:rsid w:val="00774FDC"/>
    <w:rsid w:val="007821CF"/>
    <w:rsid w:val="00783DAC"/>
    <w:rsid w:val="00784500"/>
    <w:rsid w:val="00785112"/>
    <w:rsid w:val="00785598"/>
    <w:rsid w:val="00786700"/>
    <w:rsid w:val="00786D84"/>
    <w:rsid w:val="007878B9"/>
    <w:rsid w:val="00792FA3"/>
    <w:rsid w:val="007931BC"/>
    <w:rsid w:val="00793646"/>
    <w:rsid w:val="0079521E"/>
    <w:rsid w:val="00796071"/>
    <w:rsid w:val="00797237"/>
    <w:rsid w:val="00797A19"/>
    <w:rsid w:val="007A1510"/>
    <w:rsid w:val="007A3628"/>
    <w:rsid w:val="007A4D97"/>
    <w:rsid w:val="007A768C"/>
    <w:rsid w:val="007B2CAC"/>
    <w:rsid w:val="007B44FB"/>
    <w:rsid w:val="007C0E38"/>
    <w:rsid w:val="007C18E3"/>
    <w:rsid w:val="007C423A"/>
    <w:rsid w:val="007C4E08"/>
    <w:rsid w:val="007D2EB3"/>
    <w:rsid w:val="007D2F4C"/>
    <w:rsid w:val="007D3DFF"/>
    <w:rsid w:val="007D3F38"/>
    <w:rsid w:val="007D4DB8"/>
    <w:rsid w:val="007E2197"/>
    <w:rsid w:val="007E3304"/>
    <w:rsid w:val="007E6A9B"/>
    <w:rsid w:val="007E755F"/>
    <w:rsid w:val="007F1E48"/>
    <w:rsid w:val="007F4605"/>
    <w:rsid w:val="007F6C7D"/>
    <w:rsid w:val="00800632"/>
    <w:rsid w:val="008026F6"/>
    <w:rsid w:val="00803F84"/>
    <w:rsid w:val="00806070"/>
    <w:rsid w:val="00806EE8"/>
    <w:rsid w:val="0080701D"/>
    <w:rsid w:val="00811D89"/>
    <w:rsid w:val="0081424B"/>
    <w:rsid w:val="00814500"/>
    <w:rsid w:val="00822F77"/>
    <w:rsid w:val="008301F0"/>
    <w:rsid w:val="00833AF7"/>
    <w:rsid w:val="00834023"/>
    <w:rsid w:val="0083508F"/>
    <w:rsid w:val="00835579"/>
    <w:rsid w:val="00836F9B"/>
    <w:rsid w:val="0084259D"/>
    <w:rsid w:val="00844106"/>
    <w:rsid w:val="00844B27"/>
    <w:rsid w:val="00844D29"/>
    <w:rsid w:val="00846195"/>
    <w:rsid w:val="00846FA0"/>
    <w:rsid w:val="008479B6"/>
    <w:rsid w:val="008550E1"/>
    <w:rsid w:val="0086002F"/>
    <w:rsid w:val="0086343D"/>
    <w:rsid w:val="00863F9D"/>
    <w:rsid w:val="008645F9"/>
    <w:rsid w:val="0086628A"/>
    <w:rsid w:val="00871279"/>
    <w:rsid w:val="00872913"/>
    <w:rsid w:val="00873F82"/>
    <w:rsid w:val="0087406B"/>
    <w:rsid w:val="00875698"/>
    <w:rsid w:val="00880CA5"/>
    <w:rsid w:val="008817B1"/>
    <w:rsid w:val="008834BB"/>
    <w:rsid w:val="008840FA"/>
    <w:rsid w:val="008846D2"/>
    <w:rsid w:val="00890F95"/>
    <w:rsid w:val="008913FA"/>
    <w:rsid w:val="0089311A"/>
    <w:rsid w:val="008946C3"/>
    <w:rsid w:val="008948E0"/>
    <w:rsid w:val="0089528C"/>
    <w:rsid w:val="008A01FA"/>
    <w:rsid w:val="008A27E2"/>
    <w:rsid w:val="008A3248"/>
    <w:rsid w:val="008B034D"/>
    <w:rsid w:val="008B0BBC"/>
    <w:rsid w:val="008B4153"/>
    <w:rsid w:val="008B5356"/>
    <w:rsid w:val="008B54D2"/>
    <w:rsid w:val="008B7927"/>
    <w:rsid w:val="008C6AD1"/>
    <w:rsid w:val="008C71B5"/>
    <w:rsid w:val="008D432A"/>
    <w:rsid w:val="008E2669"/>
    <w:rsid w:val="008E38B7"/>
    <w:rsid w:val="008E431F"/>
    <w:rsid w:val="008E5E12"/>
    <w:rsid w:val="008F0D2A"/>
    <w:rsid w:val="008F12D4"/>
    <w:rsid w:val="008F17A0"/>
    <w:rsid w:val="008F23EF"/>
    <w:rsid w:val="008F386F"/>
    <w:rsid w:val="008F48E1"/>
    <w:rsid w:val="008F5BD0"/>
    <w:rsid w:val="009003FE"/>
    <w:rsid w:val="00900BDF"/>
    <w:rsid w:val="00901732"/>
    <w:rsid w:val="00903C95"/>
    <w:rsid w:val="009046D4"/>
    <w:rsid w:val="0091058D"/>
    <w:rsid w:val="00910F43"/>
    <w:rsid w:val="00913858"/>
    <w:rsid w:val="00913A0F"/>
    <w:rsid w:val="00914959"/>
    <w:rsid w:val="00915CE6"/>
    <w:rsid w:val="009168A1"/>
    <w:rsid w:val="00924681"/>
    <w:rsid w:val="00925F9A"/>
    <w:rsid w:val="0092622E"/>
    <w:rsid w:val="00930877"/>
    <w:rsid w:val="00932A4E"/>
    <w:rsid w:val="00945CB0"/>
    <w:rsid w:val="00951188"/>
    <w:rsid w:val="00951720"/>
    <w:rsid w:val="00955CBA"/>
    <w:rsid w:val="00960F2F"/>
    <w:rsid w:val="00962995"/>
    <w:rsid w:val="009634F6"/>
    <w:rsid w:val="00963B5E"/>
    <w:rsid w:val="00963FA0"/>
    <w:rsid w:val="0096491F"/>
    <w:rsid w:val="00970AF3"/>
    <w:rsid w:val="00972287"/>
    <w:rsid w:val="00972450"/>
    <w:rsid w:val="00974E95"/>
    <w:rsid w:val="00975F2D"/>
    <w:rsid w:val="00977BF5"/>
    <w:rsid w:val="0098302D"/>
    <w:rsid w:val="0098729B"/>
    <w:rsid w:val="00987608"/>
    <w:rsid w:val="009943A0"/>
    <w:rsid w:val="009953BC"/>
    <w:rsid w:val="009958A9"/>
    <w:rsid w:val="009963D2"/>
    <w:rsid w:val="009A0568"/>
    <w:rsid w:val="009A0AF9"/>
    <w:rsid w:val="009A16BE"/>
    <w:rsid w:val="009A2337"/>
    <w:rsid w:val="009A2E00"/>
    <w:rsid w:val="009A323C"/>
    <w:rsid w:val="009A355A"/>
    <w:rsid w:val="009A5CE8"/>
    <w:rsid w:val="009A7B5A"/>
    <w:rsid w:val="009A7F79"/>
    <w:rsid w:val="009B0AB8"/>
    <w:rsid w:val="009B211E"/>
    <w:rsid w:val="009B2BDC"/>
    <w:rsid w:val="009B5F5D"/>
    <w:rsid w:val="009B6201"/>
    <w:rsid w:val="009B73BA"/>
    <w:rsid w:val="009C0F35"/>
    <w:rsid w:val="009C10D9"/>
    <w:rsid w:val="009C2F26"/>
    <w:rsid w:val="009C5CA7"/>
    <w:rsid w:val="009C5E3F"/>
    <w:rsid w:val="009D03F8"/>
    <w:rsid w:val="009D148C"/>
    <w:rsid w:val="009D1600"/>
    <w:rsid w:val="009D1DF4"/>
    <w:rsid w:val="009D7A24"/>
    <w:rsid w:val="009E00E4"/>
    <w:rsid w:val="009E0D20"/>
    <w:rsid w:val="009E0F6B"/>
    <w:rsid w:val="009E22DC"/>
    <w:rsid w:val="009E2964"/>
    <w:rsid w:val="009E5D18"/>
    <w:rsid w:val="009E7DCD"/>
    <w:rsid w:val="009E7EFE"/>
    <w:rsid w:val="009F55F9"/>
    <w:rsid w:val="009F5CC0"/>
    <w:rsid w:val="009F6F8B"/>
    <w:rsid w:val="009F7164"/>
    <w:rsid w:val="00A02F0A"/>
    <w:rsid w:val="00A07490"/>
    <w:rsid w:val="00A1074D"/>
    <w:rsid w:val="00A11F79"/>
    <w:rsid w:val="00A127DD"/>
    <w:rsid w:val="00A14E6C"/>
    <w:rsid w:val="00A167EC"/>
    <w:rsid w:val="00A172E6"/>
    <w:rsid w:val="00A17707"/>
    <w:rsid w:val="00A24C8D"/>
    <w:rsid w:val="00A26F15"/>
    <w:rsid w:val="00A306DE"/>
    <w:rsid w:val="00A30E37"/>
    <w:rsid w:val="00A35CF8"/>
    <w:rsid w:val="00A360E7"/>
    <w:rsid w:val="00A400FB"/>
    <w:rsid w:val="00A443D1"/>
    <w:rsid w:val="00A456B3"/>
    <w:rsid w:val="00A47BFE"/>
    <w:rsid w:val="00A51808"/>
    <w:rsid w:val="00A51D78"/>
    <w:rsid w:val="00A51EA8"/>
    <w:rsid w:val="00A549C3"/>
    <w:rsid w:val="00A561A8"/>
    <w:rsid w:val="00A562A6"/>
    <w:rsid w:val="00A60BC6"/>
    <w:rsid w:val="00A63073"/>
    <w:rsid w:val="00A7007B"/>
    <w:rsid w:val="00A71623"/>
    <w:rsid w:val="00A84B87"/>
    <w:rsid w:val="00A84D4B"/>
    <w:rsid w:val="00A8592D"/>
    <w:rsid w:val="00A90D08"/>
    <w:rsid w:val="00A93FFF"/>
    <w:rsid w:val="00A95746"/>
    <w:rsid w:val="00A96D45"/>
    <w:rsid w:val="00A973EE"/>
    <w:rsid w:val="00AA18DD"/>
    <w:rsid w:val="00AA1F91"/>
    <w:rsid w:val="00AA5CE1"/>
    <w:rsid w:val="00AB2D9E"/>
    <w:rsid w:val="00AB4404"/>
    <w:rsid w:val="00AC00AE"/>
    <w:rsid w:val="00AC21EE"/>
    <w:rsid w:val="00AC3B22"/>
    <w:rsid w:val="00AC4101"/>
    <w:rsid w:val="00AC5597"/>
    <w:rsid w:val="00AC70A2"/>
    <w:rsid w:val="00AD0116"/>
    <w:rsid w:val="00AD1B42"/>
    <w:rsid w:val="00AD4B84"/>
    <w:rsid w:val="00AD70A6"/>
    <w:rsid w:val="00AE112D"/>
    <w:rsid w:val="00AE23BE"/>
    <w:rsid w:val="00AE5772"/>
    <w:rsid w:val="00AF01A9"/>
    <w:rsid w:val="00AF0AC0"/>
    <w:rsid w:val="00AF4CA9"/>
    <w:rsid w:val="00AF5B52"/>
    <w:rsid w:val="00B008BF"/>
    <w:rsid w:val="00B03EA4"/>
    <w:rsid w:val="00B04854"/>
    <w:rsid w:val="00B07460"/>
    <w:rsid w:val="00B16978"/>
    <w:rsid w:val="00B16BE4"/>
    <w:rsid w:val="00B17EBB"/>
    <w:rsid w:val="00B232E3"/>
    <w:rsid w:val="00B24A6F"/>
    <w:rsid w:val="00B278DB"/>
    <w:rsid w:val="00B30499"/>
    <w:rsid w:val="00B30D4F"/>
    <w:rsid w:val="00B3434E"/>
    <w:rsid w:val="00B351FD"/>
    <w:rsid w:val="00B35BFD"/>
    <w:rsid w:val="00B36356"/>
    <w:rsid w:val="00B421F2"/>
    <w:rsid w:val="00B42822"/>
    <w:rsid w:val="00B42C54"/>
    <w:rsid w:val="00B4395A"/>
    <w:rsid w:val="00B4553E"/>
    <w:rsid w:val="00B46540"/>
    <w:rsid w:val="00B46773"/>
    <w:rsid w:val="00B47091"/>
    <w:rsid w:val="00B47E14"/>
    <w:rsid w:val="00B54256"/>
    <w:rsid w:val="00B545F4"/>
    <w:rsid w:val="00B54F2E"/>
    <w:rsid w:val="00B56303"/>
    <w:rsid w:val="00B56A3E"/>
    <w:rsid w:val="00B64F62"/>
    <w:rsid w:val="00B66898"/>
    <w:rsid w:val="00B7164C"/>
    <w:rsid w:val="00B73F46"/>
    <w:rsid w:val="00B807AB"/>
    <w:rsid w:val="00B80F53"/>
    <w:rsid w:val="00B82E26"/>
    <w:rsid w:val="00B82F6B"/>
    <w:rsid w:val="00B8591A"/>
    <w:rsid w:val="00B95FBC"/>
    <w:rsid w:val="00B97C44"/>
    <w:rsid w:val="00BA05AE"/>
    <w:rsid w:val="00BA2FA3"/>
    <w:rsid w:val="00BA4DF5"/>
    <w:rsid w:val="00BA5E43"/>
    <w:rsid w:val="00BA6418"/>
    <w:rsid w:val="00BA7D18"/>
    <w:rsid w:val="00BB3A8F"/>
    <w:rsid w:val="00BC2A83"/>
    <w:rsid w:val="00BD0D15"/>
    <w:rsid w:val="00BD19B9"/>
    <w:rsid w:val="00BD5425"/>
    <w:rsid w:val="00BE4C4B"/>
    <w:rsid w:val="00BE4F0E"/>
    <w:rsid w:val="00BE55E9"/>
    <w:rsid w:val="00BE7D1B"/>
    <w:rsid w:val="00BF0332"/>
    <w:rsid w:val="00BF5FCC"/>
    <w:rsid w:val="00C069A2"/>
    <w:rsid w:val="00C069EC"/>
    <w:rsid w:val="00C14ECC"/>
    <w:rsid w:val="00C162A4"/>
    <w:rsid w:val="00C1728C"/>
    <w:rsid w:val="00C17416"/>
    <w:rsid w:val="00C1748F"/>
    <w:rsid w:val="00C174E5"/>
    <w:rsid w:val="00C20AEE"/>
    <w:rsid w:val="00C221D5"/>
    <w:rsid w:val="00C2280A"/>
    <w:rsid w:val="00C24013"/>
    <w:rsid w:val="00C2652B"/>
    <w:rsid w:val="00C27F86"/>
    <w:rsid w:val="00C30598"/>
    <w:rsid w:val="00C3389B"/>
    <w:rsid w:val="00C36E39"/>
    <w:rsid w:val="00C41969"/>
    <w:rsid w:val="00C45C85"/>
    <w:rsid w:val="00C466C8"/>
    <w:rsid w:val="00C52D33"/>
    <w:rsid w:val="00C533E6"/>
    <w:rsid w:val="00C56730"/>
    <w:rsid w:val="00C6024F"/>
    <w:rsid w:val="00C60CE3"/>
    <w:rsid w:val="00C61E17"/>
    <w:rsid w:val="00C63D95"/>
    <w:rsid w:val="00C64B94"/>
    <w:rsid w:val="00C739BF"/>
    <w:rsid w:val="00C75110"/>
    <w:rsid w:val="00C76C24"/>
    <w:rsid w:val="00C80E3F"/>
    <w:rsid w:val="00C83CC9"/>
    <w:rsid w:val="00C84195"/>
    <w:rsid w:val="00C90663"/>
    <w:rsid w:val="00C93DCA"/>
    <w:rsid w:val="00CA071B"/>
    <w:rsid w:val="00CA0B3F"/>
    <w:rsid w:val="00CA5466"/>
    <w:rsid w:val="00CA734B"/>
    <w:rsid w:val="00CB0475"/>
    <w:rsid w:val="00CB1860"/>
    <w:rsid w:val="00CB2C4F"/>
    <w:rsid w:val="00CB3583"/>
    <w:rsid w:val="00CB6A8C"/>
    <w:rsid w:val="00CB6DC4"/>
    <w:rsid w:val="00CC2517"/>
    <w:rsid w:val="00CC254F"/>
    <w:rsid w:val="00CC34FF"/>
    <w:rsid w:val="00CC44F0"/>
    <w:rsid w:val="00CC63BB"/>
    <w:rsid w:val="00CD0E5B"/>
    <w:rsid w:val="00CD0FE9"/>
    <w:rsid w:val="00CD396E"/>
    <w:rsid w:val="00CD5104"/>
    <w:rsid w:val="00CD6046"/>
    <w:rsid w:val="00CD67A6"/>
    <w:rsid w:val="00CE06A5"/>
    <w:rsid w:val="00CE202E"/>
    <w:rsid w:val="00CE2229"/>
    <w:rsid w:val="00CE374E"/>
    <w:rsid w:val="00CE37EC"/>
    <w:rsid w:val="00CE5E4F"/>
    <w:rsid w:val="00CF0534"/>
    <w:rsid w:val="00CF3FF0"/>
    <w:rsid w:val="00CF41AF"/>
    <w:rsid w:val="00CF4567"/>
    <w:rsid w:val="00CF53AB"/>
    <w:rsid w:val="00CF636D"/>
    <w:rsid w:val="00CF6760"/>
    <w:rsid w:val="00CF6815"/>
    <w:rsid w:val="00CF7875"/>
    <w:rsid w:val="00D01643"/>
    <w:rsid w:val="00D04D3D"/>
    <w:rsid w:val="00D07DA8"/>
    <w:rsid w:val="00D11B02"/>
    <w:rsid w:val="00D1202C"/>
    <w:rsid w:val="00D12617"/>
    <w:rsid w:val="00D16314"/>
    <w:rsid w:val="00D16DDF"/>
    <w:rsid w:val="00D16E24"/>
    <w:rsid w:val="00D20486"/>
    <w:rsid w:val="00D21681"/>
    <w:rsid w:val="00D228D8"/>
    <w:rsid w:val="00D248A6"/>
    <w:rsid w:val="00D2788E"/>
    <w:rsid w:val="00D31439"/>
    <w:rsid w:val="00D31B00"/>
    <w:rsid w:val="00D32C45"/>
    <w:rsid w:val="00D33677"/>
    <w:rsid w:val="00D373EC"/>
    <w:rsid w:val="00D4180D"/>
    <w:rsid w:val="00D42875"/>
    <w:rsid w:val="00D42B44"/>
    <w:rsid w:val="00D44A14"/>
    <w:rsid w:val="00D51A9B"/>
    <w:rsid w:val="00D51D95"/>
    <w:rsid w:val="00D53EC6"/>
    <w:rsid w:val="00D55A00"/>
    <w:rsid w:val="00D56F77"/>
    <w:rsid w:val="00D61E9F"/>
    <w:rsid w:val="00D62CC8"/>
    <w:rsid w:val="00D6402F"/>
    <w:rsid w:val="00D7047A"/>
    <w:rsid w:val="00D719E9"/>
    <w:rsid w:val="00D72225"/>
    <w:rsid w:val="00D731DB"/>
    <w:rsid w:val="00D73550"/>
    <w:rsid w:val="00D7671E"/>
    <w:rsid w:val="00D838F7"/>
    <w:rsid w:val="00D8479E"/>
    <w:rsid w:val="00D868F1"/>
    <w:rsid w:val="00D86DE8"/>
    <w:rsid w:val="00D87EFF"/>
    <w:rsid w:val="00D90C5E"/>
    <w:rsid w:val="00D91AE6"/>
    <w:rsid w:val="00D941E0"/>
    <w:rsid w:val="00D95840"/>
    <w:rsid w:val="00D979E4"/>
    <w:rsid w:val="00DA554C"/>
    <w:rsid w:val="00DA5F07"/>
    <w:rsid w:val="00DB42FB"/>
    <w:rsid w:val="00DB44F8"/>
    <w:rsid w:val="00DB657F"/>
    <w:rsid w:val="00DB7AEE"/>
    <w:rsid w:val="00DC015F"/>
    <w:rsid w:val="00DC39C4"/>
    <w:rsid w:val="00DC4568"/>
    <w:rsid w:val="00DC6DCF"/>
    <w:rsid w:val="00DD0941"/>
    <w:rsid w:val="00DD1C47"/>
    <w:rsid w:val="00DD2654"/>
    <w:rsid w:val="00DD6646"/>
    <w:rsid w:val="00DD6B5E"/>
    <w:rsid w:val="00DE4BF6"/>
    <w:rsid w:val="00DE63CB"/>
    <w:rsid w:val="00DE69D0"/>
    <w:rsid w:val="00DE7070"/>
    <w:rsid w:val="00DE77A3"/>
    <w:rsid w:val="00DF02F6"/>
    <w:rsid w:val="00DF21B8"/>
    <w:rsid w:val="00DF31EE"/>
    <w:rsid w:val="00DF3395"/>
    <w:rsid w:val="00DF7381"/>
    <w:rsid w:val="00DF7681"/>
    <w:rsid w:val="00DF7996"/>
    <w:rsid w:val="00E02D36"/>
    <w:rsid w:val="00E03431"/>
    <w:rsid w:val="00E04B23"/>
    <w:rsid w:val="00E04E43"/>
    <w:rsid w:val="00E05E74"/>
    <w:rsid w:val="00E0737A"/>
    <w:rsid w:val="00E149CE"/>
    <w:rsid w:val="00E16AC4"/>
    <w:rsid w:val="00E17C58"/>
    <w:rsid w:val="00E2178D"/>
    <w:rsid w:val="00E23958"/>
    <w:rsid w:val="00E23AD4"/>
    <w:rsid w:val="00E23BEC"/>
    <w:rsid w:val="00E23EC3"/>
    <w:rsid w:val="00E247FC"/>
    <w:rsid w:val="00E24E4D"/>
    <w:rsid w:val="00E2618B"/>
    <w:rsid w:val="00E267F1"/>
    <w:rsid w:val="00E272B8"/>
    <w:rsid w:val="00E34A7A"/>
    <w:rsid w:val="00E4074A"/>
    <w:rsid w:val="00E506F8"/>
    <w:rsid w:val="00E528AF"/>
    <w:rsid w:val="00E53131"/>
    <w:rsid w:val="00E5518E"/>
    <w:rsid w:val="00E56222"/>
    <w:rsid w:val="00E566D8"/>
    <w:rsid w:val="00E57743"/>
    <w:rsid w:val="00E577C9"/>
    <w:rsid w:val="00E62DD3"/>
    <w:rsid w:val="00E66D8F"/>
    <w:rsid w:val="00E6742D"/>
    <w:rsid w:val="00E71707"/>
    <w:rsid w:val="00E71EF1"/>
    <w:rsid w:val="00E731C6"/>
    <w:rsid w:val="00E740C4"/>
    <w:rsid w:val="00E74686"/>
    <w:rsid w:val="00E74750"/>
    <w:rsid w:val="00E764AF"/>
    <w:rsid w:val="00E76686"/>
    <w:rsid w:val="00E80520"/>
    <w:rsid w:val="00E81BD0"/>
    <w:rsid w:val="00E83C98"/>
    <w:rsid w:val="00E840FE"/>
    <w:rsid w:val="00E84DBD"/>
    <w:rsid w:val="00E9128A"/>
    <w:rsid w:val="00E91C15"/>
    <w:rsid w:val="00E943E8"/>
    <w:rsid w:val="00E945CE"/>
    <w:rsid w:val="00E94FAF"/>
    <w:rsid w:val="00EA0528"/>
    <w:rsid w:val="00EA1529"/>
    <w:rsid w:val="00EA347E"/>
    <w:rsid w:val="00EA4E02"/>
    <w:rsid w:val="00EA6276"/>
    <w:rsid w:val="00EB048C"/>
    <w:rsid w:val="00EB2C67"/>
    <w:rsid w:val="00EB367C"/>
    <w:rsid w:val="00EB43BA"/>
    <w:rsid w:val="00EB46D0"/>
    <w:rsid w:val="00EB4700"/>
    <w:rsid w:val="00EB4A5B"/>
    <w:rsid w:val="00EB7F72"/>
    <w:rsid w:val="00EC4357"/>
    <w:rsid w:val="00EC4405"/>
    <w:rsid w:val="00EC47AE"/>
    <w:rsid w:val="00EC49A4"/>
    <w:rsid w:val="00EC4EF3"/>
    <w:rsid w:val="00EC530E"/>
    <w:rsid w:val="00ED20C9"/>
    <w:rsid w:val="00ED21EE"/>
    <w:rsid w:val="00ED37E1"/>
    <w:rsid w:val="00ED3B31"/>
    <w:rsid w:val="00ED4EC4"/>
    <w:rsid w:val="00ED6C04"/>
    <w:rsid w:val="00ED6DB9"/>
    <w:rsid w:val="00EE32F4"/>
    <w:rsid w:val="00EE4094"/>
    <w:rsid w:val="00EE4D57"/>
    <w:rsid w:val="00EE53FF"/>
    <w:rsid w:val="00EE5E83"/>
    <w:rsid w:val="00EE7092"/>
    <w:rsid w:val="00EF0651"/>
    <w:rsid w:val="00EF2F5C"/>
    <w:rsid w:val="00EF5604"/>
    <w:rsid w:val="00EF7590"/>
    <w:rsid w:val="00F024CA"/>
    <w:rsid w:val="00F0289E"/>
    <w:rsid w:val="00F0354F"/>
    <w:rsid w:val="00F07EF1"/>
    <w:rsid w:val="00F07F11"/>
    <w:rsid w:val="00F1013F"/>
    <w:rsid w:val="00F10A99"/>
    <w:rsid w:val="00F138A2"/>
    <w:rsid w:val="00F154EB"/>
    <w:rsid w:val="00F16EDB"/>
    <w:rsid w:val="00F20632"/>
    <w:rsid w:val="00F20E6A"/>
    <w:rsid w:val="00F23738"/>
    <w:rsid w:val="00F2665F"/>
    <w:rsid w:val="00F30846"/>
    <w:rsid w:val="00F30CAB"/>
    <w:rsid w:val="00F31211"/>
    <w:rsid w:val="00F31AA8"/>
    <w:rsid w:val="00F32479"/>
    <w:rsid w:val="00F327DF"/>
    <w:rsid w:val="00F33121"/>
    <w:rsid w:val="00F33769"/>
    <w:rsid w:val="00F36DEB"/>
    <w:rsid w:val="00F406FD"/>
    <w:rsid w:val="00F414D0"/>
    <w:rsid w:val="00F461B8"/>
    <w:rsid w:val="00F47D9D"/>
    <w:rsid w:val="00F50558"/>
    <w:rsid w:val="00F50A8E"/>
    <w:rsid w:val="00F5147C"/>
    <w:rsid w:val="00F51D6D"/>
    <w:rsid w:val="00F53ADA"/>
    <w:rsid w:val="00F55847"/>
    <w:rsid w:val="00F57142"/>
    <w:rsid w:val="00F5756D"/>
    <w:rsid w:val="00F630A2"/>
    <w:rsid w:val="00F652AB"/>
    <w:rsid w:val="00F65942"/>
    <w:rsid w:val="00F72AA0"/>
    <w:rsid w:val="00F76A40"/>
    <w:rsid w:val="00F76AB2"/>
    <w:rsid w:val="00F80C07"/>
    <w:rsid w:val="00F847FD"/>
    <w:rsid w:val="00F87264"/>
    <w:rsid w:val="00F908E9"/>
    <w:rsid w:val="00F93207"/>
    <w:rsid w:val="00F956C5"/>
    <w:rsid w:val="00F96796"/>
    <w:rsid w:val="00FA3E6F"/>
    <w:rsid w:val="00FA56D6"/>
    <w:rsid w:val="00FA595F"/>
    <w:rsid w:val="00FA6C24"/>
    <w:rsid w:val="00FB651A"/>
    <w:rsid w:val="00FB6CD6"/>
    <w:rsid w:val="00FC0CB3"/>
    <w:rsid w:val="00FC2999"/>
    <w:rsid w:val="00FC64D0"/>
    <w:rsid w:val="00FC689F"/>
    <w:rsid w:val="00FC765F"/>
    <w:rsid w:val="00FD1861"/>
    <w:rsid w:val="00FD5375"/>
    <w:rsid w:val="00FD5D89"/>
    <w:rsid w:val="00FD61A3"/>
    <w:rsid w:val="00FD79F6"/>
    <w:rsid w:val="00FE0371"/>
    <w:rsid w:val="00FE1258"/>
    <w:rsid w:val="00FE31D0"/>
    <w:rsid w:val="00FE3581"/>
    <w:rsid w:val="00FE3588"/>
    <w:rsid w:val="00FE7A3F"/>
    <w:rsid w:val="00FE7F86"/>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able of figures"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B6C"/>
    <w:rPr>
      <w:rFonts w:ascii="Arial" w:hAnsi="Arial" w:cs="Arial"/>
    </w:rPr>
  </w:style>
  <w:style w:type="paragraph" w:styleId="Heading1">
    <w:name w:val="heading 1"/>
    <w:basedOn w:val="Normal"/>
    <w:next w:val="Normal"/>
    <w:link w:val="Heading1Char"/>
    <w:uiPriority w:val="99"/>
    <w:qFormat/>
    <w:rsid w:val="00E71EF1"/>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71EF1"/>
    <w:pPr>
      <w:keepNext/>
      <w:spacing w:before="240" w:after="60"/>
      <w:outlineLvl w:val="1"/>
    </w:pPr>
    <w:rPr>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3610"/>
    <w:rPr>
      <w:rFonts w:ascii="Arial" w:hAnsi="Arial" w:cs="Arial"/>
      <w:b/>
      <w:bCs/>
      <w:kern w:val="32"/>
      <w:sz w:val="32"/>
      <w:szCs w:val="32"/>
      <w:lang w:val="en-US" w:eastAsia="en-US"/>
    </w:rPr>
  </w:style>
  <w:style w:type="character" w:customStyle="1" w:styleId="Heading2Char">
    <w:name w:val="Heading 2 Char"/>
    <w:basedOn w:val="DefaultParagraphFont"/>
    <w:link w:val="Heading2"/>
    <w:uiPriority w:val="9"/>
    <w:semiHidden/>
    <w:rsid w:val="0063681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636813"/>
    <w:rPr>
      <w:rFonts w:asciiTheme="majorHAnsi" w:eastAsiaTheme="majorEastAsia" w:hAnsiTheme="majorHAnsi" w:cstheme="majorBidi"/>
      <w:b/>
      <w:bCs/>
      <w:sz w:val="26"/>
      <w:szCs w:val="26"/>
    </w:rPr>
  </w:style>
  <w:style w:type="paragraph" w:styleId="TOC1">
    <w:name w:val="toc 1"/>
    <w:basedOn w:val="Normal"/>
    <w:next w:val="Normal"/>
    <w:autoRedefine/>
    <w:uiPriority w:val="39"/>
    <w:rsid w:val="009D1600"/>
    <w:pPr>
      <w:tabs>
        <w:tab w:val="right" w:leader="dot" w:pos="9350"/>
      </w:tabs>
    </w:pPr>
    <w:rPr>
      <w:rFonts w:ascii="Calibri" w:hAnsi="Calibri" w:cs="Calibri"/>
      <w:b/>
      <w:bCs/>
      <w:sz w:val="20"/>
      <w:szCs w:val="20"/>
    </w:rPr>
  </w:style>
  <w:style w:type="paragraph" w:styleId="TOC2">
    <w:name w:val="toc 2"/>
    <w:basedOn w:val="Normal"/>
    <w:next w:val="Normal"/>
    <w:autoRedefine/>
    <w:uiPriority w:val="39"/>
    <w:rsid w:val="000966CC"/>
    <w:pPr>
      <w:spacing w:before="120"/>
      <w:ind w:left="240"/>
    </w:pPr>
    <w:rPr>
      <w:rFonts w:ascii="Calibri" w:hAnsi="Calibri" w:cs="Calibri"/>
      <w:i/>
      <w:iCs/>
      <w:sz w:val="20"/>
      <w:szCs w:val="20"/>
    </w:rPr>
  </w:style>
  <w:style w:type="character" w:styleId="Hyperlink">
    <w:name w:val="Hyperlink"/>
    <w:basedOn w:val="DefaultParagraphFont"/>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basedOn w:val="DefaultParagraphFont"/>
    <w:link w:val="Footer"/>
    <w:uiPriority w:val="99"/>
    <w:semiHidden/>
    <w:rsid w:val="00636813"/>
    <w:rPr>
      <w:rFonts w:ascii="Arial" w:hAnsi="Arial" w:cs="Arial"/>
    </w:rPr>
  </w:style>
  <w:style w:type="character" w:styleId="PageNumber">
    <w:name w:val="page number"/>
    <w:basedOn w:val="DefaultParagraphFont"/>
    <w:uiPriority w:val="99"/>
    <w:rsid w:val="000966CC"/>
  </w:style>
  <w:style w:type="paragraph" w:styleId="Header">
    <w:name w:val="header"/>
    <w:basedOn w:val="Normal"/>
    <w:link w:val="HeaderChar"/>
    <w:uiPriority w:val="99"/>
    <w:rsid w:val="000966CC"/>
    <w:pPr>
      <w:tabs>
        <w:tab w:val="center" w:pos="4320"/>
        <w:tab w:val="right" w:pos="8640"/>
      </w:tabs>
    </w:pPr>
  </w:style>
  <w:style w:type="character" w:customStyle="1" w:styleId="HeaderChar">
    <w:name w:val="Header Char"/>
    <w:basedOn w:val="DefaultParagraphFont"/>
    <w:link w:val="Header"/>
    <w:uiPriority w:val="99"/>
    <w:semiHidden/>
    <w:rsid w:val="00636813"/>
    <w:rPr>
      <w:rFonts w:ascii="Arial" w:hAnsi="Arial" w:cs="Arial"/>
    </w:rPr>
  </w:style>
  <w:style w:type="paragraph" w:styleId="TOC3">
    <w:name w:val="toc 3"/>
    <w:basedOn w:val="Normal"/>
    <w:next w:val="Normal"/>
    <w:autoRedefine/>
    <w:uiPriority w:val="39"/>
    <w:rsid w:val="00D33677"/>
    <w:pPr>
      <w:ind w:left="480"/>
    </w:pPr>
    <w:rPr>
      <w:rFonts w:ascii="Calibri" w:hAnsi="Calibri" w:cs="Calibri"/>
      <w:sz w:val="20"/>
      <w:szCs w:val="20"/>
    </w:rPr>
  </w:style>
  <w:style w:type="paragraph" w:styleId="EndnoteText">
    <w:name w:val="endnote text"/>
    <w:basedOn w:val="Normal"/>
    <w:link w:val="EndnoteTextChar"/>
    <w:uiPriority w:val="99"/>
    <w:semiHidden/>
    <w:rsid w:val="004551F3"/>
    <w:rPr>
      <w:sz w:val="20"/>
      <w:szCs w:val="20"/>
    </w:rPr>
  </w:style>
  <w:style w:type="character" w:customStyle="1" w:styleId="EndnoteTextChar">
    <w:name w:val="Endnote Text Char"/>
    <w:basedOn w:val="DefaultParagraphFont"/>
    <w:link w:val="EndnoteText"/>
    <w:uiPriority w:val="99"/>
    <w:semiHidden/>
    <w:rsid w:val="00636813"/>
    <w:rPr>
      <w:rFonts w:ascii="Arial" w:hAnsi="Arial" w:cs="Arial"/>
      <w:sz w:val="20"/>
      <w:szCs w:val="20"/>
    </w:rPr>
  </w:style>
  <w:style w:type="character" w:styleId="EndnoteReference">
    <w:name w:val="endnote reference"/>
    <w:basedOn w:val="DefaultParagraphFont"/>
    <w:uiPriority w:val="99"/>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99"/>
    <w:rsid w:val="002154B2"/>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uiPriority w:val="99"/>
    <w:rsid w:val="000571F6"/>
    <w:rPr>
      <w:rFonts w:ascii="Arial" w:hAnsi="Arial"/>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rsid w:val="00B24A6F"/>
    <w:rPr>
      <w:rFonts w:ascii="Tahoma" w:hAnsi="Tahoma" w:cs="Tahoma"/>
      <w:sz w:val="16"/>
      <w:szCs w:val="16"/>
    </w:rPr>
  </w:style>
  <w:style w:type="character" w:customStyle="1" w:styleId="BalloonTextChar">
    <w:name w:val="Balloon Text Char"/>
    <w:basedOn w:val="DefaultParagraphFont"/>
    <w:link w:val="BalloonText"/>
    <w:uiPriority w:val="99"/>
    <w:semiHidden/>
    <w:rsid w:val="00636813"/>
    <w:rPr>
      <w:sz w:val="0"/>
      <w:szCs w:val="0"/>
    </w:rPr>
  </w:style>
  <w:style w:type="paragraph" w:styleId="Caption">
    <w:name w:val="caption"/>
    <w:basedOn w:val="Normal"/>
    <w:next w:val="Normal"/>
    <w:link w:val="CaptionChar"/>
    <w:uiPriority w:val="99"/>
    <w:qFormat/>
    <w:rsid w:val="00A7007B"/>
    <w:rPr>
      <w:rFonts w:cs="Times New Roman"/>
      <w:b/>
      <w:bCs/>
      <w:sz w:val="20"/>
      <w:szCs w:val="20"/>
    </w:rPr>
  </w:style>
  <w:style w:type="paragraph" w:styleId="TableofFigures">
    <w:name w:val="table of figures"/>
    <w:basedOn w:val="Normal"/>
    <w:next w:val="Normal"/>
    <w:uiPriority w:val="99"/>
    <w:semiHidden/>
    <w:rsid w:val="0054599C"/>
    <w:pPr>
      <w:ind w:left="480" w:hanging="480"/>
    </w:pPr>
    <w:rPr>
      <w:rFonts w:ascii="Calibri" w:hAnsi="Calibri" w:cs="Calibri"/>
      <w:b/>
      <w:bCs/>
      <w:sz w:val="20"/>
      <w:szCs w:val="20"/>
    </w:rPr>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basedOn w:val="DefaultParagraphFont"/>
    <w:uiPriority w:val="99"/>
    <w:rsid w:val="00EA4E02"/>
    <w:rPr>
      <w:rFonts w:cs="Times New Roman"/>
      <w:color w:val="800080"/>
      <w:u w:val="single"/>
    </w:rPr>
  </w:style>
  <w:style w:type="paragraph" w:customStyle="1" w:styleId="xl27">
    <w:name w:val="xl27"/>
    <w:basedOn w:val="Normal"/>
    <w:uiPriority w:val="99"/>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uiPriority w:val="99"/>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uiPriority w:val="99"/>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uiPriority w:val="99"/>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uiPriority w:val="99"/>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uiPriority w:val="99"/>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uiPriority w:val="99"/>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uiPriority w:val="99"/>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uiPriority w:val="99"/>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uiPriority w:val="99"/>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uiPriority w:val="99"/>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uiPriority w:val="99"/>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uiPriority w:val="99"/>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uiPriority w:val="99"/>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uiPriority w:val="99"/>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uiPriority w:val="99"/>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uiPriority w:val="99"/>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uiPriority w:val="99"/>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uiPriority w:val="99"/>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uiPriority w:val="99"/>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uiPriority w:val="99"/>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uiPriority w:val="99"/>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uiPriority w:val="99"/>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uiPriority w:val="99"/>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uiPriority w:val="99"/>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uiPriority w:val="99"/>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uiPriority w:val="99"/>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uiPriority w:val="99"/>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uiPriority w:val="99"/>
    <w:rsid w:val="00B351FD"/>
    <w:rPr>
      <w:rFonts w:ascii="Arial" w:hAnsi="Arial"/>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uiPriority w:val="99"/>
    <w:rsid w:val="00F652AB"/>
    <w:pPr>
      <w:tabs>
        <w:tab w:val="left" w:pos="-720"/>
      </w:tabs>
      <w:suppressAutoHyphens/>
      <w:spacing w:line="360" w:lineRule="auto"/>
      <w:ind w:firstLine="360"/>
    </w:pPr>
    <w:rPr>
      <w:rFonts w:ascii="Palatino" w:hAnsi="Palatino" w:cs="Palatino"/>
      <w:sz w:val="26"/>
      <w:szCs w:val="26"/>
    </w:rPr>
  </w:style>
  <w:style w:type="paragraph" w:styleId="DocumentMap">
    <w:name w:val="Document Map"/>
    <w:basedOn w:val="Normal"/>
    <w:link w:val="DocumentMapChar"/>
    <w:uiPriority w:val="99"/>
    <w:semiHidden/>
    <w:rsid w:val="00B008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636813"/>
    <w:rPr>
      <w:sz w:val="0"/>
      <w:szCs w:val="0"/>
    </w:rPr>
  </w:style>
  <w:style w:type="character" w:styleId="CommentReference">
    <w:name w:val="annotation reference"/>
    <w:basedOn w:val="DefaultParagraphFont"/>
    <w:uiPriority w:val="99"/>
    <w:semiHidden/>
    <w:rsid w:val="0042297B"/>
    <w:rPr>
      <w:rFonts w:cs="Times New Roman"/>
      <w:sz w:val="16"/>
      <w:szCs w:val="16"/>
    </w:rPr>
  </w:style>
  <w:style w:type="paragraph" w:styleId="CommentText">
    <w:name w:val="annotation text"/>
    <w:basedOn w:val="Normal"/>
    <w:link w:val="CommentTextChar"/>
    <w:uiPriority w:val="99"/>
    <w:semiHidden/>
    <w:rsid w:val="0042297B"/>
    <w:rPr>
      <w:sz w:val="20"/>
      <w:szCs w:val="20"/>
    </w:rPr>
  </w:style>
  <w:style w:type="character" w:customStyle="1" w:styleId="CommentTextChar">
    <w:name w:val="Comment Text Char"/>
    <w:basedOn w:val="DefaultParagraphFont"/>
    <w:link w:val="CommentText"/>
    <w:uiPriority w:val="99"/>
    <w:semiHidden/>
    <w:rsid w:val="00636813"/>
    <w:rPr>
      <w:rFonts w:ascii="Arial" w:hAnsi="Arial" w:cs="Arial"/>
      <w:sz w:val="20"/>
      <w:szCs w:val="20"/>
    </w:rPr>
  </w:style>
  <w:style w:type="paragraph" w:styleId="CommentSubject">
    <w:name w:val="annotation subject"/>
    <w:basedOn w:val="CommentText"/>
    <w:next w:val="CommentText"/>
    <w:link w:val="CommentSubjectChar"/>
    <w:uiPriority w:val="99"/>
    <w:semiHidden/>
    <w:rsid w:val="0042297B"/>
    <w:rPr>
      <w:b/>
      <w:bCs/>
    </w:rPr>
  </w:style>
  <w:style w:type="character" w:customStyle="1" w:styleId="CommentSubjectChar">
    <w:name w:val="Comment Subject Char"/>
    <w:basedOn w:val="CommentTextChar"/>
    <w:link w:val="CommentSubject"/>
    <w:uiPriority w:val="99"/>
    <w:semiHidden/>
    <w:rsid w:val="00636813"/>
    <w:rPr>
      <w:rFonts w:ascii="Arial" w:hAnsi="Arial" w:cs="Arial"/>
      <w:b/>
      <w:bCs/>
      <w:sz w:val="20"/>
      <w:szCs w:val="20"/>
    </w:rPr>
  </w:style>
  <w:style w:type="paragraph" w:styleId="FootnoteText">
    <w:name w:val="footnote text"/>
    <w:basedOn w:val="Normal"/>
    <w:link w:val="FootnoteTextChar"/>
    <w:uiPriority w:val="99"/>
    <w:semiHidden/>
    <w:rsid w:val="007475AA"/>
    <w:rPr>
      <w:sz w:val="20"/>
      <w:szCs w:val="20"/>
    </w:rPr>
  </w:style>
  <w:style w:type="character" w:customStyle="1" w:styleId="FootnoteTextChar">
    <w:name w:val="Footnote Text Char"/>
    <w:basedOn w:val="DefaultParagraphFont"/>
    <w:link w:val="FootnoteText"/>
    <w:uiPriority w:val="99"/>
    <w:semiHidden/>
    <w:rsid w:val="00636813"/>
    <w:rPr>
      <w:rFonts w:ascii="Arial" w:hAnsi="Arial" w:cs="Arial"/>
      <w:sz w:val="20"/>
      <w:szCs w:val="20"/>
    </w:rPr>
  </w:style>
  <w:style w:type="character" w:styleId="FootnoteReference">
    <w:name w:val="footnote reference"/>
    <w:basedOn w:val="DefaultParagraphFont"/>
    <w:uiPriority w:val="99"/>
    <w:semiHidden/>
    <w:rsid w:val="007475AA"/>
    <w:rPr>
      <w:rFonts w:cs="Times New Roman"/>
      <w:vertAlign w:val="superscript"/>
    </w:rPr>
  </w:style>
  <w:style w:type="paragraph" w:customStyle="1" w:styleId="Reminders">
    <w:name w:val="Reminders"/>
    <w:basedOn w:val="Normal"/>
    <w:link w:val="RemindersChar"/>
    <w:uiPriority w:val="99"/>
    <w:rsid w:val="001C2942"/>
    <w:pPr>
      <w:spacing w:before="40" w:after="40"/>
    </w:pPr>
    <w:rPr>
      <w:rFonts w:ascii="Trebuchet MS" w:hAnsi="Trebuchet MS" w:cs="Trebuchet MS"/>
      <w:i/>
      <w:iCs/>
      <w:color w:val="FF0000"/>
      <w:sz w:val="24"/>
      <w:szCs w:val="24"/>
    </w:rPr>
  </w:style>
  <w:style w:type="paragraph" w:customStyle="1" w:styleId="Reminder">
    <w:name w:val="Reminder"/>
    <w:basedOn w:val="Reminders"/>
    <w:link w:val="ReminderChar"/>
    <w:uiPriority w:val="99"/>
    <w:rsid w:val="001C2942"/>
  </w:style>
  <w:style w:type="character" w:customStyle="1" w:styleId="RemindersChar">
    <w:name w:val="Reminders Char"/>
    <w:link w:val="Reminders"/>
    <w:uiPriority w:val="99"/>
    <w:locked/>
    <w:rsid w:val="001C2942"/>
    <w:rPr>
      <w:rFonts w:ascii="Trebuchet MS" w:eastAsia="Times New Roman" w:hAnsi="Trebuchet MS" w:cs="Trebuchet MS"/>
      <w:i/>
      <w:iCs/>
      <w:color w:val="FF0000"/>
      <w:sz w:val="24"/>
      <w:szCs w:val="24"/>
      <w:lang w:val="en-US" w:eastAsia="en-US"/>
    </w:rPr>
  </w:style>
  <w:style w:type="character" w:customStyle="1" w:styleId="ReminderChar">
    <w:name w:val="Reminder Char"/>
    <w:link w:val="Reminder"/>
    <w:uiPriority w:val="99"/>
    <w:locked/>
    <w:rsid w:val="001C2942"/>
    <w:rPr>
      <w:rFonts w:ascii="Trebuchet MS" w:eastAsia="Times New Roman" w:hAnsi="Trebuchet MS" w:cs="Trebuchet MS"/>
      <w:i/>
      <w:iCs/>
      <w:color w:val="FF0000"/>
      <w:sz w:val="24"/>
      <w:szCs w:val="24"/>
      <w:lang w:val="en-US" w:eastAsia="en-US"/>
    </w:rPr>
  </w:style>
  <w:style w:type="character" w:customStyle="1" w:styleId="CaptionChar">
    <w:name w:val="Caption Char"/>
    <w:link w:val="Caption"/>
    <w:uiPriority w:val="99"/>
    <w:locked/>
    <w:rsid w:val="001C2942"/>
    <w:rPr>
      <w:rFonts w:cs="Times New Roman"/>
      <w:b/>
      <w:bCs/>
      <w:lang w:val="en-US" w:eastAsia="en-US"/>
    </w:rPr>
  </w:style>
  <w:style w:type="paragraph" w:styleId="Title">
    <w:name w:val="Title"/>
    <w:basedOn w:val="Normal"/>
    <w:next w:val="Normal"/>
    <w:link w:val="TitleChar"/>
    <w:uiPriority w:val="99"/>
    <w:qFormat/>
    <w:rsid w:val="002F3610"/>
    <w:pPr>
      <w:pBdr>
        <w:bottom w:val="single" w:sz="8" w:space="4" w:color="4F81BD"/>
      </w:pBdr>
      <w:spacing w:after="300"/>
    </w:pPr>
    <w:rPr>
      <w:rFonts w:ascii="Cambria" w:hAnsi="Cambria" w:cs="Cambria"/>
      <w:color w:val="17365D"/>
      <w:spacing w:val="5"/>
      <w:kern w:val="28"/>
      <w:sz w:val="52"/>
      <w:szCs w:val="52"/>
      <w:lang w:eastAsia="ko-KR"/>
    </w:rPr>
  </w:style>
  <w:style w:type="character" w:customStyle="1" w:styleId="TitleChar">
    <w:name w:val="Title Char"/>
    <w:basedOn w:val="DefaultParagraphFont"/>
    <w:link w:val="Title"/>
    <w:uiPriority w:val="99"/>
    <w:locked/>
    <w:rsid w:val="002F3610"/>
    <w:rPr>
      <w:rFonts w:ascii="Cambria" w:hAnsi="Cambria" w:cs="Cambria"/>
      <w:color w:val="17365D"/>
      <w:spacing w:val="5"/>
      <w:kern w:val="28"/>
      <w:sz w:val="52"/>
      <w:szCs w:val="52"/>
      <w:lang w:val="en-US" w:eastAsia="ko-KR"/>
    </w:rPr>
  </w:style>
  <w:style w:type="paragraph" w:customStyle="1" w:styleId="CharChar4">
    <w:name w:val="Char Char4"/>
    <w:basedOn w:val="Normal"/>
    <w:uiPriority w:val="99"/>
    <w:rsid w:val="00296DBC"/>
    <w:pPr>
      <w:spacing w:after="160" w:line="240" w:lineRule="exact"/>
    </w:pPr>
    <w:rPr>
      <w:rFonts w:ascii="Verdana" w:hAnsi="Verdana" w:cs="Verdana"/>
      <w:sz w:val="20"/>
      <w:szCs w:val="20"/>
    </w:rPr>
  </w:style>
  <w:style w:type="paragraph" w:styleId="Revision">
    <w:name w:val="Revision"/>
    <w:hidden/>
    <w:uiPriority w:val="99"/>
    <w:semiHidden/>
    <w:rsid w:val="00402211"/>
    <w:rPr>
      <w:rFonts w:ascii="Arial" w:hAnsi="Arial"/>
      <w:sz w:val="24"/>
      <w:szCs w:val="24"/>
    </w:rPr>
  </w:style>
  <w:style w:type="paragraph" w:customStyle="1" w:styleId="CharChar42">
    <w:name w:val="Char Char42"/>
    <w:basedOn w:val="Normal"/>
    <w:uiPriority w:val="99"/>
    <w:rsid w:val="00221248"/>
    <w:pPr>
      <w:spacing w:after="160" w:line="240" w:lineRule="exact"/>
    </w:pPr>
    <w:rPr>
      <w:rFonts w:ascii="Verdana" w:hAnsi="Verdana" w:cs="Verdana"/>
      <w:sz w:val="20"/>
      <w:szCs w:val="20"/>
    </w:rPr>
  </w:style>
  <w:style w:type="paragraph" w:customStyle="1" w:styleId="CharChar41">
    <w:name w:val="Char Char41"/>
    <w:basedOn w:val="Normal"/>
    <w:uiPriority w:val="99"/>
    <w:rsid w:val="003B1D93"/>
    <w:pPr>
      <w:spacing w:after="160" w:line="240" w:lineRule="exact"/>
    </w:pPr>
    <w:rPr>
      <w:rFonts w:ascii="Verdana" w:hAnsi="Verdana" w:cs="Verdana"/>
      <w:sz w:val="20"/>
      <w:szCs w:val="20"/>
    </w:rPr>
  </w:style>
  <w:style w:type="paragraph" w:styleId="TOC4">
    <w:name w:val="toc 4"/>
    <w:basedOn w:val="Normal"/>
    <w:next w:val="Normal"/>
    <w:autoRedefine/>
    <w:uiPriority w:val="99"/>
    <w:semiHidden/>
    <w:rsid w:val="009C5E3F"/>
    <w:pPr>
      <w:ind w:left="720"/>
    </w:pPr>
    <w:rPr>
      <w:rFonts w:ascii="Calibri" w:hAnsi="Calibri" w:cs="Calibri"/>
      <w:sz w:val="20"/>
      <w:szCs w:val="20"/>
    </w:rPr>
  </w:style>
  <w:style w:type="paragraph" w:styleId="TOC5">
    <w:name w:val="toc 5"/>
    <w:basedOn w:val="Normal"/>
    <w:next w:val="Normal"/>
    <w:autoRedefine/>
    <w:uiPriority w:val="99"/>
    <w:semiHidden/>
    <w:rsid w:val="009C5E3F"/>
    <w:pPr>
      <w:ind w:left="960"/>
    </w:pPr>
    <w:rPr>
      <w:rFonts w:ascii="Calibri" w:hAnsi="Calibri" w:cs="Calibri"/>
      <w:sz w:val="20"/>
      <w:szCs w:val="20"/>
    </w:rPr>
  </w:style>
  <w:style w:type="paragraph" w:styleId="TOC6">
    <w:name w:val="toc 6"/>
    <w:basedOn w:val="Normal"/>
    <w:next w:val="Normal"/>
    <w:autoRedefine/>
    <w:uiPriority w:val="99"/>
    <w:semiHidden/>
    <w:rsid w:val="009C5E3F"/>
    <w:pPr>
      <w:ind w:left="1200"/>
    </w:pPr>
    <w:rPr>
      <w:rFonts w:ascii="Calibri" w:hAnsi="Calibri" w:cs="Calibri"/>
      <w:sz w:val="20"/>
      <w:szCs w:val="20"/>
    </w:rPr>
  </w:style>
  <w:style w:type="paragraph" w:styleId="TOC7">
    <w:name w:val="toc 7"/>
    <w:basedOn w:val="Normal"/>
    <w:next w:val="Normal"/>
    <w:autoRedefine/>
    <w:uiPriority w:val="99"/>
    <w:semiHidden/>
    <w:rsid w:val="009C5E3F"/>
    <w:pPr>
      <w:ind w:left="1440"/>
    </w:pPr>
    <w:rPr>
      <w:rFonts w:ascii="Calibri" w:hAnsi="Calibri" w:cs="Calibri"/>
      <w:sz w:val="20"/>
      <w:szCs w:val="20"/>
    </w:rPr>
  </w:style>
  <w:style w:type="paragraph" w:styleId="TOC8">
    <w:name w:val="toc 8"/>
    <w:basedOn w:val="Normal"/>
    <w:next w:val="Normal"/>
    <w:autoRedefine/>
    <w:uiPriority w:val="99"/>
    <w:semiHidden/>
    <w:rsid w:val="009C5E3F"/>
    <w:pPr>
      <w:ind w:left="1680"/>
    </w:pPr>
    <w:rPr>
      <w:rFonts w:ascii="Calibri" w:hAnsi="Calibri" w:cs="Calibri"/>
      <w:sz w:val="20"/>
      <w:szCs w:val="20"/>
    </w:rPr>
  </w:style>
  <w:style w:type="paragraph" w:styleId="TOC9">
    <w:name w:val="toc 9"/>
    <w:basedOn w:val="Normal"/>
    <w:next w:val="Normal"/>
    <w:autoRedefine/>
    <w:uiPriority w:val="99"/>
    <w:semiHidden/>
    <w:rsid w:val="009C5E3F"/>
    <w:pPr>
      <w:ind w:left="1920"/>
    </w:pPr>
    <w:rPr>
      <w:rFonts w:ascii="Calibri" w:hAnsi="Calibri" w:cs="Calibri"/>
      <w:sz w:val="20"/>
      <w:szCs w:val="20"/>
    </w:rPr>
  </w:style>
  <w:style w:type="paragraph" w:styleId="ListParagraph">
    <w:name w:val="List Paragraph"/>
    <w:basedOn w:val="Normal"/>
    <w:uiPriority w:val="99"/>
    <w:qFormat/>
    <w:rsid w:val="00A11F79"/>
    <w:pPr>
      <w:ind w:left="720"/>
    </w:pPr>
    <w:rPr>
      <w:rFonts w:ascii="Calibri" w:hAnsi="Calibri" w:cs="Calibri"/>
    </w:rPr>
  </w:style>
  <w:style w:type="character" w:styleId="Strong">
    <w:name w:val="Strong"/>
    <w:basedOn w:val="DefaultParagraphFont"/>
    <w:uiPriority w:val="99"/>
    <w:qFormat/>
    <w:rsid w:val="005A0524"/>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able of figures"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B6C"/>
    <w:rPr>
      <w:rFonts w:ascii="Arial" w:hAnsi="Arial" w:cs="Arial"/>
    </w:rPr>
  </w:style>
  <w:style w:type="paragraph" w:styleId="Heading1">
    <w:name w:val="heading 1"/>
    <w:basedOn w:val="Normal"/>
    <w:next w:val="Normal"/>
    <w:link w:val="Heading1Char"/>
    <w:uiPriority w:val="99"/>
    <w:qFormat/>
    <w:rsid w:val="00E71EF1"/>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71EF1"/>
    <w:pPr>
      <w:keepNext/>
      <w:spacing w:before="240" w:after="60"/>
      <w:outlineLvl w:val="1"/>
    </w:pPr>
    <w:rPr>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3610"/>
    <w:rPr>
      <w:rFonts w:ascii="Arial" w:hAnsi="Arial" w:cs="Arial"/>
      <w:b/>
      <w:bCs/>
      <w:kern w:val="32"/>
      <w:sz w:val="32"/>
      <w:szCs w:val="32"/>
      <w:lang w:val="en-US" w:eastAsia="en-US"/>
    </w:rPr>
  </w:style>
  <w:style w:type="character" w:customStyle="1" w:styleId="Heading2Char">
    <w:name w:val="Heading 2 Char"/>
    <w:basedOn w:val="DefaultParagraphFont"/>
    <w:link w:val="Heading2"/>
    <w:uiPriority w:val="9"/>
    <w:semiHidden/>
    <w:rsid w:val="0063681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636813"/>
    <w:rPr>
      <w:rFonts w:asciiTheme="majorHAnsi" w:eastAsiaTheme="majorEastAsia" w:hAnsiTheme="majorHAnsi" w:cstheme="majorBidi"/>
      <w:b/>
      <w:bCs/>
      <w:sz w:val="26"/>
      <w:szCs w:val="26"/>
    </w:rPr>
  </w:style>
  <w:style w:type="paragraph" w:styleId="TOC1">
    <w:name w:val="toc 1"/>
    <w:basedOn w:val="Normal"/>
    <w:next w:val="Normal"/>
    <w:autoRedefine/>
    <w:uiPriority w:val="39"/>
    <w:rsid w:val="009D1600"/>
    <w:pPr>
      <w:tabs>
        <w:tab w:val="right" w:leader="dot" w:pos="9350"/>
      </w:tabs>
    </w:pPr>
    <w:rPr>
      <w:rFonts w:ascii="Calibri" w:hAnsi="Calibri" w:cs="Calibri"/>
      <w:b/>
      <w:bCs/>
      <w:sz w:val="20"/>
      <w:szCs w:val="20"/>
    </w:rPr>
  </w:style>
  <w:style w:type="paragraph" w:styleId="TOC2">
    <w:name w:val="toc 2"/>
    <w:basedOn w:val="Normal"/>
    <w:next w:val="Normal"/>
    <w:autoRedefine/>
    <w:uiPriority w:val="39"/>
    <w:rsid w:val="000966CC"/>
    <w:pPr>
      <w:spacing w:before="120"/>
      <w:ind w:left="240"/>
    </w:pPr>
    <w:rPr>
      <w:rFonts w:ascii="Calibri" w:hAnsi="Calibri" w:cs="Calibri"/>
      <w:i/>
      <w:iCs/>
      <w:sz w:val="20"/>
      <w:szCs w:val="20"/>
    </w:rPr>
  </w:style>
  <w:style w:type="character" w:styleId="Hyperlink">
    <w:name w:val="Hyperlink"/>
    <w:basedOn w:val="DefaultParagraphFont"/>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basedOn w:val="DefaultParagraphFont"/>
    <w:link w:val="Footer"/>
    <w:uiPriority w:val="99"/>
    <w:semiHidden/>
    <w:rsid w:val="00636813"/>
    <w:rPr>
      <w:rFonts w:ascii="Arial" w:hAnsi="Arial" w:cs="Arial"/>
    </w:rPr>
  </w:style>
  <w:style w:type="character" w:styleId="PageNumber">
    <w:name w:val="page number"/>
    <w:basedOn w:val="DefaultParagraphFont"/>
    <w:uiPriority w:val="99"/>
    <w:rsid w:val="000966CC"/>
  </w:style>
  <w:style w:type="paragraph" w:styleId="Header">
    <w:name w:val="header"/>
    <w:basedOn w:val="Normal"/>
    <w:link w:val="HeaderChar"/>
    <w:uiPriority w:val="99"/>
    <w:rsid w:val="000966CC"/>
    <w:pPr>
      <w:tabs>
        <w:tab w:val="center" w:pos="4320"/>
        <w:tab w:val="right" w:pos="8640"/>
      </w:tabs>
    </w:pPr>
  </w:style>
  <w:style w:type="character" w:customStyle="1" w:styleId="HeaderChar">
    <w:name w:val="Header Char"/>
    <w:basedOn w:val="DefaultParagraphFont"/>
    <w:link w:val="Header"/>
    <w:uiPriority w:val="99"/>
    <w:semiHidden/>
    <w:rsid w:val="00636813"/>
    <w:rPr>
      <w:rFonts w:ascii="Arial" w:hAnsi="Arial" w:cs="Arial"/>
    </w:rPr>
  </w:style>
  <w:style w:type="paragraph" w:styleId="TOC3">
    <w:name w:val="toc 3"/>
    <w:basedOn w:val="Normal"/>
    <w:next w:val="Normal"/>
    <w:autoRedefine/>
    <w:uiPriority w:val="39"/>
    <w:rsid w:val="00D33677"/>
    <w:pPr>
      <w:ind w:left="480"/>
    </w:pPr>
    <w:rPr>
      <w:rFonts w:ascii="Calibri" w:hAnsi="Calibri" w:cs="Calibri"/>
      <w:sz w:val="20"/>
      <w:szCs w:val="20"/>
    </w:rPr>
  </w:style>
  <w:style w:type="paragraph" w:styleId="EndnoteText">
    <w:name w:val="endnote text"/>
    <w:basedOn w:val="Normal"/>
    <w:link w:val="EndnoteTextChar"/>
    <w:uiPriority w:val="99"/>
    <w:semiHidden/>
    <w:rsid w:val="004551F3"/>
    <w:rPr>
      <w:sz w:val="20"/>
      <w:szCs w:val="20"/>
    </w:rPr>
  </w:style>
  <w:style w:type="character" w:customStyle="1" w:styleId="EndnoteTextChar">
    <w:name w:val="Endnote Text Char"/>
    <w:basedOn w:val="DefaultParagraphFont"/>
    <w:link w:val="EndnoteText"/>
    <w:uiPriority w:val="99"/>
    <w:semiHidden/>
    <w:rsid w:val="00636813"/>
    <w:rPr>
      <w:rFonts w:ascii="Arial" w:hAnsi="Arial" w:cs="Arial"/>
      <w:sz w:val="20"/>
      <w:szCs w:val="20"/>
    </w:rPr>
  </w:style>
  <w:style w:type="character" w:styleId="EndnoteReference">
    <w:name w:val="endnote reference"/>
    <w:basedOn w:val="DefaultParagraphFont"/>
    <w:uiPriority w:val="99"/>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99"/>
    <w:rsid w:val="002154B2"/>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uiPriority w:val="99"/>
    <w:rsid w:val="000571F6"/>
    <w:rPr>
      <w:rFonts w:ascii="Arial" w:hAnsi="Arial"/>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rsid w:val="00B24A6F"/>
    <w:rPr>
      <w:rFonts w:ascii="Tahoma" w:hAnsi="Tahoma" w:cs="Tahoma"/>
      <w:sz w:val="16"/>
      <w:szCs w:val="16"/>
    </w:rPr>
  </w:style>
  <w:style w:type="character" w:customStyle="1" w:styleId="BalloonTextChar">
    <w:name w:val="Balloon Text Char"/>
    <w:basedOn w:val="DefaultParagraphFont"/>
    <w:link w:val="BalloonText"/>
    <w:uiPriority w:val="99"/>
    <w:semiHidden/>
    <w:rsid w:val="00636813"/>
    <w:rPr>
      <w:sz w:val="0"/>
      <w:szCs w:val="0"/>
    </w:rPr>
  </w:style>
  <w:style w:type="paragraph" w:styleId="Caption">
    <w:name w:val="caption"/>
    <w:basedOn w:val="Normal"/>
    <w:next w:val="Normal"/>
    <w:link w:val="CaptionChar"/>
    <w:uiPriority w:val="99"/>
    <w:qFormat/>
    <w:rsid w:val="00A7007B"/>
    <w:rPr>
      <w:rFonts w:cs="Times New Roman"/>
      <w:b/>
      <w:bCs/>
      <w:sz w:val="20"/>
      <w:szCs w:val="20"/>
    </w:rPr>
  </w:style>
  <w:style w:type="paragraph" w:styleId="TableofFigures">
    <w:name w:val="table of figures"/>
    <w:basedOn w:val="Normal"/>
    <w:next w:val="Normal"/>
    <w:uiPriority w:val="99"/>
    <w:semiHidden/>
    <w:rsid w:val="0054599C"/>
    <w:pPr>
      <w:ind w:left="480" w:hanging="480"/>
    </w:pPr>
    <w:rPr>
      <w:rFonts w:ascii="Calibri" w:hAnsi="Calibri" w:cs="Calibri"/>
      <w:b/>
      <w:bCs/>
      <w:sz w:val="20"/>
      <w:szCs w:val="20"/>
    </w:rPr>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basedOn w:val="DefaultParagraphFont"/>
    <w:uiPriority w:val="99"/>
    <w:rsid w:val="00EA4E02"/>
    <w:rPr>
      <w:rFonts w:cs="Times New Roman"/>
      <w:color w:val="800080"/>
      <w:u w:val="single"/>
    </w:rPr>
  </w:style>
  <w:style w:type="paragraph" w:customStyle="1" w:styleId="xl27">
    <w:name w:val="xl27"/>
    <w:basedOn w:val="Normal"/>
    <w:uiPriority w:val="99"/>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uiPriority w:val="99"/>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uiPriority w:val="99"/>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uiPriority w:val="99"/>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uiPriority w:val="99"/>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uiPriority w:val="99"/>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uiPriority w:val="99"/>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uiPriority w:val="99"/>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uiPriority w:val="99"/>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uiPriority w:val="99"/>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uiPriority w:val="99"/>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uiPriority w:val="99"/>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uiPriority w:val="99"/>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uiPriority w:val="99"/>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uiPriority w:val="99"/>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uiPriority w:val="99"/>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uiPriority w:val="99"/>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uiPriority w:val="99"/>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uiPriority w:val="99"/>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uiPriority w:val="99"/>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uiPriority w:val="99"/>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uiPriority w:val="99"/>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uiPriority w:val="99"/>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uiPriority w:val="99"/>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uiPriority w:val="99"/>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uiPriority w:val="99"/>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uiPriority w:val="99"/>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uiPriority w:val="99"/>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uiPriority w:val="99"/>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uiPriority w:val="99"/>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uiPriority w:val="99"/>
    <w:rsid w:val="00B351FD"/>
    <w:rPr>
      <w:rFonts w:ascii="Arial" w:hAnsi="Arial"/>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uiPriority w:val="99"/>
    <w:rsid w:val="00F652AB"/>
    <w:pPr>
      <w:tabs>
        <w:tab w:val="left" w:pos="-720"/>
      </w:tabs>
      <w:suppressAutoHyphens/>
      <w:spacing w:line="360" w:lineRule="auto"/>
      <w:ind w:firstLine="360"/>
    </w:pPr>
    <w:rPr>
      <w:rFonts w:ascii="Palatino" w:hAnsi="Palatino" w:cs="Palatino"/>
      <w:sz w:val="26"/>
      <w:szCs w:val="26"/>
    </w:rPr>
  </w:style>
  <w:style w:type="paragraph" w:styleId="DocumentMap">
    <w:name w:val="Document Map"/>
    <w:basedOn w:val="Normal"/>
    <w:link w:val="DocumentMapChar"/>
    <w:uiPriority w:val="99"/>
    <w:semiHidden/>
    <w:rsid w:val="00B008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636813"/>
    <w:rPr>
      <w:sz w:val="0"/>
      <w:szCs w:val="0"/>
    </w:rPr>
  </w:style>
  <w:style w:type="character" w:styleId="CommentReference">
    <w:name w:val="annotation reference"/>
    <w:basedOn w:val="DefaultParagraphFont"/>
    <w:uiPriority w:val="99"/>
    <w:semiHidden/>
    <w:rsid w:val="0042297B"/>
    <w:rPr>
      <w:rFonts w:cs="Times New Roman"/>
      <w:sz w:val="16"/>
      <w:szCs w:val="16"/>
    </w:rPr>
  </w:style>
  <w:style w:type="paragraph" w:styleId="CommentText">
    <w:name w:val="annotation text"/>
    <w:basedOn w:val="Normal"/>
    <w:link w:val="CommentTextChar"/>
    <w:uiPriority w:val="99"/>
    <w:semiHidden/>
    <w:rsid w:val="0042297B"/>
    <w:rPr>
      <w:sz w:val="20"/>
      <w:szCs w:val="20"/>
    </w:rPr>
  </w:style>
  <w:style w:type="character" w:customStyle="1" w:styleId="CommentTextChar">
    <w:name w:val="Comment Text Char"/>
    <w:basedOn w:val="DefaultParagraphFont"/>
    <w:link w:val="CommentText"/>
    <w:uiPriority w:val="99"/>
    <w:semiHidden/>
    <w:rsid w:val="00636813"/>
    <w:rPr>
      <w:rFonts w:ascii="Arial" w:hAnsi="Arial" w:cs="Arial"/>
      <w:sz w:val="20"/>
      <w:szCs w:val="20"/>
    </w:rPr>
  </w:style>
  <w:style w:type="paragraph" w:styleId="CommentSubject">
    <w:name w:val="annotation subject"/>
    <w:basedOn w:val="CommentText"/>
    <w:next w:val="CommentText"/>
    <w:link w:val="CommentSubjectChar"/>
    <w:uiPriority w:val="99"/>
    <w:semiHidden/>
    <w:rsid w:val="0042297B"/>
    <w:rPr>
      <w:b/>
      <w:bCs/>
    </w:rPr>
  </w:style>
  <w:style w:type="character" w:customStyle="1" w:styleId="CommentSubjectChar">
    <w:name w:val="Comment Subject Char"/>
    <w:basedOn w:val="CommentTextChar"/>
    <w:link w:val="CommentSubject"/>
    <w:uiPriority w:val="99"/>
    <w:semiHidden/>
    <w:rsid w:val="00636813"/>
    <w:rPr>
      <w:rFonts w:ascii="Arial" w:hAnsi="Arial" w:cs="Arial"/>
      <w:b/>
      <w:bCs/>
      <w:sz w:val="20"/>
      <w:szCs w:val="20"/>
    </w:rPr>
  </w:style>
  <w:style w:type="paragraph" w:styleId="FootnoteText">
    <w:name w:val="footnote text"/>
    <w:basedOn w:val="Normal"/>
    <w:link w:val="FootnoteTextChar"/>
    <w:uiPriority w:val="99"/>
    <w:semiHidden/>
    <w:rsid w:val="007475AA"/>
    <w:rPr>
      <w:sz w:val="20"/>
      <w:szCs w:val="20"/>
    </w:rPr>
  </w:style>
  <w:style w:type="character" w:customStyle="1" w:styleId="FootnoteTextChar">
    <w:name w:val="Footnote Text Char"/>
    <w:basedOn w:val="DefaultParagraphFont"/>
    <w:link w:val="FootnoteText"/>
    <w:uiPriority w:val="99"/>
    <w:semiHidden/>
    <w:rsid w:val="00636813"/>
    <w:rPr>
      <w:rFonts w:ascii="Arial" w:hAnsi="Arial" w:cs="Arial"/>
      <w:sz w:val="20"/>
      <w:szCs w:val="20"/>
    </w:rPr>
  </w:style>
  <w:style w:type="character" w:styleId="FootnoteReference">
    <w:name w:val="footnote reference"/>
    <w:basedOn w:val="DefaultParagraphFont"/>
    <w:uiPriority w:val="99"/>
    <w:semiHidden/>
    <w:rsid w:val="007475AA"/>
    <w:rPr>
      <w:rFonts w:cs="Times New Roman"/>
      <w:vertAlign w:val="superscript"/>
    </w:rPr>
  </w:style>
  <w:style w:type="paragraph" w:customStyle="1" w:styleId="Reminders">
    <w:name w:val="Reminders"/>
    <w:basedOn w:val="Normal"/>
    <w:link w:val="RemindersChar"/>
    <w:uiPriority w:val="99"/>
    <w:rsid w:val="001C2942"/>
    <w:pPr>
      <w:spacing w:before="40" w:after="40"/>
    </w:pPr>
    <w:rPr>
      <w:rFonts w:ascii="Trebuchet MS" w:hAnsi="Trebuchet MS" w:cs="Trebuchet MS"/>
      <w:i/>
      <w:iCs/>
      <w:color w:val="FF0000"/>
      <w:sz w:val="24"/>
      <w:szCs w:val="24"/>
    </w:rPr>
  </w:style>
  <w:style w:type="paragraph" w:customStyle="1" w:styleId="Reminder">
    <w:name w:val="Reminder"/>
    <w:basedOn w:val="Reminders"/>
    <w:link w:val="ReminderChar"/>
    <w:uiPriority w:val="99"/>
    <w:rsid w:val="001C2942"/>
  </w:style>
  <w:style w:type="character" w:customStyle="1" w:styleId="RemindersChar">
    <w:name w:val="Reminders Char"/>
    <w:link w:val="Reminders"/>
    <w:uiPriority w:val="99"/>
    <w:locked/>
    <w:rsid w:val="001C2942"/>
    <w:rPr>
      <w:rFonts w:ascii="Trebuchet MS" w:eastAsia="Times New Roman" w:hAnsi="Trebuchet MS" w:cs="Trebuchet MS"/>
      <w:i/>
      <w:iCs/>
      <w:color w:val="FF0000"/>
      <w:sz w:val="24"/>
      <w:szCs w:val="24"/>
      <w:lang w:val="en-US" w:eastAsia="en-US"/>
    </w:rPr>
  </w:style>
  <w:style w:type="character" w:customStyle="1" w:styleId="ReminderChar">
    <w:name w:val="Reminder Char"/>
    <w:link w:val="Reminder"/>
    <w:uiPriority w:val="99"/>
    <w:locked/>
    <w:rsid w:val="001C2942"/>
    <w:rPr>
      <w:rFonts w:ascii="Trebuchet MS" w:eastAsia="Times New Roman" w:hAnsi="Trebuchet MS" w:cs="Trebuchet MS"/>
      <w:i/>
      <w:iCs/>
      <w:color w:val="FF0000"/>
      <w:sz w:val="24"/>
      <w:szCs w:val="24"/>
      <w:lang w:val="en-US" w:eastAsia="en-US"/>
    </w:rPr>
  </w:style>
  <w:style w:type="character" w:customStyle="1" w:styleId="CaptionChar">
    <w:name w:val="Caption Char"/>
    <w:link w:val="Caption"/>
    <w:uiPriority w:val="99"/>
    <w:locked/>
    <w:rsid w:val="001C2942"/>
    <w:rPr>
      <w:rFonts w:cs="Times New Roman"/>
      <w:b/>
      <w:bCs/>
      <w:lang w:val="en-US" w:eastAsia="en-US"/>
    </w:rPr>
  </w:style>
  <w:style w:type="paragraph" w:styleId="Title">
    <w:name w:val="Title"/>
    <w:basedOn w:val="Normal"/>
    <w:next w:val="Normal"/>
    <w:link w:val="TitleChar"/>
    <w:uiPriority w:val="99"/>
    <w:qFormat/>
    <w:rsid w:val="002F3610"/>
    <w:pPr>
      <w:pBdr>
        <w:bottom w:val="single" w:sz="8" w:space="4" w:color="4F81BD"/>
      </w:pBdr>
      <w:spacing w:after="300"/>
    </w:pPr>
    <w:rPr>
      <w:rFonts w:ascii="Cambria" w:hAnsi="Cambria" w:cs="Cambria"/>
      <w:color w:val="17365D"/>
      <w:spacing w:val="5"/>
      <w:kern w:val="28"/>
      <w:sz w:val="52"/>
      <w:szCs w:val="52"/>
      <w:lang w:eastAsia="ko-KR"/>
    </w:rPr>
  </w:style>
  <w:style w:type="character" w:customStyle="1" w:styleId="TitleChar">
    <w:name w:val="Title Char"/>
    <w:basedOn w:val="DefaultParagraphFont"/>
    <w:link w:val="Title"/>
    <w:uiPriority w:val="99"/>
    <w:locked/>
    <w:rsid w:val="002F3610"/>
    <w:rPr>
      <w:rFonts w:ascii="Cambria" w:hAnsi="Cambria" w:cs="Cambria"/>
      <w:color w:val="17365D"/>
      <w:spacing w:val="5"/>
      <w:kern w:val="28"/>
      <w:sz w:val="52"/>
      <w:szCs w:val="52"/>
      <w:lang w:val="en-US" w:eastAsia="ko-KR"/>
    </w:rPr>
  </w:style>
  <w:style w:type="paragraph" w:customStyle="1" w:styleId="CharChar4">
    <w:name w:val="Char Char4"/>
    <w:basedOn w:val="Normal"/>
    <w:uiPriority w:val="99"/>
    <w:rsid w:val="00296DBC"/>
    <w:pPr>
      <w:spacing w:after="160" w:line="240" w:lineRule="exact"/>
    </w:pPr>
    <w:rPr>
      <w:rFonts w:ascii="Verdana" w:hAnsi="Verdana" w:cs="Verdana"/>
      <w:sz w:val="20"/>
      <w:szCs w:val="20"/>
    </w:rPr>
  </w:style>
  <w:style w:type="paragraph" w:styleId="Revision">
    <w:name w:val="Revision"/>
    <w:hidden/>
    <w:uiPriority w:val="99"/>
    <w:semiHidden/>
    <w:rsid w:val="00402211"/>
    <w:rPr>
      <w:rFonts w:ascii="Arial" w:hAnsi="Arial"/>
      <w:sz w:val="24"/>
      <w:szCs w:val="24"/>
    </w:rPr>
  </w:style>
  <w:style w:type="paragraph" w:customStyle="1" w:styleId="CharChar42">
    <w:name w:val="Char Char42"/>
    <w:basedOn w:val="Normal"/>
    <w:uiPriority w:val="99"/>
    <w:rsid w:val="00221248"/>
    <w:pPr>
      <w:spacing w:after="160" w:line="240" w:lineRule="exact"/>
    </w:pPr>
    <w:rPr>
      <w:rFonts w:ascii="Verdana" w:hAnsi="Verdana" w:cs="Verdana"/>
      <w:sz w:val="20"/>
      <w:szCs w:val="20"/>
    </w:rPr>
  </w:style>
  <w:style w:type="paragraph" w:customStyle="1" w:styleId="CharChar41">
    <w:name w:val="Char Char41"/>
    <w:basedOn w:val="Normal"/>
    <w:uiPriority w:val="99"/>
    <w:rsid w:val="003B1D93"/>
    <w:pPr>
      <w:spacing w:after="160" w:line="240" w:lineRule="exact"/>
    </w:pPr>
    <w:rPr>
      <w:rFonts w:ascii="Verdana" w:hAnsi="Verdana" w:cs="Verdana"/>
      <w:sz w:val="20"/>
      <w:szCs w:val="20"/>
    </w:rPr>
  </w:style>
  <w:style w:type="paragraph" w:styleId="TOC4">
    <w:name w:val="toc 4"/>
    <w:basedOn w:val="Normal"/>
    <w:next w:val="Normal"/>
    <w:autoRedefine/>
    <w:uiPriority w:val="99"/>
    <w:semiHidden/>
    <w:rsid w:val="009C5E3F"/>
    <w:pPr>
      <w:ind w:left="720"/>
    </w:pPr>
    <w:rPr>
      <w:rFonts w:ascii="Calibri" w:hAnsi="Calibri" w:cs="Calibri"/>
      <w:sz w:val="20"/>
      <w:szCs w:val="20"/>
    </w:rPr>
  </w:style>
  <w:style w:type="paragraph" w:styleId="TOC5">
    <w:name w:val="toc 5"/>
    <w:basedOn w:val="Normal"/>
    <w:next w:val="Normal"/>
    <w:autoRedefine/>
    <w:uiPriority w:val="99"/>
    <w:semiHidden/>
    <w:rsid w:val="009C5E3F"/>
    <w:pPr>
      <w:ind w:left="960"/>
    </w:pPr>
    <w:rPr>
      <w:rFonts w:ascii="Calibri" w:hAnsi="Calibri" w:cs="Calibri"/>
      <w:sz w:val="20"/>
      <w:szCs w:val="20"/>
    </w:rPr>
  </w:style>
  <w:style w:type="paragraph" w:styleId="TOC6">
    <w:name w:val="toc 6"/>
    <w:basedOn w:val="Normal"/>
    <w:next w:val="Normal"/>
    <w:autoRedefine/>
    <w:uiPriority w:val="99"/>
    <w:semiHidden/>
    <w:rsid w:val="009C5E3F"/>
    <w:pPr>
      <w:ind w:left="1200"/>
    </w:pPr>
    <w:rPr>
      <w:rFonts w:ascii="Calibri" w:hAnsi="Calibri" w:cs="Calibri"/>
      <w:sz w:val="20"/>
      <w:szCs w:val="20"/>
    </w:rPr>
  </w:style>
  <w:style w:type="paragraph" w:styleId="TOC7">
    <w:name w:val="toc 7"/>
    <w:basedOn w:val="Normal"/>
    <w:next w:val="Normal"/>
    <w:autoRedefine/>
    <w:uiPriority w:val="99"/>
    <w:semiHidden/>
    <w:rsid w:val="009C5E3F"/>
    <w:pPr>
      <w:ind w:left="1440"/>
    </w:pPr>
    <w:rPr>
      <w:rFonts w:ascii="Calibri" w:hAnsi="Calibri" w:cs="Calibri"/>
      <w:sz w:val="20"/>
      <w:szCs w:val="20"/>
    </w:rPr>
  </w:style>
  <w:style w:type="paragraph" w:styleId="TOC8">
    <w:name w:val="toc 8"/>
    <w:basedOn w:val="Normal"/>
    <w:next w:val="Normal"/>
    <w:autoRedefine/>
    <w:uiPriority w:val="99"/>
    <w:semiHidden/>
    <w:rsid w:val="009C5E3F"/>
    <w:pPr>
      <w:ind w:left="1680"/>
    </w:pPr>
    <w:rPr>
      <w:rFonts w:ascii="Calibri" w:hAnsi="Calibri" w:cs="Calibri"/>
      <w:sz w:val="20"/>
      <w:szCs w:val="20"/>
    </w:rPr>
  </w:style>
  <w:style w:type="paragraph" w:styleId="TOC9">
    <w:name w:val="toc 9"/>
    <w:basedOn w:val="Normal"/>
    <w:next w:val="Normal"/>
    <w:autoRedefine/>
    <w:uiPriority w:val="99"/>
    <w:semiHidden/>
    <w:rsid w:val="009C5E3F"/>
    <w:pPr>
      <w:ind w:left="1920"/>
    </w:pPr>
    <w:rPr>
      <w:rFonts w:ascii="Calibri" w:hAnsi="Calibri" w:cs="Calibri"/>
      <w:sz w:val="20"/>
      <w:szCs w:val="20"/>
    </w:rPr>
  </w:style>
  <w:style w:type="paragraph" w:styleId="ListParagraph">
    <w:name w:val="List Paragraph"/>
    <w:basedOn w:val="Normal"/>
    <w:uiPriority w:val="99"/>
    <w:qFormat/>
    <w:rsid w:val="00A11F79"/>
    <w:pPr>
      <w:ind w:left="720"/>
    </w:pPr>
    <w:rPr>
      <w:rFonts w:ascii="Calibri" w:hAnsi="Calibri" w:cs="Calibri"/>
    </w:rPr>
  </w:style>
  <w:style w:type="character" w:styleId="Strong">
    <w:name w:val="Strong"/>
    <w:basedOn w:val="DefaultParagraphFont"/>
    <w:uiPriority w:val="99"/>
    <w:qFormat/>
    <w:rsid w:val="005A052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306722">
      <w:marLeft w:val="0"/>
      <w:marRight w:val="0"/>
      <w:marTop w:val="0"/>
      <w:marBottom w:val="0"/>
      <w:divBdr>
        <w:top w:val="none" w:sz="0" w:space="0" w:color="auto"/>
        <w:left w:val="none" w:sz="0" w:space="0" w:color="auto"/>
        <w:bottom w:val="none" w:sz="0" w:space="0" w:color="auto"/>
        <w:right w:val="none" w:sz="0" w:space="0" w:color="auto"/>
      </w:divBdr>
    </w:div>
    <w:div w:id="2124306723">
      <w:marLeft w:val="0"/>
      <w:marRight w:val="0"/>
      <w:marTop w:val="0"/>
      <w:marBottom w:val="0"/>
      <w:divBdr>
        <w:top w:val="none" w:sz="0" w:space="0" w:color="auto"/>
        <w:left w:val="none" w:sz="0" w:space="0" w:color="auto"/>
        <w:bottom w:val="none" w:sz="0" w:space="0" w:color="auto"/>
        <w:right w:val="none" w:sz="0" w:space="0" w:color="auto"/>
      </w:divBdr>
    </w:div>
    <w:div w:id="2124306725">
      <w:marLeft w:val="0"/>
      <w:marRight w:val="0"/>
      <w:marTop w:val="0"/>
      <w:marBottom w:val="0"/>
      <w:divBdr>
        <w:top w:val="none" w:sz="0" w:space="0" w:color="auto"/>
        <w:left w:val="none" w:sz="0" w:space="0" w:color="auto"/>
        <w:bottom w:val="none" w:sz="0" w:space="0" w:color="auto"/>
        <w:right w:val="none" w:sz="0" w:space="0" w:color="auto"/>
      </w:divBdr>
    </w:div>
    <w:div w:id="2124306726">
      <w:marLeft w:val="0"/>
      <w:marRight w:val="0"/>
      <w:marTop w:val="0"/>
      <w:marBottom w:val="0"/>
      <w:divBdr>
        <w:top w:val="none" w:sz="0" w:space="0" w:color="auto"/>
        <w:left w:val="none" w:sz="0" w:space="0" w:color="auto"/>
        <w:bottom w:val="none" w:sz="0" w:space="0" w:color="auto"/>
        <w:right w:val="none" w:sz="0" w:space="0" w:color="auto"/>
      </w:divBdr>
    </w:div>
    <w:div w:id="2124306728">
      <w:marLeft w:val="0"/>
      <w:marRight w:val="0"/>
      <w:marTop w:val="0"/>
      <w:marBottom w:val="0"/>
      <w:divBdr>
        <w:top w:val="none" w:sz="0" w:space="0" w:color="auto"/>
        <w:left w:val="none" w:sz="0" w:space="0" w:color="auto"/>
        <w:bottom w:val="none" w:sz="0" w:space="0" w:color="auto"/>
        <w:right w:val="none" w:sz="0" w:space="0" w:color="auto"/>
      </w:divBdr>
    </w:div>
    <w:div w:id="2124306729">
      <w:marLeft w:val="0"/>
      <w:marRight w:val="0"/>
      <w:marTop w:val="0"/>
      <w:marBottom w:val="0"/>
      <w:divBdr>
        <w:top w:val="none" w:sz="0" w:space="0" w:color="auto"/>
        <w:left w:val="none" w:sz="0" w:space="0" w:color="auto"/>
        <w:bottom w:val="none" w:sz="0" w:space="0" w:color="auto"/>
        <w:right w:val="none" w:sz="0" w:space="0" w:color="auto"/>
      </w:divBdr>
    </w:div>
    <w:div w:id="2124306730">
      <w:marLeft w:val="0"/>
      <w:marRight w:val="0"/>
      <w:marTop w:val="0"/>
      <w:marBottom w:val="0"/>
      <w:divBdr>
        <w:top w:val="none" w:sz="0" w:space="0" w:color="auto"/>
        <w:left w:val="none" w:sz="0" w:space="0" w:color="auto"/>
        <w:bottom w:val="none" w:sz="0" w:space="0" w:color="auto"/>
        <w:right w:val="none" w:sz="0" w:space="0" w:color="auto"/>
      </w:divBdr>
    </w:div>
    <w:div w:id="2124306731">
      <w:marLeft w:val="0"/>
      <w:marRight w:val="0"/>
      <w:marTop w:val="0"/>
      <w:marBottom w:val="0"/>
      <w:divBdr>
        <w:top w:val="none" w:sz="0" w:space="0" w:color="auto"/>
        <w:left w:val="none" w:sz="0" w:space="0" w:color="auto"/>
        <w:bottom w:val="none" w:sz="0" w:space="0" w:color="auto"/>
        <w:right w:val="none" w:sz="0" w:space="0" w:color="auto"/>
      </w:divBdr>
    </w:div>
    <w:div w:id="2124306732">
      <w:marLeft w:val="0"/>
      <w:marRight w:val="0"/>
      <w:marTop w:val="0"/>
      <w:marBottom w:val="0"/>
      <w:divBdr>
        <w:top w:val="none" w:sz="0" w:space="0" w:color="auto"/>
        <w:left w:val="none" w:sz="0" w:space="0" w:color="auto"/>
        <w:bottom w:val="none" w:sz="0" w:space="0" w:color="auto"/>
        <w:right w:val="none" w:sz="0" w:space="0" w:color="auto"/>
      </w:divBdr>
    </w:div>
    <w:div w:id="2124306733">
      <w:marLeft w:val="0"/>
      <w:marRight w:val="0"/>
      <w:marTop w:val="0"/>
      <w:marBottom w:val="0"/>
      <w:divBdr>
        <w:top w:val="none" w:sz="0" w:space="0" w:color="auto"/>
        <w:left w:val="none" w:sz="0" w:space="0" w:color="auto"/>
        <w:bottom w:val="none" w:sz="0" w:space="0" w:color="auto"/>
        <w:right w:val="none" w:sz="0" w:space="0" w:color="auto"/>
      </w:divBdr>
    </w:div>
    <w:div w:id="2124306734">
      <w:marLeft w:val="0"/>
      <w:marRight w:val="0"/>
      <w:marTop w:val="0"/>
      <w:marBottom w:val="0"/>
      <w:divBdr>
        <w:top w:val="none" w:sz="0" w:space="0" w:color="auto"/>
        <w:left w:val="none" w:sz="0" w:space="0" w:color="auto"/>
        <w:bottom w:val="none" w:sz="0" w:space="0" w:color="auto"/>
        <w:right w:val="none" w:sz="0" w:space="0" w:color="auto"/>
      </w:divBdr>
    </w:div>
    <w:div w:id="2124306737">
      <w:marLeft w:val="0"/>
      <w:marRight w:val="0"/>
      <w:marTop w:val="0"/>
      <w:marBottom w:val="0"/>
      <w:divBdr>
        <w:top w:val="none" w:sz="0" w:space="0" w:color="auto"/>
        <w:left w:val="none" w:sz="0" w:space="0" w:color="auto"/>
        <w:bottom w:val="none" w:sz="0" w:space="0" w:color="auto"/>
        <w:right w:val="none" w:sz="0" w:space="0" w:color="auto"/>
      </w:divBdr>
      <w:divsChild>
        <w:div w:id="2124306736">
          <w:marLeft w:val="0"/>
          <w:marRight w:val="0"/>
          <w:marTop w:val="0"/>
          <w:marBottom w:val="0"/>
          <w:divBdr>
            <w:top w:val="none" w:sz="0" w:space="0" w:color="auto"/>
            <w:left w:val="none" w:sz="0" w:space="0" w:color="auto"/>
            <w:bottom w:val="none" w:sz="0" w:space="0" w:color="auto"/>
            <w:right w:val="none" w:sz="0" w:space="0" w:color="auto"/>
          </w:divBdr>
          <w:divsChild>
            <w:div w:id="2124306727">
              <w:marLeft w:val="0"/>
              <w:marRight w:val="0"/>
              <w:marTop w:val="0"/>
              <w:marBottom w:val="0"/>
              <w:divBdr>
                <w:top w:val="none" w:sz="0" w:space="0" w:color="auto"/>
                <w:left w:val="none" w:sz="0" w:space="0" w:color="auto"/>
                <w:bottom w:val="none" w:sz="0" w:space="0" w:color="auto"/>
                <w:right w:val="none" w:sz="0" w:space="0" w:color="auto"/>
              </w:divBdr>
              <w:divsChild>
                <w:div w:id="2124306735">
                  <w:marLeft w:val="2928"/>
                  <w:marRight w:val="0"/>
                  <w:marTop w:val="720"/>
                  <w:marBottom w:val="0"/>
                  <w:divBdr>
                    <w:top w:val="none" w:sz="0" w:space="0" w:color="auto"/>
                    <w:left w:val="none" w:sz="0" w:space="0" w:color="auto"/>
                    <w:bottom w:val="none" w:sz="0" w:space="0" w:color="auto"/>
                    <w:right w:val="none" w:sz="0" w:space="0" w:color="auto"/>
                  </w:divBdr>
                  <w:divsChild>
                    <w:div w:id="2124306724">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2124306738">
      <w:marLeft w:val="0"/>
      <w:marRight w:val="0"/>
      <w:marTop w:val="0"/>
      <w:marBottom w:val="0"/>
      <w:divBdr>
        <w:top w:val="none" w:sz="0" w:space="0" w:color="auto"/>
        <w:left w:val="none" w:sz="0" w:space="0" w:color="auto"/>
        <w:bottom w:val="none" w:sz="0" w:space="0" w:color="auto"/>
        <w:right w:val="none" w:sz="0" w:space="0" w:color="auto"/>
      </w:divBdr>
    </w:div>
    <w:div w:id="2124306739">
      <w:marLeft w:val="0"/>
      <w:marRight w:val="0"/>
      <w:marTop w:val="0"/>
      <w:marBottom w:val="0"/>
      <w:divBdr>
        <w:top w:val="none" w:sz="0" w:space="0" w:color="auto"/>
        <w:left w:val="none" w:sz="0" w:space="0" w:color="auto"/>
        <w:bottom w:val="none" w:sz="0" w:space="0" w:color="auto"/>
        <w:right w:val="none" w:sz="0" w:space="0" w:color="auto"/>
      </w:divBdr>
    </w:div>
    <w:div w:id="2124306740">
      <w:marLeft w:val="0"/>
      <w:marRight w:val="0"/>
      <w:marTop w:val="0"/>
      <w:marBottom w:val="0"/>
      <w:divBdr>
        <w:top w:val="none" w:sz="0" w:space="0" w:color="auto"/>
        <w:left w:val="none" w:sz="0" w:space="0" w:color="auto"/>
        <w:bottom w:val="none" w:sz="0" w:space="0" w:color="auto"/>
        <w:right w:val="none" w:sz="0" w:space="0" w:color="auto"/>
      </w:divBdr>
    </w:div>
    <w:div w:id="2124306741">
      <w:marLeft w:val="0"/>
      <w:marRight w:val="0"/>
      <w:marTop w:val="0"/>
      <w:marBottom w:val="0"/>
      <w:divBdr>
        <w:top w:val="none" w:sz="0" w:space="0" w:color="auto"/>
        <w:left w:val="none" w:sz="0" w:space="0" w:color="auto"/>
        <w:bottom w:val="none" w:sz="0" w:space="0" w:color="auto"/>
        <w:right w:val="none" w:sz="0" w:space="0" w:color="auto"/>
      </w:divBdr>
    </w:div>
    <w:div w:id="2124306742">
      <w:marLeft w:val="0"/>
      <w:marRight w:val="0"/>
      <w:marTop w:val="0"/>
      <w:marBottom w:val="0"/>
      <w:divBdr>
        <w:top w:val="none" w:sz="0" w:space="0" w:color="auto"/>
        <w:left w:val="none" w:sz="0" w:space="0" w:color="auto"/>
        <w:bottom w:val="none" w:sz="0" w:space="0" w:color="auto"/>
        <w:right w:val="none" w:sz="0" w:space="0" w:color="auto"/>
      </w:divBdr>
    </w:div>
    <w:div w:id="2124306743">
      <w:marLeft w:val="0"/>
      <w:marRight w:val="0"/>
      <w:marTop w:val="0"/>
      <w:marBottom w:val="0"/>
      <w:divBdr>
        <w:top w:val="none" w:sz="0" w:space="0" w:color="auto"/>
        <w:left w:val="none" w:sz="0" w:space="0" w:color="auto"/>
        <w:bottom w:val="none" w:sz="0" w:space="0" w:color="auto"/>
        <w:right w:val="none" w:sz="0" w:space="0" w:color="auto"/>
      </w:divBdr>
    </w:div>
    <w:div w:id="2124306744">
      <w:marLeft w:val="0"/>
      <w:marRight w:val="0"/>
      <w:marTop w:val="0"/>
      <w:marBottom w:val="0"/>
      <w:divBdr>
        <w:top w:val="none" w:sz="0" w:space="0" w:color="auto"/>
        <w:left w:val="none" w:sz="0" w:space="0" w:color="auto"/>
        <w:bottom w:val="none" w:sz="0" w:space="0" w:color="auto"/>
        <w:right w:val="none" w:sz="0" w:space="0" w:color="auto"/>
      </w:divBdr>
    </w:div>
    <w:div w:id="2124306745">
      <w:marLeft w:val="0"/>
      <w:marRight w:val="0"/>
      <w:marTop w:val="0"/>
      <w:marBottom w:val="0"/>
      <w:divBdr>
        <w:top w:val="none" w:sz="0" w:space="0" w:color="auto"/>
        <w:left w:val="none" w:sz="0" w:space="0" w:color="auto"/>
        <w:bottom w:val="none" w:sz="0" w:space="0" w:color="auto"/>
        <w:right w:val="none" w:sz="0" w:space="0" w:color="auto"/>
      </w:divBdr>
    </w:div>
    <w:div w:id="2124306746">
      <w:marLeft w:val="0"/>
      <w:marRight w:val="0"/>
      <w:marTop w:val="0"/>
      <w:marBottom w:val="0"/>
      <w:divBdr>
        <w:top w:val="none" w:sz="0" w:space="0" w:color="auto"/>
        <w:left w:val="none" w:sz="0" w:space="0" w:color="auto"/>
        <w:bottom w:val="none" w:sz="0" w:space="0" w:color="auto"/>
        <w:right w:val="none" w:sz="0" w:space="0" w:color="auto"/>
      </w:divBdr>
    </w:div>
    <w:div w:id="2124306747">
      <w:marLeft w:val="0"/>
      <w:marRight w:val="0"/>
      <w:marTop w:val="0"/>
      <w:marBottom w:val="0"/>
      <w:divBdr>
        <w:top w:val="none" w:sz="0" w:space="0" w:color="auto"/>
        <w:left w:val="none" w:sz="0" w:space="0" w:color="auto"/>
        <w:bottom w:val="none" w:sz="0" w:space="0" w:color="auto"/>
        <w:right w:val="none" w:sz="0" w:space="0" w:color="auto"/>
      </w:divBdr>
    </w:div>
    <w:div w:id="21243067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2.wmf"/><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2" Type="http://schemas.openxmlformats.org/officeDocument/2006/relationships/hyperlink" Target="http://www.deeresources.com" TargetMode="External"/><Relationship Id="rId1" Type="http://schemas.openxmlformats.org/officeDocument/2006/relationships/hyperlink" Target="http://www.deeresources.com" TargetMode="External"/><Relationship Id="rId4" Type="http://schemas.openxmlformats.org/officeDocument/2006/relationships/hyperlink" Target="http://www.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2454D-F81F-4F20-864F-78F25823BC87}">
  <ds:schemaRefs>
    <ds:schemaRef ds:uri="http://schemas.microsoft.com/sharepoint/v3/contenttype/forms"/>
  </ds:schemaRefs>
</ds:datastoreItem>
</file>

<file path=customXml/itemProps2.xml><?xml version="1.0" encoding="utf-8"?>
<ds:datastoreItem xmlns:ds="http://schemas.openxmlformats.org/officeDocument/2006/customXml" ds:itemID="{9FE1FB39-3396-497D-B365-01685A9BFBC3}">
  <ds:schemaRefs>
    <ds:schemaRef ds:uri="http://schemas.microsoft.com/office/2006/metadata/properties"/>
  </ds:schemaRefs>
</ds:datastoreItem>
</file>

<file path=customXml/itemProps3.xml><?xml version="1.0" encoding="utf-8"?>
<ds:datastoreItem xmlns:ds="http://schemas.openxmlformats.org/officeDocument/2006/customXml" ds:itemID="{91324276-CE61-4CA2-A54D-6291C6076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50FF6C5-D4EF-46CD-AAFC-871601E42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17</Pages>
  <Words>4436</Words>
  <Characters>25289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Liu, Henry</cp:lastModifiedBy>
  <cp:revision>7</cp:revision>
  <cp:lastPrinted>2012-04-05T16:42:00Z</cp:lastPrinted>
  <dcterms:created xsi:type="dcterms:W3CDTF">2015-12-24T00:29:00Z</dcterms:created>
  <dcterms:modified xsi:type="dcterms:W3CDTF">2015-12-24T15:55:00Z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1314400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