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3CB7B77E" w:rsidR="00DD6B5E" w:rsidRDefault="003129E8" w:rsidP="00DD6B5E">
      <w:pPr>
        <w:jc w:val="right"/>
        <w:rPr>
          <w:rFonts w:cs="Arial"/>
          <w:b/>
          <w:color w:val="FF0000"/>
          <w:sz w:val="48"/>
          <w:szCs w:val="48"/>
        </w:rPr>
      </w:pPr>
      <w:bookmarkStart w:id="0" w:name="_Toc153189646"/>
      <w:r w:rsidRPr="00AC6C3F">
        <w:rPr>
          <w:rFonts w:cs="Arial"/>
          <w:b/>
          <w:sz w:val="48"/>
          <w:szCs w:val="48"/>
        </w:rPr>
        <w:t xml:space="preserve">Work Paper </w:t>
      </w:r>
      <w:bookmarkEnd w:id="0"/>
      <w:r w:rsidR="00544E9C">
        <w:rPr>
          <w:rFonts w:cs="Arial"/>
          <w:b/>
          <w:sz w:val="48"/>
          <w:szCs w:val="48"/>
        </w:rPr>
        <w:t>PGECO</w:t>
      </w:r>
      <w:r w:rsidR="008C265F">
        <w:rPr>
          <w:rFonts w:cs="Arial"/>
          <w:b/>
          <w:sz w:val="48"/>
          <w:szCs w:val="48"/>
        </w:rPr>
        <w:t>FST</w:t>
      </w:r>
      <w:r w:rsidR="00D60384">
        <w:rPr>
          <w:rFonts w:cs="Arial"/>
          <w:b/>
          <w:sz w:val="48"/>
          <w:szCs w:val="48"/>
        </w:rPr>
        <w:t>125</w:t>
      </w:r>
    </w:p>
    <w:p w14:paraId="278DBA5F" w14:textId="77777777" w:rsidR="008C265F" w:rsidRPr="00387235" w:rsidRDefault="008C265F" w:rsidP="008C265F">
      <w:pPr>
        <w:jc w:val="right"/>
        <w:rPr>
          <w:rFonts w:cs="Arial"/>
          <w:b/>
          <w:sz w:val="48"/>
          <w:szCs w:val="48"/>
        </w:rPr>
      </w:pPr>
      <w:r>
        <w:rPr>
          <w:rFonts w:cs="Arial"/>
          <w:b/>
          <w:sz w:val="48"/>
          <w:szCs w:val="48"/>
        </w:rPr>
        <w:t>Pre-Rinse Spray Valve</w:t>
      </w:r>
    </w:p>
    <w:p w14:paraId="033390AD" w14:textId="72C99594" w:rsidR="008C265F" w:rsidRPr="002E0043" w:rsidRDefault="008C265F" w:rsidP="008C265F">
      <w:pPr>
        <w:jc w:val="right"/>
        <w:rPr>
          <w:rFonts w:cs="Arial"/>
          <w:b/>
          <w:sz w:val="48"/>
          <w:szCs w:val="48"/>
        </w:rPr>
      </w:pPr>
      <w:bookmarkStart w:id="1" w:name="_Toc153189647"/>
      <w:r w:rsidRPr="002E0043">
        <w:rPr>
          <w:rFonts w:cs="Arial"/>
          <w:b/>
          <w:sz w:val="48"/>
          <w:szCs w:val="48"/>
        </w:rPr>
        <w:t>Revision #</w:t>
      </w:r>
      <w:bookmarkEnd w:id="1"/>
      <w:r w:rsidR="0002331A">
        <w:rPr>
          <w:rFonts w:cs="Arial"/>
          <w:b/>
          <w:sz w:val="48"/>
          <w:szCs w:val="48"/>
        </w:rPr>
        <w:t xml:space="preserve"> 0</w:t>
      </w:r>
    </w:p>
    <w:p w14:paraId="393A0869" w14:textId="7376970D" w:rsidR="003129E8" w:rsidRPr="002E0043" w:rsidRDefault="003129E8" w:rsidP="002E0043">
      <w:pPr>
        <w:jc w:val="right"/>
        <w:rPr>
          <w:rFonts w:cs="Arial"/>
          <w:b/>
          <w:sz w:val="48"/>
          <w:szCs w:val="48"/>
        </w:rPr>
      </w:pPr>
    </w:p>
    <w:p w14:paraId="393A086A" w14:textId="77777777" w:rsidR="003129E8" w:rsidRDefault="003129E8" w:rsidP="003129E8"/>
    <w:p w14:paraId="393A086B" w14:textId="77777777" w:rsidR="00D7047A" w:rsidRPr="002E0043" w:rsidRDefault="00DD6B5E" w:rsidP="00D7047A">
      <w:pPr>
        <w:pBdr>
          <w:bottom w:val="single" w:sz="4" w:space="1" w:color="auto"/>
        </w:pBdr>
        <w:rPr>
          <w:rFonts w:cs="Arial"/>
          <w:b/>
          <w:sz w:val="36"/>
          <w:szCs w:val="36"/>
        </w:rPr>
      </w:pPr>
      <w:r>
        <w:rPr>
          <w:rFonts w:cs="Arial"/>
          <w:b/>
          <w:sz w:val="36"/>
          <w:szCs w:val="36"/>
        </w:rPr>
        <w:t>Pacific Gas &amp; Electric</w:t>
      </w:r>
      <w:r w:rsidR="00DF21B8">
        <w:rPr>
          <w:rFonts w:cs="Arial"/>
          <w:b/>
          <w:sz w:val="36"/>
          <w:szCs w:val="36"/>
        </w:rPr>
        <w:t xml:space="preserve"> Company</w:t>
      </w:r>
    </w:p>
    <w:p w14:paraId="393A086C" w14:textId="77777777" w:rsidR="00D7047A" w:rsidRPr="002E0043" w:rsidRDefault="00661864" w:rsidP="00D7047A">
      <w:pPr>
        <w:rPr>
          <w:rFonts w:cs="Arial"/>
          <w:b/>
          <w:sz w:val="32"/>
          <w:szCs w:val="32"/>
        </w:rPr>
      </w:pPr>
      <w:r>
        <w:rPr>
          <w:rFonts w:cs="Arial"/>
          <w:b/>
          <w:sz w:val="32"/>
          <w:szCs w:val="32"/>
        </w:rPr>
        <w:t xml:space="preserve">Customer Energy Solutions </w:t>
      </w:r>
    </w:p>
    <w:p w14:paraId="393A086D" w14:textId="77777777" w:rsidR="00E34E73" w:rsidRDefault="00E34E73" w:rsidP="00324D0F">
      <w:pPr>
        <w:rPr>
          <w:rFonts w:cs="Arial"/>
          <w:b/>
          <w:highlight w:val="cyan"/>
        </w:rPr>
      </w:pPr>
    </w:p>
    <w:p w14:paraId="393A086E" w14:textId="77777777" w:rsidR="00C274E0" w:rsidRDefault="00C274E0" w:rsidP="00324D0F">
      <w:pPr>
        <w:rPr>
          <w:rFonts w:cs="Arial"/>
          <w:b/>
          <w:highlight w:val="cyan"/>
        </w:rPr>
      </w:pPr>
    </w:p>
    <w:p w14:paraId="393A086F" w14:textId="77777777" w:rsidR="00C274E0" w:rsidRDefault="00C274E0" w:rsidP="00324D0F">
      <w:pPr>
        <w:rPr>
          <w:rFonts w:cs="Arial"/>
          <w:b/>
          <w:highlight w:val="cyan"/>
        </w:rPr>
      </w:pPr>
    </w:p>
    <w:p w14:paraId="4DF454D7" w14:textId="77777777" w:rsidR="008C265F" w:rsidRDefault="008C265F" w:rsidP="002D4621">
      <w:pPr>
        <w:ind w:right="-720"/>
        <w:rPr>
          <w:rFonts w:cs="Arial"/>
          <w:b/>
        </w:rPr>
      </w:pPr>
      <w:r>
        <w:rPr>
          <w:rFonts w:cs="Arial"/>
          <w:b/>
          <w:sz w:val="48"/>
          <w:szCs w:val="48"/>
        </w:rPr>
        <w:t>Low-Flow Pre-Rinse Spray Valves</w:t>
      </w:r>
      <w:r w:rsidRPr="00CB3583">
        <w:rPr>
          <w:rFonts w:cs="Arial"/>
          <w:b/>
        </w:rPr>
        <w:t xml:space="preserve"> </w:t>
      </w:r>
    </w:p>
    <w:p w14:paraId="393A0875" w14:textId="282E4D48" w:rsidR="00B421F2" w:rsidRPr="00CB3583" w:rsidRDefault="00A167EC" w:rsidP="002D4621">
      <w:pPr>
        <w:ind w:right="-720"/>
        <w:rPr>
          <w:rFonts w:cs="Arial"/>
          <w:b/>
          <w:color w:val="FF0000"/>
        </w:rPr>
      </w:pPr>
      <w:r w:rsidRPr="00CB3583">
        <w:rPr>
          <w:rFonts w:cs="Arial"/>
          <w:b/>
        </w:rPr>
        <w:t>Measure Codes</w:t>
      </w:r>
      <w:r w:rsidRPr="00CB3583">
        <w:rPr>
          <w:rFonts w:cs="Arial"/>
          <w:b/>
          <w:color w:val="FF0000"/>
        </w:rPr>
        <w:t xml:space="preserve"> </w:t>
      </w:r>
      <w:r w:rsidR="004C5560" w:rsidRPr="004C5560">
        <w:rPr>
          <w:rFonts w:cs="Arial"/>
          <w:b/>
        </w:rPr>
        <w:t>FS001</w:t>
      </w:r>
    </w:p>
    <w:p w14:paraId="393A0877" w14:textId="77777777" w:rsidR="00CB3583" w:rsidRPr="00C274E0" w:rsidRDefault="00CB3583" w:rsidP="002E0043">
      <w:pPr>
        <w:rPr>
          <w:rFonts w:cs="Arial"/>
          <w:b/>
          <w:i/>
          <w:highlight w:val="cyan"/>
        </w:rPr>
      </w:pP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44682A1" w14:textId="77777777" w:rsidR="00534386" w:rsidRPr="00C87D23" w:rsidRDefault="00534386" w:rsidP="00C87D23">
      <w:pPr>
        <w:rPr>
          <w:rFonts w:cs="Arial"/>
        </w:rPr>
        <w:sectPr w:rsidR="00534386" w:rsidRPr="00C87D23" w:rsidSect="00E0343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2" w:name="_Toc304800192"/>
      <w:bookmarkStart w:id="3" w:name="_Toc324318330"/>
      <w:bookmarkStart w:id="4" w:name="_Toc324340474"/>
      <w:bookmarkStart w:id="5" w:name="_Toc391396997"/>
      <w:r>
        <w:lastRenderedPageBreak/>
        <w:t>At-</w:t>
      </w:r>
      <w:r w:rsidR="00E71EF1">
        <w:t>a</w:t>
      </w:r>
      <w:r>
        <w:t>-</w:t>
      </w:r>
      <w:r w:rsidR="00E71EF1">
        <w:t>Glance Summary</w:t>
      </w:r>
      <w:bookmarkEnd w:id="2"/>
      <w:bookmarkEnd w:id="3"/>
      <w:bookmarkEnd w:id="4"/>
      <w:bookmarkEnd w:id="5"/>
    </w:p>
    <w:tbl>
      <w:tblPr>
        <w:tblW w:w="8928" w:type="dxa"/>
        <w:tblBorders>
          <w:insideH w:val="single" w:sz="18" w:space="0" w:color="FFFFFF"/>
          <w:insideV w:val="single" w:sz="18" w:space="0" w:color="FFFFFF"/>
        </w:tblBorders>
        <w:tblLook w:val="01E0" w:firstRow="1" w:lastRow="1" w:firstColumn="1" w:lastColumn="1" w:noHBand="0" w:noVBand="0"/>
      </w:tblPr>
      <w:tblGrid>
        <w:gridCol w:w="4161"/>
        <w:gridCol w:w="4767"/>
      </w:tblGrid>
      <w:tr w:rsidR="00843DAA" w:rsidRPr="00A55DD1" w14:paraId="393A088C" w14:textId="1B3D6BE5" w:rsidTr="00843DAA">
        <w:trPr>
          <w:trHeight w:val="465"/>
        </w:trPr>
        <w:tc>
          <w:tcPr>
            <w:tcW w:w="4161" w:type="dxa"/>
            <w:shd w:val="pct20" w:color="000000" w:fill="FFFFFF"/>
          </w:tcPr>
          <w:p w14:paraId="393A0888" w14:textId="77777777" w:rsidR="00843DAA" w:rsidRPr="00610FC6" w:rsidRDefault="00843DAA" w:rsidP="0028709C">
            <w:pPr>
              <w:rPr>
                <w:rStyle w:val="Strong"/>
              </w:rPr>
            </w:pPr>
            <w:r w:rsidRPr="00610FC6">
              <w:rPr>
                <w:rStyle w:val="Strong"/>
              </w:rPr>
              <w:t>Applicable Measure Codes:</w:t>
            </w:r>
          </w:p>
        </w:tc>
        <w:tc>
          <w:tcPr>
            <w:tcW w:w="4767" w:type="dxa"/>
            <w:shd w:val="pct20" w:color="000000" w:fill="FFFFFF"/>
          </w:tcPr>
          <w:p w14:paraId="2D54B144" w14:textId="620755DC" w:rsidR="00843DAA" w:rsidRDefault="004C5560" w:rsidP="0028709C">
            <w:pPr>
              <w:rPr>
                <w:rFonts w:cs="Arial"/>
                <w:b/>
                <w:bCs/>
                <w:sz w:val="20"/>
                <w:szCs w:val="20"/>
              </w:rPr>
            </w:pPr>
            <w:r>
              <w:rPr>
                <w:rFonts w:cs="Arial"/>
                <w:b/>
                <w:bCs/>
                <w:sz w:val="20"/>
                <w:szCs w:val="20"/>
              </w:rPr>
              <w:t>FS001</w:t>
            </w:r>
            <w:bookmarkStart w:id="6" w:name="_GoBack"/>
            <w:bookmarkEnd w:id="6"/>
          </w:p>
        </w:tc>
      </w:tr>
      <w:tr w:rsidR="00843DAA" w:rsidRPr="00A55DD1" w14:paraId="393A088F" w14:textId="07C2B503" w:rsidTr="00843DAA">
        <w:trPr>
          <w:trHeight w:val="465"/>
        </w:trPr>
        <w:tc>
          <w:tcPr>
            <w:tcW w:w="4161" w:type="dxa"/>
            <w:shd w:val="pct5" w:color="000000" w:fill="FFFFFF"/>
          </w:tcPr>
          <w:p w14:paraId="393A088D" w14:textId="77777777" w:rsidR="00843DAA" w:rsidRPr="00610FC6" w:rsidRDefault="00843DAA" w:rsidP="0028709C">
            <w:pPr>
              <w:rPr>
                <w:rStyle w:val="Strong"/>
              </w:rPr>
            </w:pPr>
            <w:r w:rsidRPr="00610FC6">
              <w:rPr>
                <w:rStyle w:val="Strong"/>
              </w:rPr>
              <w:t xml:space="preserve">Measure Description: </w:t>
            </w:r>
          </w:p>
        </w:tc>
        <w:tc>
          <w:tcPr>
            <w:tcW w:w="4767" w:type="dxa"/>
            <w:shd w:val="pct5" w:color="000000" w:fill="FFFFFF"/>
          </w:tcPr>
          <w:p w14:paraId="1DD95EED" w14:textId="77777777" w:rsidR="00843DAA" w:rsidRDefault="00843DAA" w:rsidP="005164A6">
            <w:pPr>
              <w:rPr>
                <w:rFonts w:cs="Arial"/>
                <w:sz w:val="20"/>
                <w:szCs w:val="20"/>
              </w:rPr>
            </w:pPr>
            <w:r>
              <w:rPr>
                <w:rFonts w:cs="Arial"/>
                <w:sz w:val="20"/>
                <w:szCs w:val="20"/>
              </w:rPr>
              <w:t xml:space="preserve">Commercial Pre-Rinse Spray Valve (PRSV) </w:t>
            </w:r>
          </w:p>
          <w:p w14:paraId="06DE3293" w14:textId="4E0A9268" w:rsidR="00843DAA" w:rsidRDefault="00843DAA" w:rsidP="005164A6">
            <w:pPr>
              <w:rPr>
                <w:rFonts w:cs="Arial"/>
                <w:sz w:val="20"/>
                <w:szCs w:val="20"/>
              </w:rPr>
            </w:pPr>
            <w:r>
              <w:rPr>
                <w:rFonts w:cs="Arial"/>
                <w:sz w:val="20"/>
                <w:szCs w:val="20"/>
              </w:rPr>
              <w:t>1.15gpm flow rate</w:t>
            </w:r>
          </w:p>
        </w:tc>
      </w:tr>
      <w:tr w:rsidR="00843DAA" w:rsidRPr="00A55DD1" w14:paraId="393A0892" w14:textId="427C34F7" w:rsidTr="00843DAA">
        <w:trPr>
          <w:trHeight w:val="465"/>
        </w:trPr>
        <w:tc>
          <w:tcPr>
            <w:tcW w:w="4161" w:type="dxa"/>
            <w:shd w:val="pct20" w:color="000000" w:fill="FFFFFF"/>
          </w:tcPr>
          <w:p w14:paraId="393A0890" w14:textId="77777777" w:rsidR="00843DAA" w:rsidRPr="00610FC6" w:rsidRDefault="00843DAA" w:rsidP="0028709C">
            <w:pPr>
              <w:rPr>
                <w:rStyle w:val="Strong"/>
              </w:rPr>
            </w:pPr>
            <w:r w:rsidRPr="00610FC6">
              <w:rPr>
                <w:rStyle w:val="Strong"/>
              </w:rPr>
              <w:t xml:space="preserve">Energy Impact Common Units: </w:t>
            </w:r>
          </w:p>
        </w:tc>
        <w:tc>
          <w:tcPr>
            <w:tcW w:w="4767" w:type="dxa"/>
            <w:shd w:val="pct20" w:color="000000" w:fill="FFFFFF"/>
          </w:tcPr>
          <w:p w14:paraId="5BE9DBDB" w14:textId="7714F935" w:rsidR="00843DAA" w:rsidRDefault="00843DAA" w:rsidP="000A2ABA">
            <w:pPr>
              <w:rPr>
                <w:rFonts w:cs="Arial"/>
                <w:sz w:val="20"/>
                <w:szCs w:val="20"/>
              </w:rPr>
            </w:pPr>
            <w:r>
              <w:rPr>
                <w:rFonts w:cs="Arial"/>
                <w:sz w:val="20"/>
                <w:szCs w:val="20"/>
              </w:rPr>
              <w:t>Each</w:t>
            </w:r>
          </w:p>
        </w:tc>
      </w:tr>
      <w:tr w:rsidR="00843DAA" w:rsidRPr="00A55DD1" w14:paraId="393A0895" w14:textId="12984B00" w:rsidTr="00843DAA">
        <w:trPr>
          <w:trHeight w:val="315"/>
        </w:trPr>
        <w:tc>
          <w:tcPr>
            <w:tcW w:w="4161" w:type="dxa"/>
            <w:shd w:val="pct5" w:color="000000" w:fill="FFFFFF"/>
          </w:tcPr>
          <w:p w14:paraId="393A0893" w14:textId="77777777" w:rsidR="00843DAA" w:rsidRPr="00610FC6" w:rsidRDefault="00843DAA" w:rsidP="0028709C">
            <w:pPr>
              <w:rPr>
                <w:rStyle w:val="Strong"/>
              </w:rPr>
            </w:pPr>
            <w:r w:rsidRPr="00610FC6">
              <w:rPr>
                <w:rStyle w:val="Strong"/>
              </w:rPr>
              <w:t>Base Case Description:</w:t>
            </w:r>
          </w:p>
        </w:tc>
        <w:tc>
          <w:tcPr>
            <w:tcW w:w="4767" w:type="dxa"/>
            <w:shd w:val="pct5" w:color="000000" w:fill="FFFFFF"/>
          </w:tcPr>
          <w:p w14:paraId="7C663E6D" w14:textId="5DE1E1A4" w:rsidR="00843DAA" w:rsidRDefault="000E22BC" w:rsidP="000E22BC">
            <w:pPr>
              <w:rPr>
                <w:rFonts w:cs="Arial"/>
                <w:sz w:val="20"/>
                <w:szCs w:val="20"/>
              </w:rPr>
            </w:pPr>
            <w:r>
              <w:rPr>
                <w:rFonts w:cs="Arial"/>
                <w:sz w:val="20"/>
                <w:szCs w:val="20"/>
              </w:rPr>
              <w:t xml:space="preserve">Installed Case for PG&amp;E Territory after 2002-6 spray valve programs: </w:t>
            </w:r>
            <w:r w:rsidR="00C52EC6">
              <w:rPr>
                <w:rFonts w:cs="Arial"/>
                <w:sz w:val="20"/>
                <w:szCs w:val="20"/>
              </w:rPr>
              <w:t>1.</w:t>
            </w:r>
            <w:r w:rsidR="009E0334">
              <w:rPr>
                <w:rFonts w:cs="Arial"/>
                <w:sz w:val="20"/>
                <w:szCs w:val="20"/>
              </w:rPr>
              <w:t>4</w:t>
            </w:r>
            <w:r w:rsidR="00C52EC6">
              <w:rPr>
                <w:rFonts w:cs="Arial"/>
                <w:sz w:val="20"/>
                <w:szCs w:val="20"/>
              </w:rPr>
              <w:t xml:space="preserve"> </w:t>
            </w:r>
            <w:proofErr w:type="spellStart"/>
            <w:r w:rsidR="00C52EC6">
              <w:rPr>
                <w:rFonts w:cs="Arial"/>
                <w:sz w:val="20"/>
                <w:szCs w:val="20"/>
              </w:rPr>
              <w:t>gpm</w:t>
            </w:r>
            <w:proofErr w:type="spellEnd"/>
            <w:r w:rsidR="00C52EC6">
              <w:rPr>
                <w:rFonts w:cs="Arial"/>
                <w:sz w:val="20"/>
                <w:szCs w:val="20"/>
              </w:rPr>
              <w:t xml:space="preserve"> flow rate. </w:t>
            </w:r>
          </w:p>
        </w:tc>
      </w:tr>
      <w:tr w:rsidR="00843DAA" w:rsidRPr="00A55DD1" w14:paraId="393A0898" w14:textId="5302F8AB" w:rsidTr="00843DAA">
        <w:trPr>
          <w:trHeight w:val="465"/>
        </w:trPr>
        <w:tc>
          <w:tcPr>
            <w:tcW w:w="4161" w:type="dxa"/>
            <w:shd w:val="pct20" w:color="000000" w:fill="FFFFFF"/>
          </w:tcPr>
          <w:p w14:paraId="393A0896" w14:textId="77777777" w:rsidR="00843DAA" w:rsidRPr="00610FC6" w:rsidRDefault="00843DAA" w:rsidP="0028709C">
            <w:pPr>
              <w:rPr>
                <w:rStyle w:val="Strong"/>
              </w:rPr>
            </w:pPr>
            <w:r w:rsidRPr="00610FC6">
              <w:rPr>
                <w:rStyle w:val="Strong"/>
              </w:rPr>
              <w:t xml:space="preserve">Base Case Energy Consumption: </w:t>
            </w:r>
          </w:p>
        </w:tc>
        <w:tc>
          <w:tcPr>
            <w:tcW w:w="4767" w:type="dxa"/>
            <w:shd w:val="pct20" w:color="000000" w:fill="FFFFFF"/>
          </w:tcPr>
          <w:p w14:paraId="3A7C4095" w14:textId="77777777" w:rsidR="0002331A" w:rsidRDefault="00843DAA" w:rsidP="00C52EC6">
            <w:pPr>
              <w:rPr>
                <w:rFonts w:cs="Arial"/>
                <w:sz w:val="20"/>
                <w:szCs w:val="20"/>
              </w:rPr>
            </w:pPr>
            <w:r w:rsidRPr="000E22C9">
              <w:rPr>
                <w:rFonts w:cs="Arial"/>
                <w:sz w:val="20"/>
                <w:szCs w:val="20"/>
              </w:rPr>
              <w:t xml:space="preserve">Source: </w:t>
            </w:r>
            <w:r>
              <w:rPr>
                <w:rFonts w:cs="Arial"/>
                <w:sz w:val="20"/>
                <w:szCs w:val="20"/>
              </w:rPr>
              <w:t xml:space="preserve">PG&amp;E Calculations, </w:t>
            </w:r>
          </w:p>
          <w:p w14:paraId="36CC3842" w14:textId="61DF986D" w:rsidR="00843DAA" w:rsidRPr="000E22C9" w:rsidRDefault="00C52EC6" w:rsidP="005633FA">
            <w:pPr>
              <w:rPr>
                <w:rFonts w:cs="Arial"/>
                <w:sz w:val="20"/>
                <w:szCs w:val="20"/>
              </w:rPr>
            </w:pPr>
            <w:r w:rsidRPr="005633FA">
              <w:rPr>
                <w:rFonts w:cs="Arial"/>
                <w:sz w:val="20"/>
                <w:szCs w:val="20"/>
              </w:rPr>
              <w:t>18</w:t>
            </w:r>
            <w:r w:rsidR="005633FA" w:rsidRPr="005633FA">
              <w:rPr>
                <w:rFonts w:cs="Arial"/>
                <w:sz w:val="20"/>
                <w:szCs w:val="20"/>
              </w:rPr>
              <w:t>6</w:t>
            </w:r>
            <w:r w:rsidR="00843DAA" w:rsidRPr="005633FA">
              <w:rPr>
                <w:rFonts w:cs="Arial"/>
                <w:sz w:val="20"/>
                <w:szCs w:val="20"/>
              </w:rPr>
              <w:t xml:space="preserve"> Therms per year</w:t>
            </w:r>
          </w:p>
        </w:tc>
      </w:tr>
      <w:tr w:rsidR="00843DAA" w:rsidRPr="00A55DD1" w14:paraId="393A089C" w14:textId="14941BC9" w:rsidTr="00843DAA">
        <w:trPr>
          <w:trHeight w:val="465"/>
        </w:trPr>
        <w:tc>
          <w:tcPr>
            <w:tcW w:w="4161" w:type="dxa"/>
            <w:shd w:val="pct5" w:color="000000" w:fill="FFFFFF"/>
          </w:tcPr>
          <w:p w14:paraId="393A0899" w14:textId="77777777" w:rsidR="00843DAA" w:rsidRPr="00610FC6" w:rsidRDefault="00843DAA" w:rsidP="0028709C">
            <w:pPr>
              <w:rPr>
                <w:rStyle w:val="Strong"/>
              </w:rPr>
            </w:pPr>
            <w:r w:rsidRPr="00610FC6">
              <w:rPr>
                <w:rStyle w:val="Strong"/>
              </w:rPr>
              <w:t>Measure Energy Consumption:</w:t>
            </w:r>
          </w:p>
          <w:p w14:paraId="393A089A" w14:textId="77777777" w:rsidR="00843DAA" w:rsidRPr="000E22C9" w:rsidRDefault="00843DAA" w:rsidP="0028709C">
            <w:pPr>
              <w:rPr>
                <w:rFonts w:cs="Arial"/>
                <w:b/>
                <w:sz w:val="20"/>
                <w:szCs w:val="20"/>
              </w:rPr>
            </w:pPr>
          </w:p>
        </w:tc>
        <w:tc>
          <w:tcPr>
            <w:tcW w:w="4767" w:type="dxa"/>
            <w:shd w:val="pct5" w:color="000000" w:fill="FFFFFF"/>
          </w:tcPr>
          <w:p w14:paraId="15F71A75" w14:textId="77777777" w:rsidR="0002331A" w:rsidRDefault="00843DAA" w:rsidP="00C52EC6">
            <w:pPr>
              <w:rPr>
                <w:rFonts w:cs="Arial"/>
                <w:sz w:val="20"/>
                <w:szCs w:val="20"/>
              </w:rPr>
            </w:pPr>
            <w:r w:rsidRPr="000E22C9">
              <w:rPr>
                <w:rFonts w:cs="Arial"/>
                <w:sz w:val="20"/>
                <w:szCs w:val="20"/>
              </w:rPr>
              <w:t xml:space="preserve">Source: </w:t>
            </w:r>
            <w:r>
              <w:rPr>
                <w:rFonts w:cs="Arial"/>
                <w:sz w:val="20"/>
                <w:szCs w:val="20"/>
              </w:rPr>
              <w:t xml:space="preserve">PG&amp;E Calculations, </w:t>
            </w:r>
          </w:p>
          <w:p w14:paraId="65E7C7B3" w14:textId="299DE999" w:rsidR="00843DAA" w:rsidRPr="000E22C9" w:rsidRDefault="005633FA" w:rsidP="00C52EC6">
            <w:pPr>
              <w:rPr>
                <w:rFonts w:cs="Arial"/>
                <w:sz w:val="20"/>
                <w:szCs w:val="20"/>
              </w:rPr>
            </w:pPr>
            <w:r w:rsidRPr="005633FA">
              <w:rPr>
                <w:rFonts w:cs="Arial"/>
                <w:sz w:val="20"/>
                <w:szCs w:val="20"/>
              </w:rPr>
              <w:t>153</w:t>
            </w:r>
            <w:r w:rsidR="00843DAA" w:rsidRPr="005633FA">
              <w:rPr>
                <w:rFonts w:cs="Arial"/>
                <w:sz w:val="20"/>
                <w:szCs w:val="20"/>
              </w:rPr>
              <w:t xml:space="preserve"> Therms per year</w:t>
            </w:r>
          </w:p>
        </w:tc>
      </w:tr>
      <w:tr w:rsidR="00843DAA" w:rsidRPr="00A55DD1" w14:paraId="393A08A0" w14:textId="78C4E5CF" w:rsidTr="00843DAA">
        <w:trPr>
          <w:trHeight w:val="465"/>
        </w:trPr>
        <w:tc>
          <w:tcPr>
            <w:tcW w:w="4161" w:type="dxa"/>
            <w:shd w:val="pct20" w:color="000000" w:fill="FFFFFF"/>
          </w:tcPr>
          <w:p w14:paraId="393A089D" w14:textId="77777777" w:rsidR="00843DAA" w:rsidRPr="00610FC6" w:rsidRDefault="00843DAA" w:rsidP="00A55DD1">
            <w:pPr>
              <w:rPr>
                <w:rStyle w:val="Strong"/>
              </w:rPr>
            </w:pPr>
            <w:r w:rsidRPr="00610FC6">
              <w:rPr>
                <w:rStyle w:val="Strong"/>
              </w:rPr>
              <w:t xml:space="preserve">Energy Savings </w:t>
            </w:r>
          </w:p>
          <w:p w14:paraId="393A089E" w14:textId="77777777" w:rsidR="00843DAA" w:rsidRPr="00644D17" w:rsidRDefault="00843DAA" w:rsidP="00A55DD1">
            <w:pPr>
              <w:rPr>
                <w:rStyle w:val="Strong1"/>
                <w:b w:val="0"/>
              </w:rPr>
            </w:pPr>
            <w:r w:rsidRPr="00610FC6">
              <w:rPr>
                <w:rStyle w:val="Strong"/>
              </w:rPr>
              <w:t>(Base Case – Measure):</w:t>
            </w:r>
          </w:p>
        </w:tc>
        <w:tc>
          <w:tcPr>
            <w:tcW w:w="4767" w:type="dxa"/>
            <w:shd w:val="pct20" w:color="000000" w:fill="FFFFFF"/>
          </w:tcPr>
          <w:p w14:paraId="09415887" w14:textId="77777777" w:rsidR="0002331A" w:rsidRDefault="00843DAA" w:rsidP="00C52EC6">
            <w:pPr>
              <w:rPr>
                <w:rFonts w:cs="Arial"/>
                <w:sz w:val="20"/>
                <w:szCs w:val="20"/>
              </w:rPr>
            </w:pPr>
            <w:r w:rsidRPr="000E22C9">
              <w:rPr>
                <w:rFonts w:cs="Arial"/>
                <w:sz w:val="20"/>
                <w:szCs w:val="20"/>
              </w:rPr>
              <w:t xml:space="preserve">Source: </w:t>
            </w:r>
            <w:r>
              <w:rPr>
                <w:rFonts w:cs="Arial"/>
                <w:sz w:val="20"/>
                <w:szCs w:val="20"/>
              </w:rPr>
              <w:t xml:space="preserve">PG&amp;E Calculations, </w:t>
            </w:r>
          </w:p>
          <w:p w14:paraId="79476BD0" w14:textId="2A121B2F" w:rsidR="00843DAA" w:rsidRPr="000E22C9" w:rsidRDefault="005633FA" w:rsidP="00C52EC6">
            <w:pPr>
              <w:rPr>
                <w:rFonts w:cs="Arial"/>
                <w:sz w:val="20"/>
                <w:szCs w:val="20"/>
              </w:rPr>
            </w:pPr>
            <w:r w:rsidRPr="005633FA">
              <w:rPr>
                <w:rFonts w:cs="Arial"/>
                <w:sz w:val="20"/>
                <w:szCs w:val="20"/>
              </w:rPr>
              <w:t>33</w:t>
            </w:r>
            <w:r w:rsidR="00843DAA" w:rsidRPr="005633FA">
              <w:rPr>
                <w:rFonts w:cs="Arial"/>
                <w:sz w:val="20"/>
                <w:szCs w:val="20"/>
              </w:rPr>
              <w:t xml:space="preserve"> Therms per year</w:t>
            </w:r>
          </w:p>
        </w:tc>
      </w:tr>
      <w:tr w:rsidR="00843DAA" w:rsidRPr="00A55DD1" w14:paraId="393A08A3" w14:textId="0A5643A3" w:rsidTr="00843DAA">
        <w:trPr>
          <w:trHeight w:val="465"/>
        </w:trPr>
        <w:tc>
          <w:tcPr>
            <w:tcW w:w="4161" w:type="dxa"/>
            <w:shd w:val="pct5" w:color="000000" w:fill="FFFFFF"/>
          </w:tcPr>
          <w:p w14:paraId="393A08A1" w14:textId="77777777" w:rsidR="00843DAA" w:rsidRPr="00610FC6" w:rsidRDefault="00843DAA" w:rsidP="0028709C">
            <w:pPr>
              <w:rPr>
                <w:rStyle w:val="Strong"/>
              </w:rPr>
            </w:pPr>
            <w:r w:rsidRPr="00610FC6">
              <w:rPr>
                <w:rStyle w:val="Strong"/>
              </w:rPr>
              <w:t xml:space="preserve">Costs Common Units: </w:t>
            </w:r>
          </w:p>
        </w:tc>
        <w:tc>
          <w:tcPr>
            <w:tcW w:w="4767" w:type="dxa"/>
            <w:shd w:val="pct5" w:color="000000" w:fill="FFFFFF"/>
          </w:tcPr>
          <w:p w14:paraId="4FB85DD0" w14:textId="37C7B519" w:rsidR="00843DAA" w:rsidRDefault="00843DAA" w:rsidP="0028709C">
            <w:pPr>
              <w:rPr>
                <w:rFonts w:cs="Arial"/>
                <w:sz w:val="20"/>
                <w:szCs w:val="20"/>
              </w:rPr>
            </w:pPr>
            <w:r>
              <w:rPr>
                <w:rFonts w:cs="Arial"/>
                <w:sz w:val="20"/>
                <w:szCs w:val="20"/>
              </w:rPr>
              <w:t>Commercial Pre-Rinse Spray Valve (PRSV)</w:t>
            </w:r>
          </w:p>
        </w:tc>
      </w:tr>
      <w:tr w:rsidR="00843DAA" w:rsidRPr="00A55DD1" w14:paraId="393A08A7" w14:textId="473ED453" w:rsidTr="00843DAA">
        <w:trPr>
          <w:trHeight w:val="465"/>
        </w:trPr>
        <w:tc>
          <w:tcPr>
            <w:tcW w:w="4161" w:type="dxa"/>
            <w:shd w:val="pct20" w:color="000000" w:fill="FFFFFF"/>
          </w:tcPr>
          <w:p w14:paraId="393A08A4" w14:textId="77777777" w:rsidR="00843DAA" w:rsidRPr="00610FC6" w:rsidRDefault="00843DAA" w:rsidP="0028709C">
            <w:pPr>
              <w:rPr>
                <w:rStyle w:val="Strong"/>
                <w:highlight w:val="cyan"/>
              </w:rPr>
            </w:pPr>
            <w:r w:rsidRPr="00610FC6">
              <w:rPr>
                <w:rStyle w:val="Strong"/>
              </w:rPr>
              <w:t>Base Case Equipment Cost ($/unit):</w:t>
            </w:r>
          </w:p>
          <w:p w14:paraId="393A08A5" w14:textId="77777777" w:rsidR="00843DAA" w:rsidRPr="000E22C9" w:rsidRDefault="00843DAA" w:rsidP="000E22C9">
            <w:pPr>
              <w:rPr>
                <w:highlight w:val="cyan"/>
              </w:rPr>
            </w:pPr>
          </w:p>
        </w:tc>
        <w:tc>
          <w:tcPr>
            <w:tcW w:w="4767" w:type="dxa"/>
            <w:shd w:val="pct20" w:color="000000" w:fill="FFFFFF"/>
          </w:tcPr>
          <w:p w14:paraId="01CE63B8" w14:textId="77777777" w:rsidR="0002331A" w:rsidRDefault="00843DAA" w:rsidP="00C52EC6">
            <w:pPr>
              <w:rPr>
                <w:rFonts w:cs="Arial"/>
                <w:sz w:val="20"/>
                <w:szCs w:val="20"/>
              </w:rPr>
            </w:pPr>
            <w:r w:rsidRPr="000E22C9">
              <w:rPr>
                <w:rFonts w:cs="Arial"/>
                <w:sz w:val="20"/>
                <w:szCs w:val="20"/>
              </w:rPr>
              <w:t xml:space="preserve">Source: </w:t>
            </w:r>
            <w:r>
              <w:rPr>
                <w:rFonts w:cs="Arial"/>
                <w:sz w:val="20"/>
                <w:szCs w:val="20"/>
              </w:rPr>
              <w:t xml:space="preserve">PG&amp;E Calculations, </w:t>
            </w:r>
          </w:p>
          <w:p w14:paraId="1B5EAA4A" w14:textId="65D43EAB" w:rsidR="00843DAA" w:rsidRPr="000E22C9" w:rsidRDefault="00843DAA" w:rsidP="00C52EC6">
            <w:pPr>
              <w:rPr>
                <w:rFonts w:cs="Arial"/>
                <w:sz w:val="20"/>
                <w:szCs w:val="20"/>
              </w:rPr>
            </w:pPr>
            <w:r>
              <w:rPr>
                <w:rFonts w:cs="Arial"/>
                <w:sz w:val="20"/>
                <w:szCs w:val="20"/>
              </w:rPr>
              <w:t>$</w:t>
            </w:r>
            <w:r w:rsidR="00C52EC6">
              <w:rPr>
                <w:rFonts w:cs="Arial"/>
                <w:sz w:val="20"/>
                <w:szCs w:val="20"/>
              </w:rPr>
              <w:t>40</w:t>
            </w:r>
          </w:p>
        </w:tc>
      </w:tr>
      <w:tr w:rsidR="00843DAA" w:rsidRPr="00A55DD1" w14:paraId="393A08AA" w14:textId="305C1A1D" w:rsidTr="00843DAA">
        <w:trPr>
          <w:trHeight w:val="465"/>
        </w:trPr>
        <w:tc>
          <w:tcPr>
            <w:tcW w:w="4161" w:type="dxa"/>
            <w:shd w:val="pct5" w:color="000000" w:fill="FFFFFF"/>
          </w:tcPr>
          <w:p w14:paraId="393A08A8" w14:textId="77777777" w:rsidR="00843DAA" w:rsidRPr="00610FC6" w:rsidRDefault="00843DAA" w:rsidP="0028709C">
            <w:pPr>
              <w:rPr>
                <w:rStyle w:val="Strong"/>
              </w:rPr>
            </w:pPr>
            <w:r w:rsidRPr="00610FC6">
              <w:rPr>
                <w:rStyle w:val="Strong"/>
              </w:rPr>
              <w:t xml:space="preserve">Measure Equipment Cost ($/unit): </w:t>
            </w:r>
          </w:p>
        </w:tc>
        <w:tc>
          <w:tcPr>
            <w:tcW w:w="4767" w:type="dxa"/>
            <w:shd w:val="pct5" w:color="000000" w:fill="FFFFFF"/>
          </w:tcPr>
          <w:p w14:paraId="1A750223" w14:textId="77777777" w:rsidR="0002331A" w:rsidRDefault="00843DAA" w:rsidP="00C52EC6">
            <w:pPr>
              <w:rPr>
                <w:rFonts w:cs="Arial"/>
                <w:sz w:val="20"/>
                <w:szCs w:val="20"/>
              </w:rPr>
            </w:pPr>
            <w:r w:rsidRPr="000E22C9">
              <w:rPr>
                <w:rFonts w:cs="Arial"/>
                <w:sz w:val="20"/>
                <w:szCs w:val="20"/>
              </w:rPr>
              <w:t xml:space="preserve">Source: </w:t>
            </w:r>
            <w:r>
              <w:rPr>
                <w:rFonts w:cs="Arial"/>
                <w:sz w:val="20"/>
                <w:szCs w:val="20"/>
              </w:rPr>
              <w:t xml:space="preserve">PG&amp;E Calculations, </w:t>
            </w:r>
          </w:p>
          <w:p w14:paraId="339B9F8F" w14:textId="15DFC54B" w:rsidR="00843DAA" w:rsidRPr="000E22C9" w:rsidRDefault="00843DAA" w:rsidP="00C52EC6">
            <w:pPr>
              <w:rPr>
                <w:rFonts w:cs="Arial"/>
                <w:sz w:val="20"/>
                <w:szCs w:val="20"/>
              </w:rPr>
            </w:pPr>
            <w:r>
              <w:rPr>
                <w:rFonts w:cs="Arial"/>
                <w:sz w:val="20"/>
                <w:szCs w:val="20"/>
              </w:rPr>
              <w:t>$</w:t>
            </w:r>
            <w:r w:rsidR="00C52EC6">
              <w:rPr>
                <w:rFonts w:cs="Arial"/>
                <w:sz w:val="20"/>
                <w:szCs w:val="20"/>
              </w:rPr>
              <w:t>89</w:t>
            </w:r>
          </w:p>
        </w:tc>
      </w:tr>
      <w:tr w:rsidR="00843DAA" w:rsidRPr="00A55DD1" w14:paraId="393A08B2" w14:textId="4BDDB4B3" w:rsidTr="00843DAA">
        <w:trPr>
          <w:trHeight w:val="465"/>
        </w:trPr>
        <w:tc>
          <w:tcPr>
            <w:tcW w:w="4161" w:type="dxa"/>
            <w:shd w:val="pct20" w:color="000000" w:fill="FFFFFF"/>
          </w:tcPr>
          <w:p w14:paraId="393A08AE" w14:textId="77777777" w:rsidR="00843DAA" w:rsidRPr="00610FC6" w:rsidRDefault="00843DAA" w:rsidP="0028709C">
            <w:pPr>
              <w:rPr>
                <w:rStyle w:val="Strong"/>
              </w:rPr>
            </w:pPr>
            <w:r w:rsidRPr="00610FC6">
              <w:rPr>
                <w:rStyle w:val="Strong"/>
              </w:rPr>
              <w:t xml:space="preserve">Measure Incremental Cost ($/unit): </w:t>
            </w:r>
          </w:p>
        </w:tc>
        <w:tc>
          <w:tcPr>
            <w:tcW w:w="4767" w:type="dxa"/>
            <w:shd w:val="pct20" w:color="000000" w:fill="FFFFFF"/>
          </w:tcPr>
          <w:p w14:paraId="44A09A26" w14:textId="77777777" w:rsidR="0002331A" w:rsidRDefault="00843DAA" w:rsidP="00D801EE">
            <w:pPr>
              <w:rPr>
                <w:rFonts w:cs="Arial"/>
                <w:sz w:val="20"/>
                <w:szCs w:val="20"/>
              </w:rPr>
            </w:pPr>
            <w:r>
              <w:rPr>
                <w:rFonts w:cs="Arial"/>
                <w:sz w:val="20"/>
                <w:szCs w:val="20"/>
              </w:rPr>
              <w:t xml:space="preserve">Source: PG&amp;E Calculations </w:t>
            </w:r>
          </w:p>
          <w:p w14:paraId="7EAAF64B" w14:textId="60467DB8" w:rsidR="00843DAA" w:rsidRDefault="00843DAA" w:rsidP="00D801EE">
            <w:pPr>
              <w:rPr>
                <w:rFonts w:cs="Arial"/>
                <w:sz w:val="20"/>
                <w:szCs w:val="20"/>
              </w:rPr>
            </w:pPr>
            <w:r>
              <w:rPr>
                <w:rFonts w:cs="Arial"/>
                <w:sz w:val="20"/>
                <w:szCs w:val="20"/>
              </w:rPr>
              <w:t>$</w:t>
            </w:r>
            <w:r w:rsidR="00C52EC6">
              <w:rPr>
                <w:rFonts w:cs="Arial"/>
                <w:sz w:val="20"/>
                <w:szCs w:val="20"/>
              </w:rPr>
              <w:t>49</w:t>
            </w:r>
          </w:p>
          <w:p w14:paraId="7FB79BAB" w14:textId="77777777" w:rsidR="00843DAA" w:rsidRDefault="00843DAA" w:rsidP="00D801EE">
            <w:pPr>
              <w:rPr>
                <w:rFonts w:cs="Arial"/>
                <w:sz w:val="20"/>
                <w:szCs w:val="20"/>
              </w:rPr>
            </w:pPr>
            <w:r>
              <w:rPr>
                <w:rFonts w:cs="Arial"/>
                <w:sz w:val="20"/>
                <w:szCs w:val="20"/>
              </w:rPr>
              <w:t>ROB, NC = measure equipment cost – base case equipment cost</w:t>
            </w:r>
          </w:p>
          <w:p w14:paraId="329DC6E4" w14:textId="77777777" w:rsidR="00843DAA" w:rsidRDefault="00843DAA" w:rsidP="008C265F">
            <w:pPr>
              <w:rPr>
                <w:rFonts w:cs="Arial"/>
                <w:sz w:val="20"/>
                <w:szCs w:val="20"/>
              </w:rPr>
            </w:pPr>
          </w:p>
        </w:tc>
      </w:tr>
      <w:tr w:rsidR="00843DAA" w:rsidRPr="00A55DD1" w14:paraId="393A08B5" w14:textId="697D0AA4" w:rsidTr="00843DAA">
        <w:trPr>
          <w:trHeight w:val="465"/>
        </w:trPr>
        <w:tc>
          <w:tcPr>
            <w:tcW w:w="4161" w:type="dxa"/>
            <w:shd w:val="pct5" w:color="000000" w:fill="FFFFFF"/>
          </w:tcPr>
          <w:p w14:paraId="393A08B3" w14:textId="77777777" w:rsidR="00843DAA" w:rsidRPr="00610FC6" w:rsidRDefault="00843DAA" w:rsidP="0028709C">
            <w:pPr>
              <w:rPr>
                <w:rStyle w:val="Strong"/>
              </w:rPr>
            </w:pPr>
            <w:r w:rsidRPr="00610FC6">
              <w:rPr>
                <w:rStyle w:val="Strong"/>
              </w:rPr>
              <w:t xml:space="preserve">Effective Useful Life (years): </w:t>
            </w:r>
          </w:p>
        </w:tc>
        <w:tc>
          <w:tcPr>
            <w:tcW w:w="4767" w:type="dxa"/>
            <w:shd w:val="pct5" w:color="000000" w:fill="FFFFFF"/>
          </w:tcPr>
          <w:p w14:paraId="3F580C7B" w14:textId="606A70C2" w:rsidR="0002331A" w:rsidRDefault="00843DAA" w:rsidP="0002331A">
            <w:pPr>
              <w:rPr>
                <w:rFonts w:cs="Arial"/>
                <w:sz w:val="20"/>
                <w:szCs w:val="20"/>
              </w:rPr>
            </w:pPr>
            <w:r w:rsidRPr="00C52EC6">
              <w:rPr>
                <w:rFonts w:cs="Arial"/>
                <w:sz w:val="20"/>
                <w:szCs w:val="20"/>
              </w:rPr>
              <w:t xml:space="preserve">Source: </w:t>
            </w:r>
            <w:proofErr w:type="spellStart"/>
            <w:r w:rsidR="00C52EC6" w:rsidRPr="00C52EC6">
              <w:rPr>
                <w:rFonts w:cs="Arial"/>
                <w:sz w:val="20"/>
                <w:szCs w:val="20"/>
              </w:rPr>
              <w:t>Koeller</w:t>
            </w:r>
            <w:proofErr w:type="spellEnd"/>
            <w:r w:rsidR="00C52EC6" w:rsidRPr="00C52EC6">
              <w:rPr>
                <w:rFonts w:cs="Arial"/>
                <w:sz w:val="20"/>
                <w:szCs w:val="20"/>
              </w:rPr>
              <w:t xml:space="preserve">, </w:t>
            </w:r>
            <w:r w:rsidR="00C52EC6" w:rsidRPr="00C52EC6">
              <w:rPr>
                <w:rFonts w:cs="Arial"/>
                <w:i/>
                <w:sz w:val="20"/>
                <w:szCs w:val="20"/>
              </w:rPr>
              <w:t xml:space="preserve">Pre-Rinse Spray Valve Programs: How Are They Really Doing? </w:t>
            </w:r>
            <w:r w:rsidRPr="00C52EC6">
              <w:rPr>
                <w:rFonts w:cs="Arial"/>
                <w:sz w:val="20"/>
                <w:szCs w:val="20"/>
              </w:rPr>
              <w:t>M&amp;V Report</w:t>
            </w:r>
            <w:r w:rsidR="0002331A">
              <w:rPr>
                <w:rFonts w:cs="Arial"/>
                <w:sz w:val="20"/>
                <w:szCs w:val="20"/>
              </w:rPr>
              <w:t>,</w:t>
            </w:r>
          </w:p>
          <w:p w14:paraId="680CA55C" w14:textId="4A9F6820" w:rsidR="00843DAA" w:rsidRPr="00A55DD1" w:rsidRDefault="0002331A" w:rsidP="0002331A">
            <w:pPr>
              <w:rPr>
                <w:rFonts w:cs="Arial"/>
                <w:sz w:val="20"/>
                <w:szCs w:val="20"/>
              </w:rPr>
            </w:pPr>
            <w:r w:rsidRPr="00C52EC6">
              <w:rPr>
                <w:rFonts w:cs="Arial"/>
                <w:sz w:val="20"/>
                <w:szCs w:val="20"/>
              </w:rPr>
              <w:t>five years</w:t>
            </w:r>
          </w:p>
        </w:tc>
      </w:tr>
      <w:tr w:rsidR="00843DAA" w:rsidRPr="00A55DD1" w14:paraId="393A08B8" w14:textId="25320B54" w:rsidTr="00843DAA">
        <w:trPr>
          <w:trHeight w:val="465"/>
        </w:trPr>
        <w:tc>
          <w:tcPr>
            <w:tcW w:w="4161" w:type="dxa"/>
            <w:shd w:val="pct20" w:color="000000" w:fill="FFFFFF"/>
          </w:tcPr>
          <w:p w14:paraId="393A08B6" w14:textId="77777777" w:rsidR="00843DAA" w:rsidRPr="00610FC6" w:rsidRDefault="00843DAA" w:rsidP="0028709C">
            <w:pPr>
              <w:rPr>
                <w:rStyle w:val="Strong"/>
              </w:rPr>
            </w:pPr>
            <w:r>
              <w:rPr>
                <w:rStyle w:val="Strong"/>
              </w:rPr>
              <w:t>Measure Application Type</w:t>
            </w:r>
            <w:r w:rsidRPr="00610FC6">
              <w:rPr>
                <w:rStyle w:val="Strong"/>
              </w:rPr>
              <w:t>:</w:t>
            </w:r>
          </w:p>
        </w:tc>
        <w:tc>
          <w:tcPr>
            <w:tcW w:w="4767" w:type="dxa"/>
            <w:shd w:val="pct20" w:color="000000" w:fill="FFFFFF"/>
          </w:tcPr>
          <w:p w14:paraId="101861F0" w14:textId="2F677EA8" w:rsidR="00843DAA" w:rsidRPr="007A0C2E" w:rsidRDefault="00843DAA" w:rsidP="006C44B4">
            <w:pPr>
              <w:rPr>
                <w:rFonts w:cs="Arial"/>
                <w:sz w:val="20"/>
                <w:szCs w:val="20"/>
              </w:rPr>
            </w:pPr>
            <w:r w:rsidRPr="007A0C2E">
              <w:rPr>
                <w:rFonts w:cs="Arial"/>
                <w:sz w:val="20"/>
                <w:szCs w:val="20"/>
              </w:rPr>
              <w:t>Replace on Burnout (ROB), or New Construction (NC).</w:t>
            </w:r>
            <w:r>
              <w:rPr>
                <w:rFonts w:cs="Arial"/>
                <w:sz w:val="20"/>
                <w:szCs w:val="20"/>
              </w:rPr>
              <w:t xml:space="preserve"> </w:t>
            </w:r>
          </w:p>
        </w:tc>
      </w:tr>
      <w:tr w:rsidR="00843DAA" w:rsidRPr="00A55DD1" w14:paraId="393A08BB" w14:textId="15564840" w:rsidTr="00843DAA">
        <w:trPr>
          <w:trHeight w:val="465"/>
        </w:trPr>
        <w:tc>
          <w:tcPr>
            <w:tcW w:w="4161" w:type="dxa"/>
            <w:shd w:val="pct5" w:color="000000" w:fill="FFFFFF"/>
          </w:tcPr>
          <w:p w14:paraId="393A08B9" w14:textId="77777777" w:rsidR="00843DAA" w:rsidRPr="00610FC6" w:rsidRDefault="00843DAA" w:rsidP="0028709C">
            <w:pPr>
              <w:rPr>
                <w:rStyle w:val="Strong"/>
              </w:rPr>
            </w:pPr>
            <w:r w:rsidRPr="00610FC6">
              <w:rPr>
                <w:rStyle w:val="Strong"/>
              </w:rPr>
              <w:t xml:space="preserve">Net-to-Gross Ratios: </w:t>
            </w:r>
          </w:p>
        </w:tc>
        <w:tc>
          <w:tcPr>
            <w:tcW w:w="4767" w:type="dxa"/>
            <w:shd w:val="pct5" w:color="000000" w:fill="FFFFFF"/>
          </w:tcPr>
          <w:p w14:paraId="3072C11C" w14:textId="77777777" w:rsidR="00843DAA" w:rsidRDefault="00843DAA" w:rsidP="00D801EE">
            <w:pPr>
              <w:rPr>
                <w:rFonts w:cs="Arial"/>
                <w:sz w:val="20"/>
                <w:szCs w:val="20"/>
              </w:rPr>
            </w:pPr>
            <w:r>
              <w:rPr>
                <w:rFonts w:cs="Arial"/>
                <w:sz w:val="20"/>
                <w:szCs w:val="20"/>
              </w:rPr>
              <w:t xml:space="preserve">Source: DEER 2014 Com Default &gt; 2yrs </w:t>
            </w:r>
          </w:p>
          <w:p w14:paraId="3943DA3D" w14:textId="3D670CFD" w:rsidR="00843DAA" w:rsidRDefault="00843DAA" w:rsidP="00EA38B4">
            <w:pPr>
              <w:rPr>
                <w:rFonts w:cs="Arial"/>
                <w:sz w:val="20"/>
                <w:szCs w:val="20"/>
              </w:rPr>
            </w:pPr>
            <w:r w:rsidRPr="00657224">
              <w:rPr>
                <w:rFonts w:cs="Arial"/>
                <w:sz w:val="20"/>
                <w:szCs w:val="20"/>
              </w:rPr>
              <w:t>0.7</w:t>
            </w:r>
          </w:p>
        </w:tc>
      </w:tr>
      <w:tr w:rsidR="00843DAA" w:rsidRPr="00A55DD1" w14:paraId="393A08BE" w14:textId="6F8B3F90" w:rsidTr="00843DAA">
        <w:trPr>
          <w:trHeight w:val="465"/>
        </w:trPr>
        <w:tc>
          <w:tcPr>
            <w:tcW w:w="4161" w:type="dxa"/>
            <w:shd w:val="pct20" w:color="000000" w:fill="FFFFFF"/>
          </w:tcPr>
          <w:p w14:paraId="393A08BC" w14:textId="77777777" w:rsidR="00843DAA" w:rsidRPr="00610FC6" w:rsidRDefault="00843DAA" w:rsidP="0028709C">
            <w:pPr>
              <w:rPr>
                <w:rStyle w:val="Strong"/>
              </w:rPr>
            </w:pPr>
            <w:r w:rsidRPr="00610FC6">
              <w:rPr>
                <w:rStyle w:val="Strong"/>
              </w:rPr>
              <w:t>Important Comments:</w:t>
            </w:r>
          </w:p>
        </w:tc>
        <w:tc>
          <w:tcPr>
            <w:tcW w:w="4767" w:type="dxa"/>
            <w:shd w:val="pct20" w:color="000000" w:fill="FFFFFF"/>
          </w:tcPr>
          <w:p w14:paraId="677DDE1F" w14:textId="77777777" w:rsidR="00843DAA" w:rsidRPr="00A55DD1" w:rsidRDefault="00843DAA" w:rsidP="0028709C">
            <w:pPr>
              <w:rPr>
                <w:rFonts w:cs="Arial"/>
                <w:sz w:val="20"/>
                <w:szCs w:val="20"/>
              </w:rPr>
            </w:pPr>
          </w:p>
        </w:tc>
      </w:tr>
    </w:tbl>
    <w:p w14:paraId="393A08BF" w14:textId="1AAA2A3C" w:rsidR="005F19E0" w:rsidRDefault="006F0139" w:rsidP="0006490F">
      <w:pPr>
        <w:rPr>
          <w:rFonts w:cs="Arial"/>
          <w:b/>
          <w:i/>
          <w:color w:val="FF0000"/>
          <w:sz w:val="20"/>
          <w:szCs w:val="20"/>
        </w:rPr>
      </w:pPr>
      <w:r w:rsidRPr="006B4563">
        <w:rPr>
          <w:rFonts w:cs="Arial"/>
          <w:b/>
          <w:i/>
          <w:color w:val="FF0000"/>
          <w:sz w:val="20"/>
          <w:szCs w:val="20"/>
          <w:highlight w:val="cyan"/>
        </w:rPr>
        <w:t xml:space="preserve"> </w:t>
      </w:r>
    </w:p>
    <w:p w14:paraId="393A08C0" w14:textId="77777777" w:rsidR="007F2147" w:rsidRDefault="007F2147" w:rsidP="0006490F">
      <w:pPr>
        <w:rPr>
          <w:rFonts w:cs="Arial"/>
          <w:b/>
          <w:i/>
          <w:color w:val="FF0000"/>
          <w:sz w:val="20"/>
          <w:szCs w:val="20"/>
        </w:rPr>
      </w:pPr>
    </w:p>
    <w:p w14:paraId="393A08C1" w14:textId="77777777" w:rsidR="007F2147" w:rsidRPr="005F19E0" w:rsidRDefault="007F2147" w:rsidP="0006490F">
      <w:pPr>
        <w:rPr>
          <w:rFonts w:cs="Arial"/>
          <w:b/>
          <w:color w:val="FF0000"/>
          <w:sz w:val="20"/>
          <w:szCs w:val="20"/>
        </w:rPr>
        <w:sectPr w:rsidR="007F2147" w:rsidRPr="005F19E0" w:rsidSect="00F4532C">
          <w:headerReference w:type="even" r:id="rId18"/>
          <w:headerReference w:type="default" r:id="rId19"/>
          <w:footerReference w:type="even" r:id="rId20"/>
          <w:footerReference w:type="default" r:id="rId21"/>
          <w:headerReference w:type="first" r:id="rId22"/>
          <w:footerReference w:type="first" r:id="rId23"/>
          <w:endnotePr>
            <w:numFmt w:val="decimal"/>
          </w:endnotePr>
          <w:pgSz w:w="12240" w:h="15840"/>
          <w:pgMar w:top="1440" w:right="1440" w:bottom="1440" w:left="1440" w:header="720" w:footer="720" w:gutter="0"/>
          <w:pgNumType w:fmt="lowerRoman"/>
          <w:cols w:space="720"/>
          <w:docGrid w:linePitch="360"/>
        </w:sectPr>
      </w:pPr>
    </w:p>
    <w:p w14:paraId="4FF1DA06" w14:textId="77777777" w:rsidR="00AB723D" w:rsidRDefault="00AB723D" w:rsidP="00AB723D">
      <w:pPr>
        <w:pStyle w:val="Heading1"/>
      </w:pPr>
      <w:bookmarkStart w:id="7" w:name="_Toc342311739"/>
      <w:bookmarkStart w:id="8" w:name="_Toc391396998"/>
      <w:r>
        <w:lastRenderedPageBreak/>
        <w:t>Work Paper Approvals</w:t>
      </w:r>
      <w:bookmarkEnd w:id="7"/>
      <w:bookmarkEnd w:id="8"/>
    </w:p>
    <w:p w14:paraId="1B45287C" w14:textId="77777777" w:rsidR="008C265F" w:rsidRDefault="008C265F" w:rsidP="008C265F">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8C265F" w14:paraId="6E8BC21A" w14:textId="77777777" w:rsidTr="008C265F">
        <w:tc>
          <w:tcPr>
            <w:tcW w:w="5000" w:type="pct"/>
            <w:tcMar>
              <w:top w:w="0" w:type="dxa"/>
              <w:left w:w="108" w:type="dxa"/>
              <w:bottom w:w="0" w:type="dxa"/>
              <w:right w:w="108" w:type="dxa"/>
            </w:tcMar>
          </w:tcPr>
          <w:p w14:paraId="472EEECB" w14:textId="77777777" w:rsidR="008C265F" w:rsidRDefault="008C265F" w:rsidP="008C265F">
            <w:pPr>
              <w:rPr>
                <w:rFonts w:eastAsiaTheme="minorHAnsi" w:cs="Arial"/>
                <w:szCs w:val="22"/>
              </w:rPr>
            </w:pPr>
          </w:p>
        </w:tc>
      </w:tr>
      <w:tr w:rsidR="008C265F" w14:paraId="6D09370B" w14:textId="77777777" w:rsidTr="008C265F">
        <w:tc>
          <w:tcPr>
            <w:tcW w:w="5000" w:type="pct"/>
            <w:tcMar>
              <w:top w:w="0" w:type="dxa"/>
              <w:left w:w="108" w:type="dxa"/>
              <w:bottom w:w="0" w:type="dxa"/>
              <w:right w:w="108" w:type="dxa"/>
            </w:tcMar>
            <w:hideMark/>
          </w:tcPr>
          <w:p w14:paraId="02A24FEB" w14:textId="77777777" w:rsidR="008C265F" w:rsidRDefault="008C265F" w:rsidP="008C265F">
            <w:pPr>
              <w:rPr>
                <w:rFonts w:eastAsiaTheme="minorHAnsi" w:cs="Arial"/>
                <w:b/>
                <w:bCs/>
                <w:szCs w:val="22"/>
              </w:rPr>
            </w:pPr>
            <w:r>
              <w:rPr>
                <w:b/>
                <w:bCs/>
              </w:rPr>
              <w:t>Grant Brohard</w:t>
            </w:r>
          </w:p>
          <w:p w14:paraId="27E09036" w14:textId="77777777" w:rsidR="008C265F" w:rsidRDefault="008C265F" w:rsidP="008C265F">
            <w:pPr>
              <w:rPr>
                <w:rFonts w:eastAsiaTheme="minorHAnsi" w:cs="Arial"/>
                <w:szCs w:val="22"/>
              </w:rPr>
            </w:pPr>
            <w:r>
              <w:t>Manager, Technical Product Support</w:t>
            </w:r>
          </w:p>
        </w:tc>
      </w:tr>
      <w:tr w:rsidR="008C265F" w14:paraId="20521238" w14:textId="77777777" w:rsidTr="008C265F">
        <w:tc>
          <w:tcPr>
            <w:tcW w:w="5000" w:type="pct"/>
            <w:tcMar>
              <w:top w:w="0" w:type="dxa"/>
              <w:left w:w="108" w:type="dxa"/>
              <w:bottom w:w="0" w:type="dxa"/>
              <w:right w:w="108" w:type="dxa"/>
            </w:tcMar>
          </w:tcPr>
          <w:p w14:paraId="15918028" w14:textId="77777777" w:rsidR="008C265F" w:rsidRDefault="008C265F" w:rsidP="008C265F">
            <w:pPr>
              <w:rPr>
                <w:b/>
                <w:bCs/>
              </w:rPr>
            </w:pPr>
          </w:p>
          <w:p w14:paraId="09EE4C63" w14:textId="2867D0E6" w:rsidR="008C265F" w:rsidRDefault="00C87D23" w:rsidP="008C265F">
            <w:pPr>
              <w:rPr>
                <w:b/>
                <w:bCs/>
              </w:rPr>
            </w:pPr>
            <w:r>
              <w:rPr>
                <w:b/>
                <w:bCs/>
              </w:rPr>
              <w:t>C</w:t>
            </w:r>
            <w:r w:rsidR="008C265F">
              <w:rPr>
                <w:b/>
                <w:bCs/>
              </w:rPr>
              <w:t>arolyn Weiner</w:t>
            </w:r>
          </w:p>
          <w:p w14:paraId="15F51AE1" w14:textId="77777777" w:rsidR="008C265F" w:rsidRDefault="008C265F" w:rsidP="008C265F">
            <w:r>
              <w:t xml:space="preserve">Manager, Appliance Products </w:t>
            </w:r>
          </w:p>
          <w:p w14:paraId="7714E3F4" w14:textId="77777777" w:rsidR="008C265F" w:rsidRDefault="008C265F" w:rsidP="008C265F">
            <w:pPr>
              <w:rPr>
                <w:b/>
                <w:bCs/>
              </w:rPr>
            </w:pPr>
          </w:p>
          <w:p w14:paraId="777A0D03" w14:textId="77777777" w:rsidR="008C265F" w:rsidRDefault="008C265F" w:rsidP="008C265F">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9" w:name="_Toc304800196"/>
      <w:bookmarkStart w:id="10" w:name="_Toc324318333"/>
      <w:bookmarkStart w:id="11" w:name="_Toc324340477"/>
      <w:bookmarkStart w:id="12" w:name="_Toc391396999"/>
      <w:r w:rsidR="00E71EF1">
        <w:lastRenderedPageBreak/>
        <w:t>Document Revision History</w:t>
      </w:r>
      <w:bookmarkEnd w:id="9"/>
      <w:bookmarkEnd w:id="10"/>
      <w:bookmarkEnd w:id="11"/>
      <w:bookmarkEnd w:id="12"/>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8C265F" w:rsidRPr="002B4FEF" w14:paraId="393A0A5F" w14:textId="77777777" w:rsidTr="00BE45BB">
        <w:trPr>
          <w:trHeight w:val="464"/>
        </w:trPr>
        <w:tc>
          <w:tcPr>
            <w:tcW w:w="858" w:type="pct"/>
            <w:tcBorders>
              <w:top w:val="nil"/>
              <w:bottom w:val="single" w:sz="18" w:space="0" w:color="FFFFFF"/>
            </w:tcBorders>
            <w:shd w:val="pct20" w:color="000000" w:fill="FFFFFF"/>
          </w:tcPr>
          <w:p w14:paraId="393A0A5B" w14:textId="10700FD6" w:rsidR="008C265F" w:rsidRPr="002B4FEF" w:rsidRDefault="008C265F" w:rsidP="000374A5">
            <w:pPr>
              <w:jc w:val="center"/>
              <w:rPr>
                <w:b/>
                <w:bCs/>
              </w:rPr>
            </w:pPr>
            <w:r w:rsidRPr="002B4FEF">
              <w:rPr>
                <w:b/>
              </w:rPr>
              <w:t>Revision #</w:t>
            </w:r>
            <w:r w:rsidRPr="002B4FEF">
              <w:rPr>
                <w:b/>
              </w:rPr>
              <w:tab/>
            </w:r>
          </w:p>
        </w:tc>
        <w:tc>
          <w:tcPr>
            <w:tcW w:w="783" w:type="pct"/>
            <w:tcBorders>
              <w:top w:val="nil"/>
              <w:bottom w:val="single" w:sz="18" w:space="0" w:color="FFFFFF"/>
            </w:tcBorders>
            <w:shd w:val="pct20" w:color="000000" w:fill="FFFFFF"/>
          </w:tcPr>
          <w:p w14:paraId="393A0A5C" w14:textId="77546398" w:rsidR="008C265F" w:rsidRPr="002B4FEF" w:rsidRDefault="008C265F" w:rsidP="000374A5">
            <w:pPr>
              <w:jc w:val="center"/>
              <w:rPr>
                <w:b/>
                <w:bCs/>
                <w:sz w:val="20"/>
                <w:szCs w:val="20"/>
              </w:rPr>
            </w:pPr>
            <w:r>
              <w:rPr>
                <w:b/>
              </w:rPr>
              <w:t>Revision Date</w:t>
            </w:r>
            <w:r w:rsidRPr="002B4FEF">
              <w:rPr>
                <w:b/>
              </w:rPr>
              <w:tab/>
            </w:r>
          </w:p>
        </w:tc>
        <w:tc>
          <w:tcPr>
            <w:tcW w:w="1680" w:type="pct"/>
            <w:tcBorders>
              <w:top w:val="nil"/>
              <w:bottom w:val="single" w:sz="18" w:space="0" w:color="FFFFFF"/>
            </w:tcBorders>
            <w:shd w:val="pct20" w:color="000000" w:fill="FFFFFF"/>
          </w:tcPr>
          <w:p w14:paraId="393A0A5D" w14:textId="2094D747" w:rsidR="008C265F" w:rsidRPr="002B4FEF" w:rsidRDefault="008C265F" w:rsidP="00113464">
            <w:pPr>
              <w:jc w:val="center"/>
              <w:rPr>
                <w:b/>
                <w:bCs/>
                <w:sz w:val="20"/>
                <w:szCs w:val="20"/>
              </w:rPr>
            </w:pPr>
            <w:r w:rsidRPr="002B4FEF">
              <w:rPr>
                <w:b/>
              </w:rPr>
              <w:t>Section</w:t>
            </w:r>
            <w:r>
              <w:rPr>
                <w:b/>
              </w:rPr>
              <w:t>-</w:t>
            </w:r>
            <w:r w:rsidRPr="002B4FEF">
              <w:rPr>
                <w:b/>
              </w:rPr>
              <w:t>by</w:t>
            </w:r>
            <w:r>
              <w:rPr>
                <w:b/>
              </w:rPr>
              <w:t>-</w:t>
            </w:r>
            <w:r w:rsidRPr="002B4FEF">
              <w:rPr>
                <w:b/>
              </w:rPr>
              <w:t>Section Description of Revisions</w:t>
            </w:r>
          </w:p>
        </w:tc>
        <w:tc>
          <w:tcPr>
            <w:tcW w:w="1679" w:type="pct"/>
            <w:tcBorders>
              <w:top w:val="nil"/>
              <w:bottom w:val="single" w:sz="18" w:space="0" w:color="FFFFFF"/>
            </w:tcBorders>
            <w:shd w:val="pct20" w:color="000000" w:fill="FFFFFF"/>
          </w:tcPr>
          <w:p w14:paraId="393A0A5E" w14:textId="5B82F278" w:rsidR="008C265F" w:rsidRPr="002B4FEF" w:rsidRDefault="008C265F" w:rsidP="000374A5">
            <w:pPr>
              <w:jc w:val="center"/>
              <w:rPr>
                <w:b/>
                <w:bCs/>
                <w:sz w:val="20"/>
                <w:szCs w:val="20"/>
              </w:rPr>
            </w:pPr>
            <w:r w:rsidRPr="002B4FEF">
              <w:rPr>
                <w:b/>
              </w:rPr>
              <w:t>Author (Company)</w:t>
            </w:r>
          </w:p>
        </w:tc>
      </w:tr>
      <w:tr w:rsidR="008C265F" w:rsidRPr="00DE21B1" w14:paraId="34FCB0A2" w14:textId="77777777" w:rsidTr="00BE45BB">
        <w:trPr>
          <w:trHeight w:val="464"/>
        </w:trPr>
        <w:tc>
          <w:tcPr>
            <w:tcW w:w="858" w:type="pct"/>
            <w:shd w:val="pct5" w:color="000000" w:fill="FFFFFF"/>
          </w:tcPr>
          <w:p w14:paraId="6390CE3C" w14:textId="070C729F" w:rsidR="008C265F" w:rsidRPr="00DE21B1" w:rsidRDefault="00BE45BB" w:rsidP="008948E0">
            <w:pPr>
              <w:rPr>
                <w:b/>
              </w:rPr>
            </w:pPr>
            <w:r>
              <w:rPr>
                <w:rFonts w:cs="Arial"/>
                <w:bCs/>
                <w:sz w:val="18"/>
              </w:rPr>
              <w:t>0</w:t>
            </w:r>
          </w:p>
        </w:tc>
        <w:tc>
          <w:tcPr>
            <w:tcW w:w="783" w:type="pct"/>
            <w:shd w:val="pct5" w:color="000000" w:fill="FFFFFF"/>
          </w:tcPr>
          <w:p w14:paraId="4544C29E" w14:textId="0F75F097" w:rsidR="008C265F" w:rsidRPr="009E0334" w:rsidRDefault="009E0334" w:rsidP="00C87D23">
            <w:pPr>
              <w:autoSpaceDE w:val="0"/>
              <w:autoSpaceDN w:val="0"/>
              <w:adjustRightInd w:val="0"/>
              <w:rPr>
                <w:rFonts w:cs="Arial"/>
                <w:bCs/>
                <w:sz w:val="18"/>
              </w:rPr>
            </w:pPr>
            <w:r>
              <w:rPr>
                <w:rFonts w:cs="Arial"/>
                <w:bCs/>
                <w:sz w:val="18"/>
              </w:rPr>
              <w:t>September 1</w:t>
            </w:r>
            <w:r w:rsidR="00C87D23">
              <w:rPr>
                <w:rFonts w:cs="Arial"/>
                <w:bCs/>
                <w:sz w:val="18"/>
              </w:rPr>
              <w:t>7</w:t>
            </w:r>
            <w:r>
              <w:rPr>
                <w:rFonts w:cs="Arial"/>
                <w:bCs/>
                <w:sz w:val="18"/>
              </w:rPr>
              <w:t>,</w:t>
            </w:r>
            <w:r w:rsidR="008C265F">
              <w:rPr>
                <w:rFonts w:cs="Arial"/>
                <w:bCs/>
                <w:sz w:val="18"/>
              </w:rPr>
              <w:t xml:space="preserve"> 2014</w:t>
            </w:r>
          </w:p>
        </w:tc>
        <w:tc>
          <w:tcPr>
            <w:tcW w:w="1680" w:type="pct"/>
            <w:shd w:val="pct5" w:color="000000" w:fill="FFFFFF"/>
          </w:tcPr>
          <w:p w14:paraId="79EAF3AC" w14:textId="1AD08900" w:rsidR="008C265F" w:rsidRPr="00C602B7" w:rsidRDefault="00C602B7" w:rsidP="00C602B7">
            <w:pPr>
              <w:rPr>
                <w:rFonts w:cs="Arial"/>
                <w:bCs/>
                <w:sz w:val="18"/>
              </w:rPr>
            </w:pPr>
            <w:r>
              <w:rPr>
                <w:rFonts w:cs="Arial"/>
                <w:bCs/>
                <w:sz w:val="18"/>
              </w:rPr>
              <w:t xml:space="preserve">New proposed work paper for </w:t>
            </w:r>
            <w:r w:rsidR="009E0334">
              <w:rPr>
                <w:rFonts w:cs="Arial"/>
                <w:bCs/>
                <w:sz w:val="18"/>
              </w:rPr>
              <w:t xml:space="preserve">qualifying PRSV </w:t>
            </w:r>
            <w:r>
              <w:rPr>
                <w:rFonts w:cs="Arial"/>
                <w:bCs/>
                <w:sz w:val="18"/>
              </w:rPr>
              <w:t>≤</w:t>
            </w:r>
            <w:r w:rsidR="009E0334">
              <w:rPr>
                <w:rFonts w:cs="Arial"/>
                <w:bCs/>
                <w:sz w:val="18"/>
              </w:rPr>
              <w:t xml:space="preserve"> 1.15</w:t>
            </w:r>
            <w:r w:rsidR="008C265F">
              <w:rPr>
                <w:rFonts w:cs="Arial"/>
                <w:bCs/>
                <w:sz w:val="18"/>
              </w:rPr>
              <w:t xml:space="preserve"> </w:t>
            </w:r>
            <w:proofErr w:type="spellStart"/>
            <w:r w:rsidR="009C5F86">
              <w:rPr>
                <w:rFonts w:cs="Arial"/>
                <w:bCs/>
                <w:sz w:val="18"/>
              </w:rPr>
              <w:t>gpm</w:t>
            </w:r>
            <w:proofErr w:type="spellEnd"/>
            <w:r>
              <w:rPr>
                <w:rFonts w:cs="Arial"/>
                <w:bCs/>
                <w:sz w:val="18"/>
              </w:rPr>
              <w:t xml:space="preserve"> for rebate and Direct Install. </w:t>
            </w:r>
          </w:p>
        </w:tc>
        <w:tc>
          <w:tcPr>
            <w:tcW w:w="1679" w:type="pct"/>
            <w:shd w:val="pct5" w:color="000000" w:fill="FFFFFF"/>
          </w:tcPr>
          <w:p w14:paraId="702CB43A" w14:textId="77777777" w:rsidR="008C265F" w:rsidRDefault="008C265F" w:rsidP="008C265F">
            <w:pPr>
              <w:rPr>
                <w:rFonts w:cs="Arial"/>
                <w:bCs/>
                <w:sz w:val="18"/>
              </w:rPr>
            </w:pPr>
            <w:r>
              <w:rPr>
                <w:rFonts w:cs="Arial"/>
                <w:bCs/>
                <w:sz w:val="18"/>
              </w:rPr>
              <w:t>Kong Sham (Fisher Nickel)</w:t>
            </w:r>
          </w:p>
          <w:p w14:paraId="45930A3D" w14:textId="2888C01E" w:rsidR="008C265F" w:rsidRPr="00DE21B1" w:rsidRDefault="00C602B7" w:rsidP="00746DDC">
            <w:pPr>
              <w:rPr>
                <w:b/>
                <w:bCs/>
                <w:sz w:val="20"/>
                <w:szCs w:val="20"/>
              </w:rPr>
            </w:pPr>
            <w:r>
              <w:rPr>
                <w:rFonts w:cs="Arial"/>
                <w:bCs/>
                <w:sz w:val="18"/>
              </w:rPr>
              <w:t>Charlene Spoor (PG&amp;E</w:t>
            </w:r>
            <w:r w:rsidR="008C265F">
              <w:rPr>
                <w:rFonts w:cs="Arial"/>
                <w:bCs/>
                <w:sz w:val="18"/>
              </w:rPr>
              <w:t>)</w:t>
            </w:r>
          </w:p>
        </w:tc>
      </w:tr>
    </w:tbl>
    <w:p w14:paraId="393A0A6A" w14:textId="31D78C3B" w:rsidR="00E71EF1" w:rsidRDefault="00E71EF1" w:rsidP="00F55847">
      <w:pPr>
        <w:pStyle w:val="Heading1"/>
      </w:pPr>
      <w:bookmarkStart w:id="13" w:name="_Toc186621650"/>
      <w:bookmarkStart w:id="14" w:name="_Toc304800197"/>
      <w:bookmarkStart w:id="15" w:name="_Toc324318334"/>
      <w:r w:rsidRPr="006832A4">
        <w:br w:type="page"/>
      </w:r>
      <w:bookmarkStart w:id="16" w:name="_Toc304800198"/>
      <w:bookmarkStart w:id="17" w:name="_Toc324340478"/>
      <w:bookmarkStart w:id="18" w:name="_Toc391397000"/>
      <w:r w:rsidR="001248A3">
        <w:lastRenderedPageBreak/>
        <w:t>Table</w:t>
      </w:r>
      <w:r w:rsidR="006559C8">
        <w:t xml:space="preserve"> of Contents</w:t>
      </w:r>
      <w:bookmarkEnd w:id="13"/>
      <w:bookmarkEnd w:id="14"/>
      <w:bookmarkEnd w:id="15"/>
      <w:bookmarkEnd w:id="16"/>
      <w:bookmarkEnd w:id="17"/>
      <w:bookmarkEnd w:id="18"/>
    </w:p>
    <w:p w14:paraId="2E3D5CE0" w14:textId="77777777" w:rsidR="008436DA"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91396997" w:history="1">
        <w:r w:rsidR="008436DA" w:rsidRPr="00020371">
          <w:rPr>
            <w:rStyle w:val="Hyperlink"/>
            <w:noProof/>
          </w:rPr>
          <w:t>At-a-Glance Summary</w:t>
        </w:r>
        <w:r w:rsidR="008436DA">
          <w:rPr>
            <w:noProof/>
            <w:webHidden/>
          </w:rPr>
          <w:tab/>
        </w:r>
        <w:r w:rsidR="008436DA">
          <w:rPr>
            <w:noProof/>
            <w:webHidden/>
          </w:rPr>
          <w:fldChar w:fldCharType="begin"/>
        </w:r>
        <w:r w:rsidR="008436DA">
          <w:rPr>
            <w:noProof/>
            <w:webHidden/>
          </w:rPr>
          <w:instrText xml:space="preserve"> PAGEREF _Toc391396997 \h </w:instrText>
        </w:r>
        <w:r w:rsidR="008436DA">
          <w:rPr>
            <w:noProof/>
            <w:webHidden/>
          </w:rPr>
        </w:r>
        <w:r w:rsidR="008436DA">
          <w:rPr>
            <w:noProof/>
            <w:webHidden/>
          </w:rPr>
          <w:fldChar w:fldCharType="separate"/>
        </w:r>
        <w:r w:rsidR="00CE5AEA">
          <w:rPr>
            <w:noProof/>
            <w:webHidden/>
          </w:rPr>
          <w:t>ii</w:t>
        </w:r>
        <w:r w:rsidR="008436DA">
          <w:rPr>
            <w:noProof/>
            <w:webHidden/>
          </w:rPr>
          <w:fldChar w:fldCharType="end"/>
        </w:r>
      </w:hyperlink>
    </w:p>
    <w:p w14:paraId="0320C190" w14:textId="77777777" w:rsidR="008436DA" w:rsidRDefault="00544E9C">
      <w:pPr>
        <w:pStyle w:val="TOC1"/>
        <w:tabs>
          <w:tab w:val="right" w:leader="dot" w:pos="9350"/>
        </w:tabs>
        <w:rPr>
          <w:rFonts w:asciiTheme="minorHAnsi" w:eastAsiaTheme="minorEastAsia" w:hAnsiTheme="minorHAnsi" w:cstheme="minorBidi"/>
          <w:noProof/>
          <w:szCs w:val="22"/>
        </w:rPr>
      </w:pPr>
      <w:hyperlink w:anchor="_Toc391396998" w:history="1">
        <w:r w:rsidR="008436DA" w:rsidRPr="00020371">
          <w:rPr>
            <w:rStyle w:val="Hyperlink"/>
            <w:noProof/>
          </w:rPr>
          <w:t>Work Paper Approvals</w:t>
        </w:r>
        <w:r w:rsidR="008436DA">
          <w:rPr>
            <w:noProof/>
            <w:webHidden/>
          </w:rPr>
          <w:tab/>
        </w:r>
        <w:r w:rsidR="008436DA">
          <w:rPr>
            <w:noProof/>
            <w:webHidden/>
          </w:rPr>
          <w:fldChar w:fldCharType="begin"/>
        </w:r>
        <w:r w:rsidR="008436DA">
          <w:rPr>
            <w:noProof/>
            <w:webHidden/>
          </w:rPr>
          <w:instrText xml:space="preserve"> PAGEREF _Toc391396998 \h </w:instrText>
        </w:r>
        <w:r w:rsidR="008436DA">
          <w:rPr>
            <w:noProof/>
            <w:webHidden/>
          </w:rPr>
        </w:r>
        <w:r w:rsidR="008436DA">
          <w:rPr>
            <w:noProof/>
            <w:webHidden/>
          </w:rPr>
          <w:fldChar w:fldCharType="separate"/>
        </w:r>
        <w:r w:rsidR="00CE5AEA">
          <w:rPr>
            <w:noProof/>
            <w:webHidden/>
          </w:rPr>
          <w:t>iii</w:t>
        </w:r>
        <w:r w:rsidR="008436DA">
          <w:rPr>
            <w:noProof/>
            <w:webHidden/>
          </w:rPr>
          <w:fldChar w:fldCharType="end"/>
        </w:r>
      </w:hyperlink>
    </w:p>
    <w:p w14:paraId="1AAE7008" w14:textId="77777777" w:rsidR="008436DA" w:rsidRDefault="00544E9C">
      <w:pPr>
        <w:pStyle w:val="TOC1"/>
        <w:tabs>
          <w:tab w:val="right" w:leader="dot" w:pos="9350"/>
        </w:tabs>
        <w:rPr>
          <w:rFonts w:asciiTheme="minorHAnsi" w:eastAsiaTheme="minorEastAsia" w:hAnsiTheme="minorHAnsi" w:cstheme="minorBidi"/>
          <w:noProof/>
          <w:szCs w:val="22"/>
        </w:rPr>
      </w:pPr>
      <w:hyperlink w:anchor="_Toc391396999" w:history="1">
        <w:r w:rsidR="008436DA" w:rsidRPr="00020371">
          <w:rPr>
            <w:rStyle w:val="Hyperlink"/>
            <w:noProof/>
          </w:rPr>
          <w:t>Document Revision History</w:t>
        </w:r>
        <w:r w:rsidR="008436DA">
          <w:rPr>
            <w:noProof/>
            <w:webHidden/>
          </w:rPr>
          <w:tab/>
        </w:r>
        <w:r w:rsidR="008436DA">
          <w:rPr>
            <w:noProof/>
            <w:webHidden/>
          </w:rPr>
          <w:fldChar w:fldCharType="begin"/>
        </w:r>
        <w:r w:rsidR="008436DA">
          <w:rPr>
            <w:noProof/>
            <w:webHidden/>
          </w:rPr>
          <w:instrText xml:space="preserve"> PAGEREF _Toc391396999 \h </w:instrText>
        </w:r>
        <w:r w:rsidR="008436DA">
          <w:rPr>
            <w:noProof/>
            <w:webHidden/>
          </w:rPr>
        </w:r>
        <w:r w:rsidR="008436DA">
          <w:rPr>
            <w:noProof/>
            <w:webHidden/>
          </w:rPr>
          <w:fldChar w:fldCharType="separate"/>
        </w:r>
        <w:r w:rsidR="00CE5AEA">
          <w:rPr>
            <w:noProof/>
            <w:webHidden/>
          </w:rPr>
          <w:t>iv</w:t>
        </w:r>
        <w:r w:rsidR="008436DA">
          <w:rPr>
            <w:noProof/>
            <w:webHidden/>
          </w:rPr>
          <w:fldChar w:fldCharType="end"/>
        </w:r>
      </w:hyperlink>
    </w:p>
    <w:p w14:paraId="310C97A9" w14:textId="77777777" w:rsidR="008436DA" w:rsidRDefault="00544E9C">
      <w:pPr>
        <w:pStyle w:val="TOC1"/>
        <w:tabs>
          <w:tab w:val="right" w:leader="dot" w:pos="9350"/>
        </w:tabs>
        <w:rPr>
          <w:rFonts w:asciiTheme="minorHAnsi" w:eastAsiaTheme="minorEastAsia" w:hAnsiTheme="minorHAnsi" w:cstheme="minorBidi"/>
          <w:noProof/>
          <w:szCs w:val="22"/>
        </w:rPr>
      </w:pPr>
      <w:hyperlink w:anchor="_Toc391397000" w:history="1">
        <w:r w:rsidR="008436DA" w:rsidRPr="00020371">
          <w:rPr>
            <w:rStyle w:val="Hyperlink"/>
            <w:noProof/>
          </w:rPr>
          <w:t>Table of Contents</w:t>
        </w:r>
        <w:r w:rsidR="008436DA">
          <w:rPr>
            <w:noProof/>
            <w:webHidden/>
          </w:rPr>
          <w:tab/>
        </w:r>
        <w:r w:rsidR="008436DA">
          <w:rPr>
            <w:noProof/>
            <w:webHidden/>
          </w:rPr>
          <w:fldChar w:fldCharType="begin"/>
        </w:r>
        <w:r w:rsidR="008436DA">
          <w:rPr>
            <w:noProof/>
            <w:webHidden/>
          </w:rPr>
          <w:instrText xml:space="preserve"> PAGEREF _Toc391397000 \h </w:instrText>
        </w:r>
        <w:r w:rsidR="008436DA">
          <w:rPr>
            <w:noProof/>
            <w:webHidden/>
          </w:rPr>
        </w:r>
        <w:r w:rsidR="008436DA">
          <w:rPr>
            <w:noProof/>
            <w:webHidden/>
          </w:rPr>
          <w:fldChar w:fldCharType="separate"/>
        </w:r>
        <w:r w:rsidR="00CE5AEA">
          <w:rPr>
            <w:noProof/>
            <w:webHidden/>
          </w:rPr>
          <w:t>v</w:t>
        </w:r>
        <w:r w:rsidR="008436DA">
          <w:rPr>
            <w:noProof/>
            <w:webHidden/>
          </w:rPr>
          <w:fldChar w:fldCharType="end"/>
        </w:r>
      </w:hyperlink>
    </w:p>
    <w:p w14:paraId="4B22F414" w14:textId="77777777" w:rsidR="008436DA" w:rsidRDefault="00544E9C">
      <w:pPr>
        <w:pStyle w:val="TOC1"/>
        <w:tabs>
          <w:tab w:val="right" w:leader="dot" w:pos="9350"/>
        </w:tabs>
        <w:rPr>
          <w:rFonts w:asciiTheme="minorHAnsi" w:eastAsiaTheme="minorEastAsia" w:hAnsiTheme="minorHAnsi" w:cstheme="minorBidi"/>
          <w:noProof/>
          <w:szCs w:val="22"/>
        </w:rPr>
      </w:pPr>
      <w:hyperlink w:anchor="_Toc391397001" w:history="1">
        <w:r w:rsidR="008436DA" w:rsidRPr="00020371">
          <w:rPr>
            <w:rStyle w:val="Hyperlink"/>
            <w:noProof/>
          </w:rPr>
          <w:t>List of Tables</w:t>
        </w:r>
        <w:r w:rsidR="008436DA">
          <w:rPr>
            <w:noProof/>
            <w:webHidden/>
          </w:rPr>
          <w:tab/>
        </w:r>
        <w:r w:rsidR="008436DA">
          <w:rPr>
            <w:noProof/>
            <w:webHidden/>
          </w:rPr>
          <w:fldChar w:fldCharType="begin"/>
        </w:r>
        <w:r w:rsidR="008436DA">
          <w:rPr>
            <w:noProof/>
            <w:webHidden/>
          </w:rPr>
          <w:instrText xml:space="preserve"> PAGEREF _Toc391397001 \h </w:instrText>
        </w:r>
        <w:r w:rsidR="008436DA">
          <w:rPr>
            <w:noProof/>
            <w:webHidden/>
          </w:rPr>
        </w:r>
        <w:r w:rsidR="008436DA">
          <w:rPr>
            <w:noProof/>
            <w:webHidden/>
          </w:rPr>
          <w:fldChar w:fldCharType="separate"/>
        </w:r>
        <w:r w:rsidR="00CE5AEA">
          <w:rPr>
            <w:noProof/>
            <w:webHidden/>
          </w:rPr>
          <w:t>vi</w:t>
        </w:r>
        <w:r w:rsidR="008436DA">
          <w:rPr>
            <w:noProof/>
            <w:webHidden/>
          </w:rPr>
          <w:fldChar w:fldCharType="end"/>
        </w:r>
      </w:hyperlink>
    </w:p>
    <w:p w14:paraId="16FA7A43" w14:textId="77777777" w:rsidR="008436DA" w:rsidRDefault="00544E9C">
      <w:pPr>
        <w:pStyle w:val="TOC1"/>
        <w:tabs>
          <w:tab w:val="right" w:leader="dot" w:pos="9350"/>
        </w:tabs>
        <w:rPr>
          <w:rFonts w:asciiTheme="minorHAnsi" w:eastAsiaTheme="minorEastAsia" w:hAnsiTheme="minorHAnsi" w:cstheme="minorBidi"/>
          <w:noProof/>
          <w:szCs w:val="22"/>
        </w:rPr>
      </w:pPr>
      <w:hyperlink w:anchor="_Toc391397002" w:history="1">
        <w:r w:rsidR="008436DA" w:rsidRPr="00020371">
          <w:rPr>
            <w:rStyle w:val="Hyperlink"/>
            <w:noProof/>
          </w:rPr>
          <w:t>List of Figures</w:t>
        </w:r>
        <w:r w:rsidR="008436DA">
          <w:rPr>
            <w:noProof/>
            <w:webHidden/>
          </w:rPr>
          <w:tab/>
        </w:r>
        <w:r w:rsidR="008436DA">
          <w:rPr>
            <w:noProof/>
            <w:webHidden/>
          </w:rPr>
          <w:fldChar w:fldCharType="begin"/>
        </w:r>
        <w:r w:rsidR="008436DA">
          <w:rPr>
            <w:noProof/>
            <w:webHidden/>
          </w:rPr>
          <w:instrText xml:space="preserve"> PAGEREF _Toc391397002 \h </w:instrText>
        </w:r>
        <w:r w:rsidR="008436DA">
          <w:rPr>
            <w:noProof/>
            <w:webHidden/>
          </w:rPr>
        </w:r>
        <w:r w:rsidR="008436DA">
          <w:rPr>
            <w:noProof/>
            <w:webHidden/>
          </w:rPr>
          <w:fldChar w:fldCharType="separate"/>
        </w:r>
        <w:r w:rsidR="00CE5AEA">
          <w:rPr>
            <w:noProof/>
            <w:webHidden/>
          </w:rPr>
          <w:t>vi</w:t>
        </w:r>
        <w:r w:rsidR="008436DA">
          <w:rPr>
            <w:noProof/>
            <w:webHidden/>
          </w:rPr>
          <w:fldChar w:fldCharType="end"/>
        </w:r>
      </w:hyperlink>
    </w:p>
    <w:p w14:paraId="22310B66" w14:textId="77777777" w:rsidR="008436DA" w:rsidRDefault="00544E9C">
      <w:pPr>
        <w:pStyle w:val="TOC1"/>
        <w:tabs>
          <w:tab w:val="right" w:leader="dot" w:pos="9350"/>
        </w:tabs>
        <w:rPr>
          <w:rFonts w:asciiTheme="minorHAnsi" w:eastAsiaTheme="minorEastAsia" w:hAnsiTheme="minorHAnsi" w:cstheme="minorBidi"/>
          <w:noProof/>
          <w:szCs w:val="22"/>
        </w:rPr>
      </w:pPr>
      <w:hyperlink w:anchor="_Toc391397003" w:history="1">
        <w:r w:rsidR="008436DA" w:rsidRPr="00020371">
          <w:rPr>
            <w:rStyle w:val="Hyperlink"/>
            <w:noProof/>
          </w:rPr>
          <w:t>Section 1. General Measure &amp; Baseline Data</w:t>
        </w:r>
        <w:r w:rsidR="008436DA">
          <w:rPr>
            <w:noProof/>
            <w:webHidden/>
          </w:rPr>
          <w:tab/>
        </w:r>
        <w:r w:rsidR="008436DA">
          <w:rPr>
            <w:noProof/>
            <w:webHidden/>
          </w:rPr>
          <w:fldChar w:fldCharType="begin"/>
        </w:r>
        <w:r w:rsidR="008436DA">
          <w:rPr>
            <w:noProof/>
            <w:webHidden/>
          </w:rPr>
          <w:instrText xml:space="preserve"> PAGEREF _Toc391397003 \h </w:instrText>
        </w:r>
        <w:r w:rsidR="008436DA">
          <w:rPr>
            <w:noProof/>
            <w:webHidden/>
          </w:rPr>
        </w:r>
        <w:r w:rsidR="008436DA">
          <w:rPr>
            <w:noProof/>
            <w:webHidden/>
          </w:rPr>
          <w:fldChar w:fldCharType="separate"/>
        </w:r>
        <w:r w:rsidR="00CE5AEA">
          <w:rPr>
            <w:noProof/>
            <w:webHidden/>
          </w:rPr>
          <w:t>1</w:t>
        </w:r>
        <w:r w:rsidR="008436DA">
          <w:rPr>
            <w:noProof/>
            <w:webHidden/>
          </w:rPr>
          <w:fldChar w:fldCharType="end"/>
        </w:r>
      </w:hyperlink>
    </w:p>
    <w:p w14:paraId="4E8EFE3A"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04" w:history="1">
        <w:r w:rsidR="008436DA" w:rsidRPr="00020371">
          <w:rPr>
            <w:rStyle w:val="Hyperlink"/>
            <w:noProof/>
          </w:rPr>
          <w:t>1.1 Product Measure Description &amp; Background</w:t>
        </w:r>
        <w:r w:rsidR="008436DA">
          <w:rPr>
            <w:noProof/>
            <w:webHidden/>
          </w:rPr>
          <w:tab/>
        </w:r>
        <w:r w:rsidR="008436DA">
          <w:rPr>
            <w:noProof/>
            <w:webHidden/>
          </w:rPr>
          <w:fldChar w:fldCharType="begin"/>
        </w:r>
        <w:r w:rsidR="008436DA">
          <w:rPr>
            <w:noProof/>
            <w:webHidden/>
          </w:rPr>
          <w:instrText xml:space="preserve"> PAGEREF _Toc391397004 \h </w:instrText>
        </w:r>
        <w:r w:rsidR="008436DA">
          <w:rPr>
            <w:noProof/>
            <w:webHidden/>
          </w:rPr>
        </w:r>
        <w:r w:rsidR="008436DA">
          <w:rPr>
            <w:noProof/>
            <w:webHidden/>
          </w:rPr>
          <w:fldChar w:fldCharType="separate"/>
        </w:r>
        <w:r w:rsidR="00CE5AEA">
          <w:rPr>
            <w:noProof/>
            <w:webHidden/>
          </w:rPr>
          <w:t>1</w:t>
        </w:r>
        <w:r w:rsidR="008436DA">
          <w:rPr>
            <w:noProof/>
            <w:webHidden/>
          </w:rPr>
          <w:fldChar w:fldCharType="end"/>
        </w:r>
      </w:hyperlink>
    </w:p>
    <w:p w14:paraId="5EBBDD6C"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05" w:history="1">
        <w:r w:rsidR="008436DA" w:rsidRPr="00020371">
          <w:rPr>
            <w:rStyle w:val="Hyperlink"/>
            <w:noProof/>
          </w:rPr>
          <w:t>1.2 Product Technical Description</w:t>
        </w:r>
        <w:r w:rsidR="008436DA">
          <w:rPr>
            <w:noProof/>
            <w:webHidden/>
          </w:rPr>
          <w:tab/>
        </w:r>
        <w:r w:rsidR="008436DA">
          <w:rPr>
            <w:noProof/>
            <w:webHidden/>
          </w:rPr>
          <w:fldChar w:fldCharType="begin"/>
        </w:r>
        <w:r w:rsidR="008436DA">
          <w:rPr>
            <w:noProof/>
            <w:webHidden/>
          </w:rPr>
          <w:instrText xml:space="preserve"> PAGEREF _Toc391397005 \h </w:instrText>
        </w:r>
        <w:r w:rsidR="008436DA">
          <w:rPr>
            <w:noProof/>
            <w:webHidden/>
          </w:rPr>
        </w:r>
        <w:r w:rsidR="008436DA">
          <w:rPr>
            <w:noProof/>
            <w:webHidden/>
          </w:rPr>
          <w:fldChar w:fldCharType="separate"/>
        </w:r>
        <w:r w:rsidR="00CE5AEA">
          <w:rPr>
            <w:noProof/>
            <w:webHidden/>
          </w:rPr>
          <w:t>1</w:t>
        </w:r>
        <w:r w:rsidR="008436DA">
          <w:rPr>
            <w:noProof/>
            <w:webHidden/>
          </w:rPr>
          <w:fldChar w:fldCharType="end"/>
        </w:r>
      </w:hyperlink>
    </w:p>
    <w:p w14:paraId="682A56B8"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06" w:history="1">
        <w:r w:rsidR="008436DA" w:rsidRPr="00020371">
          <w:rPr>
            <w:rStyle w:val="Hyperlink"/>
            <w:noProof/>
          </w:rPr>
          <w:t>1.3 Measure Application Type</w:t>
        </w:r>
        <w:r w:rsidR="008436DA">
          <w:rPr>
            <w:noProof/>
            <w:webHidden/>
          </w:rPr>
          <w:tab/>
        </w:r>
        <w:r w:rsidR="008436DA">
          <w:rPr>
            <w:noProof/>
            <w:webHidden/>
          </w:rPr>
          <w:fldChar w:fldCharType="begin"/>
        </w:r>
        <w:r w:rsidR="008436DA">
          <w:rPr>
            <w:noProof/>
            <w:webHidden/>
          </w:rPr>
          <w:instrText xml:space="preserve"> PAGEREF _Toc391397006 \h </w:instrText>
        </w:r>
        <w:r w:rsidR="008436DA">
          <w:rPr>
            <w:noProof/>
            <w:webHidden/>
          </w:rPr>
        </w:r>
        <w:r w:rsidR="008436DA">
          <w:rPr>
            <w:noProof/>
            <w:webHidden/>
          </w:rPr>
          <w:fldChar w:fldCharType="separate"/>
        </w:r>
        <w:r w:rsidR="00CE5AEA">
          <w:rPr>
            <w:noProof/>
            <w:webHidden/>
          </w:rPr>
          <w:t>2</w:t>
        </w:r>
        <w:r w:rsidR="008436DA">
          <w:rPr>
            <w:noProof/>
            <w:webHidden/>
          </w:rPr>
          <w:fldChar w:fldCharType="end"/>
        </w:r>
      </w:hyperlink>
    </w:p>
    <w:p w14:paraId="3B4DAC8E"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07" w:history="1">
        <w:r w:rsidR="008436DA" w:rsidRPr="00020371">
          <w:rPr>
            <w:rStyle w:val="Hyperlink"/>
            <w:noProof/>
          </w:rPr>
          <w:t>1.4 Product Base Case and Measure Case Data</w:t>
        </w:r>
        <w:r w:rsidR="008436DA">
          <w:rPr>
            <w:noProof/>
            <w:webHidden/>
          </w:rPr>
          <w:tab/>
        </w:r>
        <w:r w:rsidR="008436DA">
          <w:rPr>
            <w:noProof/>
            <w:webHidden/>
          </w:rPr>
          <w:fldChar w:fldCharType="begin"/>
        </w:r>
        <w:r w:rsidR="008436DA">
          <w:rPr>
            <w:noProof/>
            <w:webHidden/>
          </w:rPr>
          <w:instrText xml:space="preserve"> PAGEREF _Toc391397007 \h </w:instrText>
        </w:r>
        <w:r w:rsidR="008436DA">
          <w:rPr>
            <w:noProof/>
            <w:webHidden/>
          </w:rPr>
        </w:r>
        <w:r w:rsidR="008436DA">
          <w:rPr>
            <w:noProof/>
            <w:webHidden/>
          </w:rPr>
          <w:fldChar w:fldCharType="separate"/>
        </w:r>
        <w:r w:rsidR="00CE5AEA">
          <w:rPr>
            <w:noProof/>
            <w:webHidden/>
          </w:rPr>
          <w:t>2</w:t>
        </w:r>
        <w:r w:rsidR="008436DA">
          <w:rPr>
            <w:noProof/>
            <w:webHidden/>
          </w:rPr>
          <w:fldChar w:fldCharType="end"/>
        </w:r>
      </w:hyperlink>
    </w:p>
    <w:p w14:paraId="2DE1AA04"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08" w:history="1">
        <w:r w:rsidR="008436DA" w:rsidRPr="00020371">
          <w:rPr>
            <w:rStyle w:val="Hyperlink"/>
            <w:noProof/>
          </w:rPr>
          <w:t>1.4.1 DEER Base Case and Measure Case Information</w:t>
        </w:r>
        <w:r w:rsidR="008436DA">
          <w:rPr>
            <w:noProof/>
            <w:webHidden/>
          </w:rPr>
          <w:tab/>
        </w:r>
        <w:r w:rsidR="008436DA">
          <w:rPr>
            <w:noProof/>
            <w:webHidden/>
          </w:rPr>
          <w:fldChar w:fldCharType="begin"/>
        </w:r>
        <w:r w:rsidR="008436DA">
          <w:rPr>
            <w:noProof/>
            <w:webHidden/>
          </w:rPr>
          <w:instrText xml:space="preserve"> PAGEREF _Toc391397008 \h </w:instrText>
        </w:r>
        <w:r w:rsidR="008436DA">
          <w:rPr>
            <w:noProof/>
            <w:webHidden/>
          </w:rPr>
        </w:r>
        <w:r w:rsidR="008436DA">
          <w:rPr>
            <w:noProof/>
            <w:webHidden/>
          </w:rPr>
          <w:fldChar w:fldCharType="separate"/>
        </w:r>
        <w:r w:rsidR="00CE5AEA">
          <w:rPr>
            <w:noProof/>
            <w:webHidden/>
          </w:rPr>
          <w:t>2</w:t>
        </w:r>
        <w:r w:rsidR="008436DA">
          <w:rPr>
            <w:noProof/>
            <w:webHidden/>
          </w:rPr>
          <w:fldChar w:fldCharType="end"/>
        </w:r>
      </w:hyperlink>
    </w:p>
    <w:p w14:paraId="45441A8B"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09" w:history="1">
        <w:r w:rsidR="008436DA" w:rsidRPr="00020371">
          <w:rPr>
            <w:rStyle w:val="Hyperlink"/>
            <w:noProof/>
          </w:rPr>
          <w:t>1.4.2 Codes &amp; Standards Requirements Base Case and Measure Information</w:t>
        </w:r>
        <w:r w:rsidR="008436DA">
          <w:rPr>
            <w:noProof/>
            <w:webHidden/>
          </w:rPr>
          <w:tab/>
        </w:r>
        <w:r w:rsidR="008436DA">
          <w:rPr>
            <w:noProof/>
            <w:webHidden/>
          </w:rPr>
          <w:fldChar w:fldCharType="begin"/>
        </w:r>
        <w:r w:rsidR="008436DA">
          <w:rPr>
            <w:noProof/>
            <w:webHidden/>
          </w:rPr>
          <w:instrText xml:space="preserve"> PAGEREF _Toc391397009 \h </w:instrText>
        </w:r>
        <w:r w:rsidR="008436DA">
          <w:rPr>
            <w:noProof/>
            <w:webHidden/>
          </w:rPr>
        </w:r>
        <w:r w:rsidR="008436DA">
          <w:rPr>
            <w:noProof/>
            <w:webHidden/>
          </w:rPr>
          <w:fldChar w:fldCharType="separate"/>
        </w:r>
        <w:r w:rsidR="00CE5AEA">
          <w:rPr>
            <w:noProof/>
            <w:webHidden/>
          </w:rPr>
          <w:t>3</w:t>
        </w:r>
        <w:r w:rsidR="008436DA">
          <w:rPr>
            <w:noProof/>
            <w:webHidden/>
          </w:rPr>
          <w:fldChar w:fldCharType="end"/>
        </w:r>
      </w:hyperlink>
    </w:p>
    <w:p w14:paraId="60BB1E16"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10" w:history="1">
        <w:r w:rsidR="008436DA" w:rsidRPr="00020371">
          <w:rPr>
            <w:rStyle w:val="Hyperlink"/>
            <w:noProof/>
          </w:rPr>
          <w:t>1.4.3 EM&amp;V, Market Potential, and Other Studies – Base Case and Measure Case Information</w:t>
        </w:r>
        <w:r w:rsidR="008436DA">
          <w:rPr>
            <w:noProof/>
            <w:webHidden/>
          </w:rPr>
          <w:tab/>
        </w:r>
        <w:r w:rsidR="008436DA">
          <w:rPr>
            <w:noProof/>
            <w:webHidden/>
          </w:rPr>
          <w:fldChar w:fldCharType="begin"/>
        </w:r>
        <w:r w:rsidR="008436DA">
          <w:rPr>
            <w:noProof/>
            <w:webHidden/>
          </w:rPr>
          <w:instrText xml:space="preserve"> PAGEREF _Toc391397010 \h </w:instrText>
        </w:r>
        <w:r w:rsidR="008436DA">
          <w:rPr>
            <w:noProof/>
            <w:webHidden/>
          </w:rPr>
        </w:r>
        <w:r w:rsidR="008436DA">
          <w:rPr>
            <w:noProof/>
            <w:webHidden/>
          </w:rPr>
          <w:fldChar w:fldCharType="separate"/>
        </w:r>
        <w:r w:rsidR="00CE5AEA">
          <w:rPr>
            <w:noProof/>
            <w:webHidden/>
          </w:rPr>
          <w:t>4</w:t>
        </w:r>
        <w:r w:rsidR="008436DA">
          <w:rPr>
            <w:noProof/>
            <w:webHidden/>
          </w:rPr>
          <w:fldChar w:fldCharType="end"/>
        </w:r>
      </w:hyperlink>
    </w:p>
    <w:p w14:paraId="057E18CC"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11" w:history="1">
        <w:r w:rsidR="008436DA" w:rsidRPr="00020371">
          <w:rPr>
            <w:rStyle w:val="Hyperlink"/>
            <w:noProof/>
          </w:rPr>
          <w:t>1.4.4 Assumptions and Calculations from other sources—Base and Measure Cases</w:t>
        </w:r>
        <w:r w:rsidR="008436DA">
          <w:rPr>
            <w:noProof/>
            <w:webHidden/>
          </w:rPr>
          <w:tab/>
        </w:r>
        <w:r w:rsidR="008436DA">
          <w:rPr>
            <w:noProof/>
            <w:webHidden/>
          </w:rPr>
          <w:fldChar w:fldCharType="begin"/>
        </w:r>
        <w:r w:rsidR="008436DA">
          <w:rPr>
            <w:noProof/>
            <w:webHidden/>
          </w:rPr>
          <w:instrText xml:space="preserve"> PAGEREF _Toc391397011 \h </w:instrText>
        </w:r>
        <w:r w:rsidR="008436DA">
          <w:rPr>
            <w:noProof/>
            <w:webHidden/>
          </w:rPr>
        </w:r>
        <w:r w:rsidR="008436DA">
          <w:rPr>
            <w:noProof/>
            <w:webHidden/>
          </w:rPr>
          <w:fldChar w:fldCharType="separate"/>
        </w:r>
        <w:r w:rsidR="00CE5AEA">
          <w:rPr>
            <w:noProof/>
            <w:webHidden/>
          </w:rPr>
          <w:t>5</w:t>
        </w:r>
        <w:r w:rsidR="008436DA">
          <w:rPr>
            <w:noProof/>
            <w:webHidden/>
          </w:rPr>
          <w:fldChar w:fldCharType="end"/>
        </w:r>
      </w:hyperlink>
    </w:p>
    <w:p w14:paraId="518A05AD" w14:textId="77777777" w:rsidR="008436DA" w:rsidRDefault="00544E9C">
      <w:pPr>
        <w:pStyle w:val="TOC1"/>
        <w:tabs>
          <w:tab w:val="right" w:leader="dot" w:pos="9350"/>
        </w:tabs>
        <w:rPr>
          <w:rFonts w:asciiTheme="minorHAnsi" w:eastAsiaTheme="minorEastAsia" w:hAnsiTheme="minorHAnsi" w:cstheme="minorBidi"/>
          <w:noProof/>
          <w:szCs w:val="22"/>
        </w:rPr>
      </w:pPr>
      <w:hyperlink w:anchor="_Toc391397012" w:history="1">
        <w:r w:rsidR="008436DA" w:rsidRPr="00020371">
          <w:rPr>
            <w:rStyle w:val="Hyperlink"/>
            <w:noProof/>
          </w:rPr>
          <w:t>Section 2. Calculation Methods</w:t>
        </w:r>
        <w:r w:rsidR="008436DA">
          <w:rPr>
            <w:noProof/>
            <w:webHidden/>
          </w:rPr>
          <w:tab/>
        </w:r>
        <w:r w:rsidR="008436DA">
          <w:rPr>
            <w:noProof/>
            <w:webHidden/>
          </w:rPr>
          <w:fldChar w:fldCharType="begin"/>
        </w:r>
        <w:r w:rsidR="008436DA">
          <w:rPr>
            <w:noProof/>
            <w:webHidden/>
          </w:rPr>
          <w:instrText xml:space="preserve"> PAGEREF _Toc391397012 \h </w:instrText>
        </w:r>
        <w:r w:rsidR="008436DA">
          <w:rPr>
            <w:noProof/>
            <w:webHidden/>
          </w:rPr>
        </w:r>
        <w:r w:rsidR="008436DA">
          <w:rPr>
            <w:noProof/>
            <w:webHidden/>
          </w:rPr>
          <w:fldChar w:fldCharType="separate"/>
        </w:r>
        <w:r w:rsidR="00CE5AEA">
          <w:rPr>
            <w:noProof/>
            <w:webHidden/>
          </w:rPr>
          <w:t>7</w:t>
        </w:r>
        <w:r w:rsidR="008436DA">
          <w:rPr>
            <w:noProof/>
            <w:webHidden/>
          </w:rPr>
          <w:fldChar w:fldCharType="end"/>
        </w:r>
      </w:hyperlink>
    </w:p>
    <w:p w14:paraId="3708A733"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13" w:history="1">
        <w:r w:rsidR="008436DA" w:rsidRPr="00020371">
          <w:rPr>
            <w:rStyle w:val="Hyperlink"/>
            <w:noProof/>
          </w:rPr>
          <w:t>Measure Application Type</w:t>
        </w:r>
        <w:r w:rsidR="008436DA">
          <w:rPr>
            <w:noProof/>
            <w:webHidden/>
          </w:rPr>
          <w:tab/>
        </w:r>
        <w:r w:rsidR="008436DA">
          <w:rPr>
            <w:noProof/>
            <w:webHidden/>
          </w:rPr>
          <w:fldChar w:fldCharType="begin"/>
        </w:r>
        <w:r w:rsidR="008436DA">
          <w:rPr>
            <w:noProof/>
            <w:webHidden/>
          </w:rPr>
          <w:instrText xml:space="preserve"> PAGEREF _Toc391397013 \h </w:instrText>
        </w:r>
        <w:r w:rsidR="008436DA">
          <w:rPr>
            <w:noProof/>
            <w:webHidden/>
          </w:rPr>
        </w:r>
        <w:r w:rsidR="008436DA">
          <w:rPr>
            <w:noProof/>
            <w:webHidden/>
          </w:rPr>
          <w:fldChar w:fldCharType="separate"/>
        </w:r>
        <w:r w:rsidR="00CE5AEA">
          <w:rPr>
            <w:noProof/>
            <w:webHidden/>
          </w:rPr>
          <w:t>7</w:t>
        </w:r>
        <w:r w:rsidR="008436DA">
          <w:rPr>
            <w:noProof/>
            <w:webHidden/>
          </w:rPr>
          <w:fldChar w:fldCharType="end"/>
        </w:r>
      </w:hyperlink>
    </w:p>
    <w:p w14:paraId="620311D6"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14" w:history="1">
        <w:r w:rsidR="008436DA" w:rsidRPr="00020371">
          <w:rPr>
            <w:rStyle w:val="Hyperlink"/>
            <w:noProof/>
          </w:rPr>
          <w:t>Measure Life Basis</w:t>
        </w:r>
        <w:r w:rsidR="008436DA">
          <w:rPr>
            <w:noProof/>
            <w:webHidden/>
          </w:rPr>
          <w:tab/>
        </w:r>
        <w:r w:rsidR="008436DA">
          <w:rPr>
            <w:noProof/>
            <w:webHidden/>
          </w:rPr>
          <w:fldChar w:fldCharType="begin"/>
        </w:r>
        <w:r w:rsidR="008436DA">
          <w:rPr>
            <w:noProof/>
            <w:webHidden/>
          </w:rPr>
          <w:instrText xml:space="preserve"> PAGEREF _Toc391397014 \h </w:instrText>
        </w:r>
        <w:r w:rsidR="008436DA">
          <w:rPr>
            <w:noProof/>
            <w:webHidden/>
          </w:rPr>
        </w:r>
        <w:r w:rsidR="008436DA">
          <w:rPr>
            <w:noProof/>
            <w:webHidden/>
          </w:rPr>
          <w:fldChar w:fldCharType="separate"/>
        </w:r>
        <w:r w:rsidR="00CE5AEA">
          <w:rPr>
            <w:noProof/>
            <w:webHidden/>
          </w:rPr>
          <w:t>7</w:t>
        </w:r>
        <w:r w:rsidR="008436DA">
          <w:rPr>
            <w:noProof/>
            <w:webHidden/>
          </w:rPr>
          <w:fldChar w:fldCharType="end"/>
        </w:r>
      </w:hyperlink>
    </w:p>
    <w:p w14:paraId="2AD0356E"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15" w:history="1">
        <w:r w:rsidR="008436DA" w:rsidRPr="00020371">
          <w:rPr>
            <w:rStyle w:val="Hyperlink"/>
            <w:noProof/>
          </w:rPr>
          <w:t>First Baseline Period: Energy Savings Baseline</w:t>
        </w:r>
        <w:r w:rsidR="008436DA">
          <w:rPr>
            <w:noProof/>
            <w:webHidden/>
          </w:rPr>
          <w:tab/>
        </w:r>
        <w:r w:rsidR="008436DA">
          <w:rPr>
            <w:noProof/>
            <w:webHidden/>
          </w:rPr>
          <w:fldChar w:fldCharType="begin"/>
        </w:r>
        <w:r w:rsidR="008436DA">
          <w:rPr>
            <w:noProof/>
            <w:webHidden/>
          </w:rPr>
          <w:instrText xml:space="preserve"> PAGEREF _Toc391397015 \h </w:instrText>
        </w:r>
        <w:r w:rsidR="008436DA">
          <w:rPr>
            <w:noProof/>
            <w:webHidden/>
          </w:rPr>
        </w:r>
        <w:r w:rsidR="008436DA">
          <w:rPr>
            <w:noProof/>
            <w:webHidden/>
          </w:rPr>
          <w:fldChar w:fldCharType="separate"/>
        </w:r>
        <w:r w:rsidR="00CE5AEA">
          <w:rPr>
            <w:noProof/>
            <w:webHidden/>
          </w:rPr>
          <w:t>7</w:t>
        </w:r>
        <w:r w:rsidR="008436DA">
          <w:rPr>
            <w:noProof/>
            <w:webHidden/>
          </w:rPr>
          <w:fldChar w:fldCharType="end"/>
        </w:r>
      </w:hyperlink>
    </w:p>
    <w:p w14:paraId="109E8C03"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16" w:history="1">
        <w:r w:rsidR="008436DA" w:rsidRPr="00020371">
          <w:rPr>
            <w:rStyle w:val="Hyperlink"/>
            <w:noProof/>
          </w:rPr>
          <w:t>Second Baseline Period: Energy Savings Baseline</w:t>
        </w:r>
        <w:r w:rsidR="008436DA">
          <w:rPr>
            <w:noProof/>
            <w:webHidden/>
          </w:rPr>
          <w:tab/>
        </w:r>
        <w:r w:rsidR="008436DA">
          <w:rPr>
            <w:noProof/>
            <w:webHidden/>
          </w:rPr>
          <w:fldChar w:fldCharType="begin"/>
        </w:r>
        <w:r w:rsidR="008436DA">
          <w:rPr>
            <w:noProof/>
            <w:webHidden/>
          </w:rPr>
          <w:instrText xml:space="preserve"> PAGEREF _Toc391397016 \h </w:instrText>
        </w:r>
        <w:r w:rsidR="008436DA">
          <w:rPr>
            <w:noProof/>
            <w:webHidden/>
          </w:rPr>
        </w:r>
        <w:r w:rsidR="008436DA">
          <w:rPr>
            <w:noProof/>
            <w:webHidden/>
          </w:rPr>
          <w:fldChar w:fldCharType="separate"/>
        </w:r>
        <w:r w:rsidR="00CE5AEA">
          <w:rPr>
            <w:noProof/>
            <w:webHidden/>
          </w:rPr>
          <w:t>7</w:t>
        </w:r>
        <w:r w:rsidR="008436DA">
          <w:rPr>
            <w:noProof/>
            <w:webHidden/>
          </w:rPr>
          <w:fldChar w:fldCharType="end"/>
        </w:r>
      </w:hyperlink>
    </w:p>
    <w:p w14:paraId="2D6E1AC5"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17" w:history="1">
        <w:r w:rsidR="008436DA" w:rsidRPr="00020371">
          <w:rPr>
            <w:rStyle w:val="Hyperlink"/>
            <w:noProof/>
          </w:rPr>
          <w:t>2.1 Electric Energy Savings Estimation Methodologies</w:t>
        </w:r>
        <w:r w:rsidR="008436DA">
          <w:rPr>
            <w:noProof/>
            <w:webHidden/>
          </w:rPr>
          <w:tab/>
        </w:r>
        <w:r w:rsidR="008436DA">
          <w:rPr>
            <w:noProof/>
            <w:webHidden/>
          </w:rPr>
          <w:fldChar w:fldCharType="begin"/>
        </w:r>
        <w:r w:rsidR="008436DA">
          <w:rPr>
            <w:noProof/>
            <w:webHidden/>
          </w:rPr>
          <w:instrText xml:space="preserve"> PAGEREF _Toc391397017 \h </w:instrText>
        </w:r>
        <w:r w:rsidR="008436DA">
          <w:rPr>
            <w:noProof/>
            <w:webHidden/>
          </w:rPr>
        </w:r>
        <w:r w:rsidR="008436DA">
          <w:rPr>
            <w:noProof/>
            <w:webHidden/>
          </w:rPr>
          <w:fldChar w:fldCharType="separate"/>
        </w:r>
        <w:r w:rsidR="00CE5AEA">
          <w:rPr>
            <w:noProof/>
            <w:webHidden/>
          </w:rPr>
          <w:t>7</w:t>
        </w:r>
        <w:r w:rsidR="008436DA">
          <w:rPr>
            <w:noProof/>
            <w:webHidden/>
          </w:rPr>
          <w:fldChar w:fldCharType="end"/>
        </w:r>
      </w:hyperlink>
    </w:p>
    <w:p w14:paraId="7405BC93"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18" w:history="1">
        <w:r w:rsidR="008436DA" w:rsidRPr="00020371">
          <w:rPr>
            <w:rStyle w:val="Hyperlink"/>
            <w:noProof/>
          </w:rPr>
          <w:t>2.2. Demand Reduction Estimation Methodologies</w:t>
        </w:r>
        <w:r w:rsidR="008436DA">
          <w:rPr>
            <w:noProof/>
            <w:webHidden/>
          </w:rPr>
          <w:tab/>
        </w:r>
        <w:r w:rsidR="008436DA">
          <w:rPr>
            <w:noProof/>
            <w:webHidden/>
          </w:rPr>
          <w:fldChar w:fldCharType="begin"/>
        </w:r>
        <w:r w:rsidR="008436DA">
          <w:rPr>
            <w:noProof/>
            <w:webHidden/>
          </w:rPr>
          <w:instrText xml:space="preserve"> PAGEREF _Toc391397018 \h </w:instrText>
        </w:r>
        <w:r w:rsidR="008436DA">
          <w:rPr>
            <w:noProof/>
            <w:webHidden/>
          </w:rPr>
        </w:r>
        <w:r w:rsidR="008436DA">
          <w:rPr>
            <w:noProof/>
            <w:webHidden/>
          </w:rPr>
          <w:fldChar w:fldCharType="separate"/>
        </w:r>
        <w:r w:rsidR="00CE5AEA">
          <w:rPr>
            <w:noProof/>
            <w:webHidden/>
          </w:rPr>
          <w:t>7</w:t>
        </w:r>
        <w:r w:rsidR="008436DA">
          <w:rPr>
            <w:noProof/>
            <w:webHidden/>
          </w:rPr>
          <w:fldChar w:fldCharType="end"/>
        </w:r>
      </w:hyperlink>
    </w:p>
    <w:p w14:paraId="1B203869"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19" w:history="1">
        <w:r w:rsidR="008436DA" w:rsidRPr="00020371">
          <w:rPr>
            <w:rStyle w:val="Hyperlink"/>
            <w:noProof/>
          </w:rPr>
          <w:t>2.3. Gas Energy Savings Estimation Methodologies</w:t>
        </w:r>
        <w:r w:rsidR="008436DA">
          <w:rPr>
            <w:noProof/>
            <w:webHidden/>
          </w:rPr>
          <w:tab/>
        </w:r>
        <w:r w:rsidR="008436DA">
          <w:rPr>
            <w:noProof/>
            <w:webHidden/>
          </w:rPr>
          <w:fldChar w:fldCharType="begin"/>
        </w:r>
        <w:r w:rsidR="008436DA">
          <w:rPr>
            <w:noProof/>
            <w:webHidden/>
          </w:rPr>
          <w:instrText xml:space="preserve"> PAGEREF _Toc391397019 \h </w:instrText>
        </w:r>
        <w:r w:rsidR="008436DA">
          <w:rPr>
            <w:noProof/>
            <w:webHidden/>
          </w:rPr>
        </w:r>
        <w:r w:rsidR="008436DA">
          <w:rPr>
            <w:noProof/>
            <w:webHidden/>
          </w:rPr>
          <w:fldChar w:fldCharType="separate"/>
        </w:r>
        <w:r w:rsidR="00CE5AEA">
          <w:rPr>
            <w:noProof/>
            <w:webHidden/>
          </w:rPr>
          <w:t>7</w:t>
        </w:r>
        <w:r w:rsidR="008436DA">
          <w:rPr>
            <w:noProof/>
            <w:webHidden/>
          </w:rPr>
          <w:fldChar w:fldCharType="end"/>
        </w:r>
      </w:hyperlink>
    </w:p>
    <w:p w14:paraId="3E20C1ED" w14:textId="77777777" w:rsidR="008436DA" w:rsidRDefault="00544E9C">
      <w:pPr>
        <w:pStyle w:val="TOC3"/>
        <w:tabs>
          <w:tab w:val="left" w:pos="1100"/>
          <w:tab w:val="right" w:leader="dot" w:pos="9350"/>
        </w:tabs>
        <w:rPr>
          <w:rFonts w:asciiTheme="minorHAnsi" w:eastAsiaTheme="minorEastAsia" w:hAnsiTheme="minorHAnsi" w:cstheme="minorBidi"/>
          <w:noProof/>
          <w:szCs w:val="22"/>
        </w:rPr>
      </w:pPr>
      <w:hyperlink w:anchor="_Toc391397020" w:history="1">
        <w:r w:rsidR="008436DA" w:rsidRPr="00020371">
          <w:rPr>
            <w:rStyle w:val="Hyperlink"/>
            <w:noProof/>
          </w:rPr>
          <w:t>A.</w:t>
        </w:r>
        <w:r w:rsidR="008436DA">
          <w:rPr>
            <w:rFonts w:asciiTheme="minorHAnsi" w:eastAsiaTheme="minorEastAsia" w:hAnsiTheme="minorHAnsi" w:cstheme="minorBidi"/>
            <w:noProof/>
            <w:szCs w:val="22"/>
          </w:rPr>
          <w:tab/>
        </w:r>
        <w:r w:rsidR="008436DA" w:rsidRPr="00020371">
          <w:rPr>
            <w:rStyle w:val="Hyperlink"/>
            <w:noProof/>
          </w:rPr>
          <w:t>Energy Savings Calculation</w:t>
        </w:r>
        <w:r w:rsidR="008436DA">
          <w:rPr>
            <w:noProof/>
            <w:webHidden/>
          </w:rPr>
          <w:tab/>
        </w:r>
        <w:r w:rsidR="008436DA">
          <w:rPr>
            <w:noProof/>
            <w:webHidden/>
          </w:rPr>
          <w:fldChar w:fldCharType="begin"/>
        </w:r>
        <w:r w:rsidR="008436DA">
          <w:rPr>
            <w:noProof/>
            <w:webHidden/>
          </w:rPr>
          <w:instrText xml:space="preserve"> PAGEREF _Toc391397020 \h </w:instrText>
        </w:r>
        <w:r w:rsidR="008436DA">
          <w:rPr>
            <w:noProof/>
            <w:webHidden/>
          </w:rPr>
        </w:r>
        <w:r w:rsidR="008436DA">
          <w:rPr>
            <w:noProof/>
            <w:webHidden/>
          </w:rPr>
          <w:fldChar w:fldCharType="separate"/>
        </w:r>
        <w:r w:rsidR="00CE5AEA">
          <w:rPr>
            <w:noProof/>
            <w:webHidden/>
          </w:rPr>
          <w:t>7</w:t>
        </w:r>
        <w:r w:rsidR="008436DA">
          <w:rPr>
            <w:noProof/>
            <w:webHidden/>
          </w:rPr>
          <w:fldChar w:fldCharType="end"/>
        </w:r>
      </w:hyperlink>
    </w:p>
    <w:p w14:paraId="09BC7A44" w14:textId="77777777" w:rsidR="008436DA" w:rsidRDefault="00544E9C">
      <w:pPr>
        <w:pStyle w:val="TOC3"/>
        <w:tabs>
          <w:tab w:val="left" w:pos="1100"/>
          <w:tab w:val="right" w:leader="dot" w:pos="9350"/>
        </w:tabs>
        <w:rPr>
          <w:rFonts w:asciiTheme="minorHAnsi" w:eastAsiaTheme="minorEastAsia" w:hAnsiTheme="minorHAnsi" w:cstheme="minorBidi"/>
          <w:noProof/>
          <w:szCs w:val="22"/>
        </w:rPr>
      </w:pPr>
      <w:hyperlink w:anchor="_Toc391397021" w:history="1">
        <w:r w:rsidR="008436DA" w:rsidRPr="00020371">
          <w:rPr>
            <w:rStyle w:val="Hyperlink"/>
            <w:noProof/>
          </w:rPr>
          <w:t>B.</w:t>
        </w:r>
        <w:r w:rsidR="008436DA">
          <w:rPr>
            <w:rFonts w:asciiTheme="minorHAnsi" w:eastAsiaTheme="minorEastAsia" w:hAnsiTheme="minorHAnsi" w:cstheme="minorBidi"/>
            <w:noProof/>
            <w:szCs w:val="22"/>
          </w:rPr>
          <w:tab/>
        </w:r>
        <w:r w:rsidR="008436DA" w:rsidRPr="00020371">
          <w:rPr>
            <w:rStyle w:val="Hyperlink"/>
            <w:noProof/>
          </w:rPr>
          <w:t>Water Savings Calculation</w:t>
        </w:r>
        <w:r w:rsidR="008436DA">
          <w:rPr>
            <w:noProof/>
            <w:webHidden/>
          </w:rPr>
          <w:tab/>
        </w:r>
        <w:r w:rsidR="008436DA">
          <w:rPr>
            <w:noProof/>
            <w:webHidden/>
          </w:rPr>
          <w:fldChar w:fldCharType="begin"/>
        </w:r>
        <w:r w:rsidR="008436DA">
          <w:rPr>
            <w:noProof/>
            <w:webHidden/>
          </w:rPr>
          <w:instrText xml:space="preserve"> PAGEREF _Toc391397021 \h </w:instrText>
        </w:r>
        <w:r w:rsidR="008436DA">
          <w:rPr>
            <w:noProof/>
            <w:webHidden/>
          </w:rPr>
        </w:r>
        <w:r w:rsidR="008436DA">
          <w:rPr>
            <w:noProof/>
            <w:webHidden/>
          </w:rPr>
          <w:fldChar w:fldCharType="separate"/>
        </w:r>
        <w:r w:rsidR="00CE5AEA">
          <w:rPr>
            <w:noProof/>
            <w:webHidden/>
          </w:rPr>
          <w:t>8</w:t>
        </w:r>
        <w:r w:rsidR="008436DA">
          <w:rPr>
            <w:noProof/>
            <w:webHidden/>
          </w:rPr>
          <w:fldChar w:fldCharType="end"/>
        </w:r>
      </w:hyperlink>
    </w:p>
    <w:p w14:paraId="1EAB3C07" w14:textId="77777777" w:rsidR="008436DA" w:rsidRDefault="00544E9C">
      <w:pPr>
        <w:pStyle w:val="TOC1"/>
        <w:tabs>
          <w:tab w:val="right" w:leader="dot" w:pos="9350"/>
        </w:tabs>
        <w:rPr>
          <w:rFonts w:asciiTheme="minorHAnsi" w:eastAsiaTheme="minorEastAsia" w:hAnsiTheme="minorHAnsi" w:cstheme="minorBidi"/>
          <w:noProof/>
          <w:szCs w:val="22"/>
        </w:rPr>
      </w:pPr>
      <w:hyperlink w:anchor="_Toc391397022" w:history="1">
        <w:r w:rsidR="008436DA" w:rsidRPr="00020371">
          <w:rPr>
            <w:rStyle w:val="Hyperlink"/>
            <w:i/>
            <w:noProof/>
          </w:rPr>
          <w:t>Section 3. Load Shapes</w:t>
        </w:r>
        <w:r w:rsidR="008436DA">
          <w:rPr>
            <w:noProof/>
            <w:webHidden/>
          </w:rPr>
          <w:tab/>
        </w:r>
        <w:r w:rsidR="008436DA">
          <w:rPr>
            <w:noProof/>
            <w:webHidden/>
          </w:rPr>
          <w:fldChar w:fldCharType="begin"/>
        </w:r>
        <w:r w:rsidR="008436DA">
          <w:rPr>
            <w:noProof/>
            <w:webHidden/>
          </w:rPr>
          <w:instrText xml:space="preserve"> PAGEREF _Toc391397022 \h </w:instrText>
        </w:r>
        <w:r w:rsidR="008436DA">
          <w:rPr>
            <w:noProof/>
            <w:webHidden/>
          </w:rPr>
        </w:r>
        <w:r w:rsidR="008436DA">
          <w:rPr>
            <w:noProof/>
            <w:webHidden/>
          </w:rPr>
          <w:fldChar w:fldCharType="separate"/>
        </w:r>
        <w:r w:rsidR="00CE5AEA">
          <w:rPr>
            <w:noProof/>
            <w:webHidden/>
          </w:rPr>
          <w:t>8</w:t>
        </w:r>
        <w:r w:rsidR="008436DA">
          <w:rPr>
            <w:noProof/>
            <w:webHidden/>
          </w:rPr>
          <w:fldChar w:fldCharType="end"/>
        </w:r>
      </w:hyperlink>
    </w:p>
    <w:p w14:paraId="2A2A8A4C"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23" w:history="1">
        <w:r w:rsidR="008436DA" w:rsidRPr="00020371">
          <w:rPr>
            <w:rStyle w:val="Hyperlink"/>
            <w:noProof/>
          </w:rPr>
          <w:t>3.1 Base Case Load Shapes</w:t>
        </w:r>
        <w:r w:rsidR="008436DA">
          <w:rPr>
            <w:noProof/>
            <w:webHidden/>
          </w:rPr>
          <w:tab/>
        </w:r>
        <w:r w:rsidR="008436DA">
          <w:rPr>
            <w:noProof/>
            <w:webHidden/>
          </w:rPr>
          <w:fldChar w:fldCharType="begin"/>
        </w:r>
        <w:r w:rsidR="008436DA">
          <w:rPr>
            <w:noProof/>
            <w:webHidden/>
          </w:rPr>
          <w:instrText xml:space="preserve"> PAGEREF _Toc391397023 \h </w:instrText>
        </w:r>
        <w:r w:rsidR="008436DA">
          <w:rPr>
            <w:noProof/>
            <w:webHidden/>
          </w:rPr>
        </w:r>
        <w:r w:rsidR="008436DA">
          <w:rPr>
            <w:noProof/>
            <w:webHidden/>
          </w:rPr>
          <w:fldChar w:fldCharType="separate"/>
        </w:r>
        <w:r w:rsidR="00CE5AEA">
          <w:rPr>
            <w:noProof/>
            <w:webHidden/>
          </w:rPr>
          <w:t>9</w:t>
        </w:r>
        <w:r w:rsidR="008436DA">
          <w:rPr>
            <w:noProof/>
            <w:webHidden/>
          </w:rPr>
          <w:fldChar w:fldCharType="end"/>
        </w:r>
      </w:hyperlink>
    </w:p>
    <w:p w14:paraId="3D085077"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24" w:history="1">
        <w:r w:rsidR="008436DA" w:rsidRPr="00020371">
          <w:rPr>
            <w:rStyle w:val="Hyperlink"/>
            <w:noProof/>
          </w:rPr>
          <w:t>3.2 Measure Load Shapes</w:t>
        </w:r>
        <w:r w:rsidR="008436DA">
          <w:rPr>
            <w:noProof/>
            <w:webHidden/>
          </w:rPr>
          <w:tab/>
        </w:r>
        <w:r w:rsidR="008436DA">
          <w:rPr>
            <w:noProof/>
            <w:webHidden/>
          </w:rPr>
          <w:fldChar w:fldCharType="begin"/>
        </w:r>
        <w:r w:rsidR="008436DA">
          <w:rPr>
            <w:noProof/>
            <w:webHidden/>
          </w:rPr>
          <w:instrText xml:space="preserve"> PAGEREF _Toc391397024 \h </w:instrText>
        </w:r>
        <w:r w:rsidR="008436DA">
          <w:rPr>
            <w:noProof/>
            <w:webHidden/>
          </w:rPr>
        </w:r>
        <w:r w:rsidR="008436DA">
          <w:rPr>
            <w:noProof/>
            <w:webHidden/>
          </w:rPr>
          <w:fldChar w:fldCharType="separate"/>
        </w:r>
        <w:r w:rsidR="00CE5AEA">
          <w:rPr>
            <w:noProof/>
            <w:webHidden/>
          </w:rPr>
          <w:t>9</w:t>
        </w:r>
        <w:r w:rsidR="008436DA">
          <w:rPr>
            <w:noProof/>
            <w:webHidden/>
          </w:rPr>
          <w:fldChar w:fldCharType="end"/>
        </w:r>
      </w:hyperlink>
    </w:p>
    <w:p w14:paraId="0303AA52" w14:textId="77777777" w:rsidR="008436DA" w:rsidRDefault="00544E9C">
      <w:pPr>
        <w:pStyle w:val="TOC1"/>
        <w:tabs>
          <w:tab w:val="right" w:leader="dot" w:pos="9350"/>
        </w:tabs>
        <w:rPr>
          <w:rFonts w:asciiTheme="minorHAnsi" w:eastAsiaTheme="minorEastAsia" w:hAnsiTheme="minorHAnsi" w:cstheme="minorBidi"/>
          <w:noProof/>
          <w:szCs w:val="22"/>
        </w:rPr>
      </w:pPr>
      <w:hyperlink w:anchor="_Toc391397025" w:history="1">
        <w:r w:rsidR="008436DA" w:rsidRPr="00020371">
          <w:rPr>
            <w:rStyle w:val="Hyperlink"/>
            <w:noProof/>
          </w:rPr>
          <w:t>Section 4. Base Case &amp; Measure Costs</w:t>
        </w:r>
        <w:r w:rsidR="008436DA">
          <w:rPr>
            <w:noProof/>
            <w:webHidden/>
          </w:rPr>
          <w:tab/>
        </w:r>
        <w:r w:rsidR="008436DA">
          <w:rPr>
            <w:noProof/>
            <w:webHidden/>
          </w:rPr>
          <w:fldChar w:fldCharType="begin"/>
        </w:r>
        <w:r w:rsidR="008436DA">
          <w:rPr>
            <w:noProof/>
            <w:webHidden/>
          </w:rPr>
          <w:instrText xml:space="preserve"> PAGEREF _Toc391397025 \h </w:instrText>
        </w:r>
        <w:r w:rsidR="008436DA">
          <w:rPr>
            <w:noProof/>
            <w:webHidden/>
          </w:rPr>
        </w:r>
        <w:r w:rsidR="008436DA">
          <w:rPr>
            <w:noProof/>
            <w:webHidden/>
          </w:rPr>
          <w:fldChar w:fldCharType="separate"/>
        </w:r>
        <w:r w:rsidR="00CE5AEA">
          <w:rPr>
            <w:noProof/>
            <w:webHidden/>
          </w:rPr>
          <w:t>9</w:t>
        </w:r>
        <w:r w:rsidR="008436DA">
          <w:rPr>
            <w:noProof/>
            <w:webHidden/>
          </w:rPr>
          <w:fldChar w:fldCharType="end"/>
        </w:r>
      </w:hyperlink>
    </w:p>
    <w:p w14:paraId="3EA9AB09"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26" w:history="1">
        <w:r w:rsidR="008436DA" w:rsidRPr="00020371">
          <w:rPr>
            <w:rStyle w:val="Hyperlink"/>
            <w:noProof/>
          </w:rPr>
          <w:t>4.1 Base Case(s) Costs</w:t>
        </w:r>
        <w:r w:rsidR="008436DA">
          <w:rPr>
            <w:noProof/>
            <w:webHidden/>
          </w:rPr>
          <w:tab/>
        </w:r>
        <w:r w:rsidR="008436DA">
          <w:rPr>
            <w:noProof/>
            <w:webHidden/>
          </w:rPr>
          <w:fldChar w:fldCharType="begin"/>
        </w:r>
        <w:r w:rsidR="008436DA">
          <w:rPr>
            <w:noProof/>
            <w:webHidden/>
          </w:rPr>
          <w:instrText xml:space="preserve"> PAGEREF _Toc391397026 \h </w:instrText>
        </w:r>
        <w:r w:rsidR="008436DA">
          <w:rPr>
            <w:noProof/>
            <w:webHidden/>
          </w:rPr>
        </w:r>
        <w:r w:rsidR="008436DA">
          <w:rPr>
            <w:noProof/>
            <w:webHidden/>
          </w:rPr>
          <w:fldChar w:fldCharType="separate"/>
        </w:r>
        <w:r w:rsidR="00CE5AEA">
          <w:rPr>
            <w:noProof/>
            <w:webHidden/>
          </w:rPr>
          <w:t>10</w:t>
        </w:r>
        <w:r w:rsidR="008436DA">
          <w:rPr>
            <w:noProof/>
            <w:webHidden/>
          </w:rPr>
          <w:fldChar w:fldCharType="end"/>
        </w:r>
      </w:hyperlink>
    </w:p>
    <w:p w14:paraId="0E13484C"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27" w:history="1">
        <w:r w:rsidR="008436DA" w:rsidRPr="00020371">
          <w:rPr>
            <w:rStyle w:val="Hyperlink"/>
            <w:noProof/>
          </w:rPr>
          <w:t>4.2 Measure Case Costs</w:t>
        </w:r>
        <w:r w:rsidR="008436DA">
          <w:rPr>
            <w:noProof/>
            <w:webHidden/>
          </w:rPr>
          <w:tab/>
        </w:r>
        <w:r w:rsidR="008436DA">
          <w:rPr>
            <w:noProof/>
            <w:webHidden/>
          </w:rPr>
          <w:fldChar w:fldCharType="begin"/>
        </w:r>
        <w:r w:rsidR="008436DA">
          <w:rPr>
            <w:noProof/>
            <w:webHidden/>
          </w:rPr>
          <w:instrText xml:space="preserve"> PAGEREF _Toc391397027 \h </w:instrText>
        </w:r>
        <w:r w:rsidR="008436DA">
          <w:rPr>
            <w:noProof/>
            <w:webHidden/>
          </w:rPr>
        </w:r>
        <w:r w:rsidR="008436DA">
          <w:rPr>
            <w:noProof/>
            <w:webHidden/>
          </w:rPr>
          <w:fldChar w:fldCharType="separate"/>
        </w:r>
        <w:r w:rsidR="00CE5AEA">
          <w:rPr>
            <w:noProof/>
            <w:webHidden/>
          </w:rPr>
          <w:t>10</w:t>
        </w:r>
        <w:r w:rsidR="008436DA">
          <w:rPr>
            <w:noProof/>
            <w:webHidden/>
          </w:rPr>
          <w:fldChar w:fldCharType="end"/>
        </w:r>
      </w:hyperlink>
    </w:p>
    <w:p w14:paraId="14C955CB" w14:textId="77777777" w:rsidR="008436DA" w:rsidRDefault="00544E9C">
      <w:pPr>
        <w:pStyle w:val="TOC2"/>
        <w:tabs>
          <w:tab w:val="right" w:leader="dot" w:pos="9350"/>
        </w:tabs>
        <w:rPr>
          <w:rFonts w:asciiTheme="minorHAnsi" w:eastAsiaTheme="minorEastAsia" w:hAnsiTheme="minorHAnsi" w:cstheme="minorBidi"/>
          <w:noProof/>
          <w:szCs w:val="22"/>
        </w:rPr>
      </w:pPr>
      <w:hyperlink w:anchor="_Toc391397028" w:history="1">
        <w:r w:rsidR="008436DA" w:rsidRPr="00020371">
          <w:rPr>
            <w:rStyle w:val="Hyperlink"/>
            <w:noProof/>
          </w:rPr>
          <w:t>4.3 Incremental &amp; Full Measure Costs</w:t>
        </w:r>
        <w:r w:rsidR="008436DA">
          <w:rPr>
            <w:noProof/>
            <w:webHidden/>
          </w:rPr>
          <w:tab/>
        </w:r>
        <w:r w:rsidR="008436DA">
          <w:rPr>
            <w:noProof/>
            <w:webHidden/>
          </w:rPr>
          <w:fldChar w:fldCharType="begin"/>
        </w:r>
        <w:r w:rsidR="008436DA">
          <w:rPr>
            <w:noProof/>
            <w:webHidden/>
          </w:rPr>
          <w:instrText xml:space="preserve"> PAGEREF _Toc391397028 \h </w:instrText>
        </w:r>
        <w:r w:rsidR="008436DA">
          <w:rPr>
            <w:noProof/>
            <w:webHidden/>
          </w:rPr>
        </w:r>
        <w:r w:rsidR="008436DA">
          <w:rPr>
            <w:noProof/>
            <w:webHidden/>
          </w:rPr>
          <w:fldChar w:fldCharType="separate"/>
        </w:r>
        <w:r w:rsidR="00CE5AEA">
          <w:rPr>
            <w:noProof/>
            <w:webHidden/>
          </w:rPr>
          <w:t>10</w:t>
        </w:r>
        <w:r w:rsidR="008436DA">
          <w:rPr>
            <w:noProof/>
            <w:webHidden/>
          </w:rPr>
          <w:fldChar w:fldCharType="end"/>
        </w:r>
      </w:hyperlink>
    </w:p>
    <w:p w14:paraId="0AECF97B" w14:textId="77777777" w:rsidR="008436DA" w:rsidRDefault="00544E9C">
      <w:pPr>
        <w:pStyle w:val="TOC1"/>
        <w:tabs>
          <w:tab w:val="right" w:leader="dot" w:pos="9350"/>
        </w:tabs>
        <w:rPr>
          <w:rFonts w:asciiTheme="minorHAnsi" w:eastAsiaTheme="minorEastAsia" w:hAnsiTheme="minorHAnsi" w:cstheme="minorBidi"/>
          <w:noProof/>
          <w:szCs w:val="22"/>
        </w:rPr>
      </w:pPr>
      <w:hyperlink w:anchor="_Toc391397029" w:history="1">
        <w:r w:rsidR="008436DA" w:rsidRPr="00020371">
          <w:rPr>
            <w:rStyle w:val="Hyperlink"/>
            <w:i/>
            <w:noProof/>
          </w:rPr>
          <w:t>4.3.1 Full Measure Cost</w:t>
        </w:r>
        <w:r w:rsidR="008436DA">
          <w:rPr>
            <w:noProof/>
            <w:webHidden/>
          </w:rPr>
          <w:tab/>
        </w:r>
        <w:r w:rsidR="008436DA">
          <w:rPr>
            <w:noProof/>
            <w:webHidden/>
          </w:rPr>
          <w:fldChar w:fldCharType="begin"/>
        </w:r>
        <w:r w:rsidR="008436DA">
          <w:rPr>
            <w:noProof/>
            <w:webHidden/>
          </w:rPr>
          <w:instrText xml:space="preserve"> PAGEREF _Toc391397029 \h </w:instrText>
        </w:r>
        <w:r w:rsidR="008436DA">
          <w:rPr>
            <w:noProof/>
            <w:webHidden/>
          </w:rPr>
        </w:r>
        <w:r w:rsidR="008436DA">
          <w:rPr>
            <w:noProof/>
            <w:webHidden/>
          </w:rPr>
          <w:fldChar w:fldCharType="separate"/>
        </w:r>
        <w:r w:rsidR="00CE5AEA">
          <w:rPr>
            <w:noProof/>
            <w:webHidden/>
          </w:rPr>
          <w:t>11</w:t>
        </w:r>
        <w:r w:rsidR="008436DA">
          <w:rPr>
            <w:noProof/>
            <w:webHidden/>
          </w:rPr>
          <w:fldChar w:fldCharType="end"/>
        </w:r>
      </w:hyperlink>
    </w:p>
    <w:p w14:paraId="402BA805" w14:textId="77777777" w:rsidR="008436DA" w:rsidRDefault="00544E9C">
      <w:pPr>
        <w:pStyle w:val="TOC1"/>
        <w:tabs>
          <w:tab w:val="right" w:leader="dot" w:pos="9350"/>
        </w:tabs>
        <w:rPr>
          <w:rFonts w:asciiTheme="minorHAnsi" w:eastAsiaTheme="minorEastAsia" w:hAnsiTheme="minorHAnsi" w:cstheme="minorBidi"/>
          <w:noProof/>
          <w:szCs w:val="22"/>
        </w:rPr>
      </w:pPr>
      <w:hyperlink w:anchor="_Toc391397030" w:history="1">
        <w:r w:rsidR="008436DA" w:rsidRPr="00020371">
          <w:rPr>
            <w:rStyle w:val="Hyperlink"/>
            <w:i/>
            <w:noProof/>
          </w:rPr>
          <w:t>4.3.2 Incremental Measure Costs</w:t>
        </w:r>
        <w:r w:rsidR="008436DA">
          <w:rPr>
            <w:noProof/>
            <w:webHidden/>
          </w:rPr>
          <w:tab/>
        </w:r>
        <w:r w:rsidR="008436DA">
          <w:rPr>
            <w:noProof/>
            <w:webHidden/>
          </w:rPr>
          <w:fldChar w:fldCharType="begin"/>
        </w:r>
        <w:r w:rsidR="008436DA">
          <w:rPr>
            <w:noProof/>
            <w:webHidden/>
          </w:rPr>
          <w:instrText xml:space="preserve"> PAGEREF _Toc391397030 \h </w:instrText>
        </w:r>
        <w:r w:rsidR="008436DA">
          <w:rPr>
            <w:noProof/>
            <w:webHidden/>
          </w:rPr>
        </w:r>
        <w:r w:rsidR="008436DA">
          <w:rPr>
            <w:noProof/>
            <w:webHidden/>
          </w:rPr>
          <w:fldChar w:fldCharType="separate"/>
        </w:r>
        <w:r w:rsidR="00CE5AEA">
          <w:rPr>
            <w:noProof/>
            <w:webHidden/>
          </w:rPr>
          <w:t>11</w:t>
        </w:r>
        <w:r w:rsidR="008436DA">
          <w:rPr>
            <w:noProof/>
            <w:webHidden/>
          </w:rPr>
          <w:fldChar w:fldCharType="end"/>
        </w:r>
      </w:hyperlink>
    </w:p>
    <w:p w14:paraId="65D99477" w14:textId="77777777" w:rsidR="008436DA" w:rsidRDefault="00544E9C">
      <w:pPr>
        <w:pStyle w:val="TOC1"/>
        <w:tabs>
          <w:tab w:val="right" w:leader="dot" w:pos="9350"/>
        </w:tabs>
        <w:rPr>
          <w:rFonts w:asciiTheme="minorHAnsi" w:eastAsiaTheme="minorEastAsia" w:hAnsiTheme="minorHAnsi" w:cstheme="minorBidi"/>
          <w:noProof/>
          <w:szCs w:val="22"/>
        </w:rPr>
      </w:pPr>
      <w:hyperlink w:anchor="_Toc391397031" w:history="1">
        <w:r w:rsidR="008436DA" w:rsidRPr="00020371">
          <w:rPr>
            <w:rStyle w:val="Hyperlink"/>
            <w:noProof/>
          </w:rPr>
          <w:t>Appendix A</w:t>
        </w:r>
        <w:r w:rsidR="008436DA">
          <w:rPr>
            <w:noProof/>
            <w:webHidden/>
          </w:rPr>
          <w:tab/>
        </w:r>
        <w:r w:rsidR="008436DA">
          <w:rPr>
            <w:noProof/>
            <w:webHidden/>
          </w:rPr>
          <w:fldChar w:fldCharType="begin"/>
        </w:r>
        <w:r w:rsidR="008436DA">
          <w:rPr>
            <w:noProof/>
            <w:webHidden/>
          </w:rPr>
          <w:instrText xml:space="preserve"> PAGEREF _Toc391397031 \h </w:instrText>
        </w:r>
        <w:r w:rsidR="008436DA">
          <w:rPr>
            <w:noProof/>
            <w:webHidden/>
          </w:rPr>
        </w:r>
        <w:r w:rsidR="008436DA">
          <w:rPr>
            <w:noProof/>
            <w:webHidden/>
          </w:rPr>
          <w:fldChar w:fldCharType="separate"/>
        </w:r>
        <w:r w:rsidR="00CE5AEA">
          <w:rPr>
            <w:noProof/>
            <w:webHidden/>
          </w:rPr>
          <w:t>12</w:t>
        </w:r>
        <w:r w:rsidR="008436DA">
          <w:rPr>
            <w:noProof/>
            <w:webHidden/>
          </w:rPr>
          <w:fldChar w:fldCharType="end"/>
        </w:r>
      </w:hyperlink>
    </w:p>
    <w:p w14:paraId="67219276" w14:textId="77777777" w:rsidR="008436DA" w:rsidRDefault="00544E9C">
      <w:pPr>
        <w:pStyle w:val="TOC1"/>
        <w:tabs>
          <w:tab w:val="right" w:leader="dot" w:pos="9350"/>
        </w:tabs>
        <w:rPr>
          <w:rFonts w:asciiTheme="minorHAnsi" w:eastAsiaTheme="minorEastAsia" w:hAnsiTheme="minorHAnsi" w:cstheme="minorBidi"/>
          <w:noProof/>
          <w:szCs w:val="22"/>
        </w:rPr>
      </w:pPr>
      <w:hyperlink w:anchor="_Toc391397032" w:history="1">
        <w:r w:rsidR="008436DA" w:rsidRPr="00020371">
          <w:rPr>
            <w:rStyle w:val="Hyperlink"/>
            <w:noProof/>
          </w:rPr>
          <w:t>References</w:t>
        </w:r>
        <w:r w:rsidR="008436DA">
          <w:rPr>
            <w:noProof/>
            <w:webHidden/>
          </w:rPr>
          <w:tab/>
        </w:r>
        <w:r w:rsidR="008436DA">
          <w:rPr>
            <w:noProof/>
            <w:webHidden/>
          </w:rPr>
          <w:fldChar w:fldCharType="begin"/>
        </w:r>
        <w:r w:rsidR="008436DA">
          <w:rPr>
            <w:noProof/>
            <w:webHidden/>
          </w:rPr>
          <w:instrText xml:space="preserve"> PAGEREF _Toc391397032 \h </w:instrText>
        </w:r>
        <w:r w:rsidR="008436DA">
          <w:rPr>
            <w:noProof/>
            <w:webHidden/>
          </w:rPr>
        </w:r>
        <w:r w:rsidR="008436DA">
          <w:rPr>
            <w:noProof/>
            <w:webHidden/>
          </w:rPr>
          <w:fldChar w:fldCharType="separate"/>
        </w:r>
        <w:r w:rsidR="00CE5AEA">
          <w:rPr>
            <w:noProof/>
            <w:webHidden/>
          </w:rPr>
          <w:t>13</w:t>
        </w:r>
        <w:r w:rsidR="008436DA">
          <w:rPr>
            <w:noProof/>
            <w:webHidden/>
          </w:rPr>
          <w:fldChar w:fldCharType="end"/>
        </w:r>
      </w:hyperlink>
    </w:p>
    <w:p w14:paraId="393A0A92" w14:textId="77777777" w:rsidR="001E4C31" w:rsidRDefault="001E4C31">
      <w:r>
        <w:rPr>
          <w:b/>
          <w:bCs/>
          <w:noProof/>
        </w:rPr>
        <w:fldChar w:fldCharType="end"/>
      </w:r>
    </w:p>
    <w:p w14:paraId="393A0A93" w14:textId="77777777" w:rsidR="00ED21EE" w:rsidRDefault="006559C8" w:rsidP="00ED21EE">
      <w:pPr>
        <w:pStyle w:val="Heading1"/>
      </w:pPr>
      <w:r>
        <w:br w:type="page"/>
      </w:r>
      <w:bookmarkStart w:id="19" w:name="_Toc172205729"/>
      <w:bookmarkStart w:id="20" w:name="_Toc304800199"/>
      <w:bookmarkStart w:id="21" w:name="_Toc324318335"/>
      <w:bookmarkStart w:id="22" w:name="_Toc324340479"/>
      <w:bookmarkStart w:id="23" w:name="_Toc391397001"/>
      <w:r w:rsidR="00ED21EE">
        <w:lastRenderedPageBreak/>
        <w:t>List of Tables</w:t>
      </w:r>
      <w:bookmarkEnd w:id="19"/>
      <w:bookmarkEnd w:id="20"/>
      <w:bookmarkEnd w:id="21"/>
      <w:bookmarkEnd w:id="22"/>
      <w:bookmarkEnd w:id="23"/>
    </w:p>
    <w:p w14:paraId="692312DB" w14:textId="77777777" w:rsidR="00BC380F"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391398019" w:history="1">
        <w:r w:rsidR="00BC380F" w:rsidRPr="00B279E4">
          <w:rPr>
            <w:rStyle w:val="Hyperlink"/>
            <w:noProof/>
          </w:rPr>
          <w:t>Table 1</w:t>
        </w:r>
        <w:r w:rsidR="00BC380F" w:rsidRPr="00B279E4">
          <w:rPr>
            <w:rStyle w:val="Hyperlink"/>
            <w:rFonts w:ascii="Calibri" w:hAnsi="Calibri" w:cs="Calibri"/>
            <w:noProof/>
          </w:rPr>
          <w:t xml:space="preserve"> </w:t>
        </w:r>
        <w:r w:rsidR="00BC380F" w:rsidRPr="00B279E4">
          <w:rPr>
            <w:rStyle w:val="Hyperlink"/>
            <w:noProof/>
          </w:rPr>
          <w:t>Energy Efficiency Requirements for Commercial Pre-Rinse Spray Valves</w:t>
        </w:r>
        <w:r w:rsidR="00BC380F">
          <w:rPr>
            <w:noProof/>
            <w:webHidden/>
          </w:rPr>
          <w:tab/>
        </w:r>
        <w:r w:rsidR="00BC380F">
          <w:rPr>
            <w:noProof/>
            <w:webHidden/>
          </w:rPr>
          <w:fldChar w:fldCharType="begin"/>
        </w:r>
        <w:r w:rsidR="00BC380F">
          <w:rPr>
            <w:noProof/>
            <w:webHidden/>
          </w:rPr>
          <w:instrText xml:space="preserve"> PAGEREF _Toc391398019 \h </w:instrText>
        </w:r>
        <w:r w:rsidR="00BC380F">
          <w:rPr>
            <w:noProof/>
            <w:webHidden/>
          </w:rPr>
        </w:r>
        <w:r w:rsidR="00BC380F">
          <w:rPr>
            <w:noProof/>
            <w:webHidden/>
          </w:rPr>
          <w:fldChar w:fldCharType="separate"/>
        </w:r>
        <w:r w:rsidR="00CE5AEA">
          <w:rPr>
            <w:noProof/>
            <w:webHidden/>
          </w:rPr>
          <w:t>1</w:t>
        </w:r>
        <w:r w:rsidR="00BC380F">
          <w:rPr>
            <w:noProof/>
            <w:webHidden/>
          </w:rPr>
          <w:fldChar w:fldCharType="end"/>
        </w:r>
      </w:hyperlink>
    </w:p>
    <w:p w14:paraId="01973D7E" w14:textId="77777777" w:rsidR="00BC380F" w:rsidRDefault="00544E9C">
      <w:pPr>
        <w:pStyle w:val="TableofFigures"/>
        <w:tabs>
          <w:tab w:val="right" w:leader="dot" w:pos="9350"/>
        </w:tabs>
        <w:rPr>
          <w:rFonts w:asciiTheme="minorHAnsi" w:eastAsiaTheme="minorEastAsia" w:hAnsiTheme="minorHAnsi" w:cstheme="minorBidi"/>
          <w:noProof/>
          <w:szCs w:val="22"/>
        </w:rPr>
      </w:pPr>
      <w:hyperlink w:anchor="_Toc391398020" w:history="1">
        <w:r w:rsidR="00BC380F" w:rsidRPr="00B279E4">
          <w:rPr>
            <w:rStyle w:val="Hyperlink"/>
            <w:noProof/>
          </w:rPr>
          <w:t>Table 2</w:t>
        </w:r>
        <w:r w:rsidR="00BC380F" w:rsidRPr="00B279E4">
          <w:rPr>
            <w:rStyle w:val="Hyperlink"/>
            <w:rFonts w:ascii="Calibri" w:hAnsi="Calibri" w:cs="Calibri"/>
            <w:noProof/>
          </w:rPr>
          <w:t xml:space="preserve">  </w:t>
        </w:r>
        <w:r w:rsidR="00BC380F" w:rsidRPr="00B279E4">
          <w:rPr>
            <w:rStyle w:val="Hyperlink"/>
            <w:noProof/>
          </w:rPr>
          <w:t>Measure Application Type</w:t>
        </w:r>
        <w:r w:rsidR="00BC380F">
          <w:rPr>
            <w:noProof/>
            <w:webHidden/>
          </w:rPr>
          <w:tab/>
        </w:r>
        <w:r w:rsidR="00BC380F">
          <w:rPr>
            <w:noProof/>
            <w:webHidden/>
          </w:rPr>
          <w:fldChar w:fldCharType="begin"/>
        </w:r>
        <w:r w:rsidR="00BC380F">
          <w:rPr>
            <w:noProof/>
            <w:webHidden/>
          </w:rPr>
          <w:instrText xml:space="preserve"> PAGEREF _Toc391398020 \h </w:instrText>
        </w:r>
        <w:r w:rsidR="00BC380F">
          <w:rPr>
            <w:noProof/>
            <w:webHidden/>
          </w:rPr>
        </w:r>
        <w:r w:rsidR="00BC380F">
          <w:rPr>
            <w:noProof/>
            <w:webHidden/>
          </w:rPr>
          <w:fldChar w:fldCharType="separate"/>
        </w:r>
        <w:r w:rsidR="00CE5AEA">
          <w:rPr>
            <w:noProof/>
            <w:webHidden/>
          </w:rPr>
          <w:t>2</w:t>
        </w:r>
        <w:r w:rsidR="00BC380F">
          <w:rPr>
            <w:noProof/>
            <w:webHidden/>
          </w:rPr>
          <w:fldChar w:fldCharType="end"/>
        </w:r>
      </w:hyperlink>
    </w:p>
    <w:p w14:paraId="221ECDC3" w14:textId="77777777" w:rsidR="00BC380F" w:rsidRDefault="00544E9C">
      <w:pPr>
        <w:pStyle w:val="TableofFigures"/>
        <w:tabs>
          <w:tab w:val="right" w:leader="dot" w:pos="9350"/>
        </w:tabs>
        <w:rPr>
          <w:rFonts w:asciiTheme="minorHAnsi" w:eastAsiaTheme="minorEastAsia" w:hAnsiTheme="minorHAnsi" w:cstheme="minorBidi"/>
          <w:noProof/>
          <w:szCs w:val="22"/>
        </w:rPr>
      </w:pPr>
      <w:hyperlink w:anchor="_Toc391398021" w:history="1">
        <w:r w:rsidR="00BC380F" w:rsidRPr="00B279E4">
          <w:rPr>
            <w:rStyle w:val="Hyperlink"/>
            <w:noProof/>
          </w:rPr>
          <w:t>Table 3 Measure Application Type</w:t>
        </w:r>
        <w:r w:rsidR="00BC380F">
          <w:rPr>
            <w:noProof/>
            <w:webHidden/>
          </w:rPr>
          <w:tab/>
        </w:r>
        <w:r w:rsidR="00BC380F">
          <w:rPr>
            <w:noProof/>
            <w:webHidden/>
          </w:rPr>
          <w:fldChar w:fldCharType="begin"/>
        </w:r>
        <w:r w:rsidR="00BC380F">
          <w:rPr>
            <w:noProof/>
            <w:webHidden/>
          </w:rPr>
          <w:instrText xml:space="preserve"> PAGEREF _Toc391398021 \h </w:instrText>
        </w:r>
        <w:r w:rsidR="00BC380F">
          <w:rPr>
            <w:noProof/>
            <w:webHidden/>
          </w:rPr>
        </w:r>
        <w:r w:rsidR="00BC380F">
          <w:rPr>
            <w:noProof/>
            <w:webHidden/>
          </w:rPr>
          <w:fldChar w:fldCharType="separate"/>
        </w:r>
        <w:r w:rsidR="00CE5AEA">
          <w:rPr>
            <w:noProof/>
            <w:webHidden/>
          </w:rPr>
          <w:t>3</w:t>
        </w:r>
        <w:r w:rsidR="00BC380F">
          <w:rPr>
            <w:noProof/>
            <w:webHidden/>
          </w:rPr>
          <w:fldChar w:fldCharType="end"/>
        </w:r>
      </w:hyperlink>
    </w:p>
    <w:p w14:paraId="12C87428" w14:textId="77777777" w:rsidR="00BC380F" w:rsidRDefault="00544E9C">
      <w:pPr>
        <w:pStyle w:val="TableofFigures"/>
        <w:tabs>
          <w:tab w:val="right" w:leader="dot" w:pos="9350"/>
        </w:tabs>
        <w:rPr>
          <w:rFonts w:asciiTheme="minorHAnsi" w:eastAsiaTheme="minorEastAsia" w:hAnsiTheme="minorHAnsi" w:cstheme="minorBidi"/>
          <w:noProof/>
          <w:szCs w:val="22"/>
        </w:rPr>
      </w:pPr>
      <w:hyperlink w:anchor="_Toc391398022" w:history="1">
        <w:r w:rsidR="00BC380F" w:rsidRPr="00B279E4">
          <w:rPr>
            <w:rStyle w:val="Hyperlink"/>
            <w:noProof/>
          </w:rPr>
          <w:t>Table 4</w:t>
        </w:r>
        <w:r w:rsidR="00BC380F" w:rsidRPr="00B279E4">
          <w:rPr>
            <w:rStyle w:val="Hyperlink"/>
            <w:rFonts w:ascii="Calibri" w:hAnsi="Calibri" w:cs="Calibri"/>
            <w:noProof/>
          </w:rPr>
          <w:t xml:space="preserve"> </w:t>
        </w:r>
        <w:r w:rsidR="00BC380F" w:rsidRPr="00B279E4">
          <w:rPr>
            <w:rStyle w:val="Hyperlink"/>
            <w:noProof/>
          </w:rPr>
          <w:t>Codes and Standards Requirements for Base Case and Measure Case</w:t>
        </w:r>
        <w:r w:rsidR="00BC380F">
          <w:rPr>
            <w:noProof/>
            <w:webHidden/>
          </w:rPr>
          <w:tab/>
        </w:r>
        <w:r w:rsidR="00BC380F">
          <w:rPr>
            <w:noProof/>
            <w:webHidden/>
          </w:rPr>
          <w:fldChar w:fldCharType="begin"/>
        </w:r>
        <w:r w:rsidR="00BC380F">
          <w:rPr>
            <w:noProof/>
            <w:webHidden/>
          </w:rPr>
          <w:instrText xml:space="preserve"> PAGEREF _Toc391398022 \h </w:instrText>
        </w:r>
        <w:r w:rsidR="00BC380F">
          <w:rPr>
            <w:noProof/>
            <w:webHidden/>
          </w:rPr>
        </w:r>
        <w:r w:rsidR="00BC380F">
          <w:rPr>
            <w:noProof/>
            <w:webHidden/>
          </w:rPr>
          <w:fldChar w:fldCharType="separate"/>
        </w:r>
        <w:r w:rsidR="00CE5AEA">
          <w:rPr>
            <w:noProof/>
            <w:webHidden/>
          </w:rPr>
          <w:t>3</w:t>
        </w:r>
        <w:r w:rsidR="00BC380F">
          <w:rPr>
            <w:noProof/>
            <w:webHidden/>
          </w:rPr>
          <w:fldChar w:fldCharType="end"/>
        </w:r>
      </w:hyperlink>
    </w:p>
    <w:p w14:paraId="2F1CD7FE" w14:textId="77777777" w:rsidR="00BC380F" w:rsidRDefault="00544E9C">
      <w:pPr>
        <w:pStyle w:val="TableofFigures"/>
        <w:tabs>
          <w:tab w:val="right" w:leader="dot" w:pos="9350"/>
        </w:tabs>
        <w:rPr>
          <w:rFonts w:asciiTheme="minorHAnsi" w:eastAsiaTheme="minorEastAsia" w:hAnsiTheme="minorHAnsi" w:cstheme="minorBidi"/>
          <w:noProof/>
          <w:szCs w:val="22"/>
        </w:rPr>
      </w:pPr>
      <w:hyperlink w:anchor="_Toc391398023" w:history="1">
        <w:r w:rsidR="00BC380F" w:rsidRPr="00B279E4">
          <w:rPr>
            <w:rStyle w:val="Hyperlink"/>
            <w:noProof/>
          </w:rPr>
          <w:t>Table 5 Title 20 Reference</w:t>
        </w:r>
        <w:r w:rsidR="00BC380F">
          <w:rPr>
            <w:noProof/>
            <w:webHidden/>
          </w:rPr>
          <w:tab/>
        </w:r>
        <w:r w:rsidR="00BC380F">
          <w:rPr>
            <w:noProof/>
            <w:webHidden/>
          </w:rPr>
          <w:fldChar w:fldCharType="begin"/>
        </w:r>
        <w:r w:rsidR="00BC380F">
          <w:rPr>
            <w:noProof/>
            <w:webHidden/>
          </w:rPr>
          <w:instrText xml:space="preserve"> PAGEREF _Toc391398023 \h </w:instrText>
        </w:r>
        <w:r w:rsidR="00BC380F">
          <w:rPr>
            <w:noProof/>
            <w:webHidden/>
          </w:rPr>
        </w:r>
        <w:r w:rsidR="00BC380F">
          <w:rPr>
            <w:noProof/>
            <w:webHidden/>
          </w:rPr>
          <w:fldChar w:fldCharType="separate"/>
        </w:r>
        <w:r w:rsidR="00CE5AEA">
          <w:rPr>
            <w:noProof/>
            <w:webHidden/>
          </w:rPr>
          <w:t>4</w:t>
        </w:r>
        <w:r w:rsidR="00BC380F">
          <w:rPr>
            <w:noProof/>
            <w:webHidden/>
          </w:rPr>
          <w:fldChar w:fldCharType="end"/>
        </w:r>
      </w:hyperlink>
    </w:p>
    <w:p w14:paraId="009708FA" w14:textId="77777777" w:rsidR="00BC380F" w:rsidRDefault="00544E9C">
      <w:pPr>
        <w:pStyle w:val="TableofFigures"/>
        <w:tabs>
          <w:tab w:val="right" w:leader="dot" w:pos="9350"/>
        </w:tabs>
        <w:rPr>
          <w:rFonts w:asciiTheme="minorHAnsi" w:eastAsiaTheme="minorEastAsia" w:hAnsiTheme="minorHAnsi" w:cstheme="minorBidi"/>
          <w:noProof/>
          <w:szCs w:val="22"/>
        </w:rPr>
      </w:pPr>
      <w:hyperlink w:anchor="_Toc391398024" w:history="1">
        <w:r w:rsidR="00BC380F" w:rsidRPr="00B279E4">
          <w:rPr>
            <w:rStyle w:val="Hyperlink"/>
            <w:noProof/>
          </w:rPr>
          <w:t>Table 6</w:t>
        </w:r>
        <w:r w:rsidR="00BC380F" w:rsidRPr="00B279E4">
          <w:rPr>
            <w:rStyle w:val="Hyperlink"/>
            <w:rFonts w:ascii="Calibri" w:hAnsi="Calibri" w:cs="Calibri"/>
            <w:noProof/>
          </w:rPr>
          <w:t xml:space="preserve"> </w:t>
        </w:r>
        <w:r w:rsidR="00BC380F" w:rsidRPr="00B279E4">
          <w:rPr>
            <w:rStyle w:val="Hyperlink"/>
            <w:noProof/>
          </w:rPr>
          <w:t>Base and Measure Case Operating Hours</w:t>
        </w:r>
        <w:r w:rsidR="00BC380F">
          <w:rPr>
            <w:noProof/>
            <w:webHidden/>
          </w:rPr>
          <w:tab/>
        </w:r>
        <w:r w:rsidR="00BC380F">
          <w:rPr>
            <w:noProof/>
            <w:webHidden/>
          </w:rPr>
          <w:fldChar w:fldCharType="begin"/>
        </w:r>
        <w:r w:rsidR="00BC380F">
          <w:rPr>
            <w:noProof/>
            <w:webHidden/>
          </w:rPr>
          <w:instrText xml:space="preserve"> PAGEREF _Toc391398024 \h </w:instrText>
        </w:r>
        <w:r w:rsidR="00BC380F">
          <w:rPr>
            <w:noProof/>
            <w:webHidden/>
          </w:rPr>
        </w:r>
        <w:r w:rsidR="00BC380F">
          <w:rPr>
            <w:noProof/>
            <w:webHidden/>
          </w:rPr>
          <w:fldChar w:fldCharType="separate"/>
        </w:r>
        <w:r w:rsidR="00CE5AEA">
          <w:rPr>
            <w:noProof/>
            <w:webHidden/>
          </w:rPr>
          <w:t>5</w:t>
        </w:r>
        <w:r w:rsidR="00BC380F">
          <w:rPr>
            <w:noProof/>
            <w:webHidden/>
          </w:rPr>
          <w:fldChar w:fldCharType="end"/>
        </w:r>
      </w:hyperlink>
    </w:p>
    <w:p w14:paraId="3D40048C" w14:textId="77777777" w:rsidR="00BC380F" w:rsidRDefault="00544E9C">
      <w:pPr>
        <w:pStyle w:val="TableofFigures"/>
        <w:tabs>
          <w:tab w:val="right" w:leader="dot" w:pos="9350"/>
        </w:tabs>
        <w:rPr>
          <w:rFonts w:asciiTheme="minorHAnsi" w:eastAsiaTheme="minorEastAsia" w:hAnsiTheme="minorHAnsi" w:cstheme="minorBidi"/>
          <w:noProof/>
          <w:szCs w:val="22"/>
        </w:rPr>
      </w:pPr>
      <w:hyperlink w:anchor="_Toc391398025" w:history="1">
        <w:r w:rsidR="00BC380F" w:rsidRPr="00B279E4">
          <w:rPr>
            <w:rStyle w:val="Hyperlink"/>
            <w:noProof/>
          </w:rPr>
          <w:t>Table 7 TOU Adjustment Factors</w:t>
        </w:r>
        <w:r w:rsidR="00BC380F">
          <w:rPr>
            <w:noProof/>
            <w:webHidden/>
          </w:rPr>
          <w:tab/>
        </w:r>
        <w:r w:rsidR="00BC380F">
          <w:rPr>
            <w:noProof/>
            <w:webHidden/>
          </w:rPr>
          <w:fldChar w:fldCharType="begin"/>
        </w:r>
        <w:r w:rsidR="00BC380F">
          <w:rPr>
            <w:noProof/>
            <w:webHidden/>
          </w:rPr>
          <w:instrText xml:space="preserve"> PAGEREF _Toc391398025 \h </w:instrText>
        </w:r>
        <w:r w:rsidR="00BC380F">
          <w:rPr>
            <w:noProof/>
            <w:webHidden/>
          </w:rPr>
        </w:r>
        <w:r w:rsidR="00BC380F">
          <w:rPr>
            <w:noProof/>
            <w:webHidden/>
          </w:rPr>
          <w:fldChar w:fldCharType="separate"/>
        </w:r>
        <w:r w:rsidR="00CE5AEA">
          <w:rPr>
            <w:noProof/>
            <w:webHidden/>
          </w:rPr>
          <w:t>6</w:t>
        </w:r>
        <w:r w:rsidR="00BC380F">
          <w:rPr>
            <w:noProof/>
            <w:webHidden/>
          </w:rPr>
          <w:fldChar w:fldCharType="end"/>
        </w:r>
      </w:hyperlink>
    </w:p>
    <w:p w14:paraId="5BFB4703" w14:textId="77777777" w:rsidR="00BC380F" w:rsidRDefault="00544E9C">
      <w:pPr>
        <w:pStyle w:val="TableofFigures"/>
        <w:tabs>
          <w:tab w:val="right" w:leader="dot" w:pos="9350"/>
        </w:tabs>
        <w:rPr>
          <w:rFonts w:asciiTheme="minorHAnsi" w:eastAsiaTheme="minorEastAsia" w:hAnsiTheme="minorHAnsi" w:cstheme="minorBidi"/>
          <w:noProof/>
          <w:szCs w:val="22"/>
        </w:rPr>
      </w:pPr>
      <w:hyperlink w:anchor="_Toc391398026" w:history="1">
        <w:r w:rsidR="00BC380F" w:rsidRPr="00B279E4">
          <w:rPr>
            <w:rStyle w:val="Hyperlink"/>
            <w:noProof/>
          </w:rPr>
          <w:t>Table 8 Inputs for Savings Calculations</w:t>
        </w:r>
        <w:r w:rsidR="00BC380F">
          <w:rPr>
            <w:noProof/>
            <w:webHidden/>
          </w:rPr>
          <w:tab/>
        </w:r>
        <w:r w:rsidR="00BC380F">
          <w:rPr>
            <w:noProof/>
            <w:webHidden/>
          </w:rPr>
          <w:fldChar w:fldCharType="begin"/>
        </w:r>
        <w:r w:rsidR="00BC380F">
          <w:rPr>
            <w:noProof/>
            <w:webHidden/>
          </w:rPr>
          <w:instrText xml:space="preserve"> PAGEREF _Toc391398026 \h </w:instrText>
        </w:r>
        <w:r w:rsidR="00BC380F">
          <w:rPr>
            <w:noProof/>
            <w:webHidden/>
          </w:rPr>
        </w:r>
        <w:r w:rsidR="00BC380F">
          <w:rPr>
            <w:noProof/>
            <w:webHidden/>
          </w:rPr>
          <w:fldChar w:fldCharType="separate"/>
        </w:r>
        <w:r w:rsidR="00CE5AEA">
          <w:rPr>
            <w:noProof/>
            <w:webHidden/>
          </w:rPr>
          <w:t>6</w:t>
        </w:r>
        <w:r w:rsidR="00BC380F">
          <w:rPr>
            <w:noProof/>
            <w:webHidden/>
          </w:rPr>
          <w:fldChar w:fldCharType="end"/>
        </w:r>
      </w:hyperlink>
    </w:p>
    <w:p w14:paraId="51E02B1C" w14:textId="77777777" w:rsidR="00BC380F" w:rsidRDefault="00544E9C">
      <w:pPr>
        <w:pStyle w:val="TableofFigures"/>
        <w:tabs>
          <w:tab w:val="right" w:leader="dot" w:pos="9350"/>
        </w:tabs>
        <w:rPr>
          <w:rFonts w:asciiTheme="minorHAnsi" w:eastAsiaTheme="minorEastAsia" w:hAnsiTheme="minorHAnsi" w:cstheme="minorBidi"/>
          <w:noProof/>
          <w:szCs w:val="22"/>
        </w:rPr>
      </w:pPr>
      <w:hyperlink w:anchor="_Toc391398027" w:history="1">
        <w:r w:rsidR="00BC380F" w:rsidRPr="00B279E4">
          <w:rPr>
            <w:rStyle w:val="Hyperlink"/>
            <w:noProof/>
          </w:rPr>
          <w:t>Table 9 Baseline by Measure Application Type</w:t>
        </w:r>
        <w:r w:rsidR="00BC380F">
          <w:rPr>
            <w:noProof/>
            <w:webHidden/>
          </w:rPr>
          <w:tab/>
        </w:r>
        <w:r w:rsidR="00BC380F">
          <w:rPr>
            <w:noProof/>
            <w:webHidden/>
          </w:rPr>
          <w:fldChar w:fldCharType="begin"/>
        </w:r>
        <w:r w:rsidR="00BC380F">
          <w:rPr>
            <w:noProof/>
            <w:webHidden/>
          </w:rPr>
          <w:instrText xml:space="preserve"> PAGEREF _Toc391398027 \h </w:instrText>
        </w:r>
        <w:r w:rsidR="00BC380F">
          <w:rPr>
            <w:noProof/>
            <w:webHidden/>
          </w:rPr>
        </w:r>
        <w:r w:rsidR="00BC380F">
          <w:rPr>
            <w:noProof/>
            <w:webHidden/>
          </w:rPr>
          <w:fldChar w:fldCharType="separate"/>
        </w:r>
        <w:r w:rsidR="00CE5AEA">
          <w:rPr>
            <w:noProof/>
            <w:webHidden/>
          </w:rPr>
          <w:t>7</w:t>
        </w:r>
        <w:r w:rsidR="00BC380F">
          <w:rPr>
            <w:noProof/>
            <w:webHidden/>
          </w:rPr>
          <w:fldChar w:fldCharType="end"/>
        </w:r>
      </w:hyperlink>
    </w:p>
    <w:p w14:paraId="1FE2B607" w14:textId="77777777" w:rsidR="00BC380F" w:rsidRDefault="00544E9C">
      <w:pPr>
        <w:pStyle w:val="TableofFigures"/>
        <w:tabs>
          <w:tab w:val="right" w:leader="dot" w:pos="9350"/>
        </w:tabs>
        <w:rPr>
          <w:rFonts w:asciiTheme="minorHAnsi" w:eastAsiaTheme="minorEastAsia" w:hAnsiTheme="minorHAnsi" w:cstheme="minorBidi"/>
          <w:noProof/>
          <w:szCs w:val="22"/>
        </w:rPr>
      </w:pPr>
      <w:hyperlink w:anchor="_Toc391398028" w:history="1">
        <w:r w:rsidR="00BC380F" w:rsidRPr="00B279E4">
          <w:rPr>
            <w:rStyle w:val="Hyperlink"/>
            <w:noProof/>
          </w:rPr>
          <w:t>Table 10 Calculations of Annual Energy Savings for Measure Case</w:t>
        </w:r>
        <w:r w:rsidR="00BC380F">
          <w:rPr>
            <w:noProof/>
            <w:webHidden/>
          </w:rPr>
          <w:tab/>
        </w:r>
        <w:r w:rsidR="00BC380F">
          <w:rPr>
            <w:noProof/>
            <w:webHidden/>
          </w:rPr>
          <w:fldChar w:fldCharType="begin"/>
        </w:r>
        <w:r w:rsidR="00BC380F">
          <w:rPr>
            <w:noProof/>
            <w:webHidden/>
          </w:rPr>
          <w:instrText xml:space="preserve"> PAGEREF _Toc391398028 \h </w:instrText>
        </w:r>
        <w:r w:rsidR="00BC380F">
          <w:rPr>
            <w:noProof/>
            <w:webHidden/>
          </w:rPr>
        </w:r>
        <w:r w:rsidR="00BC380F">
          <w:rPr>
            <w:noProof/>
            <w:webHidden/>
          </w:rPr>
          <w:fldChar w:fldCharType="separate"/>
        </w:r>
        <w:r w:rsidR="00CE5AEA">
          <w:rPr>
            <w:noProof/>
            <w:webHidden/>
          </w:rPr>
          <w:t>8</w:t>
        </w:r>
        <w:r w:rsidR="00BC380F">
          <w:rPr>
            <w:noProof/>
            <w:webHidden/>
          </w:rPr>
          <w:fldChar w:fldCharType="end"/>
        </w:r>
      </w:hyperlink>
    </w:p>
    <w:p w14:paraId="576DF0C0" w14:textId="77777777" w:rsidR="00BC380F" w:rsidRDefault="00544E9C">
      <w:pPr>
        <w:pStyle w:val="TableofFigures"/>
        <w:tabs>
          <w:tab w:val="right" w:leader="dot" w:pos="9350"/>
        </w:tabs>
        <w:rPr>
          <w:rFonts w:asciiTheme="minorHAnsi" w:eastAsiaTheme="minorEastAsia" w:hAnsiTheme="minorHAnsi" w:cstheme="minorBidi"/>
          <w:noProof/>
          <w:szCs w:val="22"/>
        </w:rPr>
      </w:pPr>
      <w:hyperlink w:anchor="_Toc391398029" w:history="1">
        <w:r w:rsidR="00BC380F" w:rsidRPr="00B279E4">
          <w:rPr>
            <w:rStyle w:val="Hyperlink"/>
            <w:noProof/>
          </w:rPr>
          <w:t>Table 11Calculations of Annual Water Savings for Measure Case</w:t>
        </w:r>
        <w:r w:rsidR="00BC380F">
          <w:rPr>
            <w:noProof/>
            <w:webHidden/>
          </w:rPr>
          <w:tab/>
        </w:r>
        <w:r w:rsidR="00BC380F">
          <w:rPr>
            <w:noProof/>
            <w:webHidden/>
          </w:rPr>
          <w:fldChar w:fldCharType="begin"/>
        </w:r>
        <w:r w:rsidR="00BC380F">
          <w:rPr>
            <w:noProof/>
            <w:webHidden/>
          </w:rPr>
          <w:instrText xml:space="preserve"> PAGEREF _Toc391398029 \h </w:instrText>
        </w:r>
        <w:r w:rsidR="00BC380F">
          <w:rPr>
            <w:noProof/>
            <w:webHidden/>
          </w:rPr>
        </w:r>
        <w:r w:rsidR="00BC380F">
          <w:rPr>
            <w:noProof/>
            <w:webHidden/>
          </w:rPr>
          <w:fldChar w:fldCharType="separate"/>
        </w:r>
        <w:r w:rsidR="00CE5AEA">
          <w:rPr>
            <w:noProof/>
            <w:webHidden/>
          </w:rPr>
          <w:t>8</w:t>
        </w:r>
        <w:r w:rsidR="00BC380F">
          <w:rPr>
            <w:noProof/>
            <w:webHidden/>
          </w:rPr>
          <w:fldChar w:fldCharType="end"/>
        </w:r>
      </w:hyperlink>
    </w:p>
    <w:p w14:paraId="2FB9D728" w14:textId="77777777" w:rsidR="00BC380F" w:rsidRDefault="00544E9C">
      <w:pPr>
        <w:pStyle w:val="TableofFigures"/>
        <w:tabs>
          <w:tab w:val="right" w:leader="dot" w:pos="9350"/>
        </w:tabs>
        <w:rPr>
          <w:rFonts w:asciiTheme="minorHAnsi" w:eastAsiaTheme="minorEastAsia" w:hAnsiTheme="minorHAnsi" w:cstheme="minorBidi"/>
          <w:noProof/>
          <w:szCs w:val="22"/>
        </w:rPr>
      </w:pPr>
      <w:hyperlink w:anchor="_Toc391398030" w:history="1">
        <w:r w:rsidR="00BC380F" w:rsidRPr="00B279E4">
          <w:rPr>
            <w:rStyle w:val="Hyperlink"/>
            <w:noProof/>
          </w:rPr>
          <w:t>Table 12 Base Case Building Types and Load Shapes</w:t>
        </w:r>
        <w:r w:rsidR="00BC380F">
          <w:rPr>
            <w:noProof/>
            <w:webHidden/>
          </w:rPr>
          <w:tab/>
        </w:r>
        <w:r w:rsidR="00BC380F">
          <w:rPr>
            <w:noProof/>
            <w:webHidden/>
          </w:rPr>
          <w:fldChar w:fldCharType="begin"/>
        </w:r>
        <w:r w:rsidR="00BC380F">
          <w:rPr>
            <w:noProof/>
            <w:webHidden/>
          </w:rPr>
          <w:instrText xml:space="preserve"> PAGEREF _Toc391398030 \h </w:instrText>
        </w:r>
        <w:r w:rsidR="00BC380F">
          <w:rPr>
            <w:noProof/>
            <w:webHidden/>
          </w:rPr>
        </w:r>
        <w:r w:rsidR="00BC380F">
          <w:rPr>
            <w:noProof/>
            <w:webHidden/>
          </w:rPr>
          <w:fldChar w:fldCharType="separate"/>
        </w:r>
        <w:r w:rsidR="00CE5AEA">
          <w:rPr>
            <w:noProof/>
            <w:webHidden/>
          </w:rPr>
          <w:t>9</w:t>
        </w:r>
        <w:r w:rsidR="00BC380F">
          <w:rPr>
            <w:noProof/>
            <w:webHidden/>
          </w:rPr>
          <w:fldChar w:fldCharType="end"/>
        </w:r>
      </w:hyperlink>
    </w:p>
    <w:p w14:paraId="077FF878" w14:textId="77777777" w:rsidR="00BC380F" w:rsidRDefault="00544E9C">
      <w:pPr>
        <w:pStyle w:val="TableofFigures"/>
        <w:tabs>
          <w:tab w:val="right" w:leader="dot" w:pos="9350"/>
        </w:tabs>
        <w:rPr>
          <w:rFonts w:asciiTheme="minorHAnsi" w:eastAsiaTheme="minorEastAsia" w:hAnsiTheme="minorHAnsi" w:cstheme="minorBidi"/>
          <w:noProof/>
          <w:szCs w:val="22"/>
        </w:rPr>
      </w:pPr>
      <w:hyperlink w:anchor="_Toc391398031" w:history="1">
        <w:r w:rsidR="00BC380F" w:rsidRPr="00B279E4">
          <w:rPr>
            <w:rStyle w:val="Hyperlink"/>
            <w:noProof/>
          </w:rPr>
          <w:t>Table 13 Base Case Costs</w:t>
        </w:r>
        <w:r w:rsidR="00BC380F">
          <w:rPr>
            <w:noProof/>
            <w:webHidden/>
          </w:rPr>
          <w:tab/>
        </w:r>
        <w:r w:rsidR="00BC380F">
          <w:rPr>
            <w:noProof/>
            <w:webHidden/>
          </w:rPr>
          <w:fldChar w:fldCharType="begin"/>
        </w:r>
        <w:r w:rsidR="00BC380F">
          <w:rPr>
            <w:noProof/>
            <w:webHidden/>
          </w:rPr>
          <w:instrText xml:space="preserve"> PAGEREF _Toc391398031 \h </w:instrText>
        </w:r>
        <w:r w:rsidR="00BC380F">
          <w:rPr>
            <w:noProof/>
            <w:webHidden/>
          </w:rPr>
        </w:r>
        <w:r w:rsidR="00BC380F">
          <w:rPr>
            <w:noProof/>
            <w:webHidden/>
          </w:rPr>
          <w:fldChar w:fldCharType="separate"/>
        </w:r>
        <w:r w:rsidR="00CE5AEA">
          <w:rPr>
            <w:noProof/>
            <w:webHidden/>
          </w:rPr>
          <w:t>10</w:t>
        </w:r>
        <w:r w:rsidR="00BC380F">
          <w:rPr>
            <w:noProof/>
            <w:webHidden/>
          </w:rPr>
          <w:fldChar w:fldCharType="end"/>
        </w:r>
      </w:hyperlink>
    </w:p>
    <w:p w14:paraId="536BCC63" w14:textId="77777777" w:rsidR="00BC380F" w:rsidRDefault="00544E9C">
      <w:pPr>
        <w:pStyle w:val="TableofFigures"/>
        <w:tabs>
          <w:tab w:val="right" w:leader="dot" w:pos="9350"/>
        </w:tabs>
        <w:rPr>
          <w:rFonts w:asciiTheme="minorHAnsi" w:eastAsiaTheme="minorEastAsia" w:hAnsiTheme="minorHAnsi" w:cstheme="minorBidi"/>
          <w:noProof/>
          <w:szCs w:val="22"/>
        </w:rPr>
      </w:pPr>
      <w:hyperlink w:anchor="_Toc391398032" w:history="1">
        <w:r w:rsidR="00BC380F" w:rsidRPr="00B279E4">
          <w:rPr>
            <w:rStyle w:val="Hyperlink"/>
            <w:noProof/>
          </w:rPr>
          <w:t>Table 14 Measure Case Costs</w:t>
        </w:r>
        <w:r w:rsidR="00BC380F">
          <w:rPr>
            <w:noProof/>
            <w:webHidden/>
          </w:rPr>
          <w:tab/>
        </w:r>
        <w:r w:rsidR="00BC380F">
          <w:rPr>
            <w:noProof/>
            <w:webHidden/>
          </w:rPr>
          <w:fldChar w:fldCharType="begin"/>
        </w:r>
        <w:r w:rsidR="00BC380F">
          <w:rPr>
            <w:noProof/>
            <w:webHidden/>
          </w:rPr>
          <w:instrText xml:space="preserve"> PAGEREF _Toc391398032 \h </w:instrText>
        </w:r>
        <w:r w:rsidR="00BC380F">
          <w:rPr>
            <w:noProof/>
            <w:webHidden/>
          </w:rPr>
        </w:r>
        <w:r w:rsidR="00BC380F">
          <w:rPr>
            <w:noProof/>
            <w:webHidden/>
          </w:rPr>
          <w:fldChar w:fldCharType="separate"/>
        </w:r>
        <w:r w:rsidR="00CE5AEA">
          <w:rPr>
            <w:noProof/>
            <w:webHidden/>
          </w:rPr>
          <w:t>10</w:t>
        </w:r>
        <w:r w:rsidR="00BC380F">
          <w:rPr>
            <w:noProof/>
            <w:webHidden/>
          </w:rPr>
          <w:fldChar w:fldCharType="end"/>
        </w:r>
      </w:hyperlink>
    </w:p>
    <w:p w14:paraId="393A0A9D" w14:textId="77777777" w:rsidR="005A1F9D" w:rsidRDefault="00ED21EE" w:rsidP="005A1F9D">
      <w:r>
        <w:fldChar w:fldCharType="end"/>
      </w:r>
      <w:r w:rsidR="005A1F9D" w:rsidRPr="005A1F9D">
        <w:t xml:space="preserve"> </w:t>
      </w:r>
    </w:p>
    <w:p w14:paraId="393A0A9E" w14:textId="77777777" w:rsidR="005A1F9D" w:rsidRDefault="005A1F9D" w:rsidP="005A1F9D">
      <w:pPr>
        <w:pStyle w:val="Heading1"/>
      </w:pPr>
      <w:bookmarkStart w:id="24" w:name="_Toc174179832"/>
      <w:bookmarkStart w:id="25" w:name="_Toc174181292"/>
      <w:bookmarkStart w:id="26" w:name="_Toc304800200"/>
      <w:bookmarkStart w:id="27" w:name="_Toc324318336"/>
      <w:bookmarkStart w:id="28" w:name="_Toc324340480"/>
      <w:bookmarkStart w:id="29" w:name="_Toc391397002"/>
      <w:r>
        <w:t>List of Figures</w:t>
      </w:r>
      <w:bookmarkEnd w:id="24"/>
      <w:bookmarkEnd w:id="25"/>
      <w:bookmarkEnd w:id="26"/>
      <w:bookmarkEnd w:id="27"/>
      <w:bookmarkEnd w:id="28"/>
      <w:bookmarkEnd w:id="29"/>
    </w:p>
    <w:p w14:paraId="393A0A9F" w14:textId="77777777" w:rsidR="005A1F9D" w:rsidRDefault="00544E9C" w:rsidP="005A1F9D">
      <w:r>
        <w:fldChar w:fldCharType="begin"/>
      </w:r>
      <w:r>
        <w:instrText xml:space="preserve"> TOC \h \z \c "Figure" </w:instrText>
      </w:r>
      <w:r>
        <w:fldChar w:fldCharType="separate"/>
      </w:r>
      <w:r w:rsidR="00056348">
        <w:rPr>
          <w:b/>
          <w:bCs/>
          <w:noProof/>
        </w:rPr>
        <w:t>No table of figures entries found.</w:t>
      </w:r>
      <w:r>
        <w:rPr>
          <w:b/>
          <w:bCs/>
          <w:noProof/>
        </w:rPr>
        <w:fldChar w:fldCharType="end"/>
      </w:r>
    </w:p>
    <w:p w14:paraId="393A0AA0" w14:textId="77777777"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30" w:name="_Toc304800201"/>
      <w:bookmarkStart w:id="31" w:name="_Toc324318337"/>
      <w:bookmarkStart w:id="32" w:name="_Toc324340481"/>
      <w:bookmarkStart w:id="33" w:name="_Toc172205732"/>
    </w:p>
    <w:p w14:paraId="393A0AA1" w14:textId="77777777" w:rsidR="00ED21EE" w:rsidRDefault="00ED21EE" w:rsidP="00ED21EE">
      <w:pPr>
        <w:pStyle w:val="Heading1"/>
      </w:pPr>
      <w:bookmarkStart w:id="34" w:name="_Toc391397003"/>
      <w:proofErr w:type="gramStart"/>
      <w:r>
        <w:lastRenderedPageBreak/>
        <w:t>Section 1.</w:t>
      </w:r>
      <w:proofErr w:type="gramEnd"/>
      <w:r>
        <w:t xml:space="preserve"> General Measure &amp; Baseline Data</w:t>
      </w:r>
      <w:bookmarkEnd w:id="30"/>
      <w:bookmarkEnd w:id="31"/>
      <w:bookmarkEnd w:id="32"/>
      <w:bookmarkEnd w:id="34"/>
    </w:p>
    <w:p w14:paraId="393A0AA2" w14:textId="77777777" w:rsidR="00E71EF1" w:rsidRDefault="001248A3" w:rsidP="001248A3">
      <w:pPr>
        <w:pStyle w:val="Heading2"/>
      </w:pPr>
      <w:bookmarkStart w:id="35" w:name="_Toc304800202"/>
      <w:bookmarkStart w:id="36" w:name="_Toc324318338"/>
      <w:bookmarkStart w:id="37" w:name="_Toc324340482"/>
      <w:bookmarkStart w:id="38" w:name="_Toc391397004"/>
      <w:bookmarkEnd w:id="33"/>
      <w:r>
        <w:t xml:space="preserve">1.1 </w:t>
      </w:r>
      <w:r w:rsidR="008C6AD1">
        <w:t xml:space="preserve">Product </w:t>
      </w:r>
      <w:r w:rsidR="00E71EF1" w:rsidRPr="001248A3">
        <w:t>Measure Description &amp; Background</w:t>
      </w:r>
      <w:bookmarkEnd w:id="35"/>
      <w:bookmarkEnd w:id="36"/>
      <w:bookmarkEnd w:id="37"/>
      <w:bookmarkEnd w:id="38"/>
    </w:p>
    <w:p w14:paraId="72EEE3E8" w14:textId="64E30B30" w:rsidR="00657224" w:rsidRPr="00D801EE" w:rsidRDefault="00657224" w:rsidP="008C265F">
      <w:pPr>
        <w:rPr>
          <w:rFonts w:cs="Arial"/>
          <w:szCs w:val="20"/>
        </w:rPr>
      </w:pPr>
      <w:r w:rsidRPr="00D801EE">
        <w:rPr>
          <w:rFonts w:cs="Arial"/>
          <w:szCs w:val="20"/>
        </w:rPr>
        <w:t>This work paper documents the rationale for the Commercial Pre-Rinse Spray Valves measures as listed in the Commercial Food Service Catalog. The Commercial Food Service Catalog is part of Pacific Gas and Electric Company’s Customer Energy Efficiency Program. PG&amp;E offers incentives to non-residential customers for installing qualifying lighting, refrigeration, air-conditioning, food service, and agricultural equipment</w:t>
      </w:r>
    </w:p>
    <w:p w14:paraId="06F8C0FE" w14:textId="77777777" w:rsidR="00657224" w:rsidRDefault="00657224" w:rsidP="008C265F">
      <w:pPr>
        <w:rPr>
          <w:rFonts w:cs="Arial"/>
          <w:sz w:val="20"/>
          <w:szCs w:val="20"/>
        </w:rPr>
      </w:pPr>
    </w:p>
    <w:p w14:paraId="7CF1ADB0" w14:textId="51AA2275" w:rsidR="008C265F" w:rsidRPr="00657224" w:rsidRDefault="00521920" w:rsidP="008C265F">
      <w:pPr>
        <w:rPr>
          <w:rFonts w:cs="Arial"/>
          <w:b/>
          <w:i/>
          <w:sz w:val="24"/>
        </w:rPr>
      </w:pPr>
      <w:r w:rsidRPr="00657224">
        <w:rPr>
          <w:rFonts w:cs="Arial"/>
          <w:b/>
          <w:i/>
          <w:sz w:val="24"/>
        </w:rPr>
        <w:t>Catalog Description</w:t>
      </w:r>
      <w:r w:rsidR="00E840FE" w:rsidRPr="00657224">
        <w:rPr>
          <w:rFonts w:cs="Arial"/>
          <w:b/>
          <w:i/>
          <w:sz w:val="24"/>
        </w:rPr>
        <w:t xml:space="preserve"> – </w:t>
      </w:r>
    </w:p>
    <w:p w14:paraId="68D7FA4F" w14:textId="77777777" w:rsidR="008C265F" w:rsidRDefault="008C265F" w:rsidP="008C265F">
      <w:pPr>
        <w:rPr>
          <w:rFonts w:cs="Arial"/>
          <w:sz w:val="20"/>
          <w:szCs w:val="20"/>
        </w:rPr>
      </w:pPr>
    </w:p>
    <w:p w14:paraId="5E5FD542" w14:textId="0AC2AA7B" w:rsidR="00657224" w:rsidRPr="00D801EE" w:rsidRDefault="004C5560" w:rsidP="00FA2C9A">
      <w:r>
        <w:rPr>
          <w:b/>
          <w:bCs/>
        </w:rPr>
        <w:t>FS001</w:t>
      </w:r>
      <w:r w:rsidR="00657224" w:rsidRPr="00D801EE">
        <w:rPr>
          <w:b/>
          <w:bCs/>
        </w:rPr>
        <w:t>:</w:t>
      </w:r>
      <w:r w:rsidR="00657224" w:rsidRPr="00D801EE">
        <w:t xml:space="preserve"> The commercial pre-rinse spray valve </w:t>
      </w:r>
      <w:r w:rsidR="00A9798F">
        <w:t xml:space="preserve">must have a tested flow rate of </w:t>
      </w:r>
      <w:r w:rsidR="00657224" w:rsidRPr="00D801EE">
        <w:t>1.</w:t>
      </w:r>
      <w:r w:rsidR="00127341">
        <w:t>15</w:t>
      </w:r>
      <w:r w:rsidR="00657224" w:rsidRPr="00D801EE">
        <w:t xml:space="preserve"> </w:t>
      </w:r>
      <w:proofErr w:type="spellStart"/>
      <w:r w:rsidR="00657224" w:rsidRPr="00D801EE">
        <w:t>gpm</w:t>
      </w:r>
      <w:proofErr w:type="spellEnd"/>
      <w:r w:rsidR="00A9798F">
        <w:t xml:space="preserve"> </w:t>
      </w:r>
      <w:r w:rsidR="009E0334">
        <w:t xml:space="preserve">or less </w:t>
      </w:r>
      <w:r w:rsidR="00A9798F">
        <w:t xml:space="preserve">using ASTM Standard </w:t>
      </w:r>
      <w:r w:rsidR="00A9798F" w:rsidRPr="00C602B7">
        <w:t>F2324</w:t>
      </w:r>
      <w:r w:rsidR="009E0334" w:rsidRPr="00C602B7">
        <w:t xml:space="preserve"> </w:t>
      </w:r>
      <w:r w:rsidR="00C602B7" w:rsidRPr="00C602B7">
        <w:t xml:space="preserve">Standard Test Method for </w:t>
      </w:r>
      <w:proofErr w:type="spellStart"/>
      <w:r w:rsidR="00C602B7" w:rsidRPr="00C602B7">
        <w:t>Prerinse</w:t>
      </w:r>
      <w:proofErr w:type="spellEnd"/>
      <w:r w:rsidR="00C602B7" w:rsidRPr="00C602B7">
        <w:t xml:space="preserve"> Spray Valves</w:t>
      </w:r>
      <w:r w:rsidR="00ED3DA7">
        <w:rPr>
          <w:rStyle w:val="EndnoteReference"/>
        </w:rPr>
        <w:endnoteReference w:id="1"/>
      </w:r>
      <w:r w:rsidR="00EA0C49" w:rsidRPr="00C602B7">
        <w:t>.</w:t>
      </w:r>
      <w:r w:rsidR="00EA0C49">
        <w:t xml:space="preserve"> </w:t>
      </w:r>
    </w:p>
    <w:p w14:paraId="413E9055" w14:textId="77777777" w:rsidR="00D801EE" w:rsidRDefault="00D801EE" w:rsidP="00657224">
      <w:pPr>
        <w:rPr>
          <w:rFonts w:cs="Arial"/>
          <w:b/>
          <w:i/>
          <w:sz w:val="24"/>
        </w:rPr>
      </w:pPr>
    </w:p>
    <w:p w14:paraId="2B532D6A" w14:textId="77777777" w:rsidR="00657224" w:rsidRDefault="00657224" w:rsidP="00657224">
      <w:pPr>
        <w:rPr>
          <w:rFonts w:cs="Arial"/>
          <w:b/>
          <w:i/>
          <w:sz w:val="24"/>
        </w:rPr>
      </w:pPr>
      <w:r>
        <w:rPr>
          <w:rFonts w:cs="Arial"/>
          <w:b/>
          <w:i/>
          <w:sz w:val="24"/>
        </w:rPr>
        <w:t>Program Restrictions and Guidelines</w:t>
      </w:r>
    </w:p>
    <w:p w14:paraId="504E6A53" w14:textId="77777777" w:rsidR="00A32AE2" w:rsidRDefault="00A32AE2" w:rsidP="00657224">
      <w:pPr>
        <w:rPr>
          <w:rFonts w:cs="Arial"/>
          <w:b/>
          <w:i/>
          <w:sz w:val="20"/>
          <w:szCs w:val="20"/>
        </w:rPr>
      </w:pPr>
    </w:p>
    <w:p w14:paraId="1833F089" w14:textId="513ABB05" w:rsidR="00D801EE" w:rsidRDefault="00521920" w:rsidP="00D801EE">
      <w:pPr>
        <w:spacing w:line="360" w:lineRule="auto"/>
        <w:rPr>
          <w:rFonts w:cs="Arial"/>
          <w:b/>
          <w:i/>
          <w:sz w:val="24"/>
          <w:szCs w:val="20"/>
        </w:rPr>
      </w:pPr>
      <w:r w:rsidRPr="00D801EE">
        <w:rPr>
          <w:rFonts w:cs="Arial"/>
          <w:b/>
          <w:i/>
          <w:sz w:val="24"/>
          <w:szCs w:val="20"/>
        </w:rPr>
        <w:t>Terms and Conditions</w:t>
      </w:r>
      <w:r w:rsidR="003E7422" w:rsidRPr="00D801EE">
        <w:rPr>
          <w:rFonts w:cs="Arial"/>
          <w:b/>
          <w:i/>
          <w:sz w:val="24"/>
          <w:szCs w:val="20"/>
        </w:rPr>
        <w:t>:</w:t>
      </w:r>
    </w:p>
    <w:p w14:paraId="01FB21F8" w14:textId="3FE13BB1" w:rsidR="00657224" w:rsidRDefault="00657224" w:rsidP="00FA2C9A">
      <w:r w:rsidRPr="00D801EE">
        <w:t>This measure includes new commercial pre-rinse spray valves that meet the qualifications listed in Table 1. Used or reb</w:t>
      </w:r>
      <w:r w:rsidR="00423CC9">
        <w:t xml:space="preserve">uilt equipment is not eligible. </w:t>
      </w:r>
      <w:r w:rsidR="00A976FA" w:rsidRPr="00A976FA">
        <w:t>Customers must provide proof that the appliance meets the requirements in Table 1.</w:t>
      </w:r>
    </w:p>
    <w:p w14:paraId="3EBBBAC2" w14:textId="77777777" w:rsidR="00A976FA" w:rsidRPr="00FA2C9A" w:rsidRDefault="00A976FA" w:rsidP="00FA2C9A">
      <w:pPr>
        <w:rPr>
          <w:sz w:val="20"/>
        </w:rPr>
      </w:pPr>
    </w:p>
    <w:p w14:paraId="40DA315E" w14:textId="1E2CE7A4" w:rsidR="00657224" w:rsidRDefault="008436DA" w:rsidP="008436DA">
      <w:pPr>
        <w:pStyle w:val="Table"/>
        <w:rPr>
          <w:rFonts w:cs="Arial"/>
          <w:b/>
          <w:bCs/>
        </w:rPr>
      </w:pPr>
      <w:bookmarkStart w:id="39" w:name="_Toc391398019"/>
      <w:r w:rsidRPr="003541A6">
        <w:t xml:space="preserve">Table </w:t>
      </w:r>
      <w:r w:rsidR="00544E9C">
        <w:fldChar w:fldCharType="begin"/>
      </w:r>
      <w:r w:rsidR="00544E9C">
        <w:instrText xml:space="preserve"> SEQ Table \* ARABIC </w:instrText>
      </w:r>
      <w:r w:rsidR="00544E9C">
        <w:fldChar w:fldCharType="separate"/>
      </w:r>
      <w:r w:rsidR="00CE5AEA">
        <w:rPr>
          <w:noProof/>
        </w:rPr>
        <w:t>1</w:t>
      </w:r>
      <w:r w:rsidR="00544E9C">
        <w:rPr>
          <w:noProof/>
        </w:rPr>
        <w:fldChar w:fldCharType="end"/>
      </w:r>
      <w:r w:rsidRPr="003541A6">
        <w:rPr>
          <w:rFonts w:ascii="Calibri" w:hAnsi="Calibri" w:cs="Calibri"/>
          <w:sz w:val="26"/>
          <w:szCs w:val="26"/>
        </w:rPr>
        <w:t xml:space="preserve"> </w:t>
      </w:r>
      <w:r>
        <w:t>Energy Efficiency Requirements for Commercial Pre-Rinse Spray Valves</w:t>
      </w:r>
      <w:bookmarkEnd w:id="39"/>
      <w:r w:rsidR="00657224">
        <w:rPr>
          <w:rFonts w:cs="Arial"/>
          <w:b/>
          <w:bCs/>
        </w:rPr>
        <w:fldChar w:fldCharType="begin"/>
      </w:r>
      <w:r w:rsidR="00657224">
        <w:rPr>
          <w:rFonts w:cs="Arial"/>
          <w:b/>
          <w:bCs/>
        </w:rPr>
        <w:instrText xml:space="preserve"> TC /f “Table”</w:instrText>
      </w:r>
      <w:r w:rsidR="00657224">
        <w:rPr>
          <w:rFonts w:cs="Arial"/>
          <w:b/>
          <w:bCs/>
        </w:rPr>
        <w:fldChar w:fldCharType="end"/>
      </w:r>
    </w:p>
    <w:tbl>
      <w:tblPr>
        <w:tblW w:w="48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3076"/>
        <w:gridCol w:w="3681"/>
      </w:tblGrid>
      <w:tr w:rsidR="00E006AF" w14:paraId="611AE472" w14:textId="77777777" w:rsidTr="00DE7F01">
        <w:trPr>
          <w:trHeight w:val="380"/>
        </w:trPr>
        <w:tc>
          <w:tcPr>
            <w:tcW w:w="1338" w:type="pct"/>
            <w:tcBorders>
              <w:top w:val="single" w:sz="4" w:space="0" w:color="auto"/>
              <w:left w:val="single" w:sz="4" w:space="0" w:color="auto"/>
              <w:bottom w:val="single" w:sz="4" w:space="0" w:color="auto"/>
              <w:right w:val="single" w:sz="4" w:space="0" w:color="auto"/>
            </w:tcBorders>
            <w:vAlign w:val="center"/>
            <w:hideMark/>
          </w:tcPr>
          <w:p w14:paraId="0DA4B44D" w14:textId="77777777" w:rsidR="00E006AF" w:rsidRDefault="00E006AF">
            <w:pPr>
              <w:rPr>
                <w:rFonts w:cs="Arial"/>
                <w:b/>
                <w:bCs/>
                <w:color w:val="000000"/>
                <w:sz w:val="20"/>
                <w:szCs w:val="20"/>
              </w:rPr>
            </w:pPr>
            <w:r>
              <w:rPr>
                <w:rFonts w:cs="Arial"/>
                <w:b/>
                <w:bCs/>
                <w:color w:val="000000"/>
                <w:sz w:val="20"/>
                <w:szCs w:val="20"/>
              </w:rPr>
              <w:t>Measure Code</w:t>
            </w:r>
          </w:p>
        </w:tc>
        <w:tc>
          <w:tcPr>
            <w:tcW w:w="1667" w:type="pct"/>
            <w:tcBorders>
              <w:top w:val="single" w:sz="4" w:space="0" w:color="auto"/>
              <w:left w:val="single" w:sz="4" w:space="0" w:color="auto"/>
              <w:bottom w:val="single" w:sz="4" w:space="0" w:color="auto"/>
              <w:right w:val="single" w:sz="4" w:space="0" w:color="auto"/>
            </w:tcBorders>
            <w:vAlign w:val="center"/>
            <w:hideMark/>
          </w:tcPr>
          <w:p w14:paraId="02A59696" w14:textId="0DDE9116" w:rsidR="00E006AF" w:rsidRDefault="00E006AF">
            <w:pPr>
              <w:rPr>
                <w:rFonts w:cs="Arial"/>
                <w:b/>
                <w:bCs/>
                <w:color w:val="000000"/>
                <w:sz w:val="20"/>
                <w:szCs w:val="20"/>
              </w:rPr>
            </w:pPr>
            <w:r>
              <w:rPr>
                <w:rFonts w:cs="Arial"/>
                <w:b/>
                <w:bCs/>
                <w:color w:val="000000"/>
                <w:sz w:val="20"/>
                <w:szCs w:val="20"/>
              </w:rPr>
              <w:t>Spray Valve Type</w:t>
            </w:r>
          </w:p>
        </w:tc>
        <w:tc>
          <w:tcPr>
            <w:tcW w:w="1995" w:type="pct"/>
            <w:tcBorders>
              <w:top w:val="single" w:sz="4" w:space="0" w:color="auto"/>
              <w:left w:val="single" w:sz="4" w:space="0" w:color="auto"/>
              <w:bottom w:val="single" w:sz="4" w:space="0" w:color="auto"/>
              <w:right w:val="single" w:sz="4" w:space="0" w:color="auto"/>
            </w:tcBorders>
            <w:vAlign w:val="center"/>
            <w:hideMark/>
          </w:tcPr>
          <w:p w14:paraId="258EBD34" w14:textId="5DD9F71B" w:rsidR="00E006AF" w:rsidRDefault="00E006AF">
            <w:pPr>
              <w:rPr>
                <w:rFonts w:cs="Arial"/>
                <w:b/>
                <w:bCs/>
                <w:color w:val="000000"/>
                <w:sz w:val="20"/>
                <w:szCs w:val="20"/>
              </w:rPr>
            </w:pPr>
            <w:r>
              <w:rPr>
                <w:rFonts w:cs="Arial"/>
                <w:b/>
                <w:bCs/>
                <w:color w:val="000000"/>
                <w:sz w:val="20"/>
                <w:szCs w:val="20"/>
              </w:rPr>
              <w:t>Flow Rate (</w:t>
            </w:r>
            <w:proofErr w:type="spellStart"/>
            <w:r>
              <w:rPr>
                <w:rFonts w:cs="Arial"/>
                <w:b/>
                <w:bCs/>
                <w:color w:val="000000"/>
                <w:sz w:val="20"/>
                <w:szCs w:val="20"/>
              </w:rPr>
              <w:t>gpm</w:t>
            </w:r>
            <w:proofErr w:type="spellEnd"/>
            <w:r>
              <w:rPr>
                <w:rFonts w:cs="Arial"/>
                <w:b/>
                <w:bCs/>
                <w:color w:val="000000"/>
                <w:sz w:val="20"/>
                <w:szCs w:val="20"/>
              </w:rPr>
              <w:t>)</w:t>
            </w:r>
          </w:p>
        </w:tc>
      </w:tr>
      <w:tr w:rsidR="00E006AF" w14:paraId="7279842A" w14:textId="77777777" w:rsidTr="00DE7F01">
        <w:trPr>
          <w:trHeight w:val="254"/>
        </w:trPr>
        <w:tc>
          <w:tcPr>
            <w:tcW w:w="1338" w:type="pct"/>
            <w:tcBorders>
              <w:top w:val="single" w:sz="4" w:space="0" w:color="auto"/>
              <w:left w:val="single" w:sz="4" w:space="0" w:color="auto"/>
              <w:bottom w:val="single" w:sz="4" w:space="0" w:color="auto"/>
              <w:right w:val="single" w:sz="4" w:space="0" w:color="auto"/>
            </w:tcBorders>
          </w:tcPr>
          <w:p w14:paraId="5AA0A8F0" w14:textId="28A02D8E" w:rsidR="00E006AF" w:rsidRDefault="004C5560">
            <w:pPr>
              <w:rPr>
                <w:rFonts w:cs="Arial"/>
                <w:color w:val="000000"/>
                <w:sz w:val="20"/>
                <w:szCs w:val="20"/>
              </w:rPr>
            </w:pPr>
            <w:r>
              <w:rPr>
                <w:rFonts w:cs="Arial"/>
                <w:color w:val="000000"/>
                <w:sz w:val="20"/>
                <w:szCs w:val="20"/>
              </w:rPr>
              <w:t>FS001</w:t>
            </w:r>
          </w:p>
        </w:tc>
        <w:tc>
          <w:tcPr>
            <w:tcW w:w="1667" w:type="pct"/>
            <w:tcBorders>
              <w:top w:val="single" w:sz="4" w:space="0" w:color="auto"/>
              <w:left w:val="single" w:sz="4" w:space="0" w:color="auto"/>
              <w:bottom w:val="single" w:sz="4" w:space="0" w:color="auto"/>
              <w:right w:val="single" w:sz="4" w:space="0" w:color="auto"/>
            </w:tcBorders>
            <w:vAlign w:val="center"/>
          </w:tcPr>
          <w:p w14:paraId="607DD461" w14:textId="22047889" w:rsidR="00E006AF" w:rsidRDefault="00A9798F">
            <w:pPr>
              <w:rPr>
                <w:rFonts w:cs="Arial"/>
                <w:color w:val="000000"/>
                <w:sz w:val="20"/>
                <w:szCs w:val="20"/>
              </w:rPr>
            </w:pPr>
            <w:r>
              <w:rPr>
                <w:rFonts w:cs="Arial"/>
                <w:color w:val="000000"/>
                <w:sz w:val="20"/>
                <w:szCs w:val="20"/>
              </w:rPr>
              <w:t>Spray Valve</w:t>
            </w:r>
          </w:p>
        </w:tc>
        <w:tc>
          <w:tcPr>
            <w:tcW w:w="1995" w:type="pct"/>
            <w:tcBorders>
              <w:top w:val="single" w:sz="4" w:space="0" w:color="auto"/>
              <w:left w:val="single" w:sz="4" w:space="0" w:color="auto"/>
              <w:bottom w:val="single" w:sz="4" w:space="0" w:color="auto"/>
              <w:right w:val="single" w:sz="4" w:space="0" w:color="auto"/>
            </w:tcBorders>
            <w:vAlign w:val="center"/>
          </w:tcPr>
          <w:p w14:paraId="56497B3B" w14:textId="69EEE203" w:rsidR="00E006AF" w:rsidRDefault="00262E9A">
            <w:pPr>
              <w:rPr>
                <w:rFonts w:cs="Arial"/>
                <w:color w:val="000000"/>
                <w:sz w:val="20"/>
                <w:szCs w:val="20"/>
              </w:rPr>
            </w:pPr>
            <w:r>
              <w:rPr>
                <w:rFonts w:cs="Arial"/>
                <w:color w:val="000000"/>
                <w:sz w:val="20"/>
                <w:szCs w:val="20"/>
              </w:rPr>
              <w:t>≤</w:t>
            </w:r>
            <w:r w:rsidR="00E006AF">
              <w:rPr>
                <w:rFonts w:cs="Arial"/>
                <w:color w:val="000000"/>
                <w:sz w:val="20"/>
                <w:szCs w:val="20"/>
              </w:rPr>
              <w:t xml:space="preserve">1.15 </w:t>
            </w:r>
            <w:proofErr w:type="spellStart"/>
            <w:r w:rsidR="00E006AF">
              <w:rPr>
                <w:rFonts w:cs="Arial"/>
                <w:color w:val="000000"/>
                <w:sz w:val="20"/>
                <w:szCs w:val="20"/>
              </w:rPr>
              <w:t>gpm</w:t>
            </w:r>
            <w:proofErr w:type="spellEnd"/>
            <w:r w:rsidR="006A66DA">
              <w:rPr>
                <w:rFonts w:cs="Arial"/>
                <w:color w:val="000000"/>
                <w:sz w:val="20"/>
                <w:szCs w:val="20"/>
              </w:rPr>
              <w:t>*</w:t>
            </w:r>
          </w:p>
        </w:tc>
      </w:tr>
    </w:tbl>
    <w:p w14:paraId="4D3B9620" w14:textId="2F3FBE0A" w:rsidR="00657224" w:rsidRDefault="00657224" w:rsidP="00657224">
      <w:pPr>
        <w:pStyle w:val="BodyText"/>
        <w:rPr>
          <w:szCs w:val="24"/>
        </w:rPr>
      </w:pPr>
      <w:r>
        <w:rPr>
          <w:szCs w:val="24"/>
        </w:rPr>
        <w:t xml:space="preserve">*Based on the </w:t>
      </w:r>
      <w:r w:rsidR="006A66DA">
        <w:rPr>
          <w:szCs w:val="24"/>
        </w:rPr>
        <w:t>ANSI/ASTM F2324</w:t>
      </w:r>
    </w:p>
    <w:p w14:paraId="6DFA98DE" w14:textId="77777777" w:rsidR="00A976FA" w:rsidRPr="00A976FA" w:rsidRDefault="00A976FA" w:rsidP="00A976FA">
      <w:pPr>
        <w:ind w:left="360"/>
        <w:rPr>
          <w:rFonts w:cs="Arial"/>
          <w:b/>
          <w:i/>
          <w:sz w:val="20"/>
          <w:szCs w:val="20"/>
        </w:rPr>
      </w:pPr>
    </w:p>
    <w:p w14:paraId="393A0AA8" w14:textId="57FE1F64" w:rsidR="003E7422" w:rsidRDefault="00A976FA" w:rsidP="00A976FA">
      <w:pPr>
        <w:ind w:left="720"/>
        <w:rPr>
          <w:rFonts w:cs="Arial"/>
          <w:b/>
          <w:i/>
          <w:szCs w:val="20"/>
        </w:rPr>
      </w:pPr>
      <w:r w:rsidRPr="00A976FA">
        <w:rPr>
          <w:rFonts w:cs="Arial"/>
          <w:b/>
          <w:i/>
          <w:szCs w:val="20"/>
        </w:rPr>
        <w:t>The rebate is downstream</w:t>
      </w:r>
      <w:r>
        <w:rPr>
          <w:rFonts w:cs="Arial"/>
          <w:b/>
          <w:i/>
          <w:szCs w:val="20"/>
        </w:rPr>
        <w:t>,</w:t>
      </w:r>
      <w:r w:rsidRPr="00A976FA">
        <w:rPr>
          <w:rFonts w:cs="Arial"/>
          <w:b/>
          <w:i/>
          <w:szCs w:val="20"/>
        </w:rPr>
        <w:t xml:space="preserve"> provided to the contractor or customer at the time </w:t>
      </w:r>
      <w:proofErr w:type="gramStart"/>
      <w:r w:rsidRPr="00A976FA">
        <w:rPr>
          <w:rFonts w:cs="Arial"/>
          <w:b/>
          <w:i/>
          <w:szCs w:val="20"/>
        </w:rPr>
        <w:t>of  sale</w:t>
      </w:r>
      <w:proofErr w:type="gramEnd"/>
      <w:r w:rsidRPr="00A976FA">
        <w:rPr>
          <w:rFonts w:cs="Arial"/>
          <w:b/>
          <w:i/>
          <w:szCs w:val="20"/>
        </w:rPr>
        <w:t xml:space="preserve"> / installatio</w:t>
      </w:r>
      <w:r>
        <w:rPr>
          <w:rFonts w:cs="Arial"/>
          <w:b/>
          <w:i/>
          <w:szCs w:val="20"/>
        </w:rPr>
        <w:t>n upon receipt of sales data, application</w:t>
      </w:r>
      <w:r w:rsidR="00EC4529">
        <w:rPr>
          <w:rFonts w:cs="Arial"/>
          <w:b/>
          <w:i/>
          <w:szCs w:val="20"/>
        </w:rPr>
        <w:t>,</w:t>
      </w:r>
      <w:r>
        <w:rPr>
          <w:rFonts w:cs="Arial"/>
          <w:b/>
          <w:i/>
          <w:szCs w:val="20"/>
        </w:rPr>
        <w:t xml:space="preserve"> and invoice</w:t>
      </w:r>
      <w:r w:rsidR="00EC4529">
        <w:rPr>
          <w:rFonts w:cs="Arial"/>
          <w:b/>
          <w:i/>
          <w:szCs w:val="20"/>
        </w:rPr>
        <w:t xml:space="preserve">. </w:t>
      </w:r>
      <w:r w:rsidRPr="00A976FA">
        <w:rPr>
          <w:rFonts w:cs="Arial"/>
          <w:b/>
          <w:i/>
          <w:szCs w:val="20"/>
        </w:rPr>
        <w:t>This is a</w:t>
      </w:r>
      <w:r w:rsidR="00403585">
        <w:rPr>
          <w:rFonts w:cs="Arial"/>
          <w:b/>
          <w:i/>
          <w:szCs w:val="20"/>
        </w:rPr>
        <w:t xml:space="preserve"> rebated or</w:t>
      </w:r>
      <w:r w:rsidRPr="00A976FA">
        <w:rPr>
          <w:rFonts w:cs="Arial"/>
          <w:b/>
          <w:i/>
          <w:szCs w:val="20"/>
        </w:rPr>
        <w:t xml:space="preserve"> </w:t>
      </w:r>
      <w:proofErr w:type="gramStart"/>
      <w:r w:rsidRPr="00A976FA">
        <w:rPr>
          <w:rFonts w:cs="Arial"/>
          <w:b/>
          <w:i/>
          <w:szCs w:val="20"/>
        </w:rPr>
        <w:t>Direct</w:t>
      </w:r>
      <w:proofErr w:type="gramEnd"/>
      <w:r w:rsidRPr="00A976FA">
        <w:rPr>
          <w:rFonts w:cs="Arial"/>
          <w:b/>
          <w:i/>
          <w:szCs w:val="20"/>
        </w:rPr>
        <w:t xml:space="preserve"> install program.</w:t>
      </w:r>
      <w:r w:rsidR="00EC4529" w:rsidRPr="00EC4529">
        <w:rPr>
          <w:rFonts w:cs="Arial"/>
          <w:b/>
          <w:i/>
          <w:szCs w:val="20"/>
        </w:rPr>
        <w:t xml:space="preserve"> </w:t>
      </w:r>
      <w:r w:rsidR="00EC4529">
        <w:rPr>
          <w:rFonts w:cs="Arial"/>
          <w:b/>
          <w:i/>
          <w:szCs w:val="20"/>
        </w:rPr>
        <w:t>Direct install participants will be required to provide a measured flow rate test and proper documentation (i.e. picture and evaluation form) at the time of customer delivery.</w:t>
      </w:r>
    </w:p>
    <w:p w14:paraId="04BD685E" w14:textId="77777777" w:rsidR="008976B0" w:rsidRDefault="008976B0" w:rsidP="00A976FA">
      <w:pPr>
        <w:ind w:left="720"/>
        <w:rPr>
          <w:rFonts w:cs="Arial"/>
          <w:b/>
          <w:i/>
          <w:szCs w:val="20"/>
        </w:rPr>
      </w:pPr>
    </w:p>
    <w:p w14:paraId="71598316" w14:textId="01B17246" w:rsidR="008976B0" w:rsidRPr="00A976FA" w:rsidRDefault="008976B0" w:rsidP="00A976FA">
      <w:pPr>
        <w:ind w:left="720"/>
        <w:rPr>
          <w:rFonts w:cs="Arial"/>
          <w:b/>
          <w:i/>
          <w:szCs w:val="20"/>
        </w:rPr>
      </w:pPr>
      <w:r>
        <w:rPr>
          <w:rFonts w:cs="Arial"/>
          <w:b/>
          <w:i/>
          <w:szCs w:val="20"/>
        </w:rPr>
        <w:t xml:space="preserve">Direct install applicants must demonstrate that existing water efficiency rebates are not locally available for the targeted areas. </w:t>
      </w:r>
    </w:p>
    <w:p w14:paraId="4718925F" w14:textId="77777777" w:rsidR="00A976FA" w:rsidRPr="00657224" w:rsidRDefault="00A976FA" w:rsidP="00480BAD">
      <w:pPr>
        <w:ind w:left="360"/>
        <w:rPr>
          <w:rFonts w:cs="Arial"/>
          <w:sz w:val="20"/>
          <w:szCs w:val="20"/>
        </w:rPr>
      </w:pPr>
    </w:p>
    <w:p w14:paraId="58E170C9" w14:textId="20E8B7E0" w:rsidR="00A32AE2" w:rsidRPr="006A66DA" w:rsidRDefault="00521920" w:rsidP="006A66DA">
      <w:pPr>
        <w:spacing w:line="360" w:lineRule="auto"/>
        <w:rPr>
          <w:rFonts w:cs="Arial"/>
          <w:b/>
          <w:i/>
          <w:sz w:val="24"/>
          <w:szCs w:val="20"/>
        </w:rPr>
      </w:pPr>
      <w:r w:rsidRPr="006A66DA">
        <w:rPr>
          <w:rFonts w:cs="Arial"/>
          <w:b/>
          <w:i/>
          <w:sz w:val="24"/>
          <w:szCs w:val="20"/>
        </w:rPr>
        <w:t>Market Applicability</w:t>
      </w:r>
      <w:r w:rsidR="003E7422" w:rsidRPr="006A66DA">
        <w:rPr>
          <w:rFonts w:cs="Arial"/>
          <w:b/>
          <w:i/>
          <w:sz w:val="24"/>
          <w:szCs w:val="20"/>
        </w:rPr>
        <w:t>:</w:t>
      </w:r>
    </w:p>
    <w:p w14:paraId="1DD4F712" w14:textId="26AEF55F" w:rsidR="00657224" w:rsidRDefault="00657224" w:rsidP="00657224">
      <w:pPr>
        <w:autoSpaceDE w:val="0"/>
        <w:autoSpaceDN w:val="0"/>
        <w:adjustRightInd w:val="0"/>
        <w:rPr>
          <w:rFonts w:cs="Arial"/>
        </w:rPr>
      </w:pPr>
      <w:r w:rsidRPr="006A66DA">
        <w:rPr>
          <w:rFonts w:cs="Arial"/>
        </w:rPr>
        <w:t>This measure is applicable to any commercial cooking application, including (but not limited to) casual dining and quick service restaurants,</w:t>
      </w:r>
      <w:r w:rsidR="00EC4529">
        <w:rPr>
          <w:rFonts w:cs="Arial"/>
        </w:rPr>
        <w:t xml:space="preserve"> food stands,</w:t>
      </w:r>
      <w:r w:rsidRPr="006A66DA">
        <w:rPr>
          <w:rFonts w:cs="Arial"/>
        </w:rPr>
        <w:t xml:space="preserve"> hotels, motels, schools, colleges and recreational facilities.</w:t>
      </w:r>
      <w:r w:rsidR="00E45FCC">
        <w:rPr>
          <w:rFonts w:cs="Arial"/>
        </w:rPr>
        <w:t xml:space="preserve"> </w:t>
      </w:r>
    </w:p>
    <w:p w14:paraId="393A0AAB" w14:textId="0F365EF1" w:rsidR="00197A23" w:rsidRDefault="00A9798F" w:rsidP="00EC4529">
      <w:pPr>
        <w:autoSpaceDE w:val="0"/>
        <w:autoSpaceDN w:val="0"/>
        <w:adjustRightInd w:val="0"/>
        <w:rPr>
          <w:rFonts w:cs="Arial"/>
          <w:b/>
          <w:i/>
        </w:rPr>
      </w:pPr>
      <w:r>
        <w:rPr>
          <w:rFonts w:eastAsiaTheme="minorHAnsi" w:cs="Arial"/>
          <w:sz w:val="18"/>
          <w:szCs w:val="20"/>
        </w:rPr>
        <w:br/>
      </w:r>
    </w:p>
    <w:p w14:paraId="5FA40B63" w14:textId="77777777" w:rsidR="00AA075B" w:rsidRDefault="00806070" w:rsidP="00AA075B">
      <w:pPr>
        <w:pStyle w:val="Heading2"/>
      </w:pPr>
      <w:bookmarkStart w:id="40" w:name="_Toc391397005"/>
      <w:r>
        <w:t xml:space="preserve">1.2 Product </w:t>
      </w:r>
      <w:r w:rsidR="00521920" w:rsidRPr="00806070">
        <w:t>Technical Description</w:t>
      </w:r>
      <w:bookmarkStart w:id="41" w:name="_Toc304800203"/>
      <w:bookmarkStart w:id="42" w:name="_Toc324318339"/>
      <w:bookmarkStart w:id="43" w:name="_Toc324340483"/>
      <w:bookmarkEnd w:id="40"/>
    </w:p>
    <w:p w14:paraId="27CB894E" w14:textId="5D13CABB" w:rsidR="00B8174E" w:rsidRPr="006A66DA" w:rsidRDefault="00B8174E" w:rsidP="00AA075B">
      <w:pPr>
        <w:rPr>
          <w:bCs/>
          <w:iCs/>
          <w:sz w:val="28"/>
          <w:szCs w:val="28"/>
        </w:rPr>
      </w:pPr>
      <w:r w:rsidRPr="006A66DA">
        <w:t xml:space="preserve">Pre-rinse spray valves (PRSV), also referred to as spray nozzles or spray heads are used in various food service applications, such as restaurants and cafeterias to remove loose food and debris from plates and other dishes prior to loading them in the dishwasher. </w:t>
      </w:r>
      <w:r w:rsidRPr="006A66DA">
        <w:rPr>
          <w:bCs/>
          <w:iCs/>
        </w:rPr>
        <w:t xml:space="preserve">PRSVs range in </w:t>
      </w:r>
      <w:r w:rsidRPr="006A66DA">
        <w:rPr>
          <w:bCs/>
          <w:iCs/>
        </w:rPr>
        <w:lastRenderedPageBreak/>
        <w:t xml:space="preserve">flow rate from 0.65 </w:t>
      </w:r>
      <w:proofErr w:type="spellStart"/>
      <w:r w:rsidRPr="006A66DA">
        <w:rPr>
          <w:bCs/>
          <w:iCs/>
        </w:rPr>
        <w:t>gpm</w:t>
      </w:r>
      <w:proofErr w:type="spellEnd"/>
      <w:r w:rsidRPr="006A66DA">
        <w:rPr>
          <w:bCs/>
          <w:iCs/>
        </w:rPr>
        <w:t xml:space="preserve"> to 4.5 </w:t>
      </w:r>
      <w:proofErr w:type="spellStart"/>
      <w:r w:rsidRPr="006A66DA">
        <w:rPr>
          <w:bCs/>
          <w:iCs/>
        </w:rPr>
        <w:t>gpm</w:t>
      </w:r>
      <w:proofErr w:type="spellEnd"/>
      <w:r w:rsidRPr="006A66DA">
        <w:rPr>
          <w:bCs/>
          <w:iCs/>
        </w:rPr>
        <w:t xml:space="preserve">. As part of </w:t>
      </w:r>
      <w:r w:rsidR="00DE4DF6" w:rsidRPr="006A66DA">
        <w:rPr>
          <w:bCs/>
          <w:iCs/>
        </w:rPr>
        <w:t>Energy Policy Act of 2005</w:t>
      </w:r>
      <w:r w:rsidRPr="006A66DA">
        <w:rPr>
          <w:bCs/>
          <w:iCs/>
        </w:rPr>
        <w:t xml:space="preserve">, PRSVs have been </w:t>
      </w:r>
      <w:r w:rsidR="00DE4DF6" w:rsidRPr="006A66DA">
        <w:rPr>
          <w:bCs/>
          <w:iCs/>
        </w:rPr>
        <w:t xml:space="preserve">federally </w:t>
      </w:r>
      <w:r w:rsidRPr="006A66DA">
        <w:rPr>
          <w:bCs/>
          <w:iCs/>
        </w:rPr>
        <w:t xml:space="preserve">regulated to have a flow rate ≤1.6 </w:t>
      </w:r>
      <w:proofErr w:type="spellStart"/>
      <w:r w:rsidRPr="006A66DA">
        <w:rPr>
          <w:bCs/>
          <w:iCs/>
        </w:rPr>
        <w:t>gpm</w:t>
      </w:r>
      <w:proofErr w:type="spellEnd"/>
      <w:r w:rsidRPr="006A66DA">
        <w:rPr>
          <w:bCs/>
          <w:iCs/>
        </w:rPr>
        <w:t xml:space="preserve"> as determined by </w:t>
      </w:r>
      <w:r w:rsidRPr="006A66DA">
        <w:t xml:space="preserve">applying the American Society for Testing and Materials (ASTM) Standard Test Method for Performance of </w:t>
      </w:r>
      <w:r w:rsidR="00DE4DF6" w:rsidRPr="006A66DA">
        <w:rPr>
          <w:bCs/>
          <w:iCs/>
        </w:rPr>
        <w:t>Pre-Rinse Spray Valves (</w:t>
      </w:r>
      <w:r w:rsidR="00107FDD" w:rsidRPr="006A66DA">
        <w:rPr>
          <w:bCs/>
          <w:iCs/>
        </w:rPr>
        <w:t>ANSI/</w:t>
      </w:r>
      <w:r w:rsidR="00DE4DF6" w:rsidRPr="006A66DA">
        <w:rPr>
          <w:bCs/>
          <w:iCs/>
        </w:rPr>
        <w:t>ASTM F2324</w:t>
      </w:r>
      <w:r w:rsidR="00107FDD" w:rsidRPr="006A66DA">
        <w:rPr>
          <w:bCs/>
          <w:iCs/>
        </w:rPr>
        <w:t>-03</w:t>
      </w:r>
      <w:r w:rsidR="00DE4DF6" w:rsidRPr="006A66DA">
        <w:rPr>
          <w:bCs/>
          <w:iCs/>
        </w:rPr>
        <w:t xml:space="preserve">). </w:t>
      </w:r>
      <w:r w:rsidR="00D04A19" w:rsidRPr="006A66DA">
        <w:t xml:space="preserve">Because hot water is dispensed at </w:t>
      </w:r>
      <w:r w:rsidR="00A9798F">
        <w:t xml:space="preserve">the </w:t>
      </w:r>
      <w:r w:rsidR="00D04A19" w:rsidRPr="006A66DA">
        <w:t xml:space="preserve">PRSV to rinse the plates more effectively, the reduction in flow rate results in the energy </w:t>
      </w:r>
      <w:r w:rsidR="00A9798F">
        <w:t xml:space="preserve">and water </w:t>
      </w:r>
      <w:r w:rsidR="00D04A19" w:rsidRPr="006A66DA">
        <w:t>savings.</w:t>
      </w:r>
    </w:p>
    <w:p w14:paraId="2D16B1FC" w14:textId="77777777" w:rsidR="00107FDD" w:rsidRPr="00FA2C9A" w:rsidRDefault="00107FDD" w:rsidP="00107FDD">
      <w:pPr>
        <w:rPr>
          <w:sz w:val="20"/>
        </w:rPr>
      </w:pPr>
    </w:p>
    <w:p w14:paraId="393A0AB0" w14:textId="1FEB1F74" w:rsidR="00784500" w:rsidRPr="00D04A19" w:rsidRDefault="009C5CA7" w:rsidP="00D04A19">
      <w:pPr>
        <w:pStyle w:val="Heading2"/>
        <w:keepNext w:val="0"/>
      </w:pPr>
      <w:bookmarkStart w:id="44" w:name="_Toc391397006"/>
      <w:r>
        <w:t>1.</w:t>
      </w:r>
      <w:r w:rsidR="00806070">
        <w:t>3</w:t>
      </w:r>
      <w:r>
        <w:t xml:space="preserve"> </w:t>
      </w:r>
      <w:r w:rsidR="002E6162">
        <w:t xml:space="preserve">Measure Application </w:t>
      </w:r>
      <w:bookmarkEnd w:id="41"/>
      <w:r w:rsidR="002E6162">
        <w:t>Type</w:t>
      </w:r>
      <w:bookmarkEnd w:id="42"/>
      <w:bookmarkEnd w:id="43"/>
      <w:bookmarkEnd w:id="44"/>
      <w:r w:rsidR="00FA595F">
        <w:t xml:space="preserve"> </w:t>
      </w:r>
    </w:p>
    <w:p w14:paraId="393A0AB1" w14:textId="3B18F228" w:rsidR="009C5CA7" w:rsidRPr="006A66DA" w:rsidRDefault="009C5CA7" w:rsidP="00AA075B">
      <w:pPr>
        <w:rPr>
          <w:szCs w:val="22"/>
        </w:rPr>
      </w:pPr>
      <w:r w:rsidRPr="006A66DA">
        <w:rPr>
          <w:szCs w:val="22"/>
        </w:rPr>
        <w:t>The DEER Measure Cost Data Users Guide</w:t>
      </w:r>
      <w:r w:rsidR="002C0335">
        <w:rPr>
          <w:rStyle w:val="EndnoteReference"/>
          <w:szCs w:val="22"/>
        </w:rPr>
        <w:endnoteReference w:id="2"/>
      </w:r>
      <w:r w:rsidR="00AF1807" w:rsidRPr="006A66DA">
        <w:rPr>
          <w:szCs w:val="22"/>
        </w:rPr>
        <w:t xml:space="preserve"> </w:t>
      </w:r>
      <w:r w:rsidR="007B2E26" w:rsidRPr="006A66DA">
        <w:rPr>
          <w:szCs w:val="22"/>
        </w:rPr>
        <w:t xml:space="preserve">found on </w:t>
      </w:r>
      <w:hyperlink r:id="rId24" w:history="1">
        <w:r w:rsidR="007B2E26" w:rsidRPr="006A66DA">
          <w:rPr>
            <w:rStyle w:val="Hyperlink"/>
            <w:rFonts w:cs="Arial"/>
            <w:szCs w:val="22"/>
          </w:rPr>
          <w:t>www.deeresources.com</w:t>
        </w:r>
      </w:hyperlink>
      <w:r w:rsidR="007B2E26" w:rsidRPr="006A66DA">
        <w:rPr>
          <w:szCs w:val="22"/>
        </w:rPr>
        <w:t xml:space="preserve"> under</w:t>
      </w:r>
      <w:r w:rsidR="003541A6" w:rsidRPr="006A66DA">
        <w:rPr>
          <w:szCs w:val="22"/>
        </w:rPr>
        <w:t xml:space="preserve"> </w:t>
      </w:r>
      <w:r w:rsidR="007B2E26" w:rsidRPr="006A66DA">
        <w:rPr>
          <w:i/>
          <w:szCs w:val="22"/>
        </w:rPr>
        <w:t>DEER2011 Database Format</w:t>
      </w:r>
      <w:r w:rsidR="007B2E26" w:rsidRPr="006A66DA">
        <w:rPr>
          <w:szCs w:val="22"/>
        </w:rPr>
        <w:t xml:space="preserve"> hyperlink, </w:t>
      </w:r>
      <w:r w:rsidR="007B2E26" w:rsidRPr="006A66DA">
        <w:rPr>
          <w:rStyle w:val="breadcrumbs"/>
          <w:rFonts w:cs="Arial"/>
          <w:color w:val="333333"/>
          <w:szCs w:val="22"/>
          <w:lang w:val="en-GB"/>
        </w:rPr>
        <w:t>DEER2011 for 13-14</w:t>
      </w:r>
      <w:r w:rsidR="00ED3DA7">
        <w:rPr>
          <w:rStyle w:val="EndnoteReference"/>
          <w:rFonts w:cs="Arial"/>
          <w:color w:val="333333"/>
          <w:szCs w:val="22"/>
          <w:lang w:val="en-GB"/>
        </w:rPr>
        <w:endnoteReference w:id="3"/>
      </w:r>
      <w:r w:rsidR="003541A6" w:rsidRPr="006A66DA">
        <w:rPr>
          <w:color w:val="333333"/>
          <w:szCs w:val="22"/>
          <w:lang w:val="en-GB"/>
        </w:rPr>
        <w:t>,</w:t>
      </w:r>
      <w:r w:rsidRPr="006A66DA">
        <w:rPr>
          <w:szCs w:val="22"/>
        </w:rPr>
        <w:t xml:space="preserve"> </w:t>
      </w:r>
      <w:r w:rsidR="007B2E26" w:rsidRPr="006A66DA">
        <w:rPr>
          <w:szCs w:val="22"/>
        </w:rPr>
        <w:t xml:space="preserve">spreadsheet </w:t>
      </w:r>
      <w:r w:rsidR="007B2E26" w:rsidRPr="006A66DA">
        <w:rPr>
          <w:i/>
          <w:szCs w:val="22"/>
        </w:rPr>
        <w:t>SPTdata_format-V0.97.xls</w:t>
      </w:r>
      <w:r w:rsidRPr="006A66DA">
        <w:rPr>
          <w:szCs w:val="22"/>
        </w:rPr>
        <w:t>, defines the terms as follows:</w:t>
      </w:r>
    </w:p>
    <w:p w14:paraId="393A0AB2" w14:textId="77777777" w:rsidR="009C5CA7" w:rsidRPr="00F65942" w:rsidRDefault="009C5CA7" w:rsidP="00AA075B">
      <w:pPr>
        <w:rPr>
          <w:i/>
        </w:rPr>
      </w:pPr>
    </w:p>
    <w:p w14:paraId="393A0AB3" w14:textId="6FD6F7D8" w:rsidR="00BD02D0" w:rsidRPr="003541A6" w:rsidRDefault="008143A3" w:rsidP="008436DA">
      <w:pPr>
        <w:pStyle w:val="Table"/>
        <w:rPr>
          <w:rFonts w:ascii="Calibri" w:hAnsi="Calibri" w:cs="Calibri"/>
          <w:sz w:val="26"/>
          <w:szCs w:val="26"/>
        </w:rPr>
      </w:pPr>
      <w:bookmarkStart w:id="45" w:name="RANGE!B222"/>
      <w:bookmarkStart w:id="46" w:name="_Toc391398020"/>
      <w:r w:rsidRPr="003541A6">
        <w:t xml:space="preserve">Table </w:t>
      </w:r>
      <w:r w:rsidR="00544E9C">
        <w:fldChar w:fldCharType="begin"/>
      </w:r>
      <w:r w:rsidR="00544E9C">
        <w:instrText xml:space="preserve"> SEQ Table \* ARABIC </w:instrText>
      </w:r>
      <w:r w:rsidR="00544E9C">
        <w:fldChar w:fldCharType="separate"/>
      </w:r>
      <w:r w:rsidR="00CE5AEA">
        <w:rPr>
          <w:noProof/>
        </w:rPr>
        <w:t>2</w:t>
      </w:r>
      <w:r w:rsidR="00544E9C">
        <w:rPr>
          <w:noProof/>
        </w:rPr>
        <w:fldChar w:fldCharType="end"/>
      </w:r>
      <w:r w:rsidRPr="003541A6">
        <w:rPr>
          <w:rFonts w:ascii="Calibri" w:hAnsi="Calibri" w:cs="Calibri"/>
          <w:sz w:val="26"/>
          <w:szCs w:val="26"/>
        </w:rPr>
        <w:t xml:space="preserve"> </w:t>
      </w:r>
      <w:r w:rsidR="00BD02D0" w:rsidRPr="003541A6">
        <w:rPr>
          <w:rFonts w:ascii="Calibri" w:hAnsi="Calibri" w:cs="Calibri"/>
          <w:sz w:val="26"/>
          <w:szCs w:val="26"/>
        </w:rPr>
        <w:t xml:space="preserve"> </w:t>
      </w:r>
      <w:r w:rsidR="00BD02D0" w:rsidRPr="003541A6">
        <w:t>Measure</w:t>
      </w:r>
      <w:r w:rsidR="003541A6" w:rsidRPr="003541A6">
        <w:t xml:space="preserve"> </w:t>
      </w:r>
      <w:r w:rsidR="00BD02D0" w:rsidRPr="003541A6">
        <w:t>Application</w:t>
      </w:r>
      <w:r w:rsidR="003541A6" w:rsidRPr="003541A6">
        <w:t xml:space="preserve"> </w:t>
      </w:r>
      <w:r w:rsidR="00BD02D0" w:rsidRPr="003541A6">
        <w:t>Type</w:t>
      </w:r>
      <w:bookmarkEnd w:id="45"/>
      <w:r w:rsidR="00C87539">
        <w:rPr>
          <w:rStyle w:val="EndnoteReference"/>
          <w:rFonts w:cs="Arial"/>
        </w:rPr>
        <w:endnoteReference w:id="4"/>
      </w:r>
      <w:bookmarkEnd w:id="46"/>
    </w:p>
    <w:p w14:paraId="393A0AB4" w14:textId="1E8C68FB" w:rsidR="00BD02D0" w:rsidRPr="00BD02D0" w:rsidRDefault="00BD02D0" w:rsidP="00AA075B">
      <w:proofErr w:type="gramStart"/>
      <w:r>
        <w:rPr>
          <w:rFonts w:ascii="Calibri" w:hAnsi="Calibri" w:cs="Calibri"/>
          <w:i/>
          <w:iCs/>
          <w:szCs w:val="22"/>
        </w:rPr>
        <w:t>I</w:t>
      </w:r>
      <w:r w:rsidRPr="00453CE7">
        <w:rPr>
          <w:rFonts w:ascii="Calibri" w:hAnsi="Calibri" w:cs="Calibri"/>
          <w:i/>
          <w:iCs/>
          <w:szCs w:val="22"/>
        </w:rPr>
        <w:t>dentifies the measure application type in the Measure Implemen</w:t>
      </w:r>
      <w:r w:rsidR="00403585">
        <w:rPr>
          <w:rFonts w:ascii="Calibri" w:hAnsi="Calibri" w:cs="Calibri"/>
          <w:i/>
          <w:iCs/>
          <w:szCs w:val="22"/>
        </w:rPr>
        <w:t>t</w:t>
      </w:r>
      <w:r w:rsidRPr="00453CE7">
        <w:rPr>
          <w:rFonts w:ascii="Calibri" w:hAnsi="Calibri" w:cs="Calibri"/>
          <w:i/>
          <w:iCs/>
          <w:szCs w:val="22"/>
        </w:rPr>
        <w:t>ation table</w:t>
      </w:r>
      <w:r w:rsidR="00403585">
        <w:rPr>
          <w:rFonts w:ascii="Calibri" w:hAnsi="Calibri" w:cs="Calibri"/>
          <w:i/>
          <w:iCs/>
          <w:szCs w:val="22"/>
        </w:rPr>
        <w:t xml:space="preserve"> in DEER2014</w:t>
      </w:r>
      <w:r w:rsidR="003541A6">
        <w:rPr>
          <w:rFonts w:ascii="Calibri" w:hAnsi="Calibri" w:cs="Calibri"/>
          <w:i/>
          <w:iCs/>
          <w:szCs w:val="22"/>
        </w:rPr>
        <w:t>.</w:t>
      </w:r>
      <w:proofErr w:type="gramEnd"/>
    </w:p>
    <w:tbl>
      <w:tblPr>
        <w:tblW w:w="9090" w:type="dxa"/>
        <w:tblInd w:w="108" w:type="dxa"/>
        <w:tblLook w:val="04A0" w:firstRow="1" w:lastRow="0" w:firstColumn="1" w:lastColumn="0" w:noHBand="0" w:noVBand="1"/>
      </w:tblPr>
      <w:tblGrid>
        <w:gridCol w:w="900"/>
        <w:gridCol w:w="2610"/>
        <w:gridCol w:w="5580"/>
      </w:tblGrid>
      <w:tr w:rsidR="00DC4019" w:rsidRPr="00BD02D0" w14:paraId="393A0AB8" w14:textId="77777777"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393A0AB5" w14:textId="77777777" w:rsidR="00544873" w:rsidRPr="00453CE7" w:rsidRDefault="00544873" w:rsidP="00AA075B">
            <w:pPr>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93A0AB6" w14:textId="77777777" w:rsidR="00544873" w:rsidRPr="00453CE7" w:rsidRDefault="00544873" w:rsidP="00AA075B">
            <w:pPr>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393A0AB7" w14:textId="77777777" w:rsidR="00544873" w:rsidRPr="00453CE7" w:rsidRDefault="00544873" w:rsidP="00AA075B">
            <w:pPr>
              <w:rPr>
                <w:rFonts w:ascii="Calibri" w:hAnsi="Calibri" w:cs="Calibri"/>
                <w:b/>
                <w:color w:val="000000"/>
                <w:szCs w:val="22"/>
              </w:rPr>
            </w:pPr>
            <w:r w:rsidRPr="00453CE7">
              <w:rPr>
                <w:rFonts w:ascii="Calibri" w:hAnsi="Calibri" w:cs="Calibri"/>
                <w:b/>
                <w:color w:val="000000"/>
                <w:szCs w:val="22"/>
              </w:rPr>
              <w:t>Comment</w:t>
            </w:r>
          </w:p>
        </w:tc>
      </w:tr>
      <w:tr w:rsidR="00BD02D0" w:rsidRPr="00BD02D0" w14:paraId="393A0ABC"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9" w14:textId="77777777" w:rsidR="00544873" w:rsidRPr="00453CE7" w:rsidRDefault="00544873" w:rsidP="00AA075B">
            <w:pPr>
              <w:rPr>
                <w:rFonts w:ascii="Calibri" w:hAnsi="Calibri" w:cs="Calibri"/>
                <w:szCs w:val="22"/>
              </w:rPr>
            </w:pPr>
            <w:r w:rsidRPr="00453CE7">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393A0ABA" w14:textId="77777777" w:rsidR="00544873" w:rsidRPr="00453CE7" w:rsidRDefault="00544873" w:rsidP="00AA075B">
            <w:pPr>
              <w:rPr>
                <w:rFonts w:ascii="Calibri" w:hAnsi="Calibri" w:cs="Calibri"/>
                <w:szCs w:val="22"/>
              </w:rPr>
            </w:pPr>
            <w:r w:rsidRPr="00453CE7">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393A0ABB" w14:textId="77777777" w:rsidR="00544873" w:rsidRPr="00453CE7" w:rsidRDefault="00544873" w:rsidP="00AA075B">
            <w:pPr>
              <w:rPr>
                <w:rFonts w:ascii="Calibri" w:hAnsi="Calibri" w:cs="Calibri"/>
                <w:i/>
                <w:iCs/>
                <w:szCs w:val="22"/>
              </w:rPr>
            </w:pPr>
            <w:r w:rsidRPr="00453CE7">
              <w:rPr>
                <w:rFonts w:ascii="Calibri" w:hAnsi="Calibri" w:cs="Calibri"/>
                <w:i/>
                <w:iCs/>
                <w:szCs w:val="22"/>
              </w:rPr>
              <w:t>measure applied while existing equipment still viable, or retrofit of existing equipment</w:t>
            </w:r>
          </w:p>
        </w:tc>
      </w:tr>
      <w:tr w:rsidR="00BD02D0" w:rsidRPr="00BD02D0" w14:paraId="393A0AC0"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D" w14:textId="77777777" w:rsidR="00544873" w:rsidRPr="00453CE7" w:rsidRDefault="00544873" w:rsidP="00AA075B">
            <w:pPr>
              <w:rPr>
                <w:rFonts w:ascii="Calibri" w:hAnsi="Calibri" w:cs="Calibri"/>
                <w:szCs w:val="22"/>
              </w:rPr>
            </w:pPr>
            <w:r w:rsidRPr="00453CE7">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393A0ABE" w14:textId="77777777" w:rsidR="00544873" w:rsidRPr="00453CE7" w:rsidRDefault="00544873" w:rsidP="00AA075B">
            <w:pPr>
              <w:rPr>
                <w:rFonts w:ascii="Calibri" w:hAnsi="Calibri" w:cs="Calibri"/>
                <w:szCs w:val="22"/>
              </w:rPr>
            </w:pPr>
            <w:r w:rsidRPr="00453CE7">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393A0ABF" w14:textId="77777777" w:rsidR="00544873" w:rsidRPr="00453CE7" w:rsidRDefault="00544873" w:rsidP="00AA075B">
            <w:pPr>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r w:rsidR="00BD02D0" w:rsidRPr="00BD02D0" w14:paraId="393A0AC4" w14:textId="77777777" w:rsidTr="003541A6">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393A0AC1" w14:textId="77777777" w:rsidR="00544873" w:rsidRPr="00453CE7" w:rsidRDefault="00544873" w:rsidP="00AA075B">
            <w:pPr>
              <w:rPr>
                <w:rFonts w:ascii="Calibri" w:hAnsi="Calibri" w:cs="Calibri"/>
                <w:szCs w:val="22"/>
              </w:rPr>
            </w:pPr>
            <w:r w:rsidRPr="00453CE7">
              <w:rPr>
                <w:rFonts w:ascii="Calibri" w:hAnsi="Calibri" w:cs="Calibri"/>
                <w:szCs w:val="22"/>
              </w:rPr>
              <w:t>NC</w:t>
            </w:r>
          </w:p>
        </w:tc>
        <w:tc>
          <w:tcPr>
            <w:tcW w:w="2610" w:type="dxa"/>
            <w:tcBorders>
              <w:top w:val="nil"/>
              <w:left w:val="nil"/>
              <w:bottom w:val="single" w:sz="4" w:space="0" w:color="auto"/>
              <w:right w:val="nil"/>
            </w:tcBorders>
            <w:shd w:val="clear" w:color="auto" w:fill="auto"/>
            <w:noWrap/>
            <w:vAlign w:val="center"/>
            <w:hideMark/>
          </w:tcPr>
          <w:p w14:paraId="393A0AC2" w14:textId="77777777" w:rsidR="00544873" w:rsidRPr="00453CE7" w:rsidRDefault="00544873" w:rsidP="00AA075B">
            <w:pPr>
              <w:rPr>
                <w:rFonts w:ascii="Calibri" w:hAnsi="Calibri" w:cs="Calibri"/>
                <w:szCs w:val="22"/>
              </w:rPr>
            </w:pPr>
            <w:r w:rsidRPr="00453CE7">
              <w:rPr>
                <w:rFonts w:ascii="Calibri" w:hAnsi="Calibri" w:cs="Calibri"/>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393A0AC3" w14:textId="77777777" w:rsidR="00544873" w:rsidRPr="00453CE7" w:rsidRDefault="00544873" w:rsidP="00AA075B">
            <w:pPr>
              <w:rPr>
                <w:rFonts w:ascii="Calibri" w:hAnsi="Calibri" w:cs="Calibri"/>
                <w:i/>
                <w:iCs/>
                <w:szCs w:val="22"/>
              </w:rPr>
            </w:pPr>
            <w:r w:rsidRPr="00453CE7">
              <w:rPr>
                <w:rFonts w:ascii="Calibri" w:hAnsi="Calibri" w:cs="Calibri"/>
                <w:i/>
                <w:iCs/>
                <w:szCs w:val="22"/>
              </w:rPr>
              <w:t>measure applied during construction design phase as an alternative to a code-compliant standard design</w:t>
            </w:r>
          </w:p>
        </w:tc>
      </w:tr>
    </w:tbl>
    <w:p w14:paraId="07DEE764" w14:textId="77777777" w:rsidR="00835FD8" w:rsidRDefault="00835FD8" w:rsidP="00AA075B">
      <w:bookmarkStart w:id="47" w:name="_Toc385935858"/>
    </w:p>
    <w:p w14:paraId="06943C76" w14:textId="77777777" w:rsidR="00442783" w:rsidRDefault="00442783" w:rsidP="00442783">
      <w:r w:rsidRPr="005D55E9">
        <w:t>This measure is focused on ROB and NC applications only.</w:t>
      </w:r>
      <w:r>
        <w:t xml:space="preserve"> </w:t>
      </w:r>
    </w:p>
    <w:p w14:paraId="1C0A8212" w14:textId="77777777" w:rsidR="00B50F3E" w:rsidRDefault="00B50F3E" w:rsidP="00442783"/>
    <w:p w14:paraId="15B65735" w14:textId="0BA434C3" w:rsidR="00E45FCC" w:rsidRDefault="005D55E9" w:rsidP="00AA075B">
      <w:r>
        <w:t xml:space="preserve">Spray valves replaced through this </w:t>
      </w:r>
      <w:r w:rsidR="00403585">
        <w:t xml:space="preserve">Rebate or </w:t>
      </w:r>
      <w:r>
        <w:t xml:space="preserve">Direct Install Program </w:t>
      </w:r>
      <w:proofErr w:type="gramStart"/>
      <w:r>
        <w:t>are</w:t>
      </w:r>
      <w:proofErr w:type="gramEnd"/>
      <w:r>
        <w:t xml:space="preserve"> at the end of their</w:t>
      </w:r>
      <w:r w:rsidR="00442783">
        <w:t xml:space="preserve"> </w:t>
      </w:r>
      <w:r w:rsidR="000E22BC">
        <w:t>effective</w:t>
      </w:r>
      <w:r w:rsidR="00442783">
        <w:t xml:space="preserve"> useful life. As stated in the EM&amp;V studies conducted on PRSVs, </w:t>
      </w:r>
      <w:r w:rsidR="00442783" w:rsidRPr="00A9798F">
        <w:rPr>
          <w:i/>
        </w:rPr>
        <w:t>Pre-Rinse Spray Valve Programs: How Are They Really Doing?</w:t>
      </w:r>
      <w:r w:rsidR="000E22BC">
        <w:rPr>
          <w:rStyle w:val="EndnoteReference"/>
          <w:i/>
        </w:rPr>
        <w:endnoteReference w:id="5"/>
      </w:r>
      <w:r w:rsidR="00442783" w:rsidRPr="00A9798F">
        <w:rPr>
          <w:i/>
        </w:rPr>
        <w:t>,</w:t>
      </w:r>
      <w:r w:rsidR="00442783">
        <w:t xml:space="preserve"> the effective useful life of PRSVs is five years. </w:t>
      </w:r>
      <w:r w:rsidR="00E45FCC">
        <w:t>The</w:t>
      </w:r>
      <w:r w:rsidR="00442783">
        <w:t xml:space="preserve"> last</w:t>
      </w:r>
      <w:r w:rsidR="00E45FCC">
        <w:t xml:space="preserve"> California Urban Water Conservation Council (CUWCC) Pre-Rinse Spray Head Distribution Program</w:t>
      </w:r>
      <w:r w:rsidR="00442783">
        <w:t>s</w:t>
      </w:r>
      <w:r w:rsidR="00E45FCC">
        <w:t xml:space="preserve"> </w:t>
      </w:r>
      <w:r w:rsidR="00442783">
        <w:t>was</w:t>
      </w:r>
      <w:r w:rsidR="00E45FCC">
        <w:t xml:space="preserve"> completed </w:t>
      </w:r>
      <w:r w:rsidR="00442783">
        <w:t xml:space="preserve">2006 with many of those pre-rinse valves still installed </w:t>
      </w:r>
      <w:r w:rsidR="00B50F3E">
        <w:t>in the field</w:t>
      </w:r>
      <w:r w:rsidR="00442783">
        <w:t>.</w:t>
      </w:r>
      <w:r w:rsidR="00E45FCC">
        <w:t xml:space="preserve"> </w:t>
      </w:r>
      <w:r w:rsidR="006D083C">
        <w:t xml:space="preserve">The </w:t>
      </w:r>
      <w:r>
        <w:t xml:space="preserve">Food Service Technology </w:t>
      </w:r>
      <w:r w:rsidR="006D083C">
        <w:t xml:space="preserve">field team </w:t>
      </w:r>
      <w:r w:rsidR="00B50F3E">
        <w:t>frequently find</w:t>
      </w:r>
      <w:r w:rsidR="00D40B23">
        <w:t>s</w:t>
      </w:r>
      <w:r w:rsidR="00B50F3E">
        <w:t xml:space="preserve"> malfunctioning</w:t>
      </w:r>
      <w:r>
        <w:t xml:space="preserve"> nozzles </w:t>
      </w:r>
      <w:r w:rsidR="00D40B23">
        <w:t xml:space="preserve">installed </w:t>
      </w:r>
      <w:r>
        <w:t>past their EUL</w:t>
      </w:r>
      <w:r w:rsidR="00B50F3E">
        <w:t xml:space="preserve"> that have </w:t>
      </w:r>
      <w:r>
        <w:t xml:space="preserve">flow rates </w:t>
      </w:r>
      <w:r w:rsidR="00B50F3E">
        <w:t>exceed</w:t>
      </w:r>
      <w:r>
        <w:t>ing 3</w:t>
      </w:r>
      <w:r w:rsidR="00B50F3E">
        <w:t xml:space="preserve"> </w:t>
      </w:r>
      <w:proofErr w:type="spellStart"/>
      <w:r w:rsidR="00B50F3E">
        <w:t>gpm</w:t>
      </w:r>
      <w:proofErr w:type="spellEnd"/>
      <w:r w:rsidR="006D083C">
        <w:t xml:space="preserve">. </w:t>
      </w:r>
    </w:p>
    <w:p w14:paraId="5A2C9C31" w14:textId="77777777" w:rsidR="00B50F3E" w:rsidRDefault="00B50F3E" w:rsidP="00AA075B"/>
    <w:bookmarkEnd w:id="47"/>
    <w:p w14:paraId="70F6FF20" w14:textId="77777777" w:rsidR="009C137D" w:rsidRDefault="009C137D" w:rsidP="00AA075B"/>
    <w:p w14:paraId="393A0AC7" w14:textId="77777777" w:rsidR="00806070" w:rsidRDefault="00806070" w:rsidP="001248A3">
      <w:pPr>
        <w:pStyle w:val="Heading2"/>
      </w:pPr>
      <w:bookmarkStart w:id="48" w:name="_Toc304800204"/>
      <w:bookmarkStart w:id="49" w:name="_Toc324318340"/>
      <w:bookmarkStart w:id="50" w:name="_Toc324340484"/>
      <w:bookmarkStart w:id="51" w:name="_Toc391397007"/>
      <w:r>
        <w:t>1.4 Product Base Case and Measure Case Data</w:t>
      </w:r>
      <w:bookmarkEnd w:id="48"/>
      <w:bookmarkEnd w:id="49"/>
      <w:bookmarkEnd w:id="50"/>
      <w:bookmarkEnd w:id="51"/>
    </w:p>
    <w:p w14:paraId="393A0AC9" w14:textId="77777777" w:rsidR="00E71EF1" w:rsidRDefault="001248A3" w:rsidP="001248A3">
      <w:pPr>
        <w:pStyle w:val="Heading2"/>
      </w:pPr>
      <w:bookmarkStart w:id="52" w:name="_Toc304800205"/>
      <w:bookmarkStart w:id="53" w:name="_Toc324318341"/>
      <w:bookmarkStart w:id="54" w:name="_Toc324340485"/>
      <w:bookmarkStart w:id="55" w:name="_Toc391397008"/>
      <w:r>
        <w:t>1.</w:t>
      </w:r>
      <w:r w:rsidR="00806070">
        <w:t>4.1</w:t>
      </w:r>
      <w:r w:rsidR="00FA595F">
        <w:t xml:space="preserve"> </w:t>
      </w:r>
      <w:r w:rsidR="00C069A2" w:rsidRPr="001248A3">
        <w:t xml:space="preserve">DEER </w:t>
      </w:r>
      <w:r w:rsidR="008C6AD1">
        <w:t>Base Case and Measure Case Information</w:t>
      </w:r>
      <w:bookmarkEnd w:id="52"/>
      <w:bookmarkEnd w:id="53"/>
      <w:bookmarkEnd w:id="54"/>
      <w:bookmarkEnd w:id="55"/>
      <w:r w:rsidR="008C6AD1">
        <w:t xml:space="preserve"> </w:t>
      </w:r>
    </w:p>
    <w:p w14:paraId="393A0BA9" w14:textId="289E948D" w:rsidR="00765936" w:rsidRPr="006A66DA" w:rsidRDefault="00FF31AC" w:rsidP="00765936">
      <w:pPr>
        <w:rPr>
          <w:rFonts w:cs="Arial"/>
        </w:rPr>
      </w:pPr>
      <w:r w:rsidRPr="006A66DA">
        <w:rPr>
          <w:rFonts w:cs="Arial"/>
        </w:rPr>
        <w:t>The 2014 DEER database does not co</w:t>
      </w:r>
      <w:r w:rsidR="005A6BF2" w:rsidRPr="006A66DA">
        <w:rPr>
          <w:rFonts w:cs="Arial"/>
        </w:rPr>
        <w:t xml:space="preserve">ntain information on energy use, </w:t>
      </w:r>
      <w:r w:rsidRPr="006A66DA">
        <w:rPr>
          <w:rFonts w:cs="Arial"/>
        </w:rPr>
        <w:t>savings</w:t>
      </w:r>
      <w:r w:rsidR="005A6BF2" w:rsidRPr="006A66DA">
        <w:rPr>
          <w:rFonts w:cs="Arial"/>
        </w:rPr>
        <w:t>,</w:t>
      </w:r>
      <w:r w:rsidRPr="006A66DA">
        <w:rPr>
          <w:rFonts w:cs="Arial"/>
        </w:rPr>
        <w:t xml:space="preserve"> </w:t>
      </w:r>
      <w:proofErr w:type="gramStart"/>
      <w:r w:rsidRPr="006A66DA">
        <w:rPr>
          <w:rFonts w:cs="Arial"/>
        </w:rPr>
        <w:t>equipment</w:t>
      </w:r>
      <w:proofErr w:type="gramEnd"/>
      <w:r w:rsidRPr="006A66DA">
        <w:rPr>
          <w:rFonts w:cs="Arial"/>
        </w:rPr>
        <w:t xml:space="preserve"> costs</w:t>
      </w:r>
      <w:r w:rsidR="005A6BF2" w:rsidRPr="006A66DA">
        <w:rPr>
          <w:rFonts w:cs="Arial"/>
        </w:rPr>
        <w:t xml:space="preserve">, hour of operation, or effective useful life </w:t>
      </w:r>
      <w:r w:rsidRPr="006A66DA">
        <w:rPr>
          <w:rFonts w:cs="Arial"/>
        </w:rPr>
        <w:t xml:space="preserve">for a PRSV measure. </w:t>
      </w:r>
    </w:p>
    <w:p w14:paraId="393A0BD4" w14:textId="77777777" w:rsidR="007931BC" w:rsidRPr="008F48E1" w:rsidRDefault="007931BC" w:rsidP="009C5CA7">
      <w:pPr>
        <w:rPr>
          <w:rFonts w:cs="Arial"/>
          <w:b/>
          <w:sz w:val="20"/>
          <w:szCs w:val="20"/>
        </w:rPr>
      </w:pPr>
    </w:p>
    <w:p w14:paraId="393A0BD5" w14:textId="776BFA75" w:rsidR="007931BC" w:rsidRPr="006A66DA" w:rsidRDefault="000E132D" w:rsidP="009C5CA7">
      <w:pPr>
        <w:rPr>
          <w:rFonts w:cs="Arial"/>
          <w:b/>
          <w:i/>
          <w:sz w:val="24"/>
          <w:szCs w:val="20"/>
        </w:rPr>
      </w:pPr>
      <w:r w:rsidRPr="006A66DA">
        <w:rPr>
          <w:rFonts w:cs="Arial"/>
          <w:b/>
          <w:i/>
          <w:sz w:val="24"/>
          <w:szCs w:val="20"/>
        </w:rPr>
        <w:t>Base Case Costs and Measure Case Costs</w:t>
      </w:r>
      <w:r w:rsidR="005A6BF2" w:rsidRPr="006A66DA">
        <w:rPr>
          <w:rFonts w:cs="Arial"/>
          <w:b/>
          <w:i/>
          <w:sz w:val="24"/>
          <w:szCs w:val="20"/>
        </w:rPr>
        <w:t>:</w:t>
      </w:r>
    </w:p>
    <w:p w14:paraId="1CFEB092" w14:textId="77777777" w:rsidR="005A6BF2" w:rsidRPr="005A6BF2" w:rsidRDefault="005A6BF2" w:rsidP="005A6BF2">
      <w:pPr>
        <w:rPr>
          <w:rFonts w:cs="Arial"/>
          <w:b/>
          <w:sz w:val="20"/>
          <w:szCs w:val="20"/>
        </w:rPr>
      </w:pPr>
    </w:p>
    <w:p w14:paraId="393A0C11" w14:textId="71C88AE2" w:rsidR="000E132D" w:rsidRPr="005A6BF2" w:rsidRDefault="005A6BF2" w:rsidP="005A6BF2">
      <w:pPr>
        <w:rPr>
          <w:rFonts w:cs="Arial"/>
          <w:szCs w:val="20"/>
        </w:rPr>
      </w:pPr>
      <w:r w:rsidRPr="005A6BF2">
        <w:rPr>
          <w:rFonts w:cs="Arial"/>
          <w:szCs w:val="20"/>
        </w:rPr>
        <w:t>The base case and measure case costs are calculated and found in section 1.4.4.</w:t>
      </w:r>
    </w:p>
    <w:p w14:paraId="45F7354C" w14:textId="77777777" w:rsidR="005A6BF2" w:rsidRPr="008F48E1" w:rsidRDefault="005A6BF2" w:rsidP="005A6BF2">
      <w:pPr>
        <w:rPr>
          <w:rFonts w:cs="Arial"/>
          <w:b/>
          <w:sz w:val="20"/>
          <w:szCs w:val="20"/>
        </w:rPr>
      </w:pPr>
    </w:p>
    <w:p w14:paraId="393A0C89" w14:textId="5A850E78" w:rsidR="008F48E1" w:rsidRPr="006A66DA" w:rsidRDefault="009C5CA7" w:rsidP="005A6BF2">
      <w:pPr>
        <w:rPr>
          <w:rFonts w:cs="Arial"/>
          <w:i/>
          <w:szCs w:val="20"/>
        </w:rPr>
      </w:pPr>
      <w:bookmarkStart w:id="56" w:name="Net_to_Gross"/>
      <w:r w:rsidRPr="006A66DA">
        <w:rPr>
          <w:rFonts w:cs="Arial"/>
          <w:b/>
          <w:i/>
          <w:szCs w:val="20"/>
        </w:rPr>
        <w:t>Net-to-Gross</w:t>
      </w:r>
      <w:bookmarkEnd w:id="56"/>
      <w:r w:rsidRPr="006A66DA">
        <w:rPr>
          <w:rFonts w:cs="Arial"/>
          <w:b/>
          <w:i/>
          <w:szCs w:val="20"/>
        </w:rPr>
        <w:t xml:space="preserve"> Assumption:</w:t>
      </w:r>
      <w:r w:rsidR="00437BE1" w:rsidRPr="006A66DA">
        <w:rPr>
          <w:rFonts w:cs="Arial"/>
          <w:i/>
          <w:szCs w:val="20"/>
        </w:rPr>
        <w:t xml:space="preserve"> </w:t>
      </w:r>
    </w:p>
    <w:p w14:paraId="4CC4C491" w14:textId="0C9373BC" w:rsidR="005A6BF2" w:rsidRPr="006A66DA" w:rsidRDefault="005A6BF2" w:rsidP="005A6BF2">
      <w:pPr>
        <w:rPr>
          <w:rFonts w:cs="Arial"/>
        </w:rPr>
      </w:pPr>
      <w:r w:rsidRPr="006A66DA">
        <w:rPr>
          <w:rFonts w:cs="Arial"/>
        </w:rPr>
        <w:t>DEER 2014</w:t>
      </w:r>
      <w:r w:rsidR="00ED3DA7">
        <w:rPr>
          <w:rStyle w:val="EndnoteReference"/>
          <w:rFonts w:cs="Arial"/>
        </w:rPr>
        <w:endnoteReference w:id="6"/>
      </w:r>
      <w:r w:rsidRPr="006A66DA">
        <w:rPr>
          <w:rFonts w:cs="Arial"/>
        </w:rPr>
        <w:t xml:space="preserve"> does not specifically list commercial food service </w:t>
      </w:r>
      <w:proofErr w:type="gramStart"/>
      <w:r w:rsidRPr="006A66DA">
        <w:rPr>
          <w:rFonts w:cs="Arial"/>
        </w:rPr>
        <w:t>appliances,</w:t>
      </w:r>
      <w:proofErr w:type="gramEnd"/>
      <w:r w:rsidRPr="006A66DA">
        <w:rPr>
          <w:rFonts w:cs="Arial"/>
        </w:rPr>
        <w:t xml:space="preserve"> the defa</w:t>
      </w:r>
      <w:r w:rsidR="00403585">
        <w:rPr>
          <w:rFonts w:cs="Arial"/>
        </w:rPr>
        <w:t>ult used for new commercial</w:t>
      </w:r>
      <w:r w:rsidRPr="006A66DA">
        <w:rPr>
          <w:rFonts w:cs="Arial"/>
        </w:rPr>
        <w:t xml:space="preserve"> measures is 0.7. Table </w:t>
      </w:r>
      <w:r w:rsidR="00403585">
        <w:rPr>
          <w:rFonts w:cs="Arial"/>
        </w:rPr>
        <w:t>3</w:t>
      </w:r>
      <w:r w:rsidRPr="006A66DA">
        <w:rPr>
          <w:rFonts w:cs="Arial"/>
        </w:rPr>
        <w:t xml:space="preserve"> below summarizes all applicable DEER based Net-to-Gross ratios for programs that may be used by this measure.</w:t>
      </w:r>
    </w:p>
    <w:p w14:paraId="33B5D8C6" w14:textId="77777777" w:rsidR="005A6BF2" w:rsidRDefault="005A6BF2" w:rsidP="005A6BF2">
      <w:pPr>
        <w:pStyle w:val="Caption"/>
        <w:keepNext/>
        <w:jc w:val="center"/>
        <w:rPr>
          <w:rFonts w:cs="Arial"/>
        </w:rPr>
      </w:pPr>
    </w:p>
    <w:p w14:paraId="2066775E" w14:textId="44CE339B" w:rsidR="008436DA" w:rsidRPr="003541A6" w:rsidRDefault="00C104E1" w:rsidP="008436DA">
      <w:pPr>
        <w:pStyle w:val="Table"/>
        <w:rPr>
          <w:rFonts w:ascii="Calibri" w:hAnsi="Calibri" w:cs="Calibri"/>
          <w:sz w:val="26"/>
          <w:szCs w:val="26"/>
        </w:rPr>
      </w:pPr>
      <w:bookmarkStart w:id="57" w:name="_Toc391398021"/>
      <w:r w:rsidRPr="003541A6">
        <w:t xml:space="preserve">Table </w:t>
      </w:r>
      <w:r w:rsidR="00544E9C">
        <w:fldChar w:fldCharType="begin"/>
      </w:r>
      <w:r w:rsidR="00544E9C">
        <w:instrText xml:space="preserve"> SEQ Table \* ARABIC </w:instrText>
      </w:r>
      <w:r w:rsidR="00544E9C">
        <w:fldChar w:fldCharType="separate"/>
      </w:r>
      <w:r w:rsidR="00CE5AEA">
        <w:rPr>
          <w:noProof/>
        </w:rPr>
        <w:t>3</w:t>
      </w:r>
      <w:r w:rsidR="00544E9C">
        <w:rPr>
          <w:noProof/>
        </w:rPr>
        <w:fldChar w:fldCharType="end"/>
      </w:r>
      <w:r>
        <w:rPr>
          <w:noProof/>
        </w:rPr>
        <w:t xml:space="preserve"> </w:t>
      </w:r>
      <w:r w:rsidR="008436DA" w:rsidRPr="003541A6">
        <w:t>Measure Application Type</w:t>
      </w:r>
      <w:bookmarkEnd w:id="57"/>
    </w:p>
    <w:tbl>
      <w:tblPr>
        <w:tblW w:w="245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tblGrid>
      <w:tr w:rsidR="005A6BF2" w14:paraId="4C40AD89" w14:textId="77777777" w:rsidTr="00FA2C9A">
        <w:tc>
          <w:tcPr>
            <w:tcW w:w="3372" w:type="pct"/>
            <w:tcBorders>
              <w:top w:val="single" w:sz="18" w:space="0" w:color="FFFFFF"/>
              <w:left w:val="single" w:sz="18" w:space="0" w:color="FFFFFF"/>
              <w:bottom w:val="single" w:sz="18" w:space="0" w:color="FFFFFF"/>
              <w:right w:val="single" w:sz="18" w:space="0" w:color="FFFFFF"/>
            </w:tcBorders>
            <w:shd w:val="clear" w:color="auto" w:fill="262626"/>
            <w:vAlign w:val="bottom"/>
          </w:tcPr>
          <w:p w14:paraId="4CC432CA" w14:textId="77777777" w:rsidR="005A6BF2" w:rsidRDefault="005A6BF2" w:rsidP="00FA2C9A">
            <w:pPr>
              <w:keepNext/>
              <w:keepLines/>
              <w:jc w:val="center"/>
              <w:rPr>
                <w:rFonts w:cs="Arial"/>
                <w:b/>
                <w:bCs/>
                <w:color w:val="F2F2F2"/>
                <w:sz w:val="20"/>
                <w:szCs w:val="20"/>
              </w:rPr>
            </w:pPr>
          </w:p>
        </w:tc>
        <w:tc>
          <w:tcPr>
            <w:tcW w:w="1628" w:type="pct"/>
            <w:tcBorders>
              <w:top w:val="single" w:sz="18" w:space="0" w:color="FFFFFF"/>
              <w:left w:val="single" w:sz="18" w:space="0" w:color="FFFFFF"/>
              <w:bottom w:val="single" w:sz="18" w:space="0" w:color="FFFFFF"/>
              <w:right w:val="single" w:sz="18" w:space="0" w:color="FFFFFF"/>
            </w:tcBorders>
            <w:shd w:val="clear" w:color="auto" w:fill="262626"/>
            <w:vAlign w:val="bottom"/>
          </w:tcPr>
          <w:p w14:paraId="1DDD422E" w14:textId="77777777" w:rsidR="005A6BF2" w:rsidRDefault="005A6BF2" w:rsidP="00FA2C9A">
            <w:pPr>
              <w:keepNext/>
              <w:keepLines/>
              <w:jc w:val="center"/>
              <w:rPr>
                <w:rFonts w:cs="Arial"/>
                <w:b/>
                <w:bCs/>
                <w:color w:val="F2F2F2"/>
                <w:sz w:val="20"/>
                <w:szCs w:val="20"/>
              </w:rPr>
            </w:pPr>
          </w:p>
        </w:tc>
      </w:tr>
      <w:tr w:rsidR="005A6BF2" w14:paraId="3703F08C" w14:textId="77777777" w:rsidTr="00FA2C9A">
        <w:tc>
          <w:tcPr>
            <w:tcW w:w="3372" w:type="pct"/>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684E3DE7" w14:textId="77777777" w:rsidR="005A6BF2" w:rsidRDefault="005A6BF2" w:rsidP="00FA2C9A">
            <w:pPr>
              <w:keepNext/>
              <w:jc w:val="center"/>
              <w:rPr>
                <w:rFonts w:cs="Arial"/>
                <w:sz w:val="20"/>
                <w:szCs w:val="20"/>
              </w:rPr>
            </w:pPr>
            <w:r>
              <w:rPr>
                <w:rFonts w:cs="Arial"/>
                <w:sz w:val="20"/>
                <w:szCs w:val="20"/>
              </w:rPr>
              <w:t>Program Approach</w:t>
            </w:r>
          </w:p>
        </w:tc>
        <w:tc>
          <w:tcPr>
            <w:tcW w:w="1628" w:type="pct"/>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1CA9BEA8" w14:textId="77777777" w:rsidR="005A6BF2" w:rsidRDefault="005A6BF2" w:rsidP="00FA2C9A">
            <w:pPr>
              <w:keepNext/>
              <w:jc w:val="center"/>
              <w:rPr>
                <w:rFonts w:cs="Arial"/>
                <w:sz w:val="20"/>
                <w:szCs w:val="20"/>
              </w:rPr>
            </w:pPr>
            <w:r>
              <w:rPr>
                <w:rFonts w:cs="Arial"/>
                <w:sz w:val="20"/>
                <w:szCs w:val="20"/>
              </w:rPr>
              <w:t>NTG</w:t>
            </w:r>
          </w:p>
        </w:tc>
      </w:tr>
      <w:tr w:rsidR="005A6BF2" w14:paraId="446E474F" w14:textId="77777777" w:rsidTr="00FA2C9A">
        <w:tc>
          <w:tcPr>
            <w:tcW w:w="3372" w:type="pct"/>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2D300992" w14:textId="77777777" w:rsidR="005A6BF2" w:rsidRDefault="005A6BF2" w:rsidP="00FA2C9A">
            <w:pPr>
              <w:jc w:val="center"/>
              <w:rPr>
                <w:rFonts w:cs="Arial"/>
                <w:sz w:val="20"/>
                <w:szCs w:val="20"/>
              </w:rPr>
            </w:pPr>
            <w:r>
              <w:rPr>
                <w:rFonts w:cs="Arial"/>
                <w:sz w:val="20"/>
                <w:szCs w:val="20"/>
              </w:rPr>
              <w:t>All Com-Default&lt;2yrs</w:t>
            </w:r>
          </w:p>
        </w:tc>
        <w:tc>
          <w:tcPr>
            <w:tcW w:w="1628" w:type="pct"/>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26EBF04B" w14:textId="77777777" w:rsidR="005A6BF2" w:rsidRDefault="005A6BF2" w:rsidP="00FA2C9A">
            <w:pPr>
              <w:jc w:val="center"/>
              <w:rPr>
                <w:rFonts w:cs="Arial"/>
                <w:sz w:val="20"/>
                <w:szCs w:val="20"/>
              </w:rPr>
            </w:pPr>
            <w:r>
              <w:rPr>
                <w:rFonts w:cs="Arial"/>
                <w:sz w:val="20"/>
                <w:szCs w:val="20"/>
              </w:rPr>
              <w:t>0.7</w:t>
            </w:r>
          </w:p>
        </w:tc>
      </w:tr>
    </w:tbl>
    <w:p w14:paraId="55B28846" w14:textId="77777777" w:rsidR="005A6BF2" w:rsidRDefault="005A6BF2" w:rsidP="005A6BF2">
      <w:pPr>
        <w:rPr>
          <w:rFonts w:cs="Arial"/>
          <w:b/>
          <w:sz w:val="20"/>
          <w:szCs w:val="20"/>
        </w:rPr>
      </w:pPr>
    </w:p>
    <w:p w14:paraId="3D22D8D2" w14:textId="77777777" w:rsidR="005A6BF2" w:rsidRDefault="005A6BF2" w:rsidP="005A6BF2">
      <w:pPr>
        <w:rPr>
          <w:rFonts w:cs="Arial"/>
          <w:b/>
          <w:i/>
          <w:color w:val="FF0000"/>
        </w:rPr>
      </w:pPr>
    </w:p>
    <w:p w14:paraId="7CE4BFA2" w14:textId="77777777" w:rsidR="005A6BF2" w:rsidRPr="006A66DA" w:rsidRDefault="005A6BF2" w:rsidP="005A6BF2">
      <w:pPr>
        <w:rPr>
          <w:rFonts w:cs="Arial"/>
          <w:i/>
          <w:sz w:val="24"/>
        </w:rPr>
      </w:pPr>
      <w:r w:rsidRPr="006A66DA">
        <w:rPr>
          <w:rFonts w:cs="Arial"/>
          <w:b/>
          <w:i/>
          <w:sz w:val="24"/>
        </w:rPr>
        <w:t>In-service rate/first year installation rate</w:t>
      </w:r>
      <w:r w:rsidRPr="006A66DA">
        <w:rPr>
          <w:rFonts w:cs="Arial"/>
          <w:i/>
          <w:sz w:val="24"/>
        </w:rPr>
        <w:t xml:space="preserve">: </w:t>
      </w:r>
    </w:p>
    <w:p w14:paraId="6E98B7C3" w14:textId="77777777" w:rsidR="005A6BF2" w:rsidRDefault="005A6BF2" w:rsidP="005A6BF2">
      <w:pPr>
        <w:rPr>
          <w:rFonts w:cs="Arial"/>
          <w:i/>
          <w:sz w:val="24"/>
        </w:rPr>
      </w:pPr>
    </w:p>
    <w:p w14:paraId="73CEB53D" w14:textId="77777777" w:rsidR="005A6BF2" w:rsidRPr="006A66DA" w:rsidRDefault="005A6BF2" w:rsidP="005A6BF2">
      <w:pPr>
        <w:rPr>
          <w:rFonts w:cs="Arial"/>
        </w:rPr>
      </w:pPr>
      <w:r w:rsidRPr="006A66DA">
        <w:rPr>
          <w:rFonts w:cs="Arial"/>
        </w:rPr>
        <w:t>The in–service rate was not found in DEER or any supporting documentation.  We have therefore assumed the ISR is 1.0 for all measures based on engineering judgment.</w:t>
      </w:r>
    </w:p>
    <w:p w14:paraId="5C0BD9AC" w14:textId="77777777" w:rsidR="005A6BF2" w:rsidRPr="006A66DA" w:rsidRDefault="005A6BF2" w:rsidP="005A6BF2">
      <w:pPr>
        <w:rPr>
          <w:rFonts w:eastAsiaTheme="minorHAnsi" w:cs="Arial"/>
        </w:rPr>
      </w:pPr>
    </w:p>
    <w:p w14:paraId="4DAA86B5" w14:textId="77777777" w:rsidR="005A6BF2" w:rsidRPr="006A66DA" w:rsidRDefault="005A6BF2" w:rsidP="005A6BF2">
      <w:pPr>
        <w:rPr>
          <w:rFonts w:cs="Arial"/>
          <w:sz w:val="18"/>
          <w:szCs w:val="20"/>
          <w:highlight w:val="cyan"/>
        </w:rPr>
      </w:pPr>
      <w:r w:rsidRPr="006A66DA">
        <w:rPr>
          <w:rFonts w:cs="Arial"/>
        </w:rPr>
        <w:t>See Section 1.1 Terms and Conditions and Market Applicability to reference the type of program delivery mechanism and customer status used to determine this entry.</w:t>
      </w:r>
    </w:p>
    <w:p w14:paraId="3D890655" w14:textId="77777777" w:rsidR="005A6BF2" w:rsidRPr="000F11DD" w:rsidRDefault="005A6BF2" w:rsidP="005A6BF2">
      <w:pPr>
        <w:rPr>
          <w:b/>
          <w:color w:val="0000FF"/>
        </w:rPr>
      </w:pPr>
    </w:p>
    <w:p w14:paraId="393A0C8A" w14:textId="77777777" w:rsidR="002E0043" w:rsidRPr="002E0043" w:rsidRDefault="001248A3" w:rsidP="002E0043">
      <w:pPr>
        <w:pStyle w:val="Heading2"/>
      </w:pPr>
      <w:bookmarkStart w:id="58" w:name="_Toc304800206"/>
      <w:bookmarkStart w:id="59" w:name="_Toc324318342"/>
      <w:bookmarkStart w:id="60" w:name="_Toc324340486"/>
      <w:bookmarkStart w:id="61" w:name="_Toc391397009"/>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8"/>
      <w:bookmarkEnd w:id="59"/>
      <w:bookmarkEnd w:id="60"/>
      <w:bookmarkEnd w:id="61"/>
    </w:p>
    <w:p w14:paraId="17673C09" w14:textId="77777777" w:rsidR="006A66DA" w:rsidRPr="006A66DA" w:rsidRDefault="0033144B" w:rsidP="0033144B">
      <w:pPr>
        <w:rPr>
          <w:sz w:val="24"/>
        </w:rPr>
      </w:pPr>
      <w:r w:rsidRPr="006A66DA">
        <w:rPr>
          <w:rFonts w:cs="Arial"/>
          <w:b/>
          <w:i/>
          <w:sz w:val="24"/>
        </w:rPr>
        <w:t>Federal Standards:</w:t>
      </w:r>
      <w:r w:rsidRPr="006A66DA">
        <w:rPr>
          <w:sz w:val="24"/>
        </w:rPr>
        <w:t xml:space="preserve"> </w:t>
      </w:r>
    </w:p>
    <w:p w14:paraId="25F784E3" w14:textId="52402187" w:rsidR="0033144B" w:rsidRDefault="00107FDD" w:rsidP="0033144B">
      <w:pPr>
        <w:rPr>
          <w:rFonts w:cs="Arial"/>
          <w:szCs w:val="20"/>
        </w:rPr>
      </w:pPr>
      <w:r w:rsidRPr="008436DA">
        <w:rPr>
          <w:rFonts w:cs="Arial"/>
          <w:szCs w:val="20"/>
        </w:rPr>
        <w:t>This equipment base case falls under the Energy Policy Act of 2005</w:t>
      </w:r>
      <w:r w:rsidR="00ED3DA7">
        <w:rPr>
          <w:rStyle w:val="EndnoteReference"/>
          <w:rFonts w:cs="Arial"/>
          <w:szCs w:val="20"/>
        </w:rPr>
        <w:endnoteReference w:id="7"/>
      </w:r>
      <w:r w:rsidRPr="008436DA">
        <w:rPr>
          <w:rFonts w:cs="Arial"/>
          <w:szCs w:val="20"/>
        </w:rPr>
        <w:t>. Under this regulation, the following is required:</w:t>
      </w:r>
      <w:r w:rsidRPr="008436DA">
        <w:rPr>
          <w:rFonts w:cs="Arial"/>
          <w:sz w:val="24"/>
        </w:rPr>
        <w:t xml:space="preserve"> </w:t>
      </w:r>
      <w:r w:rsidRPr="008436DA">
        <w:rPr>
          <w:rFonts w:cs="Arial"/>
          <w:szCs w:val="20"/>
        </w:rPr>
        <w:t xml:space="preserve">ASTM Standard Test Method for the Performance of Pre-Rinse Spray Valves (F2324-03) for estimating the energy and water consumption and cleaning performance of the spray valve. Under the regulations, water consumption must be less than 1.6 </w:t>
      </w:r>
      <w:proofErr w:type="spellStart"/>
      <w:r w:rsidRPr="008436DA">
        <w:rPr>
          <w:rFonts w:cs="Arial"/>
          <w:szCs w:val="20"/>
        </w:rPr>
        <w:t>gpm</w:t>
      </w:r>
      <w:proofErr w:type="spellEnd"/>
      <w:r w:rsidRPr="008436DA">
        <w:rPr>
          <w:rFonts w:cs="Arial"/>
          <w:szCs w:val="20"/>
        </w:rPr>
        <w:t xml:space="preserve"> and have a </w:t>
      </w:r>
      <w:proofErr w:type="spellStart"/>
      <w:r w:rsidRPr="008436DA">
        <w:rPr>
          <w:rFonts w:cs="Arial"/>
          <w:szCs w:val="20"/>
        </w:rPr>
        <w:t>cleanability</w:t>
      </w:r>
      <w:proofErr w:type="spellEnd"/>
      <w:r w:rsidRPr="008436DA">
        <w:rPr>
          <w:rFonts w:cs="Arial"/>
          <w:szCs w:val="20"/>
        </w:rPr>
        <w:t xml:space="preserve"> time of less than 26 seconds. </w:t>
      </w:r>
      <w:r w:rsidR="00D40B23">
        <w:rPr>
          <w:rFonts w:cs="Arial"/>
          <w:szCs w:val="20"/>
        </w:rPr>
        <w:t>However,</w:t>
      </w:r>
      <w:r w:rsidR="00D51DF0">
        <w:rPr>
          <w:rFonts w:cs="Arial"/>
          <w:szCs w:val="20"/>
        </w:rPr>
        <w:t xml:space="preserve"> t</w:t>
      </w:r>
      <w:r w:rsidR="00600E7D">
        <w:rPr>
          <w:rFonts w:cs="Arial"/>
          <w:szCs w:val="20"/>
        </w:rPr>
        <w:t>he base case for this work paper is established to be 1.40</w:t>
      </w:r>
      <w:r w:rsidR="00D51DF0">
        <w:rPr>
          <w:rFonts w:cs="Arial"/>
          <w:szCs w:val="20"/>
        </w:rPr>
        <w:t xml:space="preserve"> </w:t>
      </w:r>
      <w:proofErr w:type="spellStart"/>
      <w:r w:rsidR="00D51DF0">
        <w:rPr>
          <w:rFonts w:cs="Arial"/>
          <w:szCs w:val="20"/>
        </w:rPr>
        <w:t>gpm</w:t>
      </w:r>
      <w:proofErr w:type="spellEnd"/>
      <w:r w:rsidR="00D51DF0">
        <w:rPr>
          <w:rFonts w:cs="Arial"/>
          <w:szCs w:val="20"/>
        </w:rPr>
        <w:t xml:space="preserve"> reflecting the programs</w:t>
      </w:r>
      <w:r w:rsidR="00600E7D">
        <w:rPr>
          <w:rFonts w:cs="Arial"/>
          <w:szCs w:val="20"/>
        </w:rPr>
        <w:t xml:space="preserve"> conducted </w:t>
      </w:r>
      <w:r w:rsidR="00D51DF0">
        <w:rPr>
          <w:rFonts w:cs="Arial"/>
          <w:szCs w:val="20"/>
        </w:rPr>
        <w:t>by the CUWCC in California</w:t>
      </w:r>
      <w:r w:rsidR="00D40B23">
        <w:rPr>
          <w:rFonts w:cs="Arial"/>
          <w:szCs w:val="20"/>
        </w:rPr>
        <w:t xml:space="preserve"> from 2002-2006</w:t>
      </w:r>
      <w:r w:rsidR="00600E7D">
        <w:rPr>
          <w:rFonts w:cs="Arial"/>
          <w:szCs w:val="20"/>
        </w:rPr>
        <w:t>.</w:t>
      </w:r>
      <w:r w:rsidR="00D51DF0">
        <w:rPr>
          <w:rFonts w:cs="Arial"/>
          <w:szCs w:val="20"/>
        </w:rPr>
        <w:t xml:space="preserve"> A majority of the spray valves installed </w:t>
      </w:r>
      <w:r w:rsidR="00D40B23">
        <w:rPr>
          <w:rFonts w:cs="Arial"/>
          <w:szCs w:val="20"/>
        </w:rPr>
        <w:t>through these programs were</w:t>
      </w:r>
      <w:r w:rsidR="00D51DF0">
        <w:rPr>
          <w:rFonts w:cs="Arial"/>
          <w:szCs w:val="20"/>
        </w:rPr>
        <w:t xml:space="preserve"> a mixture o</w:t>
      </w:r>
      <w:r w:rsidR="00D40B23">
        <w:rPr>
          <w:rFonts w:cs="Arial"/>
          <w:szCs w:val="20"/>
        </w:rPr>
        <w:t xml:space="preserve">f 1.15 </w:t>
      </w:r>
      <w:proofErr w:type="spellStart"/>
      <w:r w:rsidR="00D40B23">
        <w:rPr>
          <w:rFonts w:cs="Arial"/>
          <w:szCs w:val="20"/>
        </w:rPr>
        <w:t>gpm</w:t>
      </w:r>
      <w:proofErr w:type="spellEnd"/>
      <w:r w:rsidR="00D40B23">
        <w:rPr>
          <w:rFonts w:cs="Arial"/>
          <w:szCs w:val="20"/>
        </w:rPr>
        <w:t xml:space="preserve"> and 1.42 </w:t>
      </w:r>
      <w:proofErr w:type="spellStart"/>
      <w:r w:rsidR="00D40B23">
        <w:rPr>
          <w:rFonts w:cs="Arial"/>
          <w:szCs w:val="20"/>
        </w:rPr>
        <w:t>gpm</w:t>
      </w:r>
      <w:proofErr w:type="spellEnd"/>
      <w:r w:rsidR="00D40B23">
        <w:rPr>
          <w:rFonts w:cs="Arial"/>
          <w:szCs w:val="20"/>
        </w:rPr>
        <w:t xml:space="preserve"> </w:t>
      </w:r>
      <w:proofErr w:type="gramStart"/>
      <w:r w:rsidR="00D40B23">
        <w:rPr>
          <w:rFonts w:cs="Arial"/>
          <w:szCs w:val="20"/>
        </w:rPr>
        <w:t>nozzles,</w:t>
      </w:r>
      <w:proofErr w:type="gramEnd"/>
      <w:r w:rsidR="00D40B23">
        <w:rPr>
          <w:rFonts w:cs="Arial"/>
          <w:szCs w:val="20"/>
        </w:rPr>
        <w:t xml:space="preserve"> therefore</w:t>
      </w:r>
      <w:r w:rsidR="00D51DF0">
        <w:rPr>
          <w:rFonts w:cs="Arial"/>
          <w:szCs w:val="20"/>
        </w:rPr>
        <w:t xml:space="preserve"> </w:t>
      </w:r>
      <w:r w:rsidR="00D40B23">
        <w:rPr>
          <w:rFonts w:cs="Arial"/>
          <w:szCs w:val="20"/>
        </w:rPr>
        <w:t>t</w:t>
      </w:r>
      <w:r w:rsidR="00D51DF0">
        <w:rPr>
          <w:rFonts w:cs="Arial"/>
          <w:szCs w:val="20"/>
        </w:rPr>
        <w:t xml:space="preserve">he installed base for PG&amp;E territory is an estimated 1.30 </w:t>
      </w:r>
      <w:proofErr w:type="spellStart"/>
      <w:r w:rsidR="00D51DF0">
        <w:rPr>
          <w:rFonts w:cs="Arial"/>
          <w:szCs w:val="20"/>
        </w:rPr>
        <w:t>gpm</w:t>
      </w:r>
      <w:proofErr w:type="spellEnd"/>
      <w:r w:rsidR="00D51DF0">
        <w:rPr>
          <w:rFonts w:cs="Arial"/>
          <w:szCs w:val="20"/>
        </w:rPr>
        <w:t>.</w:t>
      </w:r>
    </w:p>
    <w:p w14:paraId="525A35F6" w14:textId="77777777" w:rsidR="00B50F3E" w:rsidRPr="008436DA" w:rsidRDefault="00B50F3E" w:rsidP="0033144B">
      <w:pPr>
        <w:rPr>
          <w:rFonts w:cs="Arial"/>
          <w:szCs w:val="20"/>
        </w:rPr>
      </w:pPr>
    </w:p>
    <w:p w14:paraId="5E985F79" w14:textId="6B8EA0FB" w:rsidR="008436DA" w:rsidRDefault="00D40B23" w:rsidP="008436DA">
      <w:pPr>
        <w:pStyle w:val="Table"/>
        <w:rPr>
          <w:rFonts w:cs="Arial"/>
          <w:szCs w:val="20"/>
        </w:rPr>
      </w:pPr>
      <w:r w:rsidRPr="008436DA">
        <w:rPr>
          <w:rFonts w:cs="Arial"/>
          <w:szCs w:val="20"/>
        </w:rPr>
        <w:t xml:space="preserve">This equipment’s measure case is based on a </w:t>
      </w:r>
      <w:r w:rsidRPr="00600E7D">
        <w:rPr>
          <w:rFonts w:cs="Arial"/>
          <w:szCs w:val="20"/>
        </w:rPr>
        <w:t>28.1% reduction</w:t>
      </w:r>
      <w:r w:rsidRPr="008436DA">
        <w:rPr>
          <w:rFonts w:cs="Arial"/>
          <w:szCs w:val="20"/>
        </w:rPr>
        <w:t xml:space="preserve"> in flow rate compared to the Federal standard</w:t>
      </w:r>
      <w:r>
        <w:rPr>
          <w:rFonts w:cs="Arial"/>
          <w:szCs w:val="20"/>
        </w:rPr>
        <w:t xml:space="preserve"> and a 17.9% reduction compared to the installed base in PG&amp;E territory</w:t>
      </w:r>
      <w:r w:rsidRPr="008436DA">
        <w:rPr>
          <w:rFonts w:cs="Arial"/>
          <w:szCs w:val="20"/>
        </w:rPr>
        <w:t>. The measure cases for this w</w:t>
      </w:r>
      <w:r>
        <w:rPr>
          <w:rFonts w:cs="Arial"/>
          <w:szCs w:val="20"/>
        </w:rPr>
        <w:t>ork paper shall have flow rates ≤</w:t>
      </w:r>
      <w:r w:rsidRPr="008436DA">
        <w:rPr>
          <w:rFonts w:cs="Arial"/>
          <w:szCs w:val="20"/>
        </w:rPr>
        <w:t xml:space="preserve"> 1.15 </w:t>
      </w:r>
      <w:proofErr w:type="spellStart"/>
      <w:r w:rsidRPr="008436DA">
        <w:rPr>
          <w:rFonts w:cs="Arial"/>
          <w:szCs w:val="20"/>
        </w:rPr>
        <w:t>gpm</w:t>
      </w:r>
      <w:proofErr w:type="spellEnd"/>
      <w:r w:rsidRPr="008436DA">
        <w:rPr>
          <w:rFonts w:cs="Arial"/>
          <w:szCs w:val="20"/>
        </w:rPr>
        <w:t>.</w:t>
      </w:r>
    </w:p>
    <w:p w14:paraId="59C2A51C" w14:textId="77777777" w:rsidR="00D40B23" w:rsidRDefault="00D40B23" w:rsidP="008436DA">
      <w:pPr>
        <w:pStyle w:val="Table"/>
        <w:rPr>
          <w:rFonts w:cs="Arial"/>
          <w:sz w:val="20"/>
          <w:szCs w:val="20"/>
        </w:rPr>
      </w:pPr>
    </w:p>
    <w:p w14:paraId="1039F03A" w14:textId="22EED8BE" w:rsidR="0033144B" w:rsidRPr="008436DA" w:rsidRDefault="00C104E1" w:rsidP="008436DA">
      <w:pPr>
        <w:pStyle w:val="Table"/>
        <w:rPr>
          <w:rFonts w:ascii="Calibri" w:hAnsi="Calibri" w:cs="Calibri"/>
          <w:sz w:val="26"/>
          <w:szCs w:val="26"/>
        </w:rPr>
      </w:pPr>
      <w:bookmarkStart w:id="62" w:name="_Toc391398022"/>
      <w:r w:rsidRPr="003541A6">
        <w:t xml:space="preserve">Table </w:t>
      </w:r>
      <w:r w:rsidR="00544E9C">
        <w:fldChar w:fldCharType="begin"/>
      </w:r>
      <w:r w:rsidR="00544E9C">
        <w:instrText xml:space="preserve"> SEQ Table \* ARABIC </w:instrText>
      </w:r>
      <w:r w:rsidR="00544E9C">
        <w:fldChar w:fldCharType="separate"/>
      </w:r>
      <w:r w:rsidR="00CE5AEA">
        <w:rPr>
          <w:noProof/>
        </w:rPr>
        <w:t>4</w:t>
      </w:r>
      <w:r w:rsidR="00544E9C">
        <w:rPr>
          <w:noProof/>
        </w:rPr>
        <w:fldChar w:fldCharType="end"/>
      </w:r>
      <w:r w:rsidR="008436DA" w:rsidRPr="003541A6">
        <w:rPr>
          <w:rFonts w:ascii="Calibri" w:hAnsi="Calibri" w:cs="Calibri"/>
          <w:sz w:val="26"/>
          <w:szCs w:val="26"/>
        </w:rPr>
        <w:t xml:space="preserve"> </w:t>
      </w:r>
      <w:r w:rsidR="008436DA">
        <w:t>Codes and Standards Requirements for Base Case and Measure Case</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915"/>
        <w:gridCol w:w="1916"/>
      </w:tblGrid>
      <w:tr w:rsidR="0033144B" w:rsidRPr="00783DAC" w14:paraId="7874BC0C" w14:textId="77777777" w:rsidTr="00FA2C9A">
        <w:tc>
          <w:tcPr>
            <w:tcW w:w="1915" w:type="dxa"/>
            <w:shd w:val="clear" w:color="auto" w:fill="auto"/>
          </w:tcPr>
          <w:p w14:paraId="0DC48D3E" w14:textId="77777777" w:rsidR="0033144B" w:rsidRPr="00783DAC" w:rsidRDefault="0033144B" w:rsidP="00FA2C9A">
            <w:pPr>
              <w:rPr>
                <w:rFonts w:cs="Arial"/>
                <w:sz w:val="20"/>
                <w:szCs w:val="20"/>
              </w:rPr>
            </w:pPr>
            <w:r>
              <w:rPr>
                <w:rFonts w:cs="Arial"/>
                <w:b/>
                <w:sz w:val="20"/>
                <w:szCs w:val="20"/>
              </w:rPr>
              <w:t xml:space="preserve">Federal Std. Description </w:t>
            </w:r>
          </w:p>
        </w:tc>
        <w:tc>
          <w:tcPr>
            <w:tcW w:w="1915" w:type="dxa"/>
            <w:shd w:val="clear" w:color="auto" w:fill="auto"/>
          </w:tcPr>
          <w:p w14:paraId="486B3BF2" w14:textId="77777777" w:rsidR="0033144B" w:rsidRPr="00783DAC" w:rsidRDefault="0033144B" w:rsidP="00FA2C9A">
            <w:pPr>
              <w:rPr>
                <w:rFonts w:cs="Arial"/>
                <w:sz w:val="20"/>
                <w:szCs w:val="20"/>
              </w:rPr>
            </w:pPr>
            <w:r w:rsidRPr="00783DAC">
              <w:rPr>
                <w:rFonts w:cs="Arial"/>
                <w:b/>
                <w:sz w:val="20"/>
                <w:szCs w:val="20"/>
              </w:rPr>
              <w:t>Base or Measure Case</w:t>
            </w:r>
          </w:p>
        </w:tc>
        <w:tc>
          <w:tcPr>
            <w:tcW w:w="1915" w:type="dxa"/>
            <w:shd w:val="clear" w:color="auto" w:fill="auto"/>
          </w:tcPr>
          <w:p w14:paraId="54E78423" w14:textId="77777777" w:rsidR="0033144B" w:rsidRPr="00783DAC" w:rsidRDefault="0033144B" w:rsidP="00FA2C9A">
            <w:pPr>
              <w:rPr>
                <w:rFonts w:cs="Arial"/>
                <w:b/>
                <w:sz w:val="20"/>
                <w:szCs w:val="20"/>
              </w:rPr>
            </w:pPr>
            <w:r w:rsidRPr="00783DAC">
              <w:rPr>
                <w:rFonts w:cs="Arial"/>
                <w:b/>
                <w:sz w:val="20"/>
                <w:szCs w:val="20"/>
              </w:rPr>
              <w:t>Value</w:t>
            </w:r>
          </w:p>
        </w:tc>
        <w:tc>
          <w:tcPr>
            <w:tcW w:w="1915" w:type="dxa"/>
            <w:shd w:val="clear" w:color="auto" w:fill="auto"/>
          </w:tcPr>
          <w:p w14:paraId="50C508A8" w14:textId="77777777" w:rsidR="0033144B" w:rsidRPr="00783DAC" w:rsidRDefault="0033144B" w:rsidP="00FA2C9A">
            <w:pPr>
              <w:rPr>
                <w:rFonts w:cs="Arial"/>
                <w:sz w:val="20"/>
                <w:szCs w:val="20"/>
              </w:rPr>
            </w:pPr>
            <w:r w:rsidRPr="00783DAC">
              <w:rPr>
                <w:rFonts w:cs="Arial"/>
                <w:b/>
                <w:sz w:val="20"/>
                <w:szCs w:val="20"/>
              </w:rPr>
              <w:t>Units</w:t>
            </w:r>
          </w:p>
        </w:tc>
        <w:tc>
          <w:tcPr>
            <w:tcW w:w="1916" w:type="dxa"/>
            <w:shd w:val="clear" w:color="auto" w:fill="auto"/>
          </w:tcPr>
          <w:p w14:paraId="31E9FBFC" w14:textId="77777777" w:rsidR="0033144B" w:rsidRPr="00783DAC" w:rsidRDefault="0033144B" w:rsidP="00FA2C9A">
            <w:pPr>
              <w:rPr>
                <w:rFonts w:cs="Arial"/>
                <w:sz w:val="20"/>
                <w:szCs w:val="20"/>
              </w:rPr>
            </w:pPr>
            <w:r w:rsidRPr="00783DAC">
              <w:rPr>
                <w:rFonts w:cs="Arial"/>
                <w:b/>
                <w:sz w:val="20"/>
                <w:szCs w:val="20"/>
              </w:rPr>
              <w:t>Code Source or Reference</w:t>
            </w:r>
          </w:p>
        </w:tc>
      </w:tr>
      <w:tr w:rsidR="00107FDD" w:rsidRPr="00783DAC" w14:paraId="190ECC3F" w14:textId="77777777" w:rsidTr="00FA2C9A">
        <w:tc>
          <w:tcPr>
            <w:tcW w:w="1915" w:type="dxa"/>
            <w:shd w:val="clear" w:color="auto" w:fill="auto"/>
          </w:tcPr>
          <w:p w14:paraId="315F1FD5" w14:textId="4B67ACAF" w:rsidR="00107FDD" w:rsidRPr="0033144B" w:rsidRDefault="00107FDD" w:rsidP="00FA2C9A">
            <w:r w:rsidRPr="0033144B">
              <w:rPr>
                <w:sz w:val="20"/>
              </w:rPr>
              <w:t>Commercial PRSV</w:t>
            </w:r>
          </w:p>
        </w:tc>
        <w:tc>
          <w:tcPr>
            <w:tcW w:w="1915" w:type="dxa"/>
            <w:shd w:val="clear" w:color="auto" w:fill="auto"/>
          </w:tcPr>
          <w:p w14:paraId="2954F171" w14:textId="5763EFAE" w:rsidR="00107FDD" w:rsidRPr="00783DAC" w:rsidRDefault="00107FDD" w:rsidP="00FA2C9A">
            <w:pPr>
              <w:rPr>
                <w:rFonts w:cs="Arial"/>
                <w:i/>
                <w:sz w:val="20"/>
                <w:szCs w:val="20"/>
              </w:rPr>
            </w:pPr>
            <w:r>
              <w:rPr>
                <w:rFonts w:cs="Arial"/>
                <w:i/>
                <w:sz w:val="20"/>
                <w:szCs w:val="20"/>
              </w:rPr>
              <w:t>Base</w:t>
            </w:r>
          </w:p>
        </w:tc>
        <w:tc>
          <w:tcPr>
            <w:tcW w:w="1915" w:type="dxa"/>
            <w:shd w:val="clear" w:color="auto" w:fill="auto"/>
          </w:tcPr>
          <w:p w14:paraId="3ABF4555" w14:textId="59E07379" w:rsidR="00107FDD" w:rsidRPr="00783DAC" w:rsidRDefault="00B50F3E" w:rsidP="00FA2C9A">
            <w:pPr>
              <w:rPr>
                <w:rFonts w:cs="Arial"/>
                <w:i/>
                <w:sz w:val="20"/>
                <w:szCs w:val="20"/>
              </w:rPr>
            </w:pPr>
            <w:r>
              <w:rPr>
                <w:rFonts w:cs="Arial"/>
                <w:i/>
                <w:sz w:val="20"/>
                <w:szCs w:val="20"/>
              </w:rPr>
              <w:t>1.6</w:t>
            </w:r>
            <w:r w:rsidR="00107FDD">
              <w:rPr>
                <w:rFonts w:cs="Arial"/>
                <w:i/>
                <w:sz w:val="20"/>
                <w:szCs w:val="20"/>
              </w:rPr>
              <w:t xml:space="preserve"> </w:t>
            </w:r>
            <w:proofErr w:type="spellStart"/>
            <w:r w:rsidR="00107FDD">
              <w:rPr>
                <w:rFonts w:cs="Arial"/>
                <w:i/>
                <w:sz w:val="20"/>
                <w:szCs w:val="20"/>
              </w:rPr>
              <w:t>gpm</w:t>
            </w:r>
            <w:proofErr w:type="spellEnd"/>
          </w:p>
        </w:tc>
        <w:tc>
          <w:tcPr>
            <w:tcW w:w="1915" w:type="dxa"/>
            <w:shd w:val="clear" w:color="auto" w:fill="auto"/>
          </w:tcPr>
          <w:p w14:paraId="56D39A14" w14:textId="2F2CD895" w:rsidR="00107FDD" w:rsidRPr="00783DAC" w:rsidRDefault="00107FDD" w:rsidP="00FA2C9A">
            <w:pPr>
              <w:rPr>
                <w:rFonts w:cs="Arial"/>
                <w:i/>
                <w:sz w:val="20"/>
                <w:szCs w:val="20"/>
              </w:rPr>
            </w:pPr>
            <w:r>
              <w:rPr>
                <w:rFonts w:cs="Arial"/>
                <w:i/>
                <w:sz w:val="20"/>
                <w:szCs w:val="20"/>
              </w:rPr>
              <w:t>Spray Valve</w:t>
            </w:r>
          </w:p>
        </w:tc>
        <w:tc>
          <w:tcPr>
            <w:tcW w:w="1916" w:type="dxa"/>
            <w:shd w:val="clear" w:color="auto" w:fill="auto"/>
          </w:tcPr>
          <w:p w14:paraId="0ECAE70E" w14:textId="5599FD2A" w:rsidR="00107FDD" w:rsidRPr="00783DAC" w:rsidRDefault="00107FDD" w:rsidP="00FA2C9A">
            <w:pPr>
              <w:rPr>
                <w:rFonts w:cs="Arial"/>
                <w:i/>
                <w:sz w:val="20"/>
                <w:szCs w:val="20"/>
              </w:rPr>
            </w:pPr>
            <w:r>
              <w:rPr>
                <w:rFonts w:cs="Arial"/>
                <w:i/>
                <w:sz w:val="20"/>
                <w:szCs w:val="20"/>
              </w:rPr>
              <w:t xml:space="preserve">Energy Policy Act </w:t>
            </w:r>
            <w:r w:rsidRPr="0033144B">
              <w:rPr>
                <w:rFonts w:cs="Arial"/>
                <w:i/>
                <w:sz w:val="20"/>
                <w:szCs w:val="20"/>
              </w:rPr>
              <w:t>Section 119 Stat 632, pp 40</w:t>
            </w:r>
          </w:p>
        </w:tc>
      </w:tr>
      <w:tr w:rsidR="00B50F3E" w:rsidRPr="00783DAC" w14:paraId="5E451138" w14:textId="77777777" w:rsidTr="00FA2C9A">
        <w:tc>
          <w:tcPr>
            <w:tcW w:w="1915" w:type="dxa"/>
            <w:shd w:val="clear" w:color="auto" w:fill="auto"/>
          </w:tcPr>
          <w:p w14:paraId="1DEDBEAF" w14:textId="0D21068B" w:rsidR="00B50F3E" w:rsidRPr="0033144B" w:rsidRDefault="00B50F3E" w:rsidP="00FA2C9A">
            <w:pPr>
              <w:rPr>
                <w:sz w:val="20"/>
              </w:rPr>
            </w:pPr>
            <w:r w:rsidRPr="0033144B">
              <w:rPr>
                <w:sz w:val="20"/>
              </w:rPr>
              <w:t>Commercial PRSV</w:t>
            </w:r>
          </w:p>
        </w:tc>
        <w:tc>
          <w:tcPr>
            <w:tcW w:w="1915" w:type="dxa"/>
            <w:shd w:val="clear" w:color="auto" w:fill="auto"/>
          </w:tcPr>
          <w:p w14:paraId="44B91046" w14:textId="4704CB54" w:rsidR="00B50F3E" w:rsidRDefault="00B50F3E" w:rsidP="00FA2C9A">
            <w:pPr>
              <w:rPr>
                <w:rFonts w:cs="Arial"/>
                <w:i/>
                <w:sz w:val="20"/>
                <w:szCs w:val="20"/>
              </w:rPr>
            </w:pPr>
            <w:r>
              <w:rPr>
                <w:rFonts w:cs="Arial"/>
                <w:i/>
                <w:sz w:val="20"/>
                <w:szCs w:val="20"/>
              </w:rPr>
              <w:t>Base</w:t>
            </w:r>
          </w:p>
        </w:tc>
        <w:tc>
          <w:tcPr>
            <w:tcW w:w="1915" w:type="dxa"/>
            <w:shd w:val="clear" w:color="auto" w:fill="auto"/>
          </w:tcPr>
          <w:p w14:paraId="0AB218F6" w14:textId="1DF91E46" w:rsidR="00B50F3E" w:rsidRDefault="00B50F3E" w:rsidP="00FA2C9A">
            <w:pPr>
              <w:rPr>
                <w:rFonts w:cs="Arial"/>
                <w:i/>
                <w:sz w:val="20"/>
                <w:szCs w:val="20"/>
              </w:rPr>
            </w:pPr>
            <w:r>
              <w:rPr>
                <w:rFonts w:cs="Arial"/>
                <w:i/>
                <w:sz w:val="20"/>
                <w:szCs w:val="20"/>
              </w:rPr>
              <w:t xml:space="preserve">1.4 </w:t>
            </w:r>
            <w:proofErr w:type="spellStart"/>
            <w:r>
              <w:rPr>
                <w:rFonts w:cs="Arial"/>
                <w:i/>
                <w:sz w:val="20"/>
                <w:szCs w:val="20"/>
              </w:rPr>
              <w:t>gpm</w:t>
            </w:r>
            <w:proofErr w:type="spellEnd"/>
          </w:p>
        </w:tc>
        <w:tc>
          <w:tcPr>
            <w:tcW w:w="1915" w:type="dxa"/>
            <w:shd w:val="clear" w:color="auto" w:fill="auto"/>
          </w:tcPr>
          <w:p w14:paraId="6D744C70" w14:textId="790B2537" w:rsidR="00B50F3E" w:rsidRDefault="00B50F3E" w:rsidP="00FA2C9A">
            <w:pPr>
              <w:rPr>
                <w:rFonts w:cs="Arial"/>
                <w:i/>
                <w:sz w:val="20"/>
                <w:szCs w:val="20"/>
              </w:rPr>
            </w:pPr>
            <w:r>
              <w:rPr>
                <w:rFonts w:cs="Arial"/>
                <w:i/>
                <w:sz w:val="20"/>
                <w:szCs w:val="20"/>
              </w:rPr>
              <w:t>Spray Valve</w:t>
            </w:r>
          </w:p>
        </w:tc>
        <w:tc>
          <w:tcPr>
            <w:tcW w:w="1916" w:type="dxa"/>
            <w:shd w:val="clear" w:color="auto" w:fill="auto"/>
          </w:tcPr>
          <w:p w14:paraId="21A551EF" w14:textId="20641FDF" w:rsidR="00B50F3E" w:rsidRDefault="00B50F3E" w:rsidP="00FA2C9A">
            <w:pPr>
              <w:rPr>
                <w:rFonts w:cs="Arial"/>
                <w:i/>
                <w:sz w:val="20"/>
                <w:szCs w:val="20"/>
              </w:rPr>
            </w:pPr>
            <w:r>
              <w:rPr>
                <w:rFonts w:cs="Arial"/>
                <w:i/>
                <w:sz w:val="20"/>
                <w:szCs w:val="20"/>
              </w:rPr>
              <w:t>Installed Base</w:t>
            </w:r>
          </w:p>
        </w:tc>
      </w:tr>
    </w:tbl>
    <w:p w14:paraId="19C19AFE" w14:textId="77777777" w:rsidR="0033144B" w:rsidRDefault="0033144B" w:rsidP="0033144B"/>
    <w:p w14:paraId="63B5E2E8" w14:textId="77777777" w:rsidR="006A66DA" w:rsidRPr="006A66DA" w:rsidRDefault="0033144B" w:rsidP="002E0043">
      <w:pPr>
        <w:rPr>
          <w:rFonts w:cs="Arial"/>
          <w:sz w:val="24"/>
        </w:rPr>
      </w:pPr>
      <w:r w:rsidRPr="006A66DA">
        <w:rPr>
          <w:rFonts w:cs="Arial"/>
          <w:b/>
          <w:i/>
          <w:sz w:val="24"/>
        </w:rPr>
        <w:t>Title 20:</w:t>
      </w:r>
      <w:r w:rsidRPr="006A66DA">
        <w:rPr>
          <w:rFonts w:cs="Arial"/>
          <w:sz w:val="24"/>
        </w:rPr>
        <w:t xml:space="preserve"> </w:t>
      </w:r>
    </w:p>
    <w:p w14:paraId="4D442D60" w14:textId="7DBB4A3E" w:rsidR="0033144B" w:rsidRPr="006A66DA" w:rsidRDefault="0033144B" w:rsidP="002E0043">
      <w:pPr>
        <w:rPr>
          <w:rFonts w:cs="Arial"/>
          <w:szCs w:val="20"/>
        </w:rPr>
      </w:pPr>
      <w:r w:rsidRPr="006A66DA">
        <w:rPr>
          <w:rFonts w:cs="Arial"/>
          <w:szCs w:val="20"/>
        </w:rPr>
        <w:t>This measure falls under Title 20</w:t>
      </w:r>
      <w:r w:rsidR="002C0335">
        <w:rPr>
          <w:rStyle w:val="EndnoteReference"/>
          <w:rFonts w:cs="Arial"/>
          <w:szCs w:val="20"/>
        </w:rPr>
        <w:endnoteReference w:id="8"/>
      </w:r>
      <w:r w:rsidRPr="006A66DA">
        <w:rPr>
          <w:rFonts w:cs="Arial"/>
          <w:szCs w:val="20"/>
        </w:rPr>
        <w:t xml:space="preserve"> of the California </w:t>
      </w:r>
      <w:r w:rsidR="00107FDD" w:rsidRPr="006A66DA">
        <w:rPr>
          <w:rFonts w:cs="Arial"/>
          <w:szCs w:val="20"/>
        </w:rPr>
        <w:t xml:space="preserve">Public Utility </w:t>
      </w:r>
      <w:r w:rsidR="009C5F86" w:rsidRPr="006A66DA">
        <w:rPr>
          <w:rFonts w:cs="Arial"/>
          <w:szCs w:val="20"/>
        </w:rPr>
        <w:t>Commission</w:t>
      </w:r>
      <w:r w:rsidR="00107FDD" w:rsidRPr="006A66DA">
        <w:rPr>
          <w:rFonts w:cs="Arial"/>
          <w:szCs w:val="20"/>
        </w:rPr>
        <w:t xml:space="preserve"> (CPUC) </w:t>
      </w:r>
      <w:r w:rsidRPr="006A66DA">
        <w:rPr>
          <w:rFonts w:cs="Arial"/>
          <w:szCs w:val="20"/>
        </w:rPr>
        <w:t>Energy Regulations. Under this regulation, the following is required:</w:t>
      </w:r>
      <w:r w:rsidRPr="006A66DA">
        <w:rPr>
          <w:rFonts w:cs="Arial"/>
          <w:sz w:val="24"/>
        </w:rPr>
        <w:t xml:space="preserve"> </w:t>
      </w:r>
      <w:r w:rsidRPr="006A66DA">
        <w:rPr>
          <w:rFonts w:cs="Arial"/>
          <w:szCs w:val="20"/>
        </w:rPr>
        <w:t xml:space="preserve">ASTM Standard Test Method for the Performance of </w:t>
      </w:r>
      <w:r w:rsidR="00107FDD" w:rsidRPr="006A66DA">
        <w:rPr>
          <w:rFonts w:cs="Arial"/>
          <w:szCs w:val="20"/>
        </w:rPr>
        <w:t>Pre-Rinse Spray Valves (F2324-03</w:t>
      </w:r>
      <w:r w:rsidRPr="006A66DA">
        <w:rPr>
          <w:rFonts w:cs="Arial"/>
          <w:szCs w:val="20"/>
        </w:rPr>
        <w:t xml:space="preserve">) for estimating the energy and water consumption and cleaning performance of the spray valve. Under the regulations, water consumption must be less than 1.6 </w:t>
      </w:r>
      <w:proofErr w:type="spellStart"/>
      <w:r w:rsidRPr="006A66DA">
        <w:rPr>
          <w:rFonts w:cs="Arial"/>
          <w:szCs w:val="20"/>
        </w:rPr>
        <w:t>gpm</w:t>
      </w:r>
      <w:proofErr w:type="spellEnd"/>
      <w:r w:rsidRPr="006A66DA">
        <w:rPr>
          <w:rFonts w:cs="Arial"/>
          <w:szCs w:val="20"/>
        </w:rPr>
        <w:t xml:space="preserve"> and have a </w:t>
      </w:r>
      <w:proofErr w:type="spellStart"/>
      <w:r w:rsidRPr="006A66DA">
        <w:rPr>
          <w:rFonts w:cs="Arial"/>
          <w:szCs w:val="20"/>
        </w:rPr>
        <w:t>cleanability</w:t>
      </w:r>
      <w:proofErr w:type="spellEnd"/>
      <w:r w:rsidRPr="006A66DA">
        <w:rPr>
          <w:rFonts w:cs="Arial"/>
          <w:szCs w:val="20"/>
        </w:rPr>
        <w:t xml:space="preserve"> time of less than 26 seconds.</w:t>
      </w:r>
    </w:p>
    <w:p w14:paraId="3E61AC95" w14:textId="77777777" w:rsidR="008436DA" w:rsidRDefault="008436DA" w:rsidP="008436DA">
      <w:pPr>
        <w:pStyle w:val="Table"/>
      </w:pPr>
    </w:p>
    <w:p w14:paraId="3E82982C" w14:textId="77777777" w:rsidR="00E86C99" w:rsidRDefault="00E86C99" w:rsidP="008436DA">
      <w:pPr>
        <w:pStyle w:val="Table"/>
      </w:pPr>
    </w:p>
    <w:p w14:paraId="33149CDD" w14:textId="77777777" w:rsidR="00E86C99" w:rsidRDefault="00E86C99" w:rsidP="008436DA">
      <w:pPr>
        <w:pStyle w:val="Table"/>
      </w:pPr>
    </w:p>
    <w:p w14:paraId="393A0C8D" w14:textId="04204BB2" w:rsidR="00640BB6" w:rsidRPr="00587DDD" w:rsidRDefault="00C104E1" w:rsidP="008436DA">
      <w:pPr>
        <w:pStyle w:val="Table"/>
        <w:rPr>
          <w:b/>
          <w:i/>
        </w:rPr>
      </w:pPr>
      <w:bookmarkStart w:id="63" w:name="_Toc391398023"/>
      <w:r w:rsidRPr="003541A6">
        <w:lastRenderedPageBreak/>
        <w:t xml:space="preserve">Table </w:t>
      </w:r>
      <w:r w:rsidR="00544E9C">
        <w:fldChar w:fldCharType="begin"/>
      </w:r>
      <w:r w:rsidR="00544E9C">
        <w:instrText xml:space="preserve"> SEQ Table \* ARABIC </w:instrText>
      </w:r>
      <w:r w:rsidR="00544E9C">
        <w:fldChar w:fldCharType="separate"/>
      </w:r>
      <w:r w:rsidR="00CE5AEA">
        <w:rPr>
          <w:noProof/>
        </w:rPr>
        <w:t>5</w:t>
      </w:r>
      <w:r w:rsidR="00544E9C">
        <w:rPr>
          <w:noProof/>
        </w:rPr>
        <w:fldChar w:fldCharType="end"/>
      </w:r>
      <w:r w:rsidR="008436DA">
        <w:t xml:space="preserve"> Title 20 Reference</w:t>
      </w:r>
      <w:bookmarkEnd w:id="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678"/>
        <w:gridCol w:w="1710"/>
        <w:gridCol w:w="2358"/>
      </w:tblGrid>
      <w:tr w:rsidR="00640BB6" w:rsidRPr="00783DAC" w14:paraId="393A0C93" w14:textId="77777777" w:rsidTr="00107FDD">
        <w:tc>
          <w:tcPr>
            <w:tcW w:w="1915" w:type="dxa"/>
            <w:shd w:val="clear" w:color="auto" w:fill="auto"/>
          </w:tcPr>
          <w:p w14:paraId="393A0C8E" w14:textId="77777777" w:rsidR="00640BB6" w:rsidRPr="00783DAC" w:rsidRDefault="00640BB6" w:rsidP="002E0043">
            <w:pPr>
              <w:rPr>
                <w:rFonts w:cs="Arial"/>
                <w:sz w:val="20"/>
                <w:szCs w:val="20"/>
              </w:rPr>
            </w:pPr>
            <w:r w:rsidRPr="00783DAC">
              <w:rPr>
                <w:rFonts w:cs="Arial"/>
                <w:b/>
                <w:sz w:val="20"/>
                <w:szCs w:val="20"/>
              </w:rPr>
              <w:t>Title 20 Std.</w:t>
            </w:r>
            <w:r w:rsidR="00437BE1">
              <w:rPr>
                <w:rFonts w:cs="Arial"/>
                <w:b/>
                <w:sz w:val="20"/>
                <w:szCs w:val="20"/>
              </w:rPr>
              <w:t xml:space="preserve"> </w:t>
            </w:r>
            <w:r w:rsidRPr="00783DAC">
              <w:rPr>
                <w:rFonts w:cs="Arial"/>
                <w:b/>
                <w:sz w:val="20"/>
                <w:szCs w:val="20"/>
              </w:rPr>
              <w:t>Description</w:t>
            </w:r>
            <w:r w:rsidR="00437BE1">
              <w:rPr>
                <w:rFonts w:cs="Arial"/>
                <w:b/>
                <w:sz w:val="20"/>
                <w:szCs w:val="20"/>
              </w:rPr>
              <w:t xml:space="preserve"> </w:t>
            </w:r>
          </w:p>
        </w:tc>
        <w:tc>
          <w:tcPr>
            <w:tcW w:w="1915" w:type="dxa"/>
            <w:shd w:val="clear" w:color="auto" w:fill="auto"/>
          </w:tcPr>
          <w:p w14:paraId="393A0C8F" w14:textId="77777777" w:rsidR="00640BB6" w:rsidRPr="00783DAC" w:rsidRDefault="00640BB6" w:rsidP="002E0043">
            <w:pPr>
              <w:rPr>
                <w:rFonts w:cs="Arial"/>
                <w:sz w:val="20"/>
                <w:szCs w:val="20"/>
              </w:rPr>
            </w:pPr>
            <w:r w:rsidRPr="00783DAC">
              <w:rPr>
                <w:rFonts w:cs="Arial"/>
                <w:b/>
                <w:sz w:val="20"/>
                <w:szCs w:val="20"/>
              </w:rPr>
              <w:t>Base or Measure Case</w:t>
            </w:r>
          </w:p>
        </w:tc>
        <w:tc>
          <w:tcPr>
            <w:tcW w:w="1678" w:type="dxa"/>
            <w:shd w:val="clear" w:color="auto" w:fill="auto"/>
          </w:tcPr>
          <w:p w14:paraId="393A0C90" w14:textId="77777777" w:rsidR="00640BB6" w:rsidRPr="00783DAC" w:rsidRDefault="00640BB6" w:rsidP="002E0043">
            <w:pPr>
              <w:rPr>
                <w:rFonts w:cs="Arial"/>
                <w:b/>
                <w:sz w:val="20"/>
                <w:szCs w:val="20"/>
              </w:rPr>
            </w:pPr>
            <w:r w:rsidRPr="00783DAC">
              <w:rPr>
                <w:rFonts w:cs="Arial"/>
                <w:b/>
                <w:sz w:val="20"/>
                <w:szCs w:val="20"/>
              </w:rPr>
              <w:t>Value</w:t>
            </w:r>
          </w:p>
        </w:tc>
        <w:tc>
          <w:tcPr>
            <w:tcW w:w="1710" w:type="dxa"/>
            <w:shd w:val="clear" w:color="auto" w:fill="auto"/>
          </w:tcPr>
          <w:p w14:paraId="393A0C91" w14:textId="77777777" w:rsidR="00640BB6" w:rsidRPr="00783DAC" w:rsidRDefault="00640BB6" w:rsidP="002E0043">
            <w:pPr>
              <w:rPr>
                <w:rFonts w:cs="Arial"/>
                <w:sz w:val="20"/>
                <w:szCs w:val="20"/>
              </w:rPr>
            </w:pPr>
            <w:r w:rsidRPr="00783DAC">
              <w:rPr>
                <w:rFonts w:cs="Arial"/>
                <w:b/>
                <w:sz w:val="20"/>
                <w:szCs w:val="20"/>
              </w:rPr>
              <w:t>Units</w:t>
            </w:r>
          </w:p>
        </w:tc>
        <w:tc>
          <w:tcPr>
            <w:tcW w:w="2358" w:type="dxa"/>
            <w:shd w:val="clear" w:color="auto" w:fill="auto"/>
          </w:tcPr>
          <w:p w14:paraId="393A0C92" w14:textId="77777777" w:rsidR="00640BB6" w:rsidRPr="00783DAC" w:rsidRDefault="00640BB6" w:rsidP="002E0043">
            <w:pPr>
              <w:rPr>
                <w:rFonts w:cs="Arial"/>
                <w:sz w:val="20"/>
                <w:szCs w:val="20"/>
              </w:rPr>
            </w:pPr>
            <w:r w:rsidRPr="00783DAC">
              <w:rPr>
                <w:rFonts w:cs="Arial"/>
                <w:b/>
                <w:sz w:val="20"/>
                <w:szCs w:val="20"/>
              </w:rPr>
              <w:t>Code Source or Reference</w:t>
            </w:r>
          </w:p>
        </w:tc>
      </w:tr>
      <w:tr w:rsidR="00640BB6" w:rsidRPr="00783DAC" w14:paraId="393A0C99" w14:textId="77777777" w:rsidTr="00107FDD">
        <w:tc>
          <w:tcPr>
            <w:tcW w:w="1915" w:type="dxa"/>
            <w:shd w:val="clear" w:color="auto" w:fill="auto"/>
          </w:tcPr>
          <w:p w14:paraId="393A0C94" w14:textId="342BC492" w:rsidR="00640BB6" w:rsidRPr="0033144B" w:rsidRDefault="0033144B" w:rsidP="002E0043">
            <w:r w:rsidRPr="0033144B">
              <w:rPr>
                <w:sz w:val="20"/>
              </w:rPr>
              <w:t>Commercial PRSV</w:t>
            </w:r>
          </w:p>
        </w:tc>
        <w:tc>
          <w:tcPr>
            <w:tcW w:w="1915" w:type="dxa"/>
            <w:shd w:val="clear" w:color="auto" w:fill="auto"/>
          </w:tcPr>
          <w:p w14:paraId="393A0C95" w14:textId="2E0973C6" w:rsidR="00640BB6" w:rsidRPr="00783DAC" w:rsidRDefault="0033144B" w:rsidP="002E0043">
            <w:pPr>
              <w:rPr>
                <w:rFonts w:cs="Arial"/>
                <w:i/>
                <w:sz w:val="20"/>
                <w:szCs w:val="20"/>
              </w:rPr>
            </w:pPr>
            <w:r>
              <w:rPr>
                <w:rFonts w:cs="Arial"/>
                <w:i/>
                <w:sz w:val="20"/>
                <w:szCs w:val="20"/>
              </w:rPr>
              <w:t>Base</w:t>
            </w:r>
          </w:p>
        </w:tc>
        <w:tc>
          <w:tcPr>
            <w:tcW w:w="1678" w:type="dxa"/>
            <w:shd w:val="clear" w:color="auto" w:fill="auto"/>
          </w:tcPr>
          <w:p w14:paraId="393A0C96" w14:textId="1258BDC6" w:rsidR="00640BB6" w:rsidRPr="00783DAC" w:rsidRDefault="0033144B" w:rsidP="002E0043">
            <w:pPr>
              <w:rPr>
                <w:rFonts w:cs="Arial"/>
                <w:i/>
                <w:sz w:val="20"/>
                <w:szCs w:val="20"/>
              </w:rPr>
            </w:pPr>
            <w:r>
              <w:rPr>
                <w:rFonts w:cs="Arial"/>
                <w:i/>
                <w:sz w:val="20"/>
                <w:szCs w:val="20"/>
              </w:rPr>
              <w:t xml:space="preserve">1.6 </w:t>
            </w:r>
            <w:proofErr w:type="spellStart"/>
            <w:r>
              <w:rPr>
                <w:rFonts w:cs="Arial"/>
                <w:i/>
                <w:sz w:val="20"/>
                <w:szCs w:val="20"/>
              </w:rPr>
              <w:t>gpm</w:t>
            </w:r>
            <w:proofErr w:type="spellEnd"/>
          </w:p>
        </w:tc>
        <w:tc>
          <w:tcPr>
            <w:tcW w:w="1710" w:type="dxa"/>
            <w:shd w:val="clear" w:color="auto" w:fill="auto"/>
          </w:tcPr>
          <w:p w14:paraId="393A0C97" w14:textId="0E20D734" w:rsidR="00640BB6" w:rsidRPr="00783DAC" w:rsidRDefault="0033144B" w:rsidP="002E0043">
            <w:pPr>
              <w:rPr>
                <w:rFonts w:cs="Arial"/>
                <w:i/>
                <w:sz w:val="20"/>
                <w:szCs w:val="20"/>
              </w:rPr>
            </w:pPr>
            <w:r>
              <w:rPr>
                <w:rFonts w:cs="Arial"/>
                <w:i/>
                <w:sz w:val="20"/>
                <w:szCs w:val="20"/>
              </w:rPr>
              <w:t>Spray Valve</w:t>
            </w:r>
          </w:p>
        </w:tc>
        <w:tc>
          <w:tcPr>
            <w:tcW w:w="2358" w:type="dxa"/>
            <w:shd w:val="clear" w:color="auto" w:fill="auto"/>
          </w:tcPr>
          <w:p w14:paraId="393A0C98" w14:textId="0ECC24C9" w:rsidR="00640BB6" w:rsidRPr="00783DAC" w:rsidRDefault="00107FDD" w:rsidP="002E0043">
            <w:pPr>
              <w:rPr>
                <w:rFonts w:cs="Arial"/>
                <w:i/>
                <w:sz w:val="20"/>
                <w:szCs w:val="20"/>
              </w:rPr>
            </w:pPr>
            <w:r>
              <w:rPr>
                <w:rFonts w:cs="Arial"/>
                <w:i/>
                <w:sz w:val="20"/>
                <w:szCs w:val="20"/>
              </w:rPr>
              <w:t>Table H-1 Standards for Plumbing fittings</w:t>
            </w:r>
          </w:p>
        </w:tc>
      </w:tr>
    </w:tbl>
    <w:p w14:paraId="393A0CA0" w14:textId="77777777" w:rsidR="00640BB6" w:rsidRPr="001B4ACB" w:rsidRDefault="00640BB6" w:rsidP="002E0043">
      <w:pPr>
        <w:rPr>
          <w:rFonts w:cs="Arial"/>
          <w:i/>
          <w:sz w:val="20"/>
          <w:szCs w:val="20"/>
        </w:rPr>
      </w:pPr>
    </w:p>
    <w:p w14:paraId="3E34FB05" w14:textId="77777777" w:rsidR="006A66DA" w:rsidRPr="006A66DA" w:rsidRDefault="005A6BF2" w:rsidP="005A6BF2">
      <w:pPr>
        <w:rPr>
          <w:sz w:val="24"/>
        </w:rPr>
      </w:pPr>
      <w:r w:rsidRPr="006A66DA">
        <w:rPr>
          <w:rFonts w:cs="Arial"/>
          <w:b/>
          <w:i/>
          <w:sz w:val="24"/>
        </w:rPr>
        <w:t>Title 24:</w:t>
      </w:r>
      <w:r w:rsidRPr="006A66DA">
        <w:rPr>
          <w:sz w:val="24"/>
        </w:rPr>
        <w:t xml:space="preserve"> </w:t>
      </w:r>
    </w:p>
    <w:p w14:paraId="3DBDC9B5" w14:textId="118EB361" w:rsidR="005A6BF2" w:rsidRPr="006A66DA" w:rsidRDefault="005A6BF2" w:rsidP="005A6BF2">
      <w:pPr>
        <w:rPr>
          <w:rFonts w:cs="Arial"/>
          <w:szCs w:val="20"/>
        </w:rPr>
      </w:pPr>
      <w:r w:rsidRPr="006A66DA">
        <w:rPr>
          <w:rFonts w:cs="Arial"/>
          <w:szCs w:val="20"/>
        </w:rPr>
        <w:t xml:space="preserve">This measure does not fall under Title 24 of the California Energy Regulations </w:t>
      </w:r>
    </w:p>
    <w:p w14:paraId="393A0CCD" w14:textId="77777777" w:rsidR="00CB0475" w:rsidRDefault="00CB0475" w:rsidP="009C5CA7">
      <w:pPr>
        <w:rPr>
          <w:rFonts w:cs="Arial"/>
          <w:b/>
          <w:i/>
          <w:sz w:val="20"/>
          <w:szCs w:val="20"/>
        </w:rPr>
      </w:pPr>
    </w:p>
    <w:p w14:paraId="393A0DAF" w14:textId="77777777" w:rsidR="002E0043" w:rsidRDefault="001248A3" w:rsidP="002E0043">
      <w:pPr>
        <w:pStyle w:val="Heading2"/>
        <w:keepNext w:val="0"/>
      </w:pPr>
      <w:bookmarkStart w:id="64" w:name="_Toc304800207"/>
      <w:bookmarkStart w:id="65" w:name="_Toc324318343"/>
      <w:bookmarkStart w:id="66" w:name="_Toc324340487"/>
      <w:bookmarkStart w:id="67" w:name="_Toc391397010"/>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4"/>
      <w:bookmarkEnd w:id="65"/>
      <w:bookmarkEnd w:id="66"/>
      <w:bookmarkEnd w:id="67"/>
    </w:p>
    <w:p w14:paraId="074B5BFD" w14:textId="30BD2D78" w:rsidR="003101A4" w:rsidRDefault="003101A4" w:rsidP="00A35CF8">
      <w:r>
        <w:t xml:space="preserve">Pre-rinse spray valves have been included as part of energy efficiency programs in California, Washington, and Canadian cities for several years. These programs have undergone evaluation studies validating the effectiveness of high efficiency spray valves and their operational characteristics. </w:t>
      </w:r>
      <w:r w:rsidR="005A15FD">
        <w:t>Two separate studies</w:t>
      </w:r>
      <w:r>
        <w:t xml:space="preserve"> conducted by Tso </w:t>
      </w:r>
      <w:r w:rsidR="005A15FD">
        <w:t xml:space="preserve">and </w:t>
      </w:r>
      <w:proofErr w:type="spellStart"/>
      <w:r w:rsidR="005A15FD">
        <w:t>Koeller</w:t>
      </w:r>
      <w:proofErr w:type="spellEnd"/>
      <w:r>
        <w:t xml:space="preserve"> </w:t>
      </w:r>
      <w:r w:rsidR="005A15FD">
        <w:t xml:space="preserve">and SBW Consulting </w:t>
      </w:r>
      <w:r>
        <w:t xml:space="preserve">document the </w:t>
      </w:r>
      <w:r w:rsidRPr="003101A4">
        <w:t>baseline operating hours, baseline flow rates, proposed operating hours, proposed flow rates, mixed water temperature, and supply water temperature</w:t>
      </w:r>
      <w:r w:rsidR="005A15FD">
        <w:t xml:space="preserve"> for spray valves</w:t>
      </w:r>
      <w:r w:rsidRPr="003101A4">
        <w:t>. The results of these studies are used as the basis for energy savings calculations for this measure.</w:t>
      </w:r>
    </w:p>
    <w:p w14:paraId="43E663F4" w14:textId="77777777" w:rsidR="003101A4" w:rsidRDefault="003101A4" w:rsidP="00A35CF8">
      <w:pPr>
        <w:rPr>
          <w:rFonts w:cs="Arial"/>
        </w:rPr>
      </w:pPr>
    </w:p>
    <w:p w14:paraId="393A0DB7" w14:textId="2EB964D6" w:rsidR="009E2964" w:rsidRDefault="009E2964" w:rsidP="00A35CF8">
      <w:pPr>
        <w:rPr>
          <w:rFonts w:cs="Arial"/>
          <w:i/>
        </w:rPr>
      </w:pPr>
      <w:r w:rsidRPr="00C80E3F">
        <w:rPr>
          <w:rFonts w:cs="Arial"/>
          <w:b/>
          <w:i/>
        </w:rPr>
        <w:t>1.4.3.1 Study #1</w:t>
      </w:r>
      <w:r w:rsidR="00C80E3F">
        <w:rPr>
          <w:rStyle w:val="EndnoteReference"/>
          <w:rFonts w:cs="Arial"/>
          <w:b/>
          <w:i/>
        </w:rPr>
        <w:endnoteReference w:id="9"/>
      </w:r>
      <w:r w:rsidR="005B372B">
        <w:rPr>
          <w:rFonts w:cs="Arial"/>
          <w:b/>
          <w:i/>
        </w:rPr>
        <w:t xml:space="preserve"> </w:t>
      </w:r>
      <w:r w:rsidR="005B372B">
        <w:rPr>
          <w:rFonts w:cs="Arial"/>
          <w:i/>
        </w:rPr>
        <w:t xml:space="preserve">Pre-Rinse Spray Valve Programs: How Are They Really Doing? </w:t>
      </w:r>
    </w:p>
    <w:p w14:paraId="1FC4876C" w14:textId="77777777" w:rsidR="001B05DA" w:rsidRDefault="001B05DA" w:rsidP="00A35CF8">
      <w:pPr>
        <w:rPr>
          <w:rFonts w:cs="Arial"/>
          <w:i/>
        </w:rPr>
      </w:pPr>
    </w:p>
    <w:p w14:paraId="518BFB93" w14:textId="51B5077D" w:rsidR="001B05DA" w:rsidRDefault="00DC4A97" w:rsidP="00A35CF8">
      <w:pPr>
        <w:rPr>
          <w:rFonts w:cs="Arial"/>
        </w:rPr>
      </w:pPr>
      <w:r>
        <w:rPr>
          <w:rFonts w:cs="Arial"/>
        </w:rPr>
        <w:t>The</w:t>
      </w:r>
      <w:r w:rsidR="001B05DA">
        <w:rPr>
          <w:rFonts w:cs="Arial"/>
        </w:rPr>
        <w:t xml:space="preserve"> study </w:t>
      </w:r>
      <w:r>
        <w:rPr>
          <w:rFonts w:cs="Arial"/>
        </w:rPr>
        <w:t xml:space="preserve">in 2005 </w:t>
      </w:r>
      <w:r w:rsidR="001B05DA">
        <w:rPr>
          <w:rFonts w:cs="Arial"/>
        </w:rPr>
        <w:t xml:space="preserve">by Bing Tso and John </w:t>
      </w:r>
      <w:proofErr w:type="spellStart"/>
      <w:r w:rsidR="001B05DA">
        <w:rPr>
          <w:rFonts w:cs="Arial"/>
        </w:rPr>
        <w:t>Koeller</w:t>
      </w:r>
      <w:proofErr w:type="spellEnd"/>
      <w:r>
        <w:rPr>
          <w:rFonts w:cs="Arial"/>
        </w:rPr>
        <w:t xml:space="preserve"> randomly selected </w:t>
      </w:r>
      <w:r w:rsidR="007003CC">
        <w:rPr>
          <w:rFonts w:cs="Arial"/>
        </w:rPr>
        <w:t>16</w:t>
      </w:r>
      <w:r w:rsidR="003101A4">
        <w:rPr>
          <w:rFonts w:cs="Arial"/>
        </w:rPr>
        <w:t xml:space="preserve"> different </w:t>
      </w:r>
      <w:r>
        <w:rPr>
          <w:rFonts w:cs="Arial"/>
        </w:rPr>
        <w:t>commercial food service</w:t>
      </w:r>
      <w:r w:rsidR="00A954E7">
        <w:rPr>
          <w:rFonts w:cs="Arial"/>
        </w:rPr>
        <w:t xml:space="preserve"> sites out of 17,000 spray valves </w:t>
      </w:r>
      <w:r w:rsidR="003101A4">
        <w:rPr>
          <w:rFonts w:cs="Arial"/>
        </w:rPr>
        <w:t xml:space="preserve">installation sites for monitoring and verification studies. All of these sites were locations where a high flow PRSV was initially measured for flow rate, hours of operation and mixed water temperature, and </w:t>
      </w:r>
      <w:r w:rsidR="003B1EFD">
        <w:rPr>
          <w:rFonts w:cs="Arial"/>
        </w:rPr>
        <w:t>subsequently</w:t>
      </w:r>
      <w:r w:rsidR="003101A4">
        <w:rPr>
          <w:rFonts w:cs="Arial"/>
        </w:rPr>
        <w:t xml:space="preserve"> monitored with a low flow nozzle.</w:t>
      </w:r>
      <w:r w:rsidR="00A954E7">
        <w:rPr>
          <w:rFonts w:cs="Arial"/>
        </w:rPr>
        <w:t xml:space="preserve"> The </w:t>
      </w:r>
      <w:r w:rsidR="003101A4">
        <w:rPr>
          <w:rFonts w:cs="Arial"/>
        </w:rPr>
        <w:t>study was conducted in</w:t>
      </w:r>
      <w:r>
        <w:rPr>
          <w:rFonts w:cs="Arial"/>
        </w:rPr>
        <w:t xml:space="preserve"> foodservice facilities throughout California, Washington, and Canadian cities over the course of two years</w:t>
      </w:r>
      <w:r w:rsidR="003101A4">
        <w:rPr>
          <w:rFonts w:cs="Arial"/>
        </w:rPr>
        <w:t xml:space="preserve"> from 2003 to 2005</w:t>
      </w:r>
      <w:r>
        <w:rPr>
          <w:rFonts w:cs="Arial"/>
        </w:rPr>
        <w:t xml:space="preserve">. The research was conducted through a combination of equipment monitoring and surveys and used to evaluate </w:t>
      </w:r>
      <w:r w:rsidRPr="00DC4A97">
        <w:rPr>
          <w:rFonts w:cs="Arial"/>
        </w:rPr>
        <w:t>the baseline operating hours, baseline flow rates, proposed operating hours, proposed flow rates, mixed water temperature, and supply water temperature</w:t>
      </w:r>
      <w:r>
        <w:rPr>
          <w:rFonts w:cs="Arial"/>
        </w:rPr>
        <w:t xml:space="preserve"> for each of the facilities</w:t>
      </w:r>
      <w:r w:rsidRPr="00DC4A97">
        <w:rPr>
          <w:rFonts w:cs="Arial"/>
        </w:rPr>
        <w:t xml:space="preserve">. </w:t>
      </w:r>
    </w:p>
    <w:p w14:paraId="3EF15DB2" w14:textId="77777777" w:rsidR="007F2BF5" w:rsidRDefault="007F2BF5" w:rsidP="007F2BF5">
      <w:pPr>
        <w:rPr>
          <w:rFonts w:cs="Arial"/>
          <w:b/>
          <w:i/>
          <w:sz w:val="24"/>
          <w:szCs w:val="20"/>
        </w:rPr>
      </w:pPr>
    </w:p>
    <w:p w14:paraId="5CAEF4C7" w14:textId="77777777" w:rsidR="007F2BF5" w:rsidRPr="007A3D8B" w:rsidRDefault="007F2BF5" w:rsidP="007F2BF5">
      <w:pPr>
        <w:rPr>
          <w:rFonts w:cs="Arial"/>
          <w:b/>
          <w:i/>
          <w:sz w:val="24"/>
          <w:szCs w:val="20"/>
        </w:rPr>
      </w:pPr>
      <w:r w:rsidRPr="007A3D8B">
        <w:rPr>
          <w:rFonts w:cs="Arial"/>
          <w:b/>
          <w:i/>
          <w:sz w:val="24"/>
          <w:szCs w:val="20"/>
        </w:rPr>
        <w:t xml:space="preserve">Energy Savings Calculation Assumptions: </w:t>
      </w:r>
    </w:p>
    <w:p w14:paraId="3C52235F" w14:textId="14E0AB81" w:rsidR="007F2BF5" w:rsidRPr="005A15FD" w:rsidRDefault="007F2BF5" w:rsidP="00A35CF8">
      <w:pPr>
        <w:pStyle w:val="WPPR2"/>
        <w:numPr>
          <w:ilvl w:val="0"/>
          <w:numId w:val="22"/>
        </w:numPr>
        <w:rPr>
          <w:rFonts w:cs="Arial"/>
          <w:sz w:val="22"/>
          <w:szCs w:val="22"/>
        </w:rPr>
      </w:pPr>
      <w:r w:rsidRPr="007F2BF5">
        <w:rPr>
          <w:rFonts w:cs="Arial"/>
          <w:sz w:val="22"/>
          <w:szCs w:val="22"/>
        </w:rPr>
        <w:t>Mixed water temperatures for food service establishments averaged 114</w:t>
      </w:r>
      <w:r>
        <w:rPr>
          <w:rFonts w:cs="Arial"/>
          <w:sz w:val="22"/>
          <w:szCs w:val="22"/>
        </w:rPr>
        <w:t>.1</w:t>
      </w:r>
      <w:r w:rsidRPr="007F2BF5">
        <w:rPr>
          <w:rFonts w:cs="Arial"/>
          <w:sz w:val="22"/>
          <w:szCs w:val="22"/>
        </w:rPr>
        <w:t>°F during the monitoring period</w:t>
      </w:r>
      <w:r>
        <w:rPr>
          <w:rFonts w:cs="Arial"/>
          <w:sz w:val="22"/>
          <w:szCs w:val="22"/>
        </w:rPr>
        <w:t xml:space="preserve">. </w:t>
      </w:r>
    </w:p>
    <w:p w14:paraId="393A0DBC" w14:textId="77777777" w:rsidR="00432C65" w:rsidRDefault="00432C65" w:rsidP="00A35CF8">
      <w:pPr>
        <w:rPr>
          <w:b/>
        </w:rPr>
      </w:pPr>
    </w:p>
    <w:p w14:paraId="66936FEB" w14:textId="77777777" w:rsidR="007213CF" w:rsidRPr="006A66DA" w:rsidRDefault="00C80E3F" w:rsidP="007213CF">
      <w:pPr>
        <w:rPr>
          <w:rFonts w:cs="Arial"/>
          <w:i/>
          <w:sz w:val="24"/>
          <w:szCs w:val="20"/>
          <w:highlight w:val="cyan"/>
        </w:rPr>
      </w:pPr>
      <w:r w:rsidRPr="006A66DA">
        <w:rPr>
          <w:rFonts w:cs="Arial"/>
          <w:b/>
          <w:i/>
          <w:sz w:val="24"/>
          <w:szCs w:val="20"/>
        </w:rPr>
        <w:t>Hours of Operation</w:t>
      </w:r>
      <w:r w:rsidRPr="006A66DA">
        <w:rPr>
          <w:rFonts w:cs="Arial"/>
          <w:i/>
          <w:sz w:val="24"/>
          <w:szCs w:val="20"/>
        </w:rPr>
        <w:t xml:space="preserve">: </w:t>
      </w:r>
    </w:p>
    <w:p w14:paraId="52B1F2AF" w14:textId="77777777" w:rsidR="007213CF" w:rsidRDefault="007213CF" w:rsidP="007213CF">
      <w:pPr>
        <w:ind w:left="360"/>
        <w:rPr>
          <w:rFonts w:cs="Arial"/>
          <w:sz w:val="20"/>
          <w:szCs w:val="20"/>
          <w:highlight w:val="yellow"/>
        </w:rPr>
      </w:pPr>
    </w:p>
    <w:p w14:paraId="019DE76D" w14:textId="7ECFD493" w:rsidR="00925E1A" w:rsidRDefault="009E423A" w:rsidP="009E423A">
      <w:pPr>
        <w:pStyle w:val="PR2"/>
        <w:numPr>
          <w:ilvl w:val="0"/>
          <w:numId w:val="22"/>
        </w:numPr>
        <w:rPr>
          <w:sz w:val="22"/>
        </w:rPr>
      </w:pPr>
      <w:r w:rsidRPr="006A66DA">
        <w:rPr>
          <w:sz w:val="22"/>
        </w:rPr>
        <w:t xml:space="preserve">The baseline operating hours were determined using the results of existing evaluation studies for restaurant facilities that included baseline operating hours of 0.79 hours/day for a 2.92 </w:t>
      </w:r>
      <w:proofErr w:type="spellStart"/>
      <w:r w:rsidR="009C5F86">
        <w:rPr>
          <w:sz w:val="22"/>
        </w:rPr>
        <w:t>gpm</w:t>
      </w:r>
      <w:proofErr w:type="spellEnd"/>
      <w:r w:rsidR="005A15FD">
        <w:rPr>
          <w:sz w:val="22"/>
        </w:rPr>
        <w:t xml:space="preserve"> </w:t>
      </w:r>
      <w:r w:rsidRPr="006A66DA">
        <w:rPr>
          <w:sz w:val="22"/>
        </w:rPr>
        <w:t xml:space="preserve">unit and the proposed operating hours of 1.02 hours/day for a 1.18 </w:t>
      </w:r>
      <w:proofErr w:type="spellStart"/>
      <w:r w:rsidR="009C5F86">
        <w:rPr>
          <w:sz w:val="22"/>
        </w:rPr>
        <w:t>gpm</w:t>
      </w:r>
      <w:proofErr w:type="spellEnd"/>
      <w:r w:rsidR="005A15FD">
        <w:rPr>
          <w:sz w:val="22"/>
        </w:rPr>
        <w:t xml:space="preserve"> unit</w:t>
      </w:r>
      <w:r w:rsidRPr="006A66DA">
        <w:rPr>
          <w:sz w:val="22"/>
        </w:rPr>
        <w:t xml:space="preserve">. The linear relationship between these two parameters yielded </w:t>
      </w:r>
      <w:r w:rsidR="00925E1A">
        <w:rPr>
          <w:sz w:val="22"/>
        </w:rPr>
        <w:t>a</w:t>
      </w:r>
      <w:r w:rsidR="00ED3DA7">
        <w:rPr>
          <w:sz w:val="22"/>
        </w:rPr>
        <w:t>n</w:t>
      </w:r>
      <w:r w:rsidR="00925E1A">
        <w:rPr>
          <w:sz w:val="22"/>
        </w:rPr>
        <w:t xml:space="preserve"> equation that was </w:t>
      </w:r>
      <w:r w:rsidR="00925E1A" w:rsidRPr="006A66DA">
        <w:rPr>
          <w:sz w:val="22"/>
        </w:rPr>
        <w:t>utilized to calculate operating hours for the baseline unit at 1.</w:t>
      </w:r>
      <w:r w:rsidR="00925E1A">
        <w:rPr>
          <w:sz w:val="22"/>
        </w:rPr>
        <w:t>40</w:t>
      </w:r>
      <w:r w:rsidR="00925E1A" w:rsidRPr="006A66DA">
        <w:rPr>
          <w:sz w:val="22"/>
        </w:rPr>
        <w:t xml:space="preserve"> </w:t>
      </w:r>
      <w:proofErr w:type="spellStart"/>
      <w:r w:rsidR="00925E1A">
        <w:rPr>
          <w:sz w:val="22"/>
        </w:rPr>
        <w:t>gpm</w:t>
      </w:r>
      <w:proofErr w:type="spellEnd"/>
      <w:r w:rsidR="00925E1A">
        <w:rPr>
          <w:sz w:val="22"/>
        </w:rPr>
        <w:t>.</w:t>
      </w:r>
      <w:r w:rsidR="00925E1A" w:rsidRPr="006A66DA">
        <w:rPr>
          <w:sz w:val="22"/>
        </w:rPr>
        <w:t xml:space="preserve"> </w:t>
      </w:r>
      <w:r w:rsidR="00925E1A">
        <w:rPr>
          <w:sz w:val="22"/>
        </w:rPr>
        <w:t>T</w:t>
      </w:r>
      <w:r w:rsidRPr="006A66DA">
        <w:rPr>
          <w:sz w:val="22"/>
        </w:rPr>
        <w:t>he equation</w:t>
      </w:r>
      <w:r w:rsidR="00925E1A">
        <w:rPr>
          <w:sz w:val="22"/>
        </w:rPr>
        <w:t xml:space="preserve"> is as follows: </w:t>
      </w:r>
    </w:p>
    <w:p w14:paraId="5D96011D" w14:textId="75DCE4CB" w:rsidR="009E423A" w:rsidRDefault="009E423A" w:rsidP="00925E1A">
      <w:pPr>
        <w:pStyle w:val="PR2"/>
        <w:numPr>
          <w:ilvl w:val="0"/>
          <w:numId w:val="0"/>
        </w:numPr>
        <w:ind w:left="1440" w:firstLine="720"/>
        <w:rPr>
          <w:sz w:val="22"/>
        </w:rPr>
      </w:pPr>
      <w:r w:rsidRPr="006A66DA">
        <w:rPr>
          <w:sz w:val="22"/>
        </w:rPr>
        <w:t xml:space="preserve"> Hours/d</w:t>
      </w:r>
      <w:r w:rsidR="00925E1A">
        <w:rPr>
          <w:sz w:val="22"/>
        </w:rPr>
        <w:t>ay = -0.1322 x Flow Rate +1.176</w:t>
      </w:r>
    </w:p>
    <w:p w14:paraId="364238E8" w14:textId="77777777" w:rsidR="00925E1A" w:rsidRPr="006A66DA" w:rsidRDefault="00925E1A" w:rsidP="00925E1A">
      <w:pPr>
        <w:pStyle w:val="PR2"/>
        <w:numPr>
          <w:ilvl w:val="0"/>
          <w:numId w:val="0"/>
        </w:numPr>
        <w:ind w:left="1440" w:firstLine="720"/>
        <w:rPr>
          <w:sz w:val="22"/>
        </w:rPr>
      </w:pPr>
    </w:p>
    <w:p w14:paraId="5EB59D4F" w14:textId="0A203C3F" w:rsidR="009E423A" w:rsidRPr="006A66DA" w:rsidRDefault="009E423A" w:rsidP="009E423A">
      <w:pPr>
        <w:pStyle w:val="ListParagraph"/>
        <w:numPr>
          <w:ilvl w:val="0"/>
          <w:numId w:val="22"/>
        </w:numPr>
        <w:rPr>
          <w:rFonts w:eastAsia="Batang"/>
          <w:szCs w:val="20"/>
        </w:rPr>
      </w:pPr>
      <w:r w:rsidRPr="006A66DA">
        <w:rPr>
          <w:rFonts w:eastAsia="Batang"/>
          <w:szCs w:val="20"/>
        </w:rPr>
        <w:t xml:space="preserve">The measure flow rate is </w:t>
      </w:r>
      <w:r w:rsidR="00925E1A">
        <w:rPr>
          <w:rFonts w:eastAsia="Batang"/>
          <w:szCs w:val="20"/>
        </w:rPr>
        <w:t>the rated flow of</w:t>
      </w:r>
      <w:r w:rsidRPr="006A66DA">
        <w:rPr>
          <w:rFonts w:eastAsia="Batang"/>
          <w:szCs w:val="20"/>
        </w:rPr>
        <w:t xml:space="preserve"> 1.15 </w:t>
      </w:r>
      <w:proofErr w:type="spellStart"/>
      <w:r w:rsidR="009C5F86">
        <w:rPr>
          <w:rFonts w:eastAsia="Batang"/>
          <w:szCs w:val="20"/>
        </w:rPr>
        <w:t>gpm</w:t>
      </w:r>
      <w:proofErr w:type="spellEnd"/>
      <w:r w:rsidRPr="006A66DA">
        <w:rPr>
          <w:rFonts w:eastAsia="Batang"/>
          <w:szCs w:val="20"/>
        </w:rPr>
        <w:t xml:space="preserve"> for the qualifying PRSVs. The measure </w:t>
      </w:r>
      <w:r w:rsidR="00D3547B">
        <w:rPr>
          <w:rFonts w:eastAsia="Batang"/>
          <w:szCs w:val="20"/>
        </w:rPr>
        <w:t>hours of operation</w:t>
      </w:r>
      <w:r w:rsidRPr="006A66DA">
        <w:rPr>
          <w:rFonts w:eastAsia="Batang"/>
          <w:szCs w:val="20"/>
        </w:rPr>
        <w:t xml:space="preserve"> are consistent with the results of evaluation studies for previously implemented pre-rinse spray valve </w:t>
      </w:r>
      <w:r w:rsidRPr="0008610D">
        <w:rPr>
          <w:rFonts w:eastAsia="Batang"/>
          <w:szCs w:val="20"/>
        </w:rPr>
        <w:t>programs</w:t>
      </w:r>
      <w:r w:rsidR="00D3547B">
        <w:rPr>
          <w:rFonts w:eastAsia="Batang"/>
          <w:szCs w:val="20"/>
        </w:rPr>
        <w:t xml:space="preserve">. </w:t>
      </w:r>
    </w:p>
    <w:p w14:paraId="3504EEEA" w14:textId="77777777" w:rsidR="009E423A" w:rsidRDefault="009E423A" w:rsidP="009E423A">
      <w:pPr>
        <w:rPr>
          <w:rFonts w:cs="Arial"/>
          <w:b/>
          <w:i/>
          <w:sz w:val="20"/>
          <w:szCs w:val="20"/>
        </w:rPr>
      </w:pPr>
    </w:p>
    <w:p w14:paraId="6FD5A507" w14:textId="5C738191" w:rsidR="008436DA" w:rsidRPr="008436DA" w:rsidRDefault="00C104E1" w:rsidP="008436DA">
      <w:pPr>
        <w:pStyle w:val="Table"/>
        <w:rPr>
          <w:rFonts w:ascii="Calibri" w:hAnsi="Calibri" w:cs="Calibri"/>
          <w:sz w:val="26"/>
          <w:szCs w:val="26"/>
        </w:rPr>
      </w:pPr>
      <w:bookmarkStart w:id="68" w:name="_Toc391398024"/>
      <w:r w:rsidRPr="003541A6">
        <w:t xml:space="preserve">Table </w:t>
      </w:r>
      <w:r w:rsidR="00544E9C">
        <w:fldChar w:fldCharType="begin"/>
      </w:r>
      <w:r w:rsidR="00544E9C">
        <w:instrText xml:space="preserve"> SEQ Table \* ARABIC </w:instrText>
      </w:r>
      <w:r w:rsidR="00544E9C">
        <w:fldChar w:fldCharType="separate"/>
      </w:r>
      <w:r w:rsidR="00CE5AEA">
        <w:rPr>
          <w:noProof/>
        </w:rPr>
        <w:t>6</w:t>
      </w:r>
      <w:r w:rsidR="00544E9C">
        <w:rPr>
          <w:noProof/>
        </w:rPr>
        <w:fldChar w:fldCharType="end"/>
      </w:r>
      <w:r w:rsidR="008436DA" w:rsidRPr="003541A6">
        <w:rPr>
          <w:rFonts w:ascii="Calibri" w:hAnsi="Calibri" w:cs="Calibri"/>
          <w:sz w:val="26"/>
          <w:szCs w:val="26"/>
        </w:rPr>
        <w:t xml:space="preserve"> </w:t>
      </w:r>
      <w:r w:rsidR="008436DA">
        <w:t>Base and Measure Case Operating Hours</w:t>
      </w:r>
      <w:bookmarkEnd w:id="68"/>
    </w:p>
    <w:tbl>
      <w:tblPr>
        <w:tblStyle w:val="TableGrid"/>
        <w:tblW w:w="6441" w:type="dxa"/>
        <w:jc w:val="center"/>
        <w:tblInd w:w="-362" w:type="dxa"/>
        <w:tblCellMar>
          <w:top w:w="43" w:type="dxa"/>
          <w:left w:w="115" w:type="dxa"/>
          <w:bottom w:w="43" w:type="dxa"/>
          <w:right w:w="115" w:type="dxa"/>
        </w:tblCellMar>
        <w:tblLook w:val="01E0" w:firstRow="1" w:lastRow="1" w:firstColumn="1" w:lastColumn="1" w:noHBand="0" w:noVBand="0"/>
      </w:tblPr>
      <w:tblGrid>
        <w:gridCol w:w="2742"/>
        <w:gridCol w:w="1710"/>
        <w:gridCol w:w="1989"/>
      </w:tblGrid>
      <w:tr w:rsidR="009E423A" w14:paraId="461AEB38" w14:textId="77777777" w:rsidTr="005635A0">
        <w:trPr>
          <w:trHeight w:val="20"/>
          <w:jc w:val="center"/>
        </w:trPr>
        <w:tc>
          <w:tcPr>
            <w:tcW w:w="2742" w:type="dxa"/>
            <w:vAlign w:val="bottom"/>
          </w:tcPr>
          <w:p w14:paraId="6C1D5693" w14:textId="77777777" w:rsidR="009E423A" w:rsidRPr="00420887" w:rsidRDefault="009E423A" w:rsidP="008143A3">
            <w:pPr>
              <w:pStyle w:val="Normal1"/>
              <w:spacing w:after="0" w:line="240" w:lineRule="auto"/>
              <w:jc w:val="center"/>
              <w:rPr>
                <w:rFonts w:ascii="Arial" w:hAnsi="Arial" w:cs="Arial"/>
                <w:b/>
                <w:sz w:val="18"/>
                <w:szCs w:val="18"/>
              </w:rPr>
            </w:pPr>
            <w:r>
              <w:rPr>
                <w:rFonts w:ascii="Arial" w:hAnsi="Arial" w:cs="Arial"/>
                <w:b/>
                <w:sz w:val="18"/>
                <w:szCs w:val="18"/>
              </w:rPr>
              <w:t>Equipment Type</w:t>
            </w:r>
          </w:p>
        </w:tc>
        <w:tc>
          <w:tcPr>
            <w:tcW w:w="1710" w:type="dxa"/>
            <w:vAlign w:val="bottom"/>
          </w:tcPr>
          <w:p w14:paraId="3C8F375E" w14:textId="1B54AA4A" w:rsidR="009E423A" w:rsidRPr="00420887" w:rsidRDefault="009E423A" w:rsidP="008143A3">
            <w:pPr>
              <w:pStyle w:val="Normal1"/>
              <w:spacing w:after="0" w:line="240" w:lineRule="auto"/>
              <w:jc w:val="center"/>
              <w:rPr>
                <w:rFonts w:ascii="Arial" w:hAnsi="Arial" w:cs="Arial"/>
                <w:b/>
                <w:sz w:val="18"/>
                <w:szCs w:val="18"/>
              </w:rPr>
            </w:pPr>
            <w:r>
              <w:rPr>
                <w:rFonts w:ascii="Arial" w:hAnsi="Arial" w:cs="Arial"/>
                <w:b/>
                <w:sz w:val="18"/>
                <w:szCs w:val="18"/>
              </w:rPr>
              <w:t>Rated Flow (</w:t>
            </w:r>
            <w:proofErr w:type="spellStart"/>
            <w:r w:rsidR="009C5F86">
              <w:rPr>
                <w:rFonts w:ascii="Arial" w:hAnsi="Arial" w:cs="Arial"/>
                <w:b/>
                <w:sz w:val="18"/>
                <w:szCs w:val="18"/>
              </w:rPr>
              <w:t>gpm</w:t>
            </w:r>
            <w:proofErr w:type="spellEnd"/>
            <w:r>
              <w:rPr>
                <w:rFonts w:ascii="Arial" w:hAnsi="Arial" w:cs="Arial"/>
                <w:b/>
                <w:sz w:val="18"/>
                <w:szCs w:val="18"/>
              </w:rPr>
              <w:t>)</w:t>
            </w:r>
          </w:p>
        </w:tc>
        <w:tc>
          <w:tcPr>
            <w:tcW w:w="1989" w:type="dxa"/>
            <w:vAlign w:val="bottom"/>
          </w:tcPr>
          <w:p w14:paraId="5D4BF5A0" w14:textId="77777777" w:rsidR="009E423A" w:rsidRPr="00420887" w:rsidRDefault="009E423A" w:rsidP="008143A3">
            <w:pPr>
              <w:pStyle w:val="Normal1"/>
              <w:spacing w:after="0" w:line="240" w:lineRule="auto"/>
              <w:jc w:val="center"/>
              <w:rPr>
                <w:rFonts w:ascii="Arial" w:hAnsi="Arial" w:cs="Arial"/>
                <w:b/>
                <w:sz w:val="18"/>
                <w:szCs w:val="18"/>
              </w:rPr>
            </w:pPr>
            <w:r>
              <w:rPr>
                <w:rFonts w:ascii="Arial" w:hAnsi="Arial" w:cs="Arial"/>
                <w:b/>
                <w:sz w:val="18"/>
                <w:szCs w:val="18"/>
              </w:rPr>
              <w:t>Operating Hours (</w:t>
            </w:r>
            <w:proofErr w:type="spellStart"/>
            <w:r>
              <w:rPr>
                <w:rFonts w:ascii="Arial" w:hAnsi="Arial" w:cs="Arial"/>
                <w:b/>
                <w:sz w:val="18"/>
                <w:szCs w:val="18"/>
              </w:rPr>
              <w:t>Hr</w:t>
            </w:r>
            <w:proofErr w:type="spellEnd"/>
            <w:r>
              <w:rPr>
                <w:rFonts w:ascii="Arial" w:hAnsi="Arial" w:cs="Arial"/>
                <w:b/>
                <w:sz w:val="18"/>
                <w:szCs w:val="18"/>
              </w:rPr>
              <w:t>/Day)</w:t>
            </w:r>
          </w:p>
        </w:tc>
      </w:tr>
      <w:tr w:rsidR="009E423A" w14:paraId="1AE569F2" w14:textId="77777777" w:rsidTr="005635A0">
        <w:trPr>
          <w:trHeight w:val="20"/>
          <w:jc w:val="center"/>
        </w:trPr>
        <w:tc>
          <w:tcPr>
            <w:tcW w:w="2742" w:type="dxa"/>
            <w:vAlign w:val="center"/>
          </w:tcPr>
          <w:p w14:paraId="11BE92FF" w14:textId="6230E710" w:rsidR="009E423A" w:rsidRPr="00E56236" w:rsidRDefault="009E423A" w:rsidP="00D3547B">
            <w:pPr>
              <w:rPr>
                <w:rFonts w:cs="Arial"/>
                <w:sz w:val="18"/>
                <w:szCs w:val="18"/>
              </w:rPr>
            </w:pPr>
            <w:r>
              <w:rPr>
                <w:rFonts w:cs="Arial"/>
                <w:sz w:val="18"/>
                <w:szCs w:val="18"/>
              </w:rPr>
              <w:t>Base</w:t>
            </w:r>
            <w:r w:rsidR="00D3547B">
              <w:rPr>
                <w:rFonts w:cs="Arial"/>
                <w:sz w:val="18"/>
                <w:szCs w:val="18"/>
              </w:rPr>
              <w:t xml:space="preserve"> Case</w:t>
            </w:r>
          </w:p>
        </w:tc>
        <w:tc>
          <w:tcPr>
            <w:tcW w:w="1710" w:type="dxa"/>
            <w:vAlign w:val="center"/>
          </w:tcPr>
          <w:p w14:paraId="5719F755" w14:textId="4363A6BE" w:rsidR="009E423A" w:rsidRPr="00E7102E" w:rsidRDefault="009E423A" w:rsidP="008143A3">
            <w:pPr>
              <w:jc w:val="center"/>
              <w:rPr>
                <w:rFonts w:cs="Arial"/>
                <w:sz w:val="18"/>
                <w:szCs w:val="18"/>
              </w:rPr>
            </w:pPr>
            <w:r>
              <w:rPr>
                <w:rFonts w:cs="Arial"/>
                <w:sz w:val="18"/>
                <w:szCs w:val="18"/>
              </w:rPr>
              <w:t>1.</w:t>
            </w:r>
            <w:r w:rsidR="00D3547B">
              <w:rPr>
                <w:rFonts w:cs="Arial"/>
                <w:sz w:val="18"/>
                <w:szCs w:val="18"/>
              </w:rPr>
              <w:t>4</w:t>
            </w:r>
            <w:r w:rsidR="005635A0">
              <w:rPr>
                <w:rFonts w:cs="Arial"/>
                <w:sz w:val="18"/>
                <w:szCs w:val="18"/>
              </w:rPr>
              <w:t>0</w:t>
            </w:r>
          </w:p>
        </w:tc>
        <w:tc>
          <w:tcPr>
            <w:tcW w:w="1989" w:type="dxa"/>
            <w:vAlign w:val="center"/>
          </w:tcPr>
          <w:p w14:paraId="1A3268A6" w14:textId="061B8F5C" w:rsidR="009E423A" w:rsidRPr="00E7102E" w:rsidRDefault="009E423A" w:rsidP="00D3547B">
            <w:pPr>
              <w:jc w:val="center"/>
              <w:rPr>
                <w:rFonts w:cs="Arial"/>
                <w:sz w:val="18"/>
                <w:szCs w:val="18"/>
              </w:rPr>
            </w:pPr>
            <w:r>
              <w:rPr>
                <w:rFonts w:cs="Arial"/>
                <w:sz w:val="18"/>
                <w:szCs w:val="18"/>
              </w:rPr>
              <w:t>0.9</w:t>
            </w:r>
            <w:r w:rsidR="00D3547B">
              <w:rPr>
                <w:rFonts w:cs="Arial"/>
                <w:sz w:val="18"/>
                <w:szCs w:val="18"/>
              </w:rPr>
              <w:t>91</w:t>
            </w:r>
          </w:p>
        </w:tc>
      </w:tr>
      <w:tr w:rsidR="009E423A" w14:paraId="62ED2E44" w14:textId="77777777" w:rsidTr="005635A0">
        <w:trPr>
          <w:trHeight w:val="20"/>
          <w:jc w:val="center"/>
        </w:trPr>
        <w:tc>
          <w:tcPr>
            <w:tcW w:w="2742" w:type="dxa"/>
            <w:vAlign w:val="center"/>
          </w:tcPr>
          <w:p w14:paraId="5088327B" w14:textId="7BC73466" w:rsidR="009E423A" w:rsidRDefault="009E423A" w:rsidP="008143A3">
            <w:pPr>
              <w:rPr>
                <w:rFonts w:cs="Arial"/>
                <w:sz w:val="18"/>
                <w:szCs w:val="18"/>
              </w:rPr>
            </w:pPr>
            <w:r>
              <w:rPr>
                <w:rFonts w:cs="Arial"/>
                <w:sz w:val="18"/>
                <w:szCs w:val="18"/>
              </w:rPr>
              <w:t>Qualifying Measure</w:t>
            </w:r>
          </w:p>
        </w:tc>
        <w:tc>
          <w:tcPr>
            <w:tcW w:w="1710" w:type="dxa"/>
            <w:vAlign w:val="center"/>
          </w:tcPr>
          <w:p w14:paraId="14056770" w14:textId="77777777" w:rsidR="009E423A" w:rsidRDefault="009E423A" w:rsidP="008143A3">
            <w:pPr>
              <w:jc w:val="center"/>
              <w:rPr>
                <w:rFonts w:cs="Arial"/>
                <w:sz w:val="18"/>
                <w:szCs w:val="18"/>
              </w:rPr>
            </w:pPr>
            <w:r>
              <w:rPr>
                <w:rFonts w:cs="Arial"/>
                <w:sz w:val="18"/>
                <w:szCs w:val="18"/>
              </w:rPr>
              <w:t>1.15</w:t>
            </w:r>
          </w:p>
        </w:tc>
        <w:tc>
          <w:tcPr>
            <w:tcW w:w="1989" w:type="dxa"/>
            <w:vAlign w:val="center"/>
          </w:tcPr>
          <w:p w14:paraId="2E5DE37E" w14:textId="77777777" w:rsidR="009E423A" w:rsidRDefault="009E423A" w:rsidP="008143A3">
            <w:pPr>
              <w:jc w:val="center"/>
              <w:rPr>
                <w:rFonts w:cs="Arial"/>
                <w:sz w:val="18"/>
                <w:szCs w:val="18"/>
              </w:rPr>
            </w:pPr>
            <w:r>
              <w:rPr>
                <w:rFonts w:cs="Arial"/>
                <w:sz w:val="18"/>
                <w:szCs w:val="18"/>
              </w:rPr>
              <w:t>1.024</w:t>
            </w:r>
          </w:p>
        </w:tc>
      </w:tr>
      <w:tr w:rsidR="005635A0" w14:paraId="3A2548B9" w14:textId="77777777" w:rsidTr="005635A0">
        <w:trPr>
          <w:trHeight w:val="20"/>
          <w:jc w:val="center"/>
        </w:trPr>
        <w:tc>
          <w:tcPr>
            <w:tcW w:w="2742" w:type="dxa"/>
            <w:vAlign w:val="center"/>
          </w:tcPr>
          <w:p w14:paraId="1C58946C" w14:textId="1424060A" w:rsidR="005635A0" w:rsidRDefault="005635A0" w:rsidP="008143A3">
            <w:pPr>
              <w:rPr>
                <w:rFonts w:cs="Arial"/>
                <w:sz w:val="18"/>
                <w:szCs w:val="18"/>
              </w:rPr>
            </w:pPr>
            <w:r>
              <w:rPr>
                <w:rFonts w:cs="Arial"/>
                <w:sz w:val="18"/>
                <w:szCs w:val="18"/>
              </w:rPr>
              <w:t>Base Case- Measure Case</w:t>
            </w:r>
          </w:p>
        </w:tc>
        <w:tc>
          <w:tcPr>
            <w:tcW w:w="1710" w:type="dxa"/>
            <w:vAlign w:val="center"/>
          </w:tcPr>
          <w:p w14:paraId="0D42BBFE" w14:textId="77777777" w:rsidR="005635A0" w:rsidRDefault="005635A0" w:rsidP="008143A3">
            <w:pPr>
              <w:jc w:val="center"/>
              <w:rPr>
                <w:rFonts w:cs="Arial"/>
                <w:sz w:val="18"/>
                <w:szCs w:val="18"/>
              </w:rPr>
            </w:pPr>
          </w:p>
        </w:tc>
        <w:tc>
          <w:tcPr>
            <w:tcW w:w="1989" w:type="dxa"/>
            <w:vAlign w:val="center"/>
          </w:tcPr>
          <w:p w14:paraId="5432C10F" w14:textId="6DA42CEC" w:rsidR="005635A0" w:rsidRDefault="005635A0" w:rsidP="008143A3">
            <w:pPr>
              <w:jc w:val="center"/>
              <w:rPr>
                <w:rFonts w:cs="Arial"/>
                <w:sz w:val="18"/>
                <w:szCs w:val="18"/>
              </w:rPr>
            </w:pPr>
            <w:r>
              <w:rPr>
                <w:rFonts w:cs="Arial"/>
                <w:sz w:val="18"/>
                <w:szCs w:val="18"/>
              </w:rPr>
              <w:t>0.033</w:t>
            </w:r>
          </w:p>
        </w:tc>
      </w:tr>
    </w:tbl>
    <w:p w14:paraId="31362ECC" w14:textId="17DECD3E" w:rsidR="00D3547B" w:rsidRPr="006A66DA" w:rsidRDefault="005635A0" w:rsidP="00D3547B">
      <w:pPr>
        <w:pStyle w:val="ListParagraph"/>
        <w:numPr>
          <w:ilvl w:val="0"/>
          <w:numId w:val="22"/>
        </w:numPr>
        <w:rPr>
          <w:rFonts w:eastAsia="Batang"/>
          <w:szCs w:val="20"/>
        </w:rPr>
      </w:pPr>
      <w:r>
        <w:rPr>
          <w:rFonts w:eastAsia="Batang"/>
          <w:szCs w:val="20"/>
        </w:rPr>
        <w:t>Using the formula provided in the study documented below, t</w:t>
      </w:r>
      <w:r w:rsidR="00D3547B" w:rsidRPr="006A66DA">
        <w:rPr>
          <w:rFonts w:eastAsia="Batang"/>
          <w:szCs w:val="20"/>
        </w:rPr>
        <w:t xml:space="preserve">he </w:t>
      </w:r>
      <w:r>
        <w:rPr>
          <w:rFonts w:eastAsia="Batang"/>
          <w:szCs w:val="20"/>
        </w:rPr>
        <w:t>difference in the hours of operation between the base and measure case is 0.033 hours per day</w:t>
      </w:r>
      <w:r w:rsidR="002C59BE">
        <w:rPr>
          <w:rFonts w:eastAsia="Batang"/>
          <w:szCs w:val="20"/>
        </w:rPr>
        <w:t xml:space="preserve"> (3%)</w:t>
      </w:r>
      <w:r>
        <w:rPr>
          <w:rFonts w:eastAsia="Batang"/>
          <w:szCs w:val="20"/>
        </w:rPr>
        <w:t xml:space="preserve"> and is assumed to be negligent for this work paper. Therefore it is assumed that the operating hours of spray valves at or below 1.4 </w:t>
      </w:r>
      <w:proofErr w:type="spellStart"/>
      <w:r>
        <w:rPr>
          <w:rFonts w:eastAsia="Batang"/>
          <w:szCs w:val="20"/>
        </w:rPr>
        <w:t>gpm</w:t>
      </w:r>
      <w:proofErr w:type="spellEnd"/>
      <w:r>
        <w:rPr>
          <w:rFonts w:eastAsia="Batang"/>
          <w:szCs w:val="20"/>
        </w:rPr>
        <w:t xml:space="preserve"> will have 1.00 hours of operation per day.  </w:t>
      </w:r>
    </w:p>
    <w:p w14:paraId="393A0E38" w14:textId="36D65E59" w:rsidR="00CA734B" w:rsidRPr="00432C65" w:rsidRDefault="00CA734B" w:rsidP="00A35CF8">
      <w:pPr>
        <w:rPr>
          <w:rFonts w:cs="Arial"/>
          <w:sz w:val="20"/>
          <w:szCs w:val="20"/>
        </w:rPr>
      </w:pPr>
    </w:p>
    <w:p w14:paraId="393A0E6F" w14:textId="77777777" w:rsidR="00CA734B" w:rsidRPr="00432C65" w:rsidRDefault="00CA734B" w:rsidP="00A35CF8">
      <w:pPr>
        <w:rPr>
          <w:rFonts w:cs="Arial"/>
          <w:sz w:val="20"/>
          <w:szCs w:val="20"/>
        </w:rPr>
      </w:pPr>
    </w:p>
    <w:p w14:paraId="577451FF" w14:textId="77777777" w:rsidR="006A66DA" w:rsidRDefault="00C80E3F" w:rsidP="006A66DA">
      <w:pPr>
        <w:spacing w:line="360" w:lineRule="auto"/>
        <w:rPr>
          <w:rFonts w:cs="Arial"/>
          <w:i/>
          <w:sz w:val="24"/>
        </w:rPr>
      </w:pPr>
      <w:r w:rsidRPr="006A66DA">
        <w:rPr>
          <w:rFonts w:cs="Arial"/>
          <w:b/>
          <w:i/>
          <w:sz w:val="24"/>
        </w:rPr>
        <w:t>Effective Useful Life:</w:t>
      </w:r>
      <w:r w:rsidR="00437BE1" w:rsidRPr="006A66DA">
        <w:rPr>
          <w:rFonts w:cs="Arial"/>
          <w:i/>
          <w:sz w:val="24"/>
        </w:rPr>
        <w:t xml:space="preserve"> </w:t>
      </w:r>
    </w:p>
    <w:p w14:paraId="1C3AA43D" w14:textId="217B9095" w:rsidR="001B05DA" w:rsidRDefault="001B05DA" w:rsidP="00ED3DA7">
      <w:pPr>
        <w:pStyle w:val="ListParagraph"/>
        <w:numPr>
          <w:ilvl w:val="0"/>
          <w:numId w:val="22"/>
        </w:numPr>
      </w:pPr>
      <w:r w:rsidRPr="006A66DA">
        <w:t>For pre-rinse spray valves, the EUL of 5 years is taken from the 2007 impact and process evaluation of the California Urban Water Conservation Council 2004-5 Pre-Rinse Spray Valve Installa</w:t>
      </w:r>
      <w:r w:rsidR="00ED3DA7">
        <w:t>tion Program (Phase 2) study</w:t>
      </w:r>
      <w:r w:rsidRPr="006A66DA">
        <w:t>.</w:t>
      </w:r>
    </w:p>
    <w:p w14:paraId="33FA3A7B" w14:textId="77777777" w:rsidR="00ED3DA7" w:rsidRDefault="00ED3DA7" w:rsidP="006A66DA"/>
    <w:p w14:paraId="38D4DD24" w14:textId="77777777" w:rsidR="007A3D8B" w:rsidRDefault="007A3D8B" w:rsidP="006A66DA"/>
    <w:p w14:paraId="59348512" w14:textId="6D9F4B51" w:rsidR="007A3D8B" w:rsidRDefault="007A3D8B" w:rsidP="006A66DA">
      <w:pPr>
        <w:rPr>
          <w:rFonts w:cs="Arial"/>
          <w:i/>
        </w:rPr>
      </w:pPr>
      <w:r w:rsidRPr="007A3D8B">
        <w:rPr>
          <w:rFonts w:cs="Arial"/>
          <w:b/>
          <w:i/>
        </w:rPr>
        <w:t xml:space="preserve">1.4.3.2 Study #2 </w:t>
      </w:r>
      <w:r w:rsidRPr="007A3D8B">
        <w:rPr>
          <w:rFonts w:cs="Arial"/>
          <w:i/>
        </w:rPr>
        <w:t>SBW (2007) Impact and Process Evaluation Final Report for the CUWCC Pre-Rinse Spray Valve Program</w:t>
      </w:r>
      <w:r>
        <w:rPr>
          <w:rStyle w:val="EndnoteReference"/>
          <w:rFonts w:cs="Arial"/>
          <w:i/>
        </w:rPr>
        <w:endnoteReference w:id="10"/>
      </w:r>
    </w:p>
    <w:p w14:paraId="0FAF4ECA" w14:textId="77777777" w:rsidR="007A3D8B" w:rsidRDefault="007A3D8B" w:rsidP="006A66DA">
      <w:pPr>
        <w:rPr>
          <w:rFonts w:cs="Arial"/>
        </w:rPr>
      </w:pPr>
    </w:p>
    <w:p w14:paraId="45AA66C9" w14:textId="08976BFC" w:rsidR="007A3D8B" w:rsidRPr="007A3D8B" w:rsidRDefault="007A3D8B" w:rsidP="006A66DA">
      <w:pPr>
        <w:rPr>
          <w:rFonts w:cs="Arial"/>
          <w:b/>
          <w:i/>
        </w:rPr>
      </w:pPr>
      <w:r>
        <w:rPr>
          <w:rFonts w:cs="Arial"/>
        </w:rPr>
        <w:t xml:space="preserve">This study is an EM&amp;V study conducted by SBW Consulting to document the findings and results of the second phase of the CUWCC Spray Valve Program. The research was conducted through a combination of equipment monitoring and surveys and used to evaluate </w:t>
      </w:r>
      <w:r w:rsidRPr="00DC4A97">
        <w:rPr>
          <w:rFonts w:cs="Arial"/>
        </w:rPr>
        <w:t>the baseline operating hours, baseline flow rates, proposed operating hours, proposed flow rates, mixed water temperature, and supply water temperature</w:t>
      </w:r>
      <w:r>
        <w:rPr>
          <w:rFonts w:cs="Arial"/>
        </w:rPr>
        <w:t xml:space="preserve"> for each of the facilities and was submitted to the </w:t>
      </w:r>
      <w:r w:rsidR="002C0335">
        <w:rPr>
          <w:rFonts w:cs="Arial"/>
        </w:rPr>
        <w:t>CPUC</w:t>
      </w:r>
      <w:r>
        <w:rPr>
          <w:rFonts w:cs="Arial"/>
        </w:rPr>
        <w:t>.</w:t>
      </w:r>
      <w:r w:rsidR="007F2BF5">
        <w:rPr>
          <w:rFonts w:cs="Arial"/>
        </w:rPr>
        <w:t xml:space="preserve"> The EM&amp;V study documented 195 different spray valve installations with 29 of the installations monitored for flow rate and temperature for at least one month. </w:t>
      </w:r>
    </w:p>
    <w:p w14:paraId="6211D160" w14:textId="77777777" w:rsidR="007A3D8B" w:rsidRDefault="007A3D8B" w:rsidP="007A3D8B">
      <w:pPr>
        <w:pStyle w:val="WPPR2"/>
        <w:numPr>
          <w:ilvl w:val="0"/>
          <w:numId w:val="0"/>
        </w:numPr>
        <w:ind w:left="720" w:hanging="720"/>
      </w:pPr>
      <w:r>
        <w:t xml:space="preserve"> </w:t>
      </w:r>
    </w:p>
    <w:p w14:paraId="69A0C692" w14:textId="77777777" w:rsidR="007A3D8B" w:rsidRPr="007A3D8B" w:rsidRDefault="007A3D8B" w:rsidP="007A3D8B">
      <w:pPr>
        <w:rPr>
          <w:rFonts w:cs="Arial"/>
          <w:b/>
          <w:i/>
          <w:sz w:val="24"/>
          <w:szCs w:val="20"/>
        </w:rPr>
      </w:pPr>
      <w:r w:rsidRPr="007A3D8B">
        <w:rPr>
          <w:rFonts w:cs="Arial"/>
          <w:b/>
          <w:i/>
          <w:sz w:val="24"/>
          <w:szCs w:val="20"/>
        </w:rPr>
        <w:t xml:space="preserve">Energy Savings Calculation Assumptions: </w:t>
      </w:r>
    </w:p>
    <w:p w14:paraId="61458B63" w14:textId="34B670EC" w:rsidR="007A3D8B" w:rsidRPr="007F2BF5" w:rsidRDefault="007A3D8B" w:rsidP="007A3D8B">
      <w:pPr>
        <w:pStyle w:val="WPPR2"/>
        <w:numPr>
          <w:ilvl w:val="0"/>
          <w:numId w:val="22"/>
        </w:numPr>
        <w:rPr>
          <w:rFonts w:cs="Arial"/>
          <w:sz w:val="22"/>
          <w:szCs w:val="22"/>
        </w:rPr>
      </w:pPr>
      <w:r w:rsidRPr="007F2BF5">
        <w:rPr>
          <w:rFonts w:cs="Arial"/>
          <w:sz w:val="22"/>
          <w:szCs w:val="22"/>
        </w:rPr>
        <w:t>Supply water temperatures in PG&amp;E service territory for an average annual temperature of 63.2°F.</w:t>
      </w:r>
    </w:p>
    <w:p w14:paraId="0426BB50" w14:textId="6A15AA72" w:rsidR="007F2BF5" w:rsidRDefault="007F2BF5" w:rsidP="007A3D8B">
      <w:pPr>
        <w:pStyle w:val="WPPR2"/>
        <w:numPr>
          <w:ilvl w:val="0"/>
          <w:numId w:val="22"/>
        </w:numPr>
      </w:pPr>
      <w:r w:rsidRPr="007F2BF5">
        <w:rPr>
          <w:rFonts w:cs="Arial"/>
          <w:sz w:val="22"/>
          <w:szCs w:val="22"/>
        </w:rPr>
        <w:t>Mixed water temperatures</w:t>
      </w:r>
      <w:r>
        <w:rPr>
          <w:rFonts w:cs="Arial"/>
          <w:sz w:val="22"/>
          <w:szCs w:val="22"/>
        </w:rPr>
        <w:t xml:space="preserve"> were not used from this report because it favored grocery type establishments that had a lower </w:t>
      </w:r>
      <w:r w:rsidR="00BE2879">
        <w:rPr>
          <w:rFonts w:cs="Arial"/>
          <w:sz w:val="22"/>
          <w:szCs w:val="22"/>
        </w:rPr>
        <w:t xml:space="preserve">mixed water </w:t>
      </w:r>
      <w:r>
        <w:rPr>
          <w:rFonts w:cs="Arial"/>
          <w:sz w:val="22"/>
          <w:szCs w:val="22"/>
        </w:rPr>
        <w:t xml:space="preserve">temperature unrepresentative of foodservice as a whole. </w:t>
      </w:r>
    </w:p>
    <w:p w14:paraId="393A0EBB" w14:textId="350831B7" w:rsidR="00A172E6" w:rsidRPr="00E94B97" w:rsidRDefault="001248A3" w:rsidP="00E94B97">
      <w:pPr>
        <w:pStyle w:val="Heading2"/>
        <w:keepNext w:val="0"/>
      </w:pPr>
      <w:bookmarkStart w:id="69" w:name="_Toc304800208"/>
      <w:bookmarkStart w:id="70" w:name="_Toc324318344"/>
      <w:bookmarkStart w:id="71" w:name="_Toc324340488"/>
      <w:bookmarkStart w:id="72" w:name="_Toc391397011"/>
      <w:r>
        <w:t>1.</w:t>
      </w:r>
      <w:r w:rsidR="00264B03">
        <w:t xml:space="preserve">4.4 </w:t>
      </w:r>
      <w:r w:rsidR="009C5CA7">
        <w:t xml:space="preserve">Assumptions and </w:t>
      </w:r>
      <w:r w:rsidR="00264B03">
        <w:t>Calculations from other sources—Base and Measure Cases</w:t>
      </w:r>
      <w:bookmarkEnd w:id="69"/>
      <w:bookmarkEnd w:id="70"/>
      <w:bookmarkEnd w:id="71"/>
      <w:bookmarkEnd w:id="72"/>
    </w:p>
    <w:p w14:paraId="77FEFD2F" w14:textId="029595B4" w:rsidR="00835FD8" w:rsidRDefault="00835FD8" w:rsidP="009C5CA7">
      <w:pPr>
        <w:rPr>
          <w:rFonts w:cs="Arial"/>
          <w:i/>
          <w:sz w:val="24"/>
          <w:szCs w:val="20"/>
        </w:rPr>
      </w:pPr>
    </w:p>
    <w:p w14:paraId="3F9CDA74" w14:textId="666EF3A6" w:rsidR="009E423A" w:rsidRDefault="009E423A" w:rsidP="009E423A">
      <w:r>
        <w:t xml:space="preserve">There are no other assumptions of calculations from other sources used to determine base and measure case. Field representatives from the Food Service Technology Center agree with the numbers determined in the </w:t>
      </w:r>
      <w:r w:rsidR="009C5F86">
        <w:t xml:space="preserve">spray valve case study documented </w:t>
      </w:r>
      <w:r>
        <w:t xml:space="preserve">in 1.4.3. </w:t>
      </w:r>
    </w:p>
    <w:p w14:paraId="393A0F97" w14:textId="5CD79818" w:rsidR="000701EB" w:rsidRDefault="000701EB" w:rsidP="009C5CA7">
      <w:pPr>
        <w:rPr>
          <w:rFonts w:cs="Arial"/>
          <w:i/>
          <w:sz w:val="20"/>
          <w:szCs w:val="20"/>
        </w:rPr>
      </w:pPr>
    </w:p>
    <w:p w14:paraId="75B2CC08" w14:textId="77777777" w:rsidR="009E423A" w:rsidRPr="00836F9B" w:rsidRDefault="009E423A" w:rsidP="009E423A">
      <w:pPr>
        <w:rPr>
          <w:rFonts w:cs="Arial"/>
          <w:b/>
          <w:i/>
          <w:sz w:val="28"/>
          <w:szCs w:val="28"/>
        </w:rPr>
      </w:pPr>
      <w:r w:rsidRPr="00836F9B">
        <w:rPr>
          <w:rFonts w:cs="Arial"/>
          <w:b/>
          <w:i/>
          <w:sz w:val="28"/>
          <w:szCs w:val="28"/>
        </w:rPr>
        <w:t>1.4.5</w:t>
      </w:r>
      <w:r>
        <w:rPr>
          <w:rFonts w:cs="Arial"/>
          <w:b/>
          <w:i/>
          <w:sz w:val="28"/>
          <w:szCs w:val="28"/>
        </w:rPr>
        <w:t xml:space="preserve"> </w:t>
      </w:r>
      <w:r w:rsidRPr="00836F9B">
        <w:rPr>
          <w:rFonts w:cs="Arial"/>
          <w:b/>
          <w:i/>
          <w:sz w:val="28"/>
          <w:szCs w:val="28"/>
        </w:rPr>
        <w:t>Time-of-Use Adjustment Factor</w:t>
      </w:r>
    </w:p>
    <w:p w14:paraId="674A4E35" w14:textId="77777777" w:rsidR="009E423A" w:rsidRPr="00063FA7" w:rsidRDefault="009E423A" w:rsidP="009E423A">
      <w:pPr>
        <w:pStyle w:val="Reminder"/>
        <w:rPr>
          <w:rFonts w:ascii="Arial" w:hAnsi="Arial" w:cs="Arial"/>
          <w:color w:val="auto"/>
          <w:sz w:val="20"/>
          <w:szCs w:val="20"/>
        </w:rPr>
      </w:pPr>
    </w:p>
    <w:p w14:paraId="28A73879" w14:textId="77777777" w:rsidR="009E423A" w:rsidRPr="009C5F86" w:rsidRDefault="009E423A" w:rsidP="009E423A">
      <w:pPr>
        <w:pStyle w:val="Reminders"/>
        <w:rPr>
          <w:rFonts w:ascii="Arial" w:hAnsi="Arial" w:cs="Arial"/>
          <w:i w:val="0"/>
          <w:color w:val="auto"/>
          <w:szCs w:val="20"/>
          <w:highlight w:val="yellow"/>
        </w:rPr>
      </w:pPr>
      <w:r w:rsidRPr="009C5F86">
        <w:rPr>
          <w:rFonts w:ascii="Arial" w:hAnsi="Arial" w:cs="Arial"/>
          <w:i w:val="0"/>
          <w:color w:val="auto"/>
          <w:szCs w:val="20"/>
        </w:rPr>
        <w:t>We are required by CPUC decision 06-06-063 dated June 29, 2006 to apply time-of-use (TOU) adjustment factors on residential A/C and commercial A/C (packaged and split-system direct-</w:t>
      </w:r>
      <w:r w:rsidRPr="009C5F86">
        <w:rPr>
          <w:rFonts w:ascii="Arial" w:hAnsi="Arial" w:cs="Arial"/>
          <w:i w:val="0"/>
          <w:color w:val="auto"/>
          <w:szCs w:val="20"/>
        </w:rPr>
        <w:lastRenderedPageBreak/>
        <w:t xml:space="preserve">expansion cooling) measures only.  Since this is not an A/C measure, the TOU adjustment factor is 0. </w:t>
      </w:r>
    </w:p>
    <w:p w14:paraId="322E3F0B" w14:textId="77777777" w:rsidR="009E423A" w:rsidRPr="00EB43BA" w:rsidRDefault="009E423A" w:rsidP="009E423A">
      <w:pPr>
        <w:pStyle w:val="Caption"/>
        <w:keepNext/>
        <w:ind w:left="1440"/>
        <w:rPr>
          <w:rFonts w:cs="Arial"/>
          <w:b w:val="0"/>
          <w:highlight w:val="yellow"/>
        </w:rPr>
      </w:pPr>
      <w:r>
        <w:rPr>
          <w:rFonts w:cs="Arial"/>
          <w:b w:val="0"/>
          <w:highlight w:val="yellow"/>
        </w:rPr>
        <w:t xml:space="preserve"> </w:t>
      </w:r>
    </w:p>
    <w:p w14:paraId="33354E9B" w14:textId="77777777" w:rsidR="009E423A" w:rsidRPr="00EB43BA" w:rsidRDefault="009E423A" w:rsidP="009E423A">
      <w:pPr>
        <w:pStyle w:val="Caption"/>
        <w:keepNext/>
        <w:rPr>
          <w:rFonts w:cs="Arial"/>
          <w:b w:val="0"/>
          <w:highlight w:val="yellow"/>
        </w:rPr>
      </w:pPr>
    </w:p>
    <w:p w14:paraId="1F156056" w14:textId="0589AE44" w:rsidR="009C5F86" w:rsidRPr="00EB43BA" w:rsidRDefault="009E423A" w:rsidP="009C5F86">
      <w:pPr>
        <w:pStyle w:val="Caption"/>
        <w:keepNext/>
        <w:rPr>
          <w:rFonts w:cs="Arial"/>
          <w:b w:val="0"/>
        </w:rPr>
      </w:pPr>
      <w:r w:rsidRPr="009C5F86">
        <w:rPr>
          <w:rFonts w:cs="Arial"/>
          <w:b w:val="0"/>
          <w:sz w:val="22"/>
        </w:rPr>
        <w:t xml:space="preserve">The specific values and results are summarized in </w:t>
      </w:r>
      <w:r w:rsidR="009C5F86">
        <w:rPr>
          <w:rFonts w:cs="Arial"/>
          <w:b w:val="0"/>
          <w:sz w:val="22"/>
        </w:rPr>
        <w:t>Table 8.</w:t>
      </w:r>
    </w:p>
    <w:p w14:paraId="121D766C" w14:textId="49861A9E" w:rsidR="009E423A" w:rsidRPr="00EB43BA" w:rsidRDefault="009E423A" w:rsidP="009E423A">
      <w:pPr>
        <w:pStyle w:val="Caption"/>
        <w:keepNext/>
        <w:rPr>
          <w:rFonts w:cs="Arial"/>
          <w:b w:val="0"/>
        </w:rPr>
      </w:pPr>
    </w:p>
    <w:p w14:paraId="0F54C309" w14:textId="77777777" w:rsidR="009E423A" w:rsidRPr="00EB43BA" w:rsidRDefault="009E423A" w:rsidP="009E423A">
      <w:pPr>
        <w:pStyle w:val="Caption"/>
        <w:keepNext/>
        <w:jc w:val="center"/>
        <w:rPr>
          <w:rFonts w:cs="Arial"/>
        </w:rPr>
      </w:pPr>
      <w:bookmarkStart w:id="73" w:name="_Ref242757962"/>
    </w:p>
    <w:p w14:paraId="41CAF3C8" w14:textId="34030D39" w:rsidR="009E423A" w:rsidRPr="00B365BD" w:rsidRDefault="00C104E1" w:rsidP="008436DA">
      <w:pPr>
        <w:pStyle w:val="Table"/>
      </w:pPr>
      <w:bookmarkStart w:id="74" w:name="_Toc324427647"/>
      <w:bookmarkStart w:id="75" w:name="_Toc391398025"/>
      <w:bookmarkEnd w:id="73"/>
      <w:r w:rsidRPr="003541A6">
        <w:t xml:space="preserve">Table </w:t>
      </w:r>
      <w:r w:rsidR="00544E9C">
        <w:fldChar w:fldCharType="begin"/>
      </w:r>
      <w:r w:rsidR="00544E9C">
        <w:instrText xml:space="preserve"> SEQ Table \* ARABIC </w:instrText>
      </w:r>
      <w:r w:rsidR="00544E9C">
        <w:fldChar w:fldCharType="separate"/>
      </w:r>
      <w:r w:rsidR="00CE5AEA">
        <w:rPr>
          <w:noProof/>
        </w:rPr>
        <w:t>7</w:t>
      </w:r>
      <w:r w:rsidR="00544E9C">
        <w:rPr>
          <w:noProof/>
        </w:rPr>
        <w:fldChar w:fldCharType="end"/>
      </w:r>
      <w:r w:rsidR="009E423A" w:rsidRPr="00B365BD">
        <w:t xml:space="preserve"> TOU Adjustment Factors</w:t>
      </w:r>
      <w:bookmarkEnd w:id="74"/>
      <w:bookmarkEnd w:id="75"/>
    </w:p>
    <w:tbl>
      <w:tblPr>
        <w:tblW w:w="4347"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628"/>
        <w:gridCol w:w="1185"/>
        <w:gridCol w:w="2256"/>
        <w:gridCol w:w="2256"/>
      </w:tblGrid>
      <w:tr w:rsidR="009E423A" w:rsidRPr="001E4C31" w14:paraId="15BEFECF" w14:textId="77777777" w:rsidTr="00BC380F">
        <w:trPr>
          <w:trHeight w:val="223"/>
        </w:trPr>
        <w:tc>
          <w:tcPr>
            <w:tcW w:w="1578" w:type="pct"/>
            <w:shd w:val="clear" w:color="auto" w:fill="262626"/>
            <w:vAlign w:val="bottom"/>
          </w:tcPr>
          <w:p w14:paraId="21F70C63" w14:textId="77777777" w:rsidR="009E423A" w:rsidRPr="001E4C31" w:rsidRDefault="009E423A" w:rsidP="008143A3">
            <w:pPr>
              <w:keepLines/>
              <w:jc w:val="center"/>
              <w:rPr>
                <w:rFonts w:cs="Arial"/>
                <w:b/>
                <w:bCs/>
                <w:color w:val="F2F2F2"/>
                <w:sz w:val="20"/>
                <w:szCs w:val="20"/>
                <w:highlight w:val="yellow"/>
              </w:rPr>
            </w:pPr>
            <w:r w:rsidRPr="001E4C31">
              <w:rPr>
                <w:rFonts w:cs="Arial"/>
                <w:b/>
                <w:bCs/>
                <w:color w:val="F2F2F2"/>
                <w:sz w:val="20"/>
                <w:szCs w:val="20"/>
              </w:rPr>
              <w:t>Measure</w:t>
            </w:r>
          </w:p>
        </w:tc>
        <w:tc>
          <w:tcPr>
            <w:tcW w:w="712" w:type="pct"/>
            <w:shd w:val="clear" w:color="auto" w:fill="262626"/>
            <w:vAlign w:val="bottom"/>
          </w:tcPr>
          <w:p w14:paraId="1DA2E571" w14:textId="77777777" w:rsidR="009E423A" w:rsidRPr="001E4C31" w:rsidRDefault="009E423A" w:rsidP="008143A3">
            <w:pPr>
              <w:keepLines/>
              <w:jc w:val="center"/>
              <w:rPr>
                <w:rFonts w:cs="Arial"/>
                <w:b/>
                <w:bCs/>
                <w:color w:val="F2F2F2"/>
                <w:sz w:val="20"/>
                <w:szCs w:val="20"/>
                <w:highlight w:val="yellow"/>
              </w:rPr>
            </w:pPr>
            <w:proofErr w:type="spellStart"/>
            <w:r w:rsidRPr="001E4C31">
              <w:rPr>
                <w:rFonts w:cs="Arial"/>
                <w:b/>
                <w:bCs/>
                <w:i/>
                <w:color w:val="F2F2F2"/>
                <w:sz w:val="20"/>
                <w:szCs w:val="20"/>
              </w:rPr>
              <w:t>kW</w:t>
            </w:r>
            <w:r w:rsidRPr="001E4C31">
              <w:rPr>
                <w:rFonts w:cs="Arial"/>
                <w:b/>
                <w:bCs/>
                <w:i/>
                <w:color w:val="F2F2F2"/>
                <w:sz w:val="20"/>
                <w:szCs w:val="20"/>
                <w:vertAlign w:val="subscript"/>
              </w:rPr>
              <w:t>AC</w:t>
            </w:r>
            <w:proofErr w:type="spellEnd"/>
          </w:p>
        </w:tc>
        <w:tc>
          <w:tcPr>
            <w:tcW w:w="1355" w:type="pct"/>
            <w:shd w:val="clear" w:color="auto" w:fill="262626"/>
            <w:vAlign w:val="bottom"/>
          </w:tcPr>
          <w:p w14:paraId="0D48F1BA" w14:textId="77777777" w:rsidR="009E423A" w:rsidRPr="001E4C31" w:rsidRDefault="009E423A" w:rsidP="008143A3">
            <w:pPr>
              <w:keepLines/>
              <w:jc w:val="center"/>
              <w:rPr>
                <w:rFonts w:cs="Arial"/>
                <w:b/>
                <w:bCs/>
                <w:color w:val="F2F2F2"/>
                <w:sz w:val="20"/>
                <w:szCs w:val="20"/>
                <w:highlight w:val="yellow"/>
              </w:rPr>
            </w:pPr>
            <w:proofErr w:type="spellStart"/>
            <w:r w:rsidRPr="001E4C31">
              <w:rPr>
                <w:rFonts w:cs="Arial"/>
                <w:b/>
                <w:bCs/>
                <w:i/>
                <w:color w:val="F2F2F2"/>
                <w:sz w:val="20"/>
                <w:szCs w:val="20"/>
              </w:rPr>
              <w:t>kW</w:t>
            </w:r>
            <w:r w:rsidRPr="001E4C31">
              <w:rPr>
                <w:rFonts w:cs="Arial"/>
                <w:b/>
                <w:bCs/>
                <w:i/>
                <w:color w:val="F2F2F2"/>
                <w:sz w:val="20"/>
                <w:szCs w:val="20"/>
                <w:vertAlign w:val="subscript"/>
              </w:rPr>
              <w:t>Total</w:t>
            </w:r>
            <w:proofErr w:type="spellEnd"/>
          </w:p>
        </w:tc>
        <w:tc>
          <w:tcPr>
            <w:tcW w:w="1355" w:type="pct"/>
            <w:shd w:val="clear" w:color="auto" w:fill="262626"/>
            <w:vAlign w:val="bottom"/>
          </w:tcPr>
          <w:p w14:paraId="426E1F99" w14:textId="77777777" w:rsidR="009E423A" w:rsidRPr="001E4C31" w:rsidRDefault="009E423A" w:rsidP="008143A3">
            <w:pPr>
              <w:keepLines/>
              <w:jc w:val="center"/>
              <w:rPr>
                <w:rFonts w:cs="Arial"/>
                <w:b/>
                <w:bCs/>
                <w:color w:val="F2F2F2"/>
                <w:sz w:val="20"/>
                <w:szCs w:val="20"/>
                <w:highlight w:val="yellow"/>
              </w:rPr>
            </w:pPr>
            <w:r w:rsidRPr="001E4C31">
              <w:rPr>
                <w:rFonts w:cs="Arial"/>
                <w:b/>
                <w:bCs/>
                <w:color w:val="F2F2F2"/>
                <w:sz w:val="20"/>
                <w:szCs w:val="20"/>
              </w:rPr>
              <w:t>%</w:t>
            </w:r>
          </w:p>
        </w:tc>
      </w:tr>
      <w:tr w:rsidR="009E423A" w:rsidRPr="00EB43BA" w14:paraId="765D687D" w14:textId="77777777" w:rsidTr="00BC380F">
        <w:trPr>
          <w:trHeight w:val="448"/>
        </w:trPr>
        <w:tc>
          <w:tcPr>
            <w:tcW w:w="1578" w:type="pct"/>
            <w:shd w:val="pct5" w:color="000000" w:fill="FFFFFF"/>
            <w:vAlign w:val="bottom"/>
          </w:tcPr>
          <w:p w14:paraId="5B4216F3" w14:textId="77777777" w:rsidR="009E423A" w:rsidRPr="00B20BB2" w:rsidRDefault="009E423A" w:rsidP="008143A3">
            <w:pPr>
              <w:jc w:val="center"/>
              <w:rPr>
                <w:rFonts w:cs="Arial"/>
                <w:sz w:val="20"/>
                <w:szCs w:val="20"/>
              </w:rPr>
            </w:pPr>
            <w:r w:rsidRPr="00B20BB2">
              <w:rPr>
                <w:rFonts w:cs="Arial"/>
                <w:sz w:val="20"/>
                <w:szCs w:val="20"/>
              </w:rPr>
              <w:t>Commercial Cooking Equipment</w:t>
            </w:r>
          </w:p>
        </w:tc>
        <w:tc>
          <w:tcPr>
            <w:tcW w:w="712" w:type="pct"/>
            <w:shd w:val="pct5" w:color="000000" w:fill="FFFFFF"/>
            <w:vAlign w:val="bottom"/>
          </w:tcPr>
          <w:p w14:paraId="11775A9F" w14:textId="77777777" w:rsidR="009E423A" w:rsidRPr="00B20BB2" w:rsidRDefault="009E423A" w:rsidP="008143A3">
            <w:pPr>
              <w:jc w:val="center"/>
              <w:rPr>
                <w:rFonts w:cs="Arial"/>
                <w:sz w:val="20"/>
                <w:szCs w:val="20"/>
              </w:rPr>
            </w:pPr>
            <w:r w:rsidRPr="00B20BB2">
              <w:rPr>
                <w:rFonts w:cs="Arial"/>
                <w:sz w:val="20"/>
                <w:szCs w:val="20"/>
              </w:rPr>
              <w:t>0</w:t>
            </w:r>
          </w:p>
        </w:tc>
        <w:tc>
          <w:tcPr>
            <w:tcW w:w="1355" w:type="pct"/>
            <w:shd w:val="pct5" w:color="000000" w:fill="FFFFFF"/>
            <w:vAlign w:val="bottom"/>
          </w:tcPr>
          <w:p w14:paraId="2ADC4048" w14:textId="77777777" w:rsidR="009E423A" w:rsidRPr="00B20BB2" w:rsidRDefault="009E423A" w:rsidP="008143A3">
            <w:pPr>
              <w:jc w:val="center"/>
              <w:rPr>
                <w:rFonts w:cs="Arial"/>
                <w:sz w:val="20"/>
                <w:szCs w:val="20"/>
              </w:rPr>
            </w:pPr>
            <w:r w:rsidRPr="00B20BB2">
              <w:rPr>
                <w:rFonts w:cs="Arial"/>
                <w:sz w:val="20"/>
                <w:szCs w:val="20"/>
              </w:rPr>
              <w:t>0</w:t>
            </w:r>
          </w:p>
        </w:tc>
        <w:tc>
          <w:tcPr>
            <w:tcW w:w="1355" w:type="pct"/>
            <w:shd w:val="pct5" w:color="000000" w:fill="FFFFFF"/>
            <w:vAlign w:val="bottom"/>
          </w:tcPr>
          <w:p w14:paraId="5E9ADEAC" w14:textId="77777777" w:rsidR="009E423A" w:rsidRPr="00B20BB2" w:rsidRDefault="009E423A" w:rsidP="008143A3">
            <w:pPr>
              <w:jc w:val="center"/>
              <w:rPr>
                <w:rFonts w:cs="Arial"/>
                <w:sz w:val="20"/>
                <w:szCs w:val="20"/>
              </w:rPr>
            </w:pPr>
            <w:r w:rsidRPr="00B20BB2">
              <w:rPr>
                <w:rFonts w:cs="Arial"/>
                <w:sz w:val="20"/>
                <w:szCs w:val="20"/>
              </w:rPr>
              <w:t>0</w:t>
            </w:r>
          </w:p>
        </w:tc>
      </w:tr>
    </w:tbl>
    <w:p w14:paraId="393A0FED" w14:textId="77777777" w:rsidR="001C2942" w:rsidRDefault="001C2942" w:rsidP="00A02F0A"/>
    <w:p w14:paraId="393A0FEE" w14:textId="77777777" w:rsidR="00C069A2" w:rsidRPr="00EA38B4" w:rsidRDefault="001248A3" w:rsidP="001178BE">
      <w:pPr>
        <w:keepNext/>
        <w:rPr>
          <w:rFonts w:cs="Arial"/>
          <w:b/>
          <w:i/>
          <w:sz w:val="28"/>
          <w:szCs w:val="28"/>
        </w:rPr>
      </w:pPr>
      <w:bookmarkStart w:id="76" w:name="_Toc304800209"/>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76"/>
      <w:r w:rsidR="00814500" w:rsidRPr="00EA38B4">
        <w:rPr>
          <w:rFonts w:cs="Arial"/>
          <w:b/>
          <w:i/>
          <w:sz w:val="28"/>
          <w:szCs w:val="28"/>
        </w:rPr>
        <w:t xml:space="preserve"> </w:t>
      </w: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393A0FF0" w14:textId="77777777" w:rsidR="001A3026" w:rsidRDefault="001A3026" w:rsidP="001178BE">
      <w:pPr>
        <w:keepNext/>
        <w:rPr>
          <w:rFonts w:cs="Arial"/>
          <w:b/>
          <w:sz w:val="20"/>
          <w:szCs w:val="20"/>
        </w:rPr>
      </w:pPr>
    </w:p>
    <w:p w14:paraId="741F0916" w14:textId="29702FB9" w:rsidR="00C104E1" w:rsidRPr="00ED4EC4" w:rsidRDefault="00C104E1" w:rsidP="001178BE">
      <w:pPr>
        <w:keepNext/>
        <w:rPr>
          <w:rFonts w:cs="Arial"/>
          <w:b/>
          <w:sz w:val="20"/>
          <w:szCs w:val="20"/>
        </w:rPr>
      </w:pPr>
      <w:bookmarkStart w:id="77" w:name="_Toc391398026"/>
      <w:r w:rsidRPr="003541A6">
        <w:t xml:space="preserve">Table </w:t>
      </w:r>
      <w:r w:rsidR="00544E9C">
        <w:fldChar w:fldCharType="begin"/>
      </w:r>
      <w:r w:rsidR="00544E9C">
        <w:instrText xml:space="preserve"> SEQ Table \* ARABIC </w:instrText>
      </w:r>
      <w:r w:rsidR="00544E9C">
        <w:fldChar w:fldCharType="separate"/>
      </w:r>
      <w:r w:rsidR="00CE5AEA">
        <w:rPr>
          <w:noProof/>
        </w:rPr>
        <w:t>8</w:t>
      </w:r>
      <w:r w:rsidR="00544E9C">
        <w:rPr>
          <w:noProof/>
        </w:rPr>
        <w:fldChar w:fldCharType="end"/>
      </w:r>
      <w:r>
        <w:rPr>
          <w:noProof/>
        </w:rPr>
        <w:t xml:space="preserve"> Inputs for Savings Calculations</w:t>
      </w:r>
      <w:bookmarkEnd w:id="77"/>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473"/>
        <w:gridCol w:w="1736"/>
      </w:tblGrid>
      <w:tr w:rsidR="009E423A" w:rsidRPr="001E4C31" w14:paraId="393A0FF7" w14:textId="77777777" w:rsidTr="001E4C31">
        <w:tc>
          <w:tcPr>
            <w:tcW w:w="1772" w:type="dxa"/>
            <w:shd w:val="clear" w:color="auto" w:fill="262626"/>
            <w:vAlign w:val="bottom"/>
          </w:tcPr>
          <w:p w14:paraId="393A0FF1" w14:textId="77777777" w:rsidR="009E423A" w:rsidRPr="001E4C31" w:rsidRDefault="009E423A"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14:paraId="393A0FF2" w14:textId="77777777" w:rsidR="009E423A" w:rsidRPr="001E4C31" w:rsidRDefault="009E423A"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14:paraId="393A0FF3" w14:textId="77777777" w:rsidR="009E423A" w:rsidRPr="001E4C31" w:rsidRDefault="009E423A"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473" w:type="dxa"/>
            <w:shd w:val="clear" w:color="auto" w:fill="262626"/>
            <w:vAlign w:val="bottom"/>
          </w:tcPr>
          <w:p w14:paraId="393A0FF5" w14:textId="77777777" w:rsidR="009E423A" w:rsidRPr="001E4C31" w:rsidRDefault="009E423A"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14:paraId="393A0FF6" w14:textId="77777777" w:rsidR="009E423A" w:rsidRPr="001E4C31" w:rsidRDefault="009E423A"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E423A" w:rsidRPr="00783DAC" w14:paraId="393A0FFE" w14:textId="77777777" w:rsidTr="001E4C31">
        <w:tc>
          <w:tcPr>
            <w:tcW w:w="1772" w:type="dxa"/>
            <w:shd w:val="pct5" w:color="000000" w:fill="FFFFFF"/>
            <w:vAlign w:val="bottom"/>
          </w:tcPr>
          <w:p w14:paraId="393A0FF8" w14:textId="77777777" w:rsidR="009E423A" w:rsidRPr="001E4C31" w:rsidRDefault="009E423A" w:rsidP="001E4C31">
            <w:pPr>
              <w:keepNext/>
              <w:jc w:val="center"/>
              <w:rPr>
                <w:rFonts w:cs="Arial"/>
                <w:b/>
                <w:sz w:val="20"/>
                <w:szCs w:val="20"/>
              </w:rPr>
            </w:pPr>
            <w:r w:rsidRPr="001E4C31">
              <w:rPr>
                <w:rFonts w:cs="Arial"/>
                <w:b/>
                <w:sz w:val="20"/>
                <w:szCs w:val="20"/>
              </w:rPr>
              <w:t>Electric Savings</w:t>
            </w:r>
          </w:p>
        </w:tc>
        <w:tc>
          <w:tcPr>
            <w:tcW w:w="1735" w:type="dxa"/>
            <w:shd w:val="pct5" w:color="000000" w:fill="FFFFFF"/>
            <w:vAlign w:val="bottom"/>
          </w:tcPr>
          <w:p w14:paraId="393A0FF9" w14:textId="7AA652AF" w:rsidR="009E423A" w:rsidRPr="001E4C31" w:rsidRDefault="009E423A" w:rsidP="001E4C31">
            <w:pPr>
              <w:keepNext/>
              <w:jc w:val="center"/>
              <w:rPr>
                <w:rFonts w:cs="Arial"/>
                <w:sz w:val="20"/>
                <w:szCs w:val="20"/>
                <w:highlight w:val="yellow"/>
              </w:rPr>
            </w:pPr>
            <w:r>
              <w:rPr>
                <w:rFonts w:cs="Arial"/>
                <w:sz w:val="20"/>
                <w:szCs w:val="20"/>
              </w:rPr>
              <w:t>No</w:t>
            </w:r>
            <w:r w:rsidRPr="00162081">
              <w:rPr>
                <w:rFonts w:cs="Arial"/>
                <w:sz w:val="20"/>
                <w:szCs w:val="20"/>
              </w:rPr>
              <w:t>ne</w:t>
            </w:r>
          </w:p>
        </w:tc>
        <w:tc>
          <w:tcPr>
            <w:tcW w:w="1461" w:type="dxa"/>
            <w:shd w:val="pct5" w:color="000000" w:fill="FFFFFF"/>
            <w:vAlign w:val="bottom"/>
          </w:tcPr>
          <w:p w14:paraId="393A0FFA" w14:textId="77777777" w:rsidR="009E423A" w:rsidRPr="001E4C31" w:rsidRDefault="009E423A" w:rsidP="001E4C31">
            <w:pPr>
              <w:keepNext/>
              <w:jc w:val="center"/>
              <w:rPr>
                <w:rFonts w:cs="Arial"/>
                <w:sz w:val="20"/>
                <w:szCs w:val="20"/>
              </w:rPr>
            </w:pPr>
          </w:p>
        </w:tc>
        <w:tc>
          <w:tcPr>
            <w:tcW w:w="1473" w:type="dxa"/>
            <w:shd w:val="pct5" w:color="000000" w:fill="FFFFFF"/>
            <w:vAlign w:val="bottom"/>
          </w:tcPr>
          <w:p w14:paraId="393A0FFC" w14:textId="77777777" w:rsidR="009E423A" w:rsidRPr="001E4C31" w:rsidRDefault="009E423A" w:rsidP="001E4C31">
            <w:pPr>
              <w:keepNext/>
              <w:jc w:val="center"/>
              <w:rPr>
                <w:rFonts w:cs="Arial"/>
                <w:i/>
                <w:sz w:val="20"/>
                <w:szCs w:val="20"/>
                <w:highlight w:val="yellow"/>
              </w:rPr>
            </w:pPr>
          </w:p>
        </w:tc>
        <w:tc>
          <w:tcPr>
            <w:tcW w:w="1736" w:type="dxa"/>
            <w:shd w:val="pct5" w:color="000000" w:fill="FFFFFF"/>
            <w:vAlign w:val="bottom"/>
          </w:tcPr>
          <w:p w14:paraId="393A0FFD" w14:textId="77777777" w:rsidR="009E423A" w:rsidRPr="009E423A" w:rsidRDefault="009E423A" w:rsidP="001E4C31">
            <w:pPr>
              <w:keepNext/>
              <w:jc w:val="center"/>
              <w:rPr>
                <w:rFonts w:cs="Arial"/>
                <w:i/>
                <w:sz w:val="20"/>
                <w:szCs w:val="20"/>
              </w:rPr>
            </w:pPr>
            <w:r w:rsidRPr="009E423A">
              <w:rPr>
                <w:rFonts w:cs="Arial"/>
                <w:i/>
                <w:sz w:val="20"/>
                <w:szCs w:val="20"/>
              </w:rPr>
              <w:t>Section 1.4.1</w:t>
            </w:r>
          </w:p>
        </w:tc>
      </w:tr>
      <w:tr w:rsidR="009E423A" w:rsidRPr="00783DAC" w14:paraId="393A1005" w14:textId="77777777" w:rsidTr="00FA2C9A">
        <w:tc>
          <w:tcPr>
            <w:tcW w:w="1772" w:type="dxa"/>
            <w:shd w:val="pct20" w:color="000000" w:fill="FFFFFF"/>
            <w:vAlign w:val="bottom"/>
          </w:tcPr>
          <w:p w14:paraId="393A0FFF" w14:textId="77777777" w:rsidR="009E423A" w:rsidRPr="001E4C31" w:rsidRDefault="009E423A" w:rsidP="001E4C31">
            <w:pPr>
              <w:keepNext/>
              <w:jc w:val="center"/>
              <w:rPr>
                <w:rFonts w:cs="Arial"/>
                <w:b/>
                <w:sz w:val="20"/>
                <w:szCs w:val="20"/>
              </w:rPr>
            </w:pPr>
            <w:r w:rsidRPr="001E4C31">
              <w:rPr>
                <w:rFonts w:cs="Arial"/>
                <w:b/>
                <w:sz w:val="20"/>
                <w:szCs w:val="20"/>
              </w:rPr>
              <w:t>Gas Savings</w:t>
            </w:r>
          </w:p>
        </w:tc>
        <w:tc>
          <w:tcPr>
            <w:tcW w:w="1735" w:type="dxa"/>
            <w:shd w:val="pct20" w:color="000000" w:fill="FFFFFF"/>
          </w:tcPr>
          <w:p w14:paraId="393A1000" w14:textId="0467CD24" w:rsidR="009E423A" w:rsidRPr="001E4C31" w:rsidRDefault="009E423A" w:rsidP="001E4C31">
            <w:pPr>
              <w:keepNext/>
              <w:jc w:val="center"/>
              <w:rPr>
                <w:rFonts w:cs="Arial"/>
                <w:sz w:val="20"/>
                <w:szCs w:val="20"/>
                <w:highlight w:val="yellow"/>
              </w:rPr>
            </w:pPr>
            <w:r w:rsidRPr="00946761">
              <w:rPr>
                <w:rFonts w:cs="Arial"/>
                <w:sz w:val="20"/>
                <w:szCs w:val="20"/>
              </w:rPr>
              <w:t>None</w:t>
            </w:r>
          </w:p>
        </w:tc>
        <w:tc>
          <w:tcPr>
            <w:tcW w:w="1461" w:type="dxa"/>
            <w:shd w:val="pct20" w:color="000000" w:fill="FFFFFF"/>
            <w:vAlign w:val="bottom"/>
          </w:tcPr>
          <w:p w14:paraId="393A1001" w14:textId="49B32395" w:rsidR="009E423A" w:rsidRPr="001E4C31" w:rsidRDefault="009E423A" w:rsidP="001E4C31">
            <w:pPr>
              <w:keepNext/>
              <w:jc w:val="center"/>
              <w:rPr>
                <w:rFonts w:cs="Arial"/>
                <w:sz w:val="20"/>
                <w:szCs w:val="20"/>
              </w:rPr>
            </w:pPr>
            <w:r>
              <w:rPr>
                <w:rFonts w:cs="Arial"/>
                <w:sz w:val="20"/>
                <w:szCs w:val="20"/>
              </w:rPr>
              <w:t>N/A</w:t>
            </w:r>
          </w:p>
        </w:tc>
        <w:tc>
          <w:tcPr>
            <w:tcW w:w="1473" w:type="dxa"/>
            <w:shd w:val="pct20" w:color="000000" w:fill="FFFFFF"/>
            <w:vAlign w:val="bottom"/>
          </w:tcPr>
          <w:p w14:paraId="393A1003" w14:textId="7E9CCFE3" w:rsidR="009E423A" w:rsidRPr="001E4C31" w:rsidRDefault="00EA0C49" w:rsidP="001E4C31">
            <w:pPr>
              <w:keepNext/>
              <w:jc w:val="center"/>
              <w:rPr>
                <w:rFonts w:cs="Arial"/>
                <w:sz w:val="20"/>
                <w:szCs w:val="20"/>
              </w:rPr>
            </w:pPr>
            <w:r>
              <w:rPr>
                <w:rFonts w:cs="Arial"/>
                <w:sz w:val="20"/>
                <w:szCs w:val="20"/>
              </w:rPr>
              <w:t>43.9</w:t>
            </w:r>
          </w:p>
        </w:tc>
        <w:tc>
          <w:tcPr>
            <w:tcW w:w="1736" w:type="dxa"/>
            <w:shd w:val="pct20" w:color="000000" w:fill="FFFFFF"/>
            <w:vAlign w:val="bottom"/>
          </w:tcPr>
          <w:p w14:paraId="393A1004" w14:textId="0489877D" w:rsidR="009E423A" w:rsidRPr="001E4C31" w:rsidRDefault="00EA0C49" w:rsidP="00EA0C49">
            <w:pPr>
              <w:keepNext/>
              <w:jc w:val="center"/>
              <w:rPr>
                <w:rFonts w:cs="Arial"/>
                <w:sz w:val="20"/>
                <w:szCs w:val="20"/>
              </w:rPr>
            </w:pPr>
            <w:r w:rsidRPr="009E423A">
              <w:rPr>
                <w:rFonts w:cs="Arial"/>
                <w:i/>
                <w:sz w:val="20"/>
                <w:szCs w:val="20"/>
              </w:rPr>
              <w:t xml:space="preserve">Section </w:t>
            </w:r>
            <w:r>
              <w:rPr>
                <w:rFonts w:cs="Arial"/>
                <w:i/>
                <w:sz w:val="20"/>
                <w:szCs w:val="20"/>
              </w:rPr>
              <w:t>2.3</w:t>
            </w:r>
          </w:p>
        </w:tc>
      </w:tr>
      <w:tr w:rsidR="00EA0C49" w:rsidRPr="00783DAC" w14:paraId="393A100C" w14:textId="77777777" w:rsidTr="00FA2C9A">
        <w:tc>
          <w:tcPr>
            <w:tcW w:w="1772" w:type="dxa"/>
            <w:shd w:val="pct5" w:color="000000" w:fill="FFFFFF"/>
            <w:vAlign w:val="bottom"/>
          </w:tcPr>
          <w:p w14:paraId="393A1006" w14:textId="77777777" w:rsidR="00EA0C49" w:rsidRPr="001E4C31" w:rsidRDefault="00EA0C49" w:rsidP="001E4C31">
            <w:pPr>
              <w:keepNext/>
              <w:jc w:val="center"/>
              <w:rPr>
                <w:rFonts w:cs="Arial"/>
                <w:b/>
                <w:sz w:val="20"/>
                <w:szCs w:val="20"/>
              </w:rPr>
            </w:pPr>
            <w:r w:rsidRPr="001E4C31">
              <w:rPr>
                <w:rFonts w:cs="Arial"/>
                <w:b/>
                <w:sz w:val="20"/>
                <w:szCs w:val="20"/>
              </w:rPr>
              <w:t>Hours of operation</w:t>
            </w:r>
          </w:p>
        </w:tc>
        <w:tc>
          <w:tcPr>
            <w:tcW w:w="1735" w:type="dxa"/>
            <w:shd w:val="pct5" w:color="000000" w:fill="FFFFFF"/>
          </w:tcPr>
          <w:p w14:paraId="5E439975" w14:textId="77777777" w:rsidR="00262E9A" w:rsidRDefault="00262E9A" w:rsidP="001E4C31">
            <w:pPr>
              <w:keepNext/>
              <w:jc w:val="center"/>
              <w:rPr>
                <w:rFonts w:cs="Arial"/>
                <w:sz w:val="20"/>
                <w:szCs w:val="20"/>
              </w:rPr>
            </w:pPr>
          </w:p>
          <w:p w14:paraId="393A1007" w14:textId="2D067046" w:rsidR="00EA0C49" w:rsidRPr="001E4C31" w:rsidRDefault="00EA0C49" w:rsidP="001E4C31">
            <w:pPr>
              <w:keepNext/>
              <w:jc w:val="center"/>
              <w:rPr>
                <w:rFonts w:cs="Arial"/>
                <w:sz w:val="20"/>
                <w:szCs w:val="20"/>
                <w:highlight w:val="yellow"/>
              </w:rPr>
            </w:pPr>
            <w:r w:rsidRPr="00946761">
              <w:rPr>
                <w:rFonts w:cs="Arial"/>
                <w:sz w:val="20"/>
                <w:szCs w:val="20"/>
              </w:rPr>
              <w:t>None</w:t>
            </w:r>
          </w:p>
        </w:tc>
        <w:tc>
          <w:tcPr>
            <w:tcW w:w="1461" w:type="dxa"/>
            <w:shd w:val="pct5" w:color="000000" w:fill="FFFFFF"/>
            <w:vAlign w:val="bottom"/>
          </w:tcPr>
          <w:p w14:paraId="393A1008" w14:textId="2D9E9A71" w:rsidR="00EA0C49" w:rsidRPr="001E4C31" w:rsidRDefault="005635A0" w:rsidP="001E4C31">
            <w:pPr>
              <w:keepNext/>
              <w:jc w:val="center"/>
              <w:rPr>
                <w:rFonts w:cs="Arial"/>
                <w:sz w:val="20"/>
                <w:szCs w:val="20"/>
              </w:rPr>
            </w:pPr>
            <w:r>
              <w:rPr>
                <w:rFonts w:cs="Arial"/>
                <w:sz w:val="20"/>
                <w:szCs w:val="20"/>
              </w:rPr>
              <w:t>1.00</w:t>
            </w:r>
          </w:p>
        </w:tc>
        <w:tc>
          <w:tcPr>
            <w:tcW w:w="1473" w:type="dxa"/>
            <w:shd w:val="pct5" w:color="000000" w:fill="FFFFFF"/>
            <w:vAlign w:val="bottom"/>
          </w:tcPr>
          <w:p w14:paraId="393A100A" w14:textId="12B1765B" w:rsidR="00EA0C49" w:rsidRPr="001E4C31" w:rsidRDefault="005635A0" w:rsidP="001E4C31">
            <w:pPr>
              <w:keepNext/>
              <w:jc w:val="center"/>
              <w:rPr>
                <w:rFonts w:cs="Arial"/>
                <w:sz w:val="20"/>
                <w:szCs w:val="20"/>
              </w:rPr>
            </w:pPr>
            <w:r>
              <w:rPr>
                <w:rFonts w:cs="Arial"/>
                <w:sz w:val="20"/>
                <w:szCs w:val="20"/>
              </w:rPr>
              <w:t>1.00</w:t>
            </w:r>
          </w:p>
        </w:tc>
        <w:tc>
          <w:tcPr>
            <w:tcW w:w="1736" w:type="dxa"/>
            <w:shd w:val="pct5" w:color="000000" w:fill="FFFFFF"/>
            <w:vAlign w:val="bottom"/>
          </w:tcPr>
          <w:p w14:paraId="393A100B" w14:textId="43C6D140" w:rsidR="00EA0C49" w:rsidRPr="001E4C31" w:rsidRDefault="00EA0C49" w:rsidP="00EA0C49">
            <w:pPr>
              <w:keepNext/>
              <w:jc w:val="center"/>
              <w:rPr>
                <w:rFonts w:cs="Arial"/>
                <w:sz w:val="20"/>
                <w:szCs w:val="20"/>
              </w:rPr>
            </w:pPr>
            <w:r w:rsidRPr="009E423A">
              <w:rPr>
                <w:rFonts w:cs="Arial"/>
                <w:i/>
                <w:sz w:val="20"/>
                <w:szCs w:val="20"/>
              </w:rPr>
              <w:t xml:space="preserve">Section </w:t>
            </w:r>
            <w:r>
              <w:rPr>
                <w:rFonts w:cs="Arial"/>
                <w:i/>
                <w:sz w:val="20"/>
                <w:szCs w:val="20"/>
              </w:rPr>
              <w:t>1.4.3.1</w:t>
            </w:r>
          </w:p>
        </w:tc>
      </w:tr>
      <w:tr w:rsidR="00EA0C49" w:rsidRPr="00783DAC" w14:paraId="393A1013" w14:textId="77777777" w:rsidTr="00FA2C9A">
        <w:tc>
          <w:tcPr>
            <w:tcW w:w="1772" w:type="dxa"/>
            <w:shd w:val="pct20" w:color="000000" w:fill="FFFFFF"/>
            <w:vAlign w:val="bottom"/>
          </w:tcPr>
          <w:p w14:paraId="393A100D" w14:textId="77777777" w:rsidR="00EA0C49" w:rsidRPr="001E4C31" w:rsidRDefault="00EA0C49" w:rsidP="001E4C31">
            <w:pPr>
              <w:keepNext/>
              <w:jc w:val="center"/>
              <w:rPr>
                <w:rFonts w:cs="Arial"/>
                <w:b/>
                <w:sz w:val="20"/>
                <w:szCs w:val="20"/>
              </w:rPr>
            </w:pPr>
            <w:r w:rsidRPr="001E4C31">
              <w:rPr>
                <w:rFonts w:cs="Arial"/>
                <w:b/>
                <w:sz w:val="20"/>
                <w:szCs w:val="20"/>
              </w:rPr>
              <w:t xml:space="preserve">Full Cost </w:t>
            </w:r>
          </w:p>
        </w:tc>
        <w:tc>
          <w:tcPr>
            <w:tcW w:w="1735" w:type="dxa"/>
            <w:shd w:val="pct20" w:color="000000" w:fill="FFFFFF"/>
          </w:tcPr>
          <w:p w14:paraId="393A100E" w14:textId="12A745D9" w:rsidR="00EA0C49" w:rsidRPr="001E4C31" w:rsidRDefault="00EA0C49" w:rsidP="001E4C31">
            <w:pPr>
              <w:keepNext/>
              <w:jc w:val="center"/>
              <w:rPr>
                <w:rFonts w:cs="Arial"/>
                <w:sz w:val="20"/>
                <w:szCs w:val="20"/>
                <w:highlight w:val="yellow"/>
              </w:rPr>
            </w:pPr>
            <w:r w:rsidRPr="00946761">
              <w:rPr>
                <w:rFonts w:cs="Arial"/>
                <w:sz w:val="20"/>
                <w:szCs w:val="20"/>
              </w:rPr>
              <w:t>None</w:t>
            </w:r>
          </w:p>
        </w:tc>
        <w:tc>
          <w:tcPr>
            <w:tcW w:w="1461" w:type="dxa"/>
            <w:shd w:val="pct20" w:color="000000" w:fill="FFFFFF"/>
            <w:vAlign w:val="bottom"/>
          </w:tcPr>
          <w:p w14:paraId="393A100F" w14:textId="3AC9D483" w:rsidR="00EA0C49" w:rsidRPr="001E4C31" w:rsidRDefault="00EA0C49" w:rsidP="00262E9A">
            <w:pPr>
              <w:keepNext/>
              <w:jc w:val="center"/>
              <w:rPr>
                <w:rFonts w:cs="Arial"/>
                <w:sz w:val="20"/>
                <w:szCs w:val="20"/>
              </w:rPr>
            </w:pPr>
            <w:r>
              <w:rPr>
                <w:rFonts w:cs="Arial"/>
                <w:sz w:val="20"/>
                <w:szCs w:val="20"/>
              </w:rPr>
              <w:t>N/A</w:t>
            </w:r>
          </w:p>
        </w:tc>
        <w:tc>
          <w:tcPr>
            <w:tcW w:w="1473" w:type="dxa"/>
            <w:shd w:val="pct20" w:color="000000" w:fill="FFFFFF"/>
            <w:vAlign w:val="bottom"/>
          </w:tcPr>
          <w:p w14:paraId="393A1011" w14:textId="6BEA8BB7" w:rsidR="00EA0C49" w:rsidRPr="001E4C31" w:rsidRDefault="00EA0C49" w:rsidP="001E4C31">
            <w:pPr>
              <w:keepNext/>
              <w:jc w:val="center"/>
              <w:rPr>
                <w:rFonts w:cs="Arial"/>
                <w:sz w:val="20"/>
                <w:szCs w:val="20"/>
              </w:rPr>
            </w:pPr>
            <w:r>
              <w:rPr>
                <w:rFonts w:cs="Arial"/>
                <w:sz w:val="20"/>
                <w:szCs w:val="20"/>
              </w:rPr>
              <w:t>$49</w:t>
            </w:r>
          </w:p>
        </w:tc>
        <w:tc>
          <w:tcPr>
            <w:tcW w:w="1736" w:type="dxa"/>
            <w:shd w:val="pct20" w:color="000000" w:fill="FFFFFF"/>
            <w:vAlign w:val="bottom"/>
          </w:tcPr>
          <w:p w14:paraId="393A1012" w14:textId="3D56626F" w:rsidR="00EA0C49" w:rsidRPr="001E4C31" w:rsidRDefault="00EA0C49" w:rsidP="001E4C31">
            <w:pPr>
              <w:keepNext/>
              <w:jc w:val="center"/>
              <w:rPr>
                <w:rFonts w:cs="Arial"/>
                <w:sz w:val="20"/>
                <w:szCs w:val="20"/>
              </w:rPr>
            </w:pPr>
            <w:r w:rsidRPr="009E423A">
              <w:rPr>
                <w:rFonts w:cs="Arial"/>
                <w:i/>
                <w:sz w:val="20"/>
                <w:szCs w:val="20"/>
              </w:rPr>
              <w:t xml:space="preserve">Section </w:t>
            </w:r>
            <w:r>
              <w:rPr>
                <w:rFonts w:cs="Arial"/>
                <w:i/>
                <w:sz w:val="20"/>
                <w:szCs w:val="20"/>
              </w:rPr>
              <w:t>4.3.2</w:t>
            </w:r>
          </w:p>
        </w:tc>
      </w:tr>
      <w:tr w:rsidR="00EA0C49" w:rsidRPr="00783DAC" w14:paraId="393A101A" w14:textId="77777777" w:rsidTr="00FA2C9A">
        <w:tc>
          <w:tcPr>
            <w:tcW w:w="1772" w:type="dxa"/>
            <w:shd w:val="pct5" w:color="000000" w:fill="FFFFFF"/>
            <w:vAlign w:val="bottom"/>
          </w:tcPr>
          <w:p w14:paraId="393A1014" w14:textId="77777777" w:rsidR="00EA0C49" w:rsidRPr="001E4C31" w:rsidRDefault="00EA0C49" w:rsidP="001E4C31">
            <w:pPr>
              <w:keepNext/>
              <w:jc w:val="center"/>
              <w:rPr>
                <w:rFonts w:cs="Arial"/>
                <w:b/>
                <w:sz w:val="20"/>
                <w:szCs w:val="20"/>
              </w:rPr>
            </w:pPr>
            <w:r w:rsidRPr="001E4C31">
              <w:rPr>
                <w:rFonts w:cs="Arial"/>
                <w:b/>
                <w:sz w:val="20"/>
                <w:szCs w:val="20"/>
              </w:rPr>
              <w:t>Incremental Cost</w:t>
            </w:r>
          </w:p>
        </w:tc>
        <w:tc>
          <w:tcPr>
            <w:tcW w:w="1735" w:type="dxa"/>
            <w:shd w:val="pct5" w:color="000000" w:fill="FFFFFF"/>
          </w:tcPr>
          <w:p w14:paraId="393A1015" w14:textId="4F4A2B4D" w:rsidR="00EA0C49" w:rsidRPr="001E4C31" w:rsidRDefault="00EA0C49" w:rsidP="001E4C31">
            <w:pPr>
              <w:keepNext/>
              <w:jc w:val="center"/>
              <w:rPr>
                <w:rFonts w:cs="Arial"/>
                <w:sz w:val="20"/>
                <w:szCs w:val="20"/>
                <w:highlight w:val="yellow"/>
              </w:rPr>
            </w:pPr>
            <w:r w:rsidRPr="00946761">
              <w:rPr>
                <w:rFonts w:cs="Arial"/>
                <w:sz w:val="20"/>
                <w:szCs w:val="20"/>
              </w:rPr>
              <w:t>None</w:t>
            </w:r>
          </w:p>
        </w:tc>
        <w:tc>
          <w:tcPr>
            <w:tcW w:w="1461" w:type="dxa"/>
            <w:shd w:val="pct5" w:color="000000" w:fill="FFFFFF"/>
            <w:vAlign w:val="bottom"/>
          </w:tcPr>
          <w:p w14:paraId="393A1016" w14:textId="23DF9DD0" w:rsidR="00EA0C49" w:rsidRPr="001E4C31" w:rsidRDefault="00EA0C49" w:rsidP="001E4C31">
            <w:pPr>
              <w:keepNext/>
              <w:jc w:val="center"/>
              <w:rPr>
                <w:rFonts w:cs="Arial"/>
                <w:sz w:val="20"/>
                <w:szCs w:val="20"/>
              </w:rPr>
            </w:pPr>
            <w:r>
              <w:rPr>
                <w:rFonts w:cs="Arial"/>
                <w:sz w:val="20"/>
                <w:szCs w:val="20"/>
              </w:rPr>
              <w:t>N/A</w:t>
            </w:r>
          </w:p>
        </w:tc>
        <w:tc>
          <w:tcPr>
            <w:tcW w:w="1473" w:type="dxa"/>
            <w:shd w:val="pct5" w:color="000000" w:fill="FFFFFF"/>
            <w:vAlign w:val="bottom"/>
          </w:tcPr>
          <w:p w14:paraId="393A1018" w14:textId="4ED34BF1" w:rsidR="00EA0C49" w:rsidRPr="001E4C31" w:rsidRDefault="00EA0C49" w:rsidP="001E4C31">
            <w:pPr>
              <w:keepNext/>
              <w:jc w:val="center"/>
              <w:rPr>
                <w:rFonts w:cs="Arial"/>
                <w:sz w:val="20"/>
                <w:szCs w:val="20"/>
              </w:rPr>
            </w:pPr>
            <w:r>
              <w:rPr>
                <w:rFonts w:cs="Arial"/>
                <w:sz w:val="20"/>
                <w:szCs w:val="20"/>
              </w:rPr>
              <w:t>$49</w:t>
            </w:r>
          </w:p>
        </w:tc>
        <w:tc>
          <w:tcPr>
            <w:tcW w:w="1736" w:type="dxa"/>
            <w:shd w:val="pct5" w:color="000000" w:fill="FFFFFF"/>
            <w:vAlign w:val="bottom"/>
          </w:tcPr>
          <w:p w14:paraId="393A1019" w14:textId="360B2287" w:rsidR="00EA0C49" w:rsidRPr="001E4C31" w:rsidRDefault="00EA0C49" w:rsidP="001E4C31">
            <w:pPr>
              <w:keepNext/>
              <w:jc w:val="center"/>
              <w:rPr>
                <w:rFonts w:cs="Arial"/>
                <w:sz w:val="20"/>
                <w:szCs w:val="20"/>
              </w:rPr>
            </w:pPr>
            <w:r w:rsidRPr="009E423A">
              <w:rPr>
                <w:rFonts w:cs="Arial"/>
                <w:i/>
                <w:sz w:val="20"/>
                <w:szCs w:val="20"/>
              </w:rPr>
              <w:t xml:space="preserve">Section </w:t>
            </w:r>
            <w:r>
              <w:rPr>
                <w:rFonts w:cs="Arial"/>
                <w:i/>
                <w:sz w:val="20"/>
                <w:szCs w:val="20"/>
              </w:rPr>
              <w:t>4.3.2</w:t>
            </w:r>
          </w:p>
        </w:tc>
      </w:tr>
      <w:tr w:rsidR="00EA0C49" w:rsidRPr="00783DAC" w14:paraId="393A1021" w14:textId="77777777" w:rsidTr="00FA2C9A">
        <w:tc>
          <w:tcPr>
            <w:tcW w:w="1772" w:type="dxa"/>
            <w:shd w:val="pct20" w:color="000000" w:fill="FFFFFF"/>
            <w:vAlign w:val="bottom"/>
          </w:tcPr>
          <w:p w14:paraId="393A101B" w14:textId="77777777" w:rsidR="00EA0C49" w:rsidRPr="001E4C31" w:rsidRDefault="00EA0C49" w:rsidP="001E4C31">
            <w:pPr>
              <w:keepNext/>
              <w:jc w:val="center"/>
              <w:rPr>
                <w:rFonts w:cs="Arial"/>
                <w:b/>
                <w:sz w:val="20"/>
                <w:szCs w:val="20"/>
              </w:rPr>
            </w:pPr>
            <w:r w:rsidRPr="001E4C31">
              <w:rPr>
                <w:rFonts w:cs="Arial"/>
                <w:b/>
                <w:sz w:val="20"/>
                <w:szCs w:val="20"/>
              </w:rPr>
              <w:t>EUL /RUL</w:t>
            </w:r>
          </w:p>
        </w:tc>
        <w:tc>
          <w:tcPr>
            <w:tcW w:w="1735" w:type="dxa"/>
            <w:shd w:val="pct20" w:color="000000" w:fill="FFFFFF"/>
          </w:tcPr>
          <w:p w14:paraId="393A101C" w14:textId="2B416564" w:rsidR="00EA0C49" w:rsidRPr="001E4C31" w:rsidRDefault="00EA0C49" w:rsidP="001E4C31">
            <w:pPr>
              <w:keepNext/>
              <w:jc w:val="center"/>
              <w:rPr>
                <w:rFonts w:cs="Arial"/>
                <w:sz w:val="20"/>
                <w:szCs w:val="20"/>
                <w:highlight w:val="yellow"/>
              </w:rPr>
            </w:pPr>
            <w:r w:rsidRPr="00946761">
              <w:rPr>
                <w:rFonts w:cs="Arial"/>
                <w:sz w:val="20"/>
                <w:szCs w:val="20"/>
              </w:rPr>
              <w:t>None</w:t>
            </w:r>
          </w:p>
        </w:tc>
        <w:tc>
          <w:tcPr>
            <w:tcW w:w="1461" w:type="dxa"/>
            <w:shd w:val="pct20" w:color="000000" w:fill="FFFFFF"/>
            <w:vAlign w:val="bottom"/>
          </w:tcPr>
          <w:p w14:paraId="393A101D" w14:textId="787E74D9" w:rsidR="00EA0C49" w:rsidRPr="001E4C31" w:rsidRDefault="00EA0C49" w:rsidP="001E4C31">
            <w:pPr>
              <w:keepNext/>
              <w:jc w:val="center"/>
              <w:rPr>
                <w:rFonts w:cs="Arial"/>
                <w:sz w:val="20"/>
                <w:szCs w:val="20"/>
              </w:rPr>
            </w:pPr>
            <w:r>
              <w:rPr>
                <w:rFonts w:cs="Arial"/>
                <w:sz w:val="20"/>
                <w:szCs w:val="20"/>
              </w:rPr>
              <w:t>5</w:t>
            </w:r>
          </w:p>
        </w:tc>
        <w:tc>
          <w:tcPr>
            <w:tcW w:w="1473" w:type="dxa"/>
            <w:shd w:val="pct20" w:color="000000" w:fill="FFFFFF"/>
            <w:vAlign w:val="bottom"/>
          </w:tcPr>
          <w:p w14:paraId="393A101F" w14:textId="3F484FC2" w:rsidR="00EA0C49" w:rsidRPr="001E4C31" w:rsidRDefault="00EA0C49" w:rsidP="001E4C31">
            <w:pPr>
              <w:keepNext/>
              <w:jc w:val="center"/>
              <w:rPr>
                <w:rFonts w:cs="Arial"/>
                <w:sz w:val="20"/>
                <w:szCs w:val="20"/>
              </w:rPr>
            </w:pPr>
            <w:r>
              <w:rPr>
                <w:rFonts w:cs="Arial"/>
                <w:sz w:val="20"/>
                <w:szCs w:val="20"/>
              </w:rPr>
              <w:t>5</w:t>
            </w:r>
          </w:p>
        </w:tc>
        <w:tc>
          <w:tcPr>
            <w:tcW w:w="1736" w:type="dxa"/>
            <w:shd w:val="pct20" w:color="000000" w:fill="FFFFFF"/>
            <w:vAlign w:val="bottom"/>
          </w:tcPr>
          <w:p w14:paraId="393A1020" w14:textId="64386597" w:rsidR="00EA0C49" w:rsidRPr="001E4C31" w:rsidRDefault="00EA0C49" w:rsidP="001E4C31">
            <w:pPr>
              <w:keepNext/>
              <w:jc w:val="center"/>
              <w:rPr>
                <w:rFonts w:cs="Arial"/>
                <w:sz w:val="20"/>
                <w:szCs w:val="20"/>
              </w:rPr>
            </w:pPr>
            <w:r w:rsidRPr="009E423A">
              <w:rPr>
                <w:rFonts w:cs="Arial"/>
                <w:i/>
                <w:sz w:val="20"/>
                <w:szCs w:val="20"/>
              </w:rPr>
              <w:t xml:space="preserve">Section </w:t>
            </w:r>
            <w:r>
              <w:rPr>
                <w:rFonts w:cs="Arial"/>
                <w:i/>
                <w:sz w:val="20"/>
                <w:szCs w:val="20"/>
              </w:rPr>
              <w:t>1.4.3.1</w:t>
            </w:r>
          </w:p>
        </w:tc>
      </w:tr>
      <w:tr w:rsidR="00EA0C49" w:rsidRPr="00783DAC" w14:paraId="393A1028" w14:textId="77777777" w:rsidTr="00FA2C9A">
        <w:tc>
          <w:tcPr>
            <w:tcW w:w="1772" w:type="dxa"/>
            <w:shd w:val="pct5" w:color="000000" w:fill="FFFFFF"/>
            <w:vAlign w:val="bottom"/>
          </w:tcPr>
          <w:p w14:paraId="393A1022" w14:textId="77777777" w:rsidR="00EA0C49" w:rsidRPr="001E4C31" w:rsidRDefault="00EA0C49" w:rsidP="001E4C31">
            <w:pPr>
              <w:keepNext/>
              <w:jc w:val="center"/>
              <w:rPr>
                <w:rFonts w:cs="Arial"/>
                <w:b/>
                <w:sz w:val="20"/>
                <w:szCs w:val="20"/>
              </w:rPr>
            </w:pPr>
            <w:r w:rsidRPr="001E4C31">
              <w:rPr>
                <w:rFonts w:cs="Arial"/>
                <w:b/>
                <w:sz w:val="20"/>
                <w:szCs w:val="20"/>
              </w:rPr>
              <w:t>NTG</w:t>
            </w:r>
          </w:p>
        </w:tc>
        <w:tc>
          <w:tcPr>
            <w:tcW w:w="1735" w:type="dxa"/>
            <w:shd w:val="pct5" w:color="000000" w:fill="FFFFFF"/>
          </w:tcPr>
          <w:p w14:paraId="393A1023" w14:textId="2A0F05A5" w:rsidR="00EA0C49" w:rsidRPr="001E4C31" w:rsidRDefault="00EA0C49" w:rsidP="001E4C31">
            <w:pPr>
              <w:keepNext/>
              <w:jc w:val="center"/>
              <w:rPr>
                <w:rFonts w:cs="Arial"/>
                <w:sz w:val="20"/>
                <w:szCs w:val="20"/>
                <w:highlight w:val="yellow"/>
              </w:rPr>
            </w:pPr>
            <w:r w:rsidRPr="00946761">
              <w:rPr>
                <w:rFonts w:cs="Arial"/>
                <w:sz w:val="20"/>
                <w:szCs w:val="20"/>
              </w:rPr>
              <w:t>None</w:t>
            </w:r>
          </w:p>
        </w:tc>
        <w:tc>
          <w:tcPr>
            <w:tcW w:w="1461" w:type="dxa"/>
            <w:shd w:val="pct5" w:color="000000" w:fill="FFFFFF"/>
            <w:vAlign w:val="bottom"/>
          </w:tcPr>
          <w:p w14:paraId="393A1024" w14:textId="3FC49D6A" w:rsidR="00EA0C49" w:rsidRPr="001E4C31" w:rsidRDefault="00EA0C49" w:rsidP="001E4C31">
            <w:pPr>
              <w:keepNext/>
              <w:jc w:val="center"/>
              <w:rPr>
                <w:rFonts w:cs="Arial"/>
                <w:sz w:val="20"/>
                <w:szCs w:val="20"/>
              </w:rPr>
            </w:pPr>
            <w:r>
              <w:rPr>
                <w:rFonts w:cs="Arial"/>
                <w:sz w:val="20"/>
                <w:szCs w:val="20"/>
              </w:rPr>
              <w:t>0</w:t>
            </w:r>
          </w:p>
        </w:tc>
        <w:tc>
          <w:tcPr>
            <w:tcW w:w="1473" w:type="dxa"/>
            <w:shd w:val="pct5" w:color="000000" w:fill="FFFFFF"/>
            <w:vAlign w:val="bottom"/>
          </w:tcPr>
          <w:p w14:paraId="393A1026" w14:textId="48AAE073" w:rsidR="00EA0C49" w:rsidRPr="001E4C31" w:rsidRDefault="00262E9A" w:rsidP="001E4C31">
            <w:pPr>
              <w:keepNext/>
              <w:jc w:val="center"/>
              <w:rPr>
                <w:rFonts w:cs="Arial"/>
                <w:sz w:val="20"/>
                <w:szCs w:val="20"/>
              </w:rPr>
            </w:pPr>
            <w:r>
              <w:rPr>
                <w:rFonts w:cs="Arial"/>
                <w:sz w:val="20"/>
                <w:szCs w:val="20"/>
              </w:rPr>
              <w:t>1.0</w:t>
            </w:r>
          </w:p>
        </w:tc>
        <w:tc>
          <w:tcPr>
            <w:tcW w:w="1736" w:type="dxa"/>
            <w:shd w:val="pct5" w:color="000000" w:fill="FFFFFF"/>
            <w:vAlign w:val="bottom"/>
          </w:tcPr>
          <w:p w14:paraId="393A1027" w14:textId="4431417B" w:rsidR="00EA0C49" w:rsidRPr="001E4C31" w:rsidRDefault="00EA0C49" w:rsidP="001E4C31">
            <w:pPr>
              <w:keepNext/>
              <w:jc w:val="center"/>
              <w:rPr>
                <w:rFonts w:cs="Arial"/>
                <w:sz w:val="20"/>
                <w:szCs w:val="20"/>
              </w:rPr>
            </w:pPr>
            <w:r w:rsidRPr="009E423A">
              <w:rPr>
                <w:rFonts w:cs="Arial"/>
                <w:i/>
                <w:sz w:val="20"/>
                <w:szCs w:val="20"/>
              </w:rPr>
              <w:t xml:space="preserve">Section </w:t>
            </w:r>
            <w:r>
              <w:rPr>
                <w:rFonts w:cs="Arial"/>
                <w:i/>
                <w:sz w:val="20"/>
                <w:szCs w:val="20"/>
              </w:rPr>
              <w:t>1.4.1</w:t>
            </w:r>
          </w:p>
        </w:tc>
      </w:tr>
      <w:tr w:rsidR="00EA0C49" w:rsidRPr="00783DAC" w14:paraId="393A102F" w14:textId="77777777" w:rsidTr="00FA2C9A">
        <w:tc>
          <w:tcPr>
            <w:tcW w:w="1772" w:type="dxa"/>
            <w:shd w:val="pct20" w:color="000000" w:fill="FFFFFF"/>
            <w:vAlign w:val="bottom"/>
          </w:tcPr>
          <w:p w14:paraId="393A1029" w14:textId="77777777" w:rsidR="00EA0C49" w:rsidRPr="001E4C31" w:rsidRDefault="00EA0C49" w:rsidP="001E4C31">
            <w:pPr>
              <w:keepNext/>
              <w:jc w:val="center"/>
              <w:rPr>
                <w:rFonts w:cs="Arial"/>
                <w:b/>
                <w:sz w:val="20"/>
                <w:szCs w:val="20"/>
              </w:rPr>
            </w:pPr>
            <w:r w:rsidRPr="001E4C31">
              <w:rPr>
                <w:rFonts w:cs="Arial"/>
                <w:b/>
                <w:sz w:val="20"/>
                <w:szCs w:val="20"/>
              </w:rPr>
              <w:t>ISR</w:t>
            </w:r>
          </w:p>
        </w:tc>
        <w:tc>
          <w:tcPr>
            <w:tcW w:w="1735" w:type="dxa"/>
            <w:shd w:val="pct20" w:color="000000" w:fill="FFFFFF"/>
          </w:tcPr>
          <w:p w14:paraId="393A102A" w14:textId="62EB60A7" w:rsidR="00EA0C49" w:rsidRPr="001E4C31" w:rsidRDefault="00EA0C49" w:rsidP="001E4C31">
            <w:pPr>
              <w:keepNext/>
              <w:jc w:val="center"/>
              <w:rPr>
                <w:rFonts w:cs="Arial"/>
                <w:sz w:val="20"/>
                <w:szCs w:val="20"/>
                <w:highlight w:val="yellow"/>
              </w:rPr>
            </w:pPr>
            <w:r w:rsidRPr="00946761">
              <w:rPr>
                <w:rFonts w:cs="Arial"/>
                <w:sz w:val="20"/>
                <w:szCs w:val="20"/>
              </w:rPr>
              <w:t>None</w:t>
            </w:r>
          </w:p>
        </w:tc>
        <w:tc>
          <w:tcPr>
            <w:tcW w:w="1461" w:type="dxa"/>
            <w:shd w:val="pct20" w:color="000000" w:fill="FFFFFF"/>
            <w:vAlign w:val="bottom"/>
          </w:tcPr>
          <w:p w14:paraId="393A102B" w14:textId="68629746" w:rsidR="00EA0C49" w:rsidRPr="001E4C31" w:rsidRDefault="00EA0C49" w:rsidP="001E4C31">
            <w:pPr>
              <w:keepNext/>
              <w:jc w:val="center"/>
              <w:rPr>
                <w:rFonts w:cs="Arial"/>
                <w:sz w:val="20"/>
                <w:szCs w:val="20"/>
              </w:rPr>
            </w:pPr>
            <w:r>
              <w:rPr>
                <w:rFonts w:cs="Arial"/>
                <w:sz w:val="20"/>
                <w:szCs w:val="20"/>
              </w:rPr>
              <w:t>1</w:t>
            </w:r>
          </w:p>
        </w:tc>
        <w:tc>
          <w:tcPr>
            <w:tcW w:w="1473" w:type="dxa"/>
            <w:shd w:val="pct20" w:color="000000" w:fill="FFFFFF"/>
            <w:vAlign w:val="bottom"/>
          </w:tcPr>
          <w:p w14:paraId="393A102D" w14:textId="2952430E" w:rsidR="00EA0C49" w:rsidRPr="001E4C31" w:rsidRDefault="00EA0C49" w:rsidP="001E4C31">
            <w:pPr>
              <w:keepNext/>
              <w:jc w:val="center"/>
              <w:rPr>
                <w:rFonts w:cs="Arial"/>
                <w:sz w:val="20"/>
                <w:szCs w:val="20"/>
              </w:rPr>
            </w:pPr>
            <w:r>
              <w:rPr>
                <w:rFonts w:cs="Arial"/>
                <w:sz w:val="20"/>
                <w:szCs w:val="20"/>
              </w:rPr>
              <w:t>1</w:t>
            </w:r>
          </w:p>
        </w:tc>
        <w:tc>
          <w:tcPr>
            <w:tcW w:w="1736" w:type="dxa"/>
            <w:shd w:val="pct20" w:color="000000" w:fill="FFFFFF"/>
            <w:vAlign w:val="bottom"/>
          </w:tcPr>
          <w:p w14:paraId="393A102E" w14:textId="30A9E1A1" w:rsidR="00EA0C49" w:rsidRPr="001E4C31" w:rsidRDefault="00EA0C49" w:rsidP="001E4C31">
            <w:pPr>
              <w:keepNext/>
              <w:jc w:val="center"/>
              <w:rPr>
                <w:rFonts w:cs="Arial"/>
                <w:sz w:val="20"/>
                <w:szCs w:val="20"/>
              </w:rPr>
            </w:pPr>
            <w:r w:rsidRPr="009E423A">
              <w:rPr>
                <w:rFonts w:cs="Arial"/>
                <w:i/>
                <w:sz w:val="20"/>
                <w:szCs w:val="20"/>
              </w:rPr>
              <w:t xml:space="preserve">Section </w:t>
            </w:r>
            <w:r>
              <w:rPr>
                <w:rFonts w:cs="Arial"/>
                <w:i/>
                <w:sz w:val="20"/>
                <w:szCs w:val="20"/>
              </w:rPr>
              <w:t>1.4.1</w:t>
            </w:r>
          </w:p>
        </w:tc>
      </w:tr>
      <w:tr w:rsidR="00EA0C49" w:rsidRPr="00783DAC" w14:paraId="393A1036" w14:textId="77777777" w:rsidTr="001E4C31">
        <w:tc>
          <w:tcPr>
            <w:tcW w:w="1772" w:type="dxa"/>
            <w:shd w:val="pct5" w:color="000000" w:fill="FFFFFF"/>
            <w:vAlign w:val="bottom"/>
          </w:tcPr>
          <w:p w14:paraId="393A1030" w14:textId="77777777" w:rsidR="00EA0C49" w:rsidRPr="001E4C31" w:rsidRDefault="00EA0C49" w:rsidP="001E4C31">
            <w:pPr>
              <w:jc w:val="center"/>
              <w:rPr>
                <w:rFonts w:cs="Arial"/>
                <w:b/>
                <w:sz w:val="20"/>
                <w:szCs w:val="20"/>
              </w:rPr>
            </w:pPr>
            <w:r w:rsidRPr="001E4C31">
              <w:rPr>
                <w:rFonts w:cs="Arial"/>
                <w:b/>
                <w:sz w:val="20"/>
                <w:szCs w:val="20"/>
              </w:rPr>
              <w:t>TOU Factor</w:t>
            </w:r>
          </w:p>
        </w:tc>
        <w:tc>
          <w:tcPr>
            <w:tcW w:w="1735" w:type="dxa"/>
            <w:shd w:val="pct5" w:color="000000" w:fill="FFFFFF"/>
            <w:vAlign w:val="bottom"/>
          </w:tcPr>
          <w:p w14:paraId="393A1031" w14:textId="77777777" w:rsidR="00EA0C49" w:rsidRPr="009E423A" w:rsidRDefault="00EA0C49" w:rsidP="001E4C31">
            <w:pPr>
              <w:jc w:val="center"/>
              <w:rPr>
                <w:rFonts w:cs="Arial"/>
                <w:i/>
                <w:sz w:val="20"/>
                <w:szCs w:val="20"/>
              </w:rPr>
            </w:pPr>
            <w:r w:rsidRPr="009E423A">
              <w:rPr>
                <w:rFonts w:cs="Arial"/>
                <w:i/>
                <w:sz w:val="20"/>
                <w:szCs w:val="20"/>
              </w:rPr>
              <w:t>A/C projects only</w:t>
            </w:r>
          </w:p>
        </w:tc>
        <w:tc>
          <w:tcPr>
            <w:tcW w:w="1461" w:type="dxa"/>
            <w:shd w:val="pct5" w:color="000000" w:fill="FFFFFF"/>
            <w:vAlign w:val="bottom"/>
          </w:tcPr>
          <w:p w14:paraId="393A1032" w14:textId="53E335C5" w:rsidR="00EA0C49" w:rsidRPr="009E423A" w:rsidRDefault="00EA0C49" w:rsidP="001E4C31">
            <w:pPr>
              <w:jc w:val="center"/>
              <w:rPr>
                <w:rFonts w:cs="Arial"/>
                <w:i/>
                <w:sz w:val="20"/>
                <w:szCs w:val="20"/>
              </w:rPr>
            </w:pPr>
            <w:r w:rsidRPr="009E423A">
              <w:rPr>
                <w:rFonts w:cs="Arial"/>
                <w:i/>
                <w:sz w:val="20"/>
                <w:szCs w:val="20"/>
              </w:rPr>
              <w:t>0</w:t>
            </w:r>
          </w:p>
        </w:tc>
        <w:tc>
          <w:tcPr>
            <w:tcW w:w="1473" w:type="dxa"/>
            <w:shd w:val="pct5" w:color="000000" w:fill="FFFFFF"/>
            <w:vAlign w:val="bottom"/>
          </w:tcPr>
          <w:p w14:paraId="393A1034" w14:textId="4E929D8F" w:rsidR="00EA0C49" w:rsidRPr="009E423A" w:rsidRDefault="00EA0C49" w:rsidP="001E4C31">
            <w:pPr>
              <w:jc w:val="center"/>
              <w:rPr>
                <w:rFonts w:cs="Arial"/>
                <w:i/>
                <w:sz w:val="20"/>
                <w:szCs w:val="20"/>
              </w:rPr>
            </w:pPr>
            <w:r w:rsidRPr="009E423A">
              <w:rPr>
                <w:rFonts w:cs="Arial"/>
                <w:i/>
                <w:sz w:val="20"/>
                <w:szCs w:val="20"/>
              </w:rPr>
              <w:t>0</w:t>
            </w:r>
          </w:p>
        </w:tc>
        <w:tc>
          <w:tcPr>
            <w:tcW w:w="1736" w:type="dxa"/>
            <w:shd w:val="pct5" w:color="000000" w:fill="FFFFFF"/>
            <w:vAlign w:val="bottom"/>
          </w:tcPr>
          <w:p w14:paraId="393A1035" w14:textId="77777777" w:rsidR="00EA0C49" w:rsidRPr="009E423A" w:rsidRDefault="00EA0C49" w:rsidP="001E4C31">
            <w:pPr>
              <w:jc w:val="center"/>
              <w:rPr>
                <w:rFonts w:cs="Arial"/>
                <w:i/>
                <w:sz w:val="20"/>
                <w:szCs w:val="20"/>
              </w:rPr>
            </w:pPr>
            <w:r w:rsidRPr="009E423A">
              <w:rPr>
                <w:rFonts w:cs="Arial"/>
                <w:i/>
                <w:sz w:val="20"/>
                <w:szCs w:val="20"/>
              </w:rPr>
              <w:t>Section 1.4.5</w:t>
            </w:r>
          </w:p>
        </w:tc>
      </w:tr>
    </w:tbl>
    <w:p w14:paraId="393A1037" w14:textId="77777777" w:rsidR="00C069A2" w:rsidRDefault="001A3026" w:rsidP="00C41E61">
      <w:pPr>
        <w:pStyle w:val="Heading1"/>
      </w:pPr>
      <w:r>
        <w:rPr>
          <w:sz w:val="20"/>
          <w:szCs w:val="20"/>
        </w:rPr>
        <w:br w:type="page"/>
      </w:r>
      <w:bookmarkStart w:id="78" w:name="_Toc304800210"/>
      <w:bookmarkStart w:id="79" w:name="_Toc324340489"/>
      <w:bookmarkStart w:id="80" w:name="_Toc391397012"/>
      <w:proofErr w:type="gramStart"/>
      <w:r w:rsidR="00CF3FF0" w:rsidRPr="00CF3FF0">
        <w:lastRenderedPageBreak/>
        <w:t xml:space="preserve">Section </w:t>
      </w:r>
      <w:r w:rsidR="00C069A2" w:rsidRPr="00CF3FF0">
        <w:t>2</w:t>
      </w:r>
      <w:r w:rsidR="003129E8" w:rsidRPr="00CF3FF0">
        <w:t>.</w:t>
      </w:r>
      <w:proofErr w:type="gramEnd"/>
      <w:r w:rsidR="00C069A2" w:rsidRPr="00CF3FF0">
        <w:t xml:space="preserve"> Calculation Methods</w:t>
      </w:r>
      <w:bookmarkEnd w:id="78"/>
      <w:bookmarkEnd w:id="79"/>
      <w:bookmarkEnd w:id="80"/>
    </w:p>
    <w:p w14:paraId="393A1038" w14:textId="66DF8026" w:rsidR="00BC2A83" w:rsidRPr="00ED7D3D" w:rsidRDefault="00C104E1" w:rsidP="008436DA">
      <w:pPr>
        <w:pStyle w:val="Table"/>
        <w:rPr>
          <w:rFonts w:cs="Arial"/>
          <w:b/>
          <w:szCs w:val="22"/>
        </w:rPr>
      </w:pPr>
      <w:bookmarkStart w:id="81" w:name="_Toc391398027"/>
      <w:r w:rsidRPr="003541A6">
        <w:t xml:space="preserve">Table </w:t>
      </w:r>
      <w:r w:rsidR="00544E9C">
        <w:fldChar w:fldCharType="begin"/>
      </w:r>
      <w:r w:rsidR="00544E9C">
        <w:instrText xml:space="preserve"> SEQ Table \* ARABIC </w:instrText>
      </w:r>
      <w:r w:rsidR="00544E9C">
        <w:fldChar w:fldCharType="separate"/>
      </w:r>
      <w:r w:rsidR="00CE5AEA">
        <w:rPr>
          <w:noProof/>
        </w:rPr>
        <w:t>9</w:t>
      </w:r>
      <w:r w:rsidR="00544E9C">
        <w:rPr>
          <w:noProof/>
        </w:rPr>
        <w:fldChar w:fldCharType="end"/>
      </w:r>
      <w:r w:rsidR="0007589E">
        <w:t xml:space="preserve"> Baseline </w:t>
      </w:r>
      <w:r w:rsidR="00ED7D3D">
        <w:t>by Measure Application Type</w:t>
      </w:r>
      <w:bookmarkEnd w:id="81"/>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14:paraId="393A103D" w14:textId="77777777" w:rsidTr="00ED7D3D">
        <w:trPr>
          <w:trHeight w:val="927"/>
        </w:trPr>
        <w:tc>
          <w:tcPr>
            <w:tcW w:w="2808" w:type="dxa"/>
            <w:shd w:val="clear" w:color="auto" w:fill="262626"/>
            <w:vAlign w:val="bottom"/>
          </w:tcPr>
          <w:p w14:paraId="393A1039" w14:textId="77777777" w:rsidR="00673682" w:rsidRPr="001E4C31" w:rsidRDefault="003541A6" w:rsidP="001E4C31">
            <w:pPr>
              <w:pStyle w:val="Heading2"/>
              <w:keepLines/>
              <w:jc w:val="center"/>
              <w:rPr>
                <w:rStyle w:val="Strong"/>
                <w:b/>
                <w:bCs/>
                <w:i w:val="0"/>
                <w:color w:val="F2F2F2"/>
              </w:rPr>
            </w:pPr>
            <w:bookmarkStart w:id="82" w:name="_Toc324340490"/>
            <w:bookmarkStart w:id="83" w:name="_Toc391397013"/>
            <w:r>
              <w:rPr>
                <w:rStyle w:val="Strong"/>
                <w:b/>
                <w:bCs/>
                <w:i w:val="0"/>
                <w:color w:val="F2F2F2"/>
              </w:rPr>
              <w:t xml:space="preserve">Measure Application </w:t>
            </w:r>
            <w:r w:rsidR="00673682" w:rsidRPr="001E4C31">
              <w:rPr>
                <w:rStyle w:val="Strong"/>
                <w:b/>
                <w:bCs/>
                <w:i w:val="0"/>
                <w:color w:val="F2F2F2"/>
              </w:rPr>
              <w:t>Type</w:t>
            </w:r>
            <w:bookmarkEnd w:id="82"/>
            <w:bookmarkEnd w:id="83"/>
          </w:p>
        </w:tc>
        <w:tc>
          <w:tcPr>
            <w:tcW w:w="1710" w:type="dxa"/>
            <w:shd w:val="clear" w:color="auto" w:fill="262626"/>
            <w:vAlign w:val="bottom"/>
          </w:tcPr>
          <w:p w14:paraId="393A103A" w14:textId="77777777" w:rsidR="00673682" w:rsidRPr="001E4C31" w:rsidRDefault="00673682" w:rsidP="001E4C31">
            <w:pPr>
              <w:pStyle w:val="Heading2"/>
              <w:keepLines/>
              <w:jc w:val="center"/>
              <w:rPr>
                <w:rStyle w:val="Strong"/>
                <w:b/>
                <w:bCs/>
                <w:i w:val="0"/>
                <w:color w:val="F2F2F2"/>
              </w:rPr>
            </w:pPr>
            <w:bookmarkStart w:id="84" w:name="_Toc324340491"/>
            <w:bookmarkStart w:id="85" w:name="_Toc391397014"/>
            <w:r w:rsidRPr="001E4C31">
              <w:rPr>
                <w:rStyle w:val="Strong"/>
                <w:b/>
                <w:bCs/>
                <w:i w:val="0"/>
                <w:color w:val="F2F2F2"/>
              </w:rPr>
              <w:t>Measure Life Basis</w:t>
            </w:r>
            <w:bookmarkEnd w:id="84"/>
            <w:bookmarkEnd w:id="85"/>
          </w:p>
        </w:tc>
        <w:tc>
          <w:tcPr>
            <w:tcW w:w="2790" w:type="dxa"/>
            <w:shd w:val="clear" w:color="auto" w:fill="262626"/>
            <w:vAlign w:val="bottom"/>
          </w:tcPr>
          <w:p w14:paraId="393A103B" w14:textId="77777777" w:rsidR="00673682" w:rsidRPr="001E4C31" w:rsidRDefault="00673682" w:rsidP="001E4C31">
            <w:pPr>
              <w:pStyle w:val="Heading2"/>
              <w:keepLines/>
              <w:jc w:val="center"/>
              <w:rPr>
                <w:rStyle w:val="Strong"/>
                <w:b/>
                <w:bCs/>
                <w:i w:val="0"/>
                <w:color w:val="F2F2F2"/>
              </w:rPr>
            </w:pPr>
            <w:bookmarkStart w:id="86" w:name="_Toc324340492"/>
            <w:bookmarkStart w:id="87" w:name="_Toc391397015"/>
            <w:r w:rsidRPr="001E4C31">
              <w:rPr>
                <w:rStyle w:val="Strong"/>
                <w:b/>
                <w:bCs/>
                <w:i w:val="0"/>
                <w:color w:val="F2F2F2"/>
              </w:rPr>
              <w:t>First Baseline Period: Energy Savings Baseline</w:t>
            </w:r>
            <w:bookmarkEnd w:id="86"/>
            <w:bookmarkEnd w:id="87"/>
          </w:p>
        </w:tc>
        <w:tc>
          <w:tcPr>
            <w:tcW w:w="2268" w:type="dxa"/>
            <w:shd w:val="clear" w:color="auto" w:fill="262626"/>
            <w:vAlign w:val="bottom"/>
          </w:tcPr>
          <w:p w14:paraId="393A103C" w14:textId="77777777" w:rsidR="00673682" w:rsidRPr="001E4C31" w:rsidRDefault="00673682" w:rsidP="001E4C31">
            <w:pPr>
              <w:pStyle w:val="Heading2"/>
              <w:keepLines/>
              <w:jc w:val="center"/>
              <w:rPr>
                <w:rStyle w:val="Strong"/>
                <w:b/>
                <w:bCs/>
                <w:i w:val="0"/>
                <w:color w:val="F2F2F2"/>
              </w:rPr>
            </w:pPr>
            <w:bookmarkStart w:id="88" w:name="_Toc324340493"/>
            <w:bookmarkStart w:id="89" w:name="_Toc391397016"/>
            <w:r w:rsidRPr="001E4C31">
              <w:rPr>
                <w:rStyle w:val="Strong"/>
                <w:b/>
                <w:bCs/>
                <w:i w:val="0"/>
                <w:color w:val="F2F2F2"/>
              </w:rPr>
              <w:t>Second Baseline Period: Energy Savings Baseline</w:t>
            </w:r>
            <w:bookmarkEnd w:id="88"/>
            <w:bookmarkEnd w:id="89"/>
          </w:p>
        </w:tc>
      </w:tr>
      <w:tr w:rsidR="009B1863" w:rsidRPr="00C41E61" w14:paraId="393A1042" w14:textId="77777777" w:rsidTr="00C74F44">
        <w:tc>
          <w:tcPr>
            <w:tcW w:w="2808" w:type="dxa"/>
            <w:shd w:val="pct5" w:color="000000" w:fill="FFFFFF"/>
            <w:vAlign w:val="bottom"/>
          </w:tcPr>
          <w:p w14:paraId="393A103E" w14:textId="77777777" w:rsidR="00645027" w:rsidRPr="001E4C31" w:rsidRDefault="00EA38B4" w:rsidP="00EA38B4">
            <w:pPr>
              <w:spacing w:before="120" w:after="120"/>
              <w:jc w:val="center"/>
              <w:rPr>
                <w:rStyle w:val="Strong"/>
                <w:b w:val="0"/>
              </w:rPr>
            </w:pPr>
            <w:bookmarkStart w:id="90"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90"/>
          </w:p>
        </w:tc>
        <w:tc>
          <w:tcPr>
            <w:tcW w:w="1710" w:type="dxa"/>
            <w:shd w:val="pct5" w:color="000000" w:fill="FFFFFF"/>
            <w:vAlign w:val="bottom"/>
          </w:tcPr>
          <w:p w14:paraId="393A103F" w14:textId="77777777" w:rsidR="00645027" w:rsidRPr="001E4C31" w:rsidRDefault="00645027" w:rsidP="001E4C31">
            <w:pPr>
              <w:spacing w:before="120" w:after="120"/>
              <w:jc w:val="center"/>
              <w:rPr>
                <w:rStyle w:val="Strong"/>
                <w:b w:val="0"/>
              </w:rPr>
            </w:pPr>
            <w:bookmarkStart w:id="91" w:name="_Toc324318350"/>
            <w:r w:rsidRPr="001E4C31">
              <w:rPr>
                <w:rStyle w:val="Strong"/>
                <w:b w:val="0"/>
              </w:rPr>
              <w:t>EUL</w:t>
            </w:r>
            <w:bookmarkEnd w:id="91"/>
          </w:p>
        </w:tc>
        <w:tc>
          <w:tcPr>
            <w:tcW w:w="2790" w:type="dxa"/>
            <w:shd w:val="pct5" w:color="000000" w:fill="FFFFFF"/>
            <w:vAlign w:val="bottom"/>
          </w:tcPr>
          <w:p w14:paraId="393A1040" w14:textId="77777777"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14:paraId="393A1041" w14:textId="77777777" w:rsidR="00645027" w:rsidRPr="001E4C31" w:rsidRDefault="00EA38B4" w:rsidP="001E4C31">
            <w:pPr>
              <w:spacing w:before="120" w:after="120"/>
              <w:jc w:val="center"/>
              <w:rPr>
                <w:sz w:val="20"/>
                <w:szCs w:val="20"/>
              </w:rPr>
            </w:pPr>
            <w:r>
              <w:rPr>
                <w:sz w:val="20"/>
                <w:szCs w:val="20"/>
              </w:rPr>
              <w:t>Code Baseline</w:t>
            </w:r>
          </w:p>
        </w:tc>
      </w:tr>
      <w:tr w:rsidR="009B1863" w:rsidRPr="00C41E61" w14:paraId="393A1047" w14:textId="77777777" w:rsidTr="00C74F44">
        <w:tc>
          <w:tcPr>
            <w:tcW w:w="2808" w:type="dxa"/>
            <w:shd w:val="pct20" w:color="000000" w:fill="FFFFFF"/>
            <w:vAlign w:val="bottom"/>
          </w:tcPr>
          <w:p w14:paraId="393A1043" w14:textId="77777777" w:rsidR="00645027" w:rsidRPr="001E4C31" w:rsidRDefault="00645027" w:rsidP="001E4C31">
            <w:pPr>
              <w:spacing w:before="120" w:after="120"/>
              <w:jc w:val="center"/>
              <w:rPr>
                <w:rStyle w:val="Strong"/>
                <w:b w:val="0"/>
              </w:rPr>
            </w:pPr>
            <w:bookmarkStart w:id="92" w:name="_Toc324318353"/>
            <w:r w:rsidRPr="001E4C31">
              <w:rPr>
                <w:rStyle w:val="Strong"/>
                <w:i/>
              </w:rPr>
              <w:t>ROB</w:t>
            </w:r>
            <w:r w:rsidRPr="001E4C31">
              <w:rPr>
                <w:rStyle w:val="Strong"/>
                <w:b w:val="0"/>
              </w:rPr>
              <w:t xml:space="preserve"> (replace-on-burnout)</w:t>
            </w:r>
            <w:bookmarkEnd w:id="92"/>
          </w:p>
        </w:tc>
        <w:tc>
          <w:tcPr>
            <w:tcW w:w="1710" w:type="dxa"/>
            <w:shd w:val="pct20" w:color="000000" w:fill="FFFFFF"/>
            <w:vAlign w:val="bottom"/>
          </w:tcPr>
          <w:p w14:paraId="393A1044" w14:textId="77777777" w:rsidR="00645027" w:rsidRPr="001E4C31" w:rsidRDefault="00645027" w:rsidP="001E4C31">
            <w:pPr>
              <w:spacing w:before="120" w:after="120"/>
              <w:jc w:val="center"/>
              <w:rPr>
                <w:rStyle w:val="Strong"/>
                <w:b w:val="0"/>
              </w:rPr>
            </w:pPr>
            <w:bookmarkStart w:id="93" w:name="_Toc324318354"/>
            <w:r w:rsidRPr="001E4C31">
              <w:rPr>
                <w:rStyle w:val="Strong"/>
                <w:b w:val="0"/>
              </w:rPr>
              <w:t>EUL</w:t>
            </w:r>
            <w:bookmarkEnd w:id="93"/>
          </w:p>
        </w:tc>
        <w:tc>
          <w:tcPr>
            <w:tcW w:w="2790" w:type="dxa"/>
            <w:shd w:val="pct20" w:color="000000" w:fill="FFFFFF"/>
            <w:vAlign w:val="bottom"/>
          </w:tcPr>
          <w:p w14:paraId="393A1045" w14:textId="77777777" w:rsidR="00645027" w:rsidRPr="001E4C31" w:rsidRDefault="00645027" w:rsidP="001E4C31">
            <w:pPr>
              <w:spacing w:before="120" w:after="120"/>
              <w:jc w:val="center"/>
              <w:rPr>
                <w:sz w:val="20"/>
                <w:szCs w:val="20"/>
              </w:rPr>
            </w:pPr>
            <w:bookmarkStart w:id="94" w:name="_Toc324318355"/>
            <w:r w:rsidRPr="001E4C31">
              <w:rPr>
                <w:sz w:val="20"/>
                <w:szCs w:val="20"/>
              </w:rPr>
              <w:t>Code Baseline</w:t>
            </w:r>
            <w:bookmarkEnd w:id="94"/>
          </w:p>
        </w:tc>
        <w:tc>
          <w:tcPr>
            <w:tcW w:w="2268" w:type="dxa"/>
            <w:shd w:val="pct20" w:color="000000" w:fill="FFFFFF"/>
            <w:vAlign w:val="bottom"/>
          </w:tcPr>
          <w:p w14:paraId="393A1046" w14:textId="77777777" w:rsidR="00645027" w:rsidRPr="001E4C31" w:rsidRDefault="00645027" w:rsidP="001E4C31">
            <w:pPr>
              <w:spacing w:before="120" w:after="120"/>
              <w:jc w:val="center"/>
              <w:rPr>
                <w:sz w:val="20"/>
                <w:szCs w:val="20"/>
              </w:rPr>
            </w:pPr>
            <w:bookmarkStart w:id="95" w:name="_Toc324318356"/>
            <w:r w:rsidRPr="001E4C31">
              <w:rPr>
                <w:sz w:val="20"/>
                <w:szCs w:val="20"/>
              </w:rPr>
              <w:t>N/A</w:t>
            </w:r>
            <w:bookmarkEnd w:id="95"/>
          </w:p>
        </w:tc>
      </w:tr>
      <w:tr w:rsidR="009B1863" w:rsidRPr="00C41E61" w14:paraId="393A104C" w14:textId="77777777" w:rsidTr="00C74F44">
        <w:tc>
          <w:tcPr>
            <w:tcW w:w="2808" w:type="dxa"/>
            <w:shd w:val="pct5" w:color="000000" w:fill="FFFFFF"/>
            <w:vAlign w:val="bottom"/>
          </w:tcPr>
          <w:p w14:paraId="393A1048" w14:textId="77777777" w:rsidR="00645027" w:rsidRPr="001E4C31" w:rsidRDefault="00EA38B4" w:rsidP="00EA38B4">
            <w:pPr>
              <w:spacing w:before="120" w:after="120"/>
              <w:jc w:val="center"/>
              <w:rPr>
                <w:rStyle w:val="Strong"/>
                <w:b w:val="0"/>
              </w:rPr>
            </w:pPr>
            <w:bookmarkStart w:id="96"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96"/>
          </w:p>
        </w:tc>
        <w:tc>
          <w:tcPr>
            <w:tcW w:w="1710" w:type="dxa"/>
            <w:shd w:val="pct5" w:color="000000" w:fill="FFFFFF"/>
            <w:vAlign w:val="bottom"/>
          </w:tcPr>
          <w:p w14:paraId="393A1049" w14:textId="77777777" w:rsidR="00645027" w:rsidRPr="001E4C31" w:rsidRDefault="00645027" w:rsidP="001E4C31">
            <w:pPr>
              <w:spacing w:before="120" w:after="120"/>
              <w:jc w:val="center"/>
              <w:rPr>
                <w:rStyle w:val="Strong"/>
                <w:b w:val="0"/>
              </w:rPr>
            </w:pPr>
            <w:bookmarkStart w:id="97" w:name="_Toc324318358"/>
            <w:r w:rsidRPr="001E4C31">
              <w:rPr>
                <w:rStyle w:val="Strong"/>
                <w:b w:val="0"/>
              </w:rPr>
              <w:t>RUL/EUL-RUL</w:t>
            </w:r>
            <w:bookmarkEnd w:id="97"/>
          </w:p>
        </w:tc>
        <w:tc>
          <w:tcPr>
            <w:tcW w:w="2790" w:type="dxa"/>
            <w:shd w:val="pct5" w:color="000000" w:fill="FFFFFF"/>
            <w:vAlign w:val="bottom"/>
          </w:tcPr>
          <w:p w14:paraId="393A104A" w14:textId="77777777" w:rsidR="00645027" w:rsidRPr="001E4C31" w:rsidRDefault="00EA38B4" w:rsidP="001E4C31">
            <w:pPr>
              <w:spacing w:before="120" w:after="120"/>
              <w:jc w:val="center"/>
              <w:rPr>
                <w:sz w:val="20"/>
                <w:szCs w:val="20"/>
              </w:rPr>
            </w:pPr>
            <w:bookmarkStart w:id="98" w:name="_Toc324318359"/>
            <w:r>
              <w:rPr>
                <w:sz w:val="20"/>
                <w:szCs w:val="20"/>
              </w:rPr>
              <w:t>Code</w:t>
            </w:r>
            <w:r w:rsidR="00645027" w:rsidRPr="001E4C31">
              <w:rPr>
                <w:sz w:val="20"/>
                <w:szCs w:val="20"/>
              </w:rPr>
              <w:t xml:space="preserve"> Baseline</w:t>
            </w:r>
            <w:bookmarkEnd w:id="98"/>
          </w:p>
        </w:tc>
        <w:tc>
          <w:tcPr>
            <w:tcW w:w="2268" w:type="dxa"/>
            <w:shd w:val="pct5" w:color="000000" w:fill="FFFFFF"/>
            <w:vAlign w:val="bottom"/>
          </w:tcPr>
          <w:p w14:paraId="393A104B" w14:textId="77777777" w:rsidR="00645027" w:rsidRPr="001E4C31" w:rsidRDefault="00EA38B4" w:rsidP="001E4C31">
            <w:pPr>
              <w:spacing w:before="120" w:after="120"/>
              <w:jc w:val="center"/>
              <w:rPr>
                <w:sz w:val="20"/>
                <w:szCs w:val="20"/>
              </w:rPr>
            </w:pPr>
            <w:r>
              <w:rPr>
                <w:sz w:val="20"/>
                <w:szCs w:val="20"/>
              </w:rPr>
              <w:t>N/A</w:t>
            </w:r>
          </w:p>
        </w:tc>
      </w:tr>
    </w:tbl>
    <w:p w14:paraId="393A104D" w14:textId="77777777" w:rsidR="007F2147" w:rsidRPr="007F2147" w:rsidRDefault="007F2147" w:rsidP="009B1863">
      <w:pPr>
        <w:rPr>
          <w:rFonts w:cs="Arial"/>
          <w:sz w:val="20"/>
          <w:szCs w:val="20"/>
        </w:rPr>
      </w:pPr>
      <w:bookmarkStart w:id="99" w:name="_Toc304800211"/>
      <w:bookmarkStart w:id="100" w:name="_Toc324318365"/>
      <w:bookmarkStart w:id="101" w:name="_Toc324340494"/>
      <w:r w:rsidRPr="007F2147">
        <w:rPr>
          <w:rFonts w:cs="Arial"/>
          <w:sz w:val="20"/>
          <w:szCs w:val="20"/>
        </w:rPr>
        <w:t xml:space="preserve">Notes: </w:t>
      </w:r>
    </w:p>
    <w:p w14:paraId="393A104E" w14:textId="77777777" w:rsidR="009B1863" w:rsidRPr="007F2147" w:rsidRDefault="00916468" w:rsidP="007F2147">
      <w:pPr>
        <w:numPr>
          <w:ilvl w:val="0"/>
          <w:numId w:val="19"/>
        </w:numPr>
        <w:rPr>
          <w:rFonts w:cs="Arial"/>
          <w:sz w:val="20"/>
          <w:szCs w:val="20"/>
        </w:rPr>
      </w:pPr>
      <w:r w:rsidRPr="007F2147">
        <w:rPr>
          <w:rFonts w:cs="Arial"/>
          <w:sz w:val="20"/>
          <w:szCs w:val="20"/>
        </w:rPr>
        <w:t>For ROB measures, First Baseline is the baseline for the full EUL.</w:t>
      </w:r>
      <w:r w:rsidR="007F2147">
        <w:rPr>
          <w:rFonts w:cs="Arial"/>
          <w:sz w:val="20"/>
          <w:szCs w:val="20"/>
        </w:rPr>
        <w:t xml:space="preserve"> There is no second baseline.</w:t>
      </w:r>
    </w:p>
    <w:p w14:paraId="393A104F" w14:textId="77777777"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w:t>
      </w:r>
      <w:proofErr w:type="gramStart"/>
      <w:r w:rsidRPr="007F2147">
        <w:rPr>
          <w:rFonts w:cs="Arial"/>
          <w:sz w:val="20"/>
          <w:szCs w:val="20"/>
        </w:rPr>
        <w:t>RUL</w:t>
      </w:r>
      <w:r w:rsidR="007F2147">
        <w:rPr>
          <w:rFonts w:cs="Arial"/>
          <w:sz w:val="20"/>
          <w:szCs w:val="20"/>
        </w:rPr>
        <w:t>(</w:t>
      </w:r>
      <w:proofErr w:type="gramEnd"/>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14:paraId="046AEF79" w14:textId="090104A8" w:rsidR="00D3547B" w:rsidRDefault="00D3547B" w:rsidP="007F2147">
      <w:pPr>
        <w:numPr>
          <w:ilvl w:val="0"/>
          <w:numId w:val="19"/>
        </w:numPr>
        <w:rPr>
          <w:rFonts w:cs="Arial"/>
          <w:sz w:val="20"/>
          <w:szCs w:val="20"/>
        </w:rPr>
      </w:pPr>
      <w:r>
        <w:rPr>
          <w:rFonts w:cs="Arial"/>
          <w:sz w:val="20"/>
          <w:szCs w:val="20"/>
        </w:rPr>
        <w:t xml:space="preserve">Installed and purchased spray valves that qualify for this work paper may be below the flow rate of 1.15 </w:t>
      </w:r>
      <w:proofErr w:type="spellStart"/>
      <w:r>
        <w:rPr>
          <w:rFonts w:cs="Arial"/>
          <w:sz w:val="20"/>
          <w:szCs w:val="20"/>
        </w:rPr>
        <w:t>gpm</w:t>
      </w:r>
      <w:proofErr w:type="spellEnd"/>
      <w:r>
        <w:rPr>
          <w:rFonts w:cs="Arial"/>
          <w:sz w:val="20"/>
          <w:szCs w:val="20"/>
        </w:rPr>
        <w:t xml:space="preserve">. </w:t>
      </w:r>
      <w:r w:rsidR="00ED3DA7">
        <w:rPr>
          <w:rFonts w:cs="Arial"/>
          <w:sz w:val="20"/>
          <w:szCs w:val="20"/>
        </w:rPr>
        <w:t>This work paper</w:t>
      </w:r>
      <w:r>
        <w:rPr>
          <w:rFonts w:cs="Arial"/>
          <w:sz w:val="20"/>
          <w:szCs w:val="20"/>
        </w:rPr>
        <w:t xml:space="preserve"> assume</w:t>
      </w:r>
      <w:r w:rsidR="00ED3DA7">
        <w:rPr>
          <w:rFonts w:cs="Arial"/>
          <w:sz w:val="20"/>
          <w:szCs w:val="20"/>
        </w:rPr>
        <w:t>s</w:t>
      </w:r>
      <w:r>
        <w:rPr>
          <w:rFonts w:cs="Arial"/>
          <w:sz w:val="20"/>
          <w:szCs w:val="20"/>
        </w:rPr>
        <w:t xml:space="preserve"> that a majority of the spray valves will be at </w:t>
      </w:r>
      <w:r w:rsidR="00ED3DA7">
        <w:rPr>
          <w:rFonts w:cs="Arial"/>
          <w:sz w:val="20"/>
          <w:szCs w:val="20"/>
        </w:rPr>
        <w:t xml:space="preserve">a flow rate </w:t>
      </w:r>
      <w:r>
        <w:rPr>
          <w:rFonts w:cs="Arial"/>
          <w:sz w:val="20"/>
          <w:szCs w:val="20"/>
        </w:rPr>
        <w:t>1.15</w:t>
      </w:r>
      <w:r w:rsidR="00ED3DA7">
        <w:rPr>
          <w:rFonts w:cs="Arial"/>
          <w:sz w:val="20"/>
          <w:szCs w:val="20"/>
        </w:rPr>
        <w:t xml:space="preserve"> </w:t>
      </w:r>
      <w:proofErr w:type="spellStart"/>
      <w:r>
        <w:rPr>
          <w:rFonts w:cs="Arial"/>
          <w:sz w:val="20"/>
          <w:szCs w:val="20"/>
        </w:rPr>
        <w:t>gpm</w:t>
      </w:r>
      <w:proofErr w:type="spellEnd"/>
      <w:r>
        <w:rPr>
          <w:rFonts w:cs="Arial"/>
          <w:sz w:val="20"/>
          <w:szCs w:val="20"/>
        </w:rPr>
        <w:t xml:space="preserve"> and estimated savings are based off this value for the measure case. </w:t>
      </w:r>
    </w:p>
    <w:p w14:paraId="393A1051" w14:textId="77777777" w:rsidR="00C069A2" w:rsidRDefault="00C069A2" w:rsidP="00D20486">
      <w:pPr>
        <w:pStyle w:val="Heading2"/>
      </w:pPr>
      <w:bookmarkStart w:id="102" w:name="_Toc391397017"/>
      <w:r>
        <w:t xml:space="preserve">2.1 </w:t>
      </w:r>
      <w:r w:rsidR="007878B9">
        <w:t xml:space="preserve">Electric </w:t>
      </w:r>
      <w:r>
        <w:t>Energy Savings Estimation Methodologies</w:t>
      </w:r>
      <w:bookmarkEnd w:id="99"/>
      <w:bookmarkEnd w:id="100"/>
      <w:bookmarkEnd w:id="101"/>
      <w:bookmarkEnd w:id="102"/>
    </w:p>
    <w:p w14:paraId="393A1054" w14:textId="4C8BC309" w:rsidR="00044570" w:rsidRPr="006A66DA" w:rsidRDefault="00126900" w:rsidP="004967A2">
      <w:pPr>
        <w:numPr>
          <w:ilvl w:val="0"/>
          <w:numId w:val="14"/>
        </w:numPr>
        <w:tabs>
          <w:tab w:val="clear" w:pos="1440"/>
          <w:tab w:val="num" w:pos="360"/>
        </w:tabs>
        <w:ind w:left="360"/>
        <w:rPr>
          <w:rFonts w:cs="Arial"/>
          <w:szCs w:val="20"/>
        </w:rPr>
      </w:pPr>
      <w:r w:rsidRPr="006A66DA">
        <w:rPr>
          <w:rFonts w:cs="Arial"/>
          <w:szCs w:val="20"/>
        </w:rPr>
        <w:t xml:space="preserve">There </w:t>
      </w:r>
      <w:proofErr w:type="gramStart"/>
      <w:r w:rsidRPr="006A66DA">
        <w:rPr>
          <w:rFonts w:cs="Arial"/>
          <w:szCs w:val="20"/>
        </w:rPr>
        <w:t>were</w:t>
      </w:r>
      <w:proofErr w:type="gramEnd"/>
      <w:r w:rsidR="00844B27" w:rsidRPr="006A66DA">
        <w:rPr>
          <w:rFonts w:cs="Arial"/>
          <w:szCs w:val="20"/>
        </w:rPr>
        <w:t xml:space="preserve"> no electric ene</w:t>
      </w:r>
      <w:r w:rsidRPr="006A66DA">
        <w:rPr>
          <w:rFonts w:cs="Arial"/>
          <w:szCs w:val="20"/>
        </w:rPr>
        <w:t>rgy savings associated with these</w:t>
      </w:r>
      <w:r w:rsidR="004D7301" w:rsidRPr="006A66DA">
        <w:rPr>
          <w:rFonts w:cs="Arial"/>
          <w:szCs w:val="20"/>
        </w:rPr>
        <w:t xml:space="preserve"> </w:t>
      </w:r>
      <w:r w:rsidR="00844B27" w:rsidRPr="006A66DA">
        <w:rPr>
          <w:rFonts w:cs="Arial"/>
          <w:szCs w:val="20"/>
        </w:rPr>
        <w:t>measure</w:t>
      </w:r>
      <w:r w:rsidRPr="006A66DA">
        <w:rPr>
          <w:rFonts w:cs="Arial"/>
          <w:szCs w:val="20"/>
        </w:rPr>
        <w:t>s</w:t>
      </w:r>
      <w:r w:rsidR="00044570" w:rsidRPr="006A66DA">
        <w:rPr>
          <w:rFonts w:cs="Arial"/>
          <w:szCs w:val="20"/>
        </w:rPr>
        <w:t>.</w:t>
      </w:r>
    </w:p>
    <w:p w14:paraId="393A106B" w14:textId="5F8C909C" w:rsidR="000F11DD" w:rsidRPr="006A66DA" w:rsidRDefault="00126900" w:rsidP="004647C8">
      <w:pPr>
        <w:numPr>
          <w:ilvl w:val="0"/>
          <w:numId w:val="14"/>
        </w:numPr>
        <w:tabs>
          <w:tab w:val="clear" w:pos="1440"/>
        </w:tabs>
        <w:ind w:left="360"/>
        <w:rPr>
          <w:rFonts w:cs="Arial"/>
          <w:szCs w:val="20"/>
        </w:rPr>
      </w:pPr>
      <w:r w:rsidRPr="006A66DA">
        <w:rPr>
          <w:rFonts w:cs="Arial"/>
          <w:szCs w:val="20"/>
        </w:rPr>
        <w:t>This measure</w:t>
      </w:r>
      <w:r w:rsidR="00A95746" w:rsidRPr="006A66DA">
        <w:rPr>
          <w:rFonts w:cs="Arial"/>
          <w:szCs w:val="20"/>
        </w:rPr>
        <w:t xml:space="preserve"> is not an Early Retirement measure. </w:t>
      </w:r>
    </w:p>
    <w:p w14:paraId="3A377F40" w14:textId="77777777" w:rsidR="004647C8" w:rsidRPr="004647C8" w:rsidRDefault="004647C8" w:rsidP="004647C8">
      <w:pPr>
        <w:ind w:left="360"/>
        <w:rPr>
          <w:rFonts w:cs="Arial"/>
          <w:sz w:val="20"/>
          <w:szCs w:val="20"/>
        </w:rPr>
      </w:pPr>
    </w:p>
    <w:p w14:paraId="393A1071" w14:textId="28C608C3" w:rsidR="00CF3FF0" w:rsidRPr="00126900" w:rsidRDefault="0030550A" w:rsidP="00126900">
      <w:pPr>
        <w:pStyle w:val="Heading2"/>
        <w:keepNext w:val="0"/>
      </w:pPr>
      <w:bookmarkStart w:id="103" w:name="_Toc304800212"/>
      <w:bookmarkStart w:id="104" w:name="_Toc324318366"/>
      <w:bookmarkStart w:id="105" w:name="_Toc324340495"/>
      <w:bookmarkStart w:id="106" w:name="_Toc391397018"/>
      <w:r>
        <w:t>2.2. Demand R</w:t>
      </w:r>
      <w:r w:rsidR="00C069A2">
        <w:t>eduction Estimation Methodologies</w:t>
      </w:r>
      <w:bookmarkEnd w:id="103"/>
      <w:bookmarkEnd w:id="104"/>
      <w:bookmarkEnd w:id="105"/>
      <w:bookmarkEnd w:id="106"/>
    </w:p>
    <w:p w14:paraId="393A1075" w14:textId="50E8E334" w:rsidR="00A95746" w:rsidRPr="006A66DA" w:rsidRDefault="00757590" w:rsidP="00A95746">
      <w:pPr>
        <w:numPr>
          <w:ilvl w:val="0"/>
          <w:numId w:val="15"/>
        </w:numPr>
        <w:tabs>
          <w:tab w:val="clear" w:pos="1440"/>
          <w:tab w:val="num" w:pos="360"/>
        </w:tabs>
        <w:ind w:left="360"/>
        <w:rPr>
          <w:rFonts w:cs="Arial"/>
          <w:i/>
          <w:szCs w:val="20"/>
        </w:rPr>
      </w:pPr>
      <w:r w:rsidRPr="006A66DA">
        <w:rPr>
          <w:rFonts w:cs="Arial"/>
          <w:szCs w:val="20"/>
        </w:rPr>
        <w:t>T</w:t>
      </w:r>
      <w:r w:rsidR="00844B27" w:rsidRPr="006A66DA">
        <w:rPr>
          <w:rFonts w:cs="Arial"/>
          <w:szCs w:val="20"/>
        </w:rPr>
        <w:t>here is no anticipated demand reduction associated with this measure</w:t>
      </w:r>
      <w:r w:rsidR="00044570" w:rsidRPr="006A66DA">
        <w:rPr>
          <w:rFonts w:cs="Arial"/>
          <w:szCs w:val="20"/>
        </w:rPr>
        <w:t xml:space="preserve"> </w:t>
      </w:r>
    </w:p>
    <w:p w14:paraId="393A108E" w14:textId="4EA206E8" w:rsidR="00542990" w:rsidRPr="006A66DA" w:rsidRDefault="00A95746" w:rsidP="004647C8">
      <w:pPr>
        <w:numPr>
          <w:ilvl w:val="0"/>
          <w:numId w:val="15"/>
        </w:numPr>
        <w:tabs>
          <w:tab w:val="clear" w:pos="1440"/>
        </w:tabs>
        <w:ind w:left="360"/>
        <w:rPr>
          <w:rFonts w:cs="Arial"/>
          <w:i/>
          <w:szCs w:val="20"/>
        </w:rPr>
      </w:pPr>
      <w:r w:rsidRPr="006A66DA">
        <w:rPr>
          <w:rFonts w:cs="Arial"/>
          <w:szCs w:val="20"/>
        </w:rPr>
        <w:t xml:space="preserve">This measure is not an Early Retirement measure. </w:t>
      </w:r>
    </w:p>
    <w:p w14:paraId="393A1092" w14:textId="059AEE72" w:rsidR="00CF3FF0" w:rsidRPr="004647C8" w:rsidRDefault="00276ED1" w:rsidP="004647C8">
      <w:pPr>
        <w:pStyle w:val="Heading2"/>
      </w:pPr>
      <w:bookmarkStart w:id="107" w:name="_Toc304800213"/>
      <w:bookmarkStart w:id="108" w:name="_Toc324318367"/>
      <w:bookmarkStart w:id="109" w:name="_Toc324340496"/>
      <w:bookmarkStart w:id="110" w:name="_Toc391397019"/>
      <w:r w:rsidRPr="009E423A">
        <w:t xml:space="preserve">2.3. </w:t>
      </w:r>
      <w:r w:rsidR="007878B9" w:rsidRPr="009E423A">
        <w:t>Gas Energy Savings Estimation Methodologies</w:t>
      </w:r>
      <w:bookmarkEnd w:id="107"/>
      <w:bookmarkEnd w:id="108"/>
      <w:bookmarkEnd w:id="109"/>
      <w:bookmarkEnd w:id="110"/>
      <w:r w:rsidR="00044570" w:rsidRPr="00CF3FF0">
        <w:rPr>
          <w:sz w:val="20"/>
          <w:szCs w:val="20"/>
        </w:rPr>
        <w:t xml:space="preserve"> </w:t>
      </w:r>
    </w:p>
    <w:p w14:paraId="73BBCF82" w14:textId="2547A8D5" w:rsidR="000C124D" w:rsidRPr="000C124D" w:rsidRDefault="00A95746" w:rsidP="000C124D">
      <w:pPr>
        <w:ind w:left="360"/>
        <w:rPr>
          <w:sz w:val="24"/>
        </w:rPr>
      </w:pPr>
      <w:r w:rsidRPr="006A66DA">
        <w:rPr>
          <w:rFonts w:cs="Arial"/>
          <w:szCs w:val="20"/>
        </w:rPr>
        <w:t>This measure is not an Early Retirement measure.</w:t>
      </w:r>
      <w:r w:rsidR="00437BE1" w:rsidRPr="006A66DA">
        <w:rPr>
          <w:rFonts w:cs="Arial"/>
          <w:i/>
          <w:szCs w:val="20"/>
        </w:rPr>
        <w:t xml:space="preserve"> </w:t>
      </w:r>
    </w:p>
    <w:p w14:paraId="18F285D1" w14:textId="77777777" w:rsidR="000C124D" w:rsidRDefault="000C124D" w:rsidP="000C124D">
      <w:pPr>
        <w:pStyle w:val="WPPR1"/>
      </w:pPr>
      <w:bookmarkStart w:id="111" w:name="_Toc391397020"/>
      <w:r>
        <w:t>Energy Savings Calculation</w:t>
      </w:r>
      <w:bookmarkEnd w:id="111"/>
    </w:p>
    <w:p w14:paraId="2B046C95" w14:textId="77777777" w:rsidR="000C124D" w:rsidRDefault="000C124D" w:rsidP="000C124D">
      <w:pPr>
        <w:pStyle w:val="PR2"/>
      </w:pPr>
      <w:r>
        <w:t>The annual energy use was calculated using the following equation:</w:t>
      </w:r>
    </w:p>
    <w:p w14:paraId="63C658CF" w14:textId="77777777" w:rsidR="000C124D" w:rsidRDefault="000C124D" w:rsidP="000C124D">
      <w:pPr>
        <w:pStyle w:val="PR2"/>
        <w:numPr>
          <w:ilvl w:val="0"/>
          <w:numId w:val="0"/>
        </w:numPr>
        <w:ind w:left="1584"/>
      </w:pPr>
    </w:p>
    <w:p w14:paraId="4B49DE61" w14:textId="77777777" w:rsidR="000C124D" w:rsidRDefault="000C124D" w:rsidP="000C124D">
      <w:pPr>
        <w:pStyle w:val="PR2"/>
        <w:numPr>
          <w:ilvl w:val="0"/>
          <w:numId w:val="0"/>
        </w:numPr>
        <w:ind w:left="1584"/>
      </w:pPr>
      <m:oMath>
        <m:r>
          <w:rPr>
            <w:rFonts w:ascii="Cambria Math" w:hAnsi="Cambria Math"/>
          </w:rPr>
          <m:t xml:space="preserve">Q (therms)=F x ρ x cp x </m:t>
        </m:r>
        <m:d>
          <m:dPr>
            <m:ctrlPr>
              <w:rPr>
                <w:rFonts w:ascii="Cambria Math" w:hAnsi="Cambria Math"/>
                <w:i/>
              </w:rPr>
            </m:ctrlPr>
          </m:dPr>
          <m:e>
            <m:r>
              <w:rPr>
                <w:rFonts w:ascii="Cambria Math" w:hAnsi="Cambria Math"/>
              </w:rPr>
              <m:t>Mix H2O ℉-Supply H2O ℉</m:t>
            </m:r>
          </m:e>
        </m:d>
        <m:r>
          <w:rPr>
            <w:rFonts w:ascii="Cambria Math" w:hAnsi="Cambria Math"/>
          </w:rPr>
          <m:t>x</m:t>
        </m:r>
        <m:f>
          <m:fPr>
            <m:ctrlPr>
              <w:rPr>
                <w:rFonts w:ascii="Cambria Math" w:hAnsi="Cambria Math"/>
                <w:i/>
              </w:rPr>
            </m:ctrlPr>
          </m:fPr>
          <m:num>
            <m:r>
              <w:rPr>
                <w:rFonts w:ascii="Cambria Math" w:hAnsi="Cambria Math"/>
              </w:rPr>
              <m:t>Hours</m:t>
            </m:r>
          </m:num>
          <m:den>
            <m:r>
              <w:rPr>
                <w:rFonts w:ascii="Cambria Math" w:hAnsi="Cambria Math"/>
              </w:rPr>
              <m:t>Day</m:t>
            </m:r>
          </m:den>
        </m:f>
        <m:r>
          <w:rPr>
            <w:rFonts w:ascii="Cambria Math" w:hAnsi="Cambria Math"/>
          </w:rPr>
          <m:t xml:space="preserve"> x</m:t>
        </m:r>
        <m:f>
          <m:fPr>
            <m:ctrlPr>
              <w:rPr>
                <w:rFonts w:ascii="Cambria Math" w:hAnsi="Cambria Math"/>
                <w:i/>
              </w:rPr>
            </m:ctrlPr>
          </m:fPr>
          <m:num>
            <m:r>
              <w:rPr>
                <w:rFonts w:ascii="Cambria Math" w:hAnsi="Cambria Math"/>
              </w:rPr>
              <m:t>Days</m:t>
            </m:r>
          </m:num>
          <m:den>
            <m:r>
              <w:rPr>
                <w:rFonts w:ascii="Cambria Math" w:hAnsi="Cambria Math"/>
              </w:rPr>
              <m:t xml:space="preserve">year </m:t>
            </m:r>
          </m:den>
        </m:f>
        <m:r>
          <w:rPr>
            <w:rFonts w:ascii="Cambria Math" w:hAnsi="Cambria Math"/>
          </w:rPr>
          <m:t xml:space="preserve">  ÷eff ÷100,000 </m:t>
        </m:r>
      </m:oMath>
      <w:r>
        <w:t xml:space="preserve"> </w:t>
      </w:r>
      <w:r>
        <w:tab/>
      </w:r>
      <w:r>
        <w:rPr>
          <w:i/>
        </w:rPr>
        <w:t>Eq-1</w:t>
      </w:r>
    </w:p>
    <w:p w14:paraId="6BE51FA1" w14:textId="77777777" w:rsidR="000C124D" w:rsidRDefault="000C124D" w:rsidP="000C124D">
      <w:pPr>
        <w:pStyle w:val="PR2"/>
        <w:numPr>
          <w:ilvl w:val="0"/>
          <w:numId w:val="0"/>
        </w:numPr>
        <w:ind w:left="1584"/>
      </w:pPr>
      <w:r>
        <w:t>Where</w:t>
      </w:r>
    </w:p>
    <w:p w14:paraId="4FFB4F02" w14:textId="77777777" w:rsidR="000C124D" w:rsidRDefault="000C124D" w:rsidP="000C124D">
      <w:pPr>
        <w:pStyle w:val="PR3"/>
      </w:pPr>
      <w:r>
        <w:t>F – flow rate (gallons/minute)</w:t>
      </w:r>
    </w:p>
    <w:p w14:paraId="7712F2BD" w14:textId="77777777" w:rsidR="000C124D" w:rsidRDefault="000C124D" w:rsidP="000C124D">
      <w:pPr>
        <w:pStyle w:val="PR3"/>
      </w:pPr>
      <m:oMath>
        <m:r>
          <w:rPr>
            <w:rFonts w:ascii="Cambria Math" w:hAnsi="Cambria Math"/>
          </w:rPr>
          <m:t>ρ-</m:t>
        </m:r>
      </m:oMath>
      <w:r>
        <w:t xml:space="preserve"> density of water is 8.33 (lbm/gal)</w:t>
      </w:r>
    </w:p>
    <w:p w14:paraId="2CF735E5" w14:textId="77777777" w:rsidR="000C124D" w:rsidRDefault="000C124D" w:rsidP="000C124D">
      <w:pPr>
        <w:pStyle w:val="PR3"/>
      </w:pPr>
      <m:oMath>
        <m:r>
          <w:rPr>
            <w:rFonts w:ascii="Cambria Math" w:hAnsi="Cambria Math"/>
          </w:rPr>
          <m:t>cp-</m:t>
        </m:r>
      </m:oMath>
      <w:r>
        <w:t xml:space="preserve"> specific heat of water is 1.0 (</w:t>
      </w:r>
      <w:proofErr w:type="spellStart"/>
      <w:r>
        <w:t>btu</w:t>
      </w:r>
      <w:proofErr w:type="spellEnd"/>
      <w:r>
        <w:t>/</w:t>
      </w:r>
      <w:proofErr w:type="spellStart"/>
      <w:r>
        <w:t>lbm</w:t>
      </w:r>
      <w:proofErr w:type="spellEnd"/>
      <w:r>
        <w:t>-</w:t>
      </w:r>
      <w:r>
        <w:rPr>
          <w:rFonts w:cs="Arial"/>
        </w:rPr>
        <w:t>°</w:t>
      </w:r>
      <w:r>
        <w:t>F)</w:t>
      </w:r>
    </w:p>
    <w:p w14:paraId="22DB6823" w14:textId="77777777" w:rsidR="000C124D" w:rsidRDefault="000C124D" w:rsidP="000C124D">
      <w:pPr>
        <w:pStyle w:val="PR3"/>
      </w:pPr>
      <m:oMath>
        <m:r>
          <w:rPr>
            <w:rFonts w:ascii="Cambria Math" w:hAnsi="Cambria Math"/>
          </w:rPr>
          <m:t>Mix H20 ℉-</m:t>
        </m:r>
      </m:oMath>
      <w:r>
        <w:t xml:space="preserve"> temperature of mixed water (</w:t>
      </w:r>
      <w:r>
        <w:rPr>
          <w:rFonts w:cs="Arial"/>
        </w:rPr>
        <w:t>°</w:t>
      </w:r>
      <w:r>
        <w:t>F)</w:t>
      </w:r>
    </w:p>
    <w:p w14:paraId="5636C74D" w14:textId="77777777" w:rsidR="000C124D" w:rsidRDefault="000C124D" w:rsidP="000C124D">
      <w:pPr>
        <w:pStyle w:val="PR3"/>
      </w:pPr>
      <m:oMath>
        <m:r>
          <w:rPr>
            <w:rFonts w:ascii="Cambria Math" w:hAnsi="Cambria Math"/>
          </w:rPr>
          <m:t>Supply H20 ℉-</m:t>
        </m:r>
      </m:oMath>
      <w:r>
        <w:t xml:space="preserve"> temperature of supply water (</w:t>
      </w:r>
      <w:r>
        <w:rPr>
          <w:rFonts w:cs="Arial"/>
        </w:rPr>
        <w:t>°</w:t>
      </w:r>
      <w:r>
        <w:t>F)</w:t>
      </w:r>
    </w:p>
    <w:p w14:paraId="0E88C4D8" w14:textId="77777777" w:rsidR="000C124D" w:rsidRDefault="00544E9C" w:rsidP="000C124D">
      <w:pPr>
        <w:pStyle w:val="PR3"/>
      </w:pPr>
      <m:oMath>
        <m:f>
          <m:fPr>
            <m:ctrlPr>
              <w:rPr>
                <w:rFonts w:ascii="Cambria Math" w:hAnsi="Cambria Math"/>
                <w:i/>
              </w:rPr>
            </m:ctrlPr>
          </m:fPr>
          <m:num>
            <m:r>
              <w:rPr>
                <w:rFonts w:ascii="Cambria Math" w:hAnsi="Cambria Math"/>
              </w:rPr>
              <m:t>Hours</m:t>
            </m:r>
          </m:num>
          <m:den>
            <m:r>
              <w:rPr>
                <w:rFonts w:ascii="Cambria Math" w:hAnsi="Cambria Math"/>
              </w:rPr>
              <m:t>Day</m:t>
            </m:r>
          </m:den>
        </m:f>
      </m:oMath>
      <w:r w:rsidR="000C124D">
        <w:t xml:space="preserve"> - daily operating hours (hours/day)</w:t>
      </w:r>
    </w:p>
    <w:p w14:paraId="2FF44D37" w14:textId="77777777" w:rsidR="000C124D" w:rsidRDefault="00544E9C" w:rsidP="000C124D">
      <w:pPr>
        <w:pStyle w:val="PR3"/>
      </w:pPr>
      <m:oMath>
        <m:f>
          <m:fPr>
            <m:ctrlPr>
              <w:rPr>
                <w:rFonts w:ascii="Cambria Math" w:hAnsi="Cambria Math"/>
                <w:i/>
              </w:rPr>
            </m:ctrlPr>
          </m:fPr>
          <m:num>
            <m:r>
              <w:rPr>
                <w:rFonts w:ascii="Cambria Math" w:hAnsi="Cambria Math"/>
              </w:rPr>
              <m:t>Days</m:t>
            </m:r>
          </m:num>
          <m:den>
            <m:r>
              <w:rPr>
                <w:rFonts w:ascii="Cambria Math" w:hAnsi="Cambria Math"/>
              </w:rPr>
              <m:t xml:space="preserve">year </m:t>
            </m:r>
          </m:den>
        </m:f>
      </m:oMath>
      <w:r w:rsidR="000C124D">
        <w:t xml:space="preserve"> - yearly days of operating (days/year)</w:t>
      </w:r>
    </w:p>
    <w:p w14:paraId="4A42FA0A" w14:textId="77777777" w:rsidR="000C124D" w:rsidRDefault="000C124D" w:rsidP="000C124D">
      <w:pPr>
        <w:pStyle w:val="PR3"/>
      </w:pPr>
      <m:oMath>
        <m:r>
          <w:rPr>
            <w:rFonts w:ascii="Cambria Math" w:hAnsi="Cambria Math"/>
          </w:rPr>
          <m:t>eff</m:t>
        </m:r>
      </m:oMath>
      <w:r w:rsidRPr="00FD7528">
        <w:t>−</w:t>
      </w:r>
      <w:r>
        <w:t xml:space="preserve"> thermal efficiency of natural gas water heating unit</w:t>
      </w:r>
    </w:p>
    <w:p w14:paraId="067F4148" w14:textId="77777777" w:rsidR="000C124D" w:rsidRPr="00976D87" w:rsidRDefault="000C124D" w:rsidP="000C124D">
      <w:pPr>
        <w:pStyle w:val="WPPR2"/>
        <w:numPr>
          <w:ilvl w:val="3"/>
          <w:numId w:val="20"/>
        </w:numPr>
      </w:pPr>
      <w:r w:rsidRPr="00976D87">
        <w:lastRenderedPageBreak/>
        <w:t xml:space="preserve">For calculating energy savings, the following assumptions are used:  </w:t>
      </w:r>
    </w:p>
    <w:p w14:paraId="5AF80CFE" w14:textId="77777777" w:rsidR="000C124D" w:rsidRPr="00BD3FEE" w:rsidRDefault="000C124D" w:rsidP="000C124D">
      <w:pPr>
        <w:pStyle w:val="WPPR3"/>
        <w:numPr>
          <w:ilvl w:val="4"/>
          <w:numId w:val="20"/>
        </w:numPr>
      </w:pPr>
      <w:r w:rsidRPr="00BD3FEE">
        <w:t>The average efficiency for the water heating unit</w:t>
      </w:r>
      <w:r>
        <w:t xml:space="preserve"> equal to those</w:t>
      </w:r>
      <w:r w:rsidRPr="00BD3FEE">
        <w:t xml:space="preserve"> from several evaluation studies</w:t>
      </w:r>
      <w:r>
        <w:t>, and</w:t>
      </w:r>
      <w:r w:rsidRPr="00BD3FEE">
        <w:t xml:space="preserve"> is 70% [3,</w:t>
      </w:r>
      <w:r>
        <w:t>6</w:t>
      </w:r>
      <w:r w:rsidRPr="00BD3FEE">
        <w:t>]</w:t>
      </w:r>
    </w:p>
    <w:p w14:paraId="7917620F" w14:textId="77777777" w:rsidR="000C124D" w:rsidRPr="00BD3FEE" w:rsidRDefault="000C124D" w:rsidP="000C124D">
      <w:pPr>
        <w:pStyle w:val="WPPR3"/>
        <w:numPr>
          <w:ilvl w:val="4"/>
          <w:numId w:val="20"/>
        </w:numPr>
      </w:pPr>
      <w:r w:rsidRPr="00BD3FEE">
        <w:t>The number of annual operating days is equal to the results from previous evaluation studies of installed PRSV units in California, and is 365 days per year [3]</w:t>
      </w:r>
    </w:p>
    <w:p w14:paraId="1119C7F9" w14:textId="77777777" w:rsidR="000C124D" w:rsidRPr="00976D87" w:rsidRDefault="000C124D" w:rsidP="000C124D">
      <w:pPr>
        <w:pStyle w:val="WPPR2"/>
        <w:numPr>
          <w:ilvl w:val="3"/>
          <w:numId w:val="20"/>
        </w:numPr>
      </w:pPr>
      <w:r w:rsidRPr="00976D87">
        <w:t>With the</w:t>
      </w:r>
      <w:r>
        <w:t xml:space="preserve"> above</w:t>
      </w:r>
      <w:r w:rsidRPr="00976D87">
        <w:t xml:space="preserve"> assumptions, the energy saved by </w:t>
      </w:r>
      <w:r>
        <w:t>installing a qualified pre-rinse spray valve is calculated as follows</w:t>
      </w:r>
      <w:r w:rsidRPr="00976D87">
        <w:t xml:space="preserve">:  </w:t>
      </w:r>
    </w:p>
    <w:p w14:paraId="25194BF0" w14:textId="77777777" w:rsidR="000C124D" w:rsidRPr="00976D87" w:rsidRDefault="000C124D" w:rsidP="000C124D">
      <w:pPr>
        <w:pStyle w:val="Vertical"/>
      </w:pPr>
    </w:p>
    <w:p w14:paraId="66928F50" w14:textId="77777777" w:rsidR="002C59BE" w:rsidRDefault="000C124D" w:rsidP="000C124D">
      <w:pPr>
        <w:pStyle w:val="Vertical"/>
        <w:ind w:left="792" w:firstLine="360"/>
        <w:jc w:val="left"/>
        <w:rPr>
          <w:i/>
        </w:rPr>
      </w:pPr>
      <w:r>
        <w:tab/>
        <w:t xml:space="preserve">   </w:t>
      </w:r>
      <m:oMath>
        <m:r>
          <w:rPr>
            <w:rFonts w:ascii="Cambria Math" w:hAnsi="Cambria Math"/>
          </w:rPr>
          <m:t>∆Q=Qbase-Qprop</m:t>
        </m:r>
      </m:oMath>
      <w:r w:rsidRPr="00976D87">
        <w:rPr>
          <w:i/>
        </w:rPr>
        <w:tab/>
      </w:r>
      <w:r w:rsidRPr="00976D87">
        <w:rPr>
          <w:i/>
        </w:rPr>
        <w:tab/>
      </w:r>
      <w:r>
        <w:rPr>
          <w:i/>
        </w:rPr>
        <w:t xml:space="preserve">  </w:t>
      </w:r>
      <w:r>
        <w:rPr>
          <w:i/>
        </w:rPr>
        <w:tab/>
      </w:r>
      <w:r>
        <w:rPr>
          <w:i/>
        </w:rPr>
        <w:tab/>
      </w:r>
      <w:r>
        <w:rPr>
          <w:i/>
        </w:rPr>
        <w:tab/>
      </w:r>
      <w:r>
        <w:rPr>
          <w:i/>
        </w:rPr>
        <w:tab/>
      </w:r>
      <w:r>
        <w:rPr>
          <w:i/>
        </w:rPr>
        <w:tab/>
        <w:t>Eqn-2</w:t>
      </w:r>
      <w:r>
        <w:rPr>
          <w:i/>
        </w:rPr>
        <w:tab/>
      </w:r>
      <w:r>
        <w:rPr>
          <w:i/>
        </w:rPr>
        <w:tab/>
      </w:r>
    </w:p>
    <w:p w14:paraId="7A4A6DE5" w14:textId="1F90E10F" w:rsidR="000C124D" w:rsidRPr="000C124D" w:rsidRDefault="000C124D" w:rsidP="000C124D">
      <w:pPr>
        <w:pStyle w:val="Vertical"/>
        <w:ind w:left="792" w:firstLine="360"/>
        <w:jc w:val="left"/>
        <w:rPr>
          <w:i/>
        </w:rPr>
      </w:pPr>
      <w:r>
        <w:rPr>
          <w:i/>
        </w:rPr>
        <w:tab/>
      </w:r>
      <w:r>
        <w:rPr>
          <w:i/>
        </w:rPr>
        <w:tab/>
      </w:r>
      <w:r>
        <w:rPr>
          <w:i/>
        </w:rPr>
        <w:tab/>
      </w:r>
      <w:r>
        <w:rPr>
          <w:i/>
        </w:rPr>
        <w:tab/>
      </w:r>
    </w:p>
    <w:p w14:paraId="1466F629" w14:textId="6B36A28C" w:rsidR="000C124D" w:rsidRDefault="00C104E1" w:rsidP="008436DA">
      <w:pPr>
        <w:pStyle w:val="Table"/>
      </w:pPr>
      <w:bookmarkStart w:id="112" w:name="_Toc338238898"/>
      <w:bookmarkStart w:id="113" w:name="_Toc343841380"/>
      <w:bookmarkStart w:id="114" w:name="_Toc391398028"/>
      <w:r w:rsidRPr="003541A6">
        <w:t xml:space="preserve">Table </w:t>
      </w:r>
      <w:r w:rsidR="00544E9C">
        <w:fldChar w:fldCharType="begin"/>
      </w:r>
      <w:r w:rsidR="00544E9C">
        <w:instrText xml:space="preserve"> SEQ Table \* ARABIC </w:instrText>
      </w:r>
      <w:r w:rsidR="00544E9C">
        <w:fldChar w:fldCharType="separate"/>
      </w:r>
      <w:r w:rsidR="00CE5AEA">
        <w:rPr>
          <w:noProof/>
        </w:rPr>
        <w:t>10</w:t>
      </w:r>
      <w:r w:rsidR="00544E9C">
        <w:rPr>
          <w:noProof/>
        </w:rPr>
        <w:fldChar w:fldCharType="end"/>
      </w:r>
      <w:r w:rsidR="008436DA">
        <w:t xml:space="preserve"> </w:t>
      </w:r>
      <w:r w:rsidR="000C124D">
        <w:t xml:space="preserve">Calculations of Annual Energy Savings for </w:t>
      </w:r>
      <w:bookmarkEnd w:id="112"/>
      <w:bookmarkEnd w:id="113"/>
      <w:r>
        <w:t>Measure Case</w:t>
      </w:r>
      <w:bookmarkEnd w:id="114"/>
    </w:p>
    <w:tbl>
      <w:tblPr>
        <w:tblW w:w="94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80"/>
        <w:gridCol w:w="1173"/>
        <w:gridCol w:w="904"/>
        <w:gridCol w:w="919"/>
        <w:gridCol w:w="1114"/>
        <w:gridCol w:w="1072"/>
        <w:gridCol w:w="1148"/>
        <w:gridCol w:w="1148"/>
      </w:tblGrid>
      <w:tr w:rsidR="000C124D" w:rsidRPr="00C117C2" w14:paraId="54CCE33A" w14:textId="77777777" w:rsidTr="00262E9A">
        <w:trPr>
          <w:trHeight w:val="282"/>
          <w:jc w:val="center"/>
        </w:trPr>
        <w:tc>
          <w:tcPr>
            <w:tcW w:w="1282" w:type="dxa"/>
            <w:shd w:val="clear" w:color="auto" w:fill="auto"/>
            <w:noWrap/>
            <w:vAlign w:val="bottom"/>
            <w:hideMark/>
          </w:tcPr>
          <w:p w14:paraId="4CFE420F" w14:textId="77777777" w:rsidR="000C124D" w:rsidRPr="00C117C2" w:rsidRDefault="000C124D" w:rsidP="00127341">
            <w:pPr>
              <w:rPr>
                <w:rFonts w:ascii="Calibri" w:hAnsi="Calibri"/>
                <w:color w:val="000000"/>
                <w:szCs w:val="22"/>
              </w:rPr>
            </w:pPr>
          </w:p>
        </w:tc>
        <w:tc>
          <w:tcPr>
            <w:tcW w:w="680" w:type="dxa"/>
            <w:shd w:val="clear" w:color="auto" w:fill="auto"/>
            <w:noWrap/>
            <w:vAlign w:val="bottom"/>
            <w:hideMark/>
          </w:tcPr>
          <w:p w14:paraId="51391802" w14:textId="52E438F7" w:rsidR="000C124D" w:rsidRPr="00C117C2" w:rsidRDefault="009C5F86" w:rsidP="00127341">
            <w:pPr>
              <w:rPr>
                <w:rFonts w:ascii="Calibri" w:hAnsi="Calibri"/>
                <w:color w:val="000000"/>
                <w:szCs w:val="22"/>
              </w:rPr>
            </w:pPr>
            <w:proofErr w:type="spellStart"/>
            <w:r>
              <w:rPr>
                <w:rFonts w:ascii="Calibri" w:hAnsi="Calibri"/>
                <w:color w:val="000000"/>
                <w:szCs w:val="22"/>
              </w:rPr>
              <w:t>gpm</w:t>
            </w:r>
            <w:proofErr w:type="spellEnd"/>
          </w:p>
        </w:tc>
        <w:tc>
          <w:tcPr>
            <w:tcW w:w="1173" w:type="dxa"/>
            <w:shd w:val="clear" w:color="auto" w:fill="auto"/>
            <w:noWrap/>
            <w:vAlign w:val="bottom"/>
            <w:hideMark/>
          </w:tcPr>
          <w:p w14:paraId="165AE769" w14:textId="77777777" w:rsidR="000C124D" w:rsidRPr="00C117C2" w:rsidRDefault="000C124D" w:rsidP="00127341">
            <w:pPr>
              <w:rPr>
                <w:rFonts w:ascii="Calibri" w:hAnsi="Calibri"/>
                <w:color w:val="000000"/>
                <w:szCs w:val="22"/>
              </w:rPr>
            </w:pPr>
            <w:r w:rsidRPr="00C117C2">
              <w:rPr>
                <w:rFonts w:ascii="Calibri" w:hAnsi="Calibri"/>
                <w:color w:val="000000"/>
                <w:szCs w:val="22"/>
              </w:rPr>
              <w:t>Hour</w:t>
            </w:r>
            <w:r>
              <w:rPr>
                <w:rFonts w:ascii="Calibri" w:hAnsi="Calibri"/>
                <w:color w:val="000000"/>
                <w:szCs w:val="22"/>
              </w:rPr>
              <w:t>s</w:t>
            </w:r>
            <w:r w:rsidRPr="00C117C2">
              <w:rPr>
                <w:rFonts w:ascii="Calibri" w:hAnsi="Calibri"/>
                <w:color w:val="000000"/>
                <w:szCs w:val="22"/>
              </w:rPr>
              <w:t>/Day</w:t>
            </w:r>
          </w:p>
        </w:tc>
        <w:tc>
          <w:tcPr>
            <w:tcW w:w="904" w:type="dxa"/>
            <w:shd w:val="clear" w:color="auto" w:fill="auto"/>
            <w:noWrap/>
            <w:vAlign w:val="bottom"/>
            <w:hideMark/>
          </w:tcPr>
          <w:p w14:paraId="386C6317" w14:textId="77777777" w:rsidR="000C124D" w:rsidRPr="00C117C2" w:rsidRDefault="000C124D" w:rsidP="00127341">
            <w:pPr>
              <w:rPr>
                <w:rFonts w:ascii="Calibri" w:hAnsi="Calibri"/>
                <w:color w:val="000000"/>
                <w:szCs w:val="22"/>
              </w:rPr>
            </w:pPr>
            <w:r w:rsidRPr="00C117C2">
              <w:rPr>
                <w:rFonts w:ascii="Calibri" w:hAnsi="Calibri"/>
                <w:color w:val="000000"/>
                <w:szCs w:val="22"/>
              </w:rPr>
              <w:t>Day</w:t>
            </w:r>
            <w:r>
              <w:rPr>
                <w:rFonts w:ascii="Calibri" w:hAnsi="Calibri"/>
                <w:color w:val="000000"/>
                <w:szCs w:val="22"/>
              </w:rPr>
              <w:t>s</w:t>
            </w:r>
            <w:r w:rsidRPr="00C117C2">
              <w:rPr>
                <w:rFonts w:ascii="Calibri" w:hAnsi="Calibri"/>
                <w:color w:val="000000"/>
                <w:szCs w:val="22"/>
              </w:rPr>
              <w:t>/</w:t>
            </w:r>
            <w:proofErr w:type="spellStart"/>
            <w:r w:rsidRPr="00C117C2">
              <w:rPr>
                <w:rFonts w:ascii="Calibri" w:hAnsi="Calibri"/>
                <w:color w:val="000000"/>
                <w:szCs w:val="22"/>
              </w:rPr>
              <w:t>yr</w:t>
            </w:r>
            <w:proofErr w:type="spellEnd"/>
          </w:p>
        </w:tc>
        <w:tc>
          <w:tcPr>
            <w:tcW w:w="919" w:type="dxa"/>
            <w:shd w:val="clear" w:color="auto" w:fill="auto"/>
            <w:noWrap/>
            <w:vAlign w:val="bottom"/>
            <w:hideMark/>
          </w:tcPr>
          <w:p w14:paraId="312228D2" w14:textId="77777777" w:rsidR="000C124D" w:rsidRPr="00C117C2" w:rsidRDefault="000C124D" w:rsidP="00127341">
            <w:pPr>
              <w:rPr>
                <w:rFonts w:ascii="Calibri" w:hAnsi="Calibri"/>
                <w:color w:val="000000"/>
                <w:szCs w:val="22"/>
              </w:rPr>
            </w:pPr>
            <w:r>
              <w:rPr>
                <w:rFonts w:ascii="Calibri" w:hAnsi="Calibri"/>
                <w:color w:val="000000"/>
                <w:szCs w:val="22"/>
              </w:rPr>
              <w:t>Mix H</w:t>
            </w:r>
            <w:r w:rsidRPr="00C117C2">
              <w:rPr>
                <w:rFonts w:ascii="Calibri" w:hAnsi="Calibri"/>
                <w:color w:val="000000"/>
                <w:szCs w:val="22"/>
                <w:vertAlign w:val="subscript"/>
              </w:rPr>
              <w:t>2</w:t>
            </w:r>
            <w:r>
              <w:rPr>
                <w:rFonts w:ascii="Calibri" w:hAnsi="Calibri"/>
                <w:color w:val="000000"/>
                <w:szCs w:val="22"/>
              </w:rPr>
              <w:t xml:space="preserve">O </w:t>
            </w:r>
            <w:r>
              <w:rPr>
                <w:rFonts w:cs="Arial"/>
              </w:rPr>
              <w:t>°</w:t>
            </w:r>
            <w:r>
              <w:t>F</w:t>
            </w:r>
          </w:p>
        </w:tc>
        <w:tc>
          <w:tcPr>
            <w:tcW w:w="1114" w:type="dxa"/>
            <w:shd w:val="clear" w:color="auto" w:fill="auto"/>
            <w:noWrap/>
            <w:vAlign w:val="bottom"/>
            <w:hideMark/>
          </w:tcPr>
          <w:p w14:paraId="0684D45D" w14:textId="77777777" w:rsidR="000C124D" w:rsidRPr="00C117C2" w:rsidRDefault="000C124D" w:rsidP="00127341">
            <w:pPr>
              <w:rPr>
                <w:rFonts w:ascii="Calibri" w:hAnsi="Calibri"/>
                <w:color w:val="000000"/>
                <w:szCs w:val="22"/>
              </w:rPr>
            </w:pPr>
            <w:r>
              <w:rPr>
                <w:rFonts w:ascii="Calibri" w:hAnsi="Calibri"/>
                <w:color w:val="000000"/>
                <w:szCs w:val="22"/>
              </w:rPr>
              <w:t>Supply H</w:t>
            </w:r>
            <w:r w:rsidRPr="00C117C2">
              <w:rPr>
                <w:rFonts w:ascii="Calibri" w:hAnsi="Calibri"/>
                <w:color w:val="000000"/>
                <w:szCs w:val="22"/>
                <w:vertAlign w:val="subscript"/>
              </w:rPr>
              <w:t>2</w:t>
            </w:r>
            <w:r>
              <w:rPr>
                <w:rFonts w:ascii="Calibri" w:hAnsi="Calibri"/>
                <w:color w:val="000000"/>
                <w:szCs w:val="22"/>
              </w:rPr>
              <w:t xml:space="preserve">0 </w:t>
            </w:r>
            <w:r>
              <w:rPr>
                <w:rFonts w:cs="Arial"/>
              </w:rPr>
              <w:t>°</w:t>
            </w:r>
            <w:r>
              <w:t>F</w:t>
            </w:r>
          </w:p>
        </w:tc>
        <w:tc>
          <w:tcPr>
            <w:tcW w:w="1072" w:type="dxa"/>
            <w:shd w:val="clear" w:color="auto" w:fill="auto"/>
            <w:noWrap/>
            <w:vAlign w:val="bottom"/>
            <w:hideMark/>
          </w:tcPr>
          <w:p w14:paraId="30D39F9F" w14:textId="554B2EDF" w:rsidR="000C124D" w:rsidRPr="00C117C2" w:rsidRDefault="002B0C45" w:rsidP="00127341">
            <w:pPr>
              <w:rPr>
                <w:rFonts w:ascii="Calibri" w:hAnsi="Calibri"/>
                <w:color w:val="000000"/>
                <w:szCs w:val="22"/>
              </w:rPr>
            </w:pPr>
            <w:r>
              <w:rPr>
                <w:rFonts w:ascii="Calibri" w:hAnsi="Calibri"/>
                <w:color w:val="000000"/>
                <w:szCs w:val="22"/>
              </w:rPr>
              <w:t>Water heater efficiency</w:t>
            </w:r>
          </w:p>
        </w:tc>
        <w:tc>
          <w:tcPr>
            <w:tcW w:w="1148" w:type="dxa"/>
            <w:shd w:val="clear" w:color="auto" w:fill="auto"/>
            <w:noWrap/>
            <w:vAlign w:val="bottom"/>
            <w:hideMark/>
          </w:tcPr>
          <w:p w14:paraId="419F5434" w14:textId="77777777" w:rsidR="000C124D" w:rsidRPr="00C117C2" w:rsidRDefault="000C124D" w:rsidP="00127341">
            <w:pPr>
              <w:rPr>
                <w:rFonts w:ascii="Calibri" w:hAnsi="Calibri"/>
                <w:color w:val="000000"/>
                <w:szCs w:val="22"/>
              </w:rPr>
            </w:pPr>
            <w:proofErr w:type="spellStart"/>
            <w:r w:rsidRPr="00C117C2">
              <w:rPr>
                <w:rFonts w:ascii="Calibri" w:hAnsi="Calibri"/>
                <w:color w:val="000000"/>
                <w:szCs w:val="22"/>
              </w:rPr>
              <w:t>Therms</w:t>
            </w:r>
            <w:proofErr w:type="spellEnd"/>
            <w:r>
              <w:rPr>
                <w:rFonts w:ascii="Calibri" w:hAnsi="Calibri"/>
                <w:color w:val="000000"/>
                <w:szCs w:val="22"/>
              </w:rPr>
              <w:t>/</w:t>
            </w:r>
            <w:proofErr w:type="spellStart"/>
            <w:r>
              <w:rPr>
                <w:rFonts w:ascii="Calibri" w:hAnsi="Calibri"/>
                <w:color w:val="000000"/>
                <w:szCs w:val="22"/>
              </w:rPr>
              <w:t>yr</w:t>
            </w:r>
            <w:proofErr w:type="spellEnd"/>
          </w:p>
        </w:tc>
        <w:tc>
          <w:tcPr>
            <w:tcW w:w="1148" w:type="dxa"/>
          </w:tcPr>
          <w:p w14:paraId="186E26A2" w14:textId="77777777" w:rsidR="000C124D" w:rsidRPr="00C117C2" w:rsidRDefault="000C124D" w:rsidP="00127341">
            <w:pPr>
              <w:rPr>
                <w:rFonts w:ascii="Calibri" w:hAnsi="Calibri"/>
                <w:color w:val="000000"/>
                <w:szCs w:val="22"/>
              </w:rPr>
            </w:pPr>
            <w:r>
              <w:rPr>
                <w:rFonts w:ascii="Calibri" w:hAnsi="Calibri"/>
                <w:color w:val="000000"/>
                <w:szCs w:val="22"/>
              </w:rPr>
              <w:t xml:space="preserve">Savings </w:t>
            </w:r>
            <w:proofErr w:type="spellStart"/>
            <w:r>
              <w:rPr>
                <w:rFonts w:ascii="Calibri" w:hAnsi="Calibri"/>
                <w:color w:val="000000"/>
                <w:szCs w:val="22"/>
              </w:rPr>
              <w:t>Therms</w:t>
            </w:r>
            <w:proofErr w:type="spellEnd"/>
            <w:r>
              <w:rPr>
                <w:rFonts w:ascii="Calibri" w:hAnsi="Calibri"/>
                <w:color w:val="000000"/>
                <w:szCs w:val="22"/>
              </w:rPr>
              <w:t>/</w:t>
            </w:r>
            <w:proofErr w:type="spellStart"/>
            <w:r>
              <w:rPr>
                <w:rFonts w:ascii="Calibri" w:hAnsi="Calibri"/>
                <w:color w:val="000000"/>
                <w:szCs w:val="22"/>
              </w:rPr>
              <w:t>yr</w:t>
            </w:r>
            <w:proofErr w:type="spellEnd"/>
          </w:p>
        </w:tc>
      </w:tr>
      <w:tr w:rsidR="000C124D" w:rsidRPr="00C117C2" w14:paraId="6BF16C62" w14:textId="77777777" w:rsidTr="00262E9A">
        <w:trPr>
          <w:trHeight w:val="282"/>
          <w:jc w:val="center"/>
        </w:trPr>
        <w:tc>
          <w:tcPr>
            <w:tcW w:w="1282" w:type="dxa"/>
            <w:shd w:val="clear" w:color="auto" w:fill="auto"/>
            <w:noWrap/>
            <w:vAlign w:val="bottom"/>
            <w:hideMark/>
          </w:tcPr>
          <w:p w14:paraId="533601C2" w14:textId="77777777" w:rsidR="000C124D" w:rsidRPr="00262E9A" w:rsidRDefault="000C124D" w:rsidP="00127341">
            <w:pPr>
              <w:rPr>
                <w:rFonts w:ascii="Calibri" w:hAnsi="Calibri"/>
                <w:szCs w:val="22"/>
              </w:rPr>
            </w:pPr>
            <w:r w:rsidRPr="00262E9A">
              <w:rPr>
                <w:rFonts w:ascii="Calibri" w:hAnsi="Calibri"/>
                <w:szCs w:val="22"/>
              </w:rPr>
              <w:t>Baseline</w:t>
            </w:r>
          </w:p>
        </w:tc>
        <w:tc>
          <w:tcPr>
            <w:tcW w:w="680" w:type="dxa"/>
            <w:shd w:val="clear" w:color="auto" w:fill="auto"/>
            <w:noWrap/>
            <w:vAlign w:val="bottom"/>
            <w:hideMark/>
          </w:tcPr>
          <w:p w14:paraId="59EE5993" w14:textId="7A7CCDD4" w:rsidR="000C124D" w:rsidRPr="00262E9A" w:rsidRDefault="000C124D" w:rsidP="00127341">
            <w:pPr>
              <w:jc w:val="right"/>
              <w:rPr>
                <w:rFonts w:ascii="Calibri" w:hAnsi="Calibri"/>
                <w:szCs w:val="22"/>
              </w:rPr>
            </w:pPr>
            <w:r w:rsidRPr="00262E9A">
              <w:rPr>
                <w:rFonts w:ascii="Calibri" w:hAnsi="Calibri"/>
                <w:szCs w:val="22"/>
              </w:rPr>
              <w:t>1.</w:t>
            </w:r>
            <w:r w:rsidR="00D3547B" w:rsidRPr="00262E9A">
              <w:rPr>
                <w:rFonts w:ascii="Calibri" w:hAnsi="Calibri"/>
                <w:szCs w:val="22"/>
              </w:rPr>
              <w:t>4</w:t>
            </w:r>
            <w:r w:rsidR="007F2BF5">
              <w:rPr>
                <w:rFonts w:ascii="Calibri" w:hAnsi="Calibri"/>
                <w:szCs w:val="22"/>
              </w:rPr>
              <w:t>0</w:t>
            </w:r>
          </w:p>
        </w:tc>
        <w:tc>
          <w:tcPr>
            <w:tcW w:w="1173" w:type="dxa"/>
            <w:shd w:val="clear" w:color="auto" w:fill="auto"/>
            <w:noWrap/>
            <w:vAlign w:val="bottom"/>
            <w:hideMark/>
          </w:tcPr>
          <w:p w14:paraId="27EF3E09" w14:textId="67D211F0" w:rsidR="000C124D" w:rsidRPr="00262E9A" w:rsidRDefault="00262E9A" w:rsidP="00127341">
            <w:pPr>
              <w:jc w:val="right"/>
              <w:rPr>
                <w:rFonts w:ascii="Calibri" w:hAnsi="Calibri"/>
                <w:szCs w:val="22"/>
              </w:rPr>
            </w:pPr>
            <w:r w:rsidRPr="00262E9A">
              <w:rPr>
                <w:rFonts w:ascii="Calibri" w:hAnsi="Calibri"/>
                <w:szCs w:val="22"/>
              </w:rPr>
              <w:t>1.00</w:t>
            </w:r>
          </w:p>
        </w:tc>
        <w:tc>
          <w:tcPr>
            <w:tcW w:w="904" w:type="dxa"/>
            <w:shd w:val="clear" w:color="auto" w:fill="auto"/>
            <w:noWrap/>
            <w:vAlign w:val="bottom"/>
            <w:hideMark/>
          </w:tcPr>
          <w:p w14:paraId="202BACBF" w14:textId="77777777" w:rsidR="000C124D" w:rsidRPr="00262E9A" w:rsidRDefault="000C124D" w:rsidP="00127341">
            <w:pPr>
              <w:jc w:val="right"/>
              <w:rPr>
                <w:rFonts w:ascii="Calibri" w:hAnsi="Calibri"/>
                <w:szCs w:val="22"/>
              </w:rPr>
            </w:pPr>
            <w:r w:rsidRPr="00262E9A">
              <w:rPr>
                <w:rFonts w:ascii="Calibri" w:hAnsi="Calibri"/>
                <w:szCs w:val="22"/>
              </w:rPr>
              <w:t>365</w:t>
            </w:r>
          </w:p>
        </w:tc>
        <w:tc>
          <w:tcPr>
            <w:tcW w:w="919" w:type="dxa"/>
            <w:shd w:val="clear" w:color="auto" w:fill="auto"/>
            <w:noWrap/>
            <w:vAlign w:val="bottom"/>
            <w:hideMark/>
          </w:tcPr>
          <w:p w14:paraId="468EEE2F" w14:textId="6ECD0C97" w:rsidR="000C124D" w:rsidRPr="00262E9A" w:rsidRDefault="00BE2879" w:rsidP="00BE2879">
            <w:pPr>
              <w:jc w:val="right"/>
              <w:rPr>
                <w:rFonts w:ascii="Calibri" w:hAnsi="Calibri"/>
                <w:szCs w:val="22"/>
              </w:rPr>
            </w:pPr>
            <w:r>
              <w:rPr>
                <w:rFonts w:ascii="Calibri" w:hAnsi="Calibri"/>
                <w:szCs w:val="22"/>
              </w:rPr>
              <w:t>114.1</w:t>
            </w:r>
          </w:p>
        </w:tc>
        <w:tc>
          <w:tcPr>
            <w:tcW w:w="1114" w:type="dxa"/>
            <w:shd w:val="clear" w:color="auto" w:fill="auto"/>
            <w:noWrap/>
            <w:vAlign w:val="bottom"/>
            <w:hideMark/>
          </w:tcPr>
          <w:p w14:paraId="74544FE5" w14:textId="0BDADC3A" w:rsidR="000C124D" w:rsidRPr="00262E9A" w:rsidRDefault="000C124D" w:rsidP="00262E9A">
            <w:pPr>
              <w:jc w:val="right"/>
              <w:rPr>
                <w:rFonts w:ascii="Calibri" w:hAnsi="Calibri"/>
                <w:szCs w:val="22"/>
              </w:rPr>
            </w:pPr>
            <w:r w:rsidRPr="00262E9A">
              <w:rPr>
                <w:rFonts w:ascii="Calibri" w:hAnsi="Calibri"/>
                <w:szCs w:val="22"/>
              </w:rPr>
              <w:t>6</w:t>
            </w:r>
            <w:r w:rsidR="00262E9A" w:rsidRPr="00262E9A">
              <w:rPr>
                <w:rFonts w:ascii="Calibri" w:hAnsi="Calibri"/>
                <w:szCs w:val="22"/>
              </w:rPr>
              <w:t>3.3</w:t>
            </w:r>
          </w:p>
        </w:tc>
        <w:tc>
          <w:tcPr>
            <w:tcW w:w="1072" w:type="dxa"/>
            <w:shd w:val="clear" w:color="auto" w:fill="auto"/>
            <w:noWrap/>
            <w:vAlign w:val="bottom"/>
            <w:hideMark/>
          </w:tcPr>
          <w:p w14:paraId="618A07B0" w14:textId="77777777" w:rsidR="000C124D" w:rsidRPr="00262E9A" w:rsidRDefault="000C124D" w:rsidP="00127341">
            <w:pPr>
              <w:jc w:val="right"/>
              <w:rPr>
                <w:rFonts w:ascii="Calibri" w:hAnsi="Calibri"/>
                <w:szCs w:val="22"/>
              </w:rPr>
            </w:pPr>
            <w:r w:rsidRPr="00262E9A">
              <w:rPr>
                <w:rFonts w:ascii="Calibri" w:hAnsi="Calibri"/>
                <w:szCs w:val="22"/>
              </w:rPr>
              <w:t>0.7</w:t>
            </w:r>
          </w:p>
        </w:tc>
        <w:tc>
          <w:tcPr>
            <w:tcW w:w="1148" w:type="dxa"/>
            <w:shd w:val="clear" w:color="auto" w:fill="auto"/>
            <w:noWrap/>
            <w:vAlign w:val="bottom"/>
            <w:hideMark/>
          </w:tcPr>
          <w:p w14:paraId="0755E2C0" w14:textId="0147578E" w:rsidR="000C124D" w:rsidRPr="00262E9A" w:rsidRDefault="00BE2879" w:rsidP="00127341">
            <w:pPr>
              <w:jc w:val="right"/>
              <w:rPr>
                <w:rFonts w:ascii="Calibri" w:hAnsi="Calibri"/>
                <w:szCs w:val="22"/>
              </w:rPr>
            </w:pPr>
            <w:r>
              <w:rPr>
                <w:rFonts w:ascii="Calibri" w:hAnsi="Calibri"/>
                <w:szCs w:val="22"/>
              </w:rPr>
              <w:t>186</w:t>
            </w:r>
          </w:p>
        </w:tc>
        <w:tc>
          <w:tcPr>
            <w:tcW w:w="1148" w:type="dxa"/>
          </w:tcPr>
          <w:p w14:paraId="04E8A43D" w14:textId="1C9C38E5" w:rsidR="000C124D" w:rsidRPr="00262E9A" w:rsidRDefault="00262E9A" w:rsidP="00127341">
            <w:pPr>
              <w:jc w:val="right"/>
              <w:rPr>
                <w:rFonts w:ascii="Calibri" w:hAnsi="Calibri"/>
                <w:szCs w:val="22"/>
              </w:rPr>
            </w:pPr>
            <w:r>
              <w:rPr>
                <w:rFonts w:ascii="Calibri" w:hAnsi="Calibri"/>
                <w:szCs w:val="22"/>
              </w:rPr>
              <w:t>-</w:t>
            </w:r>
          </w:p>
        </w:tc>
      </w:tr>
      <w:tr w:rsidR="000C124D" w:rsidRPr="00C117C2" w14:paraId="4D2A2362" w14:textId="77777777" w:rsidTr="00262E9A">
        <w:trPr>
          <w:trHeight w:val="282"/>
          <w:jc w:val="center"/>
        </w:trPr>
        <w:tc>
          <w:tcPr>
            <w:tcW w:w="1282" w:type="dxa"/>
            <w:shd w:val="clear" w:color="auto" w:fill="auto"/>
            <w:noWrap/>
            <w:vAlign w:val="bottom"/>
            <w:hideMark/>
          </w:tcPr>
          <w:p w14:paraId="618D1FA7" w14:textId="77777777" w:rsidR="000C124D" w:rsidRDefault="000C124D" w:rsidP="00127341">
            <w:pPr>
              <w:rPr>
                <w:rFonts w:ascii="Calibri" w:hAnsi="Calibri"/>
                <w:color w:val="000000"/>
                <w:szCs w:val="22"/>
              </w:rPr>
            </w:pPr>
            <w:r>
              <w:rPr>
                <w:rFonts w:ascii="Calibri" w:hAnsi="Calibri"/>
                <w:color w:val="000000"/>
                <w:szCs w:val="22"/>
              </w:rPr>
              <w:t>Qualifying Measure 2</w:t>
            </w:r>
          </w:p>
        </w:tc>
        <w:tc>
          <w:tcPr>
            <w:tcW w:w="680" w:type="dxa"/>
            <w:shd w:val="clear" w:color="auto" w:fill="auto"/>
            <w:noWrap/>
            <w:vAlign w:val="bottom"/>
            <w:hideMark/>
          </w:tcPr>
          <w:p w14:paraId="7E0430FE" w14:textId="77777777" w:rsidR="000C124D" w:rsidRDefault="000C124D" w:rsidP="00127341">
            <w:pPr>
              <w:jc w:val="right"/>
              <w:rPr>
                <w:rFonts w:ascii="Calibri" w:hAnsi="Calibri"/>
                <w:color w:val="000000"/>
                <w:szCs w:val="22"/>
              </w:rPr>
            </w:pPr>
            <w:r>
              <w:rPr>
                <w:rFonts w:ascii="Calibri" w:hAnsi="Calibri"/>
                <w:color w:val="000000"/>
                <w:szCs w:val="22"/>
              </w:rPr>
              <w:t>1.15</w:t>
            </w:r>
          </w:p>
        </w:tc>
        <w:tc>
          <w:tcPr>
            <w:tcW w:w="1173" w:type="dxa"/>
            <w:shd w:val="clear" w:color="auto" w:fill="auto"/>
            <w:noWrap/>
            <w:vAlign w:val="bottom"/>
            <w:hideMark/>
          </w:tcPr>
          <w:p w14:paraId="01D86CA0" w14:textId="59B9F23D" w:rsidR="000C124D" w:rsidRDefault="00262E9A" w:rsidP="00127341">
            <w:pPr>
              <w:jc w:val="right"/>
              <w:rPr>
                <w:rFonts w:ascii="Calibri" w:hAnsi="Calibri"/>
                <w:color w:val="000000"/>
                <w:szCs w:val="22"/>
              </w:rPr>
            </w:pPr>
            <w:r>
              <w:rPr>
                <w:rFonts w:ascii="Calibri" w:hAnsi="Calibri"/>
                <w:color w:val="000000"/>
                <w:szCs w:val="22"/>
              </w:rPr>
              <w:t>1.00</w:t>
            </w:r>
          </w:p>
        </w:tc>
        <w:tc>
          <w:tcPr>
            <w:tcW w:w="904" w:type="dxa"/>
            <w:shd w:val="clear" w:color="auto" w:fill="auto"/>
            <w:noWrap/>
            <w:vAlign w:val="bottom"/>
            <w:hideMark/>
          </w:tcPr>
          <w:p w14:paraId="66CBDC69" w14:textId="77777777" w:rsidR="000C124D" w:rsidRDefault="000C124D" w:rsidP="00127341">
            <w:pPr>
              <w:jc w:val="right"/>
              <w:rPr>
                <w:rFonts w:ascii="Calibri" w:hAnsi="Calibri"/>
                <w:color w:val="000000"/>
                <w:szCs w:val="22"/>
              </w:rPr>
            </w:pPr>
            <w:r>
              <w:rPr>
                <w:rFonts w:ascii="Calibri" w:hAnsi="Calibri"/>
                <w:color w:val="000000"/>
                <w:szCs w:val="22"/>
              </w:rPr>
              <w:t>365</w:t>
            </w:r>
          </w:p>
        </w:tc>
        <w:tc>
          <w:tcPr>
            <w:tcW w:w="919" w:type="dxa"/>
            <w:shd w:val="clear" w:color="auto" w:fill="auto"/>
            <w:noWrap/>
            <w:vAlign w:val="bottom"/>
            <w:hideMark/>
          </w:tcPr>
          <w:p w14:paraId="35D3A162" w14:textId="4509B08D" w:rsidR="000C124D" w:rsidRDefault="00BE2879" w:rsidP="00127341">
            <w:pPr>
              <w:jc w:val="right"/>
              <w:rPr>
                <w:rFonts w:ascii="Calibri" w:hAnsi="Calibri"/>
                <w:color w:val="000000"/>
                <w:szCs w:val="22"/>
              </w:rPr>
            </w:pPr>
            <w:r>
              <w:rPr>
                <w:rFonts w:ascii="Calibri" w:hAnsi="Calibri"/>
                <w:color w:val="000000"/>
                <w:szCs w:val="22"/>
              </w:rPr>
              <w:t>114.1</w:t>
            </w:r>
          </w:p>
        </w:tc>
        <w:tc>
          <w:tcPr>
            <w:tcW w:w="1114" w:type="dxa"/>
            <w:shd w:val="clear" w:color="auto" w:fill="auto"/>
            <w:noWrap/>
            <w:vAlign w:val="bottom"/>
            <w:hideMark/>
          </w:tcPr>
          <w:p w14:paraId="12E2F30A" w14:textId="3DC6633E" w:rsidR="000C124D" w:rsidRDefault="00262E9A" w:rsidP="00127341">
            <w:pPr>
              <w:jc w:val="right"/>
              <w:rPr>
                <w:rFonts w:ascii="Calibri" w:hAnsi="Calibri"/>
                <w:color w:val="000000"/>
                <w:szCs w:val="22"/>
              </w:rPr>
            </w:pPr>
            <w:r>
              <w:rPr>
                <w:rFonts w:ascii="Calibri" w:hAnsi="Calibri"/>
                <w:color w:val="000000"/>
                <w:szCs w:val="22"/>
              </w:rPr>
              <w:t>63.3</w:t>
            </w:r>
          </w:p>
        </w:tc>
        <w:tc>
          <w:tcPr>
            <w:tcW w:w="1072" w:type="dxa"/>
            <w:shd w:val="clear" w:color="auto" w:fill="auto"/>
            <w:noWrap/>
            <w:vAlign w:val="bottom"/>
            <w:hideMark/>
          </w:tcPr>
          <w:p w14:paraId="27927038" w14:textId="77777777" w:rsidR="000C124D" w:rsidRDefault="000C124D" w:rsidP="00127341">
            <w:pPr>
              <w:jc w:val="right"/>
              <w:rPr>
                <w:rFonts w:ascii="Calibri" w:hAnsi="Calibri"/>
                <w:color w:val="000000"/>
                <w:szCs w:val="22"/>
              </w:rPr>
            </w:pPr>
            <w:r>
              <w:rPr>
                <w:rFonts w:ascii="Calibri" w:hAnsi="Calibri"/>
                <w:color w:val="000000"/>
                <w:szCs w:val="22"/>
              </w:rPr>
              <w:t>0.7</w:t>
            </w:r>
          </w:p>
        </w:tc>
        <w:tc>
          <w:tcPr>
            <w:tcW w:w="1148" w:type="dxa"/>
            <w:shd w:val="clear" w:color="auto" w:fill="auto"/>
            <w:noWrap/>
            <w:vAlign w:val="bottom"/>
            <w:hideMark/>
          </w:tcPr>
          <w:p w14:paraId="37E7E6EA" w14:textId="0EF28D86" w:rsidR="000C124D" w:rsidRDefault="00BE2879" w:rsidP="00127341">
            <w:pPr>
              <w:jc w:val="right"/>
              <w:rPr>
                <w:rFonts w:ascii="Calibri" w:hAnsi="Calibri"/>
                <w:color w:val="000000"/>
                <w:szCs w:val="22"/>
              </w:rPr>
            </w:pPr>
            <w:r>
              <w:rPr>
                <w:rFonts w:ascii="Calibri" w:hAnsi="Calibri"/>
                <w:color w:val="000000"/>
                <w:szCs w:val="22"/>
              </w:rPr>
              <w:t>153</w:t>
            </w:r>
          </w:p>
        </w:tc>
        <w:tc>
          <w:tcPr>
            <w:tcW w:w="1148" w:type="dxa"/>
            <w:vAlign w:val="bottom"/>
          </w:tcPr>
          <w:p w14:paraId="56927F4A" w14:textId="094D92C1" w:rsidR="000C124D" w:rsidRPr="003F45C0" w:rsidRDefault="00BE2879" w:rsidP="00127341">
            <w:pPr>
              <w:jc w:val="right"/>
              <w:rPr>
                <w:rFonts w:ascii="Calibri" w:hAnsi="Calibri"/>
                <w:b/>
                <w:color w:val="000000"/>
                <w:szCs w:val="22"/>
              </w:rPr>
            </w:pPr>
            <w:r>
              <w:rPr>
                <w:rFonts w:ascii="Calibri" w:hAnsi="Calibri"/>
                <w:b/>
                <w:color w:val="000000"/>
                <w:szCs w:val="22"/>
              </w:rPr>
              <w:t>33</w:t>
            </w:r>
          </w:p>
        </w:tc>
      </w:tr>
    </w:tbl>
    <w:p w14:paraId="649C36D9" w14:textId="77777777" w:rsidR="000C124D" w:rsidRDefault="000C124D" w:rsidP="000C124D">
      <w:pPr>
        <w:pStyle w:val="WPPR1"/>
      </w:pPr>
      <w:bookmarkStart w:id="115" w:name="_Toc391397021"/>
      <w:r>
        <w:t>Water Savings Calculation</w:t>
      </w:r>
      <w:bookmarkEnd w:id="115"/>
    </w:p>
    <w:p w14:paraId="57F11146" w14:textId="77777777" w:rsidR="000C124D" w:rsidRDefault="000C124D" w:rsidP="000C124D">
      <w:pPr>
        <w:pStyle w:val="PR2"/>
      </w:pPr>
      <w:r>
        <w:t>The annual water use was calculated using for hot, cold and mixed water temperatures, using the following equation:</w:t>
      </w:r>
    </w:p>
    <w:p w14:paraId="5630A097" w14:textId="77777777" w:rsidR="000C124D" w:rsidRDefault="000C124D" w:rsidP="000C124D">
      <w:pPr>
        <w:pStyle w:val="PR2"/>
        <w:numPr>
          <w:ilvl w:val="0"/>
          <w:numId w:val="0"/>
        </w:numPr>
        <w:ind w:left="1584"/>
      </w:pPr>
    </w:p>
    <w:p w14:paraId="228DABDB" w14:textId="085EC25E" w:rsidR="000C124D" w:rsidRPr="00CF1A7E" w:rsidRDefault="000C124D" w:rsidP="000C124D">
      <w:pPr>
        <w:pStyle w:val="PR2"/>
        <w:numPr>
          <w:ilvl w:val="0"/>
          <w:numId w:val="0"/>
        </w:numPr>
        <w:ind w:left="1584"/>
      </w:pPr>
      <m:oMath>
        <m:r>
          <w:rPr>
            <w:rFonts w:ascii="Cambria Math" w:hAnsi="Cambria Math"/>
          </w:rPr>
          <m:t>F x 60 x</m:t>
        </m:r>
        <m:f>
          <m:fPr>
            <m:ctrlPr>
              <w:rPr>
                <w:rFonts w:ascii="Cambria Math" w:hAnsi="Cambria Math"/>
                <w:i/>
              </w:rPr>
            </m:ctrlPr>
          </m:fPr>
          <m:num>
            <m:r>
              <w:rPr>
                <w:rFonts w:ascii="Cambria Math" w:hAnsi="Cambria Math"/>
              </w:rPr>
              <m:t>Hours</m:t>
            </m:r>
          </m:num>
          <m:den>
            <m:r>
              <w:rPr>
                <w:rFonts w:ascii="Cambria Math" w:hAnsi="Cambria Math"/>
              </w:rPr>
              <m:t>Day</m:t>
            </m:r>
          </m:den>
        </m:f>
        <m:r>
          <w:rPr>
            <w:rFonts w:ascii="Cambria Math" w:hAnsi="Cambria Math"/>
          </w:rPr>
          <m:t xml:space="preserve"> x</m:t>
        </m:r>
        <m:f>
          <m:fPr>
            <m:ctrlPr>
              <w:rPr>
                <w:rFonts w:ascii="Cambria Math" w:hAnsi="Cambria Math"/>
                <w:i/>
              </w:rPr>
            </m:ctrlPr>
          </m:fPr>
          <m:num>
            <m:r>
              <w:rPr>
                <w:rFonts w:ascii="Cambria Math" w:hAnsi="Cambria Math"/>
              </w:rPr>
              <m:t>Days</m:t>
            </m:r>
          </m:num>
          <m:den>
            <m:r>
              <w:rPr>
                <w:rFonts w:ascii="Cambria Math" w:hAnsi="Cambria Math"/>
              </w:rPr>
              <m:t>year</m:t>
            </m:r>
          </m:den>
        </m:f>
        <m:r>
          <w:rPr>
            <w:rFonts w:ascii="Cambria Math" w:hAnsi="Cambria Math"/>
          </w:rPr>
          <m:t>=</m:t>
        </m:r>
        <m:f>
          <m:fPr>
            <m:ctrlPr>
              <w:rPr>
                <w:rFonts w:ascii="Cambria Math" w:hAnsi="Cambria Math"/>
                <w:i/>
              </w:rPr>
            </m:ctrlPr>
          </m:fPr>
          <m:num>
            <m:r>
              <w:rPr>
                <w:rFonts w:ascii="Cambria Math" w:hAnsi="Cambria Math"/>
              </w:rPr>
              <m:t>gal</m:t>
            </m:r>
          </m:num>
          <m:den>
            <m:r>
              <w:rPr>
                <w:rFonts w:ascii="Cambria Math" w:hAnsi="Cambria Math"/>
              </w:rPr>
              <m:t>yr</m:t>
            </m:r>
          </m:den>
        </m:f>
      </m:oMath>
      <w:r>
        <w:tab/>
      </w:r>
      <w:r>
        <w:tab/>
      </w:r>
      <w:r>
        <w:tab/>
      </w:r>
      <w:r>
        <w:tab/>
      </w:r>
      <w:r>
        <w:tab/>
      </w:r>
      <w:r>
        <w:tab/>
      </w:r>
      <w:r>
        <w:rPr>
          <w:i/>
        </w:rPr>
        <w:t>Eqn-3</w:t>
      </w:r>
    </w:p>
    <w:p w14:paraId="3006B2B9" w14:textId="77777777" w:rsidR="000C124D" w:rsidRDefault="000C124D" w:rsidP="000C124D">
      <w:pPr>
        <w:pStyle w:val="PR2"/>
        <w:numPr>
          <w:ilvl w:val="0"/>
          <w:numId w:val="0"/>
        </w:numPr>
        <w:ind w:left="1584"/>
      </w:pPr>
      <w:r>
        <w:t>Where</w:t>
      </w:r>
    </w:p>
    <w:p w14:paraId="0C032599" w14:textId="232B08A7" w:rsidR="000C124D" w:rsidRDefault="000C124D" w:rsidP="000C124D">
      <w:pPr>
        <w:pStyle w:val="PR3"/>
      </w:pPr>
      <w:r>
        <w:t xml:space="preserve">F – flow rate (gallons/minute) </w:t>
      </w:r>
    </w:p>
    <w:p w14:paraId="6FC60F82" w14:textId="77777777" w:rsidR="000C124D" w:rsidRDefault="00544E9C" w:rsidP="000C124D">
      <w:pPr>
        <w:pStyle w:val="PR3"/>
      </w:pPr>
      <m:oMath>
        <m:f>
          <m:fPr>
            <m:ctrlPr>
              <w:rPr>
                <w:rFonts w:ascii="Cambria Math" w:hAnsi="Cambria Math"/>
                <w:i/>
              </w:rPr>
            </m:ctrlPr>
          </m:fPr>
          <m:num>
            <m:r>
              <w:rPr>
                <w:rFonts w:ascii="Cambria Math" w:hAnsi="Cambria Math"/>
              </w:rPr>
              <m:t>Hours</m:t>
            </m:r>
          </m:num>
          <m:den>
            <m:r>
              <w:rPr>
                <w:rFonts w:ascii="Cambria Math" w:hAnsi="Cambria Math"/>
              </w:rPr>
              <m:t>Day</m:t>
            </m:r>
          </m:den>
        </m:f>
      </m:oMath>
      <w:r w:rsidR="000C124D">
        <w:t xml:space="preserve"> - daily operating hours (hours/day)</w:t>
      </w:r>
    </w:p>
    <w:p w14:paraId="1C4DDF85" w14:textId="77777777" w:rsidR="000C124D" w:rsidRDefault="00544E9C" w:rsidP="000C124D">
      <w:pPr>
        <w:pStyle w:val="PR3"/>
      </w:pPr>
      <m:oMath>
        <m:f>
          <m:fPr>
            <m:ctrlPr>
              <w:rPr>
                <w:rFonts w:ascii="Cambria Math" w:hAnsi="Cambria Math"/>
                <w:i/>
              </w:rPr>
            </m:ctrlPr>
          </m:fPr>
          <m:num>
            <m:r>
              <w:rPr>
                <w:rFonts w:ascii="Cambria Math" w:hAnsi="Cambria Math"/>
              </w:rPr>
              <m:t>Days</m:t>
            </m:r>
          </m:num>
          <m:den>
            <m:r>
              <w:rPr>
                <w:rFonts w:ascii="Cambria Math" w:hAnsi="Cambria Math"/>
              </w:rPr>
              <m:t xml:space="preserve">year </m:t>
            </m:r>
          </m:den>
        </m:f>
      </m:oMath>
      <w:r w:rsidR="000C124D">
        <w:t xml:space="preserve"> - yearly days of operating (days/year)</w:t>
      </w:r>
    </w:p>
    <w:p w14:paraId="7284BD5E" w14:textId="77777777" w:rsidR="000C124D" w:rsidRDefault="00544E9C" w:rsidP="000C124D">
      <w:pPr>
        <w:pStyle w:val="PR3"/>
      </w:pPr>
      <m:oMath>
        <m:f>
          <m:fPr>
            <m:ctrlPr>
              <w:rPr>
                <w:rFonts w:ascii="Cambria Math" w:hAnsi="Cambria Math"/>
                <w:i/>
              </w:rPr>
            </m:ctrlPr>
          </m:fPr>
          <m:num>
            <m:r>
              <w:rPr>
                <w:rFonts w:ascii="Cambria Math" w:hAnsi="Cambria Math"/>
              </w:rPr>
              <m:t>gal</m:t>
            </m:r>
          </m:num>
          <m:den>
            <m:r>
              <w:rPr>
                <w:rFonts w:ascii="Cambria Math" w:hAnsi="Cambria Math"/>
              </w:rPr>
              <m:t>yr</m:t>
            </m:r>
          </m:den>
        </m:f>
      </m:oMath>
      <w:r w:rsidR="000C124D">
        <w:t xml:space="preserve"> - annual water use (gallons/year)</w:t>
      </w:r>
    </w:p>
    <w:p w14:paraId="0AED67DF" w14:textId="77777777" w:rsidR="00BE2879" w:rsidRPr="00CF1A7E" w:rsidRDefault="00BE2879" w:rsidP="00BE2879">
      <w:pPr>
        <w:pStyle w:val="PR3"/>
        <w:numPr>
          <w:ilvl w:val="0"/>
          <w:numId w:val="0"/>
        </w:numPr>
        <w:ind w:left="2016"/>
      </w:pPr>
    </w:p>
    <w:p w14:paraId="5E6D4A3D" w14:textId="503E8E7E" w:rsidR="000C124D" w:rsidRDefault="00BE2879" w:rsidP="000C124D">
      <w:pPr>
        <w:pStyle w:val="WPPR2"/>
        <w:numPr>
          <w:ilvl w:val="3"/>
          <w:numId w:val="20"/>
        </w:numPr>
      </w:pPr>
      <w:r>
        <w:t>T</w:t>
      </w:r>
      <w:r w:rsidR="000C124D" w:rsidRPr="00976D87">
        <w:t xml:space="preserve">he </w:t>
      </w:r>
      <w:r w:rsidR="000C124D">
        <w:t>water</w:t>
      </w:r>
      <w:r w:rsidR="000C124D" w:rsidRPr="00976D87">
        <w:t xml:space="preserve"> saved by </w:t>
      </w:r>
      <w:r w:rsidR="000C124D">
        <w:t>installing a qualified pre-rinse spray valve is calculated as follows:</w:t>
      </w:r>
    </w:p>
    <w:p w14:paraId="21C5F2A9" w14:textId="77777777" w:rsidR="000C124D" w:rsidRDefault="000C124D" w:rsidP="000C124D">
      <w:pPr>
        <w:pStyle w:val="WPPR2"/>
        <w:numPr>
          <w:ilvl w:val="0"/>
          <w:numId w:val="0"/>
        </w:numPr>
        <w:ind w:left="1584"/>
      </w:pPr>
    </w:p>
    <w:p w14:paraId="41FAF178" w14:textId="73D64B00" w:rsidR="000C124D" w:rsidRDefault="000C124D" w:rsidP="000C124D">
      <w:pPr>
        <w:pStyle w:val="WPPR2"/>
        <w:numPr>
          <w:ilvl w:val="0"/>
          <w:numId w:val="0"/>
        </w:numPr>
        <w:ind w:left="1584"/>
      </w:pPr>
      <m:oMath>
        <m:r>
          <w:rPr>
            <w:rFonts w:ascii="Cambria Math" w:hAnsi="Cambria Math"/>
          </w:rPr>
          <m:t>Baseline Water Use-Measure Water Use=Annual Water Savings</m:t>
        </m:r>
      </m:oMath>
      <w:r>
        <w:t xml:space="preserve">   </w:t>
      </w:r>
      <w:r w:rsidRPr="00CF1A7E">
        <w:rPr>
          <w:i/>
        </w:rPr>
        <w:t>Eqn-4</w:t>
      </w:r>
    </w:p>
    <w:p w14:paraId="530E6BA6" w14:textId="77777777" w:rsidR="000C124D" w:rsidRDefault="000C124D" w:rsidP="000C124D">
      <w:pPr>
        <w:pStyle w:val="Vertical"/>
      </w:pPr>
    </w:p>
    <w:p w14:paraId="32ED0707" w14:textId="77777777" w:rsidR="00BC380F" w:rsidRDefault="00BC380F" w:rsidP="000C124D">
      <w:pPr>
        <w:pStyle w:val="Vertical"/>
      </w:pPr>
    </w:p>
    <w:p w14:paraId="4271A994" w14:textId="396676C3" w:rsidR="000C124D" w:rsidRDefault="00C104E1" w:rsidP="008436DA">
      <w:pPr>
        <w:pStyle w:val="Table"/>
      </w:pPr>
      <w:bookmarkStart w:id="116" w:name="_Toc343841381"/>
      <w:bookmarkStart w:id="117" w:name="_Toc391398029"/>
      <w:r w:rsidRPr="003541A6">
        <w:t xml:space="preserve">Table </w:t>
      </w:r>
      <w:r w:rsidR="00544E9C">
        <w:fldChar w:fldCharType="begin"/>
      </w:r>
      <w:r w:rsidR="00544E9C">
        <w:instrText xml:space="preserve"> SEQ Table \* ARABIC </w:instrText>
      </w:r>
      <w:r w:rsidR="00544E9C">
        <w:fldChar w:fldCharType="separate"/>
      </w:r>
      <w:r w:rsidR="00CE5AEA">
        <w:rPr>
          <w:noProof/>
        </w:rPr>
        <w:t>11</w:t>
      </w:r>
      <w:r w:rsidR="00544E9C">
        <w:rPr>
          <w:noProof/>
        </w:rPr>
        <w:fldChar w:fldCharType="end"/>
      </w:r>
      <w:r w:rsidR="000C124D">
        <w:t xml:space="preserve">Calculations of Annual Water Savings for </w:t>
      </w:r>
      <w:bookmarkEnd w:id="116"/>
      <w:r>
        <w:t>Measure Case</w:t>
      </w:r>
      <w:bookmarkEnd w:id="117"/>
    </w:p>
    <w:tbl>
      <w:tblPr>
        <w:tblW w:w="9187" w:type="dxa"/>
        <w:tblInd w:w="95" w:type="dxa"/>
        <w:tblLook w:val="04A0" w:firstRow="1" w:lastRow="0" w:firstColumn="1" w:lastColumn="0" w:noHBand="0" w:noVBand="1"/>
      </w:tblPr>
      <w:tblGrid>
        <w:gridCol w:w="4180"/>
        <w:gridCol w:w="960"/>
        <w:gridCol w:w="1087"/>
        <w:gridCol w:w="960"/>
        <w:gridCol w:w="1000"/>
        <w:gridCol w:w="1000"/>
      </w:tblGrid>
      <w:tr w:rsidR="000C124D" w:rsidRPr="00234DE0" w14:paraId="46368B5A" w14:textId="77777777" w:rsidTr="00C602B7">
        <w:trPr>
          <w:trHeight w:val="300"/>
        </w:trPr>
        <w:tc>
          <w:tcPr>
            <w:tcW w:w="4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8368B6" w14:textId="77777777" w:rsidR="000C124D" w:rsidRPr="00234DE0" w:rsidRDefault="000C124D" w:rsidP="00127341">
            <w:pPr>
              <w:rPr>
                <w:rFonts w:ascii="Calibri" w:hAnsi="Calibri"/>
                <w:color w:val="000000"/>
                <w:szCs w:val="22"/>
              </w:rPr>
            </w:pPr>
            <w:r w:rsidRPr="00234DE0">
              <w:rPr>
                <w:rFonts w:ascii="Calibri" w:hAnsi="Calibri"/>
                <w:color w:val="000000"/>
                <w:szCs w:val="22"/>
              </w:rPr>
              <w:t>Water Consumption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554CEB4" w14:textId="513882BF" w:rsidR="000C124D" w:rsidRPr="00234DE0" w:rsidRDefault="009C5F86" w:rsidP="00127341">
            <w:pPr>
              <w:rPr>
                <w:rFonts w:ascii="Calibri" w:hAnsi="Calibri"/>
                <w:color w:val="000000"/>
                <w:szCs w:val="22"/>
              </w:rPr>
            </w:pPr>
            <w:proofErr w:type="spellStart"/>
            <w:r>
              <w:rPr>
                <w:rFonts w:ascii="Calibri" w:hAnsi="Calibri"/>
                <w:color w:val="000000"/>
                <w:szCs w:val="22"/>
              </w:rPr>
              <w:t>gpm</w:t>
            </w:r>
            <w:proofErr w:type="spellEnd"/>
          </w:p>
        </w:tc>
        <w:tc>
          <w:tcPr>
            <w:tcW w:w="1087" w:type="dxa"/>
            <w:tcBorders>
              <w:top w:val="single" w:sz="4" w:space="0" w:color="auto"/>
              <w:left w:val="nil"/>
              <w:bottom w:val="single" w:sz="4" w:space="0" w:color="auto"/>
              <w:right w:val="single" w:sz="4" w:space="0" w:color="auto"/>
            </w:tcBorders>
            <w:shd w:val="clear" w:color="auto" w:fill="auto"/>
            <w:noWrap/>
            <w:vAlign w:val="bottom"/>
            <w:hideMark/>
          </w:tcPr>
          <w:p w14:paraId="318ABF43" w14:textId="77777777" w:rsidR="000C124D" w:rsidRPr="00234DE0" w:rsidRDefault="000C124D" w:rsidP="00127341">
            <w:pPr>
              <w:rPr>
                <w:rFonts w:ascii="Calibri" w:hAnsi="Calibri"/>
                <w:color w:val="000000"/>
                <w:szCs w:val="22"/>
              </w:rPr>
            </w:pPr>
            <w:r w:rsidRPr="00234DE0">
              <w:rPr>
                <w:rFonts w:ascii="Calibri" w:hAnsi="Calibri"/>
                <w:color w:val="000000"/>
                <w:szCs w:val="22"/>
              </w:rPr>
              <w:t>Hour/Day</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2D82816" w14:textId="77777777" w:rsidR="000C124D" w:rsidRPr="00234DE0" w:rsidRDefault="000C124D" w:rsidP="00127341">
            <w:pPr>
              <w:rPr>
                <w:rFonts w:ascii="Calibri" w:hAnsi="Calibri"/>
                <w:color w:val="000000"/>
                <w:szCs w:val="22"/>
              </w:rPr>
            </w:pPr>
            <w:r w:rsidRPr="00234DE0">
              <w:rPr>
                <w:rFonts w:ascii="Calibri" w:hAnsi="Calibri"/>
                <w:color w:val="000000"/>
                <w:szCs w:val="22"/>
              </w:rPr>
              <w:t>Days/</w:t>
            </w:r>
            <w:proofErr w:type="spellStart"/>
            <w:r w:rsidRPr="00234DE0">
              <w:rPr>
                <w:rFonts w:ascii="Calibri" w:hAnsi="Calibri"/>
                <w:color w:val="000000"/>
                <w:szCs w:val="22"/>
              </w:rPr>
              <w:t>yr</w:t>
            </w:r>
            <w:proofErr w:type="spellEnd"/>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986970E" w14:textId="77777777" w:rsidR="000C124D" w:rsidRPr="00234DE0" w:rsidRDefault="000C124D" w:rsidP="00127341">
            <w:pPr>
              <w:rPr>
                <w:rFonts w:ascii="Calibri" w:hAnsi="Calibri"/>
                <w:color w:val="000000"/>
                <w:szCs w:val="22"/>
              </w:rPr>
            </w:pPr>
            <w:r w:rsidRPr="00234DE0">
              <w:rPr>
                <w:rFonts w:ascii="Calibri" w:hAnsi="Calibri"/>
                <w:color w:val="000000"/>
                <w:szCs w:val="22"/>
              </w:rPr>
              <w:t>Gal/</w:t>
            </w:r>
            <w:proofErr w:type="spellStart"/>
            <w:r w:rsidRPr="00234DE0">
              <w:rPr>
                <w:rFonts w:ascii="Calibri" w:hAnsi="Calibri"/>
                <w:color w:val="000000"/>
                <w:szCs w:val="22"/>
              </w:rPr>
              <w:t>yr</w:t>
            </w:r>
            <w:proofErr w:type="spellEnd"/>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B5DBD5E" w14:textId="77777777" w:rsidR="000C124D" w:rsidRPr="00234DE0" w:rsidRDefault="000C124D" w:rsidP="00127341">
            <w:pPr>
              <w:rPr>
                <w:rFonts w:ascii="Calibri" w:hAnsi="Calibri"/>
                <w:color w:val="000000"/>
                <w:szCs w:val="22"/>
              </w:rPr>
            </w:pPr>
            <w:r w:rsidRPr="00234DE0">
              <w:rPr>
                <w:rFonts w:ascii="Calibri" w:hAnsi="Calibri"/>
                <w:color w:val="000000"/>
                <w:szCs w:val="22"/>
              </w:rPr>
              <w:t>Savings Gal/</w:t>
            </w:r>
            <w:proofErr w:type="spellStart"/>
            <w:r w:rsidRPr="00234DE0">
              <w:rPr>
                <w:rFonts w:ascii="Calibri" w:hAnsi="Calibri"/>
                <w:color w:val="000000"/>
                <w:szCs w:val="22"/>
              </w:rPr>
              <w:t>yr</w:t>
            </w:r>
            <w:proofErr w:type="spellEnd"/>
          </w:p>
        </w:tc>
      </w:tr>
      <w:tr w:rsidR="000C124D" w:rsidRPr="00234DE0" w14:paraId="10DAE774" w14:textId="77777777" w:rsidTr="00C602B7">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58CCB1F" w14:textId="072EEC54" w:rsidR="000C124D" w:rsidRPr="00234DE0" w:rsidRDefault="000C124D" w:rsidP="00BE2879">
            <w:pPr>
              <w:rPr>
                <w:rFonts w:ascii="Calibri" w:hAnsi="Calibri"/>
                <w:color w:val="000000"/>
                <w:szCs w:val="22"/>
              </w:rPr>
            </w:pPr>
            <w:r w:rsidRPr="00234DE0">
              <w:rPr>
                <w:rFonts w:ascii="Calibri" w:hAnsi="Calibri"/>
                <w:color w:val="000000"/>
                <w:szCs w:val="22"/>
              </w:rPr>
              <w:t>Baseline</w:t>
            </w:r>
            <w:r w:rsidR="00541493">
              <w:rPr>
                <w:rFonts w:ascii="Calibri" w:hAnsi="Calibri"/>
                <w:color w:val="000000"/>
                <w:szCs w:val="22"/>
              </w:rPr>
              <w:t xml:space="preserve"> (1.40 </w:t>
            </w:r>
            <w:proofErr w:type="spellStart"/>
            <w:r w:rsidR="00541493">
              <w:rPr>
                <w:rFonts w:ascii="Calibri" w:hAnsi="Calibri"/>
                <w:color w:val="000000"/>
                <w:szCs w:val="22"/>
              </w:rPr>
              <w:t>gpm</w:t>
            </w:r>
            <w:proofErr w:type="spellEnd"/>
            <w:r w:rsidR="00541493">
              <w:rPr>
                <w:rFonts w:ascii="Calibri" w:hAnsi="Calibri"/>
                <w:color w:val="000000"/>
                <w:szCs w:val="22"/>
              </w:rPr>
              <w:t>)</w:t>
            </w:r>
          </w:p>
        </w:tc>
        <w:tc>
          <w:tcPr>
            <w:tcW w:w="960" w:type="dxa"/>
            <w:tcBorders>
              <w:top w:val="nil"/>
              <w:left w:val="nil"/>
              <w:bottom w:val="single" w:sz="4" w:space="0" w:color="auto"/>
              <w:right w:val="single" w:sz="4" w:space="0" w:color="auto"/>
            </w:tcBorders>
            <w:shd w:val="clear" w:color="auto" w:fill="auto"/>
            <w:noWrap/>
            <w:vAlign w:val="bottom"/>
            <w:hideMark/>
          </w:tcPr>
          <w:p w14:paraId="75592C6A" w14:textId="3C633AAC" w:rsidR="000C124D" w:rsidRPr="00234DE0" w:rsidRDefault="00BE2879" w:rsidP="00127341">
            <w:pPr>
              <w:jc w:val="right"/>
              <w:rPr>
                <w:rFonts w:ascii="Calibri" w:hAnsi="Calibri"/>
                <w:color w:val="000000"/>
                <w:szCs w:val="22"/>
              </w:rPr>
            </w:pPr>
            <w:r>
              <w:rPr>
                <w:rFonts w:ascii="Calibri" w:hAnsi="Calibri"/>
                <w:color w:val="000000"/>
                <w:szCs w:val="22"/>
              </w:rPr>
              <w:t>1.40</w:t>
            </w:r>
          </w:p>
        </w:tc>
        <w:tc>
          <w:tcPr>
            <w:tcW w:w="1087" w:type="dxa"/>
            <w:tcBorders>
              <w:top w:val="nil"/>
              <w:left w:val="nil"/>
              <w:bottom w:val="single" w:sz="4" w:space="0" w:color="auto"/>
              <w:right w:val="single" w:sz="4" w:space="0" w:color="auto"/>
            </w:tcBorders>
            <w:shd w:val="clear" w:color="auto" w:fill="auto"/>
            <w:noWrap/>
            <w:vAlign w:val="bottom"/>
            <w:hideMark/>
          </w:tcPr>
          <w:p w14:paraId="7909DBA3" w14:textId="485748BF" w:rsidR="000C124D" w:rsidRPr="00234DE0" w:rsidRDefault="00347F54" w:rsidP="00127341">
            <w:pPr>
              <w:jc w:val="right"/>
              <w:rPr>
                <w:rFonts w:ascii="Calibri" w:hAnsi="Calibri"/>
                <w:color w:val="000000"/>
                <w:szCs w:val="22"/>
              </w:rPr>
            </w:pPr>
            <w:r>
              <w:rPr>
                <w:rFonts w:ascii="Calibri" w:hAnsi="Calibri"/>
                <w:color w:val="000000"/>
                <w:szCs w:val="22"/>
              </w:rPr>
              <w:t>1.00</w:t>
            </w:r>
          </w:p>
        </w:tc>
        <w:tc>
          <w:tcPr>
            <w:tcW w:w="960" w:type="dxa"/>
            <w:tcBorders>
              <w:top w:val="nil"/>
              <w:left w:val="nil"/>
              <w:bottom w:val="single" w:sz="4" w:space="0" w:color="auto"/>
              <w:right w:val="single" w:sz="4" w:space="0" w:color="auto"/>
            </w:tcBorders>
            <w:shd w:val="clear" w:color="auto" w:fill="auto"/>
            <w:noWrap/>
            <w:vAlign w:val="bottom"/>
            <w:hideMark/>
          </w:tcPr>
          <w:p w14:paraId="0A3BE33F" w14:textId="77777777" w:rsidR="000C124D" w:rsidRPr="00BE2879" w:rsidRDefault="000C124D" w:rsidP="00127341">
            <w:pPr>
              <w:jc w:val="right"/>
              <w:rPr>
                <w:rFonts w:ascii="Calibri" w:hAnsi="Calibri"/>
                <w:color w:val="000000"/>
                <w:szCs w:val="22"/>
              </w:rPr>
            </w:pPr>
            <w:r w:rsidRPr="00BE2879">
              <w:rPr>
                <w:rFonts w:ascii="Calibri" w:hAnsi="Calibri"/>
                <w:color w:val="000000"/>
                <w:szCs w:val="22"/>
              </w:rPr>
              <w:t>365</w:t>
            </w:r>
          </w:p>
        </w:tc>
        <w:tc>
          <w:tcPr>
            <w:tcW w:w="1000" w:type="dxa"/>
            <w:tcBorders>
              <w:top w:val="nil"/>
              <w:left w:val="nil"/>
              <w:bottom w:val="single" w:sz="4" w:space="0" w:color="auto"/>
              <w:right w:val="single" w:sz="4" w:space="0" w:color="auto"/>
            </w:tcBorders>
            <w:shd w:val="clear" w:color="auto" w:fill="auto"/>
            <w:noWrap/>
            <w:vAlign w:val="bottom"/>
            <w:hideMark/>
          </w:tcPr>
          <w:p w14:paraId="36899212" w14:textId="249EEC25" w:rsidR="000C124D" w:rsidRPr="00BE2879" w:rsidRDefault="00BE2879" w:rsidP="00127341">
            <w:pPr>
              <w:rPr>
                <w:rFonts w:ascii="Calibri" w:hAnsi="Calibri"/>
                <w:color w:val="000000"/>
                <w:szCs w:val="22"/>
              </w:rPr>
            </w:pPr>
            <w:r w:rsidRPr="00BE2879">
              <w:rPr>
                <w:rFonts w:ascii="Calibri" w:hAnsi="Calibri"/>
                <w:color w:val="000000"/>
                <w:szCs w:val="22"/>
              </w:rPr>
              <w:t>30,660</w:t>
            </w:r>
          </w:p>
        </w:tc>
        <w:tc>
          <w:tcPr>
            <w:tcW w:w="1000" w:type="dxa"/>
            <w:tcBorders>
              <w:top w:val="nil"/>
              <w:left w:val="nil"/>
              <w:bottom w:val="single" w:sz="4" w:space="0" w:color="auto"/>
              <w:right w:val="single" w:sz="4" w:space="0" w:color="auto"/>
            </w:tcBorders>
            <w:shd w:val="clear" w:color="auto" w:fill="auto"/>
            <w:noWrap/>
            <w:vAlign w:val="bottom"/>
            <w:hideMark/>
          </w:tcPr>
          <w:p w14:paraId="56B5A07E" w14:textId="354C0F3E" w:rsidR="000C124D" w:rsidRPr="00BE2879" w:rsidRDefault="00BE2879" w:rsidP="00127341">
            <w:pPr>
              <w:jc w:val="right"/>
              <w:rPr>
                <w:rFonts w:ascii="Calibri" w:hAnsi="Calibri"/>
                <w:color w:val="000000"/>
                <w:szCs w:val="22"/>
              </w:rPr>
            </w:pPr>
            <w:r w:rsidRPr="00BE2879">
              <w:rPr>
                <w:rFonts w:ascii="Calibri" w:hAnsi="Calibri"/>
                <w:color w:val="000000"/>
                <w:szCs w:val="22"/>
              </w:rPr>
              <w:t>-</w:t>
            </w:r>
          </w:p>
        </w:tc>
      </w:tr>
      <w:tr w:rsidR="000C124D" w:rsidRPr="00234DE0" w14:paraId="23446300" w14:textId="77777777" w:rsidTr="00C602B7">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A587883" w14:textId="0A3BB4DA" w:rsidR="000C124D" w:rsidRPr="00234DE0" w:rsidRDefault="00FA2223" w:rsidP="00BE2879">
            <w:pPr>
              <w:rPr>
                <w:rFonts w:ascii="Calibri" w:hAnsi="Calibri"/>
                <w:color w:val="000000"/>
                <w:szCs w:val="22"/>
              </w:rPr>
            </w:pPr>
            <w:r>
              <w:rPr>
                <w:rFonts w:ascii="Calibri" w:hAnsi="Calibri"/>
                <w:color w:val="000000"/>
                <w:szCs w:val="22"/>
              </w:rPr>
              <w:t>Qualifying Measure</w:t>
            </w:r>
            <w:r w:rsidR="000C124D" w:rsidRPr="00234DE0">
              <w:rPr>
                <w:rFonts w:ascii="Calibri" w:hAnsi="Calibri"/>
                <w:color w:val="000000"/>
                <w:szCs w:val="22"/>
              </w:rPr>
              <w:t xml:space="preserve"> (1.15 </w:t>
            </w:r>
            <w:proofErr w:type="spellStart"/>
            <w:r w:rsidR="009C5F86">
              <w:rPr>
                <w:rFonts w:ascii="Calibri" w:hAnsi="Calibri"/>
                <w:color w:val="000000"/>
                <w:szCs w:val="22"/>
              </w:rPr>
              <w:t>gpm</w:t>
            </w:r>
            <w:proofErr w:type="spellEnd"/>
            <w:r w:rsidR="00BE2879">
              <w:rPr>
                <w:rFonts w:ascii="Calibri" w:hAnsi="Calibri"/>
                <w:color w:val="000000"/>
                <w:szCs w:val="22"/>
              </w:rPr>
              <w:t>)</w:t>
            </w:r>
          </w:p>
        </w:tc>
        <w:tc>
          <w:tcPr>
            <w:tcW w:w="960" w:type="dxa"/>
            <w:tcBorders>
              <w:top w:val="nil"/>
              <w:left w:val="nil"/>
              <w:bottom w:val="single" w:sz="4" w:space="0" w:color="auto"/>
              <w:right w:val="single" w:sz="4" w:space="0" w:color="auto"/>
            </w:tcBorders>
            <w:shd w:val="clear" w:color="auto" w:fill="auto"/>
            <w:noWrap/>
            <w:vAlign w:val="bottom"/>
            <w:hideMark/>
          </w:tcPr>
          <w:p w14:paraId="4F14074A" w14:textId="2735D845" w:rsidR="000C124D" w:rsidRPr="00234DE0" w:rsidRDefault="00BE2879" w:rsidP="00127341">
            <w:pPr>
              <w:jc w:val="right"/>
              <w:rPr>
                <w:rFonts w:ascii="Calibri" w:hAnsi="Calibri"/>
                <w:color w:val="000000"/>
                <w:szCs w:val="22"/>
              </w:rPr>
            </w:pPr>
            <w:r>
              <w:rPr>
                <w:rFonts w:ascii="Calibri" w:hAnsi="Calibri"/>
                <w:color w:val="000000"/>
                <w:szCs w:val="22"/>
              </w:rPr>
              <w:t>1.15</w:t>
            </w:r>
          </w:p>
        </w:tc>
        <w:tc>
          <w:tcPr>
            <w:tcW w:w="1087" w:type="dxa"/>
            <w:tcBorders>
              <w:top w:val="nil"/>
              <w:left w:val="nil"/>
              <w:bottom w:val="single" w:sz="4" w:space="0" w:color="auto"/>
              <w:right w:val="single" w:sz="4" w:space="0" w:color="auto"/>
            </w:tcBorders>
            <w:shd w:val="clear" w:color="auto" w:fill="auto"/>
            <w:noWrap/>
            <w:vAlign w:val="bottom"/>
            <w:hideMark/>
          </w:tcPr>
          <w:p w14:paraId="4E688995" w14:textId="445E46E1" w:rsidR="000C124D" w:rsidRPr="00234DE0" w:rsidRDefault="00347F54" w:rsidP="00127341">
            <w:pPr>
              <w:jc w:val="right"/>
              <w:rPr>
                <w:rFonts w:ascii="Calibri" w:hAnsi="Calibri"/>
                <w:color w:val="000000"/>
                <w:szCs w:val="22"/>
              </w:rPr>
            </w:pPr>
            <w:r>
              <w:rPr>
                <w:rFonts w:ascii="Calibri" w:hAnsi="Calibri"/>
                <w:color w:val="000000"/>
                <w:szCs w:val="22"/>
              </w:rPr>
              <w:t>1.00</w:t>
            </w:r>
          </w:p>
        </w:tc>
        <w:tc>
          <w:tcPr>
            <w:tcW w:w="960" w:type="dxa"/>
            <w:tcBorders>
              <w:top w:val="nil"/>
              <w:left w:val="nil"/>
              <w:bottom w:val="single" w:sz="4" w:space="0" w:color="auto"/>
              <w:right w:val="single" w:sz="4" w:space="0" w:color="auto"/>
            </w:tcBorders>
            <w:shd w:val="clear" w:color="auto" w:fill="auto"/>
            <w:noWrap/>
            <w:vAlign w:val="bottom"/>
            <w:hideMark/>
          </w:tcPr>
          <w:p w14:paraId="1B7301F5" w14:textId="77777777" w:rsidR="000C124D" w:rsidRPr="00BE2879" w:rsidRDefault="000C124D" w:rsidP="00127341">
            <w:pPr>
              <w:jc w:val="right"/>
              <w:rPr>
                <w:rFonts w:ascii="Calibri" w:hAnsi="Calibri"/>
                <w:color w:val="000000"/>
                <w:szCs w:val="22"/>
              </w:rPr>
            </w:pPr>
            <w:r w:rsidRPr="00BE2879">
              <w:rPr>
                <w:rFonts w:ascii="Calibri" w:hAnsi="Calibri"/>
                <w:color w:val="000000"/>
                <w:szCs w:val="22"/>
              </w:rPr>
              <w:t>365</w:t>
            </w:r>
          </w:p>
        </w:tc>
        <w:tc>
          <w:tcPr>
            <w:tcW w:w="1000" w:type="dxa"/>
            <w:tcBorders>
              <w:top w:val="nil"/>
              <w:left w:val="nil"/>
              <w:bottom w:val="single" w:sz="4" w:space="0" w:color="auto"/>
              <w:right w:val="single" w:sz="4" w:space="0" w:color="auto"/>
            </w:tcBorders>
            <w:shd w:val="clear" w:color="auto" w:fill="auto"/>
            <w:noWrap/>
            <w:vAlign w:val="bottom"/>
            <w:hideMark/>
          </w:tcPr>
          <w:p w14:paraId="261ECBE7" w14:textId="14FE6F0B" w:rsidR="000C124D" w:rsidRPr="00BE2879" w:rsidRDefault="00BE2879" w:rsidP="00127341">
            <w:pPr>
              <w:rPr>
                <w:rFonts w:ascii="Calibri" w:hAnsi="Calibri"/>
                <w:color w:val="000000"/>
                <w:szCs w:val="22"/>
              </w:rPr>
            </w:pPr>
            <w:r w:rsidRPr="00BE2879">
              <w:rPr>
                <w:rFonts w:ascii="Calibri" w:hAnsi="Calibri"/>
                <w:color w:val="000000"/>
                <w:szCs w:val="22"/>
              </w:rPr>
              <w:t>25,185</w:t>
            </w:r>
          </w:p>
        </w:tc>
        <w:tc>
          <w:tcPr>
            <w:tcW w:w="1000" w:type="dxa"/>
            <w:tcBorders>
              <w:top w:val="nil"/>
              <w:left w:val="nil"/>
              <w:bottom w:val="single" w:sz="4" w:space="0" w:color="auto"/>
              <w:right w:val="single" w:sz="4" w:space="0" w:color="auto"/>
            </w:tcBorders>
            <w:shd w:val="clear" w:color="auto" w:fill="auto"/>
            <w:noWrap/>
            <w:vAlign w:val="bottom"/>
            <w:hideMark/>
          </w:tcPr>
          <w:p w14:paraId="068123BB" w14:textId="7DE4BC7A" w:rsidR="000C124D" w:rsidRPr="00BE2879" w:rsidRDefault="00BE2879" w:rsidP="00BE2879">
            <w:pPr>
              <w:jc w:val="right"/>
              <w:rPr>
                <w:rFonts w:ascii="Calibri" w:hAnsi="Calibri"/>
                <w:b/>
                <w:bCs/>
                <w:color w:val="000000"/>
                <w:szCs w:val="22"/>
              </w:rPr>
            </w:pPr>
            <w:r w:rsidRPr="00BE2879">
              <w:rPr>
                <w:rFonts w:ascii="Calibri" w:hAnsi="Calibri"/>
                <w:b/>
                <w:bCs/>
                <w:color w:val="000000"/>
                <w:szCs w:val="22"/>
              </w:rPr>
              <w:t>5,475</w:t>
            </w:r>
          </w:p>
        </w:tc>
      </w:tr>
    </w:tbl>
    <w:p w14:paraId="393A10A0" w14:textId="77777777" w:rsidR="00E23EC3" w:rsidRDefault="00E23EC3" w:rsidP="00AD4B84"/>
    <w:p w14:paraId="393A10A5" w14:textId="77777777" w:rsidR="00B7164C" w:rsidRPr="007A4D97" w:rsidRDefault="00C069A2" w:rsidP="00D20486">
      <w:pPr>
        <w:pStyle w:val="Heading1"/>
        <w:rPr>
          <w:i/>
          <w:sz w:val="28"/>
          <w:szCs w:val="28"/>
        </w:rPr>
      </w:pPr>
      <w:bookmarkStart w:id="118" w:name="_Toc304800214"/>
      <w:bookmarkStart w:id="119" w:name="_Toc324318368"/>
      <w:bookmarkStart w:id="120" w:name="_Toc324340497"/>
      <w:bookmarkStart w:id="121" w:name="_Toc391397022"/>
      <w:proofErr w:type="gramStart"/>
      <w:r w:rsidRPr="007A4D97">
        <w:rPr>
          <w:i/>
          <w:sz w:val="28"/>
          <w:szCs w:val="28"/>
        </w:rPr>
        <w:t>Section 3</w:t>
      </w:r>
      <w:r w:rsidR="003129E8" w:rsidRPr="007A4D97">
        <w:rPr>
          <w:i/>
          <w:sz w:val="28"/>
          <w:szCs w:val="28"/>
        </w:rPr>
        <w:t>.</w:t>
      </w:r>
      <w:proofErr w:type="gramEnd"/>
      <w:r w:rsidRPr="007A4D97">
        <w:rPr>
          <w:i/>
          <w:sz w:val="28"/>
          <w:szCs w:val="28"/>
        </w:rPr>
        <w:t xml:space="preserve"> Load Shapes</w:t>
      </w:r>
      <w:bookmarkEnd w:id="118"/>
      <w:bookmarkEnd w:id="119"/>
      <w:bookmarkEnd w:id="120"/>
      <w:bookmarkEnd w:id="121"/>
      <w:r w:rsidR="00844B27" w:rsidRPr="007A4D97">
        <w:rPr>
          <w:i/>
          <w:sz w:val="28"/>
          <w:szCs w:val="28"/>
        </w:rPr>
        <w:t xml:space="preserve"> </w:t>
      </w:r>
    </w:p>
    <w:p w14:paraId="4A04EBFD" w14:textId="77777777" w:rsidR="004647C8" w:rsidRPr="00126900" w:rsidRDefault="004647C8" w:rsidP="004647C8">
      <w:pPr>
        <w:autoSpaceDE w:val="0"/>
        <w:autoSpaceDN w:val="0"/>
        <w:adjustRightInd w:val="0"/>
        <w:rPr>
          <w:rFonts w:cs="Arial"/>
        </w:rPr>
      </w:pPr>
      <w:bookmarkStart w:id="122" w:name="_Toc173742996"/>
      <w:bookmarkStart w:id="123" w:name="_Toc304800215"/>
      <w:bookmarkStart w:id="124" w:name="_Toc324318369"/>
      <w:bookmarkStart w:id="125" w:name="_Toc324340498"/>
      <w:r w:rsidRPr="00126900">
        <w:rPr>
          <w:rFonts w:cs="Arial"/>
        </w:rPr>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w:t>
      </w:r>
      <w:r w:rsidRPr="00126900">
        <w:rPr>
          <w:rFonts w:cs="Arial"/>
        </w:rPr>
        <w:lastRenderedPageBreak/>
        <w:t>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1B8B9E8B" w14:textId="77777777" w:rsidR="004647C8" w:rsidRDefault="004647C8" w:rsidP="004647C8">
      <w:pPr>
        <w:rPr>
          <w:rFonts w:cs="Arial"/>
          <w:sz w:val="20"/>
          <w:szCs w:val="20"/>
        </w:rPr>
      </w:pPr>
      <w:r>
        <w:rPr>
          <w:rFonts w:cs="Arial"/>
          <w:sz w:val="20"/>
          <w:szCs w:val="20"/>
        </w:rPr>
        <w:t xml:space="preserve"> </w:t>
      </w:r>
    </w:p>
    <w:p w14:paraId="393A10AE" w14:textId="408B47CB" w:rsidR="00B7164C" w:rsidRPr="007A4D97" w:rsidRDefault="00BF0332" w:rsidP="004647C8">
      <w:pPr>
        <w:pStyle w:val="Heading2"/>
      </w:pPr>
      <w:bookmarkStart w:id="126" w:name="_Toc391397023"/>
      <w:r w:rsidRPr="007A4D97">
        <w:t>3.1 Base Case</w:t>
      </w:r>
      <w:r w:rsidR="00B7164C" w:rsidRPr="007A4D97">
        <w:t xml:space="preserve"> Load Shapes</w:t>
      </w:r>
      <w:bookmarkEnd w:id="122"/>
      <w:bookmarkEnd w:id="123"/>
      <w:bookmarkEnd w:id="124"/>
      <w:bookmarkEnd w:id="125"/>
      <w:bookmarkEnd w:id="126"/>
    </w:p>
    <w:bookmarkStart w:id="127" w:name="_Toc173742997"/>
    <w:p w14:paraId="129FEF72" w14:textId="25B8BD43" w:rsidR="004647C8" w:rsidRPr="006A66DA" w:rsidRDefault="008840FA" w:rsidP="004647C8">
      <w:pPr>
        <w:rPr>
          <w:rFonts w:cs="Arial"/>
          <w:szCs w:val="20"/>
        </w:rPr>
      </w:pPr>
      <w:r w:rsidRPr="006A66DA">
        <w:rPr>
          <w:rFonts w:cs="Arial"/>
          <w:szCs w:val="20"/>
        </w:rPr>
        <w:fldChar w:fldCharType="begin"/>
      </w:r>
      <w:r w:rsidRPr="006A66DA">
        <w:rPr>
          <w:rFonts w:cs="Arial"/>
          <w:szCs w:val="20"/>
        </w:rPr>
        <w:instrText xml:space="preserve"> XE "load shape" </w:instrText>
      </w:r>
      <w:r w:rsidRPr="006A66DA">
        <w:rPr>
          <w:rFonts w:cs="Arial"/>
          <w:szCs w:val="20"/>
        </w:rPr>
        <w:fldChar w:fldCharType="end"/>
      </w:r>
      <w:r w:rsidR="004647C8" w:rsidRPr="006A66DA">
        <w:rPr>
          <w:rFonts w:cs="Arial"/>
          <w:szCs w:val="20"/>
        </w:rPr>
        <w:t xml:space="preserve">The closest load shape chosen for this measure is the </w:t>
      </w:r>
      <w:proofErr w:type="spellStart"/>
      <w:r w:rsidR="004647C8" w:rsidRPr="006A66DA">
        <w:rPr>
          <w:rFonts w:cs="Arial"/>
          <w:szCs w:val="20"/>
        </w:rPr>
        <w:t>DEER</w:t>
      </w:r>
      <w:proofErr w:type="gramStart"/>
      <w:r w:rsidR="004647C8" w:rsidRPr="006A66DA">
        <w:rPr>
          <w:rFonts w:cs="Arial"/>
          <w:szCs w:val="20"/>
        </w:rPr>
        <w:t>:Indoor</w:t>
      </w:r>
      <w:proofErr w:type="gramEnd"/>
      <w:r w:rsidR="004647C8" w:rsidRPr="006A66DA">
        <w:rPr>
          <w:rFonts w:cs="Arial"/>
          <w:szCs w:val="20"/>
        </w:rPr>
        <w:t>_Non-CFL_Ltg</w:t>
      </w:r>
      <w:proofErr w:type="spellEnd"/>
      <w:r w:rsidR="004647C8" w:rsidRPr="006A66DA">
        <w:rPr>
          <w:rFonts w:cs="Arial"/>
          <w:szCs w:val="20"/>
        </w:rPr>
        <w:t xml:space="preserve"> load shape. See Table 13 for a list of all Building Types and Load Shapes. See the KEMA report [31] for a more thorough discussion regarding the load shapes for this measure.</w:t>
      </w:r>
    </w:p>
    <w:p w14:paraId="1CB1B571" w14:textId="77777777" w:rsidR="004647C8" w:rsidRDefault="004647C8" w:rsidP="004647C8">
      <w:pPr>
        <w:pStyle w:val="Caption"/>
        <w:rPr>
          <w:rFonts w:cs="Arial"/>
        </w:rPr>
      </w:pPr>
    </w:p>
    <w:p w14:paraId="688A7F66" w14:textId="143E9174" w:rsidR="004647C8" w:rsidRDefault="00C104E1" w:rsidP="008436DA">
      <w:pPr>
        <w:pStyle w:val="Table"/>
        <w:rPr>
          <w:b/>
        </w:rPr>
      </w:pPr>
      <w:bookmarkStart w:id="128" w:name="_Toc391398030"/>
      <w:r w:rsidRPr="003541A6">
        <w:t xml:space="preserve">Table </w:t>
      </w:r>
      <w:r w:rsidR="00544E9C">
        <w:fldChar w:fldCharType="begin"/>
      </w:r>
      <w:r w:rsidR="00544E9C">
        <w:instrText xml:space="preserve"> SEQ Table \* ARABIC </w:instrText>
      </w:r>
      <w:r w:rsidR="00544E9C">
        <w:fldChar w:fldCharType="separate"/>
      </w:r>
      <w:r w:rsidR="00CE5AEA">
        <w:rPr>
          <w:noProof/>
        </w:rPr>
        <w:t>12</w:t>
      </w:r>
      <w:r w:rsidR="00544E9C">
        <w:rPr>
          <w:noProof/>
        </w:rPr>
        <w:fldChar w:fldCharType="end"/>
      </w:r>
      <w:r>
        <w:rPr>
          <w:noProof/>
        </w:rPr>
        <w:t xml:space="preserve"> </w:t>
      </w:r>
      <w:r w:rsidR="004647C8">
        <w:t>Base Case Building Types and Load Shapes</w:t>
      </w:r>
      <w:bookmarkEnd w:id="128"/>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4647C8" w14:paraId="2573D62E" w14:textId="77777777" w:rsidTr="00FA2C9A">
        <w:tc>
          <w:tcPr>
            <w:tcW w:w="1760" w:type="pct"/>
            <w:tcBorders>
              <w:top w:val="single" w:sz="18" w:space="0" w:color="FFFFFF"/>
              <w:left w:val="single" w:sz="18" w:space="0" w:color="FFFFFF"/>
              <w:bottom w:val="single" w:sz="18" w:space="0" w:color="FFFFFF"/>
              <w:right w:val="single" w:sz="18" w:space="0" w:color="FFFFFF"/>
            </w:tcBorders>
            <w:shd w:val="clear" w:color="auto" w:fill="262626"/>
            <w:vAlign w:val="bottom"/>
            <w:hideMark/>
          </w:tcPr>
          <w:p w14:paraId="2446539C" w14:textId="77777777" w:rsidR="004647C8" w:rsidRDefault="004647C8" w:rsidP="00FA2C9A">
            <w:pPr>
              <w:keepLines/>
              <w:jc w:val="center"/>
              <w:rPr>
                <w:rFonts w:cs="Arial"/>
                <w:b/>
                <w:bCs/>
                <w:color w:val="F2F2F2"/>
                <w:sz w:val="20"/>
                <w:szCs w:val="20"/>
                <w:highlight w:val="yellow"/>
              </w:rPr>
            </w:pPr>
            <w:r>
              <w:rPr>
                <w:rFonts w:cs="Arial"/>
                <w:b/>
                <w:bCs/>
                <w:color w:val="F2F2F2"/>
                <w:sz w:val="20"/>
                <w:szCs w:val="20"/>
              </w:rPr>
              <w:t>Building Type</w:t>
            </w:r>
          </w:p>
        </w:tc>
        <w:tc>
          <w:tcPr>
            <w:tcW w:w="1729" w:type="pct"/>
            <w:tcBorders>
              <w:top w:val="single" w:sz="18" w:space="0" w:color="FFFFFF"/>
              <w:left w:val="single" w:sz="18" w:space="0" w:color="FFFFFF"/>
              <w:bottom w:val="single" w:sz="18" w:space="0" w:color="FFFFFF"/>
              <w:right w:val="single" w:sz="18" w:space="0" w:color="FFFFFF"/>
            </w:tcBorders>
            <w:shd w:val="clear" w:color="auto" w:fill="262626"/>
            <w:vAlign w:val="bottom"/>
            <w:hideMark/>
          </w:tcPr>
          <w:p w14:paraId="39023C33" w14:textId="77777777" w:rsidR="004647C8" w:rsidRDefault="004647C8" w:rsidP="00FA2C9A">
            <w:pPr>
              <w:keepLines/>
              <w:jc w:val="center"/>
              <w:rPr>
                <w:rFonts w:cs="Arial"/>
                <w:b/>
                <w:bCs/>
                <w:color w:val="F2F2F2"/>
                <w:sz w:val="20"/>
                <w:szCs w:val="20"/>
                <w:highlight w:val="yellow"/>
              </w:rPr>
            </w:pPr>
            <w:r>
              <w:rPr>
                <w:rFonts w:cs="Arial"/>
                <w:b/>
                <w:bCs/>
                <w:color w:val="F2F2F2"/>
                <w:sz w:val="20"/>
                <w:szCs w:val="20"/>
              </w:rPr>
              <w:t>E3 Alt. Building Type</w:t>
            </w:r>
          </w:p>
        </w:tc>
        <w:tc>
          <w:tcPr>
            <w:tcW w:w="1511" w:type="pct"/>
            <w:tcBorders>
              <w:top w:val="single" w:sz="18" w:space="0" w:color="FFFFFF"/>
              <w:left w:val="single" w:sz="18" w:space="0" w:color="FFFFFF"/>
              <w:bottom w:val="single" w:sz="18" w:space="0" w:color="FFFFFF"/>
              <w:right w:val="single" w:sz="18" w:space="0" w:color="FFFFFF"/>
            </w:tcBorders>
            <w:shd w:val="clear" w:color="auto" w:fill="262626"/>
            <w:vAlign w:val="bottom"/>
            <w:hideMark/>
          </w:tcPr>
          <w:p w14:paraId="25CC30AB" w14:textId="77777777" w:rsidR="004647C8" w:rsidRDefault="004647C8" w:rsidP="00FA2C9A">
            <w:pPr>
              <w:keepLines/>
              <w:jc w:val="center"/>
              <w:rPr>
                <w:rFonts w:cs="Arial"/>
                <w:b/>
                <w:bCs/>
                <w:color w:val="F2F2F2"/>
                <w:sz w:val="20"/>
                <w:szCs w:val="20"/>
              </w:rPr>
            </w:pPr>
            <w:r>
              <w:rPr>
                <w:rFonts w:cs="Arial"/>
                <w:b/>
                <w:bCs/>
                <w:color w:val="F2F2F2"/>
                <w:sz w:val="20"/>
                <w:szCs w:val="20"/>
              </w:rPr>
              <w:t>Load Shape</w:t>
            </w:r>
          </w:p>
        </w:tc>
      </w:tr>
      <w:tr w:rsidR="004647C8" w14:paraId="4AFA311E" w14:textId="77777777" w:rsidTr="00FA2C9A">
        <w:tc>
          <w:tcPr>
            <w:tcW w:w="1760" w:type="pct"/>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67EC762E" w14:textId="77777777" w:rsidR="004647C8" w:rsidRDefault="004647C8" w:rsidP="00FA2C9A">
            <w:pPr>
              <w:jc w:val="center"/>
              <w:rPr>
                <w:rFonts w:cs="Arial"/>
                <w:sz w:val="20"/>
                <w:szCs w:val="20"/>
              </w:rPr>
            </w:pPr>
            <w:r>
              <w:rPr>
                <w:rFonts w:cs="Arial"/>
                <w:sz w:val="20"/>
                <w:szCs w:val="20"/>
              </w:rPr>
              <w:t>Restaurant – Fast Food</w:t>
            </w:r>
          </w:p>
        </w:tc>
        <w:tc>
          <w:tcPr>
            <w:tcW w:w="1729" w:type="pct"/>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757EA9E2" w14:textId="77777777" w:rsidR="004647C8" w:rsidRDefault="004647C8" w:rsidP="00FA2C9A">
            <w:pPr>
              <w:jc w:val="center"/>
              <w:rPr>
                <w:rFonts w:cs="Arial"/>
                <w:sz w:val="20"/>
                <w:szCs w:val="20"/>
              </w:rPr>
            </w:pPr>
            <w:r>
              <w:rPr>
                <w:rFonts w:cs="Arial"/>
                <w:sz w:val="20"/>
                <w:szCs w:val="20"/>
              </w:rPr>
              <w:t>NON_RES</w:t>
            </w:r>
          </w:p>
        </w:tc>
        <w:tc>
          <w:tcPr>
            <w:tcW w:w="1511" w:type="pct"/>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174847E1" w14:textId="77777777" w:rsidR="004647C8" w:rsidRDefault="004647C8" w:rsidP="00FA2C9A">
            <w:pPr>
              <w:jc w:val="center"/>
              <w:rPr>
                <w:rFonts w:cs="Arial"/>
                <w:sz w:val="20"/>
                <w:szCs w:val="20"/>
              </w:rPr>
            </w:pPr>
            <w:proofErr w:type="spellStart"/>
            <w:r>
              <w:rPr>
                <w:rFonts w:cs="Arial"/>
                <w:sz w:val="20"/>
                <w:szCs w:val="20"/>
              </w:rPr>
              <w:t>DEER:Indoor_Non-CFL_Ltg</w:t>
            </w:r>
            <w:proofErr w:type="spellEnd"/>
          </w:p>
        </w:tc>
      </w:tr>
    </w:tbl>
    <w:p w14:paraId="7B3B3671" w14:textId="77777777" w:rsidR="004647C8" w:rsidRDefault="004647C8" w:rsidP="004647C8">
      <w:pPr>
        <w:rPr>
          <w:rFonts w:cs="Arial"/>
          <w:sz w:val="20"/>
          <w:szCs w:val="20"/>
        </w:rPr>
      </w:pPr>
    </w:p>
    <w:p w14:paraId="29A4987E" w14:textId="77777777" w:rsidR="004647C8" w:rsidRPr="006A66DA" w:rsidRDefault="004647C8" w:rsidP="004647C8">
      <w:pPr>
        <w:rPr>
          <w:rFonts w:cs="Arial"/>
        </w:rPr>
      </w:pPr>
      <w:r w:rsidRPr="006A66DA">
        <w:rPr>
          <w:rFonts w:cs="Arial"/>
        </w:rPr>
        <w:t>The base case load shape would be expected to follow a typical nonresidential foodservice end use load shape.</w:t>
      </w:r>
    </w:p>
    <w:p w14:paraId="2A7AF4F6" w14:textId="77777777" w:rsidR="004647C8" w:rsidRPr="00126900" w:rsidRDefault="004647C8" w:rsidP="004647C8">
      <w:pPr>
        <w:rPr>
          <w:rFonts w:cs="Arial"/>
          <w:sz w:val="20"/>
        </w:rPr>
      </w:pPr>
    </w:p>
    <w:p w14:paraId="4A145D61" w14:textId="76B77B92" w:rsidR="004647C8" w:rsidRPr="006A66DA" w:rsidRDefault="004647C8" w:rsidP="004647C8">
      <w:pPr>
        <w:rPr>
          <w:rFonts w:cs="Arial"/>
        </w:rPr>
      </w:pPr>
      <w:r w:rsidRPr="006A66DA">
        <w:rPr>
          <w:rFonts w:cs="Arial"/>
        </w:rPr>
        <w:t xml:space="preserve">Commercial </w:t>
      </w:r>
      <w:r w:rsidR="002B0C45">
        <w:rPr>
          <w:rFonts w:cs="Arial"/>
        </w:rPr>
        <w:t>PRSVs</w:t>
      </w:r>
      <w:r w:rsidRPr="006A66DA">
        <w:rPr>
          <w:rFonts w:cs="Arial"/>
        </w:rPr>
        <w:t xml:space="preserve"> load shapes </w:t>
      </w:r>
      <w:r w:rsidRPr="006A66DA">
        <w:rPr>
          <w:rFonts w:cs="Arial"/>
        </w:rPr>
        <w:fldChar w:fldCharType="begin"/>
      </w:r>
      <w:r w:rsidRPr="006A66DA">
        <w:rPr>
          <w:rFonts w:cs="Arial"/>
        </w:rPr>
        <w:instrText xml:space="preserve"> XE "load shape" </w:instrText>
      </w:r>
      <w:r w:rsidRPr="006A66DA">
        <w:rPr>
          <w:rFonts w:cs="Arial"/>
        </w:rPr>
        <w:fldChar w:fldCharType="end"/>
      </w:r>
      <w:r w:rsidRPr="006A66DA">
        <w:rPr>
          <w:rFonts w:cs="Arial"/>
          <w:i/>
        </w:rPr>
        <w:t xml:space="preserve"> </w:t>
      </w:r>
      <w:r w:rsidRPr="006A66DA">
        <w:rPr>
          <w:rFonts w:cs="Arial"/>
        </w:rPr>
        <w:t>differ among food service facilities (quick service, casual dining, hotels, college, schools, hospitals etc</w:t>
      </w:r>
      <w:r w:rsidR="002B0C45">
        <w:rPr>
          <w:rFonts w:cs="Arial"/>
        </w:rPr>
        <w:t>.</w:t>
      </w:r>
      <w:r w:rsidRPr="006A66DA">
        <w:rPr>
          <w:rFonts w:cs="Arial"/>
        </w:rPr>
        <w:t xml:space="preserve">) hours of operation, serving periods, day-of-week, and facility location (city downtown, suburban mall, access to interstate highways, etc.). Consequently, applicable average TOU and hourly load shapes for </w:t>
      </w:r>
      <w:r w:rsidR="00126900" w:rsidRPr="006A66DA">
        <w:rPr>
          <w:rFonts w:cs="Arial"/>
        </w:rPr>
        <w:t>PRSVs are unavailable. Generally, PRSV</w:t>
      </w:r>
      <w:r w:rsidRPr="006A66DA">
        <w:rPr>
          <w:rFonts w:cs="Arial"/>
        </w:rPr>
        <w:t xml:space="preserve">s are used to </w:t>
      </w:r>
      <w:r w:rsidR="00126900" w:rsidRPr="006A66DA">
        <w:rPr>
          <w:rFonts w:cs="Arial"/>
        </w:rPr>
        <w:t>clean dishes after tables have been bussed</w:t>
      </w:r>
      <w:r w:rsidRPr="006A66DA">
        <w:rPr>
          <w:rFonts w:cs="Arial"/>
        </w:rPr>
        <w:t xml:space="preserve">, so loads tend to increase </w:t>
      </w:r>
      <w:r w:rsidR="00126900" w:rsidRPr="006A66DA">
        <w:rPr>
          <w:rFonts w:cs="Arial"/>
        </w:rPr>
        <w:t>after</w:t>
      </w:r>
      <w:r w:rsidRPr="006A66DA">
        <w:rPr>
          <w:rFonts w:cs="Arial"/>
        </w:rPr>
        <w:t xml:space="preserve"> regular meal periods (breakfast, lunch, and dinner). </w:t>
      </w:r>
    </w:p>
    <w:p w14:paraId="393A10BE" w14:textId="3A4E081E" w:rsidR="008840FA" w:rsidRPr="007A4D97" w:rsidRDefault="008840FA" w:rsidP="004647C8">
      <w:pPr>
        <w:rPr>
          <w:rFonts w:cs="Arial"/>
          <w:sz w:val="20"/>
          <w:szCs w:val="20"/>
        </w:rPr>
      </w:pPr>
    </w:p>
    <w:p w14:paraId="393A10BF" w14:textId="77777777" w:rsidR="00B7164C" w:rsidRPr="007A4D97" w:rsidRDefault="00B7164C" w:rsidP="00D20486">
      <w:pPr>
        <w:pStyle w:val="Heading2"/>
        <w:keepNext w:val="0"/>
      </w:pPr>
      <w:bookmarkStart w:id="129" w:name="_Toc304800216"/>
      <w:bookmarkStart w:id="130" w:name="_Toc324318370"/>
      <w:bookmarkStart w:id="131" w:name="_Toc324340499"/>
      <w:bookmarkStart w:id="132" w:name="_Toc391397024"/>
      <w:r w:rsidRPr="007A4D97">
        <w:t>3.2 Measure Load Shapes</w:t>
      </w:r>
      <w:bookmarkEnd w:id="127"/>
      <w:bookmarkEnd w:id="129"/>
      <w:bookmarkEnd w:id="130"/>
      <w:bookmarkEnd w:id="131"/>
      <w:bookmarkEnd w:id="132"/>
    </w:p>
    <w:p w14:paraId="393A10D5" w14:textId="1029DB70" w:rsidR="00D87EFF" w:rsidRPr="006A66DA" w:rsidRDefault="00B66898" w:rsidP="002E0043">
      <w:pPr>
        <w:rPr>
          <w:rFonts w:cs="Arial"/>
          <w:szCs w:val="20"/>
        </w:rPr>
      </w:pPr>
      <w:r w:rsidRPr="006A66DA">
        <w:rPr>
          <w:rFonts w:cs="Arial"/>
          <w:szCs w:val="20"/>
        </w:rPr>
        <w:t>There are no measure case</w:t>
      </w:r>
      <w:r w:rsidR="004647C8" w:rsidRPr="006A66DA">
        <w:rPr>
          <w:rFonts w:cs="Arial"/>
          <w:szCs w:val="20"/>
        </w:rPr>
        <w:t xml:space="preserve"> load shapes applicable to these measure</w:t>
      </w:r>
      <w:r w:rsidRPr="006A66DA">
        <w:rPr>
          <w:rFonts w:cs="Arial"/>
          <w:szCs w:val="20"/>
        </w:rPr>
        <w:t>s.</w:t>
      </w:r>
      <w:r w:rsidR="00437BE1" w:rsidRPr="006A66DA">
        <w:rPr>
          <w:rFonts w:cs="Arial"/>
          <w:szCs w:val="20"/>
        </w:rPr>
        <w:t xml:space="preserve"> </w:t>
      </w:r>
      <w:r w:rsidRPr="006A66DA">
        <w:rPr>
          <w:rFonts w:cs="Arial"/>
          <w:szCs w:val="20"/>
        </w:rPr>
        <w:t xml:space="preserve">The base case shapes are to be used in the cost avoidance calculation. </w:t>
      </w:r>
    </w:p>
    <w:p w14:paraId="393A10D6" w14:textId="77777777" w:rsidR="0091058D" w:rsidRDefault="00C069A2" w:rsidP="00663A00">
      <w:pPr>
        <w:pStyle w:val="Heading1"/>
        <w:keepNext w:val="0"/>
      </w:pPr>
      <w:bookmarkStart w:id="133" w:name="_Toc304800217"/>
      <w:bookmarkStart w:id="134" w:name="_Toc324318371"/>
      <w:bookmarkStart w:id="135" w:name="_Toc324340500"/>
      <w:bookmarkStart w:id="136" w:name="_Toc391397025"/>
      <w:proofErr w:type="gramStart"/>
      <w:r>
        <w:t>Section 4</w:t>
      </w:r>
      <w:r w:rsidR="003129E8">
        <w:t>.</w:t>
      </w:r>
      <w:proofErr w:type="gramEnd"/>
      <w:r>
        <w:t xml:space="preserve"> Base Case &amp; Measure Costs</w:t>
      </w:r>
      <w:bookmarkEnd w:id="133"/>
      <w:bookmarkEnd w:id="134"/>
      <w:bookmarkEnd w:id="135"/>
      <w:bookmarkEnd w:id="136"/>
    </w:p>
    <w:p w14:paraId="5AF99AC5" w14:textId="25A17AEB" w:rsidR="004647C8" w:rsidRPr="006A66DA" w:rsidRDefault="00126900" w:rsidP="004647C8">
      <w:pPr>
        <w:rPr>
          <w:rFonts w:cs="Arial"/>
        </w:rPr>
      </w:pPr>
      <w:bookmarkStart w:id="137" w:name="_Toc304800218"/>
      <w:r w:rsidRPr="006A66DA">
        <w:rPr>
          <w:rFonts w:cs="Arial"/>
        </w:rPr>
        <w:t>Generally, h</w:t>
      </w:r>
      <w:r w:rsidR="004647C8" w:rsidRPr="006A66DA">
        <w:rPr>
          <w:rFonts w:cs="Arial"/>
        </w:rPr>
        <w:t xml:space="preserve">igh efficiency </w:t>
      </w:r>
      <w:r w:rsidRPr="006A66DA">
        <w:rPr>
          <w:rFonts w:cs="Arial"/>
        </w:rPr>
        <w:t>PRSVs</w:t>
      </w:r>
      <w:r w:rsidR="004647C8" w:rsidRPr="006A66DA">
        <w:rPr>
          <w:rFonts w:cs="Arial"/>
        </w:rPr>
        <w:t xml:space="preserve"> typically list for more than standard efficiency </w:t>
      </w:r>
      <w:r w:rsidRPr="006A66DA">
        <w:rPr>
          <w:rFonts w:cs="Arial"/>
        </w:rPr>
        <w:t>PRSVs</w:t>
      </w:r>
      <w:r w:rsidR="004647C8" w:rsidRPr="006A66DA">
        <w:rPr>
          <w:rFonts w:cs="Arial"/>
        </w:rPr>
        <w:t>. Equipment prices for these work papers were compiled from a number of sources including</w:t>
      </w:r>
      <w:r w:rsidRPr="006A66DA">
        <w:rPr>
          <w:rFonts w:cs="Arial"/>
        </w:rPr>
        <w:t>:</w:t>
      </w:r>
      <w:r w:rsidR="004647C8" w:rsidRPr="006A66DA">
        <w:rPr>
          <w:rFonts w:cs="Arial"/>
        </w:rPr>
        <w:t xml:space="preserve"> </w:t>
      </w:r>
      <w:proofErr w:type="spellStart"/>
      <w:r w:rsidR="004647C8" w:rsidRPr="006A66DA">
        <w:rPr>
          <w:rFonts w:cs="Arial"/>
        </w:rPr>
        <w:t>Autoquotes</w:t>
      </w:r>
      <w:proofErr w:type="spellEnd"/>
      <w:r w:rsidR="004647C8" w:rsidRPr="006A66DA">
        <w:rPr>
          <w:rFonts w:cs="Arial"/>
        </w:rPr>
        <w:t>, equipment sales reps</w:t>
      </w:r>
      <w:r w:rsidRPr="006A66DA">
        <w:rPr>
          <w:rFonts w:cs="Arial"/>
        </w:rPr>
        <w:t>,</w:t>
      </w:r>
      <w:r w:rsidR="004647C8" w:rsidRPr="006A66DA">
        <w:rPr>
          <w:rFonts w:cs="Arial"/>
        </w:rPr>
        <w:t xml:space="preserve"> and manufacturer sources. Since equipment pricing in food service is closely held information and prices vary widely according to buying volume and other factors, we cannot list the sources for prices specifically.</w:t>
      </w:r>
    </w:p>
    <w:p w14:paraId="6F42E84B" w14:textId="5270E60A" w:rsidR="004647C8" w:rsidRPr="008436DA" w:rsidRDefault="004647C8" w:rsidP="008436DA">
      <w:pPr>
        <w:pStyle w:val="Table"/>
        <w:rPr>
          <w:b/>
        </w:rPr>
      </w:pPr>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4A0" w:firstRow="1" w:lastRow="0" w:firstColumn="1" w:lastColumn="0" w:noHBand="0" w:noVBand="1"/>
      </w:tblPr>
      <w:tblGrid>
        <w:gridCol w:w="1964"/>
        <w:gridCol w:w="1202"/>
        <w:gridCol w:w="2699"/>
        <w:gridCol w:w="2790"/>
      </w:tblGrid>
      <w:tr w:rsidR="004647C8" w14:paraId="676E85A8" w14:textId="77777777" w:rsidTr="004647C8">
        <w:trPr>
          <w:trHeight w:val="255"/>
        </w:trPr>
        <w:tc>
          <w:tcPr>
            <w:tcW w:w="1964" w:type="dxa"/>
            <w:tcBorders>
              <w:top w:val="single" w:sz="18" w:space="0" w:color="FFFFFF"/>
              <w:left w:val="single" w:sz="18" w:space="0" w:color="FFFFFF"/>
              <w:bottom w:val="single" w:sz="18" w:space="0" w:color="FFFFFF"/>
              <w:right w:val="single" w:sz="18" w:space="0" w:color="FFFFFF"/>
            </w:tcBorders>
            <w:shd w:val="clear" w:color="auto" w:fill="262626"/>
            <w:noWrap/>
            <w:vAlign w:val="bottom"/>
            <w:hideMark/>
          </w:tcPr>
          <w:p w14:paraId="34B36CD5" w14:textId="77777777" w:rsidR="004647C8" w:rsidRDefault="004647C8">
            <w:pPr>
              <w:jc w:val="center"/>
              <w:rPr>
                <w:rFonts w:cs="Arial"/>
                <w:b/>
              </w:rPr>
            </w:pPr>
            <w:r>
              <w:rPr>
                <w:rFonts w:cs="Arial"/>
                <w:b/>
              </w:rPr>
              <w:t>Measure Application Type</w:t>
            </w:r>
          </w:p>
        </w:tc>
        <w:tc>
          <w:tcPr>
            <w:tcW w:w="1202" w:type="dxa"/>
            <w:tcBorders>
              <w:top w:val="single" w:sz="18" w:space="0" w:color="FFFFFF"/>
              <w:left w:val="single" w:sz="18" w:space="0" w:color="FFFFFF"/>
              <w:bottom w:val="single" w:sz="18" w:space="0" w:color="FFFFFF"/>
              <w:right w:val="single" w:sz="18" w:space="0" w:color="FFFFFF"/>
            </w:tcBorders>
            <w:shd w:val="clear" w:color="auto" w:fill="262626"/>
            <w:noWrap/>
            <w:vAlign w:val="bottom"/>
            <w:hideMark/>
          </w:tcPr>
          <w:p w14:paraId="6262E51E" w14:textId="77777777" w:rsidR="004647C8" w:rsidRDefault="004647C8">
            <w:pPr>
              <w:jc w:val="center"/>
              <w:rPr>
                <w:rFonts w:cs="Arial"/>
                <w:b/>
              </w:rPr>
            </w:pPr>
            <w:r>
              <w:rPr>
                <w:rFonts w:cs="Arial"/>
                <w:b/>
              </w:rPr>
              <w:t>Measure Life Basis</w:t>
            </w:r>
          </w:p>
        </w:tc>
        <w:tc>
          <w:tcPr>
            <w:tcW w:w="2699" w:type="dxa"/>
            <w:tcBorders>
              <w:top w:val="single" w:sz="18" w:space="0" w:color="FFFFFF"/>
              <w:left w:val="single" w:sz="18" w:space="0" w:color="FFFFFF"/>
              <w:bottom w:val="single" w:sz="18" w:space="0" w:color="FFFFFF"/>
              <w:right w:val="single" w:sz="18" w:space="0" w:color="FFFFFF"/>
            </w:tcBorders>
            <w:shd w:val="clear" w:color="auto" w:fill="262626"/>
            <w:vAlign w:val="bottom"/>
            <w:hideMark/>
          </w:tcPr>
          <w:p w14:paraId="06FCA384" w14:textId="77777777" w:rsidR="004647C8" w:rsidRDefault="004647C8">
            <w:pPr>
              <w:jc w:val="center"/>
              <w:rPr>
                <w:rFonts w:cs="Arial"/>
                <w:b/>
              </w:rPr>
            </w:pPr>
            <w:r>
              <w:rPr>
                <w:rFonts w:cs="Arial"/>
                <w:b/>
              </w:rPr>
              <w:t>First Baseline Period Full Measure Cost (RUL)</w:t>
            </w:r>
          </w:p>
        </w:tc>
        <w:tc>
          <w:tcPr>
            <w:tcW w:w="2790" w:type="dxa"/>
            <w:tcBorders>
              <w:top w:val="single" w:sz="18" w:space="0" w:color="FFFFFF"/>
              <w:left w:val="single" w:sz="18" w:space="0" w:color="FFFFFF"/>
              <w:bottom w:val="single" w:sz="18" w:space="0" w:color="FFFFFF"/>
              <w:right w:val="single" w:sz="18" w:space="0" w:color="FFFFFF"/>
            </w:tcBorders>
            <w:shd w:val="clear" w:color="auto" w:fill="262626"/>
            <w:noWrap/>
            <w:vAlign w:val="bottom"/>
            <w:hideMark/>
          </w:tcPr>
          <w:p w14:paraId="2519BCD9" w14:textId="77777777" w:rsidR="004647C8" w:rsidRDefault="004647C8">
            <w:pPr>
              <w:jc w:val="center"/>
              <w:rPr>
                <w:rFonts w:cs="Arial"/>
                <w:b/>
              </w:rPr>
            </w:pPr>
            <w:r>
              <w:rPr>
                <w:rFonts w:cs="Arial"/>
                <w:b/>
              </w:rPr>
              <w:t>Second Baseline Period Full Measure Cost (EUL – RUL)</w:t>
            </w:r>
          </w:p>
        </w:tc>
      </w:tr>
      <w:tr w:rsidR="004647C8" w14:paraId="5BB92A75" w14:textId="77777777" w:rsidTr="004647C8">
        <w:trPr>
          <w:trHeight w:val="170"/>
        </w:trPr>
        <w:tc>
          <w:tcPr>
            <w:tcW w:w="1964" w:type="dxa"/>
            <w:tcBorders>
              <w:top w:val="single" w:sz="18" w:space="0" w:color="FFFFFF"/>
              <w:left w:val="single" w:sz="18" w:space="0" w:color="FFFFFF"/>
              <w:bottom w:val="single" w:sz="18" w:space="0" w:color="FFFFFF"/>
              <w:right w:val="single" w:sz="18" w:space="0" w:color="FFFFFF"/>
            </w:tcBorders>
            <w:shd w:val="pct20" w:color="000000" w:fill="FFFFFF"/>
            <w:noWrap/>
            <w:vAlign w:val="bottom"/>
            <w:hideMark/>
          </w:tcPr>
          <w:p w14:paraId="160A5A0C" w14:textId="77777777" w:rsidR="004647C8" w:rsidRDefault="004647C8">
            <w:pPr>
              <w:jc w:val="center"/>
              <w:rPr>
                <w:rFonts w:cs="Arial"/>
                <w:b/>
                <w:i/>
              </w:rPr>
            </w:pPr>
            <w:r>
              <w:rPr>
                <w:rFonts w:cs="Arial"/>
                <w:b/>
                <w:i/>
              </w:rPr>
              <w:t>NC (new construction)</w:t>
            </w:r>
          </w:p>
        </w:tc>
        <w:tc>
          <w:tcPr>
            <w:tcW w:w="1202" w:type="dxa"/>
            <w:tcBorders>
              <w:top w:val="single" w:sz="18" w:space="0" w:color="FFFFFF"/>
              <w:left w:val="single" w:sz="18" w:space="0" w:color="FFFFFF"/>
              <w:bottom w:val="single" w:sz="18" w:space="0" w:color="FFFFFF"/>
              <w:right w:val="single" w:sz="18" w:space="0" w:color="FFFFFF"/>
            </w:tcBorders>
            <w:shd w:val="pct20" w:color="000000" w:fill="FFFFFF"/>
            <w:noWrap/>
            <w:vAlign w:val="bottom"/>
            <w:hideMark/>
          </w:tcPr>
          <w:p w14:paraId="262D33EF" w14:textId="77777777" w:rsidR="004647C8" w:rsidRDefault="004647C8">
            <w:pPr>
              <w:jc w:val="center"/>
              <w:rPr>
                <w:rFonts w:cs="Arial"/>
                <w:sz w:val="20"/>
                <w:szCs w:val="20"/>
              </w:rPr>
            </w:pPr>
            <w:r>
              <w:rPr>
                <w:rFonts w:cs="Arial"/>
                <w:sz w:val="20"/>
                <w:szCs w:val="20"/>
              </w:rPr>
              <w:t>EUL</w:t>
            </w:r>
          </w:p>
        </w:tc>
        <w:tc>
          <w:tcPr>
            <w:tcW w:w="2699"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2F2E2CCB" w14:textId="77777777" w:rsidR="004647C8" w:rsidRDefault="004647C8">
            <w:pPr>
              <w:jc w:val="center"/>
              <w:rPr>
                <w:rFonts w:cs="Arial"/>
                <w:sz w:val="20"/>
                <w:szCs w:val="20"/>
              </w:rPr>
            </w:pPr>
            <w:r>
              <w:rPr>
                <w:rFonts w:cs="Arial"/>
                <w:sz w:val="20"/>
                <w:szCs w:val="20"/>
              </w:rPr>
              <w:t>Calculated as Incremental Measure Cost</w:t>
            </w:r>
          </w:p>
        </w:tc>
        <w:tc>
          <w:tcPr>
            <w:tcW w:w="2790"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197940D7" w14:textId="77777777" w:rsidR="004647C8" w:rsidRDefault="004647C8">
            <w:pPr>
              <w:jc w:val="center"/>
              <w:rPr>
                <w:rFonts w:cs="Arial"/>
                <w:sz w:val="20"/>
                <w:szCs w:val="20"/>
              </w:rPr>
            </w:pPr>
            <w:r>
              <w:rPr>
                <w:rFonts w:cs="Arial"/>
                <w:sz w:val="20"/>
                <w:szCs w:val="20"/>
              </w:rPr>
              <w:t>N/A</w:t>
            </w:r>
          </w:p>
        </w:tc>
      </w:tr>
      <w:tr w:rsidR="004647C8" w14:paraId="7A12CE59" w14:textId="77777777" w:rsidTr="004647C8">
        <w:trPr>
          <w:trHeight w:val="170"/>
        </w:trPr>
        <w:tc>
          <w:tcPr>
            <w:tcW w:w="1964" w:type="dxa"/>
            <w:tcBorders>
              <w:top w:val="single" w:sz="18" w:space="0" w:color="FFFFFF"/>
              <w:left w:val="single" w:sz="18" w:space="0" w:color="FFFFFF"/>
              <w:bottom w:val="single" w:sz="18" w:space="0" w:color="FFFFFF"/>
              <w:right w:val="single" w:sz="18" w:space="0" w:color="FFFFFF"/>
            </w:tcBorders>
            <w:shd w:val="pct5" w:color="000000" w:fill="FFFFFF"/>
            <w:noWrap/>
            <w:vAlign w:val="bottom"/>
            <w:hideMark/>
          </w:tcPr>
          <w:p w14:paraId="699EA6BD" w14:textId="77777777" w:rsidR="004647C8" w:rsidRDefault="004647C8">
            <w:pPr>
              <w:jc w:val="center"/>
              <w:rPr>
                <w:rFonts w:cs="Arial"/>
                <w:b/>
                <w:i/>
              </w:rPr>
            </w:pPr>
            <w:r>
              <w:rPr>
                <w:rFonts w:cs="Arial"/>
                <w:b/>
                <w:i/>
              </w:rPr>
              <w:lastRenderedPageBreak/>
              <w:t>ROB(replace on burnout)</w:t>
            </w:r>
          </w:p>
        </w:tc>
        <w:tc>
          <w:tcPr>
            <w:tcW w:w="1202" w:type="dxa"/>
            <w:tcBorders>
              <w:top w:val="single" w:sz="18" w:space="0" w:color="FFFFFF"/>
              <w:left w:val="single" w:sz="18" w:space="0" w:color="FFFFFF"/>
              <w:bottom w:val="single" w:sz="18" w:space="0" w:color="FFFFFF"/>
              <w:right w:val="single" w:sz="18" w:space="0" w:color="FFFFFF"/>
            </w:tcBorders>
            <w:shd w:val="pct5" w:color="000000" w:fill="FFFFFF"/>
            <w:noWrap/>
            <w:vAlign w:val="bottom"/>
            <w:hideMark/>
          </w:tcPr>
          <w:p w14:paraId="066F9182" w14:textId="77777777" w:rsidR="004647C8" w:rsidRDefault="004647C8">
            <w:pPr>
              <w:jc w:val="center"/>
              <w:rPr>
                <w:rFonts w:cs="Arial"/>
                <w:sz w:val="20"/>
                <w:szCs w:val="20"/>
              </w:rPr>
            </w:pPr>
            <w:r>
              <w:rPr>
                <w:rFonts w:cs="Arial"/>
                <w:sz w:val="20"/>
                <w:szCs w:val="20"/>
              </w:rPr>
              <w:t>EUL</w:t>
            </w:r>
          </w:p>
        </w:tc>
        <w:tc>
          <w:tcPr>
            <w:tcW w:w="2699"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012DCA79" w14:textId="77777777" w:rsidR="004647C8" w:rsidRDefault="004647C8">
            <w:pPr>
              <w:jc w:val="center"/>
              <w:rPr>
                <w:rFonts w:cs="Arial"/>
                <w:sz w:val="20"/>
                <w:szCs w:val="20"/>
              </w:rPr>
            </w:pPr>
            <w:r>
              <w:rPr>
                <w:rFonts w:cs="Arial"/>
                <w:sz w:val="20"/>
                <w:szCs w:val="20"/>
              </w:rPr>
              <w:t>Calculated as Incremental Measure Cost</w:t>
            </w:r>
          </w:p>
        </w:tc>
        <w:tc>
          <w:tcPr>
            <w:tcW w:w="2790" w:type="dxa"/>
            <w:tcBorders>
              <w:top w:val="single" w:sz="18" w:space="0" w:color="FFFFFF"/>
              <w:left w:val="single" w:sz="18" w:space="0" w:color="FFFFFF"/>
              <w:bottom w:val="single" w:sz="18" w:space="0" w:color="FFFFFF"/>
              <w:right w:val="single" w:sz="18" w:space="0" w:color="FFFFFF"/>
            </w:tcBorders>
            <w:shd w:val="pct5" w:color="000000" w:fill="FFFFFF"/>
            <w:vAlign w:val="bottom"/>
            <w:hideMark/>
          </w:tcPr>
          <w:p w14:paraId="54BD37CE" w14:textId="77777777" w:rsidR="004647C8" w:rsidRDefault="004647C8">
            <w:pPr>
              <w:jc w:val="center"/>
              <w:rPr>
                <w:rFonts w:cs="Arial"/>
                <w:sz w:val="20"/>
                <w:szCs w:val="20"/>
              </w:rPr>
            </w:pPr>
            <w:r>
              <w:rPr>
                <w:rFonts w:cs="Arial"/>
                <w:sz w:val="20"/>
                <w:szCs w:val="20"/>
              </w:rPr>
              <w:t>N/A</w:t>
            </w:r>
          </w:p>
        </w:tc>
      </w:tr>
      <w:tr w:rsidR="004647C8" w14:paraId="731E2F2E" w14:textId="77777777" w:rsidTr="004647C8">
        <w:trPr>
          <w:trHeight w:val="255"/>
        </w:trPr>
        <w:tc>
          <w:tcPr>
            <w:tcW w:w="1964" w:type="dxa"/>
            <w:tcBorders>
              <w:top w:val="single" w:sz="18" w:space="0" w:color="FFFFFF"/>
              <w:left w:val="single" w:sz="18" w:space="0" w:color="FFFFFF"/>
              <w:bottom w:val="single" w:sz="18" w:space="0" w:color="FFFFFF"/>
              <w:right w:val="single" w:sz="18" w:space="0" w:color="FFFFFF"/>
            </w:tcBorders>
            <w:shd w:val="pct20" w:color="000000" w:fill="FFFFFF"/>
            <w:noWrap/>
            <w:vAlign w:val="bottom"/>
            <w:hideMark/>
          </w:tcPr>
          <w:p w14:paraId="3E8322F2" w14:textId="77777777" w:rsidR="004647C8" w:rsidRDefault="004647C8">
            <w:pPr>
              <w:jc w:val="center"/>
              <w:rPr>
                <w:rFonts w:cs="Arial"/>
                <w:b/>
                <w:i/>
              </w:rPr>
            </w:pPr>
            <w:r>
              <w:rPr>
                <w:rFonts w:cs="Arial"/>
                <w:b/>
                <w:i/>
              </w:rPr>
              <w:t>ER (early retirement)</w:t>
            </w:r>
          </w:p>
        </w:tc>
        <w:tc>
          <w:tcPr>
            <w:tcW w:w="1202" w:type="dxa"/>
            <w:tcBorders>
              <w:top w:val="single" w:sz="18" w:space="0" w:color="FFFFFF"/>
              <w:left w:val="single" w:sz="18" w:space="0" w:color="FFFFFF"/>
              <w:bottom w:val="single" w:sz="18" w:space="0" w:color="FFFFFF"/>
              <w:right w:val="single" w:sz="18" w:space="0" w:color="FFFFFF"/>
            </w:tcBorders>
            <w:shd w:val="pct20" w:color="000000" w:fill="FFFFFF"/>
            <w:noWrap/>
            <w:vAlign w:val="bottom"/>
            <w:hideMark/>
          </w:tcPr>
          <w:p w14:paraId="47E06612" w14:textId="77777777" w:rsidR="004647C8" w:rsidRDefault="004647C8">
            <w:pPr>
              <w:jc w:val="center"/>
              <w:rPr>
                <w:rFonts w:cs="Arial"/>
                <w:sz w:val="20"/>
                <w:szCs w:val="20"/>
              </w:rPr>
            </w:pPr>
            <w:r>
              <w:rPr>
                <w:rFonts w:cs="Arial"/>
                <w:sz w:val="20"/>
                <w:szCs w:val="20"/>
              </w:rPr>
              <w:t>RUL/</w:t>
            </w:r>
          </w:p>
          <w:p w14:paraId="06B8974F" w14:textId="77777777" w:rsidR="004647C8" w:rsidRDefault="004647C8">
            <w:pPr>
              <w:jc w:val="center"/>
              <w:rPr>
                <w:rFonts w:cs="Arial"/>
                <w:sz w:val="20"/>
                <w:szCs w:val="20"/>
              </w:rPr>
            </w:pPr>
            <w:r>
              <w:rPr>
                <w:rFonts w:cs="Arial"/>
                <w:sz w:val="20"/>
                <w:szCs w:val="20"/>
              </w:rPr>
              <w:t>EUL-RUL</w:t>
            </w:r>
          </w:p>
        </w:tc>
        <w:tc>
          <w:tcPr>
            <w:tcW w:w="2699" w:type="dxa"/>
            <w:tcBorders>
              <w:top w:val="single" w:sz="18" w:space="0" w:color="FFFFFF"/>
              <w:left w:val="single" w:sz="18" w:space="0" w:color="FFFFFF"/>
              <w:bottom w:val="single" w:sz="18" w:space="0" w:color="FFFFFF"/>
              <w:right w:val="single" w:sz="18" w:space="0" w:color="FFFFFF"/>
            </w:tcBorders>
            <w:shd w:val="pct20" w:color="000000" w:fill="FFFFFF"/>
            <w:vAlign w:val="bottom"/>
            <w:hideMark/>
          </w:tcPr>
          <w:p w14:paraId="72917236" w14:textId="77777777" w:rsidR="004647C8" w:rsidRDefault="004647C8">
            <w:pPr>
              <w:jc w:val="center"/>
              <w:rPr>
                <w:rFonts w:cs="Arial"/>
                <w:sz w:val="20"/>
                <w:szCs w:val="20"/>
              </w:rPr>
            </w:pPr>
            <w:r>
              <w:rPr>
                <w:rFonts w:cs="Arial"/>
                <w:sz w:val="20"/>
                <w:szCs w:val="20"/>
              </w:rPr>
              <w:t>Calculated as Full Gross Measure Cost</w:t>
            </w:r>
          </w:p>
        </w:tc>
        <w:tc>
          <w:tcPr>
            <w:tcW w:w="2790" w:type="dxa"/>
            <w:tcBorders>
              <w:top w:val="single" w:sz="18" w:space="0" w:color="FFFFFF"/>
              <w:left w:val="single" w:sz="18" w:space="0" w:color="FFFFFF"/>
              <w:bottom w:val="single" w:sz="18" w:space="0" w:color="FFFFFF"/>
              <w:right w:val="single" w:sz="18" w:space="0" w:color="FFFFFF"/>
            </w:tcBorders>
            <w:shd w:val="pct20" w:color="000000" w:fill="FFFFFF"/>
            <w:noWrap/>
            <w:vAlign w:val="bottom"/>
            <w:hideMark/>
          </w:tcPr>
          <w:p w14:paraId="50D76A84" w14:textId="77777777" w:rsidR="004647C8" w:rsidRDefault="004647C8">
            <w:pPr>
              <w:jc w:val="center"/>
              <w:rPr>
                <w:rFonts w:cs="Arial"/>
                <w:sz w:val="20"/>
                <w:szCs w:val="20"/>
              </w:rPr>
            </w:pPr>
            <w:r>
              <w:rPr>
                <w:rFonts w:cs="Arial"/>
                <w:sz w:val="20"/>
                <w:szCs w:val="20"/>
              </w:rPr>
              <w:t>Calculated as Negative Full Gross Base Case Cost</w:t>
            </w:r>
          </w:p>
        </w:tc>
      </w:tr>
    </w:tbl>
    <w:p w14:paraId="393A10EE" w14:textId="77777777" w:rsidR="006D5AAB" w:rsidRDefault="006D5AAB" w:rsidP="00D20486">
      <w:pPr>
        <w:pStyle w:val="Heading2"/>
        <w:keepNext w:val="0"/>
      </w:pPr>
    </w:p>
    <w:p w14:paraId="393A10EF" w14:textId="77777777" w:rsidR="001B242B" w:rsidRPr="00F55847" w:rsidRDefault="00C069A2" w:rsidP="00D20486">
      <w:pPr>
        <w:pStyle w:val="Heading2"/>
        <w:keepNext w:val="0"/>
      </w:pPr>
      <w:bookmarkStart w:id="138" w:name="_Toc324318372"/>
      <w:bookmarkStart w:id="139" w:name="_Toc324340501"/>
      <w:bookmarkStart w:id="140" w:name="_Toc391397026"/>
      <w:r>
        <w:t>4.1 Base Case</w:t>
      </w:r>
      <w:r w:rsidR="00C221D5">
        <w:t>(</w:t>
      </w:r>
      <w:r>
        <w:t>s</w:t>
      </w:r>
      <w:r w:rsidR="00C221D5">
        <w:t>)</w:t>
      </w:r>
      <w:r>
        <w:t xml:space="preserve"> Costs</w:t>
      </w:r>
      <w:bookmarkEnd w:id="137"/>
      <w:bookmarkEnd w:id="138"/>
      <w:bookmarkEnd w:id="139"/>
      <w:bookmarkEnd w:id="140"/>
    </w:p>
    <w:p w14:paraId="4E980511" w14:textId="3924A713" w:rsidR="004647C8" w:rsidRPr="006A66DA" w:rsidRDefault="004647C8" w:rsidP="004647C8">
      <w:pPr>
        <w:rPr>
          <w:rFonts w:ascii="Times New Roman" w:hAnsi="Times New Roman"/>
          <w:sz w:val="28"/>
          <w:vertAlign w:val="superscript"/>
        </w:rPr>
      </w:pPr>
      <w:bookmarkStart w:id="141" w:name="_Toc304800219"/>
      <w:bookmarkStart w:id="142" w:name="_Toc324318373"/>
      <w:bookmarkStart w:id="143" w:name="_Toc324340502"/>
      <w:r w:rsidRPr="006A66DA">
        <w:rPr>
          <w:rFonts w:cs="Arial"/>
        </w:rPr>
        <w:t xml:space="preserve">The Base Case costs include only the equipment. High efficiency </w:t>
      </w:r>
      <w:r w:rsidR="00AC11AB" w:rsidRPr="006A66DA">
        <w:rPr>
          <w:rFonts w:cs="Arial"/>
        </w:rPr>
        <w:t>PRSVs</w:t>
      </w:r>
      <w:r w:rsidRPr="006A66DA">
        <w:rPr>
          <w:rFonts w:cs="Arial"/>
        </w:rPr>
        <w:t xml:space="preserve"> require no additional labor or maintenance compared to base case </w:t>
      </w:r>
      <w:r w:rsidR="00AC11AB" w:rsidRPr="006A66DA">
        <w:rPr>
          <w:rFonts w:cs="Arial"/>
        </w:rPr>
        <w:t>PRSVs</w:t>
      </w:r>
      <w:r w:rsidRPr="006A66DA">
        <w:rPr>
          <w:rFonts w:cs="Arial"/>
        </w:rPr>
        <w:t xml:space="preserve">. Since this measure is applicable for ROB and NC installations, the installation and maintenance costs are expected to be the same for the customer. The estimated equipment cost is based on recent list cost data for </w:t>
      </w:r>
      <w:r w:rsidR="00AC11AB" w:rsidRPr="006A66DA">
        <w:rPr>
          <w:rFonts w:cs="Arial"/>
        </w:rPr>
        <w:t>PRSVs</w:t>
      </w:r>
      <w:r w:rsidRPr="006A66DA">
        <w:rPr>
          <w:rFonts w:cs="Arial"/>
        </w:rPr>
        <w:t xml:space="preserve"> and applying an industry-standard 50% discount to the manufacturer published list prices.</w:t>
      </w:r>
      <w:r w:rsidRPr="006A66DA">
        <w:rPr>
          <w:rFonts w:ascii="Times New Roman" w:hAnsi="Times New Roman"/>
          <w:sz w:val="28"/>
          <w:vertAlign w:val="superscript"/>
        </w:rPr>
        <w:t xml:space="preserve"> 9-11</w:t>
      </w:r>
    </w:p>
    <w:p w14:paraId="39073806" w14:textId="77777777" w:rsidR="004647C8" w:rsidRDefault="004647C8" w:rsidP="004647C8">
      <w:pPr>
        <w:rPr>
          <w:rFonts w:ascii="Times New Roman" w:hAnsi="Times New Roman"/>
          <w:sz w:val="24"/>
        </w:rPr>
      </w:pPr>
    </w:p>
    <w:p w14:paraId="64FD1D69" w14:textId="77777777" w:rsidR="004647C8" w:rsidRDefault="004647C8" w:rsidP="004647C8">
      <w:pPr>
        <w:rPr>
          <w:rFonts w:cs="Arial"/>
          <w:sz w:val="20"/>
          <w:szCs w:val="20"/>
        </w:rPr>
      </w:pPr>
      <w:r>
        <w:rPr>
          <w:rFonts w:cs="Arial"/>
          <w:sz w:val="20"/>
          <w:szCs w:val="20"/>
        </w:rPr>
        <w:t>The following Measure Application Types are appropriate to these measures. The Base Case Costs are:</w:t>
      </w:r>
    </w:p>
    <w:p w14:paraId="4E2A574C" w14:textId="77777777" w:rsidR="00AC11AB" w:rsidRDefault="00AC11AB" w:rsidP="004647C8">
      <w:pPr>
        <w:rPr>
          <w:rFonts w:cs="Arial"/>
          <w:sz w:val="20"/>
          <w:szCs w:val="20"/>
        </w:rPr>
      </w:pPr>
    </w:p>
    <w:p w14:paraId="5D5E402D" w14:textId="04421B4B" w:rsidR="004647C8" w:rsidRDefault="00C104E1" w:rsidP="008436DA">
      <w:pPr>
        <w:pStyle w:val="Table"/>
      </w:pPr>
      <w:bookmarkStart w:id="144" w:name="_Toc391398031"/>
      <w:r w:rsidRPr="003541A6">
        <w:t xml:space="preserve">Table </w:t>
      </w:r>
      <w:r w:rsidR="00544E9C">
        <w:fldChar w:fldCharType="begin"/>
      </w:r>
      <w:r w:rsidR="00544E9C">
        <w:instrText xml:space="preserve"> SEQ Table \* ARABIC </w:instrText>
      </w:r>
      <w:r w:rsidR="00544E9C">
        <w:fldChar w:fldCharType="separate"/>
      </w:r>
      <w:r w:rsidR="00CE5AEA">
        <w:rPr>
          <w:noProof/>
        </w:rPr>
        <w:t>13</w:t>
      </w:r>
      <w:r w:rsidR="00544E9C">
        <w:rPr>
          <w:noProof/>
        </w:rPr>
        <w:fldChar w:fldCharType="end"/>
      </w:r>
      <w:r>
        <w:rPr>
          <w:noProof/>
        </w:rPr>
        <w:t xml:space="preserve"> </w:t>
      </w:r>
      <w:r w:rsidR="004647C8">
        <w:t>Base Case Costs</w:t>
      </w:r>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4647C8" w14:paraId="095F60B8" w14:textId="77777777" w:rsidTr="004647C8">
        <w:tc>
          <w:tcPr>
            <w:tcW w:w="1028" w:type="dxa"/>
            <w:tcBorders>
              <w:top w:val="single" w:sz="4" w:space="0" w:color="auto"/>
              <w:left w:val="single" w:sz="4" w:space="0" w:color="auto"/>
              <w:bottom w:val="single" w:sz="4" w:space="0" w:color="auto"/>
              <w:right w:val="single" w:sz="4" w:space="0" w:color="auto"/>
            </w:tcBorders>
            <w:hideMark/>
          </w:tcPr>
          <w:p w14:paraId="03D0E1EE" w14:textId="77777777" w:rsidR="004647C8" w:rsidRDefault="004647C8">
            <w:pPr>
              <w:rPr>
                <w:rFonts w:cs="Arial"/>
                <w:b/>
                <w:i/>
                <w:sz w:val="20"/>
                <w:szCs w:val="20"/>
              </w:rPr>
            </w:pPr>
            <w:r>
              <w:rPr>
                <w:rFonts w:cs="Arial"/>
                <w:b/>
                <w:i/>
                <w:sz w:val="20"/>
                <w:szCs w:val="20"/>
              </w:rPr>
              <w:t>Measure Code</w:t>
            </w:r>
          </w:p>
        </w:tc>
        <w:tc>
          <w:tcPr>
            <w:tcW w:w="1420" w:type="dxa"/>
            <w:tcBorders>
              <w:top w:val="single" w:sz="4" w:space="0" w:color="auto"/>
              <w:left w:val="single" w:sz="4" w:space="0" w:color="auto"/>
              <w:bottom w:val="single" w:sz="4" w:space="0" w:color="auto"/>
              <w:right w:val="single" w:sz="4" w:space="0" w:color="auto"/>
            </w:tcBorders>
            <w:hideMark/>
          </w:tcPr>
          <w:p w14:paraId="7F782A4B" w14:textId="77777777" w:rsidR="004647C8" w:rsidRDefault="004647C8">
            <w:pPr>
              <w:rPr>
                <w:rFonts w:cs="Arial"/>
                <w:b/>
                <w:sz w:val="20"/>
                <w:szCs w:val="20"/>
              </w:rPr>
            </w:pPr>
            <w:r>
              <w:rPr>
                <w:rFonts w:cs="Arial"/>
                <w:b/>
                <w:sz w:val="20"/>
                <w:szCs w:val="20"/>
              </w:rPr>
              <w:t>Measure Application Type</w:t>
            </w:r>
          </w:p>
        </w:tc>
        <w:tc>
          <w:tcPr>
            <w:tcW w:w="1620" w:type="dxa"/>
            <w:tcBorders>
              <w:top w:val="single" w:sz="4" w:space="0" w:color="auto"/>
              <w:left w:val="single" w:sz="4" w:space="0" w:color="auto"/>
              <w:bottom w:val="single" w:sz="4" w:space="0" w:color="auto"/>
              <w:right w:val="single" w:sz="4" w:space="0" w:color="auto"/>
            </w:tcBorders>
            <w:hideMark/>
          </w:tcPr>
          <w:p w14:paraId="3FFB8059" w14:textId="77777777" w:rsidR="004647C8" w:rsidRDefault="004647C8">
            <w:pPr>
              <w:rPr>
                <w:rFonts w:cs="Arial"/>
                <w:b/>
                <w:sz w:val="20"/>
                <w:szCs w:val="20"/>
              </w:rPr>
            </w:pPr>
            <w:r>
              <w:rPr>
                <w:rFonts w:cs="Arial"/>
                <w:b/>
                <w:sz w:val="20"/>
                <w:szCs w:val="20"/>
              </w:rPr>
              <w:t>Baseline</w:t>
            </w:r>
          </w:p>
        </w:tc>
        <w:tc>
          <w:tcPr>
            <w:tcW w:w="1440" w:type="dxa"/>
            <w:tcBorders>
              <w:top w:val="single" w:sz="4" w:space="0" w:color="auto"/>
              <w:left w:val="single" w:sz="4" w:space="0" w:color="auto"/>
              <w:bottom w:val="single" w:sz="4" w:space="0" w:color="auto"/>
              <w:right w:val="single" w:sz="4" w:space="0" w:color="auto"/>
            </w:tcBorders>
            <w:hideMark/>
          </w:tcPr>
          <w:p w14:paraId="2E77AEF9" w14:textId="77777777" w:rsidR="004647C8" w:rsidRDefault="004647C8">
            <w:pPr>
              <w:rPr>
                <w:rFonts w:cs="Arial"/>
                <w:b/>
                <w:sz w:val="20"/>
                <w:szCs w:val="20"/>
              </w:rPr>
            </w:pPr>
            <w:r>
              <w:rPr>
                <w:rFonts w:cs="Arial"/>
                <w:b/>
                <w:sz w:val="20"/>
                <w:szCs w:val="20"/>
              </w:rPr>
              <w:t>Equipment Cost</w:t>
            </w:r>
          </w:p>
        </w:tc>
        <w:tc>
          <w:tcPr>
            <w:tcW w:w="1341" w:type="dxa"/>
            <w:tcBorders>
              <w:top w:val="single" w:sz="4" w:space="0" w:color="auto"/>
              <w:left w:val="single" w:sz="4" w:space="0" w:color="auto"/>
              <w:bottom w:val="single" w:sz="4" w:space="0" w:color="auto"/>
              <w:right w:val="single" w:sz="4" w:space="0" w:color="auto"/>
            </w:tcBorders>
            <w:hideMark/>
          </w:tcPr>
          <w:p w14:paraId="40805BBA" w14:textId="77777777" w:rsidR="004647C8" w:rsidRDefault="004647C8">
            <w:pPr>
              <w:rPr>
                <w:rFonts w:cs="Arial"/>
                <w:b/>
                <w:sz w:val="20"/>
                <w:szCs w:val="20"/>
              </w:rPr>
            </w:pPr>
            <w:r>
              <w:rPr>
                <w:rFonts w:cs="Arial"/>
                <w:b/>
                <w:sz w:val="20"/>
                <w:szCs w:val="20"/>
              </w:rPr>
              <w:t>Labor / Installation Cost</w:t>
            </w:r>
          </w:p>
        </w:tc>
        <w:tc>
          <w:tcPr>
            <w:tcW w:w="1513" w:type="dxa"/>
            <w:tcBorders>
              <w:top w:val="single" w:sz="4" w:space="0" w:color="auto"/>
              <w:left w:val="single" w:sz="4" w:space="0" w:color="auto"/>
              <w:bottom w:val="single" w:sz="4" w:space="0" w:color="auto"/>
              <w:right w:val="single" w:sz="4" w:space="0" w:color="auto"/>
            </w:tcBorders>
            <w:hideMark/>
          </w:tcPr>
          <w:p w14:paraId="174BBD2C" w14:textId="77777777" w:rsidR="004647C8" w:rsidRDefault="004647C8">
            <w:pPr>
              <w:rPr>
                <w:rFonts w:cs="Arial"/>
                <w:b/>
                <w:sz w:val="20"/>
                <w:szCs w:val="20"/>
              </w:rPr>
            </w:pPr>
            <w:r>
              <w:rPr>
                <w:rFonts w:cs="Arial"/>
                <w:b/>
                <w:sz w:val="20"/>
                <w:szCs w:val="20"/>
              </w:rPr>
              <w:t>Maintenance / Other Cost</w:t>
            </w:r>
          </w:p>
        </w:tc>
        <w:tc>
          <w:tcPr>
            <w:tcW w:w="1214" w:type="dxa"/>
            <w:tcBorders>
              <w:top w:val="single" w:sz="4" w:space="0" w:color="auto"/>
              <w:left w:val="single" w:sz="4" w:space="0" w:color="auto"/>
              <w:bottom w:val="single" w:sz="4" w:space="0" w:color="auto"/>
              <w:right w:val="single" w:sz="4" w:space="0" w:color="auto"/>
            </w:tcBorders>
            <w:hideMark/>
          </w:tcPr>
          <w:p w14:paraId="4FA50937" w14:textId="77777777" w:rsidR="004647C8" w:rsidRDefault="004647C8">
            <w:pPr>
              <w:rPr>
                <w:rFonts w:cs="Arial"/>
                <w:b/>
                <w:sz w:val="20"/>
                <w:szCs w:val="20"/>
              </w:rPr>
            </w:pPr>
            <w:r>
              <w:rPr>
                <w:rFonts w:cs="Arial"/>
                <w:b/>
                <w:sz w:val="20"/>
                <w:szCs w:val="20"/>
              </w:rPr>
              <w:t>Total Base Case Cost</w:t>
            </w:r>
          </w:p>
        </w:tc>
      </w:tr>
      <w:tr w:rsidR="004647C8" w14:paraId="6F3601FB" w14:textId="77777777" w:rsidTr="004647C8">
        <w:tc>
          <w:tcPr>
            <w:tcW w:w="1028" w:type="dxa"/>
            <w:tcBorders>
              <w:top w:val="single" w:sz="4" w:space="0" w:color="auto"/>
              <w:left w:val="single" w:sz="4" w:space="0" w:color="auto"/>
              <w:bottom w:val="single" w:sz="4" w:space="0" w:color="auto"/>
              <w:right w:val="single" w:sz="4" w:space="0" w:color="auto"/>
            </w:tcBorders>
            <w:hideMark/>
          </w:tcPr>
          <w:p w14:paraId="2B0E2F3D" w14:textId="4F74BBDA" w:rsidR="004647C8" w:rsidRDefault="004C5560">
            <w:pPr>
              <w:rPr>
                <w:rFonts w:cs="Arial"/>
                <w:sz w:val="20"/>
                <w:szCs w:val="20"/>
              </w:rPr>
            </w:pPr>
            <w:r>
              <w:rPr>
                <w:rFonts w:cs="Arial"/>
                <w:sz w:val="20"/>
                <w:szCs w:val="20"/>
              </w:rPr>
              <w:t>FS001</w:t>
            </w:r>
          </w:p>
        </w:tc>
        <w:tc>
          <w:tcPr>
            <w:tcW w:w="1420" w:type="dxa"/>
            <w:tcBorders>
              <w:top w:val="single" w:sz="4" w:space="0" w:color="auto"/>
              <w:left w:val="single" w:sz="4" w:space="0" w:color="auto"/>
              <w:bottom w:val="single" w:sz="4" w:space="0" w:color="auto"/>
              <w:right w:val="single" w:sz="4" w:space="0" w:color="auto"/>
            </w:tcBorders>
            <w:hideMark/>
          </w:tcPr>
          <w:p w14:paraId="5A36FA12" w14:textId="77777777" w:rsidR="004647C8" w:rsidRDefault="004647C8">
            <w:pPr>
              <w:rPr>
                <w:rFonts w:cs="Arial"/>
                <w:sz w:val="20"/>
                <w:szCs w:val="20"/>
              </w:rPr>
            </w:pPr>
            <w:r>
              <w:rPr>
                <w:rFonts w:cs="Arial"/>
                <w:sz w:val="20"/>
                <w:szCs w:val="20"/>
              </w:rPr>
              <w:t>ROB /NC</w:t>
            </w:r>
          </w:p>
        </w:tc>
        <w:tc>
          <w:tcPr>
            <w:tcW w:w="1620" w:type="dxa"/>
            <w:tcBorders>
              <w:top w:val="single" w:sz="4" w:space="0" w:color="auto"/>
              <w:left w:val="single" w:sz="4" w:space="0" w:color="auto"/>
              <w:bottom w:val="single" w:sz="4" w:space="0" w:color="auto"/>
              <w:right w:val="single" w:sz="4" w:space="0" w:color="auto"/>
            </w:tcBorders>
            <w:hideMark/>
          </w:tcPr>
          <w:p w14:paraId="0A246640" w14:textId="77777777" w:rsidR="004647C8" w:rsidRDefault="004647C8">
            <w:pPr>
              <w:rPr>
                <w:rFonts w:cs="Arial"/>
                <w:sz w:val="20"/>
                <w:szCs w:val="20"/>
              </w:rPr>
            </w:pPr>
            <w:r>
              <w:rPr>
                <w:rFonts w:cs="Arial"/>
                <w:sz w:val="20"/>
                <w:szCs w:val="20"/>
              </w:rPr>
              <w:t>Industry Practice</w:t>
            </w:r>
          </w:p>
        </w:tc>
        <w:tc>
          <w:tcPr>
            <w:tcW w:w="1440" w:type="dxa"/>
            <w:tcBorders>
              <w:top w:val="single" w:sz="4" w:space="0" w:color="auto"/>
              <w:left w:val="single" w:sz="4" w:space="0" w:color="auto"/>
              <w:bottom w:val="single" w:sz="4" w:space="0" w:color="auto"/>
              <w:right w:val="single" w:sz="4" w:space="0" w:color="auto"/>
            </w:tcBorders>
            <w:hideMark/>
          </w:tcPr>
          <w:p w14:paraId="31735355" w14:textId="3166DF90" w:rsidR="004647C8" w:rsidRDefault="004647C8" w:rsidP="00D801EE">
            <w:pPr>
              <w:rPr>
                <w:rFonts w:cs="Arial"/>
                <w:sz w:val="20"/>
                <w:szCs w:val="20"/>
              </w:rPr>
            </w:pPr>
            <w:r>
              <w:rPr>
                <w:rFonts w:cs="Arial"/>
                <w:sz w:val="20"/>
                <w:szCs w:val="20"/>
              </w:rPr>
              <w:t>$</w:t>
            </w:r>
            <w:r w:rsidR="00D801EE">
              <w:rPr>
                <w:rFonts w:cs="Arial"/>
                <w:sz w:val="20"/>
                <w:szCs w:val="20"/>
              </w:rPr>
              <w:t>40</w:t>
            </w:r>
          </w:p>
        </w:tc>
        <w:tc>
          <w:tcPr>
            <w:tcW w:w="1341" w:type="dxa"/>
            <w:tcBorders>
              <w:top w:val="single" w:sz="4" w:space="0" w:color="auto"/>
              <w:left w:val="single" w:sz="4" w:space="0" w:color="auto"/>
              <w:bottom w:val="single" w:sz="4" w:space="0" w:color="auto"/>
              <w:right w:val="single" w:sz="4" w:space="0" w:color="auto"/>
            </w:tcBorders>
            <w:hideMark/>
          </w:tcPr>
          <w:p w14:paraId="3050B28E" w14:textId="77777777" w:rsidR="004647C8" w:rsidRDefault="004647C8">
            <w:pPr>
              <w:rPr>
                <w:rFonts w:cs="Arial"/>
                <w:sz w:val="20"/>
                <w:szCs w:val="20"/>
              </w:rPr>
            </w:pPr>
            <w:r>
              <w:rPr>
                <w:rFonts w:cs="Arial"/>
                <w:sz w:val="20"/>
                <w:szCs w:val="20"/>
              </w:rPr>
              <w:t>$0</w:t>
            </w:r>
          </w:p>
        </w:tc>
        <w:tc>
          <w:tcPr>
            <w:tcW w:w="1513" w:type="dxa"/>
            <w:tcBorders>
              <w:top w:val="single" w:sz="4" w:space="0" w:color="auto"/>
              <w:left w:val="single" w:sz="4" w:space="0" w:color="auto"/>
              <w:bottom w:val="single" w:sz="4" w:space="0" w:color="auto"/>
              <w:right w:val="single" w:sz="4" w:space="0" w:color="auto"/>
            </w:tcBorders>
            <w:hideMark/>
          </w:tcPr>
          <w:p w14:paraId="22DEC0CA" w14:textId="77777777" w:rsidR="004647C8" w:rsidRDefault="004647C8">
            <w:pPr>
              <w:rPr>
                <w:rFonts w:cs="Arial"/>
                <w:sz w:val="20"/>
                <w:szCs w:val="20"/>
              </w:rPr>
            </w:pPr>
            <w:r>
              <w:rPr>
                <w:rFonts w:cs="Arial"/>
                <w:sz w:val="20"/>
                <w:szCs w:val="20"/>
              </w:rPr>
              <w:t>$0</w:t>
            </w:r>
          </w:p>
        </w:tc>
        <w:tc>
          <w:tcPr>
            <w:tcW w:w="1214" w:type="dxa"/>
            <w:tcBorders>
              <w:top w:val="single" w:sz="4" w:space="0" w:color="auto"/>
              <w:left w:val="single" w:sz="4" w:space="0" w:color="auto"/>
              <w:bottom w:val="single" w:sz="4" w:space="0" w:color="auto"/>
              <w:right w:val="single" w:sz="4" w:space="0" w:color="auto"/>
            </w:tcBorders>
            <w:hideMark/>
          </w:tcPr>
          <w:p w14:paraId="5696B8A2" w14:textId="302598C8" w:rsidR="004647C8" w:rsidRDefault="004647C8" w:rsidP="00D801EE">
            <w:pPr>
              <w:rPr>
                <w:rFonts w:cs="Arial"/>
                <w:sz w:val="20"/>
                <w:szCs w:val="20"/>
              </w:rPr>
            </w:pPr>
            <w:r>
              <w:rPr>
                <w:rFonts w:cs="Arial"/>
                <w:sz w:val="20"/>
                <w:szCs w:val="20"/>
              </w:rPr>
              <w:t>$</w:t>
            </w:r>
            <w:r w:rsidR="00D801EE">
              <w:rPr>
                <w:rFonts w:cs="Arial"/>
                <w:sz w:val="20"/>
                <w:szCs w:val="20"/>
              </w:rPr>
              <w:t>40</w:t>
            </w:r>
          </w:p>
        </w:tc>
      </w:tr>
    </w:tbl>
    <w:p w14:paraId="05F6DFF1" w14:textId="77777777" w:rsidR="004647C8" w:rsidRDefault="004647C8" w:rsidP="004647C8">
      <w:pPr>
        <w:rPr>
          <w:rFonts w:cs="Arial"/>
          <w:i/>
          <w:sz w:val="20"/>
          <w:szCs w:val="20"/>
        </w:rPr>
      </w:pPr>
      <w:r>
        <w:rPr>
          <w:rFonts w:cs="Arial"/>
          <w:i/>
          <w:sz w:val="20"/>
          <w:szCs w:val="20"/>
        </w:rPr>
        <w:t>All costs are noted as $ per measure unit</w:t>
      </w:r>
    </w:p>
    <w:p w14:paraId="393A1115" w14:textId="77777777" w:rsidR="00C069A2" w:rsidRDefault="00663A00" w:rsidP="002E0043">
      <w:pPr>
        <w:pStyle w:val="Heading2"/>
        <w:keepNext w:val="0"/>
      </w:pPr>
      <w:bookmarkStart w:id="145" w:name="_Toc391397027"/>
      <w:r>
        <w:t>4.2 Meas</w:t>
      </w:r>
      <w:r w:rsidR="00C069A2">
        <w:t xml:space="preserve">ure </w:t>
      </w:r>
      <w:r w:rsidR="00930877">
        <w:t xml:space="preserve">Case </w:t>
      </w:r>
      <w:r w:rsidR="00C069A2">
        <w:t>Costs</w:t>
      </w:r>
      <w:bookmarkEnd w:id="141"/>
      <w:bookmarkEnd w:id="142"/>
      <w:bookmarkEnd w:id="143"/>
      <w:bookmarkEnd w:id="145"/>
      <w:r w:rsidR="00930877">
        <w:t xml:space="preserve"> </w:t>
      </w:r>
    </w:p>
    <w:p w14:paraId="042B13FE" w14:textId="77777777" w:rsidR="004647C8" w:rsidRDefault="004647C8" w:rsidP="004647C8">
      <w:pPr>
        <w:rPr>
          <w:rFonts w:ascii="Times New Roman" w:hAnsi="Times New Roman"/>
          <w:sz w:val="24"/>
        </w:rPr>
      </w:pPr>
      <w:r w:rsidRPr="006A66DA">
        <w:rPr>
          <w:rFonts w:cs="Arial"/>
        </w:rPr>
        <w:t>The Measure costs include only the equipment, as explained in Section 4.1. The estimated equipment cost is based on recent list cost data and applying an industry-standard 50% discount to the manufacturer published list prices (see Appendix B).</w:t>
      </w:r>
      <w:r>
        <w:rPr>
          <w:rFonts w:ascii="Times New Roman" w:hAnsi="Times New Roman"/>
          <w:sz w:val="24"/>
          <w:vertAlign w:val="superscript"/>
        </w:rPr>
        <w:t xml:space="preserve"> 9-11</w:t>
      </w:r>
    </w:p>
    <w:p w14:paraId="03AAAC1A" w14:textId="77777777" w:rsidR="004647C8" w:rsidRDefault="004647C8" w:rsidP="004647C8">
      <w:pPr>
        <w:rPr>
          <w:rFonts w:cs="Arial"/>
          <w:sz w:val="20"/>
          <w:szCs w:val="20"/>
        </w:rPr>
      </w:pPr>
    </w:p>
    <w:p w14:paraId="45991718" w14:textId="77777777" w:rsidR="004647C8" w:rsidRDefault="004647C8" w:rsidP="004647C8">
      <w:pPr>
        <w:rPr>
          <w:rFonts w:cs="Arial"/>
          <w:szCs w:val="20"/>
        </w:rPr>
      </w:pPr>
      <w:r w:rsidRPr="006A66DA">
        <w:rPr>
          <w:rFonts w:cs="Arial"/>
          <w:szCs w:val="20"/>
        </w:rPr>
        <w:t>The following Measure Application Types are appropriate to these measures. The Measure Case Costs are:</w:t>
      </w:r>
    </w:p>
    <w:p w14:paraId="205AB1FE" w14:textId="77777777" w:rsidR="008436DA" w:rsidRPr="006A66DA" w:rsidRDefault="008436DA" w:rsidP="004647C8">
      <w:pPr>
        <w:rPr>
          <w:rFonts w:cs="Arial"/>
          <w:szCs w:val="20"/>
        </w:rPr>
      </w:pPr>
    </w:p>
    <w:p w14:paraId="1D17CFA9" w14:textId="04FFCD18" w:rsidR="004647C8" w:rsidRDefault="00C104E1" w:rsidP="008436DA">
      <w:pPr>
        <w:pStyle w:val="Table"/>
      </w:pPr>
      <w:bookmarkStart w:id="146" w:name="_Toc391398032"/>
      <w:r w:rsidRPr="003541A6">
        <w:t xml:space="preserve">Table </w:t>
      </w:r>
      <w:r w:rsidR="00544E9C">
        <w:fldChar w:fldCharType="begin"/>
      </w:r>
      <w:r w:rsidR="00544E9C">
        <w:instrText xml:space="preserve"> SEQ Table \* ARABIC </w:instrText>
      </w:r>
      <w:r w:rsidR="00544E9C">
        <w:fldChar w:fldCharType="separate"/>
      </w:r>
      <w:r w:rsidR="00CE5AEA">
        <w:rPr>
          <w:noProof/>
        </w:rPr>
        <w:t>14</w:t>
      </w:r>
      <w:r w:rsidR="00544E9C">
        <w:rPr>
          <w:noProof/>
        </w:rPr>
        <w:fldChar w:fldCharType="end"/>
      </w:r>
      <w:r>
        <w:rPr>
          <w:noProof/>
        </w:rPr>
        <w:t xml:space="preserve"> </w:t>
      </w:r>
      <w:r w:rsidR="004647C8">
        <w:t>Measure Case Costs</w:t>
      </w:r>
      <w:bookmarkEnd w:id="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4647C8" w14:paraId="44A025E6" w14:textId="77777777" w:rsidTr="004647C8">
        <w:tc>
          <w:tcPr>
            <w:tcW w:w="1028" w:type="dxa"/>
            <w:tcBorders>
              <w:top w:val="single" w:sz="4" w:space="0" w:color="auto"/>
              <w:left w:val="single" w:sz="4" w:space="0" w:color="auto"/>
              <w:bottom w:val="single" w:sz="4" w:space="0" w:color="auto"/>
              <w:right w:val="single" w:sz="4" w:space="0" w:color="auto"/>
            </w:tcBorders>
            <w:hideMark/>
          </w:tcPr>
          <w:p w14:paraId="35863500" w14:textId="77777777" w:rsidR="004647C8" w:rsidRDefault="004647C8">
            <w:pPr>
              <w:rPr>
                <w:rFonts w:cs="Arial"/>
                <w:b/>
                <w:i/>
                <w:sz w:val="20"/>
                <w:szCs w:val="20"/>
              </w:rPr>
            </w:pPr>
            <w:r>
              <w:rPr>
                <w:rFonts w:cs="Arial"/>
                <w:b/>
                <w:i/>
                <w:sz w:val="20"/>
                <w:szCs w:val="20"/>
              </w:rPr>
              <w:t>Measure Code</w:t>
            </w:r>
          </w:p>
        </w:tc>
        <w:tc>
          <w:tcPr>
            <w:tcW w:w="1420" w:type="dxa"/>
            <w:tcBorders>
              <w:top w:val="single" w:sz="4" w:space="0" w:color="auto"/>
              <w:left w:val="single" w:sz="4" w:space="0" w:color="auto"/>
              <w:bottom w:val="single" w:sz="4" w:space="0" w:color="auto"/>
              <w:right w:val="single" w:sz="4" w:space="0" w:color="auto"/>
            </w:tcBorders>
            <w:hideMark/>
          </w:tcPr>
          <w:p w14:paraId="78AC1A16" w14:textId="77777777" w:rsidR="004647C8" w:rsidRDefault="004647C8">
            <w:pPr>
              <w:rPr>
                <w:rFonts w:cs="Arial"/>
                <w:b/>
                <w:sz w:val="20"/>
                <w:szCs w:val="20"/>
              </w:rPr>
            </w:pPr>
            <w:r>
              <w:rPr>
                <w:rFonts w:cs="Arial"/>
                <w:b/>
                <w:sz w:val="20"/>
                <w:szCs w:val="20"/>
              </w:rPr>
              <w:t>Measure Application Type</w:t>
            </w:r>
          </w:p>
        </w:tc>
        <w:tc>
          <w:tcPr>
            <w:tcW w:w="1620" w:type="dxa"/>
            <w:tcBorders>
              <w:top w:val="single" w:sz="4" w:space="0" w:color="auto"/>
              <w:left w:val="single" w:sz="4" w:space="0" w:color="auto"/>
              <w:bottom w:val="single" w:sz="4" w:space="0" w:color="auto"/>
              <w:right w:val="single" w:sz="4" w:space="0" w:color="auto"/>
            </w:tcBorders>
            <w:hideMark/>
          </w:tcPr>
          <w:p w14:paraId="7D71BD11" w14:textId="77777777" w:rsidR="004647C8" w:rsidRDefault="004647C8">
            <w:pPr>
              <w:rPr>
                <w:rFonts w:cs="Arial"/>
                <w:b/>
                <w:sz w:val="20"/>
                <w:szCs w:val="20"/>
              </w:rPr>
            </w:pPr>
            <w:r>
              <w:rPr>
                <w:rFonts w:cs="Arial"/>
                <w:b/>
                <w:sz w:val="20"/>
                <w:szCs w:val="20"/>
              </w:rPr>
              <w:t>Baseline</w:t>
            </w:r>
          </w:p>
        </w:tc>
        <w:tc>
          <w:tcPr>
            <w:tcW w:w="1440" w:type="dxa"/>
            <w:tcBorders>
              <w:top w:val="single" w:sz="4" w:space="0" w:color="auto"/>
              <w:left w:val="single" w:sz="4" w:space="0" w:color="auto"/>
              <w:bottom w:val="single" w:sz="4" w:space="0" w:color="auto"/>
              <w:right w:val="single" w:sz="4" w:space="0" w:color="auto"/>
            </w:tcBorders>
            <w:hideMark/>
          </w:tcPr>
          <w:p w14:paraId="0F6F37C7" w14:textId="77777777" w:rsidR="004647C8" w:rsidRDefault="004647C8">
            <w:pPr>
              <w:rPr>
                <w:rFonts w:cs="Arial"/>
                <w:b/>
                <w:sz w:val="20"/>
                <w:szCs w:val="20"/>
              </w:rPr>
            </w:pPr>
            <w:r>
              <w:rPr>
                <w:rFonts w:cs="Arial"/>
                <w:b/>
                <w:sz w:val="20"/>
                <w:szCs w:val="20"/>
              </w:rPr>
              <w:t>Equipment Cost</w:t>
            </w:r>
          </w:p>
        </w:tc>
        <w:tc>
          <w:tcPr>
            <w:tcW w:w="1341" w:type="dxa"/>
            <w:tcBorders>
              <w:top w:val="single" w:sz="4" w:space="0" w:color="auto"/>
              <w:left w:val="single" w:sz="4" w:space="0" w:color="auto"/>
              <w:bottom w:val="single" w:sz="4" w:space="0" w:color="auto"/>
              <w:right w:val="single" w:sz="4" w:space="0" w:color="auto"/>
            </w:tcBorders>
            <w:hideMark/>
          </w:tcPr>
          <w:p w14:paraId="38BB97D9" w14:textId="77777777" w:rsidR="004647C8" w:rsidRDefault="004647C8">
            <w:pPr>
              <w:rPr>
                <w:rFonts w:cs="Arial"/>
                <w:b/>
                <w:sz w:val="20"/>
                <w:szCs w:val="20"/>
              </w:rPr>
            </w:pPr>
            <w:r>
              <w:rPr>
                <w:rFonts w:cs="Arial"/>
                <w:b/>
                <w:sz w:val="20"/>
                <w:szCs w:val="20"/>
              </w:rPr>
              <w:t>Labor / Installation Cost</w:t>
            </w:r>
          </w:p>
        </w:tc>
        <w:tc>
          <w:tcPr>
            <w:tcW w:w="1513" w:type="dxa"/>
            <w:tcBorders>
              <w:top w:val="single" w:sz="4" w:space="0" w:color="auto"/>
              <w:left w:val="single" w:sz="4" w:space="0" w:color="auto"/>
              <w:bottom w:val="single" w:sz="4" w:space="0" w:color="auto"/>
              <w:right w:val="single" w:sz="4" w:space="0" w:color="auto"/>
            </w:tcBorders>
            <w:hideMark/>
          </w:tcPr>
          <w:p w14:paraId="0FBD2F69" w14:textId="77777777" w:rsidR="004647C8" w:rsidRDefault="004647C8">
            <w:pPr>
              <w:rPr>
                <w:rFonts w:cs="Arial"/>
                <w:b/>
                <w:sz w:val="20"/>
                <w:szCs w:val="20"/>
              </w:rPr>
            </w:pPr>
            <w:r>
              <w:rPr>
                <w:rFonts w:cs="Arial"/>
                <w:b/>
                <w:sz w:val="20"/>
                <w:szCs w:val="20"/>
              </w:rPr>
              <w:t>Maintenance / Other Cost</w:t>
            </w:r>
          </w:p>
        </w:tc>
        <w:tc>
          <w:tcPr>
            <w:tcW w:w="1214" w:type="dxa"/>
            <w:tcBorders>
              <w:top w:val="single" w:sz="4" w:space="0" w:color="auto"/>
              <w:left w:val="single" w:sz="4" w:space="0" w:color="auto"/>
              <w:bottom w:val="single" w:sz="4" w:space="0" w:color="auto"/>
              <w:right w:val="single" w:sz="4" w:space="0" w:color="auto"/>
            </w:tcBorders>
            <w:hideMark/>
          </w:tcPr>
          <w:p w14:paraId="67D07EDF" w14:textId="77777777" w:rsidR="004647C8" w:rsidRDefault="004647C8">
            <w:pPr>
              <w:rPr>
                <w:rFonts w:cs="Arial"/>
                <w:b/>
                <w:sz w:val="20"/>
                <w:szCs w:val="20"/>
              </w:rPr>
            </w:pPr>
            <w:r>
              <w:rPr>
                <w:rFonts w:cs="Arial"/>
                <w:b/>
                <w:sz w:val="20"/>
                <w:szCs w:val="20"/>
              </w:rPr>
              <w:t>Total Measure Case Cost</w:t>
            </w:r>
          </w:p>
        </w:tc>
      </w:tr>
      <w:tr w:rsidR="004647C8" w14:paraId="26A3948B" w14:textId="77777777" w:rsidTr="004647C8">
        <w:tc>
          <w:tcPr>
            <w:tcW w:w="1028" w:type="dxa"/>
            <w:tcBorders>
              <w:top w:val="single" w:sz="4" w:space="0" w:color="auto"/>
              <w:left w:val="single" w:sz="4" w:space="0" w:color="auto"/>
              <w:bottom w:val="single" w:sz="4" w:space="0" w:color="auto"/>
              <w:right w:val="single" w:sz="4" w:space="0" w:color="auto"/>
            </w:tcBorders>
            <w:hideMark/>
          </w:tcPr>
          <w:p w14:paraId="4EDAD02E" w14:textId="1BDC8C14" w:rsidR="004647C8" w:rsidRDefault="004C5560">
            <w:pPr>
              <w:rPr>
                <w:rFonts w:cs="Arial"/>
                <w:sz w:val="20"/>
                <w:szCs w:val="20"/>
              </w:rPr>
            </w:pPr>
            <w:r>
              <w:rPr>
                <w:rFonts w:cs="Arial"/>
                <w:sz w:val="20"/>
                <w:szCs w:val="20"/>
              </w:rPr>
              <w:t>FS001</w:t>
            </w:r>
          </w:p>
        </w:tc>
        <w:tc>
          <w:tcPr>
            <w:tcW w:w="1420" w:type="dxa"/>
            <w:tcBorders>
              <w:top w:val="single" w:sz="4" w:space="0" w:color="auto"/>
              <w:left w:val="single" w:sz="4" w:space="0" w:color="auto"/>
              <w:bottom w:val="single" w:sz="4" w:space="0" w:color="auto"/>
              <w:right w:val="single" w:sz="4" w:space="0" w:color="auto"/>
            </w:tcBorders>
            <w:hideMark/>
          </w:tcPr>
          <w:p w14:paraId="3B715691" w14:textId="77777777" w:rsidR="004647C8" w:rsidRDefault="004647C8">
            <w:pPr>
              <w:rPr>
                <w:rFonts w:cs="Arial"/>
                <w:sz w:val="20"/>
                <w:szCs w:val="20"/>
              </w:rPr>
            </w:pPr>
            <w:r>
              <w:rPr>
                <w:rFonts w:cs="Arial"/>
                <w:sz w:val="20"/>
                <w:szCs w:val="20"/>
              </w:rPr>
              <w:t>ROB/ NC</w:t>
            </w:r>
          </w:p>
        </w:tc>
        <w:tc>
          <w:tcPr>
            <w:tcW w:w="1620" w:type="dxa"/>
            <w:tcBorders>
              <w:top w:val="single" w:sz="4" w:space="0" w:color="auto"/>
              <w:left w:val="single" w:sz="4" w:space="0" w:color="auto"/>
              <w:bottom w:val="single" w:sz="4" w:space="0" w:color="auto"/>
              <w:right w:val="single" w:sz="4" w:space="0" w:color="auto"/>
            </w:tcBorders>
            <w:hideMark/>
          </w:tcPr>
          <w:p w14:paraId="0612DB0F" w14:textId="77777777" w:rsidR="004647C8" w:rsidRDefault="004647C8">
            <w:pPr>
              <w:rPr>
                <w:rFonts w:cs="Arial"/>
                <w:sz w:val="20"/>
                <w:szCs w:val="20"/>
              </w:rPr>
            </w:pPr>
            <w:r>
              <w:rPr>
                <w:rFonts w:cs="Arial"/>
                <w:sz w:val="20"/>
                <w:szCs w:val="20"/>
              </w:rPr>
              <w:t>Industry  Practice</w:t>
            </w:r>
          </w:p>
        </w:tc>
        <w:tc>
          <w:tcPr>
            <w:tcW w:w="1440" w:type="dxa"/>
            <w:tcBorders>
              <w:top w:val="single" w:sz="4" w:space="0" w:color="auto"/>
              <w:left w:val="single" w:sz="4" w:space="0" w:color="auto"/>
              <w:bottom w:val="single" w:sz="4" w:space="0" w:color="auto"/>
              <w:right w:val="single" w:sz="4" w:space="0" w:color="auto"/>
            </w:tcBorders>
            <w:hideMark/>
          </w:tcPr>
          <w:p w14:paraId="1C6A94E2" w14:textId="38B4B1D9" w:rsidR="004647C8" w:rsidRDefault="004647C8" w:rsidP="00D801EE">
            <w:pPr>
              <w:rPr>
                <w:rFonts w:cs="Arial"/>
                <w:sz w:val="20"/>
                <w:szCs w:val="20"/>
              </w:rPr>
            </w:pPr>
            <w:r>
              <w:rPr>
                <w:rFonts w:cs="Arial"/>
                <w:sz w:val="20"/>
                <w:szCs w:val="20"/>
              </w:rPr>
              <w:t>$</w:t>
            </w:r>
            <w:r w:rsidR="00D801EE">
              <w:rPr>
                <w:rFonts w:cs="Arial"/>
                <w:sz w:val="20"/>
                <w:szCs w:val="20"/>
              </w:rPr>
              <w:t>89</w:t>
            </w:r>
          </w:p>
        </w:tc>
        <w:tc>
          <w:tcPr>
            <w:tcW w:w="1341" w:type="dxa"/>
            <w:tcBorders>
              <w:top w:val="single" w:sz="4" w:space="0" w:color="auto"/>
              <w:left w:val="single" w:sz="4" w:space="0" w:color="auto"/>
              <w:bottom w:val="single" w:sz="4" w:space="0" w:color="auto"/>
              <w:right w:val="single" w:sz="4" w:space="0" w:color="auto"/>
            </w:tcBorders>
            <w:hideMark/>
          </w:tcPr>
          <w:p w14:paraId="3FDE720D" w14:textId="77777777" w:rsidR="004647C8" w:rsidRDefault="004647C8">
            <w:pPr>
              <w:rPr>
                <w:rFonts w:cs="Arial"/>
                <w:sz w:val="20"/>
                <w:szCs w:val="20"/>
              </w:rPr>
            </w:pPr>
            <w:r>
              <w:rPr>
                <w:rFonts w:cs="Arial"/>
                <w:sz w:val="20"/>
                <w:szCs w:val="20"/>
              </w:rPr>
              <w:t>$N/A</w:t>
            </w:r>
          </w:p>
        </w:tc>
        <w:tc>
          <w:tcPr>
            <w:tcW w:w="1513" w:type="dxa"/>
            <w:tcBorders>
              <w:top w:val="single" w:sz="4" w:space="0" w:color="auto"/>
              <w:left w:val="single" w:sz="4" w:space="0" w:color="auto"/>
              <w:bottom w:val="single" w:sz="4" w:space="0" w:color="auto"/>
              <w:right w:val="single" w:sz="4" w:space="0" w:color="auto"/>
            </w:tcBorders>
            <w:hideMark/>
          </w:tcPr>
          <w:p w14:paraId="53CA2F4B" w14:textId="77777777" w:rsidR="004647C8" w:rsidRDefault="004647C8">
            <w:pPr>
              <w:rPr>
                <w:rFonts w:cs="Arial"/>
                <w:sz w:val="20"/>
                <w:szCs w:val="20"/>
              </w:rPr>
            </w:pPr>
            <w:r>
              <w:rPr>
                <w:rFonts w:cs="Arial"/>
                <w:sz w:val="20"/>
                <w:szCs w:val="20"/>
              </w:rPr>
              <w:t>$N/A</w:t>
            </w:r>
          </w:p>
        </w:tc>
        <w:tc>
          <w:tcPr>
            <w:tcW w:w="1214" w:type="dxa"/>
            <w:tcBorders>
              <w:top w:val="single" w:sz="4" w:space="0" w:color="auto"/>
              <w:left w:val="single" w:sz="4" w:space="0" w:color="auto"/>
              <w:bottom w:val="single" w:sz="4" w:space="0" w:color="auto"/>
              <w:right w:val="single" w:sz="4" w:space="0" w:color="auto"/>
            </w:tcBorders>
            <w:hideMark/>
          </w:tcPr>
          <w:p w14:paraId="0E853088" w14:textId="49493652" w:rsidR="004647C8" w:rsidRDefault="004647C8" w:rsidP="00D801EE">
            <w:pPr>
              <w:rPr>
                <w:rFonts w:cs="Arial"/>
                <w:sz w:val="20"/>
                <w:szCs w:val="20"/>
              </w:rPr>
            </w:pPr>
            <w:r>
              <w:rPr>
                <w:rFonts w:cs="Arial"/>
                <w:sz w:val="20"/>
                <w:szCs w:val="20"/>
              </w:rPr>
              <w:t>$</w:t>
            </w:r>
            <w:r w:rsidR="00D801EE">
              <w:rPr>
                <w:rFonts w:cs="Arial"/>
                <w:sz w:val="20"/>
                <w:szCs w:val="20"/>
              </w:rPr>
              <w:t>89</w:t>
            </w:r>
          </w:p>
        </w:tc>
      </w:tr>
    </w:tbl>
    <w:p w14:paraId="6C8668BE" w14:textId="77777777" w:rsidR="004647C8" w:rsidRDefault="004647C8" w:rsidP="004647C8">
      <w:pPr>
        <w:rPr>
          <w:rFonts w:cs="Arial"/>
          <w:i/>
          <w:sz w:val="20"/>
          <w:szCs w:val="20"/>
        </w:rPr>
      </w:pPr>
      <w:r>
        <w:rPr>
          <w:rFonts w:cs="Arial"/>
          <w:i/>
          <w:sz w:val="20"/>
          <w:szCs w:val="20"/>
        </w:rPr>
        <w:t>All costs are noted as $ per measure unit</w:t>
      </w:r>
    </w:p>
    <w:p w14:paraId="393A113B" w14:textId="77777777" w:rsidR="00DD1C47" w:rsidRPr="00DD1C47" w:rsidRDefault="00DD1C47" w:rsidP="00F55847">
      <w:pPr>
        <w:rPr>
          <w:rFonts w:cs="Arial"/>
          <w:sz w:val="20"/>
          <w:szCs w:val="20"/>
        </w:rPr>
      </w:pPr>
    </w:p>
    <w:p w14:paraId="393A113C" w14:textId="77777777" w:rsidR="0030550A" w:rsidRDefault="0030550A" w:rsidP="002E0043">
      <w:pPr>
        <w:pStyle w:val="Heading2"/>
        <w:keepNext w:val="0"/>
      </w:pPr>
      <w:bookmarkStart w:id="147" w:name="_Toc304800220"/>
      <w:bookmarkStart w:id="148" w:name="_Toc324318374"/>
      <w:bookmarkStart w:id="149" w:name="_Toc324340503"/>
      <w:bookmarkStart w:id="150" w:name="_Toc391397028"/>
      <w:r>
        <w:t>4.3 Incremental &amp; Full Measure Costs</w:t>
      </w:r>
      <w:bookmarkEnd w:id="147"/>
      <w:bookmarkEnd w:id="148"/>
      <w:bookmarkEnd w:id="149"/>
      <w:bookmarkEnd w:id="150"/>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393A1143" w14:textId="77777777" w:rsidTr="0064609B">
        <w:trPr>
          <w:trHeight w:val="255"/>
        </w:trPr>
        <w:tc>
          <w:tcPr>
            <w:tcW w:w="1305" w:type="dxa"/>
            <w:shd w:val="clear" w:color="auto" w:fill="0D0D0D"/>
            <w:noWrap/>
            <w:vAlign w:val="bottom"/>
          </w:tcPr>
          <w:p w14:paraId="393A113D" w14:textId="77777777"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14:paraId="393A113E" w14:textId="517F2A6A"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3F" w14:textId="77777777"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393A1140" w14:textId="7C20B647"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41" w14:textId="77777777"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393A1142" w14:textId="77777777"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14:paraId="393A114B" w14:textId="77777777" w:rsidTr="00F30878">
        <w:trPr>
          <w:trHeight w:val="255"/>
        </w:trPr>
        <w:tc>
          <w:tcPr>
            <w:tcW w:w="1305" w:type="dxa"/>
            <w:shd w:val="pct20" w:color="000000" w:fill="FFFFFF"/>
            <w:noWrap/>
            <w:vAlign w:val="bottom"/>
          </w:tcPr>
          <w:p w14:paraId="393A1144" w14:textId="77777777"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14:paraId="393A1145"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6" w14:textId="77777777"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393A1147" w14:textId="77777777" w:rsidR="00430775" w:rsidRPr="00623BA1" w:rsidRDefault="00430775" w:rsidP="00430775">
            <w:pPr>
              <w:jc w:val="center"/>
              <w:rPr>
                <w:rFonts w:cs="Arial"/>
                <w:sz w:val="20"/>
                <w:szCs w:val="20"/>
              </w:rPr>
            </w:pPr>
            <w:r w:rsidRPr="00623BA1">
              <w:rPr>
                <w:rFonts w:cs="Arial"/>
                <w:sz w:val="20"/>
                <w:szCs w:val="20"/>
              </w:rPr>
              <w:t>(-1)x(Base Equipment Cost</w:t>
            </w:r>
          </w:p>
          <w:p w14:paraId="393A1148" w14:textId="77777777"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393A1149"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A"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14:paraId="393A1152" w14:textId="77777777" w:rsidTr="00F30878">
        <w:trPr>
          <w:trHeight w:val="170"/>
        </w:trPr>
        <w:tc>
          <w:tcPr>
            <w:tcW w:w="1305" w:type="dxa"/>
            <w:shd w:val="pct5" w:color="000000" w:fill="FFFFFF"/>
            <w:noWrap/>
            <w:vAlign w:val="bottom"/>
          </w:tcPr>
          <w:p w14:paraId="393A114C" w14:textId="77777777"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14:paraId="393A114D"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4E" w14:textId="77777777" w:rsidR="003F57BD" w:rsidRPr="00623BA1" w:rsidRDefault="003F57BD" w:rsidP="00623BA1">
            <w:pPr>
              <w:jc w:val="center"/>
              <w:rPr>
                <w:rFonts w:cs="Arial"/>
                <w:sz w:val="20"/>
                <w:szCs w:val="20"/>
              </w:rPr>
            </w:pPr>
            <w:r w:rsidRPr="00623BA1">
              <w:rPr>
                <w:rFonts w:cs="Arial"/>
                <w:sz w:val="20"/>
                <w:szCs w:val="20"/>
              </w:rPr>
              <w:lastRenderedPageBreak/>
              <w:t>– Base Case Equipment Cost</w:t>
            </w:r>
          </w:p>
        </w:tc>
        <w:tc>
          <w:tcPr>
            <w:tcW w:w="2070" w:type="dxa"/>
            <w:shd w:val="pct5" w:color="000000" w:fill="FFFFFF"/>
            <w:noWrap/>
            <w:vAlign w:val="bottom"/>
          </w:tcPr>
          <w:p w14:paraId="393A114F" w14:textId="77777777" w:rsidR="003F57BD" w:rsidRPr="00623BA1" w:rsidRDefault="003F57BD" w:rsidP="00623BA1">
            <w:pPr>
              <w:jc w:val="center"/>
              <w:rPr>
                <w:rFonts w:cs="Arial"/>
                <w:sz w:val="20"/>
                <w:szCs w:val="20"/>
              </w:rPr>
            </w:pPr>
            <w:r w:rsidRPr="00623BA1">
              <w:rPr>
                <w:rFonts w:cs="Arial"/>
                <w:sz w:val="20"/>
                <w:szCs w:val="20"/>
              </w:rPr>
              <w:lastRenderedPageBreak/>
              <w:t>N/A</w:t>
            </w:r>
          </w:p>
        </w:tc>
        <w:tc>
          <w:tcPr>
            <w:tcW w:w="2970" w:type="dxa"/>
            <w:shd w:val="pct5" w:color="000000" w:fill="FFFFFF"/>
            <w:vAlign w:val="bottom"/>
          </w:tcPr>
          <w:p w14:paraId="393A1150"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51" w14:textId="77777777" w:rsidR="003F57BD" w:rsidRPr="00623BA1" w:rsidRDefault="003F57BD" w:rsidP="00623BA1">
            <w:pPr>
              <w:jc w:val="center"/>
              <w:rPr>
                <w:rFonts w:cs="Arial"/>
                <w:sz w:val="20"/>
                <w:szCs w:val="20"/>
              </w:rPr>
            </w:pPr>
            <w:r w:rsidRPr="00623BA1">
              <w:rPr>
                <w:rFonts w:cs="Arial"/>
                <w:sz w:val="20"/>
                <w:szCs w:val="20"/>
              </w:rPr>
              <w:lastRenderedPageBreak/>
              <w:t>– Base Case Equipment Cost</w:t>
            </w:r>
          </w:p>
        </w:tc>
      </w:tr>
      <w:tr w:rsidR="00430775" w:rsidRPr="003F57BD" w14:paraId="393A1159" w14:textId="77777777"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3" w14:textId="77777777" w:rsidR="00430775" w:rsidRPr="00623BA1" w:rsidRDefault="00430775" w:rsidP="00430775">
            <w:pPr>
              <w:jc w:val="center"/>
              <w:rPr>
                <w:rFonts w:cs="Arial"/>
                <w:sz w:val="20"/>
                <w:szCs w:val="20"/>
              </w:rPr>
            </w:pPr>
            <w:r>
              <w:rPr>
                <w:rFonts w:cs="Arial"/>
                <w:sz w:val="20"/>
                <w:szCs w:val="20"/>
              </w:rPr>
              <w:lastRenderedPageBreak/>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4"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5" w14:textId="77777777"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6" w14:textId="77777777"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7"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8"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bl>
    <w:p w14:paraId="393A115A" w14:textId="77777777" w:rsidR="003F57BD" w:rsidRPr="003F57BD" w:rsidRDefault="003F57BD" w:rsidP="00663A00">
      <w:pPr>
        <w:rPr>
          <w:rFonts w:cs="Arial"/>
          <w:i/>
        </w:rPr>
      </w:pPr>
    </w:p>
    <w:p w14:paraId="393A115B" w14:textId="4BB423DD" w:rsidR="001E4C31" w:rsidRPr="001E4C31" w:rsidRDefault="00E564BA" w:rsidP="001E4C31">
      <w:pPr>
        <w:pStyle w:val="Heading1"/>
        <w:rPr>
          <w:i/>
        </w:rPr>
      </w:pPr>
      <w:bookmarkStart w:id="151" w:name="_Toc324318375"/>
      <w:bookmarkStart w:id="152" w:name="_Toc324340504"/>
      <w:bookmarkStart w:id="153" w:name="_Toc391397029"/>
      <w:r>
        <w:rPr>
          <w:i/>
        </w:rPr>
        <w:t>4.3.1 Full</w:t>
      </w:r>
      <w:r w:rsidR="003F57BD" w:rsidRPr="003F57BD">
        <w:rPr>
          <w:i/>
        </w:rPr>
        <w:t xml:space="preserve"> Measure Cost</w:t>
      </w:r>
      <w:bookmarkEnd w:id="151"/>
      <w:bookmarkEnd w:id="152"/>
      <w:bookmarkEnd w:id="153"/>
    </w:p>
    <w:p w14:paraId="127F81FF" w14:textId="77777777" w:rsidR="00AA075B" w:rsidRPr="006A66DA" w:rsidRDefault="00AA075B" w:rsidP="00AA075B">
      <w:pPr>
        <w:rPr>
          <w:rFonts w:cs="Arial"/>
          <w:szCs w:val="20"/>
        </w:rPr>
      </w:pPr>
      <w:r w:rsidRPr="006A66DA">
        <w:rPr>
          <w:rFonts w:cs="Arial"/>
          <w:szCs w:val="20"/>
        </w:rPr>
        <w:t xml:space="preserve">Full Measure Cost is the cost to install an energy efficient measure per the CPUC calculators. This definition implies a different meaning depending on the Measure Application type. </w:t>
      </w:r>
    </w:p>
    <w:p w14:paraId="40AAD918" w14:textId="77777777" w:rsidR="00AA075B" w:rsidRPr="006A66DA" w:rsidRDefault="00AA075B" w:rsidP="00AA075B">
      <w:pPr>
        <w:rPr>
          <w:rFonts w:cs="Arial"/>
          <w:i/>
          <w:szCs w:val="20"/>
        </w:rPr>
      </w:pPr>
      <w:r w:rsidRPr="006A66DA">
        <w:rPr>
          <w:rFonts w:cs="Arial"/>
          <w:i/>
          <w:szCs w:val="20"/>
        </w:rPr>
        <w:t xml:space="preserve">                  </w:t>
      </w:r>
    </w:p>
    <w:p w14:paraId="393A117C" w14:textId="32919167" w:rsidR="003F57BD" w:rsidRPr="006A66DA" w:rsidRDefault="00AA075B" w:rsidP="00663A00">
      <w:pPr>
        <w:rPr>
          <w:rFonts w:cs="Arial"/>
          <w:i/>
          <w:sz w:val="24"/>
          <w:szCs w:val="22"/>
        </w:rPr>
      </w:pPr>
      <w:r w:rsidRPr="006A66DA">
        <w:rPr>
          <w:rFonts w:cs="Arial"/>
          <w:szCs w:val="20"/>
        </w:rPr>
        <w:t>*Note: Various complicated price fluctuations are not addressed in these equations, such as future costs due to inflation in labor, future costs due to deflation in material cost, and other variables that cannot be accurately described at this time.</w:t>
      </w:r>
    </w:p>
    <w:p w14:paraId="393A117D" w14:textId="77777777" w:rsidR="00A47BFE" w:rsidRDefault="001E4C31" w:rsidP="001E4C31">
      <w:pPr>
        <w:pStyle w:val="Heading1"/>
        <w:rPr>
          <w:i/>
        </w:rPr>
      </w:pPr>
      <w:bookmarkStart w:id="154" w:name="_Toc324318376"/>
      <w:bookmarkStart w:id="155" w:name="_Toc324340505"/>
      <w:bookmarkStart w:id="156" w:name="_Toc391397030"/>
      <w:bookmarkStart w:id="157" w:name="_Toc304800221"/>
      <w:r>
        <w:rPr>
          <w:i/>
        </w:rPr>
        <w:t xml:space="preserve">4.3.2 </w:t>
      </w:r>
      <w:r w:rsidR="00A47BFE" w:rsidRPr="00A47BFE">
        <w:rPr>
          <w:i/>
        </w:rPr>
        <w:t>Incremental Measure Costs</w:t>
      </w:r>
      <w:bookmarkEnd w:id="154"/>
      <w:bookmarkEnd w:id="155"/>
      <w:bookmarkEnd w:id="156"/>
    </w:p>
    <w:p w14:paraId="62D7BA0F" w14:textId="77777777" w:rsidR="00AA075B" w:rsidRPr="006A66DA" w:rsidRDefault="00AA075B" w:rsidP="00AA075B">
      <w:pPr>
        <w:rPr>
          <w:rFonts w:cs="Arial"/>
        </w:rPr>
      </w:pPr>
      <w:r w:rsidRPr="006A66DA">
        <w:rPr>
          <w:rFonts w:cs="Arial"/>
        </w:rPr>
        <w:t xml:space="preserve">Incremental Measure Cost is the premium cost to install an energy efficient measure over a standard efficiency measure or code baseline measure. While IMC has a straightforward definition depending on the Measure Application type, the equation does vary. </w:t>
      </w:r>
    </w:p>
    <w:p w14:paraId="0909B3E9" w14:textId="77777777" w:rsidR="00AA075B" w:rsidRDefault="00AA075B" w:rsidP="00AA075B">
      <w:pPr>
        <w:rPr>
          <w:rFonts w:cs="Arial"/>
          <w:sz w:val="24"/>
        </w:rPr>
      </w:pPr>
    </w:p>
    <w:p w14:paraId="544798AE" w14:textId="77777777" w:rsidR="00AA075B" w:rsidRPr="006A66DA" w:rsidRDefault="00AA075B" w:rsidP="00AA075B">
      <w:pPr>
        <w:ind w:right="720"/>
        <w:rPr>
          <w:rFonts w:cs="Arial"/>
          <w:szCs w:val="22"/>
        </w:rPr>
      </w:pPr>
      <w:r w:rsidRPr="006A66DA">
        <w:rPr>
          <w:rFonts w:cs="Arial"/>
          <w:szCs w:val="22"/>
        </w:rPr>
        <w:t>Incremental measure costs are used in the analysis.</w:t>
      </w:r>
    </w:p>
    <w:p w14:paraId="59B93D67" w14:textId="77777777" w:rsidR="00AA075B" w:rsidRPr="006A66DA" w:rsidRDefault="00AA075B" w:rsidP="00AA075B">
      <w:pPr>
        <w:ind w:left="720" w:right="720"/>
        <w:rPr>
          <w:rFonts w:cs="Arial"/>
          <w:szCs w:val="22"/>
        </w:rPr>
      </w:pPr>
    </w:p>
    <w:p w14:paraId="32756B5D" w14:textId="77777777" w:rsidR="00AA075B" w:rsidRPr="006A66DA" w:rsidRDefault="00AA075B" w:rsidP="00AA075B">
      <w:pPr>
        <w:ind w:firstLine="720"/>
        <w:rPr>
          <w:rFonts w:cs="Arial"/>
          <w:szCs w:val="22"/>
        </w:rPr>
      </w:pPr>
      <w:r w:rsidRPr="006A66DA">
        <w:rPr>
          <w:rFonts w:cs="Arial"/>
          <w:szCs w:val="22"/>
        </w:rPr>
        <w:t>IMC = Measure Equipment Cost – Base Case Equipment Cost</w:t>
      </w:r>
    </w:p>
    <w:p w14:paraId="5DA4AB8B" w14:textId="77777777" w:rsidR="00AA075B" w:rsidRPr="006A66DA" w:rsidRDefault="00AA075B" w:rsidP="00AA075B">
      <w:pPr>
        <w:ind w:firstLine="720"/>
        <w:rPr>
          <w:rFonts w:cs="Arial"/>
          <w:szCs w:val="22"/>
        </w:rPr>
      </w:pPr>
    </w:p>
    <w:p w14:paraId="1155EEC2" w14:textId="6FEDD13B" w:rsidR="00AA075B" w:rsidRPr="006A66DA" w:rsidRDefault="004C5560" w:rsidP="00AA075B">
      <w:pPr>
        <w:ind w:firstLine="720"/>
        <w:rPr>
          <w:rFonts w:cs="Arial"/>
          <w:i/>
          <w:szCs w:val="22"/>
        </w:rPr>
      </w:pPr>
      <w:r>
        <w:rPr>
          <w:rFonts w:cs="Arial"/>
          <w:i/>
          <w:szCs w:val="22"/>
        </w:rPr>
        <w:t>FS001</w:t>
      </w:r>
      <w:r w:rsidR="00AC11AB" w:rsidRPr="006A66DA">
        <w:rPr>
          <w:rFonts w:cs="Arial"/>
          <w:i/>
          <w:szCs w:val="22"/>
        </w:rPr>
        <w:t>: IMC = $</w:t>
      </w:r>
      <w:r w:rsidR="0071415C" w:rsidRPr="006A66DA">
        <w:rPr>
          <w:rFonts w:cs="Arial"/>
          <w:i/>
          <w:szCs w:val="22"/>
        </w:rPr>
        <w:t>98</w:t>
      </w:r>
      <w:r w:rsidR="00AC11AB" w:rsidRPr="006A66DA">
        <w:rPr>
          <w:rFonts w:cs="Arial"/>
          <w:i/>
          <w:szCs w:val="22"/>
        </w:rPr>
        <w:t xml:space="preserve">   per (unit) -- $</w:t>
      </w:r>
      <w:r w:rsidR="0071415C" w:rsidRPr="006A66DA">
        <w:rPr>
          <w:rFonts w:cs="Arial"/>
          <w:i/>
          <w:szCs w:val="22"/>
        </w:rPr>
        <w:t>49</w:t>
      </w:r>
      <w:r w:rsidR="00AC11AB" w:rsidRPr="006A66DA">
        <w:rPr>
          <w:rFonts w:cs="Arial"/>
          <w:i/>
          <w:szCs w:val="22"/>
        </w:rPr>
        <w:t xml:space="preserve"> per (unit) = $</w:t>
      </w:r>
      <w:r w:rsidR="0071415C" w:rsidRPr="006A66DA">
        <w:rPr>
          <w:rFonts w:cs="Arial"/>
          <w:i/>
          <w:szCs w:val="22"/>
        </w:rPr>
        <w:t>49</w:t>
      </w:r>
      <w:r w:rsidR="00AA075B" w:rsidRPr="006A66DA">
        <w:rPr>
          <w:rFonts w:cs="Arial"/>
          <w:i/>
          <w:szCs w:val="22"/>
        </w:rPr>
        <w:t xml:space="preserve">   per (unit)</w:t>
      </w:r>
    </w:p>
    <w:p w14:paraId="393A1193" w14:textId="77777777" w:rsidR="002F3610" w:rsidRPr="006A66DA" w:rsidRDefault="002F3610" w:rsidP="00AA075B">
      <w:pPr>
        <w:rPr>
          <w:rFonts w:cs="Arial"/>
          <w:i/>
          <w:szCs w:val="22"/>
        </w:rPr>
      </w:pPr>
    </w:p>
    <w:p w14:paraId="393A1194" w14:textId="77777777" w:rsidR="002F3610" w:rsidRDefault="002F3610" w:rsidP="00ED3B31">
      <w:pPr>
        <w:ind w:firstLine="720"/>
        <w:rPr>
          <w:rFonts w:cs="Arial"/>
          <w:i/>
          <w:sz w:val="20"/>
          <w:szCs w:val="20"/>
        </w:rPr>
      </w:pPr>
    </w:p>
    <w:p w14:paraId="393A11B3" w14:textId="77777777" w:rsidR="00A47BFE" w:rsidRPr="00ED3B31" w:rsidRDefault="00A47BFE" w:rsidP="00786700">
      <w:pPr>
        <w:pStyle w:val="Heading1"/>
        <w:rPr>
          <w:sz w:val="20"/>
          <w:szCs w:val="20"/>
        </w:rPr>
      </w:pPr>
    </w:p>
    <w:p w14:paraId="43B8B679" w14:textId="77777777" w:rsidR="00AA075B" w:rsidRDefault="00915CE6" w:rsidP="00AA075B">
      <w:pPr>
        <w:pStyle w:val="Heading1"/>
      </w:pPr>
      <w:bookmarkStart w:id="158" w:name="_MON_1382719630"/>
      <w:bookmarkStart w:id="159" w:name="_Toc324340506"/>
      <w:bookmarkStart w:id="160" w:name="_Toc324318377"/>
      <w:bookmarkStart w:id="161" w:name="_Toc324340404"/>
      <w:bookmarkEnd w:id="158"/>
      <w:r>
        <w:br w:type="page"/>
      </w:r>
      <w:bookmarkStart w:id="162" w:name="_Toc391397031"/>
      <w:bookmarkEnd w:id="157"/>
      <w:bookmarkEnd w:id="159"/>
      <w:bookmarkEnd w:id="160"/>
      <w:bookmarkEnd w:id="161"/>
      <w:r w:rsidR="00AA075B">
        <w:lastRenderedPageBreak/>
        <w:t xml:space="preserve">Appendix </w:t>
      </w:r>
      <w:r w:rsidR="00AA075B">
        <w:rPr>
          <w:bCs w:val="0"/>
        </w:rPr>
        <w:t>A</w:t>
      </w:r>
      <w:bookmarkEnd w:id="162"/>
      <w:r w:rsidR="00AA075B">
        <w:t xml:space="preserve"> </w:t>
      </w:r>
    </w:p>
    <w:p w14:paraId="203D172D" w14:textId="77777777" w:rsidR="00AA075B" w:rsidRDefault="00AA075B" w:rsidP="00AA075B">
      <w:r>
        <w:t xml:space="preserve">Equipment prices for these work papers were compiled from a number of sources including, </w:t>
      </w:r>
      <w:proofErr w:type="spellStart"/>
      <w:r>
        <w:t>Autoquotes</w:t>
      </w:r>
      <w:proofErr w:type="spellEnd"/>
      <w:r>
        <w:t>, equipment sales reps and manufacturer sources. Since equipment pricing in food service is closely held information and prices vary widely according to buying volume and other factors, we cannot list the sources for prices specifically.</w:t>
      </w:r>
    </w:p>
    <w:p w14:paraId="62AEDD4E" w14:textId="77777777" w:rsidR="00AA075B" w:rsidRDefault="00AA075B" w:rsidP="00AA075B"/>
    <w:p w14:paraId="696CEFDF" w14:textId="5F8953B0" w:rsidR="00AA075B" w:rsidRDefault="00AA075B" w:rsidP="00AA075B">
      <w:pPr>
        <w:keepNext/>
        <w:rPr>
          <w:rFonts w:cs="Arial"/>
          <w:b/>
          <w:bCs/>
          <w:vertAlign w:val="superscript"/>
        </w:rPr>
      </w:pPr>
      <w:r>
        <w:rPr>
          <w:rFonts w:cs="Arial"/>
          <w:b/>
          <w:bCs/>
        </w:rPr>
        <w:t xml:space="preserve">Equipment Cost Data for </w:t>
      </w:r>
      <w:r w:rsidR="00E57FAD">
        <w:rPr>
          <w:rFonts w:cs="Arial"/>
          <w:b/>
          <w:bCs/>
        </w:rPr>
        <w:t>Pre-Rinse Spray Valves</w:t>
      </w:r>
      <w:r>
        <w:rPr>
          <w:rFonts w:cs="Arial"/>
          <w:b/>
          <w:bCs/>
        </w:rPr>
        <w:t xml:space="preserve"> </w:t>
      </w:r>
    </w:p>
    <w:tbl>
      <w:tblPr>
        <w:tblW w:w="5000" w:type="pct"/>
        <w:jc w:val="center"/>
        <w:tblLook w:val="04A0" w:firstRow="1" w:lastRow="0" w:firstColumn="1" w:lastColumn="0" w:noHBand="0" w:noVBand="1"/>
      </w:tblPr>
      <w:tblGrid>
        <w:gridCol w:w="1931"/>
        <w:gridCol w:w="2549"/>
        <w:gridCol w:w="2179"/>
        <w:gridCol w:w="1687"/>
        <w:gridCol w:w="1230"/>
      </w:tblGrid>
      <w:tr w:rsidR="00AA075B" w14:paraId="1974B2CD" w14:textId="77777777" w:rsidTr="006F469D">
        <w:trPr>
          <w:trHeight w:val="300"/>
          <w:tblHeader/>
          <w:jc w:val="center"/>
        </w:trPr>
        <w:tc>
          <w:tcPr>
            <w:tcW w:w="1008" w:type="pct"/>
            <w:tcBorders>
              <w:top w:val="single" w:sz="4" w:space="0" w:color="auto"/>
              <w:left w:val="single" w:sz="4" w:space="0" w:color="auto"/>
              <w:bottom w:val="single" w:sz="4" w:space="0" w:color="auto"/>
              <w:right w:val="single" w:sz="4" w:space="0" w:color="auto"/>
            </w:tcBorders>
            <w:shd w:val="clear" w:color="auto" w:fill="C0C0C0"/>
            <w:noWrap/>
            <w:vAlign w:val="bottom"/>
            <w:hideMark/>
          </w:tcPr>
          <w:p w14:paraId="133B257E" w14:textId="77777777" w:rsidR="00AA075B" w:rsidRDefault="00AA075B">
            <w:pPr>
              <w:jc w:val="center"/>
              <w:rPr>
                <w:rFonts w:cs="Arial"/>
                <w:b/>
                <w:bCs/>
                <w:color w:val="000000"/>
                <w:sz w:val="20"/>
                <w:szCs w:val="20"/>
              </w:rPr>
            </w:pPr>
            <w:r>
              <w:rPr>
                <w:rFonts w:cs="Arial"/>
                <w:b/>
                <w:bCs/>
                <w:color w:val="000000"/>
                <w:sz w:val="20"/>
                <w:szCs w:val="20"/>
              </w:rPr>
              <w:t>Group</w:t>
            </w:r>
          </w:p>
        </w:tc>
        <w:tc>
          <w:tcPr>
            <w:tcW w:w="1331" w:type="pct"/>
            <w:tcBorders>
              <w:top w:val="single" w:sz="4" w:space="0" w:color="auto"/>
              <w:left w:val="nil"/>
              <w:bottom w:val="single" w:sz="4" w:space="0" w:color="auto"/>
              <w:right w:val="single" w:sz="4" w:space="0" w:color="auto"/>
            </w:tcBorders>
            <w:shd w:val="clear" w:color="auto" w:fill="C0C0C0"/>
            <w:noWrap/>
            <w:vAlign w:val="bottom"/>
            <w:hideMark/>
          </w:tcPr>
          <w:p w14:paraId="5F1A0054" w14:textId="77777777" w:rsidR="00AA075B" w:rsidRDefault="00AA075B">
            <w:pPr>
              <w:jc w:val="center"/>
              <w:rPr>
                <w:rFonts w:cs="Arial"/>
                <w:b/>
                <w:bCs/>
                <w:color w:val="000000"/>
                <w:sz w:val="20"/>
                <w:szCs w:val="20"/>
              </w:rPr>
            </w:pPr>
            <w:r>
              <w:rPr>
                <w:rFonts w:cs="Arial"/>
                <w:b/>
                <w:bCs/>
                <w:color w:val="000000"/>
                <w:sz w:val="20"/>
                <w:szCs w:val="20"/>
              </w:rPr>
              <w:t>Make</w:t>
            </w:r>
          </w:p>
        </w:tc>
        <w:tc>
          <w:tcPr>
            <w:tcW w:w="1138" w:type="pct"/>
            <w:tcBorders>
              <w:top w:val="single" w:sz="4" w:space="0" w:color="auto"/>
              <w:left w:val="nil"/>
              <w:bottom w:val="single" w:sz="4" w:space="0" w:color="auto"/>
              <w:right w:val="single" w:sz="4" w:space="0" w:color="auto"/>
            </w:tcBorders>
            <w:shd w:val="clear" w:color="auto" w:fill="C0C0C0"/>
            <w:noWrap/>
            <w:vAlign w:val="bottom"/>
            <w:hideMark/>
          </w:tcPr>
          <w:p w14:paraId="038B8125" w14:textId="77777777" w:rsidR="00AA075B" w:rsidRDefault="00AA075B">
            <w:pPr>
              <w:jc w:val="center"/>
              <w:rPr>
                <w:rFonts w:cs="Arial"/>
                <w:b/>
                <w:bCs/>
                <w:color w:val="000000"/>
                <w:sz w:val="20"/>
                <w:szCs w:val="20"/>
              </w:rPr>
            </w:pPr>
            <w:r>
              <w:rPr>
                <w:rFonts w:cs="Arial"/>
                <w:b/>
                <w:bCs/>
                <w:color w:val="000000"/>
                <w:sz w:val="20"/>
                <w:szCs w:val="20"/>
              </w:rPr>
              <w:t>Model</w:t>
            </w:r>
          </w:p>
        </w:tc>
        <w:tc>
          <w:tcPr>
            <w:tcW w:w="881" w:type="pct"/>
            <w:tcBorders>
              <w:top w:val="single" w:sz="4" w:space="0" w:color="auto"/>
              <w:left w:val="nil"/>
              <w:bottom w:val="single" w:sz="4" w:space="0" w:color="auto"/>
              <w:right w:val="single" w:sz="4" w:space="0" w:color="auto"/>
            </w:tcBorders>
            <w:shd w:val="clear" w:color="auto" w:fill="C0C0C0"/>
            <w:noWrap/>
            <w:vAlign w:val="bottom"/>
            <w:hideMark/>
          </w:tcPr>
          <w:p w14:paraId="19E607C4" w14:textId="77777777" w:rsidR="00AA075B" w:rsidRDefault="00AA075B">
            <w:pPr>
              <w:jc w:val="center"/>
              <w:rPr>
                <w:rFonts w:cs="Arial"/>
                <w:b/>
                <w:bCs/>
                <w:color w:val="000000"/>
                <w:sz w:val="20"/>
                <w:szCs w:val="20"/>
              </w:rPr>
            </w:pPr>
            <w:r>
              <w:rPr>
                <w:rFonts w:cs="Arial"/>
                <w:b/>
                <w:bCs/>
                <w:color w:val="000000"/>
                <w:sz w:val="20"/>
                <w:szCs w:val="20"/>
              </w:rPr>
              <w:t>List Price ($)</w:t>
            </w:r>
          </w:p>
        </w:tc>
        <w:tc>
          <w:tcPr>
            <w:tcW w:w="642" w:type="pct"/>
            <w:tcBorders>
              <w:top w:val="single" w:sz="4" w:space="0" w:color="auto"/>
              <w:left w:val="nil"/>
              <w:bottom w:val="single" w:sz="4" w:space="0" w:color="auto"/>
              <w:right w:val="single" w:sz="4" w:space="0" w:color="auto"/>
            </w:tcBorders>
            <w:shd w:val="clear" w:color="auto" w:fill="C0C0C0"/>
            <w:noWrap/>
            <w:vAlign w:val="bottom"/>
            <w:hideMark/>
          </w:tcPr>
          <w:p w14:paraId="28C49AD5" w14:textId="77777777" w:rsidR="00AA075B" w:rsidRDefault="00AA075B">
            <w:pPr>
              <w:jc w:val="center"/>
              <w:rPr>
                <w:rFonts w:cs="Arial"/>
                <w:b/>
                <w:bCs/>
                <w:color w:val="000000"/>
                <w:sz w:val="20"/>
                <w:szCs w:val="20"/>
              </w:rPr>
            </w:pPr>
            <w:r>
              <w:rPr>
                <w:rFonts w:cs="Arial"/>
                <w:b/>
                <w:bCs/>
                <w:color w:val="000000"/>
                <w:sz w:val="20"/>
                <w:szCs w:val="20"/>
              </w:rPr>
              <w:t>Cost ($)*</w:t>
            </w:r>
          </w:p>
        </w:tc>
      </w:tr>
      <w:tr w:rsidR="007C3548" w14:paraId="6F662399" w14:textId="77777777" w:rsidTr="00D801EE">
        <w:trPr>
          <w:trHeight w:val="300"/>
          <w:jc w:val="center"/>
        </w:trPr>
        <w:tc>
          <w:tcPr>
            <w:tcW w:w="1008" w:type="pct"/>
            <w:tcBorders>
              <w:top w:val="nil"/>
              <w:left w:val="single" w:sz="4" w:space="0" w:color="auto"/>
              <w:bottom w:val="single" w:sz="4" w:space="0" w:color="auto"/>
              <w:right w:val="single" w:sz="4" w:space="0" w:color="auto"/>
            </w:tcBorders>
            <w:noWrap/>
            <w:vAlign w:val="center"/>
            <w:hideMark/>
          </w:tcPr>
          <w:p w14:paraId="2CFC18A6" w14:textId="00F7FECA" w:rsidR="007C3548" w:rsidRDefault="007C3548">
            <w:pPr>
              <w:jc w:val="center"/>
              <w:rPr>
                <w:rFonts w:cs="Arial"/>
                <w:color w:val="000000"/>
                <w:sz w:val="20"/>
                <w:szCs w:val="20"/>
              </w:rPr>
            </w:pPr>
            <w:r>
              <w:rPr>
                <w:rFonts w:cs="Arial"/>
                <w:color w:val="000000"/>
                <w:sz w:val="20"/>
                <w:szCs w:val="20"/>
              </w:rPr>
              <w:t>Energy Efficient</w:t>
            </w:r>
          </w:p>
        </w:tc>
        <w:tc>
          <w:tcPr>
            <w:tcW w:w="1331" w:type="pct"/>
            <w:tcBorders>
              <w:top w:val="nil"/>
              <w:left w:val="nil"/>
              <w:bottom w:val="single" w:sz="4" w:space="0" w:color="auto"/>
              <w:right w:val="single" w:sz="4" w:space="0" w:color="auto"/>
            </w:tcBorders>
            <w:noWrap/>
            <w:vAlign w:val="bottom"/>
            <w:hideMark/>
          </w:tcPr>
          <w:p w14:paraId="5E4A584B" w14:textId="46B62CA3" w:rsidR="007C3548" w:rsidRDefault="007C3548">
            <w:pPr>
              <w:jc w:val="center"/>
              <w:rPr>
                <w:rFonts w:cs="Arial"/>
                <w:color w:val="000000"/>
                <w:sz w:val="20"/>
                <w:szCs w:val="20"/>
              </w:rPr>
            </w:pPr>
            <w:r>
              <w:rPr>
                <w:rFonts w:ascii="Calibri" w:hAnsi="Calibri" w:cs="Calibri"/>
                <w:color w:val="000000"/>
                <w:szCs w:val="22"/>
              </w:rPr>
              <w:t>PRSV #1</w:t>
            </w:r>
          </w:p>
        </w:tc>
        <w:tc>
          <w:tcPr>
            <w:tcW w:w="1138" w:type="pct"/>
            <w:tcBorders>
              <w:top w:val="nil"/>
              <w:left w:val="nil"/>
              <w:bottom w:val="single" w:sz="4" w:space="0" w:color="auto"/>
              <w:right w:val="single" w:sz="4" w:space="0" w:color="auto"/>
            </w:tcBorders>
            <w:noWrap/>
            <w:vAlign w:val="bottom"/>
            <w:hideMark/>
          </w:tcPr>
          <w:p w14:paraId="652A13BB" w14:textId="73F8B5FA" w:rsidR="007C3548" w:rsidRDefault="007C3548">
            <w:pPr>
              <w:jc w:val="center"/>
              <w:rPr>
                <w:rFonts w:cs="Arial"/>
                <w:color w:val="000000"/>
                <w:sz w:val="20"/>
                <w:szCs w:val="20"/>
              </w:rPr>
            </w:pPr>
            <w:r>
              <w:rPr>
                <w:rFonts w:ascii="Calibri" w:hAnsi="Calibri" w:cs="Calibri"/>
                <w:color w:val="000000"/>
                <w:szCs w:val="22"/>
              </w:rPr>
              <w:t>B-107-J</w:t>
            </w:r>
          </w:p>
        </w:tc>
        <w:tc>
          <w:tcPr>
            <w:tcW w:w="881" w:type="pct"/>
            <w:tcBorders>
              <w:top w:val="nil"/>
              <w:left w:val="nil"/>
              <w:bottom w:val="single" w:sz="4" w:space="0" w:color="auto"/>
              <w:right w:val="single" w:sz="4" w:space="0" w:color="auto"/>
            </w:tcBorders>
            <w:noWrap/>
            <w:hideMark/>
          </w:tcPr>
          <w:p w14:paraId="1A43C8A6" w14:textId="5A259A18" w:rsidR="007C3548" w:rsidRDefault="007C3548">
            <w:pPr>
              <w:jc w:val="center"/>
              <w:rPr>
                <w:rFonts w:cs="Arial"/>
                <w:color w:val="000000"/>
                <w:sz w:val="20"/>
                <w:szCs w:val="20"/>
              </w:rPr>
            </w:pPr>
            <w:r w:rsidRPr="0079328F">
              <w:t xml:space="preserve"> $197 </w:t>
            </w:r>
          </w:p>
        </w:tc>
        <w:tc>
          <w:tcPr>
            <w:tcW w:w="642" w:type="pct"/>
            <w:tcBorders>
              <w:top w:val="nil"/>
              <w:left w:val="nil"/>
              <w:bottom w:val="single" w:sz="4" w:space="0" w:color="auto"/>
              <w:right w:val="single" w:sz="4" w:space="0" w:color="auto"/>
            </w:tcBorders>
            <w:noWrap/>
            <w:hideMark/>
          </w:tcPr>
          <w:p w14:paraId="3575485F" w14:textId="48F0D3E8" w:rsidR="007C3548" w:rsidRDefault="007C3548">
            <w:pPr>
              <w:jc w:val="center"/>
              <w:rPr>
                <w:rFonts w:cs="Arial"/>
                <w:color w:val="000000"/>
                <w:sz w:val="20"/>
                <w:szCs w:val="20"/>
              </w:rPr>
            </w:pPr>
            <w:r w:rsidRPr="00A41C8B">
              <w:t xml:space="preserve"> $99 </w:t>
            </w:r>
          </w:p>
        </w:tc>
      </w:tr>
      <w:tr w:rsidR="007C3548" w14:paraId="1EEB1F44" w14:textId="77777777" w:rsidTr="00D801EE">
        <w:trPr>
          <w:trHeight w:val="300"/>
          <w:jc w:val="center"/>
        </w:trPr>
        <w:tc>
          <w:tcPr>
            <w:tcW w:w="1008" w:type="pct"/>
            <w:tcBorders>
              <w:top w:val="nil"/>
              <w:left w:val="single" w:sz="4" w:space="0" w:color="auto"/>
              <w:bottom w:val="single" w:sz="4" w:space="0" w:color="auto"/>
              <w:right w:val="single" w:sz="4" w:space="0" w:color="auto"/>
            </w:tcBorders>
            <w:noWrap/>
            <w:vAlign w:val="center"/>
            <w:hideMark/>
          </w:tcPr>
          <w:p w14:paraId="3C70A289" w14:textId="35A851AA" w:rsidR="007C3548" w:rsidRDefault="007C3548">
            <w:pPr>
              <w:jc w:val="center"/>
              <w:rPr>
                <w:rFonts w:cs="Arial"/>
                <w:color w:val="000000"/>
                <w:sz w:val="20"/>
                <w:szCs w:val="20"/>
              </w:rPr>
            </w:pPr>
            <w:r>
              <w:rPr>
                <w:rFonts w:cs="Arial"/>
                <w:color w:val="000000"/>
                <w:sz w:val="20"/>
                <w:szCs w:val="20"/>
              </w:rPr>
              <w:t>Energy Efficient</w:t>
            </w:r>
          </w:p>
        </w:tc>
        <w:tc>
          <w:tcPr>
            <w:tcW w:w="1331" w:type="pct"/>
            <w:tcBorders>
              <w:top w:val="nil"/>
              <w:left w:val="nil"/>
              <w:bottom w:val="single" w:sz="4" w:space="0" w:color="auto"/>
              <w:right w:val="single" w:sz="4" w:space="0" w:color="auto"/>
            </w:tcBorders>
            <w:noWrap/>
            <w:vAlign w:val="bottom"/>
            <w:hideMark/>
          </w:tcPr>
          <w:p w14:paraId="481848A5" w14:textId="567D4F35" w:rsidR="007C3548" w:rsidRDefault="007C3548">
            <w:pPr>
              <w:jc w:val="center"/>
              <w:rPr>
                <w:rFonts w:cs="Arial"/>
                <w:color w:val="000000"/>
                <w:sz w:val="20"/>
                <w:szCs w:val="20"/>
              </w:rPr>
            </w:pPr>
            <w:r>
              <w:rPr>
                <w:rFonts w:ascii="Calibri" w:hAnsi="Calibri" w:cs="Calibri"/>
                <w:color w:val="000000"/>
                <w:szCs w:val="22"/>
              </w:rPr>
              <w:t>PRSV #2</w:t>
            </w:r>
          </w:p>
        </w:tc>
        <w:tc>
          <w:tcPr>
            <w:tcW w:w="1138" w:type="pct"/>
            <w:tcBorders>
              <w:top w:val="nil"/>
              <w:left w:val="nil"/>
              <w:bottom w:val="single" w:sz="4" w:space="0" w:color="auto"/>
              <w:right w:val="single" w:sz="4" w:space="0" w:color="auto"/>
            </w:tcBorders>
            <w:noWrap/>
            <w:vAlign w:val="bottom"/>
            <w:hideMark/>
          </w:tcPr>
          <w:p w14:paraId="66A7CAD7" w14:textId="2DE0735D" w:rsidR="007C3548" w:rsidRDefault="007C3548">
            <w:pPr>
              <w:jc w:val="center"/>
              <w:rPr>
                <w:rFonts w:cs="Arial"/>
                <w:color w:val="000000"/>
                <w:sz w:val="20"/>
                <w:szCs w:val="20"/>
              </w:rPr>
            </w:pPr>
            <w:proofErr w:type="spellStart"/>
            <w:r>
              <w:rPr>
                <w:rFonts w:ascii="Calibri" w:hAnsi="Calibri" w:cs="Calibri"/>
                <w:color w:val="000000"/>
                <w:szCs w:val="22"/>
              </w:rPr>
              <w:t>Ultraspray</w:t>
            </w:r>
            <w:proofErr w:type="spellEnd"/>
            <w:r>
              <w:rPr>
                <w:rFonts w:ascii="Calibri" w:hAnsi="Calibri" w:cs="Calibri"/>
                <w:color w:val="000000"/>
                <w:szCs w:val="22"/>
              </w:rPr>
              <w:t xml:space="preserve"> 2924</w:t>
            </w:r>
          </w:p>
        </w:tc>
        <w:tc>
          <w:tcPr>
            <w:tcW w:w="881" w:type="pct"/>
            <w:tcBorders>
              <w:top w:val="nil"/>
              <w:left w:val="nil"/>
              <w:bottom w:val="single" w:sz="4" w:space="0" w:color="auto"/>
              <w:right w:val="single" w:sz="4" w:space="0" w:color="auto"/>
            </w:tcBorders>
            <w:noWrap/>
            <w:hideMark/>
          </w:tcPr>
          <w:p w14:paraId="4E1D7F55" w14:textId="53421C79" w:rsidR="007C3548" w:rsidRDefault="007C3548">
            <w:pPr>
              <w:jc w:val="center"/>
              <w:rPr>
                <w:rFonts w:cs="Arial"/>
                <w:color w:val="000000"/>
                <w:sz w:val="20"/>
                <w:szCs w:val="20"/>
              </w:rPr>
            </w:pPr>
            <w:r w:rsidRPr="0079328F">
              <w:t xml:space="preserve"> $160 </w:t>
            </w:r>
          </w:p>
        </w:tc>
        <w:tc>
          <w:tcPr>
            <w:tcW w:w="642" w:type="pct"/>
            <w:tcBorders>
              <w:top w:val="nil"/>
              <w:left w:val="nil"/>
              <w:bottom w:val="single" w:sz="4" w:space="0" w:color="auto"/>
              <w:right w:val="single" w:sz="4" w:space="0" w:color="auto"/>
            </w:tcBorders>
            <w:noWrap/>
            <w:hideMark/>
          </w:tcPr>
          <w:p w14:paraId="5CAAC8ED" w14:textId="0DD363BA" w:rsidR="007C3548" w:rsidRDefault="007C3548">
            <w:pPr>
              <w:jc w:val="center"/>
              <w:rPr>
                <w:rFonts w:cs="Arial"/>
                <w:color w:val="000000"/>
                <w:sz w:val="20"/>
                <w:szCs w:val="20"/>
              </w:rPr>
            </w:pPr>
            <w:r w:rsidRPr="00A41C8B">
              <w:t xml:space="preserve"> $80 </w:t>
            </w:r>
          </w:p>
        </w:tc>
      </w:tr>
      <w:tr w:rsidR="007C3548" w14:paraId="7CAF50E3" w14:textId="77777777" w:rsidTr="00D801EE">
        <w:trPr>
          <w:trHeight w:val="300"/>
          <w:jc w:val="center"/>
        </w:trPr>
        <w:tc>
          <w:tcPr>
            <w:tcW w:w="1008" w:type="pct"/>
            <w:tcBorders>
              <w:top w:val="nil"/>
              <w:left w:val="single" w:sz="4" w:space="0" w:color="auto"/>
              <w:bottom w:val="single" w:sz="4" w:space="0" w:color="auto"/>
              <w:right w:val="single" w:sz="4" w:space="0" w:color="auto"/>
            </w:tcBorders>
            <w:noWrap/>
            <w:vAlign w:val="center"/>
            <w:hideMark/>
          </w:tcPr>
          <w:p w14:paraId="3D1B2E26" w14:textId="77777777" w:rsidR="007C3548" w:rsidRDefault="007C3548">
            <w:pPr>
              <w:jc w:val="center"/>
              <w:rPr>
                <w:rFonts w:cs="Arial"/>
                <w:color w:val="000000"/>
                <w:sz w:val="20"/>
                <w:szCs w:val="20"/>
              </w:rPr>
            </w:pPr>
            <w:r>
              <w:rPr>
                <w:rFonts w:cs="Arial"/>
                <w:color w:val="000000"/>
                <w:sz w:val="20"/>
                <w:szCs w:val="20"/>
              </w:rPr>
              <w:t>Baseline</w:t>
            </w:r>
          </w:p>
        </w:tc>
        <w:tc>
          <w:tcPr>
            <w:tcW w:w="1331" w:type="pct"/>
            <w:tcBorders>
              <w:top w:val="nil"/>
              <w:left w:val="nil"/>
              <w:bottom w:val="single" w:sz="4" w:space="0" w:color="auto"/>
              <w:right w:val="single" w:sz="4" w:space="0" w:color="auto"/>
            </w:tcBorders>
            <w:noWrap/>
            <w:vAlign w:val="bottom"/>
            <w:hideMark/>
          </w:tcPr>
          <w:p w14:paraId="56C6355B" w14:textId="3315597E" w:rsidR="007C3548" w:rsidRDefault="007C3548">
            <w:pPr>
              <w:jc w:val="center"/>
              <w:rPr>
                <w:rFonts w:cs="Arial"/>
                <w:color w:val="000000"/>
                <w:sz w:val="20"/>
                <w:szCs w:val="20"/>
              </w:rPr>
            </w:pPr>
            <w:r>
              <w:rPr>
                <w:rFonts w:ascii="Calibri" w:hAnsi="Calibri" w:cs="Calibri"/>
                <w:color w:val="000000"/>
                <w:szCs w:val="22"/>
              </w:rPr>
              <w:t>PRSV #3</w:t>
            </w:r>
          </w:p>
        </w:tc>
        <w:tc>
          <w:tcPr>
            <w:tcW w:w="1138" w:type="pct"/>
            <w:tcBorders>
              <w:top w:val="nil"/>
              <w:left w:val="nil"/>
              <w:bottom w:val="single" w:sz="4" w:space="0" w:color="auto"/>
              <w:right w:val="single" w:sz="4" w:space="0" w:color="auto"/>
            </w:tcBorders>
            <w:noWrap/>
            <w:vAlign w:val="bottom"/>
            <w:hideMark/>
          </w:tcPr>
          <w:p w14:paraId="0CF9BDD3" w14:textId="18DAF9FA" w:rsidR="007C3548" w:rsidRDefault="007C3548">
            <w:pPr>
              <w:jc w:val="center"/>
              <w:rPr>
                <w:rFonts w:cs="Arial"/>
                <w:color w:val="000000"/>
                <w:sz w:val="20"/>
                <w:szCs w:val="20"/>
              </w:rPr>
            </w:pPr>
            <w:r>
              <w:rPr>
                <w:rFonts w:ascii="Calibri" w:hAnsi="Calibri" w:cs="Calibri"/>
                <w:color w:val="000000"/>
                <w:szCs w:val="22"/>
              </w:rPr>
              <w:t>JF-105</w:t>
            </w:r>
          </w:p>
        </w:tc>
        <w:tc>
          <w:tcPr>
            <w:tcW w:w="881" w:type="pct"/>
            <w:tcBorders>
              <w:top w:val="nil"/>
              <w:left w:val="nil"/>
              <w:bottom w:val="single" w:sz="4" w:space="0" w:color="auto"/>
              <w:right w:val="single" w:sz="4" w:space="0" w:color="auto"/>
            </w:tcBorders>
            <w:noWrap/>
            <w:hideMark/>
          </w:tcPr>
          <w:p w14:paraId="63F4125B" w14:textId="02177F51" w:rsidR="007C3548" w:rsidRDefault="007C3548">
            <w:pPr>
              <w:jc w:val="center"/>
              <w:rPr>
                <w:rFonts w:cs="Arial"/>
                <w:color w:val="000000"/>
                <w:sz w:val="20"/>
                <w:szCs w:val="20"/>
              </w:rPr>
            </w:pPr>
            <w:r w:rsidRPr="006B3F66">
              <w:t xml:space="preserve"> $68 </w:t>
            </w:r>
          </w:p>
        </w:tc>
        <w:tc>
          <w:tcPr>
            <w:tcW w:w="642" w:type="pct"/>
            <w:tcBorders>
              <w:top w:val="nil"/>
              <w:left w:val="nil"/>
              <w:bottom w:val="single" w:sz="4" w:space="0" w:color="auto"/>
              <w:right w:val="single" w:sz="4" w:space="0" w:color="auto"/>
            </w:tcBorders>
            <w:noWrap/>
            <w:hideMark/>
          </w:tcPr>
          <w:p w14:paraId="25710A92" w14:textId="7EFD9DA0" w:rsidR="007C3548" w:rsidRDefault="007C3548">
            <w:pPr>
              <w:jc w:val="center"/>
              <w:rPr>
                <w:rFonts w:cs="Arial"/>
                <w:color w:val="000000"/>
                <w:sz w:val="20"/>
                <w:szCs w:val="20"/>
              </w:rPr>
            </w:pPr>
            <w:r w:rsidRPr="003C77BD">
              <w:t xml:space="preserve"> $34 </w:t>
            </w:r>
          </w:p>
        </w:tc>
      </w:tr>
      <w:tr w:rsidR="007C3548" w14:paraId="732B3A55" w14:textId="77777777" w:rsidTr="00D801EE">
        <w:trPr>
          <w:trHeight w:val="300"/>
          <w:jc w:val="center"/>
        </w:trPr>
        <w:tc>
          <w:tcPr>
            <w:tcW w:w="1008" w:type="pct"/>
            <w:tcBorders>
              <w:top w:val="nil"/>
              <w:left w:val="single" w:sz="4" w:space="0" w:color="auto"/>
              <w:bottom w:val="single" w:sz="4" w:space="0" w:color="auto"/>
              <w:right w:val="single" w:sz="4" w:space="0" w:color="auto"/>
            </w:tcBorders>
            <w:noWrap/>
            <w:vAlign w:val="center"/>
            <w:hideMark/>
          </w:tcPr>
          <w:p w14:paraId="6CBF0A1A" w14:textId="77777777" w:rsidR="007C3548" w:rsidRDefault="007C3548">
            <w:pPr>
              <w:jc w:val="center"/>
              <w:rPr>
                <w:rFonts w:cs="Arial"/>
                <w:color w:val="000000"/>
                <w:sz w:val="20"/>
                <w:szCs w:val="20"/>
              </w:rPr>
            </w:pPr>
            <w:r>
              <w:rPr>
                <w:rFonts w:cs="Arial"/>
                <w:color w:val="000000"/>
                <w:sz w:val="20"/>
                <w:szCs w:val="20"/>
              </w:rPr>
              <w:t>Baseline</w:t>
            </w:r>
          </w:p>
        </w:tc>
        <w:tc>
          <w:tcPr>
            <w:tcW w:w="1331" w:type="pct"/>
            <w:tcBorders>
              <w:top w:val="nil"/>
              <w:left w:val="nil"/>
              <w:bottom w:val="single" w:sz="4" w:space="0" w:color="auto"/>
              <w:right w:val="single" w:sz="4" w:space="0" w:color="auto"/>
            </w:tcBorders>
            <w:noWrap/>
            <w:vAlign w:val="bottom"/>
            <w:hideMark/>
          </w:tcPr>
          <w:p w14:paraId="77F3682D" w14:textId="6D7B5005" w:rsidR="007C3548" w:rsidRDefault="007C3548">
            <w:pPr>
              <w:jc w:val="center"/>
              <w:rPr>
                <w:rFonts w:cs="Arial"/>
                <w:color w:val="000000"/>
                <w:sz w:val="20"/>
                <w:szCs w:val="20"/>
              </w:rPr>
            </w:pPr>
            <w:r>
              <w:rPr>
                <w:rFonts w:ascii="Calibri" w:hAnsi="Calibri" w:cs="Calibri"/>
                <w:color w:val="000000"/>
                <w:szCs w:val="22"/>
              </w:rPr>
              <w:t>PRSV #4</w:t>
            </w:r>
          </w:p>
        </w:tc>
        <w:tc>
          <w:tcPr>
            <w:tcW w:w="1138" w:type="pct"/>
            <w:tcBorders>
              <w:top w:val="nil"/>
              <w:left w:val="nil"/>
              <w:bottom w:val="single" w:sz="4" w:space="0" w:color="auto"/>
              <w:right w:val="single" w:sz="4" w:space="0" w:color="auto"/>
            </w:tcBorders>
            <w:noWrap/>
            <w:vAlign w:val="bottom"/>
            <w:hideMark/>
          </w:tcPr>
          <w:p w14:paraId="4FF0735E" w14:textId="0F78F458" w:rsidR="007C3548" w:rsidRDefault="0071415C" w:rsidP="0071415C">
            <w:pPr>
              <w:jc w:val="center"/>
              <w:rPr>
                <w:rFonts w:cs="Arial"/>
                <w:color w:val="000000"/>
                <w:sz w:val="20"/>
                <w:szCs w:val="20"/>
              </w:rPr>
            </w:pPr>
            <w:r>
              <w:rPr>
                <w:rFonts w:ascii="Calibri" w:hAnsi="Calibri" w:cs="Calibri"/>
                <w:color w:val="000000"/>
                <w:szCs w:val="22"/>
              </w:rPr>
              <w:t>PR1</w:t>
            </w:r>
            <w:r w:rsidR="007C3548">
              <w:rPr>
                <w:rFonts w:ascii="Calibri" w:hAnsi="Calibri" w:cs="Calibri"/>
                <w:color w:val="000000"/>
                <w:szCs w:val="22"/>
              </w:rPr>
              <w:t>S</w:t>
            </w:r>
          </w:p>
        </w:tc>
        <w:tc>
          <w:tcPr>
            <w:tcW w:w="881" w:type="pct"/>
            <w:tcBorders>
              <w:top w:val="nil"/>
              <w:left w:val="nil"/>
              <w:bottom w:val="single" w:sz="4" w:space="0" w:color="auto"/>
              <w:right w:val="single" w:sz="4" w:space="0" w:color="auto"/>
            </w:tcBorders>
            <w:noWrap/>
            <w:hideMark/>
          </w:tcPr>
          <w:p w14:paraId="5686C213" w14:textId="61BE9E20" w:rsidR="007C3548" w:rsidRDefault="007C3548">
            <w:pPr>
              <w:jc w:val="center"/>
              <w:rPr>
                <w:rFonts w:cs="Arial"/>
                <w:color w:val="000000"/>
                <w:sz w:val="20"/>
                <w:szCs w:val="20"/>
              </w:rPr>
            </w:pPr>
            <w:r w:rsidRPr="006B3F66">
              <w:t xml:space="preserve"> $98 </w:t>
            </w:r>
          </w:p>
        </w:tc>
        <w:tc>
          <w:tcPr>
            <w:tcW w:w="642" w:type="pct"/>
            <w:tcBorders>
              <w:top w:val="nil"/>
              <w:left w:val="nil"/>
              <w:bottom w:val="single" w:sz="4" w:space="0" w:color="auto"/>
              <w:right w:val="single" w:sz="4" w:space="0" w:color="auto"/>
            </w:tcBorders>
            <w:noWrap/>
            <w:hideMark/>
          </w:tcPr>
          <w:p w14:paraId="0AD04672" w14:textId="0A069B55" w:rsidR="007C3548" w:rsidRDefault="007C3548">
            <w:pPr>
              <w:jc w:val="center"/>
              <w:rPr>
                <w:rFonts w:cs="Arial"/>
                <w:color w:val="000000"/>
                <w:sz w:val="20"/>
                <w:szCs w:val="20"/>
              </w:rPr>
            </w:pPr>
            <w:r w:rsidRPr="003C77BD">
              <w:t xml:space="preserve"> $49 </w:t>
            </w:r>
          </w:p>
        </w:tc>
      </w:tr>
      <w:tr w:rsidR="007C3548" w14:paraId="59D32B9D" w14:textId="77777777" w:rsidTr="00D801EE">
        <w:trPr>
          <w:trHeight w:val="300"/>
          <w:jc w:val="center"/>
        </w:trPr>
        <w:tc>
          <w:tcPr>
            <w:tcW w:w="1008" w:type="pct"/>
            <w:tcBorders>
              <w:top w:val="nil"/>
              <w:left w:val="single" w:sz="4" w:space="0" w:color="auto"/>
              <w:bottom w:val="single" w:sz="4" w:space="0" w:color="auto"/>
              <w:right w:val="single" w:sz="4" w:space="0" w:color="auto"/>
            </w:tcBorders>
            <w:noWrap/>
            <w:vAlign w:val="center"/>
            <w:hideMark/>
          </w:tcPr>
          <w:p w14:paraId="5C69D48D" w14:textId="77777777" w:rsidR="007C3548" w:rsidRDefault="007C3548">
            <w:pPr>
              <w:jc w:val="center"/>
              <w:rPr>
                <w:rFonts w:cs="Arial"/>
                <w:color w:val="000000"/>
                <w:sz w:val="20"/>
                <w:szCs w:val="20"/>
              </w:rPr>
            </w:pPr>
            <w:r>
              <w:rPr>
                <w:rFonts w:cs="Arial"/>
                <w:color w:val="000000"/>
                <w:sz w:val="20"/>
                <w:szCs w:val="20"/>
              </w:rPr>
              <w:t>Baseline</w:t>
            </w:r>
          </w:p>
        </w:tc>
        <w:tc>
          <w:tcPr>
            <w:tcW w:w="1331" w:type="pct"/>
            <w:tcBorders>
              <w:top w:val="nil"/>
              <w:left w:val="nil"/>
              <w:bottom w:val="single" w:sz="4" w:space="0" w:color="auto"/>
              <w:right w:val="single" w:sz="4" w:space="0" w:color="auto"/>
            </w:tcBorders>
            <w:noWrap/>
            <w:vAlign w:val="bottom"/>
            <w:hideMark/>
          </w:tcPr>
          <w:p w14:paraId="630C00DC" w14:textId="2762F91A" w:rsidR="007C3548" w:rsidRDefault="007C3548">
            <w:pPr>
              <w:jc w:val="center"/>
              <w:rPr>
                <w:rFonts w:cs="Arial"/>
                <w:color w:val="000000"/>
                <w:sz w:val="20"/>
                <w:szCs w:val="20"/>
              </w:rPr>
            </w:pPr>
            <w:r>
              <w:rPr>
                <w:rFonts w:ascii="Calibri" w:hAnsi="Calibri" w:cs="Calibri"/>
                <w:color w:val="000000"/>
                <w:szCs w:val="22"/>
              </w:rPr>
              <w:t>PRSV #5</w:t>
            </w:r>
          </w:p>
        </w:tc>
        <w:tc>
          <w:tcPr>
            <w:tcW w:w="1138" w:type="pct"/>
            <w:tcBorders>
              <w:top w:val="nil"/>
              <w:left w:val="nil"/>
              <w:bottom w:val="single" w:sz="4" w:space="0" w:color="auto"/>
              <w:right w:val="single" w:sz="4" w:space="0" w:color="auto"/>
            </w:tcBorders>
            <w:noWrap/>
            <w:vAlign w:val="bottom"/>
            <w:hideMark/>
          </w:tcPr>
          <w:p w14:paraId="5E89D761" w14:textId="3771630E" w:rsidR="007C3548" w:rsidRDefault="007C3548">
            <w:pPr>
              <w:jc w:val="center"/>
              <w:rPr>
                <w:rFonts w:cs="Arial"/>
                <w:color w:val="000000"/>
                <w:sz w:val="20"/>
                <w:szCs w:val="20"/>
              </w:rPr>
            </w:pPr>
            <w:r>
              <w:rPr>
                <w:rFonts w:ascii="Calibri" w:hAnsi="Calibri" w:cs="Calibri"/>
                <w:color w:val="000000"/>
                <w:szCs w:val="22"/>
              </w:rPr>
              <w:t>CHG Encore</w:t>
            </w:r>
          </w:p>
        </w:tc>
        <w:tc>
          <w:tcPr>
            <w:tcW w:w="881" w:type="pct"/>
            <w:tcBorders>
              <w:top w:val="nil"/>
              <w:left w:val="nil"/>
              <w:bottom w:val="single" w:sz="4" w:space="0" w:color="auto"/>
              <w:right w:val="single" w:sz="4" w:space="0" w:color="auto"/>
            </w:tcBorders>
            <w:noWrap/>
            <w:hideMark/>
          </w:tcPr>
          <w:p w14:paraId="69188DCF" w14:textId="6B94B78B" w:rsidR="007C3548" w:rsidRDefault="007C3548">
            <w:pPr>
              <w:jc w:val="center"/>
              <w:rPr>
                <w:rFonts w:cs="Arial"/>
                <w:color w:val="000000"/>
                <w:sz w:val="20"/>
                <w:szCs w:val="20"/>
              </w:rPr>
            </w:pPr>
            <w:r w:rsidRPr="006B3F66">
              <w:t xml:space="preserve"> $80 </w:t>
            </w:r>
          </w:p>
        </w:tc>
        <w:tc>
          <w:tcPr>
            <w:tcW w:w="642" w:type="pct"/>
            <w:tcBorders>
              <w:top w:val="nil"/>
              <w:left w:val="nil"/>
              <w:bottom w:val="single" w:sz="4" w:space="0" w:color="auto"/>
              <w:right w:val="single" w:sz="4" w:space="0" w:color="auto"/>
            </w:tcBorders>
            <w:noWrap/>
            <w:hideMark/>
          </w:tcPr>
          <w:p w14:paraId="6E053BC7" w14:textId="1EB6764F" w:rsidR="007C3548" w:rsidRDefault="007C3548">
            <w:pPr>
              <w:jc w:val="center"/>
              <w:rPr>
                <w:rFonts w:cs="Arial"/>
                <w:color w:val="000000"/>
                <w:sz w:val="20"/>
                <w:szCs w:val="20"/>
              </w:rPr>
            </w:pPr>
            <w:r w:rsidRPr="003C77BD">
              <w:t xml:space="preserve"> $40 </w:t>
            </w:r>
          </w:p>
        </w:tc>
      </w:tr>
      <w:tr w:rsidR="007C3548" w14:paraId="3661B374" w14:textId="77777777" w:rsidTr="00D801EE">
        <w:trPr>
          <w:trHeight w:val="300"/>
          <w:jc w:val="center"/>
        </w:trPr>
        <w:tc>
          <w:tcPr>
            <w:tcW w:w="1008" w:type="pct"/>
            <w:tcBorders>
              <w:top w:val="nil"/>
              <w:left w:val="single" w:sz="4" w:space="0" w:color="auto"/>
              <w:bottom w:val="single" w:sz="4" w:space="0" w:color="auto"/>
              <w:right w:val="single" w:sz="4" w:space="0" w:color="auto"/>
            </w:tcBorders>
            <w:noWrap/>
            <w:vAlign w:val="center"/>
            <w:hideMark/>
          </w:tcPr>
          <w:p w14:paraId="153D1CA6" w14:textId="77777777" w:rsidR="007C3548" w:rsidRDefault="007C3548">
            <w:pPr>
              <w:jc w:val="center"/>
              <w:rPr>
                <w:rFonts w:cs="Arial"/>
                <w:color w:val="000000"/>
                <w:sz w:val="20"/>
                <w:szCs w:val="20"/>
              </w:rPr>
            </w:pPr>
            <w:r>
              <w:rPr>
                <w:rFonts w:cs="Arial"/>
                <w:color w:val="000000"/>
                <w:sz w:val="20"/>
                <w:szCs w:val="20"/>
              </w:rPr>
              <w:t>Baseline</w:t>
            </w:r>
          </w:p>
        </w:tc>
        <w:tc>
          <w:tcPr>
            <w:tcW w:w="1331" w:type="pct"/>
            <w:tcBorders>
              <w:top w:val="nil"/>
              <w:left w:val="nil"/>
              <w:bottom w:val="single" w:sz="4" w:space="0" w:color="auto"/>
              <w:right w:val="single" w:sz="4" w:space="0" w:color="auto"/>
            </w:tcBorders>
            <w:noWrap/>
            <w:vAlign w:val="bottom"/>
            <w:hideMark/>
          </w:tcPr>
          <w:p w14:paraId="6480D462" w14:textId="307698B0" w:rsidR="007C3548" w:rsidRDefault="007C3548">
            <w:pPr>
              <w:jc w:val="center"/>
              <w:rPr>
                <w:rFonts w:cs="Arial"/>
                <w:color w:val="000000"/>
                <w:sz w:val="20"/>
                <w:szCs w:val="20"/>
              </w:rPr>
            </w:pPr>
            <w:r>
              <w:rPr>
                <w:rFonts w:ascii="Calibri" w:hAnsi="Calibri" w:cs="Calibri"/>
                <w:color w:val="000000"/>
                <w:szCs w:val="22"/>
              </w:rPr>
              <w:t>PRSV #6</w:t>
            </w:r>
          </w:p>
        </w:tc>
        <w:tc>
          <w:tcPr>
            <w:tcW w:w="1138" w:type="pct"/>
            <w:tcBorders>
              <w:top w:val="nil"/>
              <w:left w:val="nil"/>
              <w:bottom w:val="single" w:sz="4" w:space="0" w:color="auto"/>
              <w:right w:val="single" w:sz="4" w:space="0" w:color="auto"/>
            </w:tcBorders>
            <w:noWrap/>
            <w:vAlign w:val="bottom"/>
            <w:hideMark/>
          </w:tcPr>
          <w:p w14:paraId="3D60A9C4" w14:textId="3F5800EC" w:rsidR="007C3548" w:rsidRDefault="007C3548">
            <w:pPr>
              <w:jc w:val="center"/>
              <w:rPr>
                <w:rFonts w:cs="Arial"/>
                <w:color w:val="000000"/>
                <w:sz w:val="20"/>
                <w:szCs w:val="20"/>
              </w:rPr>
            </w:pPr>
            <w:r>
              <w:rPr>
                <w:rFonts w:ascii="Calibri" w:hAnsi="Calibri" w:cs="Calibri"/>
                <w:color w:val="000000"/>
                <w:szCs w:val="22"/>
              </w:rPr>
              <w:t>N2180 1.6</w:t>
            </w:r>
          </w:p>
        </w:tc>
        <w:tc>
          <w:tcPr>
            <w:tcW w:w="881" w:type="pct"/>
            <w:tcBorders>
              <w:top w:val="nil"/>
              <w:left w:val="nil"/>
              <w:bottom w:val="single" w:sz="4" w:space="0" w:color="auto"/>
              <w:right w:val="single" w:sz="4" w:space="0" w:color="auto"/>
            </w:tcBorders>
            <w:noWrap/>
            <w:hideMark/>
          </w:tcPr>
          <w:p w14:paraId="405D88D6" w14:textId="4827336E" w:rsidR="007C3548" w:rsidRDefault="007C3548">
            <w:pPr>
              <w:jc w:val="center"/>
              <w:rPr>
                <w:rFonts w:cs="Arial"/>
                <w:color w:val="000000"/>
                <w:sz w:val="20"/>
                <w:szCs w:val="20"/>
              </w:rPr>
            </w:pPr>
            <w:r w:rsidRPr="006B3F66">
              <w:t xml:space="preserve"> $76 </w:t>
            </w:r>
          </w:p>
        </w:tc>
        <w:tc>
          <w:tcPr>
            <w:tcW w:w="642" w:type="pct"/>
            <w:tcBorders>
              <w:top w:val="nil"/>
              <w:left w:val="nil"/>
              <w:bottom w:val="single" w:sz="4" w:space="0" w:color="auto"/>
              <w:right w:val="single" w:sz="4" w:space="0" w:color="auto"/>
            </w:tcBorders>
            <w:noWrap/>
            <w:hideMark/>
          </w:tcPr>
          <w:p w14:paraId="5F576244" w14:textId="787D829B" w:rsidR="007C3548" w:rsidRDefault="007C3548">
            <w:pPr>
              <w:jc w:val="center"/>
              <w:rPr>
                <w:rFonts w:cs="Arial"/>
                <w:color w:val="000000"/>
                <w:sz w:val="20"/>
                <w:szCs w:val="20"/>
              </w:rPr>
            </w:pPr>
            <w:r w:rsidRPr="003C77BD">
              <w:t xml:space="preserve"> $38 </w:t>
            </w:r>
          </w:p>
        </w:tc>
      </w:tr>
    </w:tbl>
    <w:p w14:paraId="4CF71845" w14:textId="77777777" w:rsidR="00AA075B" w:rsidRDefault="00AA075B" w:rsidP="00AA075B">
      <w:pPr>
        <w:rPr>
          <w:rFonts w:cs="Arial"/>
          <w:sz w:val="18"/>
          <w:szCs w:val="20"/>
        </w:rPr>
      </w:pPr>
      <w:r>
        <w:rPr>
          <w:rFonts w:cs="Arial"/>
          <w:sz w:val="18"/>
          <w:szCs w:val="20"/>
        </w:rPr>
        <w:t xml:space="preserve">*Estimated purchase price and Incremental Measure Cost (IMC) were based on an industry-standard 50% discount off the manufacturer’s list price. </w:t>
      </w:r>
    </w:p>
    <w:p w14:paraId="3E6AEB74" w14:textId="77777777" w:rsidR="00AA075B" w:rsidRDefault="00AA075B" w:rsidP="00AA075B">
      <w:pPr>
        <w:keepNext/>
        <w:rPr>
          <w:rFonts w:cs="Arial"/>
          <w:sz w:val="20"/>
          <w:szCs w:val="20"/>
        </w:rPr>
      </w:pPr>
      <w:r>
        <w:rPr>
          <w:rFonts w:cs="Arial"/>
          <w:sz w:val="20"/>
          <w:szCs w:val="20"/>
        </w:rPr>
        <w:t xml:space="preserve"> </w:t>
      </w:r>
    </w:p>
    <w:p w14:paraId="26D7998F" w14:textId="13B1480C" w:rsidR="00AA075B" w:rsidRDefault="00AA075B" w:rsidP="00AA075B">
      <w:pPr>
        <w:rPr>
          <w:rFonts w:cs="Arial"/>
          <w:b/>
        </w:rPr>
      </w:pPr>
      <w:r>
        <w:rPr>
          <w:rFonts w:cs="Arial"/>
          <w:b/>
        </w:rPr>
        <w:t xml:space="preserve">Equipment Incremental Cost Data for Efficient </w:t>
      </w:r>
      <w:r w:rsidR="009D7EDA">
        <w:rPr>
          <w:rFonts w:cs="Arial"/>
          <w:b/>
        </w:rPr>
        <w:t>Pre-Rinse Spray Valves</w:t>
      </w:r>
      <w:r>
        <w:rPr>
          <w:rFonts w:cs="Arial"/>
          <w:b/>
        </w:rPr>
        <w:t>*</w:t>
      </w:r>
    </w:p>
    <w:tbl>
      <w:tblPr>
        <w:tblW w:w="5000" w:type="pct"/>
        <w:tblLook w:val="04A0" w:firstRow="1" w:lastRow="0" w:firstColumn="1" w:lastColumn="0" w:noHBand="0" w:noVBand="1"/>
      </w:tblPr>
      <w:tblGrid>
        <w:gridCol w:w="2241"/>
        <w:gridCol w:w="1040"/>
        <w:gridCol w:w="1168"/>
        <w:gridCol w:w="1339"/>
        <w:gridCol w:w="1040"/>
        <w:gridCol w:w="1101"/>
        <w:gridCol w:w="1647"/>
      </w:tblGrid>
      <w:tr w:rsidR="00AA075B" w14:paraId="2C0B6003" w14:textId="77777777" w:rsidTr="007C3548">
        <w:trPr>
          <w:trHeight w:val="780"/>
        </w:trPr>
        <w:tc>
          <w:tcPr>
            <w:tcW w:w="1170" w:type="pct"/>
            <w:tcBorders>
              <w:top w:val="single" w:sz="4" w:space="0" w:color="auto"/>
              <w:left w:val="single" w:sz="4" w:space="0" w:color="auto"/>
              <w:bottom w:val="single" w:sz="4" w:space="0" w:color="auto"/>
              <w:right w:val="single" w:sz="4" w:space="0" w:color="auto"/>
            </w:tcBorders>
            <w:shd w:val="clear" w:color="auto" w:fill="C0C0C0"/>
            <w:vAlign w:val="bottom"/>
            <w:hideMark/>
          </w:tcPr>
          <w:p w14:paraId="382AC350" w14:textId="77777777" w:rsidR="00AA075B" w:rsidRDefault="00AA075B">
            <w:pPr>
              <w:jc w:val="center"/>
              <w:rPr>
                <w:rFonts w:cs="Arial"/>
                <w:b/>
                <w:bCs/>
                <w:color w:val="000000"/>
                <w:sz w:val="20"/>
                <w:szCs w:val="20"/>
              </w:rPr>
            </w:pPr>
            <w:r>
              <w:rPr>
                <w:rFonts w:cs="Arial"/>
                <w:b/>
                <w:bCs/>
                <w:color w:val="000000"/>
                <w:sz w:val="20"/>
                <w:szCs w:val="20"/>
              </w:rPr>
              <w:t>Category</w:t>
            </w:r>
          </w:p>
        </w:tc>
        <w:tc>
          <w:tcPr>
            <w:tcW w:w="543" w:type="pct"/>
            <w:tcBorders>
              <w:top w:val="single" w:sz="4" w:space="0" w:color="auto"/>
              <w:left w:val="nil"/>
              <w:bottom w:val="single" w:sz="4" w:space="0" w:color="auto"/>
              <w:right w:val="single" w:sz="4" w:space="0" w:color="auto"/>
            </w:tcBorders>
            <w:shd w:val="clear" w:color="auto" w:fill="C0C0C0"/>
            <w:vAlign w:val="bottom"/>
            <w:hideMark/>
          </w:tcPr>
          <w:p w14:paraId="5B93AF06" w14:textId="77777777" w:rsidR="00AA075B" w:rsidRDefault="00AA075B">
            <w:pPr>
              <w:jc w:val="center"/>
              <w:rPr>
                <w:rFonts w:cs="Arial"/>
                <w:b/>
                <w:bCs/>
                <w:color w:val="000000"/>
                <w:sz w:val="20"/>
                <w:szCs w:val="20"/>
              </w:rPr>
            </w:pPr>
            <w:r>
              <w:rPr>
                <w:rFonts w:cs="Arial"/>
                <w:b/>
                <w:bCs/>
                <w:color w:val="000000"/>
                <w:sz w:val="20"/>
                <w:szCs w:val="20"/>
              </w:rPr>
              <w:t>Baseline Unit Price</w:t>
            </w:r>
          </w:p>
        </w:tc>
        <w:tc>
          <w:tcPr>
            <w:tcW w:w="610" w:type="pct"/>
            <w:tcBorders>
              <w:top w:val="single" w:sz="4" w:space="0" w:color="auto"/>
              <w:left w:val="nil"/>
              <w:bottom w:val="single" w:sz="4" w:space="0" w:color="auto"/>
              <w:right w:val="single" w:sz="4" w:space="0" w:color="auto"/>
            </w:tcBorders>
            <w:shd w:val="clear" w:color="auto" w:fill="C0C0C0"/>
            <w:vAlign w:val="bottom"/>
            <w:hideMark/>
          </w:tcPr>
          <w:p w14:paraId="4BAE66A6" w14:textId="77777777" w:rsidR="00AA075B" w:rsidRDefault="00AA075B">
            <w:pPr>
              <w:jc w:val="center"/>
              <w:rPr>
                <w:rFonts w:cs="Arial"/>
                <w:b/>
                <w:bCs/>
                <w:color w:val="000000"/>
                <w:sz w:val="20"/>
                <w:szCs w:val="20"/>
              </w:rPr>
            </w:pPr>
            <w:r>
              <w:rPr>
                <w:rFonts w:cs="Arial"/>
                <w:b/>
                <w:bCs/>
                <w:color w:val="000000"/>
                <w:sz w:val="20"/>
                <w:szCs w:val="20"/>
              </w:rPr>
              <w:t>Energy Efficient Unit Price</w:t>
            </w:r>
          </w:p>
        </w:tc>
        <w:tc>
          <w:tcPr>
            <w:tcW w:w="699" w:type="pct"/>
            <w:tcBorders>
              <w:top w:val="single" w:sz="4" w:space="0" w:color="auto"/>
              <w:left w:val="nil"/>
              <w:bottom w:val="single" w:sz="4" w:space="0" w:color="auto"/>
              <w:right w:val="single" w:sz="4" w:space="0" w:color="auto"/>
            </w:tcBorders>
            <w:shd w:val="clear" w:color="auto" w:fill="C0C0C0"/>
            <w:vAlign w:val="bottom"/>
            <w:hideMark/>
          </w:tcPr>
          <w:p w14:paraId="7CA4D69A" w14:textId="77777777" w:rsidR="00AA075B" w:rsidRDefault="00AA075B">
            <w:pPr>
              <w:jc w:val="center"/>
              <w:rPr>
                <w:rFonts w:cs="Arial"/>
                <w:b/>
                <w:bCs/>
                <w:color w:val="000000"/>
                <w:sz w:val="20"/>
                <w:szCs w:val="20"/>
              </w:rPr>
            </w:pPr>
            <w:r>
              <w:rPr>
                <w:rFonts w:cs="Arial"/>
                <w:b/>
                <w:bCs/>
                <w:color w:val="000000"/>
                <w:sz w:val="20"/>
                <w:szCs w:val="20"/>
              </w:rPr>
              <w:t>Incremental Price Difference</w:t>
            </w:r>
          </w:p>
        </w:tc>
        <w:tc>
          <w:tcPr>
            <w:tcW w:w="543" w:type="pct"/>
            <w:tcBorders>
              <w:top w:val="single" w:sz="4" w:space="0" w:color="auto"/>
              <w:left w:val="nil"/>
              <w:bottom w:val="single" w:sz="4" w:space="0" w:color="auto"/>
              <w:right w:val="single" w:sz="4" w:space="0" w:color="auto"/>
            </w:tcBorders>
            <w:shd w:val="clear" w:color="auto" w:fill="C0C0C0"/>
            <w:vAlign w:val="bottom"/>
            <w:hideMark/>
          </w:tcPr>
          <w:p w14:paraId="5AC9CC27" w14:textId="77777777" w:rsidR="00AA075B" w:rsidRDefault="00AA075B">
            <w:pPr>
              <w:jc w:val="center"/>
              <w:rPr>
                <w:rFonts w:cs="Arial"/>
                <w:b/>
                <w:bCs/>
                <w:color w:val="000000"/>
                <w:sz w:val="20"/>
                <w:szCs w:val="20"/>
              </w:rPr>
            </w:pPr>
            <w:r>
              <w:rPr>
                <w:rFonts w:cs="Arial"/>
                <w:b/>
                <w:bCs/>
                <w:color w:val="000000"/>
                <w:sz w:val="20"/>
                <w:szCs w:val="20"/>
              </w:rPr>
              <w:t>Baseline Unit Cost</w:t>
            </w:r>
          </w:p>
        </w:tc>
        <w:tc>
          <w:tcPr>
            <w:tcW w:w="575" w:type="pct"/>
            <w:tcBorders>
              <w:top w:val="single" w:sz="4" w:space="0" w:color="auto"/>
              <w:left w:val="nil"/>
              <w:bottom w:val="single" w:sz="4" w:space="0" w:color="auto"/>
              <w:right w:val="single" w:sz="4" w:space="0" w:color="auto"/>
            </w:tcBorders>
            <w:shd w:val="clear" w:color="auto" w:fill="C0C0C0"/>
            <w:vAlign w:val="bottom"/>
            <w:hideMark/>
          </w:tcPr>
          <w:p w14:paraId="0AA9D7E7" w14:textId="77777777" w:rsidR="00AA075B" w:rsidRDefault="00AA075B">
            <w:pPr>
              <w:jc w:val="center"/>
              <w:rPr>
                <w:rFonts w:cs="Arial"/>
                <w:b/>
                <w:bCs/>
                <w:color w:val="000000"/>
                <w:sz w:val="20"/>
                <w:szCs w:val="20"/>
              </w:rPr>
            </w:pPr>
            <w:r>
              <w:rPr>
                <w:rFonts w:cs="Arial"/>
                <w:b/>
                <w:bCs/>
                <w:color w:val="000000"/>
                <w:sz w:val="20"/>
                <w:szCs w:val="20"/>
              </w:rPr>
              <w:t>Energy Efficient Unit Cost</w:t>
            </w:r>
          </w:p>
        </w:tc>
        <w:tc>
          <w:tcPr>
            <w:tcW w:w="862" w:type="pct"/>
            <w:tcBorders>
              <w:top w:val="single" w:sz="4" w:space="0" w:color="auto"/>
              <w:left w:val="nil"/>
              <w:bottom w:val="single" w:sz="4" w:space="0" w:color="auto"/>
              <w:right w:val="single" w:sz="4" w:space="0" w:color="auto"/>
            </w:tcBorders>
            <w:shd w:val="clear" w:color="auto" w:fill="C0C0C0"/>
            <w:vAlign w:val="bottom"/>
            <w:hideMark/>
          </w:tcPr>
          <w:p w14:paraId="30CC6354" w14:textId="77777777" w:rsidR="00AA075B" w:rsidRDefault="00AA075B">
            <w:pPr>
              <w:jc w:val="center"/>
              <w:rPr>
                <w:rFonts w:cs="Arial"/>
                <w:b/>
                <w:bCs/>
                <w:color w:val="000000"/>
                <w:sz w:val="20"/>
                <w:szCs w:val="20"/>
              </w:rPr>
            </w:pPr>
            <w:r>
              <w:rPr>
                <w:rFonts w:cs="Arial"/>
                <w:b/>
                <w:bCs/>
                <w:color w:val="000000"/>
                <w:sz w:val="20"/>
                <w:szCs w:val="20"/>
              </w:rPr>
              <w:t>Incremental Measure Cost (IMC)</w:t>
            </w:r>
          </w:p>
        </w:tc>
      </w:tr>
      <w:tr w:rsidR="00AA075B" w14:paraId="5502C2B7" w14:textId="77777777" w:rsidTr="007C3548">
        <w:trPr>
          <w:trHeight w:val="300"/>
        </w:trPr>
        <w:tc>
          <w:tcPr>
            <w:tcW w:w="1170" w:type="pct"/>
            <w:tcBorders>
              <w:top w:val="single" w:sz="4" w:space="0" w:color="auto"/>
              <w:left w:val="single" w:sz="4" w:space="0" w:color="auto"/>
              <w:bottom w:val="single" w:sz="4" w:space="0" w:color="auto"/>
              <w:right w:val="single" w:sz="4" w:space="0" w:color="auto"/>
            </w:tcBorders>
            <w:noWrap/>
            <w:vAlign w:val="center"/>
            <w:hideMark/>
          </w:tcPr>
          <w:p w14:paraId="4B6F2C67" w14:textId="6A9E07DE" w:rsidR="00AA075B" w:rsidRDefault="007C3548">
            <w:pPr>
              <w:jc w:val="center"/>
              <w:rPr>
                <w:rFonts w:cs="Arial"/>
                <w:color w:val="000000"/>
                <w:sz w:val="20"/>
                <w:szCs w:val="20"/>
              </w:rPr>
            </w:pPr>
            <w:r>
              <w:rPr>
                <w:rFonts w:cs="Arial"/>
                <w:color w:val="000000"/>
                <w:sz w:val="20"/>
                <w:szCs w:val="20"/>
              </w:rPr>
              <w:t>Pre-Rinse Spray Valve</w:t>
            </w:r>
          </w:p>
        </w:tc>
        <w:tc>
          <w:tcPr>
            <w:tcW w:w="543" w:type="pct"/>
            <w:tcBorders>
              <w:top w:val="single" w:sz="4" w:space="0" w:color="auto"/>
              <w:left w:val="nil"/>
              <w:bottom w:val="single" w:sz="4" w:space="0" w:color="auto"/>
              <w:right w:val="single" w:sz="4" w:space="0" w:color="auto"/>
            </w:tcBorders>
            <w:noWrap/>
            <w:vAlign w:val="center"/>
            <w:hideMark/>
          </w:tcPr>
          <w:p w14:paraId="0307590B" w14:textId="3E60B32F" w:rsidR="00AA075B" w:rsidRDefault="00AA075B" w:rsidP="007C3548">
            <w:pPr>
              <w:jc w:val="center"/>
              <w:rPr>
                <w:rFonts w:cs="Arial"/>
                <w:color w:val="000000"/>
                <w:sz w:val="20"/>
                <w:szCs w:val="20"/>
              </w:rPr>
            </w:pPr>
            <w:r>
              <w:rPr>
                <w:rFonts w:cs="Arial"/>
                <w:color w:val="000000"/>
                <w:sz w:val="20"/>
                <w:szCs w:val="20"/>
              </w:rPr>
              <w:t xml:space="preserve">$ </w:t>
            </w:r>
            <w:r w:rsidR="007C3548">
              <w:rPr>
                <w:rFonts w:cs="Arial"/>
                <w:color w:val="000000"/>
                <w:sz w:val="20"/>
                <w:szCs w:val="20"/>
              </w:rPr>
              <w:t>81</w:t>
            </w:r>
          </w:p>
        </w:tc>
        <w:tc>
          <w:tcPr>
            <w:tcW w:w="610" w:type="pct"/>
            <w:tcBorders>
              <w:top w:val="single" w:sz="4" w:space="0" w:color="auto"/>
              <w:left w:val="nil"/>
              <w:bottom w:val="single" w:sz="4" w:space="0" w:color="auto"/>
              <w:right w:val="single" w:sz="4" w:space="0" w:color="auto"/>
            </w:tcBorders>
            <w:noWrap/>
            <w:vAlign w:val="center"/>
            <w:hideMark/>
          </w:tcPr>
          <w:p w14:paraId="4BEFA482" w14:textId="4DD71E64" w:rsidR="00AA075B" w:rsidRDefault="00AA075B" w:rsidP="007C3548">
            <w:pPr>
              <w:jc w:val="center"/>
              <w:rPr>
                <w:rFonts w:cs="Arial"/>
                <w:color w:val="000000"/>
                <w:sz w:val="20"/>
                <w:szCs w:val="20"/>
              </w:rPr>
            </w:pPr>
            <w:r>
              <w:rPr>
                <w:rFonts w:cs="Arial"/>
                <w:color w:val="000000"/>
                <w:sz w:val="20"/>
                <w:szCs w:val="20"/>
              </w:rPr>
              <w:t xml:space="preserve">$ </w:t>
            </w:r>
            <w:r w:rsidR="007C3548">
              <w:rPr>
                <w:rFonts w:cs="Arial"/>
                <w:color w:val="000000"/>
                <w:sz w:val="20"/>
                <w:szCs w:val="20"/>
              </w:rPr>
              <w:t>179</w:t>
            </w:r>
          </w:p>
        </w:tc>
        <w:tc>
          <w:tcPr>
            <w:tcW w:w="699" w:type="pct"/>
            <w:tcBorders>
              <w:top w:val="single" w:sz="4" w:space="0" w:color="auto"/>
              <w:left w:val="nil"/>
              <w:bottom w:val="single" w:sz="4" w:space="0" w:color="auto"/>
              <w:right w:val="single" w:sz="4" w:space="0" w:color="auto"/>
            </w:tcBorders>
            <w:noWrap/>
            <w:vAlign w:val="center"/>
            <w:hideMark/>
          </w:tcPr>
          <w:p w14:paraId="4386DAD5" w14:textId="660F1A28" w:rsidR="00AA075B" w:rsidRDefault="00AA075B" w:rsidP="007C3548">
            <w:pPr>
              <w:jc w:val="center"/>
              <w:rPr>
                <w:rFonts w:cs="Arial"/>
                <w:color w:val="000000"/>
                <w:sz w:val="20"/>
                <w:szCs w:val="20"/>
              </w:rPr>
            </w:pPr>
            <w:r>
              <w:rPr>
                <w:rFonts w:cs="Arial"/>
                <w:color w:val="000000"/>
                <w:sz w:val="20"/>
                <w:szCs w:val="20"/>
              </w:rPr>
              <w:t xml:space="preserve">$ </w:t>
            </w:r>
            <w:r w:rsidR="007C3548">
              <w:rPr>
                <w:rFonts w:cs="Arial"/>
                <w:color w:val="000000"/>
                <w:sz w:val="20"/>
                <w:szCs w:val="20"/>
              </w:rPr>
              <w:t>98</w:t>
            </w:r>
          </w:p>
        </w:tc>
        <w:tc>
          <w:tcPr>
            <w:tcW w:w="543" w:type="pct"/>
            <w:tcBorders>
              <w:top w:val="single" w:sz="4" w:space="0" w:color="auto"/>
              <w:left w:val="nil"/>
              <w:bottom w:val="single" w:sz="4" w:space="0" w:color="auto"/>
              <w:right w:val="single" w:sz="4" w:space="0" w:color="auto"/>
            </w:tcBorders>
            <w:noWrap/>
            <w:vAlign w:val="center"/>
            <w:hideMark/>
          </w:tcPr>
          <w:p w14:paraId="2785F26D" w14:textId="6B222F68" w:rsidR="00AA075B" w:rsidRDefault="00AA075B" w:rsidP="007C3548">
            <w:pPr>
              <w:jc w:val="center"/>
              <w:rPr>
                <w:rFonts w:cs="Arial"/>
                <w:color w:val="000000"/>
                <w:sz w:val="20"/>
                <w:szCs w:val="20"/>
              </w:rPr>
            </w:pPr>
            <w:r>
              <w:rPr>
                <w:rFonts w:cs="Arial"/>
                <w:color w:val="000000"/>
                <w:sz w:val="20"/>
                <w:szCs w:val="20"/>
              </w:rPr>
              <w:t xml:space="preserve">$ </w:t>
            </w:r>
            <w:r w:rsidR="007C3548">
              <w:rPr>
                <w:rFonts w:cs="Arial"/>
                <w:color w:val="000000"/>
                <w:sz w:val="20"/>
                <w:szCs w:val="20"/>
              </w:rPr>
              <w:t>40</w:t>
            </w:r>
          </w:p>
        </w:tc>
        <w:tc>
          <w:tcPr>
            <w:tcW w:w="575" w:type="pct"/>
            <w:tcBorders>
              <w:top w:val="single" w:sz="4" w:space="0" w:color="auto"/>
              <w:left w:val="nil"/>
              <w:bottom w:val="single" w:sz="4" w:space="0" w:color="auto"/>
              <w:right w:val="single" w:sz="4" w:space="0" w:color="auto"/>
            </w:tcBorders>
            <w:noWrap/>
            <w:vAlign w:val="center"/>
            <w:hideMark/>
          </w:tcPr>
          <w:p w14:paraId="58B1F94B" w14:textId="1A76C8C0" w:rsidR="00AA075B" w:rsidRDefault="00AA075B" w:rsidP="007C3548">
            <w:pPr>
              <w:jc w:val="center"/>
              <w:rPr>
                <w:rFonts w:cs="Arial"/>
                <w:color w:val="000000"/>
                <w:sz w:val="20"/>
                <w:szCs w:val="20"/>
              </w:rPr>
            </w:pPr>
            <w:r>
              <w:rPr>
                <w:rFonts w:cs="Arial"/>
                <w:color w:val="000000"/>
                <w:sz w:val="20"/>
                <w:szCs w:val="20"/>
              </w:rPr>
              <w:t xml:space="preserve">$ </w:t>
            </w:r>
            <w:r w:rsidR="007C3548">
              <w:rPr>
                <w:rFonts w:cs="Arial"/>
                <w:color w:val="000000"/>
                <w:sz w:val="20"/>
                <w:szCs w:val="20"/>
              </w:rPr>
              <w:t>89</w:t>
            </w:r>
          </w:p>
        </w:tc>
        <w:tc>
          <w:tcPr>
            <w:tcW w:w="862" w:type="pct"/>
            <w:tcBorders>
              <w:top w:val="single" w:sz="4" w:space="0" w:color="auto"/>
              <w:left w:val="nil"/>
              <w:bottom w:val="single" w:sz="4" w:space="0" w:color="auto"/>
              <w:right w:val="single" w:sz="4" w:space="0" w:color="auto"/>
            </w:tcBorders>
            <w:noWrap/>
            <w:vAlign w:val="center"/>
            <w:hideMark/>
          </w:tcPr>
          <w:p w14:paraId="3EB586D7" w14:textId="538B8E48" w:rsidR="00AA075B" w:rsidRDefault="00AA075B" w:rsidP="007C3548">
            <w:pPr>
              <w:jc w:val="center"/>
              <w:rPr>
                <w:rFonts w:cs="Arial"/>
                <w:color w:val="000000"/>
                <w:sz w:val="20"/>
                <w:szCs w:val="20"/>
              </w:rPr>
            </w:pPr>
            <w:r>
              <w:rPr>
                <w:rFonts w:cs="Arial"/>
                <w:color w:val="000000"/>
                <w:sz w:val="20"/>
                <w:szCs w:val="20"/>
              </w:rPr>
              <w:t xml:space="preserve">$ </w:t>
            </w:r>
            <w:r w:rsidR="007C3548">
              <w:rPr>
                <w:rFonts w:cs="Arial"/>
                <w:color w:val="000000"/>
                <w:sz w:val="20"/>
                <w:szCs w:val="20"/>
              </w:rPr>
              <w:t>49</w:t>
            </w:r>
          </w:p>
        </w:tc>
      </w:tr>
    </w:tbl>
    <w:p w14:paraId="65F4D3CD" w14:textId="77777777" w:rsidR="00AA075B" w:rsidRDefault="00AA075B" w:rsidP="00AA075B">
      <w:pPr>
        <w:keepNext/>
        <w:rPr>
          <w:rFonts w:cs="Arial"/>
          <w:b/>
          <w:bCs/>
        </w:rPr>
      </w:pPr>
      <w:r>
        <w:rPr>
          <w:rFonts w:cs="Arial"/>
          <w:sz w:val="20"/>
          <w:szCs w:val="20"/>
        </w:rPr>
        <w:t>*</w:t>
      </w:r>
      <w:r>
        <w:rPr>
          <w:rFonts w:cs="Arial"/>
          <w:sz w:val="18"/>
          <w:szCs w:val="20"/>
        </w:rPr>
        <w:t>Estimated purchase price and Incremental Measure Cost (IMC) were based on an industry-standard 50% discount off the manufacturer’s list price</w:t>
      </w:r>
    </w:p>
    <w:p w14:paraId="393A11B8" w14:textId="6473A61E" w:rsidR="00315AB7" w:rsidRPr="0030080B" w:rsidRDefault="00315AB7" w:rsidP="00AA075B">
      <w:pPr>
        <w:pStyle w:val="Heading1"/>
        <w:rPr>
          <w:rStyle w:val="Strong"/>
          <w:sz w:val="32"/>
        </w:rPr>
        <w:sectPr w:rsidR="00315AB7" w:rsidRPr="0030080B" w:rsidSect="00481F63">
          <w:endnotePr>
            <w:numFmt w:val="decimal"/>
          </w:endnotePr>
          <w:pgSz w:w="12240" w:h="15840"/>
          <w:pgMar w:top="1440" w:right="1440" w:bottom="1440" w:left="1440" w:header="720" w:footer="720" w:gutter="0"/>
          <w:pgNumType w:start="1"/>
          <w:cols w:space="720"/>
          <w:docGrid w:linePitch="360"/>
        </w:sectPr>
      </w:pPr>
    </w:p>
    <w:p w14:paraId="393A153A" w14:textId="77777777" w:rsidR="006B4563" w:rsidRDefault="000966CC" w:rsidP="000966CC">
      <w:pPr>
        <w:pStyle w:val="Heading1"/>
      </w:pPr>
      <w:bookmarkStart w:id="163" w:name="_Toc324318383"/>
      <w:bookmarkStart w:id="164" w:name="_Toc324340513"/>
      <w:bookmarkStart w:id="165" w:name="_Toc391397032"/>
      <w:bookmarkStart w:id="166" w:name="_Toc304800222"/>
      <w:r>
        <w:lastRenderedPageBreak/>
        <w:t>References</w:t>
      </w:r>
      <w:bookmarkEnd w:id="163"/>
      <w:bookmarkEnd w:id="164"/>
      <w:bookmarkEnd w:id="165"/>
      <w:r w:rsidR="00844B27">
        <w:t xml:space="preserve"> </w:t>
      </w:r>
    </w:p>
    <w:bookmarkEnd w:id="166"/>
    <w:p w14:paraId="393A157E" w14:textId="070B4750" w:rsidR="009168A1" w:rsidRPr="000966CC" w:rsidRDefault="009168A1" w:rsidP="00FF1241"/>
    <w:sectPr w:rsidR="009168A1" w:rsidRPr="000966CC"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0F1174" w14:textId="77777777" w:rsidR="001C08D0" w:rsidRDefault="001C08D0">
      <w:r>
        <w:separator/>
      </w:r>
    </w:p>
    <w:p w14:paraId="781D6D53" w14:textId="77777777" w:rsidR="001C08D0" w:rsidRDefault="001C08D0"/>
  </w:endnote>
  <w:endnote w:type="continuationSeparator" w:id="0">
    <w:p w14:paraId="11A6469C" w14:textId="77777777" w:rsidR="001C08D0" w:rsidRDefault="001C08D0">
      <w:r>
        <w:continuationSeparator/>
      </w:r>
    </w:p>
    <w:p w14:paraId="32EF8C44" w14:textId="77777777" w:rsidR="001C08D0" w:rsidRDefault="001C08D0"/>
  </w:endnote>
  <w:endnote w:id="1">
    <w:p w14:paraId="679791BB" w14:textId="7AB2D05F" w:rsidR="00D60384" w:rsidRDefault="00D60384" w:rsidP="00BF37F5">
      <w:pPr>
        <w:pStyle w:val="EndnoteText"/>
        <w:tabs>
          <w:tab w:val="left" w:pos="90"/>
          <w:tab w:val="left" w:pos="450"/>
        </w:tabs>
        <w:ind w:left="90" w:hanging="90"/>
      </w:pPr>
      <w:r>
        <w:rPr>
          <w:rStyle w:val="EndnoteReference"/>
        </w:rPr>
        <w:endnoteRef/>
      </w:r>
      <w:r>
        <w:t xml:space="preserve"> </w:t>
      </w:r>
      <w:proofErr w:type="gramStart"/>
      <w:r w:rsidRPr="00ED3DA7">
        <w:t>American Society for Testing and Materials.</w:t>
      </w:r>
      <w:proofErr w:type="gramEnd"/>
      <w:r w:rsidRPr="00ED3DA7">
        <w:t xml:space="preserve"> </w:t>
      </w:r>
      <w:proofErr w:type="gramStart"/>
      <w:r w:rsidRPr="00ED3DA7">
        <w:rPr>
          <w:i/>
        </w:rPr>
        <w:t xml:space="preserve">Standard Test Method for </w:t>
      </w:r>
      <w:proofErr w:type="spellStart"/>
      <w:r w:rsidRPr="00ED3DA7">
        <w:rPr>
          <w:i/>
        </w:rPr>
        <w:t>PreRinse</w:t>
      </w:r>
      <w:proofErr w:type="spellEnd"/>
      <w:r w:rsidRPr="00ED3DA7">
        <w:rPr>
          <w:i/>
        </w:rPr>
        <w:t xml:space="preserve"> Spray Valves.</w:t>
      </w:r>
      <w:proofErr w:type="gramEnd"/>
      <w:r w:rsidRPr="00ED3DA7">
        <w:rPr>
          <w:i/>
        </w:rPr>
        <w:t xml:space="preserve"> </w:t>
      </w:r>
      <w:proofErr w:type="gramStart"/>
      <w:r w:rsidRPr="00ED3DA7">
        <w:t>ASTM Designation F2324-03, in Annual Book of ASTM Standards, West Conshohocken, PA.</w:t>
      </w:r>
      <w:proofErr w:type="gramEnd"/>
    </w:p>
    <w:p w14:paraId="6277EEF0" w14:textId="77777777" w:rsidR="00D60384" w:rsidRDefault="00D60384" w:rsidP="00BF37F5">
      <w:pPr>
        <w:pStyle w:val="EndnoteText"/>
        <w:tabs>
          <w:tab w:val="left" w:pos="90"/>
          <w:tab w:val="left" w:pos="450"/>
        </w:tabs>
        <w:ind w:left="90" w:hanging="90"/>
      </w:pPr>
    </w:p>
  </w:endnote>
  <w:endnote w:id="2">
    <w:p w14:paraId="770F7922" w14:textId="77777777" w:rsidR="00D60384" w:rsidRDefault="00D60384" w:rsidP="00BF37F5">
      <w:pPr>
        <w:pStyle w:val="EndnoteText"/>
        <w:tabs>
          <w:tab w:val="left" w:pos="90"/>
          <w:tab w:val="left" w:pos="450"/>
        </w:tabs>
        <w:ind w:left="90" w:hanging="90"/>
        <w:rPr>
          <w:sz w:val="18"/>
        </w:rPr>
      </w:pPr>
      <w:r>
        <w:rPr>
          <w:rStyle w:val="EndnoteReference"/>
        </w:rPr>
        <w:endnoteRef/>
      </w:r>
      <w:r>
        <w:t xml:space="preserve"> </w:t>
      </w:r>
      <w:r w:rsidRPr="00ED3DA7">
        <w:t>DEER2011_NTGR_2012-05-16.xls from  DEER Database for Energy-Efficient Resources; Version 2011 4.01 found at</w:t>
      </w:r>
      <w:r>
        <w:t>:</w:t>
      </w:r>
      <w:r w:rsidRPr="00ED3DA7">
        <w:t xml:space="preserve"> </w:t>
      </w:r>
      <w:hyperlink r:id="rId1" w:history="1">
        <w:r w:rsidRPr="00ED3DA7">
          <w:rPr>
            <w:rStyle w:val="Hyperlink"/>
            <w:sz w:val="18"/>
          </w:rPr>
          <w:t>http://www.deeresources.com/index.php?option=com_content&amp;view=article&amp;id=68&amp;Itemid=60</w:t>
        </w:r>
      </w:hyperlink>
      <w:r w:rsidRPr="00ED3DA7">
        <w:rPr>
          <w:sz w:val="18"/>
        </w:rPr>
        <w:t xml:space="preserve"> </w:t>
      </w:r>
    </w:p>
    <w:p w14:paraId="470ECCA3" w14:textId="697AF77B" w:rsidR="00D60384" w:rsidRDefault="00D60384" w:rsidP="00BF37F5">
      <w:pPr>
        <w:pStyle w:val="EndnoteText"/>
        <w:tabs>
          <w:tab w:val="left" w:pos="90"/>
          <w:tab w:val="left" w:pos="450"/>
        </w:tabs>
        <w:ind w:left="90" w:hanging="90"/>
      </w:pPr>
    </w:p>
  </w:endnote>
  <w:endnote w:id="3">
    <w:p w14:paraId="068055F6" w14:textId="6D5CD3E1" w:rsidR="00D60384" w:rsidRDefault="00D60384" w:rsidP="00BF37F5">
      <w:pPr>
        <w:pStyle w:val="EndnoteText"/>
        <w:tabs>
          <w:tab w:val="left" w:pos="90"/>
          <w:tab w:val="left" w:pos="450"/>
        </w:tabs>
        <w:ind w:left="90" w:hanging="90"/>
        <w:rPr>
          <w:sz w:val="18"/>
        </w:rPr>
      </w:pPr>
      <w:r>
        <w:rPr>
          <w:rStyle w:val="EndnoteReference"/>
        </w:rPr>
        <w:endnoteRef/>
      </w:r>
      <w:r>
        <w:t xml:space="preserve"> </w:t>
      </w:r>
      <w:r w:rsidRPr="002C0335">
        <w:t>DEER Database for Energy-Efficient Resources, Version 2011 4.00, For Use in the California IOU 2013-14 Energy Efficiency Planning (Accessed Sep. 24, 2012 at http://www.deeresources.com</w:t>
      </w:r>
      <w:r>
        <w:t xml:space="preserve"> </w:t>
      </w:r>
      <w:r w:rsidRPr="002C0335">
        <w:t xml:space="preserve">/, Filename is “DEER2011_NTGR_2012-05-16.xls”, Row 59).  </w:t>
      </w:r>
    </w:p>
    <w:p w14:paraId="274FD040" w14:textId="77777777" w:rsidR="00D60384" w:rsidRDefault="00D60384" w:rsidP="00BF37F5">
      <w:pPr>
        <w:pStyle w:val="EndnoteText"/>
        <w:tabs>
          <w:tab w:val="left" w:pos="90"/>
          <w:tab w:val="left" w:pos="450"/>
        </w:tabs>
        <w:ind w:left="90" w:hanging="90"/>
      </w:pPr>
    </w:p>
  </w:endnote>
  <w:endnote w:id="4">
    <w:p w14:paraId="393A15BF" w14:textId="77777777" w:rsidR="00D60384" w:rsidRDefault="00D60384" w:rsidP="00BF37F5">
      <w:pPr>
        <w:pStyle w:val="EndnoteText"/>
        <w:tabs>
          <w:tab w:val="left" w:pos="90"/>
          <w:tab w:val="left" w:pos="450"/>
        </w:tabs>
        <w:ind w:left="90" w:hanging="90"/>
        <w:rPr>
          <w:rFonts w:cs="Arial"/>
          <w:i/>
        </w:rPr>
      </w:pPr>
      <w:r>
        <w:rPr>
          <w:rStyle w:val="EndnoteReference"/>
        </w:rPr>
        <w:endnoteRef/>
      </w:r>
      <w:r>
        <w:t xml:space="preserve"> </w:t>
      </w:r>
      <w:r w:rsidRPr="00784500">
        <w:rPr>
          <w:rFonts w:cs="Arial"/>
        </w:rPr>
        <w:t>The DEER Measure Cost Data Users Guide</w:t>
      </w:r>
      <w:r>
        <w:rPr>
          <w:rFonts w:cs="Arial"/>
        </w:rPr>
        <w:t xml:space="preserve"> found on </w:t>
      </w:r>
      <w:hyperlink r:id="rId2"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p w14:paraId="13E5ABFE" w14:textId="77777777" w:rsidR="00D60384" w:rsidRDefault="00D60384" w:rsidP="00BF37F5">
      <w:pPr>
        <w:pStyle w:val="EndnoteText"/>
        <w:tabs>
          <w:tab w:val="left" w:pos="90"/>
          <w:tab w:val="left" w:pos="450"/>
        </w:tabs>
        <w:ind w:left="90" w:hanging="90"/>
      </w:pPr>
    </w:p>
  </w:endnote>
  <w:endnote w:id="5">
    <w:p w14:paraId="0F357319" w14:textId="13369777" w:rsidR="00D60384" w:rsidRDefault="00D60384" w:rsidP="00BF37F5">
      <w:pPr>
        <w:pStyle w:val="EndnoteText"/>
        <w:tabs>
          <w:tab w:val="left" w:pos="90"/>
          <w:tab w:val="left" w:pos="450"/>
        </w:tabs>
        <w:ind w:left="90" w:hanging="90"/>
      </w:pPr>
      <w:r>
        <w:rPr>
          <w:rStyle w:val="EndnoteReference"/>
        </w:rPr>
        <w:endnoteRef/>
      </w:r>
      <w:r>
        <w:t xml:space="preserve"> </w:t>
      </w:r>
      <w:r w:rsidRPr="000E22BC">
        <w:rPr>
          <w:i/>
        </w:rPr>
        <w:t>Pre- Rinse Spray Valves Programs: How are they Really Doing?</w:t>
      </w:r>
      <w:proofErr w:type="gramStart"/>
      <w:r w:rsidRPr="000E22BC">
        <w:rPr>
          <w:i/>
        </w:rPr>
        <w:t>”.</w:t>
      </w:r>
      <w:proofErr w:type="gramEnd"/>
      <w:r>
        <w:t xml:space="preserve"> </w:t>
      </w:r>
      <w:proofErr w:type="gramStart"/>
      <w:r>
        <w:t xml:space="preserve">By SBW Consulting Inc., John </w:t>
      </w:r>
      <w:proofErr w:type="spellStart"/>
      <w:r>
        <w:t>Koeller</w:t>
      </w:r>
      <w:proofErr w:type="spellEnd"/>
      <w:r>
        <w:t>.</w:t>
      </w:r>
      <w:proofErr w:type="gramEnd"/>
      <w:r>
        <w:t xml:space="preserve"> December 1, 2005 </w:t>
      </w:r>
      <w:hyperlink r:id="rId3" w:history="1">
        <w:r w:rsidRPr="003623E4">
          <w:rPr>
            <w:rStyle w:val="Hyperlink"/>
          </w:rPr>
          <w:t>http://www.allianceforwaterefficiency.org/Commercial_Food_Service_Introduction.aspx</w:t>
        </w:r>
      </w:hyperlink>
    </w:p>
    <w:p w14:paraId="0A123596" w14:textId="77777777" w:rsidR="00D60384" w:rsidRDefault="00D60384" w:rsidP="00BF37F5">
      <w:pPr>
        <w:pStyle w:val="EndnoteText"/>
        <w:tabs>
          <w:tab w:val="left" w:pos="90"/>
          <w:tab w:val="left" w:pos="450"/>
        </w:tabs>
        <w:ind w:left="90" w:hanging="90"/>
      </w:pPr>
    </w:p>
  </w:endnote>
  <w:endnote w:id="6">
    <w:p w14:paraId="3BFC1D4B" w14:textId="34204B75" w:rsidR="00D60384" w:rsidRDefault="00D60384" w:rsidP="00BF37F5">
      <w:pPr>
        <w:pStyle w:val="EndnoteText"/>
        <w:tabs>
          <w:tab w:val="left" w:pos="90"/>
          <w:tab w:val="left" w:pos="450"/>
        </w:tabs>
        <w:ind w:left="90" w:hanging="90"/>
      </w:pPr>
      <w:r>
        <w:rPr>
          <w:rStyle w:val="EndnoteReference"/>
        </w:rPr>
        <w:endnoteRef/>
      </w:r>
      <w:r>
        <w:t xml:space="preserve"> </w:t>
      </w:r>
      <w:r w:rsidRPr="00ED3DA7">
        <w:t xml:space="preserve">Under: DEER2011 Update Documentation linked at: </w:t>
      </w:r>
      <w:r w:rsidRPr="00ED3DA7">
        <w:rPr>
          <w:rFonts w:eastAsiaTheme="minorHAnsi" w:cs="Arial"/>
          <w:color w:val="006699"/>
          <w:sz w:val="21"/>
          <w:szCs w:val="21"/>
          <w:u w:val="single"/>
          <w:lang w:val="en-GB"/>
        </w:rPr>
        <w:t>DEER2011 Update Net-To-Gross table Cells: N/A</w:t>
      </w:r>
    </w:p>
    <w:p w14:paraId="55FB91E8" w14:textId="77777777" w:rsidR="00D60384" w:rsidRDefault="00D60384" w:rsidP="00BF37F5">
      <w:pPr>
        <w:pStyle w:val="EndnoteText"/>
        <w:tabs>
          <w:tab w:val="left" w:pos="90"/>
          <w:tab w:val="left" w:pos="450"/>
        </w:tabs>
        <w:ind w:left="90" w:hanging="90"/>
      </w:pPr>
    </w:p>
  </w:endnote>
  <w:endnote w:id="7">
    <w:p w14:paraId="01531CC0" w14:textId="4CFFFEC2" w:rsidR="00D60384" w:rsidRDefault="00D60384" w:rsidP="00BF37F5">
      <w:pPr>
        <w:pStyle w:val="EndnoteText"/>
        <w:tabs>
          <w:tab w:val="left" w:pos="90"/>
          <w:tab w:val="left" w:pos="450"/>
        </w:tabs>
        <w:ind w:left="90" w:hanging="90"/>
      </w:pPr>
      <w:r>
        <w:rPr>
          <w:rStyle w:val="EndnoteReference"/>
        </w:rPr>
        <w:endnoteRef/>
      </w:r>
      <w:r>
        <w:t xml:space="preserve"> </w:t>
      </w:r>
      <w:proofErr w:type="gramStart"/>
      <w:r w:rsidRPr="00ED3DA7">
        <w:t>Energy Policy Act 2005, Section 119 Stat 632, pp 40.</w:t>
      </w:r>
      <w:proofErr w:type="gramEnd"/>
    </w:p>
    <w:p w14:paraId="13DD262E" w14:textId="77777777" w:rsidR="00D60384" w:rsidRDefault="00D60384" w:rsidP="00BF37F5">
      <w:pPr>
        <w:pStyle w:val="EndnoteText"/>
        <w:tabs>
          <w:tab w:val="left" w:pos="90"/>
          <w:tab w:val="left" w:pos="450"/>
        </w:tabs>
        <w:ind w:left="90" w:hanging="90"/>
      </w:pPr>
    </w:p>
  </w:endnote>
  <w:endnote w:id="8">
    <w:p w14:paraId="151C1547" w14:textId="7ADD1FC7" w:rsidR="00D60384" w:rsidRDefault="00D60384" w:rsidP="00BF37F5">
      <w:pPr>
        <w:pStyle w:val="EndnoteText"/>
        <w:tabs>
          <w:tab w:val="left" w:pos="90"/>
          <w:tab w:val="left" w:pos="450"/>
        </w:tabs>
        <w:ind w:left="90" w:hanging="90"/>
      </w:pPr>
      <w:r>
        <w:rPr>
          <w:rStyle w:val="EndnoteReference"/>
        </w:rPr>
        <w:endnoteRef/>
      </w:r>
      <w:r>
        <w:t xml:space="preserve"> 2014 California Energy Commission Title 20 - Appliance Efficiency Regulations </w:t>
      </w:r>
      <w:hyperlink r:id="rId4" w:history="1">
        <w:r w:rsidRPr="00D52FA1">
          <w:rPr>
            <w:rStyle w:val="Hyperlink"/>
          </w:rPr>
          <w:t>http://www.energy.ca.gov/2014publications/CEC-400-2014-009/CEC-400-2014-009-CMF.pdf</w:t>
        </w:r>
      </w:hyperlink>
      <w:r>
        <w:t xml:space="preserve"> </w:t>
      </w:r>
    </w:p>
    <w:p w14:paraId="1018FDD2" w14:textId="77777777" w:rsidR="00D60384" w:rsidRDefault="00D60384" w:rsidP="00BF37F5">
      <w:pPr>
        <w:pStyle w:val="EndnoteText"/>
        <w:tabs>
          <w:tab w:val="left" w:pos="90"/>
          <w:tab w:val="left" w:pos="450"/>
        </w:tabs>
        <w:ind w:left="90" w:hanging="90"/>
      </w:pPr>
    </w:p>
  </w:endnote>
  <w:endnote w:id="9">
    <w:p w14:paraId="35D3CBCE" w14:textId="77777777" w:rsidR="00D60384" w:rsidRDefault="00D60384" w:rsidP="00BF37F5">
      <w:pPr>
        <w:pStyle w:val="EndnoteText"/>
        <w:tabs>
          <w:tab w:val="left" w:pos="90"/>
          <w:tab w:val="left" w:pos="450"/>
        </w:tabs>
        <w:ind w:left="90" w:hanging="90"/>
      </w:pPr>
      <w:r w:rsidRPr="00C80E3F">
        <w:rPr>
          <w:rStyle w:val="EndnoteReference"/>
          <w:rFonts w:cs="Arial"/>
        </w:rPr>
        <w:endnoteRef/>
      </w:r>
      <w:r>
        <w:t xml:space="preserve">, </w:t>
      </w:r>
      <w:r w:rsidRPr="000E22BC">
        <w:rPr>
          <w:i/>
        </w:rPr>
        <w:t>“Pre- Rinse Spray Valves Programs: How are they Really Doing?</w:t>
      </w:r>
      <w:proofErr w:type="gramStart"/>
      <w:r w:rsidRPr="000E22BC">
        <w:rPr>
          <w:i/>
        </w:rPr>
        <w:t>”.</w:t>
      </w:r>
      <w:proofErr w:type="gramEnd"/>
      <w:r>
        <w:t xml:space="preserve"> By SBW Consulting Inc., John </w:t>
      </w:r>
    </w:p>
    <w:p w14:paraId="393A15C0" w14:textId="4A7F761B" w:rsidR="00D60384" w:rsidRPr="000E22BC" w:rsidRDefault="00D60384" w:rsidP="00BF37F5">
      <w:pPr>
        <w:pStyle w:val="EndnoteText"/>
        <w:tabs>
          <w:tab w:val="left" w:pos="90"/>
          <w:tab w:val="left" w:pos="450"/>
        </w:tabs>
        <w:ind w:left="90" w:hanging="90"/>
        <w:rPr>
          <w:sz w:val="16"/>
        </w:rPr>
      </w:pPr>
      <w:proofErr w:type="spellStart"/>
      <w:proofErr w:type="gramStart"/>
      <w:r>
        <w:t>Koeller</w:t>
      </w:r>
      <w:proofErr w:type="spellEnd"/>
      <w:r>
        <w:t>.</w:t>
      </w:r>
      <w:proofErr w:type="gramEnd"/>
      <w:r>
        <w:t xml:space="preserve"> December 1, 2005 </w:t>
      </w:r>
      <w:hyperlink r:id="rId5" w:history="1">
        <w:r w:rsidRPr="003623E4">
          <w:rPr>
            <w:rStyle w:val="Hyperlink"/>
          </w:rPr>
          <w:t>http://www.allianceforwaterefficiency.org/Commercial_Food_Service_Introduction.aspx</w:t>
        </w:r>
      </w:hyperlink>
    </w:p>
    <w:p w14:paraId="111A78DC" w14:textId="77777777" w:rsidR="00D60384" w:rsidRDefault="00D60384" w:rsidP="00BF37F5">
      <w:pPr>
        <w:pStyle w:val="EndnoteText"/>
        <w:tabs>
          <w:tab w:val="left" w:pos="90"/>
          <w:tab w:val="left" w:pos="450"/>
        </w:tabs>
        <w:ind w:left="90" w:hanging="90"/>
      </w:pPr>
    </w:p>
  </w:endnote>
  <w:endnote w:id="10">
    <w:p w14:paraId="13195897" w14:textId="0B43F5D8" w:rsidR="00D60384" w:rsidRDefault="00D60384" w:rsidP="00BF37F5">
      <w:pPr>
        <w:pStyle w:val="EndnoteText"/>
        <w:tabs>
          <w:tab w:val="left" w:pos="90"/>
          <w:tab w:val="left" w:pos="450"/>
        </w:tabs>
        <w:ind w:left="90" w:hanging="90"/>
      </w:pPr>
      <w:r>
        <w:rPr>
          <w:rStyle w:val="EndnoteReference"/>
        </w:rPr>
        <w:endnoteRef/>
      </w:r>
      <w:r>
        <w:t xml:space="preserve"> </w:t>
      </w:r>
      <w:r w:rsidRPr="005D55E9">
        <w:rPr>
          <w:i/>
        </w:rPr>
        <w:t>“Impact and Process Evaluation Final Report for California Urban Water Conservation Council 2004-5 Pre-Rinse Spray Valve Installation Program (Phase2).”</w:t>
      </w:r>
      <w:r w:rsidRPr="005D55E9">
        <w:t xml:space="preserve"> </w:t>
      </w:r>
      <w:proofErr w:type="gramStart"/>
      <w:r w:rsidRPr="005D55E9">
        <w:t xml:space="preserve">By SBW Consulting, </w:t>
      </w:r>
      <w:proofErr w:type="spellStart"/>
      <w:r w:rsidRPr="005D55E9">
        <w:t>Inc</w:t>
      </w:r>
      <w:proofErr w:type="spellEnd"/>
      <w:r w:rsidRPr="005D55E9">
        <w:t>, February 21, 2007.</w:t>
      </w:r>
      <w:proofErr w:type="gramEnd"/>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D60384" w:rsidRDefault="00D60384"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D60384" w:rsidRDefault="00D603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D60384" w:rsidRPr="00846195" w:rsidRDefault="00D60384"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D60384" w:rsidRDefault="00D60384"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D60384" w:rsidRDefault="00D60384" w:rsidP="00D7047A">
    <w:pPr>
      <w:pStyle w:val="Footer"/>
      <w:rPr>
        <w:b/>
        <w:sz w:val="20"/>
        <w:szCs w:val="20"/>
      </w:rPr>
    </w:pPr>
    <w:r>
      <w:rPr>
        <w:b/>
        <w:sz w:val="20"/>
        <w:szCs w:val="20"/>
      </w:rPr>
      <w:t>Pacific Gas &amp; Electric Company</w:t>
    </w:r>
  </w:p>
  <w:p w14:paraId="393A15AB" w14:textId="77777777" w:rsidR="00D60384" w:rsidRPr="00844B27" w:rsidRDefault="00D60384"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sidR="00CE5AEA">
      <w:rPr>
        <w:b/>
        <w:noProof/>
        <w:color w:val="0000FF"/>
        <w:sz w:val="20"/>
        <w:szCs w:val="20"/>
      </w:rPr>
      <w:t>PGECOFST125R0.docx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93628" w14:textId="38FCED60" w:rsidR="00D60384" w:rsidRPr="002E0E3F" w:rsidRDefault="00C87D23" w:rsidP="008C265F">
    <w:pPr>
      <w:pStyle w:val="Footer"/>
      <w:jc w:val="right"/>
      <w:rPr>
        <w:rFonts w:cs="Arial"/>
        <w:b/>
        <w:sz w:val="36"/>
        <w:szCs w:val="36"/>
      </w:rPr>
    </w:pPr>
    <w:r>
      <w:rPr>
        <w:rFonts w:cs="Arial"/>
        <w:b/>
        <w:sz w:val="36"/>
        <w:szCs w:val="36"/>
      </w:rPr>
      <w:t>09/17/2014</w:t>
    </w:r>
    <w:r w:rsidR="00D60384">
      <w:rPr>
        <w:rFonts w:cs="Arial"/>
        <w:b/>
        <w:sz w:val="36"/>
        <w:szCs w:val="36"/>
      </w:rPr>
      <w:t xml:space="preserve"> </w:t>
    </w:r>
  </w:p>
  <w:p w14:paraId="393A15AE" w14:textId="77777777" w:rsidR="00D60384" w:rsidRDefault="00D6038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D60384" w:rsidRDefault="00D60384"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D60384" w:rsidRDefault="00D6038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1188047"/>
      <w:docPartObj>
        <w:docPartGallery w:val="Page Numbers (Bottom of Page)"/>
        <w:docPartUnique/>
      </w:docPartObj>
    </w:sdtPr>
    <w:sdtEndPr>
      <w:rPr>
        <w:b/>
        <w:noProof/>
        <w:sz w:val="20"/>
        <w:szCs w:val="20"/>
      </w:rPr>
    </w:sdtEndPr>
    <w:sdtContent>
      <w:p w14:paraId="53FFC19D" w14:textId="77777777" w:rsidR="00E86C99" w:rsidRPr="00E86C99" w:rsidRDefault="00E86C99" w:rsidP="00E86C99">
        <w:pPr>
          <w:pStyle w:val="Footer"/>
          <w:rPr>
            <w:b/>
            <w:sz w:val="20"/>
            <w:szCs w:val="20"/>
          </w:rPr>
        </w:pPr>
        <w:r w:rsidRPr="00E86C99">
          <w:rPr>
            <w:b/>
            <w:sz w:val="20"/>
            <w:szCs w:val="20"/>
          </w:rPr>
          <w:t>PGECOFST125 Revision 0 Pre Rinse Spray Valves</w:t>
        </w:r>
        <w:r w:rsidRPr="00E86C99">
          <w:rPr>
            <w:b/>
            <w:sz w:val="20"/>
            <w:szCs w:val="20"/>
          </w:rPr>
          <w:tab/>
        </w:r>
      </w:p>
      <w:p w14:paraId="781EA08F" w14:textId="6E5FB81C" w:rsidR="00C87D23" w:rsidRPr="00E86C99" w:rsidRDefault="00E86C99" w:rsidP="00E86C99">
        <w:pPr>
          <w:pStyle w:val="Footer"/>
          <w:rPr>
            <w:b/>
            <w:sz w:val="20"/>
            <w:szCs w:val="20"/>
          </w:rPr>
        </w:pPr>
        <w:r w:rsidRPr="00E86C99">
          <w:rPr>
            <w:b/>
            <w:sz w:val="20"/>
            <w:szCs w:val="20"/>
          </w:rPr>
          <w:t>Pacific Gas and Electric Company</w:t>
        </w:r>
        <w:r w:rsidRPr="00E86C99">
          <w:rPr>
            <w:b/>
            <w:sz w:val="20"/>
            <w:szCs w:val="20"/>
          </w:rPr>
          <w:tab/>
        </w:r>
        <w:r w:rsidRPr="00E86C99">
          <w:rPr>
            <w:b/>
            <w:sz w:val="20"/>
            <w:szCs w:val="20"/>
          </w:rPr>
          <w:tab/>
        </w:r>
        <w:r w:rsidR="00C87D23" w:rsidRPr="00E86C99">
          <w:rPr>
            <w:b/>
            <w:sz w:val="20"/>
            <w:szCs w:val="20"/>
          </w:rPr>
          <w:fldChar w:fldCharType="begin"/>
        </w:r>
        <w:r w:rsidR="00C87D23" w:rsidRPr="00E86C99">
          <w:rPr>
            <w:b/>
            <w:sz w:val="20"/>
            <w:szCs w:val="20"/>
          </w:rPr>
          <w:instrText xml:space="preserve"> PAGE   \* MERGEFORMAT </w:instrText>
        </w:r>
        <w:r w:rsidR="00C87D23" w:rsidRPr="00E86C99">
          <w:rPr>
            <w:b/>
            <w:sz w:val="20"/>
            <w:szCs w:val="20"/>
          </w:rPr>
          <w:fldChar w:fldCharType="separate"/>
        </w:r>
        <w:r w:rsidR="00544E9C">
          <w:rPr>
            <w:b/>
            <w:noProof/>
            <w:sz w:val="20"/>
            <w:szCs w:val="20"/>
          </w:rPr>
          <w:t>iii</w:t>
        </w:r>
        <w:r w:rsidR="00C87D23" w:rsidRPr="00E86C99">
          <w:rPr>
            <w:b/>
            <w:noProof/>
            <w:sz w:val="20"/>
            <w:szCs w:val="20"/>
          </w:rPr>
          <w:fldChar w:fldCharType="end"/>
        </w:r>
      </w:p>
    </w:sdtContent>
  </w:sdt>
  <w:p w14:paraId="393A15B6" w14:textId="486EFE91" w:rsidR="00D60384" w:rsidRPr="00E86C99" w:rsidRDefault="00E86C99" w:rsidP="00E86C99">
    <w:pPr>
      <w:pStyle w:val="Footer"/>
      <w:tabs>
        <w:tab w:val="clear" w:pos="4320"/>
        <w:tab w:val="clear" w:pos="8640"/>
        <w:tab w:val="right" w:pos="9360"/>
      </w:tabs>
      <w:rPr>
        <w:b/>
        <w:sz w:val="20"/>
        <w:szCs w:val="20"/>
      </w:rPr>
    </w:pPr>
    <w:r w:rsidRPr="00E86C99">
      <w:rPr>
        <w:b/>
        <w:sz w:val="20"/>
        <w:szCs w:val="20"/>
      </w:rPr>
      <w:t>PGECOFST125R0.docx</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D60384" w:rsidRPr="002E0E3F" w:rsidRDefault="00D60384" w:rsidP="00D7047A">
    <w:pPr>
      <w:pStyle w:val="Footer"/>
      <w:jc w:val="right"/>
      <w:rPr>
        <w:rFonts w:cs="Arial"/>
        <w:b/>
        <w:sz w:val="36"/>
        <w:szCs w:val="36"/>
      </w:rPr>
    </w:pPr>
    <w:r>
      <w:rPr>
        <w:rFonts w:cs="Arial"/>
        <w:b/>
        <w:sz w:val="36"/>
        <w:szCs w:val="36"/>
      </w:rPr>
      <w:t>Date of Last Revision</w:t>
    </w:r>
  </w:p>
  <w:p w14:paraId="393A15B9" w14:textId="77777777" w:rsidR="00D60384" w:rsidRDefault="00D603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2477C" w14:textId="77777777" w:rsidR="001C08D0" w:rsidRDefault="001C08D0">
      <w:r>
        <w:separator/>
      </w:r>
    </w:p>
    <w:p w14:paraId="5C1D370A" w14:textId="77777777" w:rsidR="001C08D0" w:rsidRDefault="001C08D0"/>
  </w:footnote>
  <w:footnote w:type="continuationSeparator" w:id="0">
    <w:p w14:paraId="7D6CDF41" w14:textId="77777777" w:rsidR="001C08D0" w:rsidRDefault="001C08D0">
      <w:r>
        <w:continuationSeparator/>
      </w:r>
    </w:p>
    <w:p w14:paraId="54BDCD54" w14:textId="77777777" w:rsidR="001C08D0" w:rsidRDefault="001C08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D60384" w:rsidRDefault="00544E9C">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D60384" w:rsidRDefault="00D60384" w:rsidP="001A573F">
    <w:pPr>
      <w:pStyle w:val="Header"/>
      <w:jc w:val="right"/>
    </w:pPr>
  </w:p>
  <w:p w14:paraId="393A15A5" w14:textId="77777777" w:rsidR="00D60384" w:rsidRDefault="00D60384"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C" w14:textId="38292050" w:rsidR="00D60384" w:rsidRDefault="00544E9C">
    <w:pPr>
      <w:pStyle w:val="Header"/>
    </w:pPr>
    <w:r>
      <w:rPr>
        <w:noProof/>
      </w:rPr>
      <w:pict w14:anchorId="393A15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35.05pt;height:174pt;rotation:315;z-index:-25165824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B9E552B" w:rsidR="00D60384" w:rsidRDefault="00D6038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D60384" w:rsidRDefault="00D60384" w:rsidP="001A573F">
    <w:pPr>
      <w:pStyle w:val="Header"/>
      <w:jc w:val="right"/>
    </w:pPr>
  </w:p>
  <w:p w14:paraId="393A15B1" w14:textId="77777777" w:rsidR="00D60384" w:rsidRDefault="00D60384" w:rsidP="001A573F">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194EB5BA" w:rsidR="00D60384" w:rsidRDefault="00D603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AFF1CC9"/>
    <w:multiLevelType w:val="hybridMultilevel"/>
    <w:tmpl w:val="4344D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969CA"/>
    <w:multiLevelType w:val="hybridMultilevel"/>
    <w:tmpl w:val="4AC85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WPPR2"/>
      <w:lvlText w:val="%1.%2.%3.%4"/>
      <w:lvlJc w:val="left"/>
      <w:pPr>
        <w:tabs>
          <w:tab w:val="num" w:pos="720"/>
        </w:tabs>
        <w:ind w:left="720" w:hanging="720"/>
      </w:pPr>
      <w:rPr>
        <w:rFonts w:hint="default"/>
      </w:rPr>
    </w:lvl>
    <w:lvl w:ilvl="4">
      <w:start w:val="1"/>
      <w:numFmt w:val="decimal"/>
      <w:pStyle w:val="WPPR3"/>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5C19D9"/>
    <w:multiLevelType w:val="multilevel"/>
    <w:tmpl w:val="AA82DE7E"/>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7">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nsid w:val="39053D28"/>
    <w:multiLevelType w:val="hybridMultilevel"/>
    <w:tmpl w:val="6FD6CA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7">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610C451F"/>
    <w:multiLevelType w:val="hybridMultilevel"/>
    <w:tmpl w:val="764CBD8E"/>
    <w:lvl w:ilvl="0" w:tplc="6A7EDF18">
      <w:start w:val="1"/>
      <w:numFmt w:val="decimal"/>
      <w:lvlText w:val="Table %1 -"/>
      <w:lvlJc w:val="left"/>
      <w:pPr>
        <w:tabs>
          <w:tab w:val="num" w:pos="1080"/>
        </w:tabs>
        <w:ind w:left="1080" w:hanging="360"/>
      </w:pPr>
      <w:rPr>
        <w:rFonts w:ascii="Arial" w:hAnsi="Arial"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820856"/>
    <w:multiLevelType w:val="singleLevel"/>
    <w:tmpl w:val="6C78A414"/>
    <w:lvl w:ilvl="0">
      <w:start w:val="1"/>
      <w:numFmt w:val="decimal"/>
      <w:lvlText w:val="%1."/>
      <w:legacy w:legacy="1" w:legacySpace="0" w:legacyIndent="0"/>
      <w:lvlJc w:val="left"/>
    </w:lvl>
  </w:abstractNum>
  <w:abstractNum w:abstractNumId="21">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2"/>
  </w:num>
  <w:num w:numId="3">
    <w:abstractNumId w:val="7"/>
  </w:num>
  <w:num w:numId="4">
    <w:abstractNumId w:val="9"/>
  </w:num>
  <w:num w:numId="5">
    <w:abstractNumId w:val="20"/>
  </w:num>
  <w:num w:numId="6">
    <w:abstractNumId w:val="11"/>
  </w:num>
  <w:num w:numId="7">
    <w:abstractNumId w:val="8"/>
  </w:num>
  <w:num w:numId="8">
    <w:abstractNumId w:val="13"/>
  </w:num>
  <w:num w:numId="9">
    <w:abstractNumId w:val="10"/>
  </w:num>
  <w:num w:numId="10">
    <w:abstractNumId w:val="3"/>
  </w:num>
  <w:num w:numId="11">
    <w:abstractNumId w:val="16"/>
  </w:num>
  <w:num w:numId="12">
    <w:abstractNumId w:val="17"/>
  </w:num>
  <w:num w:numId="13">
    <w:abstractNumId w:val="5"/>
  </w:num>
  <w:num w:numId="14">
    <w:abstractNumId w:val="22"/>
  </w:num>
  <w:num w:numId="15">
    <w:abstractNumId w:val="14"/>
  </w:num>
  <w:num w:numId="16">
    <w:abstractNumId w:val="15"/>
  </w:num>
  <w:num w:numId="17">
    <w:abstractNumId w:val="0"/>
  </w:num>
  <w:num w:numId="18">
    <w:abstractNumId w:val="21"/>
  </w:num>
  <w:num w:numId="19">
    <w:abstractNumId w:val="19"/>
  </w:num>
  <w:num w:numId="20">
    <w:abstractNumId w:val="6"/>
  </w:num>
  <w:num w:numId="21">
    <w:abstractNumId w:val="2"/>
  </w:num>
  <w:num w:numId="22">
    <w:abstractNumId w:val="1"/>
  </w:num>
  <w:num w:numId="23">
    <w:abstractNumId w:val="18"/>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129F"/>
    <w:rsid w:val="0002331A"/>
    <w:rsid w:val="00024AA9"/>
    <w:rsid w:val="00026CD7"/>
    <w:rsid w:val="00026F78"/>
    <w:rsid w:val="000272C2"/>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10D"/>
    <w:rsid w:val="00086594"/>
    <w:rsid w:val="00087378"/>
    <w:rsid w:val="00095610"/>
    <w:rsid w:val="000966CC"/>
    <w:rsid w:val="000A17BE"/>
    <w:rsid w:val="000A2ABA"/>
    <w:rsid w:val="000A2FB3"/>
    <w:rsid w:val="000A48F2"/>
    <w:rsid w:val="000B0B1E"/>
    <w:rsid w:val="000C0FD3"/>
    <w:rsid w:val="000C124D"/>
    <w:rsid w:val="000C5B2D"/>
    <w:rsid w:val="000C6D7B"/>
    <w:rsid w:val="000D17B9"/>
    <w:rsid w:val="000E132D"/>
    <w:rsid w:val="000E22BC"/>
    <w:rsid w:val="000E22C9"/>
    <w:rsid w:val="000E31B5"/>
    <w:rsid w:val="000F0069"/>
    <w:rsid w:val="000F11DD"/>
    <w:rsid w:val="00107FDD"/>
    <w:rsid w:val="00113464"/>
    <w:rsid w:val="00115EB1"/>
    <w:rsid w:val="001178BE"/>
    <w:rsid w:val="0012176A"/>
    <w:rsid w:val="00121A22"/>
    <w:rsid w:val="001248A3"/>
    <w:rsid w:val="00124F32"/>
    <w:rsid w:val="00126483"/>
    <w:rsid w:val="00126900"/>
    <w:rsid w:val="00126A4E"/>
    <w:rsid w:val="00127341"/>
    <w:rsid w:val="00127CC8"/>
    <w:rsid w:val="0013046A"/>
    <w:rsid w:val="0013080C"/>
    <w:rsid w:val="0013087E"/>
    <w:rsid w:val="00133198"/>
    <w:rsid w:val="00133C60"/>
    <w:rsid w:val="0013470C"/>
    <w:rsid w:val="00136D56"/>
    <w:rsid w:val="00146434"/>
    <w:rsid w:val="001465B1"/>
    <w:rsid w:val="00150EC7"/>
    <w:rsid w:val="00155EF5"/>
    <w:rsid w:val="00162081"/>
    <w:rsid w:val="00167F2B"/>
    <w:rsid w:val="0017179F"/>
    <w:rsid w:val="00172149"/>
    <w:rsid w:val="00175673"/>
    <w:rsid w:val="00176431"/>
    <w:rsid w:val="00183C8E"/>
    <w:rsid w:val="00190BBB"/>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05DA"/>
    <w:rsid w:val="001B238D"/>
    <w:rsid w:val="001B242B"/>
    <w:rsid w:val="001B4ACB"/>
    <w:rsid w:val="001B5E15"/>
    <w:rsid w:val="001B75E6"/>
    <w:rsid w:val="001B792D"/>
    <w:rsid w:val="001C08D0"/>
    <w:rsid w:val="001C0CB0"/>
    <w:rsid w:val="001C2942"/>
    <w:rsid w:val="001C63A2"/>
    <w:rsid w:val="001D11CE"/>
    <w:rsid w:val="001D16C2"/>
    <w:rsid w:val="001D3F48"/>
    <w:rsid w:val="001D483C"/>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35694"/>
    <w:rsid w:val="0024233E"/>
    <w:rsid w:val="00243BAC"/>
    <w:rsid w:val="00244A5B"/>
    <w:rsid w:val="00244BD6"/>
    <w:rsid w:val="00245A56"/>
    <w:rsid w:val="002466F4"/>
    <w:rsid w:val="00251E83"/>
    <w:rsid w:val="00252352"/>
    <w:rsid w:val="00255067"/>
    <w:rsid w:val="0025738E"/>
    <w:rsid w:val="00257989"/>
    <w:rsid w:val="002628B9"/>
    <w:rsid w:val="00262E9A"/>
    <w:rsid w:val="00264B03"/>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C45"/>
    <w:rsid w:val="002B0ECF"/>
    <w:rsid w:val="002B4FEF"/>
    <w:rsid w:val="002C0335"/>
    <w:rsid w:val="002C12FA"/>
    <w:rsid w:val="002C21F9"/>
    <w:rsid w:val="002C26EB"/>
    <w:rsid w:val="002C321E"/>
    <w:rsid w:val="002C42E0"/>
    <w:rsid w:val="002C4F1C"/>
    <w:rsid w:val="002C518C"/>
    <w:rsid w:val="002C59BE"/>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01A4"/>
    <w:rsid w:val="003129E8"/>
    <w:rsid w:val="00315AB7"/>
    <w:rsid w:val="00324AFE"/>
    <w:rsid w:val="00324D0F"/>
    <w:rsid w:val="003259CD"/>
    <w:rsid w:val="00326169"/>
    <w:rsid w:val="0032657A"/>
    <w:rsid w:val="0033144B"/>
    <w:rsid w:val="00333E01"/>
    <w:rsid w:val="00335017"/>
    <w:rsid w:val="003408A4"/>
    <w:rsid w:val="00340DAD"/>
    <w:rsid w:val="00340DC8"/>
    <w:rsid w:val="00345971"/>
    <w:rsid w:val="00345DE6"/>
    <w:rsid w:val="0034647B"/>
    <w:rsid w:val="00347F54"/>
    <w:rsid w:val="00350382"/>
    <w:rsid w:val="00353429"/>
    <w:rsid w:val="00353DC2"/>
    <w:rsid w:val="003541A6"/>
    <w:rsid w:val="00362067"/>
    <w:rsid w:val="0037391B"/>
    <w:rsid w:val="00374640"/>
    <w:rsid w:val="00377407"/>
    <w:rsid w:val="0038391A"/>
    <w:rsid w:val="00392B5E"/>
    <w:rsid w:val="00392C05"/>
    <w:rsid w:val="00393618"/>
    <w:rsid w:val="00393D41"/>
    <w:rsid w:val="00395845"/>
    <w:rsid w:val="003A1B51"/>
    <w:rsid w:val="003A54E1"/>
    <w:rsid w:val="003A648E"/>
    <w:rsid w:val="003A66D0"/>
    <w:rsid w:val="003A7230"/>
    <w:rsid w:val="003B1EFD"/>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D6285"/>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585"/>
    <w:rsid w:val="00403FBE"/>
    <w:rsid w:val="00406EDD"/>
    <w:rsid w:val="004078BB"/>
    <w:rsid w:val="0041339D"/>
    <w:rsid w:val="0041365D"/>
    <w:rsid w:val="00415754"/>
    <w:rsid w:val="004162E3"/>
    <w:rsid w:val="00421ED8"/>
    <w:rsid w:val="0042297B"/>
    <w:rsid w:val="00422F19"/>
    <w:rsid w:val="00423B48"/>
    <w:rsid w:val="00423CC9"/>
    <w:rsid w:val="00425FE9"/>
    <w:rsid w:val="00427131"/>
    <w:rsid w:val="00430775"/>
    <w:rsid w:val="0043087B"/>
    <w:rsid w:val="004323E9"/>
    <w:rsid w:val="00432C65"/>
    <w:rsid w:val="004339ED"/>
    <w:rsid w:val="00433B89"/>
    <w:rsid w:val="00436F7E"/>
    <w:rsid w:val="00437947"/>
    <w:rsid w:val="00437BE1"/>
    <w:rsid w:val="0044128D"/>
    <w:rsid w:val="004419D3"/>
    <w:rsid w:val="00442783"/>
    <w:rsid w:val="0044337C"/>
    <w:rsid w:val="00445790"/>
    <w:rsid w:val="00450273"/>
    <w:rsid w:val="004509A5"/>
    <w:rsid w:val="00453CE7"/>
    <w:rsid w:val="004551F3"/>
    <w:rsid w:val="00455856"/>
    <w:rsid w:val="004563F1"/>
    <w:rsid w:val="004602EC"/>
    <w:rsid w:val="004617A6"/>
    <w:rsid w:val="004647C8"/>
    <w:rsid w:val="00467FE9"/>
    <w:rsid w:val="00474025"/>
    <w:rsid w:val="0048008C"/>
    <w:rsid w:val="004809C9"/>
    <w:rsid w:val="00480BAD"/>
    <w:rsid w:val="00480C7E"/>
    <w:rsid w:val="00481090"/>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924"/>
    <w:rsid w:val="004B4489"/>
    <w:rsid w:val="004C4E2A"/>
    <w:rsid w:val="004C5560"/>
    <w:rsid w:val="004C56D1"/>
    <w:rsid w:val="004D2C76"/>
    <w:rsid w:val="004D58D5"/>
    <w:rsid w:val="004D71AF"/>
    <w:rsid w:val="004D7301"/>
    <w:rsid w:val="004E2777"/>
    <w:rsid w:val="004F1DB8"/>
    <w:rsid w:val="004F21BC"/>
    <w:rsid w:val="004F3EDB"/>
    <w:rsid w:val="004F55EC"/>
    <w:rsid w:val="004F61DD"/>
    <w:rsid w:val="00502569"/>
    <w:rsid w:val="00503A6A"/>
    <w:rsid w:val="00506204"/>
    <w:rsid w:val="00511171"/>
    <w:rsid w:val="005136CC"/>
    <w:rsid w:val="00513858"/>
    <w:rsid w:val="00514B37"/>
    <w:rsid w:val="00514EEC"/>
    <w:rsid w:val="005164A6"/>
    <w:rsid w:val="00521874"/>
    <w:rsid w:val="00521920"/>
    <w:rsid w:val="005246B1"/>
    <w:rsid w:val="00527B43"/>
    <w:rsid w:val="00530B04"/>
    <w:rsid w:val="00534386"/>
    <w:rsid w:val="0053683E"/>
    <w:rsid w:val="00537B0D"/>
    <w:rsid w:val="005403E8"/>
    <w:rsid w:val="00541493"/>
    <w:rsid w:val="00542990"/>
    <w:rsid w:val="00542A98"/>
    <w:rsid w:val="00544873"/>
    <w:rsid w:val="00544E9C"/>
    <w:rsid w:val="005453C5"/>
    <w:rsid w:val="0054599C"/>
    <w:rsid w:val="00545A84"/>
    <w:rsid w:val="00551EF3"/>
    <w:rsid w:val="00554084"/>
    <w:rsid w:val="005572AA"/>
    <w:rsid w:val="00557E24"/>
    <w:rsid w:val="00560593"/>
    <w:rsid w:val="0056163A"/>
    <w:rsid w:val="00562217"/>
    <w:rsid w:val="005633FA"/>
    <w:rsid w:val="005635A0"/>
    <w:rsid w:val="00563BE5"/>
    <w:rsid w:val="00567397"/>
    <w:rsid w:val="00574FBD"/>
    <w:rsid w:val="005773BB"/>
    <w:rsid w:val="00585C83"/>
    <w:rsid w:val="00586604"/>
    <w:rsid w:val="00587DDD"/>
    <w:rsid w:val="00591FDD"/>
    <w:rsid w:val="005A15FD"/>
    <w:rsid w:val="005A1F9D"/>
    <w:rsid w:val="005A3798"/>
    <w:rsid w:val="005A67E5"/>
    <w:rsid w:val="005A6BF2"/>
    <w:rsid w:val="005A7302"/>
    <w:rsid w:val="005B00A6"/>
    <w:rsid w:val="005B372B"/>
    <w:rsid w:val="005C2844"/>
    <w:rsid w:val="005C7F3F"/>
    <w:rsid w:val="005D55E9"/>
    <w:rsid w:val="005D6266"/>
    <w:rsid w:val="005D75EB"/>
    <w:rsid w:val="005E2187"/>
    <w:rsid w:val="005E4FE9"/>
    <w:rsid w:val="005F19E0"/>
    <w:rsid w:val="005F3E96"/>
    <w:rsid w:val="005F57B5"/>
    <w:rsid w:val="005F7AA1"/>
    <w:rsid w:val="00600E7D"/>
    <w:rsid w:val="00604FAE"/>
    <w:rsid w:val="00607605"/>
    <w:rsid w:val="0061001E"/>
    <w:rsid w:val="00610B3C"/>
    <w:rsid w:val="00610FC6"/>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2DD9"/>
    <w:rsid w:val="006559C8"/>
    <w:rsid w:val="00657224"/>
    <w:rsid w:val="00657405"/>
    <w:rsid w:val="006605C2"/>
    <w:rsid w:val="00661864"/>
    <w:rsid w:val="00663A00"/>
    <w:rsid w:val="00664FA6"/>
    <w:rsid w:val="0066632E"/>
    <w:rsid w:val="00671943"/>
    <w:rsid w:val="00673682"/>
    <w:rsid w:val="006832A4"/>
    <w:rsid w:val="006846E9"/>
    <w:rsid w:val="006872DB"/>
    <w:rsid w:val="00695ED2"/>
    <w:rsid w:val="006968B4"/>
    <w:rsid w:val="006A1022"/>
    <w:rsid w:val="006A1A83"/>
    <w:rsid w:val="006A2C4B"/>
    <w:rsid w:val="006A541C"/>
    <w:rsid w:val="006A55D2"/>
    <w:rsid w:val="006A66DA"/>
    <w:rsid w:val="006B3774"/>
    <w:rsid w:val="006B42B8"/>
    <w:rsid w:val="006B4563"/>
    <w:rsid w:val="006B6104"/>
    <w:rsid w:val="006B763D"/>
    <w:rsid w:val="006B7EDD"/>
    <w:rsid w:val="006C3EC0"/>
    <w:rsid w:val="006C44B4"/>
    <w:rsid w:val="006C4FC7"/>
    <w:rsid w:val="006D0365"/>
    <w:rsid w:val="006D083C"/>
    <w:rsid w:val="006D2068"/>
    <w:rsid w:val="006D3725"/>
    <w:rsid w:val="006D4AE1"/>
    <w:rsid w:val="006D52D8"/>
    <w:rsid w:val="006D5AAB"/>
    <w:rsid w:val="006E0111"/>
    <w:rsid w:val="006E3C13"/>
    <w:rsid w:val="006E5CB6"/>
    <w:rsid w:val="006F0139"/>
    <w:rsid w:val="006F214B"/>
    <w:rsid w:val="006F28C7"/>
    <w:rsid w:val="006F469D"/>
    <w:rsid w:val="007001DD"/>
    <w:rsid w:val="007003CC"/>
    <w:rsid w:val="0070443C"/>
    <w:rsid w:val="00712407"/>
    <w:rsid w:val="00712477"/>
    <w:rsid w:val="0071415C"/>
    <w:rsid w:val="007213CF"/>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A0C2E"/>
    <w:rsid w:val="007A1510"/>
    <w:rsid w:val="007A3D8B"/>
    <w:rsid w:val="007A4D97"/>
    <w:rsid w:val="007A768C"/>
    <w:rsid w:val="007B2CAC"/>
    <w:rsid w:val="007B2E26"/>
    <w:rsid w:val="007B41C0"/>
    <w:rsid w:val="007B44FB"/>
    <w:rsid w:val="007C0E38"/>
    <w:rsid w:val="007C18E3"/>
    <w:rsid w:val="007C3548"/>
    <w:rsid w:val="007C4E08"/>
    <w:rsid w:val="007D0411"/>
    <w:rsid w:val="007D2F4C"/>
    <w:rsid w:val="007D3DFF"/>
    <w:rsid w:val="007D3F38"/>
    <w:rsid w:val="007D4DB8"/>
    <w:rsid w:val="007E2197"/>
    <w:rsid w:val="007E3304"/>
    <w:rsid w:val="007E6C79"/>
    <w:rsid w:val="007F1E48"/>
    <w:rsid w:val="007F2147"/>
    <w:rsid w:val="007F2BF5"/>
    <w:rsid w:val="007F36E9"/>
    <w:rsid w:val="007F4605"/>
    <w:rsid w:val="007F6C7D"/>
    <w:rsid w:val="008026F6"/>
    <w:rsid w:val="00803F84"/>
    <w:rsid w:val="00806070"/>
    <w:rsid w:val="00806EE8"/>
    <w:rsid w:val="00811D89"/>
    <w:rsid w:val="008143A3"/>
    <w:rsid w:val="00814500"/>
    <w:rsid w:val="00822F77"/>
    <w:rsid w:val="00833AF7"/>
    <w:rsid w:val="00834023"/>
    <w:rsid w:val="00835579"/>
    <w:rsid w:val="00835FD8"/>
    <w:rsid w:val="00836F9B"/>
    <w:rsid w:val="008436DA"/>
    <w:rsid w:val="00843DAA"/>
    <w:rsid w:val="00844106"/>
    <w:rsid w:val="00844B27"/>
    <w:rsid w:val="00844D29"/>
    <w:rsid w:val="00846195"/>
    <w:rsid w:val="00846FA0"/>
    <w:rsid w:val="008479B6"/>
    <w:rsid w:val="00851ABA"/>
    <w:rsid w:val="00853B76"/>
    <w:rsid w:val="0086002F"/>
    <w:rsid w:val="00863F9D"/>
    <w:rsid w:val="008645F9"/>
    <w:rsid w:val="0086628A"/>
    <w:rsid w:val="00871279"/>
    <w:rsid w:val="00872913"/>
    <w:rsid w:val="00873F82"/>
    <w:rsid w:val="0087599D"/>
    <w:rsid w:val="00880CA5"/>
    <w:rsid w:val="008817B1"/>
    <w:rsid w:val="008834BB"/>
    <w:rsid w:val="008840FA"/>
    <w:rsid w:val="008846D2"/>
    <w:rsid w:val="00890F95"/>
    <w:rsid w:val="0089311A"/>
    <w:rsid w:val="0089387B"/>
    <w:rsid w:val="008946C3"/>
    <w:rsid w:val="008948E0"/>
    <w:rsid w:val="0089528C"/>
    <w:rsid w:val="008976B0"/>
    <w:rsid w:val="008A1884"/>
    <w:rsid w:val="008A6467"/>
    <w:rsid w:val="008B034D"/>
    <w:rsid w:val="008B0BBC"/>
    <w:rsid w:val="008B4153"/>
    <w:rsid w:val="008B5356"/>
    <w:rsid w:val="008B7927"/>
    <w:rsid w:val="008C265F"/>
    <w:rsid w:val="008C5AF3"/>
    <w:rsid w:val="008C6AD1"/>
    <w:rsid w:val="008C71B5"/>
    <w:rsid w:val="008D33F1"/>
    <w:rsid w:val="008E431F"/>
    <w:rsid w:val="008E5E12"/>
    <w:rsid w:val="008F0D2A"/>
    <w:rsid w:val="008F12D4"/>
    <w:rsid w:val="008F17A0"/>
    <w:rsid w:val="008F23EF"/>
    <w:rsid w:val="008F386F"/>
    <w:rsid w:val="008F48E1"/>
    <w:rsid w:val="008F5BD0"/>
    <w:rsid w:val="009003FE"/>
    <w:rsid w:val="00903C95"/>
    <w:rsid w:val="009046D4"/>
    <w:rsid w:val="0090595A"/>
    <w:rsid w:val="0091058D"/>
    <w:rsid w:val="00913858"/>
    <w:rsid w:val="00913A0F"/>
    <w:rsid w:val="00914959"/>
    <w:rsid w:val="00915CE6"/>
    <w:rsid w:val="00916468"/>
    <w:rsid w:val="009168A1"/>
    <w:rsid w:val="009241E2"/>
    <w:rsid w:val="00924681"/>
    <w:rsid w:val="00925E1A"/>
    <w:rsid w:val="0092622E"/>
    <w:rsid w:val="00930877"/>
    <w:rsid w:val="00945CB0"/>
    <w:rsid w:val="00951188"/>
    <w:rsid w:val="00951267"/>
    <w:rsid w:val="00955732"/>
    <w:rsid w:val="00955CBA"/>
    <w:rsid w:val="00960F2F"/>
    <w:rsid w:val="009634F6"/>
    <w:rsid w:val="00963B5E"/>
    <w:rsid w:val="00963FA0"/>
    <w:rsid w:val="0096491F"/>
    <w:rsid w:val="00974E95"/>
    <w:rsid w:val="00975F2D"/>
    <w:rsid w:val="00977BF5"/>
    <w:rsid w:val="0098302D"/>
    <w:rsid w:val="009833EF"/>
    <w:rsid w:val="00987608"/>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137D"/>
    <w:rsid w:val="009C425A"/>
    <w:rsid w:val="009C5CA7"/>
    <w:rsid w:val="009C5F86"/>
    <w:rsid w:val="009D03F8"/>
    <w:rsid w:val="009D1DF4"/>
    <w:rsid w:val="009D7A24"/>
    <w:rsid w:val="009D7EDA"/>
    <w:rsid w:val="009E00E4"/>
    <w:rsid w:val="009E0334"/>
    <w:rsid w:val="009E0D20"/>
    <w:rsid w:val="009E0F6B"/>
    <w:rsid w:val="009E23B7"/>
    <w:rsid w:val="009E27D7"/>
    <w:rsid w:val="009E2964"/>
    <w:rsid w:val="009E423A"/>
    <w:rsid w:val="009E5D18"/>
    <w:rsid w:val="009E7DCD"/>
    <w:rsid w:val="009F55F9"/>
    <w:rsid w:val="009F5CC0"/>
    <w:rsid w:val="009F6F8B"/>
    <w:rsid w:val="009F7164"/>
    <w:rsid w:val="00A01631"/>
    <w:rsid w:val="00A02F0A"/>
    <w:rsid w:val="00A1074D"/>
    <w:rsid w:val="00A120C5"/>
    <w:rsid w:val="00A127DD"/>
    <w:rsid w:val="00A14E6C"/>
    <w:rsid w:val="00A167EC"/>
    <w:rsid w:val="00A172E6"/>
    <w:rsid w:val="00A24434"/>
    <w:rsid w:val="00A24C8D"/>
    <w:rsid w:val="00A26F15"/>
    <w:rsid w:val="00A30E37"/>
    <w:rsid w:val="00A32AE2"/>
    <w:rsid w:val="00A35CF8"/>
    <w:rsid w:val="00A360E7"/>
    <w:rsid w:val="00A400FB"/>
    <w:rsid w:val="00A441A2"/>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3FFF"/>
    <w:rsid w:val="00A954E7"/>
    <w:rsid w:val="00A95746"/>
    <w:rsid w:val="00A95AB5"/>
    <w:rsid w:val="00A96D45"/>
    <w:rsid w:val="00A973EE"/>
    <w:rsid w:val="00A976FA"/>
    <w:rsid w:val="00A9798F"/>
    <w:rsid w:val="00AA075B"/>
    <w:rsid w:val="00AA18DD"/>
    <w:rsid w:val="00AA1F91"/>
    <w:rsid w:val="00AA5CE1"/>
    <w:rsid w:val="00AB2137"/>
    <w:rsid w:val="00AB2D9E"/>
    <w:rsid w:val="00AB4404"/>
    <w:rsid w:val="00AB68E3"/>
    <w:rsid w:val="00AB723D"/>
    <w:rsid w:val="00AC11AB"/>
    <w:rsid w:val="00AC21EE"/>
    <w:rsid w:val="00AC3B22"/>
    <w:rsid w:val="00AC4101"/>
    <w:rsid w:val="00AC5597"/>
    <w:rsid w:val="00AC6C3F"/>
    <w:rsid w:val="00AD0116"/>
    <w:rsid w:val="00AD1B42"/>
    <w:rsid w:val="00AD4177"/>
    <w:rsid w:val="00AD4B84"/>
    <w:rsid w:val="00AE23BE"/>
    <w:rsid w:val="00AE281F"/>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0F3E"/>
    <w:rsid w:val="00B54256"/>
    <w:rsid w:val="00B545F4"/>
    <w:rsid w:val="00B56303"/>
    <w:rsid w:val="00B64F62"/>
    <w:rsid w:val="00B66898"/>
    <w:rsid w:val="00B7164C"/>
    <w:rsid w:val="00B74832"/>
    <w:rsid w:val="00B74917"/>
    <w:rsid w:val="00B807AB"/>
    <w:rsid w:val="00B80F53"/>
    <w:rsid w:val="00B8174E"/>
    <w:rsid w:val="00B82E26"/>
    <w:rsid w:val="00B95FBC"/>
    <w:rsid w:val="00B97C44"/>
    <w:rsid w:val="00BA05AE"/>
    <w:rsid w:val="00BA2FA3"/>
    <w:rsid w:val="00BA6418"/>
    <w:rsid w:val="00BA7D18"/>
    <w:rsid w:val="00BB3A8F"/>
    <w:rsid w:val="00BB5B75"/>
    <w:rsid w:val="00BC19F6"/>
    <w:rsid w:val="00BC2A83"/>
    <w:rsid w:val="00BC380F"/>
    <w:rsid w:val="00BD02D0"/>
    <w:rsid w:val="00BD0D15"/>
    <w:rsid w:val="00BD5425"/>
    <w:rsid w:val="00BD6F74"/>
    <w:rsid w:val="00BE2879"/>
    <w:rsid w:val="00BE45BB"/>
    <w:rsid w:val="00BE5E74"/>
    <w:rsid w:val="00BE65C3"/>
    <w:rsid w:val="00BF0332"/>
    <w:rsid w:val="00BF37F5"/>
    <w:rsid w:val="00BF5FCC"/>
    <w:rsid w:val="00C00FA2"/>
    <w:rsid w:val="00C01F31"/>
    <w:rsid w:val="00C069A2"/>
    <w:rsid w:val="00C069EC"/>
    <w:rsid w:val="00C104E1"/>
    <w:rsid w:val="00C17416"/>
    <w:rsid w:val="00C1748F"/>
    <w:rsid w:val="00C221D5"/>
    <w:rsid w:val="00C2280A"/>
    <w:rsid w:val="00C22F0D"/>
    <w:rsid w:val="00C2652B"/>
    <w:rsid w:val="00C274E0"/>
    <w:rsid w:val="00C30598"/>
    <w:rsid w:val="00C32C42"/>
    <w:rsid w:val="00C346C7"/>
    <w:rsid w:val="00C373FB"/>
    <w:rsid w:val="00C41E61"/>
    <w:rsid w:val="00C45C85"/>
    <w:rsid w:val="00C46C72"/>
    <w:rsid w:val="00C515CA"/>
    <w:rsid w:val="00C52EC6"/>
    <w:rsid w:val="00C533E6"/>
    <w:rsid w:val="00C56730"/>
    <w:rsid w:val="00C6024F"/>
    <w:rsid w:val="00C602B7"/>
    <w:rsid w:val="00C60CE3"/>
    <w:rsid w:val="00C63D95"/>
    <w:rsid w:val="00C64B94"/>
    <w:rsid w:val="00C739BF"/>
    <w:rsid w:val="00C747DF"/>
    <w:rsid w:val="00C74F44"/>
    <w:rsid w:val="00C768C1"/>
    <w:rsid w:val="00C76C24"/>
    <w:rsid w:val="00C7740D"/>
    <w:rsid w:val="00C80E3F"/>
    <w:rsid w:val="00C87539"/>
    <w:rsid w:val="00C87D23"/>
    <w:rsid w:val="00C90663"/>
    <w:rsid w:val="00C919E3"/>
    <w:rsid w:val="00C93DCA"/>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E5AEA"/>
    <w:rsid w:val="00CF0534"/>
    <w:rsid w:val="00CF3FF0"/>
    <w:rsid w:val="00CF41AF"/>
    <w:rsid w:val="00CF4567"/>
    <w:rsid w:val="00CF53AB"/>
    <w:rsid w:val="00CF6815"/>
    <w:rsid w:val="00D04A19"/>
    <w:rsid w:val="00D04D3D"/>
    <w:rsid w:val="00D11B02"/>
    <w:rsid w:val="00D1202C"/>
    <w:rsid w:val="00D12617"/>
    <w:rsid w:val="00D16DDF"/>
    <w:rsid w:val="00D16E24"/>
    <w:rsid w:val="00D20486"/>
    <w:rsid w:val="00D228D8"/>
    <w:rsid w:val="00D256A4"/>
    <w:rsid w:val="00D31439"/>
    <w:rsid w:val="00D33677"/>
    <w:rsid w:val="00D34934"/>
    <w:rsid w:val="00D3547B"/>
    <w:rsid w:val="00D373EC"/>
    <w:rsid w:val="00D40B23"/>
    <w:rsid w:val="00D4180D"/>
    <w:rsid w:val="00D42875"/>
    <w:rsid w:val="00D42B44"/>
    <w:rsid w:val="00D44A14"/>
    <w:rsid w:val="00D47738"/>
    <w:rsid w:val="00D51A9B"/>
    <w:rsid w:val="00D51D95"/>
    <w:rsid w:val="00D51DF0"/>
    <w:rsid w:val="00D53EC6"/>
    <w:rsid w:val="00D55A00"/>
    <w:rsid w:val="00D56F77"/>
    <w:rsid w:val="00D60384"/>
    <w:rsid w:val="00D61E9F"/>
    <w:rsid w:val="00D62CC8"/>
    <w:rsid w:val="00D6402F"/>
    <w:rsid w:val="00D7047A"/>
    <w:rsid w:val="00D719E9"/>
    <w:rsid w:val="00D72225"/>
    <w:rsid w:val="00D73550"/>
    <w:rsid w:val="00D801EE"/>
    <w:rsid w:val="00D838F7"/>
    <w:rsid w:val="00D8479E"/>
    <w:rsid w:val="00D868F1"/>
    <w:rsid w:val="00D87EFF"/>
    <w:rsid w:val="00D91AE6"/>
    <w:rsid w:val="00D941E0"/>
    <w:rsid w:val="00D95840"/>
    <w:rsid w:val="00DA554C"/>
    <w:rsid w:val="00DA5F07"/>
    <w:rsid w:val="00DB42FB"/>
    <w:rsid w:val="00DB7AEE"/>
    <w:rsid w:val="00DC16A5"/>
    <w:rsid w:val="00DC39C4"/>
    <w:rsid w:val="00DC4019"/>
    <w:rsid w:val="00DC4568"/>
    <w:rsid w:val="00DC4A97"/>
    <w:rsid w:val="00DD0941"/>
    <w:rsid w:val="00DD1C47"/>
    <w:rsid w:val="00DD6B5E"/>
    <w:rsid w:val="00DE21B1"/>
    <w:rsid w:val="00DE4BF6"/>
    <w:rsid w:val="00DE4DF6"/>
    <w:rsid w:val="00DE69D0"/>
    <w:rsid w:val="00DE7070"/>
    <w:rsid w:val="00DE77A3"/>
    <w:rsid w:val="00DE7F01"/>
    <w:rsid w:val="00DF02F6"/>
    <w:rsid w:val="00DF21B8"/>
    <w:rsid w:val="00DF31EE"/>
    <w:rsid w:val="00DF3395"/>
    <w:rsid w:val="00DF7681"/>
    <w:rsid w:val="00E006AF"/>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302B"/>
    <w:rsid w:val="00E45FCC"/>
    <w:rsid w:val="00E528AF"/>
    <w:rsid w:val="00E53131"/>
    <w:rsid w:val="00E5518E"/>
    <w:rsid w:val="00E56222"/>
    <w:rsid w:val="00E564BA"/>
    <w:rsid w:val="00E566D8"/>
    <w:rsid w:val="00E57743"/>
    <w:rsid w:val="00E577C9"/>
    <w:rsid w:val="00E57A97"/>
    <w:rsid w:val="00E57FAD"/>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5522"/>
    <w:rsid w:val="00E86C99"/>
    <w:rsid w:val="00E879C6"/>
    <w:rsid w:val="00E9128A"/>
    <w:rsid w:val="00E91C15"/>
    <w:rsid w:val="00E938A2"/>
    <w:rsid w:val="00E943E8"/>
    <w:rsid w:val="00E945CE"/>
    <w:rsid w:val="00E94B97"/>
    <w:rsid w:val="00E94FAF"/>
    <w:rsid w:val="00E9724F"/>
    <w:rsid w:val="00EA0528"/>
    <w:rsid w:val="00EA0C49"/>
    <w:rsid w:val="00EA347E"/>
    <w:rsid w:val="00EA38B4"/>
    <w:rsid w:val="00EA4E02"/>
    <w:rsid w:val="00EA6276"/>
    <w:rsid w:val="00EB048C"/>
    <w:rsid w:val="00EB2C67"/>
    <w:rsid w:val="00EB367C"/>
    <w:rsid w:val="00EB43BA"/>
    <w:rsid w:val="00EB4429"/>
    <w:rsid w:val="00EB46D0"/>
    <w:rsid w:val="00EB4700"/>
    <w:rsid w:val="00EB7F72"/>
    <w:rsid w:val="00EC4357"/>
    <w:rsid w:val="00EC4529"/>
    <w:rsid w:val="00EC45F7"/>
    <w:rsid w:val="00EC49A4"/>
    <w:rsid w:val="00EC4EF3"/>
    <w:rsid w:val="00ED20C9"/>
    <w:rsid w:val="00ED21EE"/>
    <w:rsid w:val="00ED272D"/>
    <w:rsid w:val="00ED37E1"/>
    <w:rsid w:val="00ED3B31"/>
    <w:rsid w:val="00ED3DA7"/>
    <w:rsid w:val="00ED4EC4"/>
    <w:rsid w:val="00ED6C04"/>
    <w:rsid w:val="00ED7D3D"/>
    <w:rsid w:val="00EE4094"/>
    <w:rsid w:val="00EE4C9D"/>
    <w:rsid w:val="00EE4D57"/>
    <w:rsid w:val="00EE53FF"/>
    <w:rsid w:val="00EE5E83"/>
    <w:rsid w:val="00EE7092"/>
    <w:rsid w:val="00EF2F5C"/>
    <w:rsid w:val="00EF3A92"/>
    <w:rsid w:val="00EF7590"/>
    <w:rsid w:val="00F024CA"/>
    <w:rsid w:val="00F0354F"/>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4A82"/>
    <w:rsid w:val="00F55847"/>
    <w:rsid w:val="00F57142"/>
    <w:rsid w:val="00F5756D"/>
    <w:rsid w:val="00F630A2"/>
    <w:rsid w:val="00F63E1C"/>
    <w:rsid w:val="00F652AB"/>
    <w:rsid w:val="00F65942"/>
    <w:rsid w:val="00F72AA0"/>
    <w:rsid w:val="00F76A40"/>
    <w:rsid w:val="00F80C07"/>
    <w:rsid w:val="00F85193"/>
    <w:rsid w:val="00F853BD"/>
    <w:rsid w:val="00F87264"/>
    <w:rsid w:val="00F908E9"/>
    <w:rsid w:val="00F929CC"/>
    <w:rsid w:val="00F96C94"/>
    <w:rsid w:val="00FA2223"/>
    <w:rsid w:val="00FA2B8F"/>
    <w:rsid w:val="00FA2C9A"/>
    <w:rsid w:val="00FA47E6"/>
    <w:rsid w:val="00FA56D6"/>
    <w:rsid w:val="00FA595F"/>
    <w:rsid w:val="00FA6C24"/>
    <w:rsid w:val="00FB651A"/>
    <w:rsid w:val="00FC0CB3"/>
    <w:rsid w:val="00FC1FD7"/>
    <w:rsid w:val="00FC2999"/>
    <w:rsid w:val="00FC765F"/>
    <w:rsid w:val="00FC781D"/>
    <w:rsid w:val="00FD1861"/>
    <w:rsid w:val="00FD437A"/>
    <w:rsid w:val="00FD5375"/>
    <w:rsid w:val="00FD61A3"/>
    <w:rsid w:val="00FD66C9"/>
    <w:rsid w:val="00FD79F6"/>
    <w:rsid w:val="00FE0371"/>
    <w:rsid w:val="00FE1258"/>
    <w:rsid w:val="00FE31D0"/>
    <w:rsid w:val="00FE3581"/>
    <w:rsid w:val="00FE7A3F"/>
    <w:rsid w:val="00FF0A6F"/>
    <w:rsid w:val="00FF1241"/>
    <w:rsid w:val="00FF19E4"/>
    <w:rsid w:val="00FF31AC"/>
    <w:rsid w:val="00FF34FF"/>
    <w:rsid w:val="00FF4E87"/>
    <w:rsid w:val="00FF5C5C"/>
    <w:rsid w:val="00FF6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link w:val="CommentTextChar"/>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CommentTextChar">
    <w:name w:val="Comment Text Char"/>
    <w:basedOn w:val="DefaultParagraphFont"/>
    <w:link w:val="CommentText"/>
    <w:semiHidden/>
    <w:rsid w:val="008C265F"/>
    <w:rPr>
      <w:rFonts w:ascii="Arial" w:hAnsi="Arial"/>
    </w:rPr>
  </w:style>
  <w:style w:type="character" w:customStyle="1" w:styleId="EndnoteTextChar">
    <w:name w:val="Endnote Text Char"/>
    <w:basedOn w:val="DefaultParagraphFont"/>
    <w:link w:val="EndnoteText"/>
    <w:semiHidden/>
    <w:rsid w:val="00657224"/>
    <w:rPr>
      <w:rFonts w:ascii="Arial" w:hAnsi="Arial"/>
    </w:rPr>
  </w:style>
  <w:style w:type="paragraph" w:styleId="BodyText">
    <w:name w:val="Body Text"/>
    <w:basedOn w:val="Normal"/>
    <w:link w:val="BodyTextChar"/>
    <w:unhideWhenUsed/>
    <w:rsid w:val="00657224"/>
    <w:rPr>
      <w:rFonts w:ascii="Times New Roman" w:hAnsi="Times New Roman"/>
      <w:sz w:val="18"/>
      <w:szCs w:val="18"/>
    </w:rPr>
  </w:style>
  <w:style w:type="character" w:customStyle="1" w:styleId="BodyTextChar">
    <w:name w:val="Body Text Char"/>
    <w:basedOn w:val="DefaultParagraphFont"/>
    <w:link w:val="BodyText"/>
    <w:rsid w:val="00657224"/>
    <w:rPr>
      <w:sz w:val="18"/>
      <w:szCs w:val="18"/>
    </w:rPr>
  </w:style>
  <w:style w:type="character" w:styleId="PlaceholderText">
    <w:name w:val="Placeholder Text"/>
    <w:basedOn w:val="DefaultParagraphFont"/>
    <w:uiPriority w:val="99"/>
    <w:semiHidden/>
    <w:rsid w:val="00DE4DF6"/>
    <w:rPr>
      <w:color w:val="808080"/>
    </w:rPr>
  </w:style>
  <w:style w:type="character" w:customStyle="1" w:styleId="Heading2Char">
    <w:name w:val="Heading 2 Char"/>
    <w:basedOn w:val="DefaultParagraphFont"/>
    <w:link w:val="Heading2"/>
    <w:rsid w:val="00D04A19"/>
    <w:rPr>
      <w:rFonts w:ascii="Arial" w:hAnsi="Arial" w:cs="Arial"/>
      <w:b/>
      <w:bCs/>
      <w:i/>
      <w:iCs/>
      <w:sz w:val="28"/>
      <w:szCs w:val="28"/>
    </w:rPr>
  </w:style>
  <w:style w:type="paragraph" w:customStyle="1" w:styleId="ART">
    <w:name w:val="ART"/>
    <w:basedOn w:val="Normal"/>
    <w:next w:val="PR1"/>
    <w:rsid w:val="001B05DA"/>
    <w:pPr>
      <w:numPr>
        <w:ilvl w:val="1"/>
        <w:numId w:val="20"/>
      </w:numPr>
      <w:suppressAutoHyphens/>
      <w:spacing w:before="240"/>
      <w:outlineLvl w:val="1"/>
    </w:pPr>
    <w:rPr>
      <w:rFonts w:eastAsia="Batang"/>
      <w:b/>
      <w:caps/>
      <w:sz w:val="20"/>
      <w:szCs w:val="20"/>
    </w:rPr>
  </w:style>
  <w:style w:type="paragraph" w:customStyle="1" w:styleId="PR1">
    <w:name w:val="PR1"/>
    <w:basedOn w:val="ART"/>
    <w:rsid w:val="001B05DA"/>
    <w:pPr>
      <w:numPr>
        <w:ilvl w:val="2"/>
      </w:numPr>
      <w:outlineLvl w:val="2"/>
    </w:pPr>
    <w:rPr>
      <w:b w:val="0"/>
      <w:caps w:val="0"/>
    </w:rPr>
  </w:style>
  <w:style w:type="paragraph" w:customStyle="1" w:styleId="PR2">
    <w:name w:val="PR2"/>
    <w:basedOn w:val="PR1"/>
    <w:rsid w:val="001B05DA"/>
    <w:pPr>
      <w:numPr>
        <w:ilvl w:val="3"/>
      </w:numPr>
      <w:spacing w:before="0"/>
      <w:outlineLvl w:val="3"/>
    </w:pPr>
  </w:style>
  <w:style w:type="paragraph" w:customStyle="1" w:styleId="PR3">
    <w:name w:val="PR3"/>
    <w:basedOn w:val="PR1"/>
    <w:rsid w:val="001B05DA"/>
    <w:pPr>
      <w:numPr>
        <w:ilvl w:val="4"/>
      </w:numPr>
      <w:spacing w:before="0"/>
      <w:outlineLvl w:val="4"/>
    </w:pPr>
  </w:style>
  <w:style w:type="paragraph" w:customStyle="1" w:styleId="PR4">
    <w:name w:val="PR4"/>
    <w:basedOn w:val="PR1"/>
    <w:rsid w:val="001B05DA"/>
    <w:pPr>
      <w:numPr>
        <w:ilvl w:val="5"/>
      </w:numPr>
      <w:tabs>
        <w:tab w:val="left" w:pos="2448"/>
      </w:tabs>
      <w:spacing w:before="0"/>
      <w:outlineLvl w:val="5"/>
    </w:pPr>
  </w:style>
  <w:style w:type="paragraph" w:customStyle="1" w:styleId="PR5">
    <w:name w:val="PR5"/>
    <w:basedOn w:val="PR1"/>
    <w:rsid w:val="001B05DA"/>
    <w:pPr>
      <w:numPr>
        <w:ilvl w:val="6"/>
      </w:numPr>
      <w:spacing w:before="0"/>
      <w:outlineLvl w:val="6"/>
    </w:pPr>
  </w:style>
  <w:style w:type="paragraph" w:customStyle="1" w:styleId="PR6">
    <w:name w:val="PR6"/>
    <w:basedOn w:val="PR1"/>
    <w:rsid w:val="001B05DA"/>
    <w:pPr>
      <w:numPr>
        <w:ilvl w:val="7"/>
      </w:numPr>
      <w:tabs>
        <w:tab w:val="left" w:pos="3744"/>
      </w:tabs>
      <w:spacing w:before="0"/>
      <w:outlineLvl w:val="7"/>
    </w:pPr>
  </w:style>
  <w:style w:type="paragraph" w:customStyle="1" w:styleId="PR7">
    <w:name w:val="PR7"/>
    <w:basedOn w:val="PR6"/>
    <w:rsid w:val="001B05DA"/>
    <w:pPr>
      <w:numPr>
        <w:ilvl w:val="8"/>
      </w:numPr>
      <w:tabs>
        <w:tab w:val="left" w:pos="4464"/>
      </w:tabs>
    </w:pPr>
  </w:style>
  <w:style w:type="paragraph" w:customStyle="1" w:styleId="WPSCT">
    <w:name w:val="WPSCT"/>
    <w:basedOn w:val="Normal"/>
    <w:next w:val="ART"/>
    <w:qFormat/>
    <w:rsid w:val="001B05DA"/>
    <w:pPr>
      <w:numPr>
        <w:numId w:val="20"/>
      </w:numPr>
      <w:suppressAutoHyphens/>
      <w:spacing w:before="240"/>
      <w:outlineLvl w:val="0"/>
    </w:pPr>
    <w:rPr>
      <w:rFonts w:eastAsia="Batang"/>
      <w:b/>
      <w:caps/>
      <w:sz w:val="20"/>
      <w:szCs w:val="20"/>
    </w:rPr>
  </w:style>
  <w:style w:type="paragraph" w:customStyle="1" w:styleId="WPPR1">
    <w:name w:val="WPPR1"/>
    <w:basedOn w:val="PR1"/>
    <w:qFormat/>
    <w:rsid w:val="001B05DA"/>
  </w:style>
  <w:style w:type="paragraph" w:styleId="ListParagraph">
    <w:name w:val="List Paragraph"/>
    <w:basedOn w:val="Normal"/>
    <w:uiPriority w:val="34"/>
    <w:qFormat/>
    <w:rsid w:val="00E94B97"/>
    <w:pPr>
      <w:ind w:left="720"/>
      <w:contextualSpacing/>
    </w:pPr>
  </w:style>
  <w:style w:type="paragraph" w:customStyle="1" w:styleId="TBL">
    <w:name w:val="TBL"/>
    <w:rsid w:val="00835FD8"/>
    <w:pPr>
      <w:spacing w:before="120" w:after="120"/>
      <w:jc w:val="center"/>
    </w:pPr>
    <w:rPr>
      <w:rFonts w:ascii="Arial" w:eastAsia="Batang" w:hAnsi="Arial"/>
      <w:b/>
    </w:rPr>
  </w:style>
  <w:style w:type="paragraph" w:customStyle="1" w:styleId="Normal1">
    <w:name w:val="Normal1"/>
    <w:basedOn w:val="Normal"/>
    <w:rsid w:val="00835FD8"/>
    <w:pPr>
      <w:overflowPunct w:val="0"/>
      <w:autoSpaceDE w:val="0"/>
      <w:autoSpaceDN w:val="0"/>
      <w:adjustRightInd w:val="0"/>
      <w:spacing w:after="120" w:line="360" w:lineRule="atLeast"/>
      <w:textAlignment w:val="baseline"/>
    </w:pPr>
    <w:rPr>
      <w:rFonts w:ascii="Times New Roman" w:eastAsia="Batang" w:hAnsi="Times New Roman"/>
      <w:szCs w:val="20"/>
    </w:rPr>
  </w:style>
  <w:style w:type="paragraph" w:customStyle="1" w:styleId="WPPR2">
    <w:name w:val="WPPR2"/>
    <w:basedOn w:val="PR2"/>
    <w:qFormat/>
    <w:rsid w:val="00835FD8"/>
    <w:pPr>
      <w:numPr>
        <w:numId w:val="1"/>
      </w:numPr>
    </w:pPr>
  </w:style>
  <w:style w:type="paragraph" w:customStyle="1" w:styleId="WPPR3">
    <w:name w:val="WPPR3"/>
    <w:basedOn w:val="PR3"/>
    <w:qFormat/>
    <w:rsid w:val="00835FD8"/>
    <w:pPr>
      <w:numPr>
        <w:numId w:val="1"/>
      </w:numPr>
    </w:pPr>
  </w:style>
  <w:style w:type="paragraph" w:customStyle="1" w:styleId="Vertical">
    <w:name w:val="Vertical"/>
    <w:basedOn w:val="Normal1"/>
    <w:qFormat/>
    <w:rsid w:val="00835FD8"/>
    <w:pPr>
      <w:spacing w:line="240" w:lineRule="auto"/>
      <w:jc w:val="center"/>
    </w:pPr>
    <w:rPr>
      <w:rFonts w:ascii="Arial" w:eastAsia="Times New Roman" w:hAnsi="Arial"/>
      <w:sz w:val="20"/>
    </w:rPr>
  </w:style>
  <w:style w:type="paragraph" w:customStyle="1" w:styleId="Table">
    <w:name w:val="Table"/>
    <w:basedOn w:val="Normal"/>
    <w:link w:val="TableChar"/>
    <w:qFormat/>
    <w:rsid w:val="008436DA"/>
    <w:pPr>
      <w:tabs>
        <w:tab w:val="center" w:pos="4320"/>
        <w:tab w:val="right" w:pos="8640"/>
      </w:tabs>
    </w:pPr>
  </w:style>
  <w:style w:type="character" w:customStyle="1" w:styleId="TableChar">
    <w:name w:val="Table Char"/>
    <w:basedOn w:val="DefaultParagraphFont"/>
    <w:link w:val="Table"/>
    <w:rsid w:val="008436DA"/>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link w:val="CommentTextChar"/>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CommentTextChar">
    <w:name w:val="Comment Text Char"/>
    <w:basedOn w:val="DefaultParagraphFont"/>
    <w:link w:val="CommentText"/>
    <w:semiHidden/>
    <w:rsid w:val="008C265F"/>
    <w:rPr>
      <w:rFonts w:ascii="Arial" w:hAnsi="Arial"/>
    </w:rPr>
  </w:style>
  <w:style w:type="character" w:customStyle="1" w:styleId="EndnoteTextChar">
    <w:name w:val="Endnote Text Char"/>
    <w:basedOn w:val="DefaultParagraphFont"/>
    <w:link w:val="EndnoteText"/>
    <w:semiHidden/>
    <w:rsid w:val="00657224"/>
    <w:rPr>
      <w:rFonts w:ascii="Arial" w:hAnsi="Arial"/>
    </w:rPr>
  </w:style>
  <w:style w:type="paragraph" w:styleId="BodyText">
    <w:name w:val="Body Text"/>
    <w:basedOn w:val="Normal"/>
    <w:link w:val="BodyTextChar"/>
    <w:unhideWhenUsed/>
    <w:rsid w:val="00657224"/>
    <w:rPr>
      <w:rFonts w:ascii="Times New Roman" w:hAnsi="Times New Roman"/>
      <w:sz w:val="18"/>
      <w:szCs w:val="18"/>
    </w:rPr>
  </w:style>
  <w:style w:type="character" w:customStyle="1" w:styleId="BodyTextChar">
    <w:name w:val="Body Text Char"/>
    <w:basedOn w:val="DefaultParagraphFont"/>
    <w:link w:val="BodyText"/>
    <w:rsid w:val="00657224"/>
    <w:rPr>
      <w:sz w:val="18"/>
      <w:szCs w:val="18"/>
    </w:rPr>
  </w:style>
  <w:style w:type="character" w:styleId="PlaceholderText">
    <w:name w:val="Placeholder Text"/>
    <w:basedOn w:val="DefaultParagraphFont"/>
    <w:uiPriority w:val="99"/>
    <w:semiHidden/>
    <w:rsid w:val="00DE4DF6"/>
    <w:rPr>
      <w:color w:val="808080"/>
    </w:rPr>
  </w:style>
  <w:style w:type="character" w:customStyle="1" w:styleId="Heading2Char">
    <w:name w:val="Heading 2 Char"/>
    <w:basedOn w:val="DefaultParagraphFont"/>
    <w:link w:val="Heading2"/>
    <w:rsid w:val="00D04A19"/>
    <w:rPr>
      <w:rFonts w:ascii="Arial" w:hAnsi="Arial" w:cs="Arial"/>
      <w:b/>
      <w:bCs/>
      <w:i/>
      <w:iCs/>
      <w:sz w:val="28"/>
      <w:szCs w:val="28"/>
    </w:rPr>
  </w:style>
  <w:style w:type="paragraph" w:customStyle="1" w:styleId="ART">
    <w:name w:val="ART"/>
    <w:basedOn w:val="Normal"/>
    <w:next w:val="PR1"/>
    <w:rsid w:val="001B05DA"/>
    <w:pPr>
      <w:numPr>
        <w:ilvl w:val="1"/>
        <w:numId w:val="20"/>
      </w:numPr>
      <w:suppressAutoHyphens/>
      <w:spacing w:before="240"/>
      <w:outlineLvl w:val="1"/>
    </w:pPr>
    <w:rPr>
      <w:rFonts w:eastAsia="Batang"/>
      <w:b/>
      <w:caps/>
      <w:sz w:val="20"/>
      <w:szCs w:val="20"/>
    </w:rPr>
  </w:style>
  <w:style w:type="paragraph" w:customStyle="1" w:styleId="PR1">
    <w:name w:val="PR1"/>
    <w:basedOn w:val="ART"/>
    <w:rsid w:val="001B05DA"/>
    <w:pPr>
      <w:numPr>
        <w:ilvl w:val="2"/>
      </w:numPr>
      <w:outlineLvl w:val="2"/>
    </w:pPr>
    <w:rPr>
      <w:b w:val="0"/>
      <w:caps w:val="0"/>
    </w:rPr>
  </w:style>
  <w:style w:type="paragraph" w:customStyle="1" w:styleId="PR2">
    <w:name w:val="PR2"/>
    <w:basedOn w:val="PR1"/>
    <w:rsid w:val="001B05DA"/>
    <w:pPr>
      <w:numPr>
        <w:ilvl w:val="3"/>
      </w:numPr>
      <w:spacing w:before="0"/>
      <w:outlineLvl w:val="3"/>
    </w:pPr>
  </w:style>
  <w:style w:type="paragraph" w:customStyle="1" w:styleId="PR3">
    <w:name w:val="PR3"/>
    <w:basedOn w:val="PR1"/>
    <w:rsid w:val="001B05DA"/>
    <w:pPr>
      <w:numPr>
        <w:ilvl w:val="4"/>
      </w:numPr>
      <w:spacing w:before="0"/>
      <w:outlineLvl w:val="4"/>
    </w:pPr>
  </w:style>
  <w:style w:type="paragraph" w:customStyle="1" w:styleId="PR4">
    <w:name w:val="PR4"/>
    <w:basedOn w:val="PR1"/>
    <w:rsid w:val="001B05DA"/>
    <w:pPr>
      <w:numPr>
        <w:ilvl w:val="5"/>
      </w:numPr>
      <w:tabs>
        <w:tab w:val="left" w:pos="2448"/>
      </w:tabs>
      <w:spacing w:before="0"/>
      <w:outlineLvl w:val="5"/>
    </w:pPr>
  </w:style>
  <w:style w:type="paragraph" w:customStyle="1" w:styleId="PR5">
    <w:name w:val="PR5"/>
    <w:basedOn w:val="PR1"/>
    <w:rsid w:val="001B05DA"/>
    <w:pPr>
      <w:numPr>
        <w:ilvl w:val="6"/>
      </w:numPr>
      <w:spacing w:before="0"/>
      <w:outlineLvl w:val="6"/>
    </w:pPr>
  </w:style>
  <w:style w:type="paragraph" w:customStyle="1" w:styleId="PR6">
    <w:name w:val="PR6"/>
    <w:basedOn w:val="PR1"/>
    <w:rsid w:val="001B05DA"/>
    <w:pPr>
      <w:numPr>
        <w:ilvl w:val="7"/>
      </w:numPr>
      <w:tabs>
        <w:tab w:val="left" w:pos="3744"/>
      </w:tabs>
      <w:spacing w:before="0"/>
      <w:outlineLvl w:val="7"/>
    </w:pPr>
  </w:style>
  <w:style w:type="paragraph" w:customStyle="1" w:styleId="PR7">
    <w:name w:val="PR7"/>
    <w:basedOn w:val="PR6"/>
    <w:rsid w:val="001B05DA"/>
    <w:pPr>
      <w:numPr>
        <w:ilvl w:val="8"/>
      </w:numPr>
      <w:tabs>
        <w:tab w:val="left" w:pos="4464"/>
      </w:tabs>
    </w:pPr>
  </w:style>
  <w:style w:type="paragraph" w:customStyle="1" w:styleId="WPSCT">
    <w:name w:val="WPSCT"/>
    <w:basedOn w:val="Normal"/>
    <w:next w:val="ART"/>
    <w:qFormat/>
    <w:rsid w:val="001B05DA"/>
    <w:pPr>
      <w:numPr>
        <w:numId w:val="20"/>
      </w:numPr>
      <w:suppressAutoHyphens/>
      <w:spacing w:before="240"/>
      <w:outlineLvl w:val="0"/>
    </w:pPr>
    <w:rPr>
      <w:rFonts w:eastAsia="Batang"/>
      <w:b/>
      <w:caps/>
      <w:sz w:val="20"/>
      <w:szCs w:val="20"/>
    </w:rPr>
  </w:style>
  <w:style w:type="paragraph" w:customStyle="1" w:styleId="WPPR1">
    <w:name w:val="WPPR1"/>
    <w:basedOn w:val="PR1"/>
    <w:qFormat/>
    <w:rsid w:val="001B05DA"/>
  </w:style>
  <w:style w:type="paragraph" w:styleId="ListParagraph">
    <w:name w:val="List Paragraph"/>
    <w:basedOn w:val="Normal"/>
    <w:uiPriority w:val="34"/>
    <w:qFormat/>
    <w:rsid w:val="00E94B97"/>
    <w:pPr>
      <w:ind w:left="720"/>
      <w:contextualSpacing/>
    </w:pPr>
  </w:style>
  <w:style w:type="paragraph" w:customStyle="1" w:styleId="TBL">
    <w:name w:val="TBL"/>
    <w:rsid w:val="00835FD8"/>
    <w:pPr>
      <w:spacing w:before="120" w:after="120"/>
      <w:jc w:val="center"/>
    </w:pPr>
    <w:rPr>
      <w:rFonts w:ascii="Arial" w:eastAsia="Batang" w:hAnsi="Arial"/>
      <w:b/>
    </w:rPr>
  </w:style>
  <w:style w:type="paragraph" w:customStyle="1" w:styleId="Normal1">
    <w:name w:val="Normal1"/>
    <w:basedOn w:val="Normal"/>
    <w:rsid w:val="00835FD8"/>
    <w:pPr>
      <w:overflowPunct w:val="0"/>
      <w:autoSpaceDE w:val="0"/>
      <w:autoSpaceDN w:val="0"/>
      <w:adjustRightInd w:val="0"/>
      <w:spacing w:after="120" w:line="360" w:lineRule="atLeast"/>
      <w:textAlignment w:val="baseline"/>
    </w:pPr>
    <w:rPr>
      <w:rFonts w:ascii="Times New Roman" w:eastAsia="Batang" w:hAnsi="Times New Roman"/>
      <w:szCs w:val="20"/>
    </w:rPr>
  </w:style>
  <w:style w:type="paragraph" w:customStyle="1" w:styleId="WPPR2">
    <w:name w:val="WPPR2"/>
    <w:basedOn w:val="PR2"/>
    <w:qFormat/>
    <w:rsid w:val="00835FD8"/>
    <w:pPr>
      <w:numPr>
        <w:numId w:val="1"/>
      </w:numPr>
    </w:pPr>
  </w:style>
  <w:style w:type="paragraph" w:customStyle="1" w:styleId="WPPR3">
    <w:name w:val="WPPR3"/>
    <w:basedOn w:val="PR3"/>
    <w:qFormat/>
    <w:rsid w:val="00835FD8"/>
    <w:pPr>
      <w:numPr>
        <w:numId w:val="1"/>
      </w:numPr>
    </w:pPr>
  </w:style>
  <w:style w:type="paragraph" w:customStyle="1" w:styleId="Vertical">
    <w:name w:val="Vertical"/>
    <w:basedOn w:val="Normal1"/>
    <w:qFormat/>
    <w:rsid w:val="00835FD8"/>
    <w:pPr>
      <w:spacing w:line="240" w:lineRule="auto"/>
      <w:jc w:val="center"/>
    </w:pPr>
    <w:rPr>
      <w:rFonts w:ascii="Arial" w:eastAsia="Times New Roman" w:hAnsi="Arial"/>
      <w:sz w:val="20"/>
    </w:rPr>
  </w:style>
  <w:style w:type="paragraph" w:customStyle="1" w:styleId="Table">
    <w:name w:val="Table"/>
    <w:basedOn w:val="Normal"/>
    <w:link w:val="TableChar"/>
    <w:qFormat/>
    <w:rsid w:val="008436DA"/>
    <w:pPr>
      <w:tabs>
        <w:tab w:val="center" w:pos="4320"/>
        <w:tab w:val="right" w:pos="8640"/>
      </w:tabs>
    </w:pPr>
  </w:style>
  <w:style w:type="character" w:customStyle="1" w:styleId="TableChar">
    <w:name w:val="Table Char"/>
    <w:basedOn w:val="DefaultParagraphFont"/>
    <w:link w:val="Table"/>
    <w:rsid w:val="008436DA"/>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01109">
      <w:bodyDiv w:val="1"/>
      <w:marLeft w:val="0"/>
      <w:marRight w:val="0"/>
      <w:marTop w:val="0"/>
      <w:marBottom w:val="0"/>
      <w:divBdr>
        <w:top w:val="none" w:sz="0" w:space="0" w:color="auto"/>
        <w:left w:val="none" w:sz="0" w:space="0" w:color="auto"/>
        <w:bottom w:val="none" w:sz="0" w:space="0" w:color="auto"/>
        <w:right w:val="none" w:sz="0" w:space="0" w:color="auto"/>
      </w:divBdr>
    </w:div>
    <w:div w:id="197788110">
      <w:bodyDiv w:val="1"/>
      <w:marLeft w:val="0"/>
      <w:marRight w:val="0"/>
      <w:marTop w:val="0"/>
      <w:marBottom w:val="0"/>
      <w:divBdr>
        <w:top w:val="none" w:sz="0" w:space="0" w:color="auto"/>
        <w:left w:val="none" w:sz="0" w:space="0" w:color="auto"/>
        <w:bottom w:val="none" w:sz="0" w:space="0" w:color="auto"/>
        <w:right w:val="none" w:sz="0" w:space="0" w:color="auto"/>
      </w:divBdr>
    </w:div>
    <w:div w:id="214977586">
      <w:bodyDiv w:val="1"/>
      <w:marLeft w:val="0"/>
      <w:marRight w:val="0"/>
      <w:marTop w:val="0"/>
      <w:marBottom w:val="0"/>
      <w:divBdr>
        <w:top w:val="none" w:sz="0" w:space="0" w:color="auto"/>
        <w:left w:val="none" w:sz="0" w:space="0" w:color="auto"/>
        <w:bottom w:val="none" w:sz="0" w:space="0" w:color="auto"/>
        <w:right w:val="none" w:sz="0" w:space="0" w:color="auto"/>
      </w:divBdr>
    </w:div>
    <w:div w:id="255938850">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93355479">
      <w:bodyDiv w:val="1"/>
      <w:marLeft w:val="0"/>
      <w:marRight w:val="0"/>
      <w:marTop w:val="0"/>
      <w:marBottom w:val="0"/>
      <w:divBdr>
        <w:top w:val="none" w:sz="0" w:space="0" w:color="auto"/>
        <w:left w:val="none" w:sz="0" w:space="0" w:color="auto"/>
        <w:bottom w:val="none" w:sz="0" w:space="0" w:color="auto"/>
        <w:right w:val="none" w:sz="0" w:space="0" w:color="auto"/>
      </w:divBdr>
    </w:div>
    <w:div w:id="409041782">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31922221">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46591258">
      <w:bodyDiv w:val="1"/>
      <w:marLeft w:val="0"/>
      <w:marRight w:val="0"/>
      <w:marTop w:val="0"/>
      <w:marBottom w:val="0"/>
      <w:divBdr>
        <w:top w:val="none" w:sz="0" w:space="0" w:color="auto"/>
        <w:left w:val="none" w:sz="0" w:space="0" w:color="auto"/>
        <w:bottom w:val="none" w:sz="0" w:space="0" w:color="auto"/>
        <w:right w:val="none" w:sz="0" w:space="0" w:color="auto"/>
      </w:divBdr>
    </w:div>
    <w:div w:id="684288018">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04136601">
      <w:bodyDiv w:val="1"/>
      <w:marLeft w:val="0"/>
      <w:marRight w:val="0"/>
      <w:marTop w:val="0"/>
      <w:marBottom w:val="0"/>
      <w:divBdr>
        <w:top w:val="none" w:sz="0" w:space="0" w:color="auto"/>
        <w:left w:val="none" w:sz="0" w:space="0" w:color="auto"/>
        <w:bottom w:val="none" w:sz="0" w:space="0" w:color="auto"/>
        <w:right w:val="none" w:sz="0" w:space="0" w:color="auto"/>
      </w:divBdr>
    </w:div>
    <w:div w:id="754321413">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39948983">
      <w:bodyDiv w:val="1"/>
      <w:marLeft w:val="0"/>
      <w:marRight w:val="0"/>
      <w:marTop w:val="0"/>
      <w:marBottom w:val="0"/>
      <w:divBdr>
        <w:top w:val="none" w:sz="0" w:space="0" w:color="auto"/>
        <w:left w:val="none" w:sz="0" w:space="0" w:color="auto"/>
        <w:bottom w:val="none" w:sz="0" w:space="0" w:color="auto"/>
        <w:right w:val="none" w:sz="0" w:space="0" w:color="auto"/>
      </w:divBdr>
      <w:divsChild>
        <w:div w:id="675770744">
          <w:marLeft w:val="0"/>
          <w:marRight w:val="0"/>
          <w:marTop w:val="0"/>
          <w:marBottom w:val="0"/>
          <w:divBdr>
            <w:top w:val="none" w:sz="0" w:space="0" w:color="auto"/>
            <w:left w:val="none" w:sz="0" w:space="0" w:color="auto"/>
            <w:bottom w:val="none" w:sz="0" w:space="0" w:color="auto"/>
            <w:right w:val="none" w:sz="0" w:space="0" w:color="auto"/>
          </w:divBdr>
        </w:div>
        <w:div w:id="1163815396">
          <w:marLeft w:val="0"/>
          <w:marRight w:val="0"/>
          <w:marTop w:val="0"/>
          <w:marBottom w:val="0"/>
          <w:divBdr>
            <w:top w:val="none" w:sz="0" w:space="0" w:color="auto"/>
            <w:left w:val="none" w:sz="0" w:space="0" w:color="auto"/>
            <w:bottom w:val="none" w:sz="0" w:space="0" w:color="auto"/>
            <w:right w:val="none" w:sz="0" w:space="0" w:color="auto"/>
          </w:divBdr>
        </w:div>
        <w:div w:id="1751346739">
          <w:marLeft w:val="0"/>
          <w:marRight w:val="0"/>
          <w:marTop w:val="0"/>
          <w:marBottom w:val="0"/>
          <w:divBdr>
            <w:top w:val="none" w:sz="0" w:space="0" w:color="auto"/>
            <w:left w:val="none" w:sz="0" w:space="0" w:color="auto"/>
            <w:bottom w:val="none" w:sz="0" w:space="0" w:color="auto"/>
            <w:right w:val="none" w:sz="0" w:space="0" w:color="auto"/>
          </w:divBdr>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274551075">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51380485">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39068723">
      <w:bodyDiv w:val="1"/>
      <w:marLeft w:val="0"/>
      <w:marRight w:val="0"/>
      <w:marTop w:val="0"/>
      <w:marBottom w:val="0"/>
      <w:divBdr>
        <w:top w:val="none" w:sz="0" w:space="0" w:color="auto"/>
        <w:left w:val="none" w:sz="0" w:space="0" w:color="auto"/>
        <w:bottom w:val="none" w:sz="0" w:space="0" w:color="auto"/>
        <w:right w:val="none" w:sz="0" w:space="0" w:color="auto"/>
      </w:divBdr>
    </w:div>
    <w:div w:id="1684279500">
      <w:bodyDiv w:val="1"/>
      <w:marLeft w:val="0"/>
      <w:marRight w:val="0"/>
      <w:marTop w:val="0"/>
      <w:marBottom w:val="0"/>
      <w:divBdr>
        <w:top w:val="none" w:sz="0" w:space="0" w:color="auto"/>
        <w:left w:val="none" w:sz="0" w:space="0" w:color="auto"/>
        <w:bottom w:val="none" w:sz="0" w:space="0" w:color="auto"/>
        <w:right w:val="none" w:sz="0" w:space="0" w:color="auto"/>
      </w:divBdr>
    </w:div>
    <w:div w:id="1693914826">
      <w:bodyDiv w:val="1"/>
      <w:marLeft w:val="0"/>
      <w:marRight w:val="0"/>
      <w:marTop w:val="0"/>
      <w:marBottom w:val="0"/>
      <w:divBdr>
        <w:top w:val="none" w:sz="0" w:space="0" w:color="auto"/>
        <w:left w:val="none" w:sz="0" w:space="0" w:color="auto"/>
        <w:bottom w:val="none" w:sz="0" w:space="0" w:color="auto"/>
        <w:right w:val="none" w:sz="0" w:space="0" w:color="auto"/>
      </w:divBdr>
    </w:div>
    <w:div w:id="1704818800">
      <w:bodyDiv w:val="1"/>
      <w:marLeft w:val="0"/>
      <w:marRight w:val="0"/>
      <w:marTop w:val="0"/>
      <w:marBottom w:val="0"/>
      <w:divBdr>
        <w:top w:val="none" w:sz="0" w:space="0" w:color="auto"/>
        <w:left w:val="none" w:sz="0" w:space="0" w:color="auto"/>
        <w:bottom w:val="none" w:sz="0" w:space="0" w:color="auto"/>
        <w:right w:val="none" w:sz="0" w:space="0" w:color="auto"/>
      </w:divBdr>
    </w:div>
    <w:div w:id="1727021641">
      <w:bodyDiv w:val="1"/>
      <w:marLeft w:val="0"/>
      <w:marRight w:val="0"/>
      <w:marTop w:val="0"/>
      <w:marBottom w:val="0"/>
      <w:divBdr>
        <w:top w:val="none" w:sz="0" w:space="0" w:color="auto"/>
        <w:left w:val="none" w:sz="0" w:space="0" w:color="auto"/>
        <w:bottom w:val="none" w:sz="0" w:space="0" w:color="auto"/>
        <w:right w:val="none" w:sz="0" w:space="0" w:color="auto"/>
      </w:divBdr>
    </w:div>
    <w:div w:id="1793935429">
      <w:bodyDiv w:val="1"/>
      <w:marLeft w:val="0"/>
      <w:marRight w:val="0"/>
      <w:marTop w:val="0"/>
      <w:marBottom w:val="0"/>
      <w:divBdr>
        <w:top w:val="none" w:sz="0" w:space="0" w:color="auto"/>
        <w:left w:val="none" w:sz="0" w:space="0" w:color="auto"/>
        <w:bottom w:val="none" w:sz="0" w:space="0" w:color="auto"/>
        <w:right w:val="none" w:sz="0" w:space="0" w:color="auto"/>
      </w:divBdr>
    </w:div>
    <w:div w:id="1835754379">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884708135">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 w:id="212233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deeresources.com"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s>
</file>

<file path=word/_rels/endnotes.xml.rels><?xml version="1.0" encoding="UTF-8" standalone="yes"?>
<Relationships xmlns="http://schemas.openxmlformats.org/package/2006/relationships"><Relationship Id="rId3" Type="http://schemas.openxmlformats.org/officeDocument/2006/relationships/hyperlink" Target="http://www.allianceforwaterefficiency.org/Commercial_Food_Service_Introduction.aspx" TargetMode="External"/><Relationship Id="rId2" Type="http://schemas.openxmlformats.org/officeDocument/2006/relationships/hyperlink" Target="http://www.deeresources.com" TargetMode="External"/><Relationship Id="rId1" Type="http://schemas.openxmlformats.org/officeDocument/2006/relationships/hyperlink" Target="http://www.deeresources.com/index.php?option=com_content&amp;view=article&amp;id=68&amp;Itemid=60" TargetMode="External"/><Relationship Id="rId5" Type="http://schemas.openxmlformats.org/officeDocument/2006/relationships/hyperlink" Target="http://www.allianceforwaterefficiency.org/Commercial_Food_Service_Introduction.aspx" TargetMode="External"/><Relationship Id="rId4" Type="http://schemas.openxmlformats.org/officeDocument/2006/relationships/hyperlink" Target="http://www.energy.ca.gov/2014publications/CEC-400-2014-009/CEC-400-2014-009-CMF.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90AC4E56-104E-4524-9907-9F647E8A4177}">
  <ds:schemaRefs>
    <ds:schemaRef ds:uri="http://purl.org/dc/elements/1.1/"/>
    <ds:schemaRef ds:uri="http://purl.org/dc/dcmitype/"/>
    <ds:schemaRef ds:uri="http://purl.org/dc/terms/"/>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AB72FF5-CC5C-4660-87A4-D5BC5313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2</TotalTime>
  <Pages>19</Pages>
  <Words>4803</Words>
  <Characters>27382</Characters>
  <Application>Microsoft Office Word</Application>
  <DocSecurity>4</DocSecurity>
  <Lines>228</Lines>
  <Paragraphs>64</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32121</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2014-09-17T20:39:00Z</cp:lastPrinted>
  <dcterms:created xsi:type="dcterms:W3CDTF">2014-09-19T16:47:00Z</dcterms:created>
  <dcterms:modified xsi:type="dcterms:W3CDTF">2014-09-19T16:47:00Z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