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31B71C14" w:rsidR="00DD6B5E" w:rsidRPr="00D77A30" w:rsidRDefault="00D77A30" w:rsidP="00D77A30">
      <w:pPr>
        <w:tabs>
          <w:tab w:val="left" w:pos="2200"/>
          <w:tab w:val="right" w:pos="8640"/>
        </w:tabs>
        <w:rPr>
          <w:rFonts w:cs="Arial"/>
          <w:b/>
          <w:sz w:val="48"/>
          <w:szCs w:val="48"/>
        </w:rPr>
      </w:pPr>
      <w:bookmarkStart w:id="0" w:name="_Toc153189646"/>
      <w:r w:rsidRPr="00D77A30">
        <w:rPr>
          <w:rFonts w:cs="Arial"/>
          <w:b/>
          <w:sz w:val="48"/>
          <w:szCs w:val="48"/>
        </w:rPr>
        <w:tab/>
      </w:r>
      <w:r w:rsidRPr="00D77A30">
        <w:rPr>
          <w:rFonts w:cs="Arial"/>
          <w:b/>
          <w:sz w:val="48"/>
          <w:szCs w:val="48"/>
        </w:rPr>
        <w:tab/>
      </w:r>
      <w:r w:rsidR="003129E8" w:rsidRPr="00D77A30">
        <w:rPr>
          <w:rFonts w:cs="Arial"/>
          <w:b/>
          <w:sz w:val="48"/>
          <w:szCs w:val="48"/>
        </w:rPr>
        <w:t xml:space="preserve">Work Paper </w:t>
      </w:r>
      <w:bookmarkEnd w:id="0"/>
      <w:r w:rsidRPr="00D77A30">
        <w:rPr>
          <w:rFonts w:cs="Arial"/>
          <w:b/>
          <w:sz w:val="48"/>
          <w:szCs w:val="48"/>
        </w:rPr>
        <w:t>PGECOFST117</w:t>
      </w:r>
    </w:p>
    <w:p w14:paraId="393A0868" w14:textId="10864BAD" w:rsidR="00A167EC" w:rsidRPr="00D77A30" w:rsidRDefault="00D77A30" w:rsidP="00A167EC">
      <w:pPr>
        <w:jc w:val="right"/>
        <w:rPr>
          <w:rFonts w:cs="Arial"/>
          <w:b/>
          <w:sz w:val="48"/>
          <w:szCs w:val="48"/>
        </w:rPr>
      </w:pPr>
      <w:r w:rsidRPr="00D77A30">
        <w:rPr>
          <w:rFonts w:cs="Arial"/>
          <w:b/>
          <w:sz w:val="48"/>
          <w:szCs w:val="48"/>
        </w:rPr>
        <w:t>Commercial Conveyor Oven-Gas</w:t>
      </w:r>
    </w:p>
    <w:p w14:paraId="393A0869" w14:textId="4A82C45D" w:rsidR="003129E8" w:rsidRPr="00D77A30" w:rsidRDefault="003129E8" w:rsidP="002E0043">
      <w:pPr>
        <w:jc w:val="right"/>
        <w:rPr>
          <w:rFonts w:cs="Arial"/>
          <w:b/>
          <w:sz w:val="48"/>
          <w:szCs w:val="48"/>
        </w:rPr>
      </w:pPr>
      <w:bookmarkStart w:id="1" w:name="_Toc153189647"/>
      <w:r w:rsidRPr="00D77A30">
        <w:rPr>
          <w:rFonts w:cs="Arial"/>
          <w:b/>
          <w:sz w:val="48"/>
          <w:szCs w:val="48"/>
        </w:rPr>
        <w:t>Revision #</w:t>
      </w:r>
      <w:bookmarkEnd w:id="1"/>
      <w:r w:rsidR="00D7047A" w:rsidRPr="00D77A30">
        <w:rPr>
          <w:rFonts w:cs="Arial"/>
          <w:b/>
          <w:sz w:val="48"/>
          <w:szCs w:val="48"/>
        </w:rPr>
        <w:t xml:space="preserve"> </w:t>
      </w:r>
      <w:r w:rsidR="00D77A30" w:rsidRPr="00D77A30">
        <w:rPr>
          <w:rFonts w:cs="Arial"/>
          <w:b/>
          <w:sz w:val="48"/>
          <w:szCs w:val="48"/>
        </w:rPr>
        <w:t>5</w:t>
      </w:r>
    </w:p>
    <w:p w14:paraId="393A086A" w14:textId="77777777" w:rsidR="003129E8" w:rsidRPr="00D77A30" w:rsidRDefault="003129E8" w:rsidP="003129E8"/>
    <w:p w14:paraId="393A086B" w14:textId="77777777" w:rsidR="00D7047A" w:rsidRPr="00D77A30" w:rsidRDefault="00DD6B5E" w:rsidP="00D7047A">
      <w:pPr>
        <w:pBdr>
          <w:bottom w:val="single" w:sz="4" w:space="1" w:color="auto"/>
        </w:pBdr>
        <w:rPr>
          <w:rFonts w:cs="Arial"/>
          <w:b/>
          <w:sz w:val="36"/>
          <w:szCs w:val="36"/>
        </w:rPr>
      </w:pPr>
      <w:r w:rsidRPr="00D77A30">
        <w:rPr>
          <w:rFonts w:cs="Arial"/>
          <w:b/>
          <w:sz w:val="36"/>
          <w:szCs w:val="36"/>
        </w:rPr>
        <w:t>Pacific Gas &amp; Electric</w:t>
      </w:r>
      <w:r w:rsidR="00DF21B8" w:rsidRPr="00D77A30">
        <w:rPr>
          <w:rFonts w:cs="Arial"/>
          <w:b/>
          <w:sz w:val="36"/>
          <w:szCs w:val="36"/>
        </w:rPr>
        <w:t xml:space="preserve"> Company</w:t>
      </w:r>
    </w:p>
    <w:p w14:paraId="393A086C" w14:textId="77777777" w:rsidR="00D7047A" w:rsidRPr="00D77A30" w:rsidRDefault="00661864" w:rsidP="00D7047A">
      <w:pPr>
        <w:rPr>
          <w:rFonts w:cs="Arial"/>
          <w:b/>
          <w:sz w:val="32"/>
          <w:szCs w:val="32"/>
        </w:rPr>
      </w:pPr>
      <w:r w:rsidRPr="00D77A30">
        <w:rPr>
          <w:rFonts w:cs="Arial"/>
          <w:b/>
          <w:sz w:val="32"/>
          <w:szCs w:val="32"/>
        </w:rPr>
        <w:t xml:space="preserve">Customer Energy Solutions </w:t>
      </w:r>
    </w:p>
    <w:p w14:paraId="393A086D" w14:textId="77777777" w:rsidR="00E34E73" w:rsidRPr="00D77A30" w:rsidRDefault="00E34E73" w:rsidP="00324D0F">
      <w:pPr>
        <w:rPr>
          <w:rFonts w:cs="Arial"/>
          <w:b/>
          <w:highlight w:val="cyan"/>
        </w:rPr>
      </w:pPr>
    </w:p>
    <w:p w14:paraId="393A086E" w14:textId="77777777" w:rsidR="00C274E0" w:rsidRPr="00D77A30" w:rsidRDefault="00C274E0" w:rsidP="00324D0F">
      <w:pPr>
        <w:rPr>
          <w:rFonts w:cs="Arial"/>
          <w:b/>
          <w:highlight w:val="cyan"/>
        </w:rPr>
      </w:pPr>
    </w:p>
    <w:p w14:paraId="393A086F" w14:textId="77777777" w:rsidR="00C274E0" w:rsidRPr="00D77A30" w:rsidRDefault="00C274E0" w:rsidP="00324D0F">
      <w:pPr>
        <w:rPr>
          <w:rFonts w:cs="Arial"/>
          <w:b/>
          <w:highlight w:val="cyan"/>
        </w:rPr>
      </w:pPr>
    </w:p>
    <w:p w14:paraId="393A0874" w14:textId="1D7CAE1F" w:rsidR="00324D0F" w:rsidRPr="00D77A30" w:rsidRDefault="00D77A30" w:rsidP="00A167EC">
      <w:pPr>
        <w:ind w:right="-720"/>
        <w:rPr>
          <w:rFonts w:cs="Arial"/>
          <w:b/>
          <w:sz w:val="72"/>
          <w:szCs w:val="72"/>
        </w:rPr>
      </w:pPr>
      <w:r w:rsidRPr="00D77A30">
        <w:rPr>
          <w:rFonts w:cs="Arial"/>
          <w:b/>
          <w:sz w:val="72"/>
          <w:szCs w:val="72"/>
        </w:rPr>
        <w:t>Commercial Conveyor Oven-Gas</w:t>
      </w:r>
    </w:p>
    <w:p w14:paraId="393A0876" w14:textId="771ABF3F" w:rsidR="002D4621" w:rsidRPr="00D77A30" w:rsidRDefault="00A167EC" w:rsidP="00D77A30">
      <w:pPr>
        <w:ind w:right="-720"/>
        <w:rPr>
          <w:rFonts w:cs="Arial"/>
          <w:b/>
          <w:i/>
        </w:rPr>
      </w:pPr>
      <w:r w:rsidRPr="00D77A30">
        <w:rPr>
          <w:rFonts w:cs="Arial"/>
          <w:b/>
        </w:rPr>
        <w:t xml:space="preserve">Measure Codes </w:t>
      </w:r>
      <w:r w:rsidR="00D77A30" w:rsidRPr="00D77A30">
        <w:rPr>
          <w:rFonts w:cs="Arial"/>
          <w:b/>
        </w:rPr>
        <w:t>F</w:t>
      </w:r>
      <w:r w:rsidR="00932670">
        <w:rPr>
          <w:rFonts w:cs="Arial"/>
          <w:b/>
        </w:rPr>
        <w:t>208</w:t>
      </w:r>
    </w:p>
    <w:p w14:paraId="393A0877" w14:textId="77777777" w:rsidR="00CB3583" w:rsidRPr="00D77A30" w:rsidRDefault="00CB3583" w:rsidP="002E0043">
      <w:pPr>
        <w:rPr>
          <w:rFonts w:cs="Arial"/>
          <w:b/>
          <w:i/>
          <w:highlight w:val="cyan"/>
        </w:rPr>
      </w:pPr>
    </w:p>
    <w:p w14:paraId="393A0878" w14:textId="77777777" w:rsidR="003D3F36" w:rsidRPr="00D77A30" w:rsidRDefault="003D3F36" w:rsidP="00844B27">
      <w:pPr>
        <w:rPr>
          <w:rFonts w:cs="Arial"/>
          <w:b/>
          <w:i/>
          <w:highlight w:val="cyan"/>
        </w:rPr>
      </w:pPr>
    </w:p>
    <w:p w14:paraId="393A0879" w14:textId="77777777" w:rsidR="00E84DBD" w:rsidRPr="00D77A30" w:rsidRDefault="00E84DBD" w:rsidP="00844B27">
      <w:pPr>
        <w:rPr>
          <w:rFonts w:cs="Arial"/>
          <w:b/>
          <w:i/>
        </w:rPr>
      </w:pPr>
    </w:p>
    <w:p w14:paraId="393A087A" w14:textId="77777777" w:rsidR="00C274E0" w:rsidRPr="00D77A30" w:rsidRDefault="00C274E0" w:rsidP="00844B27">
      <w:pPr>
        <w:rPr>
          <w:rFonts w:cs="Arial"/>
          <w:b/>
          <w:i/>
        </w:rPr>
      </w:pPr>
    </w:p>
    <w:p w14:paraId="393A087B" w14:textId="77777777" w:rsidR="00C274E0" w:rsidRPr="00D77A30" w:rsidRDefault="00C274E0" w:rsidP="00844B27">
      <w:pPr>
        <w:rPr>
          <w:rFonts w:cs="Arial"/>
          <w:b/>
          <w:i/>
        </w:rPr>
      </w:pPr>
    </w:p>
    <w:p w14:paraId="393A087C" w14:textId="77777777" w:rsidR="00C274E0" w:rsidRPr="00D77A30" w:rsidRDefault="00C274E0" w:rsidP="00844B27">
      <w:pPr>
        <w:rPr>
          <w:rFonts w:cs="Arial"/>
          <w:b/>
          <w:i/>
        </w:rPr>
      </w:pPr>
    </w:p>
    <w:p w14:paraId="393A087D" w14:textId="77777777" w:rsidR="00C274E0" w:rsidRPr="00D77A30" w:rsidRDefault="00C274E0" w:rsidP="00844B27">
      <w:pPr>
        <w:rPr>
          <w:rFonts w:cs="Arial"/>
          <w:b/>
          <w:i/>
        </w:rPr>
      </w:pPr>
    </w:p>
    <w:p w14:paraId="393A087E" w14:textId="77777777" w:rsidR="00C274E0" w:rsidRPr="00D77A30" w:rsidRDefault="00C274E0" w:rsidP="00844B27">
      <w:pPr>
        <w:rPr>
          <w:rFonts w:cs="Arial"/>
          <w:b/>
          <w:i/>
        </w:rPr>
      </w:pPr>
    </w:p>
    <w:p w14:paraId="393A087F" w14:textId="77777777" w:rsidR="00C274E0" w:rsidRPr="00D77A30" w:rsidRDefault="00C274E0" w:rsidP="00844B27">
      <w:pPr>
        <w:rPr>
          <w:rFonts w:cs="Arial"/>
          <w:b/>
          <w:i/>
        </w:rPr>
      </w:pPr>
    </w:p>
    <w:p w14:paraId="393A0880" w14:textId="77777777" w:rsidR="00C274E0" w:rsidRPr="00D77A30" w:rsidRDefault="00C274E0" w:rsidP="00844B27">
      <w:pPr>
        <w:rPr>
          <w:rFonts w:cs="Arial"/>
          <w:b/>
          <w:i/>
        </w:rPr>
      </w:pPr>
    </w:p>
    <w:p w14:paraId="393A0881" w14:textId="77777777" w:rsidR="00C274E0" w:rsidRPr="00D77A30" w:rsidRDefault="00C274E0" w:rsidP="00844B27">
      <w:pPr>
        <w:rPr>
          <w:rFonts w:cs="Arial"/>
          <w:b/>
          <w:i/>
        </w:rPr>
      </w:pPr>
    </w:p>
    <w:p w14:paraId="393A0882" w14:textId="77777777" w:rsidR="00C274E0" w:rsidRPr="00D77A30" w:rsidRDefault="00C274E0" w:rsidP="00844B27">
      <w:pPr>
        <w:rPr>
          <w:rFonts w:cs="Arial"/>
          <w:b/>
          <w:i/>
        </w:rPr>
      </w:pPr>
    </w:p>
    <w:p w14:paraId="393A0883" w14:textId="77777777" w:rsidR="00C274E0" w:rsidRPr="00D77A30" w:rsidRDefault="00C274E0" w:rsidP="00844B27">
      <w:pPr>
        <w:rPr>
          <w:rFonts w:cs="Arial"/>
          <w:b/>
          <w:i/>
        </w:rPr>
      </w:pPr>
    </w:p>
    <w:p w14:paraId="393A0884" w14:textId="77777777" w:rsidR="00C274E0" w:rsidRPr="00D77A3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389305661"/>
      <w:r>
        <w:lastRenderedPageBreak/>
        <w:t>At-</w:t>
      </w:r>
      <w:r w:rsidR="00E71EF1">
        <w:t>a</w:t>
      </w:r>
      <w:r>
        <w:t>-</w:t>
      </w:r>
      <w:r w:rsidR="00E71EF1">
        <w:t>Glance Summary</w:t>
      </w:r>
      <w:bookmarkEnd w:id="2"/>
      <w:bookmarkEnd w:id="3"/>
      <w:bookmarkEnd w:id="4"/>
      <w:bookmarkEnd w:id="5"/>
    </w:p>
    <w:p w14:paraId="393A08C1" w14:textId="77777777" w:rsidR="007F2147" w:rsidRDefault="007F2147" w:rsidP="0006490F">
      <w:pPr>
        <w:rPr>
          <w:rFonts w:cs="Arial"/>
          <w:b/>
          <w:color w:val="FF0000"/>
          <w:sz w:val="20"/>
          <w:szCs w:val="20"/>
        </w:rPr>
      </w:pPr>
    </w:p>
    <w:tbl>
      <w:tblPr>
        <w:tblW w:w="3189" w:type="pct"/>
        <w:tblBorders>
          <w:insideH w:val="single" w:sz="18" w:space="0" w:color="FFFFFF"/>
          <w:insideV w:val="single" w:sz="18" w:space="0" w:color="FFFFFF"/>
        </w:tblBorders>
        <w:tblLook w:val="01E0" w:firstRow="1" w:lastRow="1" w:firstColumn="1" w:lastColumn="1" w:noHBand="0" w:noVBand="0"/>
      </w:tblPr>
      <w:tblGrid>
        <w:gridCol w:w="2636"/>
        <w:gridCol w:w="3472"/>
      </w:tblGrid>
      <w:tr w:rsidR="00D77A30" w:rsidRPr="00D77A30" w14:paraId="351A8253" w14:textId="77777777" w:rsidTr="00D77A30">
        <w:trPr>
          <w:trHeight w:val="465"/>
        </w:trPr>
        <w:tc>
          <w:tcPr>
            <w:tcW w:w="2158" w:type="pct"/>
            <w:shd w:val="pct20" w:color="000000" w:fill="FFFFFF"/>
          </w:tcPr>
          <w:p w14:paraId="393E679C" w14:textId="77777777" w:rsidR="00D77A30" w:rsidRPr="00D77A30" w:rsidRDefault="00D77A30" w:rsidP="00D77A30">
            <w:pPr>
              <w:rPr>
                <w:rFonts w:ascii="Times New Roman" w:hAnsi="Times New Roman"/>
                <w:sz w:val="24"/>
              </w:rPr>
            </w:pPr>
            <w:r w:rsidRPr="00D77A30">
              <w:rPr>
                <w:rFonts w:ascii="Times New Roman" w:hAnsi="Times New Roman"/>
                <w:sz w:val="24"/>
              </w:rPr>
              <w:t>Applicable Measure Codes:</w:t>
            </w:r>
          </w:p>
        </w:tc>
        <w:tc>
          <w:tcPr>
            <w:tcW w:w="2842" w:type="pct"/>
            <w:shd w:val="pct20" w:color="000000" w:fill="FFFFFF"/>
          </w:tcPr>
          <w:p w14:paraId="2A19A6A3" w14:textId="09A757A0" w:rsidR="00D77A30" w:rsidRPr="00D77A30" w:rsidRDefault="00D77A30" w:rsidP="00932670">
            <w:pPr>
              <w:rPr>
                <w:rFonts w:ascii="Times New Roman" w:hAnsi="Times New Roman"/>
                <w:b/>
                <w:sz w:val="20"/>
                <w:szCs w:val="20"/>
              </w:rPr>
            </w:pPr>
            <w:r w:rsidRPr="00D77A30">
              <w:rPr>
                <w:rFonts w:ascii="Times New Roman" w:hAnsi="Times New Roman"/>
                <w:b/>
                <w:sz w:val="20"/>
                <w:szCs w:val="20"/>
              </w:rPr>
              <w:t>F</w:t>
            </w:r>
            <w:r w:rsidR="00932670">
              <w:rPr>
                <w:rFonts w:ascii="Times New Roman" w:hAnsi="Times New Roman"/>
                <w:b/>
                <w:sz w:val="20"/>
                <w:szCs w:val="20"/>
              </w:rPr>
              <w:t>208</w:t>
            </w:r>
          </w:p>
        </w:tc>
      </w:tr>
      <w:tr w:rsidR="00D77A30" w:rsidRPr="00D77A30" w14:paraId="6E28C22E" w14:textId="77777777" w:rsidTr="00D77A30">
        <w:trPr>
          <w:trHeight w:val="465"/>
        </w:trPr>
        <w:tc>
          <w:tcPr>
            <w:tcW w:w="2158" w:type="pct"/>
            <w:shd w:val="pct5" w:color="000000" w:fill="FFFFFF"/>
          </w:tcPr>
          <w:p w14:paraId="55066C17" w14:textId="77777777" w:rsidR="00D77A30" w:rsidRPr="00D77A30" w:rsidRDefault="00D77A30" w:rsidP="00D77A30">
            <w:pPr>
              <w:rPr>
                <w:rFonts w:ascii="Times New Roman" w:hAnsi="Times New Roman"/>
                <w:b/>
                <w:sz w:val="24"/>
              </w:rPr>
            </w:pPr>
            <w:r w:rsidRPr="00D77A30">
              <w:rPr>
                <w:rFonts w:ascii="Times New Roman" w:hAnsi="Times New Roman"/>
                <w:b/>
                <w:sz w:val="24"/>
              </w:rPr>
              <w:t xml:space="preserve">Measure Description: </w:t>
            </w:r>
          </w:p>
        </w:tc>
        <w:tc>
          <w:tcPr>
            <w:tcW w:w="2842" w:type="pct"/>
            <w:shd w:val="pct5" w:color="000000" w:fill="FFFFFF"/>
          </w:tcPr>
          <w:p w14:paraId="726D8233"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Commercial Gas Conveyor Oven</w:t>
            </w:r>
          </w:p>
        </w:tc>
      </w:tr>
      <w:tr w:rsidR="00D77A30" w:rsidRPr="00D77A30" w14:paraId="371903A7" w14:textId="77777777" w:rsidTr="00D77A30">
        <w:trPr>
          <w:trHeight w:val="465"/>
        </w:trPr>
        <w:tc>
          <w:tcPr>
            <w:tcW w:w="2158" w:type="pct"/>
            <w:shd w:val="pct20" w:color="000000" w:fill="FFFFFF"/>
          </w:tcPr>
          <w:p w14:paraId="2CAE4F08" w14:textId="77777777" w:rsidR="00D77A30" w:rsidRPr="00D77A30" w:rsidRDefault="00D77A30" w:rsidP="00D77A30">
            <w:pPr>
              <w:rPr>
                <w:rFonts w:ascii="Times New Roman" w:hAnsi="Times New Roman"/>
                <w:b/>
                <w:sz w:val="24"/>
              </w:rPr>
            </w:pPr>
            <w:r w:rsidRPr="00D77A30">
              <w:rPr>
                <w:rFonts w:ascii="Times New Roman" w:hAnsi="Times New Roman"/>
                <w:b/>
                <w:sz w:val="24"/>
              </w:rPr>
              <w:t xml:space="preserve">Energy Impact Common Units: </w:t>
            </w:r>
          </w:p>
        </w:tc>
        <w:tc>
          <w:tcPr>
            <w:tcW w:w="2842" w:type="pct"/>
            <w:shd w:val="pct20" w:color="000000" w:fill="FFFFFF"/>
          </w:tcPr>
          <w:p w14:paraId="361AA42C"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 xml:space="preserve">Conveyor Oven </w:t>
            </w:r>
          </w:p>
        </w:tc>
      </w:tr>
      <w:tr w:rsidR="00D77A30" w:rsidRPr="00D77A30" w14:paraId="477B1AD7" w14:textId="77777777" w:rsidTr="00D77A30">
        <w:trPr>
          <w:trHeight w:val="465"/>
        </w:trPr>
        <w:tc>
          <w:tcPr>
            <w:tcW w:w="2158" w:type="pct"/>
            <w:shd w:val="pct5" w:color="000000" w:fill="FFFFFF"/>
          </w:tcPr>
          <w:p w14:paraId="55ADE513" w14:textId="77777777" w:rsidR="00D77A30" w:rsidRPr="00D77A30" w:rsidRDefault="00D77A30" w:rsidP="00D77A30">
            <w:pPr>
              <w:rPr>
                <w:rFonts w:ascii="Times New Roman" w:hAnsi="Times New Roman"/>
                <w:b/>
                <w:sz w:val="24"/>
              </w:rPr>
            </w:pPr>
            <w:r w:rsidRPr="00D77A30">
              <w:rPr>
                <w:rFonts w:ascii="Times New Roman" w:hAnsi="Times New Roman"/>
                <w:b/>
                <w:sz w:val="24"/>
              </w:rPr>
              <w:t>Base Case Description:</w:t>
            </w:r>
          </w:p>
        </w:tc>
        <w:tc>
          <w:tcPr>
            <w:tcW w:w="2842" w:type="pct"/>
            <w:shd w:val="pct5" w:color="000000" w:fill="FFFFFF"/>
          </w:tcPr>
          <w:p w14:paraId="0B39E7B7"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Existing Gas Conveyor Oven</w:t>
            </w:r>
          </w:p>
        </w:tc>
      </w:tr>
      <w:tr w:rsidR="00D77A30" w:rsidRPr="00D77A30" w14:paraId="1B454560" w14:textId="77777777" w:rsidTr="00D77A30">
        <w:trPr>
          <w:trHeight w:val="465"/>
        </w:trPr>
        <w:tc>
          <w:tcPr>
            <w:tcW w:w="2158" w:type="pct"/>
            <w:shd w:val="pct20" w:color="000000" w:fill="FFFFFF"/>
          </w:tcPr>
          <w:p w14:paraId="58C18F42" w14:textId="77777777" w:rsidR="00D77A30" w:rsidRPr="00D77A30" w:rsidRDefault="00D77A30" w:rsidP="00D77A30">
            <w:pPr>
              <w:rPr>
                <w:rFonts w:ascii="Times New Roman" w:hAnsi="Times New Roman"/>
                <w:b/>
                <w:sz w:val="24"/>
              </w:rPr>
            </w:pPr>
            <w:r w:rsidRPr="00D77A30">
              <w:rPr>
                <w:rFonts w:ascii="Times New Roman" w:hAnsi="Times New Roman"/>
                <w:b/>
                <w:sz w:val="24"/>
              </w:rPr>
              <w:t xml:space="preserve">Base Case Energy Consumption: </w:t>
            </w:r>
          </w:p>
        </w:tc>
        <w:tc>
          <w:tcPr>
            <w:tcW w:w="2842" w:type="pct"/>
            <w:shd w:val="pct20" w:color="000000" w:fill="FFFFFF"/>
          </w:tcPr>
          <w:p w14:paraId="14A1B910"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3,571 Therms/</w:t>
            </w:r>
            <w:proofErr w:type="spellStart"/>
            <w:r w:rsidRPr="00D77A30">
              <w:rPr>
                <w:rFonts w:ascii="Times New Roman" w:hAnsi="Times New Roman"/>
                <w:sz w:val="20"/>
                <w:szCs w:val="20"/>
              </w:rPr>
              <w:t>yr</w:t>
            </w:r>
            <w:proofErr w:type="spellEnd"/>
          </w:p>
        </w:tc>
      </w:tr>
      <w:tr w:rsidR="00D77A30" w:rsidRPr="00D77A30" w14:paraId="7A364AEA" w14:textId="77777777" w:rsidTr="00D77A30">
        <w:trPr>
          <w:trHeight w:val="465"/>
        </w:trPr>
        <w:tc>
          <w:tcPr>
            <w:tcW w:w="2158" w:type="pct"/>
            <w:shd w:val="pct5" w:color="000000" w:fill="FFFFFF"/>
          </w:tcPr>
          <w:p w14:paraId="4B832DF2" w14:textId="77777777" w:rsidR="00D77A30" w:rsidRPr="00D77A30" w:rsidRDefault="00D77A30" w:rsidP="00D77A30">
            <w:pPr>
              <w:rPr>
                <w:rFonts w:ascii="Times New Roman" w:hAnsi="Times New Roman"/>
                <w:b/>
                <w:sz w:val="24"/>
              </w:rPr>
            </w:pPr>
            <w:r w:rsidRPr="00D77A30">
              <w:rPr>
                <w:rFonts w:ascii="Times New Roman" w:hAnsi="Times New Roman"/>
                <w:b/>
                <w:sz w:val="24"/>
              </w:rPr>
              <w:t>Measure Energy Consumption:</w:t>
            </w:r>
          </w:p>
        </w:tc>
        <w:tc>
          <w:tcPr>
            <w:tcW w:w="2842" w:type="pct"/>
            <w:shd w:val="pct5" w:color="000000" w:fill="FFFFFF"/>
          </w:tcPr>
          <w:p w14:paraId="02866DFE"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2,687 Therms/</w:t>
            </w:r>
            <w:proofErr w:type="spellStart"/>
            <w:r w:rsidRPr="00D77A30">
              <w:rPr>
                <w:rFonts w:ascii="Times New Roman" w:hAnsi="Times New Roman"/>
                <w:sz w:val="20"/>
                <w:szCs w:val="20"/>
              </w:rPr>
              <w:t>yr</w:t>
            </w:r>
            <w:proofErr w:type="spellEnd"/>
          </w:p>
        </w:tc>
      </w:tr>
      <w:tr w:rsidR="00D77A30" w:rsidRPr="00D77A30" w14:paraId="1675D343" w14:textId="77777777" w:rsidTr="00D77A30">
        <w:trPr>
          <w:trHeight w:val="465"/>
        </w:trPr>
        <w:tc>
          <w:tcPr>
            <w:tcW w:w="2158" w:type="pct"/>
            <w:shd w:val="pct20" w:color="000000" w:fill="FFFFFF"/>
          </w:tcPr>
          <w:p w14:paraId="0FE4E235" w14:textId="77777777" w:rsidR="00D77A30" w:rsidRPr="00D77A30" w:rsidRDefault="00D77A30" w:rsidP="00D77A30">
            <w:pPr>
              <w:rPr>
                <w:rFonts w:ascii="Times New Roman" w:hAnsi="Times New Roman"/>
                <w:b/>
                <w:sz w:val="24"/>
              </w:rPr>
            </w:pPr>
            <w:r w:rsidRPr="00D77A30">
              <w:rPr>
                <w:rFonts w:ascii="Times New Roman" w:hAnsi="Times New Roman"/>
                <w:b/>
                <w:sz w:val="24"/>
              </w:rPr>
              <w:t>Energy Savings (Base Case – Measure)</w:t>
            </w:r>
          </w:p>
        </w:tc>
        <w:tc>
          <w:tcPr>
            <w:tcW w:w="2842" w:type="pct"/>
            <w:shd w:val="pct20" w:color="000000" w:fill="FFFFFF"/>
          </w:tcPr>
          <w:p w14:paraId="5AC6C4B9"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884Therms/</w:t>
            </w:r>
            <w:proofErr w:type="spellStart"/>
            <w:r w:rsidRPr="00D77A30">
              <w:rPr>
                <w:rFonts w:ascii="Times New Roman" w:hAnsi="Times New Roman"/>
                <w:sz w:val="20"/>
                <w:szCs w:val="20"/>
              </w:rPr>
              <w:t>yr</w:t>
            </w:r>
            <w:proofErr w:type="spellEnd"/>
          </w:p>
        </w:tc>
      </w:tr>
      <w:tr w:rsidR="00D77A30" w:rsidRPr="00D77A30" w14:paraId="02768FE4" w14:textId="77777777" w:rsidTr="00D77A30">
        <w:trPr>
          <w:trHeight w:val="465"/>
        </w:trPr>
        <w:tc>
          <w:tcPr>
            <w:tcW w:w="2158" w:type="pct"/>
            <w:shd w:val="pct5" w:color="000000" w:fill="FFFFFF"/>
          </w:tcPr>
          <w:p w14:paraId="413673F4" w14:textId="77777777" w:rsidR="00D77A30" w:rsidRPr="00D77A30" w:rsidRDefault="00D77A30" w:rsidP="00D77A30">
            <w:pPr>
              <w:rPr>
                <w:rFonts w:ascii="Times New Roman" w:hAnsi="Times New Roman"/>
                <w:b/>
                <w:sz w:val="24"/>
              </w:rPr>
            </w:pPr>
            <w:r w:rsidRPr="00D77A30">
              <w:rPr>
                <w:rFonts w:ascii="Times New Roman" w:hAnsi="Times New Roman"/>
                <w:b/>
                <w:sz w:val="24"/>
              </w:rPr>
              <w:t xml:space="preserve">Costs Common Units: </w:t>
            </w:r>
          </w:p>
        </w:tc>
        <w:tc>
          <w:tcPr>
            <w:tcW w:w="2842" w:type="pct"/>
            <w:shd w:val="pct5" w:color="000000" w:fill="FFFFFF"/>
          </w:tcPr>
          <w:p w14:paraId="610B1D79"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 xml:space="preserve">Source: PG&amp;E Calculations </w:t>
            </w:r>
            <w:r w:rsidRPr="00D77A30">
              <w:rPr>
                <w:rFonts w:ascii="Times New Roman" w:hAnsi="Times New Roman"/>
                <w:sz w:val="20"/>
                <w:szCs w:val="20"/>
              </w:rPr>
              <w:br/>
              <w:t xml:space="preserve">Conveyor Oven </w:t>
            </w:r>
          </w:p>
        </w:tc>
      </w:tr>
      <w:tr w:rsidR="00D77A30" w:rsidRPr="00D77A30" w14:paraId="667FA898" w14:textId="77777777" w:rsidTr="00D77A30">
        <w:trPr>
          <w:trHeight w:val="465"/>
        </w:trPr>
        <w:tc>
          <w:tcPr>
            <w:tcW w:w="2158" w:type="pct"/>
            <w:shd w:val="pct20" w:color="000000" w:fill="FFFFFF"/>
          </w:tcPr>
          <w:p w14:paraId="197AC4A5" w14:textId="77777777" w:rsidR="00D77A30" w:rsidRPr="00D77A30" w:rsidRDefault="00D77A30" w:rsidP="00D77A30">
            <w:pPr>
              <w:rPr>
                <w:rFonts w:ascii="Times New Roman" w:hAnsi="Times New Roman"/>
                <w:b/>
                <w:sz w:val="24"/>
              </w:rPr>
            </w:pPr>
            <w:r w:rsidRPr="00D77A30">
              <w:rPr>
                <w:rFonts w:ascii="Times New Roman" w:hAnsi="Times New Roman"/>
                <w:b/>
                <w:sz w:val="24"/>
              </w:rPr>
              <w:t>Base Case Equipment Cost ($/unit):</w:t>
            </w:r>
          </w:p>
        </w:tc>
        <w:tc>
          <w:tcPr>
            <w:tcW w:w="2842" w:type="pct"/>
            <w:shd w:val="pct20" w:color="000000" w:fill="FFFFFF"/>
          </w:tcPr>
          <w:p w14:paraId="15D6A4DE"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$10,177</w:t>
            </w:r>
          </w:p>
        </w:tc>
      </w:tr>
      <w:tr w:rsidR="00D77A30" w:rsidRPr="00D77A30" w14:paraId="5FCB0546" w14:textId="77777777" w:rsidTr="00D77A30">
        <w:trPr>
          <w:trHeight w:val="465"/>
        </w:trPr>
        <w:tc>
          <w:tcPr>
            <w:tcW w:w="2158" w:type="pct"/>
            <w:shd w:val="pct5" w:color="000000" w:fill="FFFFFF"/>
          </w:tcPr>
          <w:p w14:paraId="4A73C827" w14:textId="77777777" w:rsidR="00D77A30" w:rsidRPr="00D77A30" w:rsidRDefault="00D77A30" w:rsidP="00D77A30">
            <w:pPr>
              <w:rPr>
                <w:rFonts w:ascii="Times New Roman" w:hAnsi="Times New Roman"/>
                <w:b/>
                <w:sz w:val="24"/>
              </w:rPr>
            </w:pPr>
            <w:r w:rsidRPr="00D77A30">
              <w:rPr>
                <w:rFonts w:ascii="Times New Roman" w:hAnsi="Times New Roman"/>
                <w:b/>
                <w:sz w:val="24"/>
              </w:rPr>
              <w:t xml:space="preserve">Measure Equipment Cost ($/unit): </w:t>
            </w:r>
          </w:p>
        </w:tc>
        <w:tc>
          <w:tcPr>
            <w:tcW w:w="2842" w:type="pct"/>
            <w:shd w:val="pct5" w:color="000000" w:fill="FFFFFF"/>
          </w:tcPr>
          <w:p w14:paraId="56D26073"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$12.407</w:t>
            </w:r>
          </w:p>
        </w:tc>
      </w:tr>
      <w:tr w:rsidR="00D77A30" w:rsidRPr="00D77A30" w14:paraId="2A4FE3C4" w14:textId="77777777" w:rsidTr="00D77A30">
        <w:trPr>
          <w:trHeight w:val="465"/>
        </w:trPr>
        <w:tc>
          <w:tcPr>
            <w:tcW w:w="2158" w:type="pct"/>
            <w:shd w:val="pct20" w:color="000000" w:fill="FFFFFF"/>
          </w:tcPr>
          <w:p w14:paraId="68A8764D" w14:textId="55E19332" w:rsidR="00D77A30" w:rsidRPr="00D77A30" w:rsidRDefault="00D77A30" w:rsidP="00D77A30">
            <w:pPr>
              <w:rPr>
                <w:rFonts w:ascii="Times New Roman" w:hAnsi="Times New Roman"/>
                <w:b/>
                <w:sz w:val="24"/>
              </w:rPr>
            </w:pPr>
            <w:r>
              <w:rPr>
                <w:rFonts w:ascii="Times New Roman" w:hAnsi="Times New Roman"/>
                <w:b/>
                <w:sz w:val="24"/>
              </w:rPr>
              <w:t>Gross Measure Cost</w:t>
            </w:r>
          </w:p>
        </w:tc>
        <w:tc>
          <w:tcPr>
            <w:tcW w:w="2842" w:type="pct"/>
            <w:shd w:val="pct20" w:color="000000" w:fill="FFFFFF"/>
          </w:tcPr>
          <w:p w14:paraId="21CF572B" w14:textId="49D8B975" w:rsidR="00D77A30" w:rsidRPr="00D77A30" w:rsidRDefault="00D77A30" w:rsidP="00D77A30">
            <w:pPr>
              <w:rPr>
                <w:rFonts w:ascii="Times New Roman" w:hAnsi="Times New Roman"/>
                <w:sz w:val="20"/>
                <w:szCs w:val="20"/>
              </w:rPr>
            </w:pPr>
            <w:r>
              <w:rPr>
                <w:rFonts w:ascii="Times New Roman" w:hAnsi="Times New Roman"/>
                <w:sz w:val="20"/>
                <w:szCs w:val="20"/>
              </w:rPr>
              <w:t>Source: PG&amp;E Calculations</w:t>
            </w:r>
          </w:p>
        </w:tc>
      </w:tr>
      <w:tr w:rsidR="00D77A30" w:rsidRPr="00D77A30" w14:paraId="4F8EF210" w14:textId="77777777" w:rsidTr="00D77A30">
        <w:trPr>
          <w:trHeight w:val="465"/>
        </w:trPr>
        <w:tc>
          <w:tcPr>
            <w:tcW w:w="2158" w:type="pct"/>
            <w:shd w:val="pct20" w:color="000000" w:fill="FFFFFF"/>
          </w:tcPr>
          <w:p w14:paraId="0A96450B" w14:textId="77777777" w:rsidR="00D77A30" w:rsidRPr="00D77A30" w:rsidRDefault="00D77A30" w:rsidP="00D77A30">
            <w:pPr>
              <w:rPr>
                <w:rFonts w:ascii="Times New Roman" w:hAnsi="Times New Roman"/>
                <w:b/>
                <w:sz w:val="24"/>
              </w:rPr>
            </w:pPr>
            <w:bookmarkStart w:id="6" w:name="OLE_LINK1"/>
            <w:r w:rsidRPr="00D77A30">
              <w:rPr>
                <w:rFonts w:ascii="Times New Roman" w:hAnsi="Times New Roman"/>
                <w:b/>
                <w:sz w:val="24"/>
              </w:rPr>
              <w:t xml:space="preserve">Measure Incremental Cost ($/unit): </w:t>
            </w:r>
            <w:bookmarkEnd w:id="6"/>
          </w:p>
        </w:tc>
        <w:tc>
          <w:tcPr>
            <w:tcW w:w="2842" w:type="pct"/>
            <w:shd w:val="pct20" w:color="000000" w:fill="FFFFFF"/>
          </w:tcPr>
          <w:p w14:paraId="41E37F14"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PG&amp;E Calculations</w:t>
            </w:r>
            <w:r w:rsidRPr="00D77A30">
              <w:rPr>
                <w:rFonts w:ascii="Times New Roman" w:hAnsi="Times New Roman"/>
                <w:sz w:val="20"/>
                <w:szCs w:val="20"/>
              </w:rPr>
              <w:br/>
              <w:t>$2,230</w:t>
            </w:r>
          </w:p>
        </w:tc>
      </w:tr>
      <w:tr w:rsidR="00D77A30" w:rsidRPr="00D77A30" w14:paraId="6D3C44F4" w14:textId="77777777" w:rsidTr="00D77A30">
        <w:trPr>
          <w:trHeight w:val="465"/>
        </w:trPr>
        <w:tc>
          <w:tcPr>
            <w:tcW w:w="2158" w:type="pct"/>
            <w:shd w:val="pct5" w:color="000000" w:fill="FFFFFF"/>
          </w:tcPr>
          <w:p w14:paraId="39E93AD0" w14:textId="77777777" w:rsidR="00D77A30" w:rsidRPr="00D77A30" w:rsidRDefault="00D77A30" w:rsidP="00D77A30">
            <w:pPr>
              <w:rPr>
                <w:rFonts w:ascii="Times New Roman" w:hAnsi="Times New Roman"/>
                <w:b/>
                <w:sz w:val="24"/>
                <w:highlight w:val="red"/>
              </w:rPr>
            </w:pPr>
            <w:r w:rsidRPr="00D77A30">
              <w:rPr>
                <w:rFonts w:ascii="Times New Roman" w:hAnsi="Times New Roman"/>
                <w:b/>
                <w:sz w:val="24"/>
              </w:rPr>
              <w:t xml:space="preserve">Effective Useful Life (years): </w:t>
            </w:r>
          </w:p>
        </w:tc>
        <w:tc>
          <w:tcPr>
            <w:tcW w:w="2842" w:type="pct"/>
            <w:shd w:val="pct5" w:color="000000" w:fill="FFFFFF"/>
          </w:tcPr>
          <w:p w14:paraId="4381FFB9"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 xml:space="preserve">12 years -- Source: </w:t>
            </w:r>
            <w:hyperlink r:id="rId17" w:history="1">
              <w:r w:rsidRPr="00D77A30">
                <w:rPr>
                  <w:rFonts w:ascii="Times New Roman" w:hAnsi="Times New Roman"/>
                  <w:color w:val="0000FF"/>
                  <w:sz w:val="20"/>
                  <w:szCs w:val="20"/>
                  <w:u w:val="single"/>
                </w:rPr>
                <w:t>www.Deeresources.com</w:t>
              </w:r>
            </w:hyperlink>
            <w:r w:rsidRPr="00D77A30">
              <w:rPr>
                <w:rFonts w:ascii="Times New Roman" w:hAnsi="Times New Roman"/>
                <w:sz w:val="20"/>
                <w:szCs w:val="20"/>
              </w:rPr>
              <w:t xml:space="preserve"> EUL </w:t>
            </w:r>
          </w:p>
        </w:tc>
      </w:tr>
      <w:tr w:rsidR="00D77A30" w:rsidRPr="00D77A30" w14:paraId="2ECCE20F" w14:textId="77777777" w:rsidTr="00D77A30">
        <w:trPr>
          <w:trHeight w:val="465"/>
        </w:trPr>
        <w:tc>
          <w:tcPr>
            <w:tcW w:w="2158" w:type="pct"/>
            <w:shd w:val="pct20" w:color="000000" w:fill="FFFFFF"/>
          </w:tcPr>
          <w:p w14:paraId="3C2E424C" w14:textId="77777777" w:rsidR="00D77A30" w:rsidRPr="00D77A30" w:rsidRDefault="00D77A30" w:rsidP="00D77A30">
            <w:pPr>
              <w:rPr>
                <w:rFonts w:ascii="Times New Roman" w:hAnsi="Times New Roman"/>
                <w:b/>
                <w:sz w:val="24"/>
              </w:rPr>
            </w:pPr>
            <w:r w:rsidRPr="00D77A30">
              <w:rPr>
                <w:rFonts w:ascii="Times New Roman" w:hAnsi="Times New Roman"/>
                <w:b/>
                <w:sz w:val="24"/>
              </w:rPr>
              <w:t>Program Type:</w:t>
            </w:r>
          </w:p>
        </w:tc>
        <w:tc>
          <w:tcPr>
            <w:tcW w:w="2842" w:type="pct"/>
            <w:shd w:val="pct20" w:color="000000" w:fill="FFFFFF"/>
          </w:tcPr>
          <w:p w14:paraId="55B2289D"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fldChar w:fldCharType="begin"/>
            </w:r>
            <w:r w:rsidRPr="00D77A30">
              <w:rPr>
                <w:rFonts w:ascii="Times New Roman" w:hAnsi="Times New Roman"/>
                <w:sz w:val="24"/>
              </w:rPr>
              <w:instrText xml:space="preserve"> XE "</w:instrText>
            </w:r>
            <w:r w:rsidRPr="00D77A30">
              <w:rPr>
                <w:rFonts w:ascii="Times New Roman" w:hAnsi="Times New Roman"/>
                <w:sz w:val="20"/>
                <w:szCs w:val="20"/>
              </w:rPr>
              <w:instrText>Retrofit</w:instrText>
            </w:r>
            <w:r w:rsidRPr="00D77A30">
              <w:rPr>
                <w:rFonts w:ascii="Times New Roman" w:hAnsi="Times New Roman"/>
                <w:sz w:val="24"/>
              </w:rPr>
              <w:instrText xml:space="preserve">" </w:instrText>
            </w:r>
            <w:r w:rsidRPr="00D77A30">
              <w:rPr>
                <w:rFonts w:ascii="Times New Roman" w:hAnsi="Times New Roman"/>
                <w:sz w:val="20"/>
                <w:szCs w:val="20"/>
              </w:rPr>
              <w:fldChar w:fldCharType="end"/>
            </w:r>
            <w:r w:rsidRPr="00D77A30">
              <w:rPr>
                <w:rFonts w:ascii="Times New Roman" w:hAnsi="Times New Roman"/>
                <w:sz w:val="20"/>
                <w:szCs w:val="20"/>
              </w:rPr>
              <w:br/>
              <w:t>Replace on Burnout</w:t>
            </w:r>
            <w:r w:rsidRPr="00D77A30">
              <w:rPr>
                <w:rFonts w:ascii="Times New Roman" w:hAnsi="Times New Roman"/>
                <w:sz w:val="20"/>
                <w:szCs w:val="20"/>
              </w:rPr>
              <w:fldChar w:fldCharType="begin"/>
            </w:r>
            <w:r w:rsidRPr="00D77A30">
              <w:rPr>
                <w:rFonts w:ascii="Times New Roman" w:hAnsi="Times New Roman"/>
                <w:sz w:val="24"/>
              </w:rPr>
              <w:instrText xml:space="preserve"> XE "</w:instrText>
            </w:r>
            <w:r w:rsidRPr="00D77A30">
              <w:rPr>
                <w:rFonts w:ascii="Times New Roman" w:hAnsi="Times New Roman"/>
                <w:sz w:val="20"/>
                <w:szCs w:val="20"/>
              </w:rPr>
              <w:instrText>Replace on Burnout</w:instrText>
            </w:r>
            <w:r w:rsidRPr="00D77A30">
              <w:rPr>
                <w:rFonts w:ascii="Times New Roman" w:hAnsi="Times New Roman"/>
                <w:sz w:val="24"/>
              </w:rPr>
              <w:instrText xml:space="preserve">" </w:instrText>
            </w:r>
            <w:r w:rsidRPr="00D77A30">
              <w:rPr>
                <w:rFonts w:ascii="Times New Roman" w:hAnsi="Times New Roman"/>
                <w:sz w:val="20"/>
                <w:szCs w:val="20"/>
              </w:rPr>
              <w:fldChar w:fldCharType="end"/>
            </w:r>
            <w:r w:rsidRPr="00D77A30">
              <w:rPr>
                <w:rFonts w:ascii="Times New Roman" w:hAnsi="Times New Roman"/>
                <w:sz w:val="20"/>
                <w:szCs w:val="20"/>
              </w:rPr>
              <w:t xml:space="preserve"> (ROB), and New Construction</w:t>
            </w:r>
            <w:r w:rsidRPr="00D77A30">
              <w:rPr>
                <w:rFonts w:ascii="Times New Roman" w:hAnsi="Times New Roman"/>
                <w:sz w:val="20"/>
                <w:szCs w:val="20"/>
              </w:rPr>
              <w:fldChar w:fldCharType="begin"/>
            </w:r>
            <w:r w:rsidRPr="00D77A30">
              <w:rPr>
                <w:rFonts w:ascii="Times New Roman" w:hAnsi="Times New Roman"/>
                <w:sz w:val="24"/>
              </w:rPr>
              <w:instrText xml:space="preserve"> XE "</w:instrText>
            </w:r>
            <w:r w:rsidRPr="00D77A30">
              <w:rPr>
                <w:rFonts w:ascii="Times New Roman" w:hAnsi="Times New Roman"/>
                <w:sz w:val="20"/>
                <w:szCs w:val="20"/>
              </w:rPr>
              <w:instrText>New Construction</w:instrText>
            </w:r>
            <w:r w:rsidRPr="00D77A30">
              <w:rPr>
                <w:rFonts w:ascii="Times New Roman" w:hAnsi="Times New Roman"/>
                <w:sz w:val="24"/>
              </w:rPr>
              <w:instrText xml:space="preserve">" </w:instrText>
            </w:r>
            <w:r w:rsidRPr="00D77A30">
              <w:rPr>
                <w:rFonts w:ascii="Times New Roman" w:hAnsi="Times New Roman"/>
                <w:sz w:val="20"/>
                <w:szCs w:val="20"/>
              </w:rPr>
              <w:fldChar w:fldCharType="end"/>
            </w:r>
            <w:r w:rsidRPr="00D77A30">
              <w:rPr>
                <w:rFonts w:ascii="Times New Roman" w:hAnsi="Times New Roman"/>
                <w:sz w:val="20"/>
                <w:szCs w:val="20"/>
              </w:rPr>
              <w:t xml:space="preserve"> (NC).</w:t>
            </w:r>
          </w:p>
        </w:tc>
      </w:tr>
      <w:tr w:rsidR="00D77A30" w:rsidRPr="00D77A30" w14:paraId="7823FEFE" w14:textId="77777777" w:rsidTr="00D77A30">
        <w:trPr>
          <w:trHeight w:val="465"/>
        </w:trPr>
        <w:tc>
          <w:tcPr>
            <w:tcW w:w="2158" w:type="pct"/>
            <w:shd w:val="pct5" w:color="000000" w:fill="FFFFFF"/>
          </w:tcPr>
          <w:p w14:paraId="050916D2" w14:textId="77777777" w:rsidR="00D77A30" w:rsidRPr="00D77A30" w:rsidRDefault="00D77A30" w:rsidP="00D77A30">
            <w:pPr>
              <w:rPr>
                <w:rFonts w:ascii="Times New Roman" w:hAnsi="Times New Roman"/>
                <w:b/>
                <w:sz w:val="24"/>
                <w:highlight w:val="red"/>
              </w:rPr>
            </w:pPr>
            <w:r w:rsidRPr="00D77A30">
              <w:rPr>
                <w:rFonts w:ascii="Times New Roman" w:hAnsi="Times New Roman"/>
                <w:b/>
                <w:sz w:val="24"/>
              </w:rPr>
              <w:t xml:space="preserve">Net-to-Gross Ratios: </w:t>
            </w:r>
          </w:p>
        </w:tc>
        <w:tc>
          <w:tcPr>
            <w:tcW w:w="2842" w:type="pct"/>
            <w:shd w:val="pct5" w:color="000000" w:fill="FFFFFF"/>
          </w:tcPr>
          <w:p w14:paraId="48BD20B3"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Source: 2011 DEER Default</w:t>
            </w:r>
          </w:p>
          <w:p w14:paraId="1A9C4587"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0.6</w:t>
            </w:r>
          </w:p>
        </w:tc>
      </w:tr>
      <w:tr w:rsidR="00D77A30" w:rsidRPr="00D77A30" w14:paraId="0E0CCFA7" w14:textId="77777777" w:rsidTr="00D77A30">
        <w:trPr>
          <w:trHeight w:val="465"/>
        </w:trPr>
        <w:tc>
          <w:tcPr>
            <w:tcW w:w="2158" w:type="pct"/>
            <w:shd w:val="pct20" w:color="000000" w:fill="FFFFFF"/>
          </w:tcPr>
          <w:p w14:paraId="17FA43E5" w14:textId="77777777" w:rsidR="00D77A30" w:rsidRPr="00D77A30" w:rsidRDefault="00D77A30" w:rsidP="00D77A30">
            <w:pPr>
              <w:rPr>
                <w:rFonts w:ascii="Times New Roman" w:hAnsi="Times New Roman"/>
                <w:b/>
                <w:sz w:val="24"/>
              </w:rPr>
            </w:pPr>
            <w:r w:rsidRPr="00D77A30">
              <w:rPr>
                <w:rFonts w:ascii="Times New Roman" w:hAnsi="Times New Roman"/>
                <w:b/>
                <w:sz w:val="24"/>
              </w:rPr>
              <w:t>Important Comments:</w:t>
            </w:r>
          </w:p>
        </w:tc>
        <w:tc>
          <w:tcPr>
            <w:tcW w:w="2842" w:type="pct"/>
            <w:shd w:val="pct20" w:color="000000" w:fill="FFFFFF"/>
          </w:tcPr>
          <w:p w14:paraId="770B7823" w14:textId="77777777" w:rsidR="00D77A30" w:rsidRPr="00D77A30" w:rsidRDefault="00D77A30" w:rsidP="00D77A30">
            <w:pPr>
              <w:rPr>
                <w:rFonts w:ascii="Times New Roman" w:hAnsi="Times New Roman"/>
                <w:sz w:val="20"/>
                <w:szCs w:val="20"/>
              </w:rPr>
            </w:pPr>
          </w:p>
        </w:tc>
      </w:tr>
    </w:tbl>
    <w:p w14:paraId="7F3A5ABB" w14:textId="77777777" w:rsidR="00D77A30" w:rsidRPr="005F19E0" w:rsidRDefault="00D77A30" w:rsidP="0006490F">
      <w:pPr>
        <w:rPr>
          <w:rFonts w:cs="Arial"/>
          <w:b/>
          <w:color w:val="FF0000"/>
          <w:sz w:val="20"/>
          <w:szCs w:val="20"/>
        </w:rPr>
        <w:sectPr w:rsidR="00D77A30" w:rsidRPr="005F19E0" w:rsidSect="00F4532C">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7" w:name="_Toc342311739"/>
      <w:bookmarkStart w:id="8" w:name="_Toc389305662"/>
      <w:r>
        <w:lastRenderedPageBreak/>
        <w:t>Work Paper Approvals</w:t>
      </w:r>
      <w:bookmarkEnd w:id="7"/>
      <w:bookmarkEnd w:id="8"/>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Pr="00D77A30" w:rsidRDefault="00AB723D">
            <w:pPr>
              <w:rPr>
                <w:rFonts w:eastAsiaTheme="minorHAnsi" w:cs="Arial"/>
                <w:b/>
                <w:bCs/>
                <w:szCs w:val="22"/>
              </w:rPr>
            </w:pPr>
            <w:r w:rsidRPr="00D77A30">
              <w:rPr>
                <w:b/>
                <w:bCs/>
              </w:rPr>
              <w:t>Grant Brohard</w:t>
            </w:r>
          </w:p>
          <w:p w14:paraId="232461B4" w14:textId="77777777" w:rsidR="00AB723D" w:rsidRPr="00D77A30" w:rsidRDefault="00AB723D">
            <w:pPr>
              <w:rPr>
                <w:rFonts w:eastAsiaTheme="minorHAnsi" w:cs="Arial"/>
                <w:szCs w:val="22"/>
              </w:rPr>
            </w:pPr>
            <w:r w:rsidRPr="00D77A30">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Pr="00D77A30" w:rsidRDefault="00AB723D">
            <w:pPr>
              <w:rPr>
                <w:rFonts w:eastAsiaTheme="minorHAnsi" w:cs="Arial"/>
                <w:b/>
                <w:bCs/>
                <w:szCs w:val="22"/>
              </w:rPr>
            </w:pPr>
          </w:p>
          <w:p w14:paraId="4DDB4542" w14:textId="22658F9E" w:rsidR="00AB723D" w:rsidRPr="00D77A30" w:rsidRDefault="00D77A30">
            <w:pPr>
              <w:rPr>
                <w:b/>
                <w:bCs/>
              </w:rPr>
            </w:pPr>
            <w:r w:rsidRPr="00D77A30">
              <w:rPr>
                <w:b/>
                <w:bCs/>
              </w:rPr>
              <w:t>Carolyn Weiner</w:t>
            </w:r>
          </w:p>
          <w:p w14:paraId="6FFCDF13" w14:textId="0D6DED99" w:rsidR="00AB723D" w:rsidRPr="00D77A30" w:rsidRDefault="00AB723D">
            <w:r w:rsidRPr="00D77A30">
              <w:t xml:space="preserve">Manager, </w:t>
            </w:r>
            <w:r w:rsidR="00D77A30" w:rsidRPr="00D77A30">
              <w:t xml:space="preserve">Appliance </w:t>
            </w:r>
            <w:r w:rsidRPr="00D77A30">
              <w:t xml:space="preserve">Products </w:t>
            </w:r>
          </w:p>
          <w:p w14:paraId="5306BD88" w14:textId="77777777" w:rsidR="00AB723D" w:rsidRPr="00D77A30" w:rsidRDefault="00AB723D">
            <w:pPr>
              <w:rPr>
                <w:b/>
                <w:bCs/>
              </w:rPr>
            </w:pPr>
          </w:p>
          <w:p w14:paraId="44A1FE52" w14:textId="77777777" w:rsidR="00AB723D" w:rsidRPr="00D77A30"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89305663"/>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p w14:paraId="2A438EE4" w14:textId="77777777" w:rsidR="00D77A30" w:rsidRPr="00D77A30" w:rsidRDefault="00D77A30" w:rsidP="00D77A30">
      <w:pPr>
        <w:rPr>
          <w:rFonts w:ascii="Times New Roman" w:hAnsi="Times New Roman"/>
          <w:sz w:val="24"/>
        </w:rPr>
      </w:pPr>
      <w:bookmarkStart w:id="13" w:name="_Toc186621650"/>
      <w:bookmarkStart w:id="14" w:name="_Toc304800197"/>
      <w:bookmarkStart w:id="15" w:name="_Toc324318334"/>
      <w:r w:rsidRPr="00D77A30">
        <w:rPr>
          <w:rFonts w:ascii="Times New Roman" w:hAnsi="Times New Roman"/>
          <w:sz w:val="24"/>
        </w:rPr>
        <w:t xml:space="preserve">     Revision # </w:t>
      </w:r>
      <w:r w:rsidRPr="00D77A30">
        <w:rPr>
          <w:rFonts w:ascii="Times New Roman" w:hAnsi="Times New Roman"/>
          <w:sz w:val="24"/>
        </w:rPr>
        <w:tab/>
      </w:r>
      <w:r w:rsidRPr="00D77A30">
        <w:rPr>
          <w:rFonts w:ascii="Times New Roman" w:hAnsi="Times New Roman"/>
          <w:sz w:val="24"/>
        </w:rPr>
        <w:tab/>
        <w:t xml:space="preserve">Date </w:t>
      </w:r>
      <w:r w:rsidRPr="00D77A30">
        <w:rPr>
          <w:rFonts w:ascii="Times New Roman" w:hAnsi="Times New Roman"/>
          <w:sz w:val="24"/>
        </w:rPr>
        <w:tab/>
      </w:r>
      <w:r w:rsidRPr="00D77A30">
        <w:rPr>
          <w:rFonts w:ascii="Times New Roman" w:hAnsi="Times New Roman"/>
          <w:sz w:val="24"/>
        </w:rPr>
        <w:tab/>
        <w:t xml:space="preserve">         Description</w:t>
      </w:r>
      <w:r w:rsidRPr="00D77A30">
        <w:rPr>
          <w:rFonts w:ascii="Times New Roman" w:hAnsi="Times New Roman"/>
          <w:sz w:val="24"/>
        </w:rPr>
        <w:tab/>
      </w:r>
      <w:r w:rsidRPr="00D77A30">
        <w:rPr>
          <w:rFonts w:ascii="Times New Roman" w:hAnsi="Times New Roman"/>
          <w:sz w:val="24"/>
        </w:rPr>
        <w:tab/>
        <w:t xml:space="preserve">         Author (Company)</w:t>
      </w:r>
    </w:p>
    <w:tbl>
      <w:tblPr>
        <w:tblW w:w="5000" w:type="pct"/>
        <w:tblInd w:w="108" w:type="dxa"/>
        <w:tblBorders>
          <w:insideH w:val="single" w:sz="18" w:space="0" w:color="FFFFFF"/>
          <w:insideV w:val="single" w:sz="18" w:space="0" w:color="FFFFFF"/>
        </w:tblBorders>
        <w:tblLook w:val="01E0" w:firstRow="1" w:lastRow="1" w:firstColumn="1" w:lastColumn="1" w:noHBand="0" w:noVBand="0"/>
      </w:tblPr>
      <w:tblGrid>
        <w:gridCol w:w="1638"/>
        <w:gridCol w:w="10"/>
        <w:gridCol w:w="1392"/>
        <w:gridCol w:w="21"/>
        <w:gridCol w:w="3158"/>
        <w:gridCol w:w="46"/>
        <w:gridCol w:w="3204"/>
        <w:gridCol w:w="107"/>
      </w:tblGrid>
      <w:tr w:rsidR="00D77A30" w:rsidRPr="00D77A30" w14:paraId="6EBBEB95" w14:textId="77777777" w:rsidTr="00D77A30">
        <w:trPr>
          <w:trHeight w:val="464"/>
        </w:trPr>
        <w:tc>
          <w:tcPr>
            <w:tcW w:w="855" w:type="pct"/>
            <w:shd w:val="pct20" w:color="000000" w:fill="FFFFFF"/>
          </w:tcPr>
          <w:p w14:paraId="7CCD8C94" w14:textId="77777777" w:rsidR="00D77A30" w:rsidRPr="00D77A30" w:rsidRDefault="00D77A30" w:rsidP="00D77A30">
            <w:pPr>
              <w:rPr>
                <w:rFonts w:ascii="Times New Roman" w:hAnsi="Times New Roman"/>
                <w:sz w:val="24"/>
              </w:rPr>
            </w:pPr>
            <w:r w:rsidRPr="00D77A30">
              <w:rPr>
                <w:rFonts w:ascii="Times New Roman" w:hAnsi="Times New Roman"/>
                <w:sz w:val="24"/>
              </w:rPr>
              <w:t>Revision 0</w:t>
            </w:r>
          </w:p>
        </w:tc>
        <w:tc>
          <w:tcPr>
            <w:tcW w:w="732" w:type="pct"/>
            <w:gridSpan w:val="2"/>
            <w:shd w:val="pct20" w:color="000000" w:fill="FFFFFF"/>
          </w:tcPr>
          <w:p w14:paraId="7496FC1A"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2/13/2008</w:t>
            </w:r>
          </w:p>
        </w:tc>
        <w:tc>
          <w:tcPr>
            <w:tcW w:w="1660" w:type="pct"/>
            <w:gridSpan w:val="2"/>
            <w:shd w:val="pct20" w:color="000000" w:fill="FFFFFF"/>
          </w:tcPr>
          <w:p w14:paraId="5F5278D7"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 xml:space="preserve">Original work paper: Commercial Conveyor Oven – Gas PGECOFST117 R0.doc </w:t>
            </w:r>
          </w:p>
        </w:tc>
        <w:tc>
          <w:tcPr>
            <w:tcW w:w="1753" w:type="pct"/>
            <w:gridSpan w:val="3"/>
            <w:shd w:val="pct20" w:color="000000" w:fill="FFFFFF"/>
          </w:tcPr>
          <w:p w14:paraId="79F2B2A2" w14:textId="77777777" w:rsidR="00D77A30" w:rsidRPr="00D77A30" w:rsidRDefault="00D77A30" w:rsidP="00D77A30">
            <w:pPr>
              <w:rPr>
                <w:rFonts w:ascii="Times New Roman" w:hAnsi="Times New Roman"/>
                <w:bCs/>
                <w:sz w:val="20"/>
                <w:szCs w:val="20"/>
                <w:lang w:val="de-DE"/>
              </w:rPr>
            </w:pPr>
            <w:r w:rsidRPr="00D77A30">
              <w:rPr>
                <w:rFonts w:ascii="Times New Roman" w:hAnsi="Times New Roman"/>
                <w:bCs/>
                <w:sz w:val="20"/>
                <w:szCs w:val="20"/>
                <w:lang w:val="de-DE"/>
              </w:rPr>
              <w:t>David Zabrowski (Fisher-Nickel, inc.)</w:t>
            </w:r>
          </w:p>
        </w:tc>
      </w:tr>
      <w:tr w:rsidR="00D77A30" w:rsidRPr="00D77A30" w14:paraId="374951BD" w14:textId="77777777" w:rsidTr="00D77A30">
        <w:trPr>
          <w:trHeight w:val="464"/>
        </w:trPr>
        <w:tc>
          <w:tcPr>
            <w:tcW w:w="855" w:type="pct"/>
            <w:shd w:val="pct5" w:color="000000" w:fill="FFFFFF"/>
          </w:tcPr>
          <w:p w14:paraId="3A49A159" w14:textId="77777777" w:rsidR="00D77A30" w:rsidRPr="00D77A30" w:rsidRDefault="00D77A30" w:rsidP="00D77A30">
            <w:pPr>
              <w:rPr>
                <w:rFonts w:ascii="Times New Roman" w:hAnsi="Times New Roman"/>
                <w:sz w:val="24"/>
              </w:rPr>
            </w:pPr>
            <w:bookmarkStart w:id="16" w:name="_Hlk228865396"/>
            <w:r w:rsidRPr="00D77A30">
              <w:rPr>
                <w:rFonts w:ascii="Times New Roman" w:hAnsi="Times New Roman"/>
                <w:sz w:val="24"/>
              </w:rPr>
              <w:t>Revision 1</w:t>
            </w:r>
          </w:p>
        </w:tc>
        <w:tc>
          <w:tcPr>
            <w:tcW w:w="732" w:type="pct"/>
            <w:gridSpan w:val="2"/>
            <w:shd w:val="pct5" w:color="000000" w:fill="FFFFFF"/>
          </w:tcPr>
          <w:p w14:paraId="35BFB4AA"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6/1/09</w:t>
            </w:r>
          </w:p>
        </w:tc>
        <w:tc>
          <w:tcPr>
            <w:tcW w:w="1660" w:type="pct"/>
            <w:gridSpan w:val="2"/>
            <w:shd w:val="pct5" w:color="000000" w:fill="FFFFFF"/>
          </w:tcPr>
          <w:p w14:paraId="1682B5BA"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Changes to EUL, NTG language and references, costs  updated</w:t>
            </w:r>
          </w:p>
        </w:tc>
        <w:tc>
          <w:tcPr>
            <w:tcW w:w="1753" w:type="pct"/>
            <w:gridSpan w:val="3"/>
            <w:shd w:val="pct5" w:color="000000" w:fill="FFFFFF"/>
          </w:tcPr>
          <w:p w14:paraId="2F825D7D" w14:textId="77777777" w:rsidR="00D77A30" w:rsidRPr="00D77A30" w:rsidRDefault="00D77A30" w:rsidP="00D77A30">
            <w:pPr>
              <w:rPr>
                <w:rFonts w:ascii="Times New Roman" w:hAnsi="Times New Roman"/>
                <w:bCs/>
                <w:sz w:val="20"/>
                <w:szCs w:val="20"/>
              </w:rPr>
            </w:pPr>
            <w:r w:rsidRPr="00D77A30">
              <w:rPr>
                <w:rFonts w:ascii="Times New Roman" w:hAnsi="Times New Roman"/>
                <w:bCs/>
                <w:sz w:val="20"/>
                <w:szCs w:val="20"/>
                <w:lang w:val="de-DE"/>
              </w:rPr>
              <w:t>David Zabrowski, Lauren Mills (Fisher-Nickel, inc.), Steve Blanc PG&amp;E</w:t>
            </w:r>
          </w:p>
        </w:tc>
      </w:tr>
      <w:tr w:rsidR="00D77A30" w:rsidRPr="00D77A30" w14:paraId="024990E2" w14:textId="77777777" w:rsidTr="00D77A30">
        <w:trPr>
          <w:gridAfter w:val="1"/>
          <w:wAfter w:w="56" w:type="pct"/>
          <w:trHeight w:val="464"/>
        </w:trPr>
        <w:tc>
          <w:tcPr>
            <w:tcW w:w="860" w:type="pct"/>
            <w:gridSpan w:val="2"/>
            <w:shd w:val="pct20" w:color="000000" w:fill="FFFFFF"/>
          </w:tcPr>
          <w:p w14:paraId="12D18486" w14:textId="77777777" w:rsidR="00D77A30" w:rsidRPr="00D77A30" w:rsidRDefault="00D77A30" w:rsidP="00D77A30">
            <w:pPr>
              <w:rPr>
                <w:rFonts w:ascii="Times New Roman" w:hAnsi="Times New Roman"/>
                <w:sz w:val="24"/>
              </w:rPr>
            </w:pPr>
            <w:r w:rsidRPr="00D77A30">
              <w:rPr>
                <w:rFonts w:ascii="Times New Roman" w:hAnsi="Times New Roman"/>
                <w:sz w:val="24"/>
              </w:rPr>
              <w:t>Revision 2</w:t>
            </w:r>
          </w:p>
        </w:tc>
        <w:tc>
          <w:tcPr>
            <w:tcW w:w="738" w:type="pct"/>
            <w:gridSpan w:val="2"/>
            <w:shd w:val="pct20" w:color="000000" w:fill="FFFFFF"/>
          </w:tcPr>
          <w:p w14:paraId="0AD5B963"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2/10/2010</w:t>
            </w:r>
          </w:p>
        </w:tc>
        <w:tc>
          <w:tcPr>
            <w:tcW w:w="1673" w:type="pct"/>
            <w:gridSpan w:val="2"/>
            <w:shd w:val="pct20" w:color="000000" w:fill="FFFFFF"/>
          </w:tcPr>
          <w:p w14:paraId="4435C0FD"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Update to DEER 2009-11 NTG file</w:t>
            </w:r>
          </w:p>
        </w:tc>
        <w:tc>
          <w:tcPr>
            <w:tcW w:w="1673" w:type="pct"/>
            <w:shd w:val="pct20" w:color="000000" w:fill="FFFFFF"/>
          </w:tcPr>
          <w:p w14:paraId="5D398253" w14:textId="77777777" w:rsidR="00D77A30" w:rsidRPr="00D77A30" w:rsidRDefault="00D77A30" w:rsidP="00D77A30">
            <w:pPr>
              <w:rPr>
                <w:rFonts w:ascii="Times New Roman" w:hAnsi="Times New Roman"/>
                <w:bCs/>
                <w:sz w:val="20"/>
                <w:szCs w:val="20"/>
              </w:rPr>
            </w:pPr>
            <w:r w:rsidRPr="00D77A30">
              <w:rPr>
                <w:rFonts w:ascii="Times New Roman" w:hAnsi="Times New Roman"/>
                <w:bCs/>
                <w:sz w:val="20"/>
                <w:szCs w:val="20"/>
                <w:lang w:val="de-DE"/>
              </w:rPr>
              <w:t>David Zabrowski (Fisher-Nickel, inc.), Steve Blanc PG&amp;E</w:t>
            </w:r>
          </w:p>
        </w:tc>
      </w:tr>
      <w:bookmarkEnd w:id="16"/>
      <w:tr w:rsidR="00D77A30" w:rsidRPr="00D77A30" w14:paraId="10267F5E" w14:textId="77777777" w:rsidTr="00D77A30">
        <w:trPr>
          <w:trHeight w:val="464"/>
        </w:trPr>
        <w:tc>
          <w:tcPr>
            <w:tcW w:w="855" w:type="pct"/>
            <w:tcBorders>
              <w:top w:val="single" w:sz="18" w:space="0" w:color="FFFFFF"/>
              <w:bottom w:val="single" w:sz="18" w:space="0" w:color="FFFFFF"/>
              <w:right w:val="single" w:sz="18" w:space="0" w:color="FFFFFF"/>
            </w:tcBorders>
            <w:shd w:val="pct5" w:color="000000" w:fill="FFFFFF"/>
          </w:tcPr>
          <w:p w14:paraId="5B47E2B3" w14:textId="77777777" w:rsidR="00D77A30" w:rsidRPr="00D77A30" w:rsidRDefault="00D77A30" w:rsidP="00D77A30">
            <w:pPr>
              <w:rPr>
                <w:rFonts w:ascii="Times New Roman" w:hAnsi="Times New Roman"/>
                <w:sz w:val="24"/>
              </w:rPr>
            </w:pPr>
            <w:r w:rsidRPr="00D77A30">
              <w:rPr>
                <w:rFonts w:ascii="Times New Roman" w:hAnsi="Times New Roman"/>
                <w:sz w:val="24"/>
              </w:rPr>
              <w:t>Revision 3</w:t>
            </w:r>
          </w:p>
        </w:tc>
        <w:tc>
          <w:tcPr>
            <w:tcW w:w="732" w:type="pct"/>
            <w:gridSpan w:val="2"/>
            <w:tcBorders>
              <w:top w:val="single" w:sz="18" w:space="0" w:color="FFFFFF"/>
              <w:left w:val="single" w:sz="18" w:space="0" w:color="FFFFFF"/>
              <w:bottom w:val="single" w:sz="18" w:space="0" w:color="FFFFFF"/>
              <w:right w:val="single" w:sz="18" w:space="0" w:color="FFFFFF"/>
            </w:tcBorders>
            <w:shd w:val="pct5" w:color="000000" w:fill="FFFFFF"/>
          </w:tcPr>
          <w:p w14:paraId="6FD0DA7F"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06/16/2010</w:t>
            </w:r>
          </w:p>
        </w:tc>
        <w:tc>
          <w:tcPr>
            <w:tcW w:w="1660" w:type="pct"/>
            <w:gridSpan w:val="2"/>
            <w:tcBorders>
              <w:top w:val="single" w:sz="18" w:space="0" w:color="FFFFFF"/>
              <w:left w:val="single" w:sz="18" w:space="0" w:color="FFFFFF"/>
              <w:bottom w:val="single" w:sz="18" w:space="0" w:color="FFFFFF"/>
              <w:right w:val="single" w:sz="18" w:space="0" w:color="FFFFFF"/>
            </w:tcBorders>
            <w:shd w:val="pct5" w:color="000000" w:fill="FFFFFF"/>
          </w:tcPr>
          <w:p w14:paraId="3A5B3971"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Changes incorporating recommendations from Energy Division</w:t>
            </w:r>
          </w:p>
        </w:tc>
        <w:tc>
          <w:tcPr>
            <w:tcW w:w="1753" w:type="pct"/>
            <w:gridSpan w:val="3"/>
            <w:tcBorders>
              <w:top w:val="single" w:sz="18" w:space="0" w:color="FFFFFF"/>
              <w:left w:val="single" w:sz="18" w:space="0" w:color="FFFFFF"/>
              <w:bottom w:val="single" w:sz="18" w:space="0" w:color="FFFFFF"/>
            </w:tcBorders>
            <w:shd w:val="pct5" w:color="000000" w:fill="FFFFFF"/>
          </w:tcPr>
          <w:p w14:paraId="58B76EE7" w14:textId="77777777" w:rsidR="00D77A30" w:rsidRPr="00D77A30" w:rsidRDefault="00D77A30" w:rsidP="00D77A30">
            <w:pPr>
              <w:rPr>
                <w:rFonts w:ascii="Times New Roman" w:hAnsi="Times New Roman"/>
                <w:bCs/>
                <w:sz w:val="20"/>
                <w:szCs w:val="20"/>
              </w:rPr>
            </w:pPr>
            <w:r w:rsidRPr="00D77A30">
              <w:rPr>
                <w:rFonts w:ascii="Times New Roman" w:hAnsi="Times New Roman"/>
                <w:bCs/>
                <w:sz w:val="20"/>
                <w:szCs w:val="20"/>
              </w:rPr>
              <w:t>David Zabrowski (Fisher-Nickel), Charlene Spoor (PG&amp;E)</w:t>
            </w:r>
          </w:p>
        </w:tc>
      </w:tr>
      <w:tr w:rsidR="00D77A30" w:rsidRPr="00D77A30" w14:paraId="50C64541" w14:textId="77777777" w:rsidTr="00D77A30">
        <w:trPr>
          <w:trHeight w:val="464"/>
        </w:trPr>
        <w:tc>
          <w:tcPr>
            <w:tcW w:w="855" w:type="pct"/>
            <w:shd w:val="pct20" w:color="000000" w:fill="FFFFFF"/>
          </w:tcPr>
          <w:p w14:paraId="2FF0FEC2" w14:textId="77777777" w:rsidR="00D77A30" w:rsidRPr="00D77A30" w:rsidRDefault="00D77A30" w:rsidP="00D77A30">
            <w:pPr>
              <w:rPr>
                <w:rFonts w:ascii="Times New Roman" w:hAnsi="Times New Roman"/>
                <w:sz w:val="24"/>
              </w:rPr>
            </w:pPr>
            <w:r w:rsidRPr="00D77A30">
              <w:rPr>
                <w:rFonts w:ascii="Times New Roman" w:hAnsi="Times New Roman"/>
                <w:sz w:val="24"/>
              </w:rPr>
              <w:t>Revision 4</w:t>
            </w:r>
          </w:p>
        </w:tc>
        <w:tc>
          <w:tcPr>
            <w:tcW w:w="732" w:type="pct"/>
            <w:gridSpan w:val="2"/>
            <w:shd w:val="pct20" w:color="000000" w:fill="FFFFFF"/>
          </w:tcPr>
          <w:p w14:paraId="4B6A2880"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06/08/2012</w:t>
            </w:r>
          </w:p>
          <w:p w14:paraId="42A0900A" w14:textId="77777777" w:rsidR="00D77A30" w:rsidRPr="00D77A30" w:rsidRDefault="00D77A30" w:rsidP="00D77A30">
            <w:pPr>
              <w:rPr>
                <w:rFonts w:ascii="Times New Roman" w:hAnsi="Times New Roman"/>
                <w:sz w:val="20"/>
                <w:szCs w:val="20"/>
              </w:rPr>
            </w:pPr>
          </w:p>
          <w:p w14:paraId="24C2ABCC" w14:textId="77777777" w:rsidR="00D77A30" w:rsidRPr="00D77A30" w:rsidRDefault="00D77A30" w:rsidP="00D77A30">
            <w:pPr>
              <w:rPr>
                <w:rFonts w:ascii="Times New Roman" w:hAnsi="Times New Roman"/>
                <w:sz w:val="20"/>
                <w:szCs w:val="20"/>
              </w:rPr>
            </w:pPr>
          </w:p>
          <w:p w14:paraId="5B45749E"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8/23/2012</w:t>
            </w:r>
          </w:p>
        </w:tc>
        <w:tc>
          <w:tcPr>
            <w:tcW w:w="1660" w:type="pct"/>
            <w:gridSpan w:val="2"/>
            <w:shd w:val="pct20" w:color="000000" w:fill="FFFFFF"/>
          </w:tcPr>
          <w:p w14:paraId="1297C47E"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Updated NTG and EUL, Remove measure F168 due to lack of available product</w:t>
            </w:r>
          </w:p>
          <w:p w14:paraId="6359C93F" w14:textId="77777777" w:rsidR="00D77A30" w:rsidRPr="00D77A30" w:rsidRDefault="00D77A30" w:rsidP="00D77A30">
            <w:pPr>
              <w:rPr>
                <w:rFonts w:ascii="Times New Roman" w:hAnsi="Times New Roman"/>
                <w:sz w:val="20"/>
                <w:szCs w:val="20"/>
              </w:rPr>
            </w:pPr>
            <w:r w:rsidRPr="00D77A30">
              <w:rPr>
                <w:rFonts w:ascii="Times New Roman" w:hAnsi="Times New Roman"/>
                <w:sz w:val="20"/>
                <w:szCs w:val="20"/>
              </w:rPr>
              <w:t>Updated BLD, CZ and VIN to ANY per READI requirements</w:t>
            </w:r>
          </w:p>
        </w:tc>
        <w:tc>
          <w:tcPr>
            <w:tcW w:w="1753" w:type="pct"/>
            <w:gridSpan w:val="3"/>
            <w:shd w:val="pct20" w:color="000000" w:fill="FFFFFF"/>
          </w:tcPr>
          <w:p w14:paraId="068A6DED" w14:textId="77777777" w:rsidR="00D77A30" w:rsidRPr="00D77A30" w:rsidRDefault="00D77A30" w:rsidP="00D77A30">
            <w:pPr>
              <w:rPr>
                <w:rFonts w:ascii="Times New Roman" w:hAnsi="Times New Roman"/>
                <w:bCs/>
                <w:sz w:val="20"/>
                <w:szCs w:val="20"/>
              </w:rPr>
            </w:pPr>
            <w:r w:rsidRPr="00D77A30">
              <w:rPr>
                <w:rFonts w:ascii="Times New Roman" w:hAnsi="Times New Roman"/>
                <w:bCs/>
                <w:sz w:val="20"/>
                <w:szCs w:val="20"/>
              </w:rPr>
              <w:t>Kong Sham (Fisher-Nickel, Inc.), Charlene Spoor (PG&amp;E)</w:t>
            </w:r>
          </w:p>
          <w:p w14:paraId="07A7D021" w14:textId="77777777" w:rsidR="00D77A30" w:rsidRPr="00D77A30" w:rsidRDefault="00D77A30" w:rsidP="00D77A30">
            <w:pPr>
              <w:rPr>
                <w:rFonts w:ascii="Times New Roman" w:hAnsi="Times New Roman"/>
                <w:bCs/>
                <w:sz w:val="20"/>
                <w:szCs w:val="20"/>
              </w:rPr>
            </w:pPr>
          </w:p>
          <w:p w14:paraId="4BE829DA" w14:textId="77777777" w:rsidR="00D77A30" w:rsidRPr="00D77A30" w:rsidRDefault="00D77A30" w:rsidP="00D77A30">
            <w:pPr>
              <w:rPr>
                <w:rFonts w:ascii="Times New Roman" w:hAnsi="Times New Roman"/>
                <w:bCs/>
                <w:sz w:val="20"/>
                <w:szCs w:val="20"/>
              </w:rPr>
            </w:pPr>
            <w:r w:rsidRPr="00D77A30">
              <w:rPr>
                <w:rFonts w:ascii="Times New Roman" w:hAnsi="Times New Roman"/>
                <w:bCs/>
                <w:sz w:val="20"/>
                <w:szCs w:val="20"/>
              </w:rPr>
              <w:t>Charlene Spoor (PG&amp;E)</w:t>
            </w:r>
          </w:p>
          <w:p w14:paraId="249A5BF3" w14:textId="77777777" w:rsidR="00D77A30" w:rsidRPr="00D77A30" w:rsidRDefault="00D77A30" w:rsidP="00D77A30">
            <w:pPr>
              <w:rPr>
                <w:rFonts w:ascii="Times New Roman" w:hAnsi="Times New Roman"/>
                <w:bCs/>
                <w:sz w:val="20"/>
                <w:szCs w:val="20"/>
              </w:rPr>
            </w:pPr>
          </w:p>
        </w:tc>
      </w:tr>
      <w:tr w:rsidR="00D77A30" w:rsidRPr="00D77A30" w14:paraId="147E9617" w14:textId="77777777" w:rsidTr="00D77A30">
        <w:trPr>
          <w:trHeight w:val="464"/>
        </w:trPr>
        <w:tc>
          <w:tcPr>
            <w:tcW w:w="855" w:type="pct"/>
            <w:shd w:val="pct20" w:color="000000" w:fill="FFFFFF"/>
          </w:tcPr>
          <w:p w14:paraId="615BAF7E" w14:textId="04FD4DD6" w:rsidR="00D77A30" w:rsidRPr="00D77A30" w:rsidRDefault="00D77A30" w:rsidP="00D77A30">
            <w:pPr>
              <w:rPr>
                <w:rFonts w:ascii="Times New Roman" w:hAnsi="Times New Roman"/>
                <w:sz w:val="24"/>
              </w:rPr>
            </w:pPr>
            <w:r>
              <w:rPr>
                <w:rFonts w:ascii="Times New Roman" w:hAnsi="Times New Roman"/>
                <w:sz w:val="24"/>
              </w:rPr>
              <w:t>Revision 5</w:t>
            </w:r>
          </w:p>
        </w:tc>
        <w:tc>
          <w:tcPr>
            <w:tcW w:w="732" w:type="pct"/>
            <w:gridSpan w:val="2"/>
            <w:shd w:val="pct20" w:color="000000" w:fill="FFFFFF"/>
          </w:tcPr>
          <w:p w14:paraId="15686FA9" w14:textId="049FAC2A" w:rsidR="00D77A30" w:rsidRPr="00D77A30" w:rsidRDefault="00D77A30" w:rsidP="00D77A30">
            <w:pPr>
              <w:rPr>
                <w:rFonts w:ascii="Times New Roman" w:hAnsi="Times New Roman"/>
                <w:sz w:val="20"/>
                <w:szCs w:val="20"/>
              </w:rPr>
            </w:pPr>
            <w:r>
              <w:rPr>
                <w:rFonts w:ascii="Times New Roman" w:hAnsi="Times New Roman"/>
                <w:sz w:val="20"/>
                <w:szCs w:val="20"/>
              </w:rPr>
              <w:t>5/31/2014</w:t>
            </w:r>
          </w:p>
        </w:tc>
        <w:tc>
          <w:tcPr>
            <w:tcW w:w="1660" w:type="pct"/>
            <w:gridSpan w:val="2"/>
            <w:shd w:val="pct20" w:color="000000" w:fill="FFFFFF"/>
          </w:tcPr>
          <w:p w14:paraId="629055AC" w14:textId="7C9C7B2E" w:rsidR="00D77A30" w:rsidRPr="00D77A30" w:rsidRDefault="00D77A30" w:rsidP="00D77A30">
            <w:pPr>
              <w:rPr>
                <w:rFonts w:ascii="Times New Roman" w:hAnsi="Times New Roman"/>
                <w:sz w:val="20"/>
                <w:szCs w:val="20"/>
              </w:rPr>
            </w:pPr>
            <w:r>
              <w:rPr>
                <w:rFonts w:ascii="Times New Roman" w:hAnsi="Times New Roman"/>
                <w:sz w:val="20"/>
                <w:szCs w:val="20"/>
              </w:rPr>
              <w:t>Updated to new template format</w:t>
            </w:r>
          </w:p>
        </w:tc>
        <w:tc>
          <w:tcPr>
            <w:tcW w:w="1753" w:type="pct"/>
            <w:gridSpan w:val="3"/>
            <w:shd w:val="pct20" w:color="000000" w:fill="FFFFFF"/>
          </w:tcPr>
          <w:p w14:paraId="563398ED" w14:textId="1A2E8F32" w:rsidR="00D77A30" w:rsidRPr="00D77A30" w:rsidRDefault="00D77A30" w:rsidP="00D77A30">
            <w:pPr>
              <w:rPr>
                <w:rFonts w:ascii="Times New Roman" w:hAnsi="Times New Roman"/>
                <w:sz w:val="20"/>
                <w:szCs w:val="20"/>
              </w:rPr>
            </w:pPr>
            <w:r>
              <w:rPr>
                <w:rFonts w:ascii="Times New Roman" w:hAnsi="Times New Roman"/>
                <w:sz w:val="20"/>
                <w:szCs w:val="20"/>
              </w:rPr>
              <w:t>Charlene Spoor (PG&amp;E)</w:t>
            </w:r>
          </w:p>
        </w:tc>
      </w:tr>
    </w:tbl>
    <w:p w14:paraId="5750A999" w14:textId="77777777" w:rsidR="00D77A30" w:rsidRPr="00D77A30" w:rsidRDefault="00D77A30" w:rsidP="00D77A30">
      <w:pPr>
        <w:tabs>
          <w:tab w:val="center" w:pos="4320"/>
          <w:tab w:val="right" w:pos="8640"/>
        </w:tabs>
        <w:rPr>
          <w:rFonts w:ascii="Times New Roman" w:hAnsi="Times New Roman"/>
          <w:sz w:val="24"/>
        </w:rPr>
      </w:pPr>
    </w:p>
    <w:p w14:paraId="393A0A6A" w14:textId="073831D5" w:rsidR="00E71EF1" w:rsidRDefault="00D77A30" w:rsidP="00D77A30">
      <w:pPr>
        <w:pStyle w:val="Heading1"/>
      </w:pPr>
      <w:r w:rsidRPr="00D77A30">
        <w:rPr>
          <w:rFonts w:ascii="Times New Roman" w:hAnsi="Times New Roman" w:cs="Times New Roman"/>
          <w:kern w:val="0"/>
          <w:sz w:val="24"/>
          <w:szCs w:val="24"/>
        </w:rPr>
        <w:br w:type="page"/>
      </w:r>
      <w:bookmarkStart w:id="17" w:name="_Toc304800198"/>
      <w:bookmarkStart w:id="18" w:name="_Toc324340478"/>
      <w:bookmarkStart w:id="19" w:name="_Toc389305664"/>
      <w:r w:rsidR="001248A3">
        <w:t>Table</w:t>
      </w:r>
      <w:r w:rsidR="006559C8">
        <w:t xml:space="preserve"> of Contents</w:t>
      </w:r>
      <w:bookmarkEnd w:id="13"/>
      <w:bookmarkEnd w:id="14"/>
      <w:bookmarkEnd w:id="15"/>
      <w:bookmarkEnd w:id="17"/>
      <w:bookmarkEnd w:id="18"/>
      <w:bookmarkEnd w:id="19"/>
    </w:p>
    <w:p w14:paraId="10D31207" w14:textId="77777777" w:rsidR="00916793"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9305661" w:history="1">
        <w:r w:rsidR="00916793" w:rsidRPr="004D0031">
          <w:rPr>
            <w:rStyle w:val="Hyperlink"/>
            <w:noProof/>
          </w:rPr>
          <w:t>At-a-Glance Summary</w:t>
        </w:r>
        <w:r w:rsidR="00916793">
          <w:rPr>
            <w:noProof/>
            <w:webHidden/>
          </w:rPr>
          <w:tab/>
        </w:r>
        <w:r w:rsidR="00916793">
          <w:rPr>
            <w:noProof/>
            <w:webHidden/>
          </w:rPr>
          <w:fldChar w:fldCharType="begin"/>
        </w:r>
        <w:r w:rsidR="00916793">
          <w:rPr>
            <w:noProof/>
            <w:webHidden/>
          </w:rPr>
          <w:instrText xml:space="preserve"> PAGEREF _Toc389305661 \h </w:instrText>
        </w:r>
        <w:r w:rsidR="00916793">
          <w:rPr>
            <w:noProof/>
            <w:webHidden/>
          </w:rPr>
        </w:r>
        <w:r w:rsidR="00916793">
          <w:rPr>
            <w:noProof/>
            <w:webHidden/>
          </w:rPr>
          <w:fldChar w:fldCharType="separate"/>
        </w:r>
        <w:r w:rsidR="00916793">
          <w:rPr>
            <w:noProof/>
            <w:webHidden/>
          </w:rPr>
          <w:t>ii</w:t>
        </w:r>
        <w:r w:rsidR="00916793">
          <w:rPr>
            <w:noProof/>
            <w:webHidden/>
          </w:rPr>
          <w:fldChar w:fldCharType="end"/>
        </w:r>
      </w:hyperlink>
    </w:p>
    <w:p w14:paraId="0C674F1E"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62" w:history="1">
        <w:r w:rsidR="00916793" w:rsidRPr="004D0031">
          <w:rPr>
            <w:rStyle w:val="Hyperlink"/>
            <w:noProof/>
          </w:rPr>
          <w:t>Work Paper Approvals</w:t>
        </w:r>
        <w:r w:rsidR="00916793">
          <w:rPr>
            <w:noProof/>
            <w:webHidden/>
          </w:rPr>
          <w:tab/>
        </w:r>
        <w:r w:rsidR="00916793">
          <w:rPr>
            <w:noProof/>
            <w:webHidden/>
          </w:rPr>
          <w:fldChar w:fldCharType="begin"/>
        </w:r>
        <w:r w:rsidR="00916793">
          <w:rPr>
            <w:noProof/>
            <w:webHidden/>
          </w:rPr>
          <w:instrText xml:space="preserve"> PAGEREF _Toc389305662 \h </w:instrText>
        </w:r>
        <w:r w:rsidR="00916793">
          <w:rPr>
            <w:noProof/>
            <w:webHidden/>
          </w:rPr>
        </w:r>
        <w:r w:rsidR="00916793">
          <w:rPr>
            <w:noProof/>
            <w:webHidden/>
          </w:rPr>
          <w:fldChar w:fldCharType="separate"/>
        </w:r>
        <w:r w:rsidR="00916793">
          <w:rPr>
            <w:noProof/>
            <w:webHidden/>
          </w:rPr>
          <w:t>iii</w:t>
        </w:r>
        <w:r w:rsidR="00916793">
          <w:rPr>
            <w:noProof/>
            <w:webHidden/>
          </w:rPr>
          <w:fldChar w:fldCharType="end"/>
        </w:r>
      </w:hyperlink>
    </w:p>
    <w:p w14:paraId="7252EAB1"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63" w:history="1">
        <w:r w:rsidR="00916793" w:rsidRPr="004D0031">
          <w:rPr>
            <w:rStyle w:val="Hyperlink"/>
            <w:noProof/>
          </w:rPr>
          <w:t>Document Revision History</w:t>
        </w:r>
        <w:r w:rsidR="00916793">
          <w:rPr>
            <w:noProof/>
            <w:webHidden/>
          </w:rPr>
          <w:tab/>
        </w:r>
        <w:r w:rsidR="00916793">
          <w:rPr>
            <w:noProof/>
            <w:webHidden/>
          </w:rPr>
          <w:fldChar w:fldCharType="begin"/>
        </w:r>
        <w:r w:rsidR="00916793">
          <w:rPr>
            <w:noProof/>
            <w:webHidden/>
          </w:rPr>
          <w:instrText xml:space="preserve"> PAGEREF _Toc389305663 \h </w:instrText>
        </w:r>
        <w:r w:rsidR="00916793">
          <w:rPr>
            <w:noProof/>
            <w:webHidden/>
          </w:rPr>
        </w:r>
        <w:r w:rsidR="00916793">
          <w:rPr>
            <w:noProof/>
            <w:webHidden/>
          </w:rPr>
          <w:fldChar w:fldCharType="separate"/>
        </w:r>
        <w:r w:rsidR="00916793">
          <w:rPr>
            <w:noProof/>
            <w:webHidden/>
          </w:rPr>
          <w:t>iv</w:t>
        </w:r>
        <w:r w:rsidR="00916793">
          <w:rPr>
            <w:noProof/>
            <w:webHidden/>
          </w:rPr>
          <w:fldChar w:fldCharType="end"/>
        </w:r>
      </w:hyperlink>
    </w:p>
    <w:p w14:paraId="72027C5D"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64" w:history="1">
        <w:r w:rsidR="00916793" w:rsidRPr="004D0031">
          <w:rPr>
            <w:rStyle w:val="Hyperlink"/>
            <w:noProof/>
          </w:rPr>
          <w:t>Table of Contents</w:t>
        </w:r>
        <w:r w:rsidR="00916793">
          <w:rPr>
            <w:noProof/>
            <w:webHidden/>
          </w:rPr>
          <w:tab/>
        </w:r>
        <w:r w:rsidR="00916793">
          <w:rPr>
            <w:noProof/>
            <w:webHidden/>
          </w:rPr>
          <w:fldChar w:fldCharType="begin"/>
        </w:r>
        <w:r w:rsidR="00916793">
          <w:rPr>
            <w:noProof/>
            <w:webHidden/>
          </w:rPr>
          <w:instrText xml:space="preserve"> PAGEREF _Toc389305664 \h </w:instrText>
        </w:r>
        <w:r w:rsidR="00916793">
          <w:rPr>
            <w:noProof/>
            <w:webHidden/>
          </w:rPr>
        </w:r>
        <w:r w:rsidR="00916793">
          <w:rPr>
            <w:noProof/>
            <w:webHidden/>
          </w:rPr>
          <w:fldChar w:fldCharType="separate"/>
        </w:r>
        <w:r w:rsidR="00916793">
          <w:rPr>
            <w:noProof/>
            <w:webHidden/>
          </w:rPr>
          <w:t>v</w:t>
        </w:r>
        <w:r w:rsidR="00916793">
          <w:rPr>
            <w:noProof/>
            <w:webHidden/>
          </w:rPr>
          <w:fldChar w:fldCharType="end"/>
        </w:r>
      </w:hyperlink>
    </w:p>
    <w:p w14:paraId="6469E38F"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65" w:history="1">
        <w:r w:rsidR="00916793" w:rsidRPr="004D0031">
          <w:rPr>
            <w:rStyle w:val="Hyperlink"/>
            <w:noProof/>
          </w:rPr>
          <w:t>List of Tables</w:t>
        </w:r>
        <w:r w:rsidR="00916793">
          <w:rPr>
            <w:noProof/>
            <w:webHidden/>
          </w:rPr>
          <w:tab/>
        </w:r>
        <w:r w:rsidR="00916793">
          <w:rPr>
            <w:noProof/>
            <w:webHidden/>
          </w:rPr>
          <w:fldChar w:fldCharType="begin"/>
        </w:r>
        <w:r w:rsidR="00916793">
          <w:rPr>
            <w:noProof/>
            <w:webHidden/>
          </w:rPr>
          <w:instrText xml:space="preserve"> PAGEREF _Toc389305665 \h </w:instrText>
        </w:r>
        <w:r w:rsidR="00916793">
          <w:rPr>
            <w:noProof/>
            <w:webHidden/>
          </w:rPr>
        </w:r>
        <w:r w:rsidR="00916793">
          <w:rPr>
            <w:noProof/>
            <w:webHidden/>
          </w:rPr>
          <w:fldChar w:fldCharType="separate"/>
        </w:r>
        <w:r w:rsidR="00916793">
          <w:rPr>
            <w:noProof/>
            <w:webHidden/>
          </w:rPr>
          <w:t>vi</w:t>
        </w:r>
        <w:r w:rsidR="00916793">
          <w:rPr>
            <w:noProof/>
            <w:webHidden/>
          </w:rPr>
          <w:fldChar w:fldCharType="end"/>
        </w:r>
      </w:hyperlink>
    </w:p>
    <w:p w14:paraId="4D4BD4D1"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66" w:history="1">
        <w:r w:rsidR="00916793" w:rsidRPr="004D0031">
          <w:rPr>
            <w:rStyle w:val="Hyperlink"/>
            <w:noProof/>
          </w:rPr>
          <w:t>Section 1. General Measure &amp; Baseline Data</w:t>
        </w:r>
        <w:r w:rsidR="00916793">
          <w:rPr>
            <w:noProof/>
            <w:webHidden/>
          </w:rPr>
          <w:tab/>
        </w:r>
        <w:r w:rsidR="00916793">
          <w:rPr>
            <w:noProof/>
            <w:webHidden/>
          </w:rPr>
          <w:fldChar w:fldCharType="begin"/>
        </w:r>
        <w:r w:rsidR="00916793">
          <w:rPr>
            <w:noProof/>
            <w:webHidden/>
          </w:rPr>
          <w:instrText xml:space="preserve"> PAGEREF _Toc389305666 \h </w:instrText>
        </w:r>
        <w:r w:rsidR="00916793">
          <w:rPr>
            <w:noProof/>
            <w:webHidden/>
          </w:rPr>
        </w:r>
        <w:r w:rsidR="00916793">
          <w:rPr>
            <w:noProof/>
            <w:webHidden/>
          </w:rPr>
          <w:fldChar w:fldCharType="separate"/>
        </w:r>
        <w:r w:rsidR="00916793">
          <w:rPr>
            <w:noProof/>
            <w:webHidden/>
          </w:rPr>
          <w:t>1</w:t>
        </w:r>
        <w:r w:rsidR="00916793">
          <w:rPr>
            <w:noProof/>
            <w:webHidden/>
          </w:rPr>
          <w:fldChar w:fldCharType="end"/>
        </w:r>
      </w:hyperlink>
    </w:p>
    <w:p w14:paraId="71303708"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67" w:history="1">
        <w:r w:rsidR="00916793" w:rsidRPr="004D0031">
          <w:rPr>
            <w:rStyle w:val="Hyperlink"/>
            <w:noProof/>
          </w:rPr>
          <w:t>1.1 Product Measure Description &amp; Background</w:t>
        </w:r>
        <w:r w:rsidR="00916793">
          <w:rPr>
            <w:noProof/>
            <w:webHidden/>
          </w:rPr>
          <w:tab/>
        </w:r>
        <w:r w:rsidR="00916793">
          <w:rPr>
            <w:noProof/>
            <w:webHidden/>
          </w:rPr>
          <w:fldChar w:fldCharType="begin"/>
        </w:r>
        <w:r w:rsidR="00916793">
          <w:rPr>
            <w:noProof/>
            <w:webHidden/>
          </w:rPr>
          <w:instrText xml:space="preserve"> PAGEREF _Toc389305667 \h </w:instrText>
        </w:r>
        <w:r w:rsidR="00916793">
          <w:rPr>
            <w:noProof/>
            <w:webHidden/>
          </w:rPr>
        </w:r>
        <w:r w:rsidR="00916793">
          <w:rPr>
            <w:noProof/>
            <w:webHidden/>
          </w:rPr>
          <w:fldChar w:fldCharType="separate"/>
        </w:r>
        <w:r w:rsidR="00916793">
          <w:rPr>
            <w:noProof/>
            <w:webHidden/>
          </w:rPr>
          <w:t>1</w:t>
        </w:r>
        <w:r w:rsidR="00916793">
          <w:rPr>
            <w:noProof/>
            <w:webHidden/>
          </w:rPr>
          <w:fldChar w:fldCharType="end"/>
        </w:r>
      </w:hyperlink>
    </w:p>
    <w:p w14:paraId="61BC1754"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68" w:history="1">
        <w:r w:rsidR="00916793" w:rsidRPr="004D0031">
          <w:rPr>
            <w:rStyle w:val="Hyperlink"/>
            <w:noProof/>
          </w:rPr>
          <w:t>1.2 Product Technical Description</w:t>
        </w:r>
        <w:r w:rsidR="00916793">
          <w:rPr>
            <w:noProof/>
            <w:webHidden/>
          </w:rPr>
          <w:tab/>
        </w:r>
        <w:r w:rsidR="00916793">
          <w:rPr>
            <w:noProof/>
            <w:webHidden/>
          </w:rPr>
          <w:fldChar w:fldCharType="begin"/>
        </w:r>
        <w:r w:rsidR="00916793">
          <w:rPr>
            <w:noProof/>
            <w:webHidden/>
          </w:rPr>
          <w:instrText xml:space="preserve"> PAGEREF _Toc389305668 \h </w:instrText>
        </w:r>
        <w:r w:rsidR="00916793">
          <w:rPr>
            <w:noProof/>
            <w:webHidden/>
          </w:rPr>
        </w:r>
        <w:r w:rsidR="00916793">
          <w:rPr>
            <w:noProof/>
            <w:webHidden/>
          </w:rPr>
          <w:fldChar w:fldCharType="separate"/>
        </w:r>
        <w:r w:rsidR="00916793">
          <w:rPr>
            <w:noProof/>
            <w:webHidden/>
          </w:rPr>
          <w:t>1</w:t>
        </w:r>
        <w:r w:rsidR="00916793">
          <w:rPr>
            <w:noProof/>
            <w:webHidden/>
          </w:rPr>
          <w:fldChar w:fldCharType="end"/>
        </w:r>
      </w:hyperlink>
    </w:p>
    <w:p w14:paraId="07D7E13D"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69" w:history="1">
        <w:r w:rsidR="00916793" w:rsidRPr="004D0031">
          <w:rPr>
            <w:rStyle w:val="Hyperlink"/>
            <w:noProof/>
          </w:rPr>
          <w:t>1.3 Measure Application Type</w:t>
        </w:r>
        <w:r w:rsidR="00916793">
          <w:rPr>
            <w:noProof/>
            <w:webHidden/>
          </w:rPr>
          <w:tab/>
        </w:r>
        <w:r w:rsidR="00916793">
          <w:rPr>
            <w:noProof/>
            <w:webHidden/>
          </w:rPr>
          <w:fldChar w:fldCharType="begin"/>
        </w:r>
        <w:r w:rsidR="00916793">
          <w:rPr>
            <w:noProof/>
            <w:webHidden/>
          </w:rPr>
          <w:instrText xml:space="preserve"> PAGEREF _Toc389305669 \h </w:instrText>
        </w:r>
        <w:r w:rsidR="00916793">
          <w:rPr>
            <w:noProof/>
            <w:webHidden/>
          </w:rPr>
        </w:r>
        <w:r w:rsidR="00916793">
          <w:rPr>
            <w:noProof/>
            <w:webHidden/>
          </w:rPr>
          <w:fldChar w:fldCharType="separate"/>
        </w:r>
        <w:r w:rsidR="00916793">
          <w:rPr>
            <w:noProof/>
            <w:webHidden/>
          </w:rPr>
          <w:t>2</w:t>
        </w:r>
        <w:r w:rsidR="00916793">
          <w:rPr>
            <w:noProof/>
            <w:webHidden/>
          </w:rPr>
          <w:fldChar w:fldCharType="end"/>
        </w:r>
      </w:hyperlink>
    </w:p>
    <w:p w14:paraId="7FE88DF7"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0" w:history="1">
        <w:r w:rsidR="00916793" w:rsidRPr="004D0031">
          <w:rPr>
            <w:rStyle w:val="Hyperlink"/>
            <w:noProof/>
          </w:rPr>
          <w:t>1.4 Product Base Case and Measure Case Data</w:t>
        </w:r>
        <w:r w:rsidR="00916793">
          <w:rPr>
            <w:noProof/>
            <w:webHidden/>
          </w:rPr>
          <w:tab/>
        </w:r>
        <w:r w:rsidR="00916793">
          <w:rPr>
            <w:noProof/>
            <w:webHidden/>
          </w:rPr>
          <w:fldChar w:fldCharType="begin"/>
        </w:r>
        <w:r w:rsidR="00916793">
          <w:rPr>
            <w:noProof/>
            <w:webHidden/>
          </w:rPr>
          <w:instrText xml:space="preserve"> PAGEREF _Toc389305670 \h </w:instrText>
        </w:r>
        <w:r w:rsidR="00916793">
          <w:rPr>
            <w:noProof/>
            <w:webHidden/>
          </w:rPr>
        </w:r>
        <w:r w:rsidR="00916793">
          <w:rPr>
            <w:noProof/>
            <w:webHidden/>
          </w:rPr>
          <w:fldChar w:fldCharType="separate"/>
        </w:r>
        <w:r w:rsidR="00916793">
          <w:rPr>
            <w:noProof/>
            <w:webHidden/>
          </w:rPr>
          <w:t>2</w:t>
        </w:r>
        <w:r w:rsidR="00916793">
          <w:rPr>
            <w:noProof/>
            <w:webHidden/>
          </w:rPr>
          <w:fldChar w:fldCharType="end"/>
        </w:r>
      </w:hyperlink>
    </w:p>
    <w:p w14:paraId="179B2E66"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1" w:history="1">
        <w:r w:rsidR="00916793" w:rsidRPr="004D0031">
          <w:rPr>
            <w:rStyle w:val="Hyperlink"/>
            <w:noProof/>
          </w:rPr>
          <w:t>1.4.1 DEER Base Case and Measure Case Information</w:t>
        </w:r>
        <w:r w:rsidR="00916793">
          <w:rPr>
            <w:noProof/>
            <w:webHidden/>
          </w:rPr>
          <w:tab/>
        </w:r>
        <w:r w:rsidR="00916793">
          <w:rPr>
            <w:noProof/>
            <w:webHidden/>
          </w:rPr>
          <w:fldChar w:fldCharType="begin"/>
        </w:r>
        <w:r w:rsidR="00916793">
          <w:rPr>
            <w:noProof/>
            <w:webHidden/>
          </w:rPr>
          <w:instrText xml:space="preserve"> PAGEREF _Toc389305671 \h </w:instrText>
        </w:r>
        <w:r w:rsidR="00916793">
          <w:rPr>
            <w:noProof/>
            <w:webHidden/>
          </w:rPr>
        </w:r>
        <w:r w:rsidR="00916793">
          <w:rPr>
            <w:noProof/>
            <w:webHidden/>
          </w:rPr>
          <w:fldChar w:fldCharType="separate"/>
        </w:r>
        <w:r w:rsidR="00916793">
          <w:rPr>
            <w:noProof/>
            <w:webHidden/>
          </w:rPr>
          <w:t>3</w:t>
        </w:r>
        <w:r w:rsidR="00916793">
          <w:rPr>
            <w:noProof/>
            <w:webHidden/>
          </w:rPr>
          <w:fldChar w:fldCharType="end"/>
        </w:r>
      </w:hyperlink>
    </w:p>
    <w:p w14:paraId="374FC7A9"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2" w:history="1">
        <w:r w:rsidR="00916793" w:rsidRPr="004D0031">
          <w:rPr>
            <w:rStyle w:val="Hyperlink"/>
            <w:noProof/>
          </w:rPr>
          <w:t>1.4.2 Codes &amp; Standards Requirements Base Case and Measure Information</w:t>
        </w:r>
        <w:r w:rsidR="00916793">
          <w:rPr>
            <w:noProof/>
            <w:webHidden/>
          </w:rPr>
          <w:tab/>
        </w:r>
        <w:r w:rsidR="00916793">
          <w:rPr>
            <w:noProof/>
            <w:webHidden/>
          </w:rPr>
          <w:fldChar w:fldCharType="begin"/>
        </w:r>
        <w:r w:rsidR="00916793">
          <w:rPr>
            <w:noProof/>
            <w:webHidden/>
          </w:rPr>
          <w:instrText xml:space="preserve"> PAGEREF _Toc389305672 \h </w:instrText>
        </w:r>
        <w:r w:rsidR="00916793">
          <w:rPr>
            <w:noProof/>
            <w:webHidden/>
          </w:rPr>
        </w:r>
        <w:r w:rsidR="00916793">
          <w:rPr>
            <w:noProof/>
            <w:webHidden/>
          </w:rPr>
          <w:fldChar w:fldCharType="separate"/>
        </w:r>
        <w:r w:rsidR="00916793">
          <w:rPr>
            <w:noProof/>
            <w:webHidden/>
          </w:rPr>
          <w:t>3</w:t>
        </w:r>
        <w:r w:rsidR="00916793">
          <w:rPr>
            <w:noProof/>
            <w:webHidden/>
          </w:rPr>
          <w:fldChar w:fldCharType="end"/>
        </w:r>
      </w:hyperlink>
    </w:p>
    <w:p w14:paraId="0AAB789D"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3" w:history="1">
        <w:r w:rsidR="00916793" w:rsidRPr="004D0031">
          <w:rPr>
            <w:rStyle w:val="Hyperlink"/>
            <w:noProof/>
          </w:rPr>
          <w:t>1.4.3 EM&amp;V, Market Potential, and Other Studies – Base Case and Measure Case Information</w:t>
        </w:r>
        <w:r w:rsidR="00916793">
          <w:rPr>
            <w:noProof/>
            <w:webHidden/>
          </w:rPr>
          <w:tab/>
        </w:r>
        <w:r w:rsidR="00916793">
          <w:rPr>
            <w:noProof/>
            <w:webHidden/>
          </w:rPr>
          <w:fldChar w:fldCharType="begin"/>
        </w:r>
        <w:r w:rsidR="00916793">
          <w:rPr>
            <w:noProof/>
            <w:webHidden/>
          </w:rPr>
          <w:instrText xml:space="preserve"> PAGEREF _Toc389305673 \h </w:instrText>
        </w:r>
        <w:r w:rsidR="00916793">
          <w:rPr>
            <w:noProof/>
            <w:webHidden/>
          </w:rPr>
        </w:r>
        <w:r w:rsidR="00916793">
          <w:rPr>
            <w:noProof/>
            <w:webHidden/>
          </w:rPr>
          <w:fldChar w:fldCharType="separate"/>
        </w:r>
        <w:r w:rsidR="00916793">
          <w:rPr>
            <w:noProof/>
            <w:webHidden/>
          </w:rPr>
          <w:t>3</w:t>
        </w:r>
        <w:r w:rsidR="00916793">
          <w:rPr>
            <w:noProof/>
            <w:webHidden/>
          </w:rPr>
          <w:fldChar w:fldCharType="end"/>
        </w:r>
      </w:hyperlink>
    </w:p>
    <w:p w14:paraId="6F3EC6D2"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4" w:history="1">
        <w:r w:rsidR="00916793" w:rsidRPr="004D0031">
          <w:rPr>
            <w:rStyle w:val="Hyperlink"/>
            <w:noProof/>
          </w:rPr>
          <w:t>1.4.4 Assumptions and Calculations from other sources—Base and Measure Cases</w:t>
        </w:r>
        <w:r w:rsidR="00916793">
          <w:rPr>
            <w:noProof/>
            <w:webHidden/>
          </w:rPr>
          <w:tab/>
        </w:r>
        <w:r w:rsidR="00916793">
          <w:rPr>
            <w:noProof/>
            <w:webHidden/>
          </w:rPr>
          <w:fldChar w:fldCharType="begin"/>
        </w:r>
        <w:r w:rsidR="00916793">
          <w:rPr>
            <w:noProof/>
            <w:webHidden/>
          </w:rPr>
          <w:instrText xml:space="preserve"> PAGEREF _Toc389305674 \h </w:instrText>
        </w:r>
        <w:r w:rsidR="00916793">
          <w:rPr>
            <w:noProof/>
            <w:webHidden/>
          </w:rPr>
        </w:r>
        <w:r w:rsidR="00916793">
          <w:rPr>
            <w:noProof/>
            <w:webHidden/>
          </w:rPr>
          <w:fldChar w:fldCharType="separate"/>
        </w:r>
        <w:r w:rsidR="00916793">
          <w:rPr>
            <w:noProof/>
            <w:webHidden/>
          </w:rPr>
          <w:t>3</w:t>
        </w:r>
        <w:r w:rsidR="00916793">
          <w:rPr>
            <w:noProof/>
            <w:webHidden/>
          </w:rPr>
          <w:fldChar w:fldCharType="end"/>
        </w:r>
      </w:hyperlink>
    </w:p>
    <w:p w14:paraId="565E516F"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75" w:history="1">
        <w:r w:rsidR="00916793" w:rsidRPr="004D0031">
          <w:rPr>
            <w:rStyle w:val="Hyperlink"/>
            <w:noProof/>
          </w:rPr>
          <w:t>Section 2. Calculation Methods</w:t>
        </w:r>
        <w:r w:rsidR="00916793">
          <w:rPr>
            <w:noProof/>
            <w:webHidden/>
          </w:rPr>
          <w:tab/>
        </w:r>
        <w:r w:rsidR="00916793">
          <w:rPr>
            <w:noProof/>
            <w:webHidden/>
          </w:rPr>
          <w:fldChar w:fldCharType="begin"/>
        </w:r>
        <w:r w:rsidR="00916793">
          <w:rPr>
            <w:noProof/>
            <w:webHidden/>
          </w:rPr>
          <w:instrText xml:space="preserve"> PAGEREF _Toc389305675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7B6705EF"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6" w:history="1">
        <w:r w:rsidR="00916793" w:rsidRPr="004D0031">
          <w:rPr>
            <w:rStyle w:val="Hyperlink"/>
            <w:noProof/>
          </w:rPr>
          <w:t>Measure Application Type</w:t>
        </w:r>
        <w:r w:rsidR="00916793">
          <w:rPr>
            <w:noProof/>
            <w:webHidden/>
          </w:rPr>
          <w:tab/>
        </w:r>
        <w:r w:rsidR="00916793">
          <w:rPr>
            <w:noProof/>
            <w:webHidden/>
          </w:rPr>
          <w:fldChar w:fldCharType="begin"/>
        </w:r>
        <w:r w:rsidR="00916793">
          <w:rPr>
            <w:noProof/>
            <w:webHidden/>
          </w:rPr>
          <w:instrText xml:space="preserve"> PAGEREF _Toc389305676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3A5B9045"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7" w:history="1">
        <w:r w:rsidR="00916793" w:rsidRPr="004D0031">
          <w:rPr>
            <w:rStyle w:val="Hyperlink"/>
            <w:noProof/>
          </w:rPr>
          <w:t>Measure Life Basis</w:t>
        </w:r>
        <w:r w:rsidR="00916793">
          <w:rPr>
            <w:noProof/>
            <w:webHidden/>
          </w:rPr>
          <w:tab/>
        </w:r>
        <w:r w:rsidR="00916793">
          <w:rPr>
            <w:noProof/>
            <w:webHidden/>
          </w:rPr>
          <w:fldChar w:fldCharType="begin"/>
        </w:r>
        <w:r w:rsidR="00916793">
          <w:rPr>
            <w:noProof/>
            <w:webHidden/>
          </w:rPr>
          <w:instrText xml:space="preserve"> PAGEREF _Toc389305677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65BA7703"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8" w:history="1">
        <w:r w:rsidR="00916793" w:rsidRPr="004D0031">
          <w:rPr>
            <w:rStyle w:val="Hyperlink"/>
            <w:noProof/>
          </w:rPr>
          <w:t>First Baseline Period: Energy Savings Baseline</w:t>
        </w:r>
        <w:r w:rsidR="00916793">
          <w:rPr>
            <w:noProof/>
            <w:webHidden/>
          </w:rPr>
          <w:tab/>
        </w:r>
        <w:r w:rsidR="00916793">
          <w:rPr>
            <w:noProof/>
            <w:webHidden/>
          </w:rPr>
          <w:fldChar w:fldCharType="begin"/>
        </w:r>
        <w:r w:rsidR="00916793">
          <w:rPr>
            <w:noProof/>
            <w:webHidden/>
          </w:rPr>
          <w:instrText xml:space="preserve"> PAGEREF _Toc389305678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3D74A706"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79" w:history="1">
        <w:r w:rsidR="00916793" w:rsidRPr="004D0031">
          <w:rPr>
            <w:rStyle w:val="Hyperlink"/>
            <w:noProof/>
          </w:rPr>
          <w:t>Second Baseline Period: Energy Savings Baseline</w:t>
        </w:r>
        <w:r w:rsidR="00916793">
          <w:rPr>
            <w:noProof/>
            <w:webHidden/>
          </w:rPr>
          <w:tab/>
        </w:r>
        <w:r w:rsidR="00916793">
          <w:rPr>
            <w:noProof/>
            <w:webHidden/>
          </w:rPr>
          <w:fldChar w:fldCharType="begin"/>
        </w:r>
        <w:r w:rsidR="00916793">
          <w:rPr>
            <w:noProof/>
            <w:webHidden/>
          </w:rPr>
          <w:instrText xml:space="preserve"> PAGEREF _Toc389305679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3F387177"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0" w:history="1">
        <w:r w:rsidR="00916793" w:rsidRPr="004D0031">
          <w:rPr>
            <w:rStyle w:val="Hyperlink"/>
            <w:noProof/>
          </w:rPr>
          <w:t>2.1 Electric Energy Savings Estimation Methodologies</w:t>
        </w:r>
        <w:r w:rsidR="00916793">
          <w:rPr>
            <w:noProof/>
            <w:webHidden/>
          </w:rPr>
          <w:tab/>
        </w:r>
        <w:r w:rsidR="00916793">
          <w:rPr>
            <w:noProof/>
            <w:webHidden/>
          </w:rPr>
          <w:fldChar w:fldCharType="begin"/>
        </w:r>
        <w:r w:rsidR="00916793">
          <w:rPr>
            <w:noProof/>
            <w:webHidden/>
          </w:rPr>
          <w:instrText xml:space="preserve"> PAGEREF _Toc389305680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7365A55D"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1" w:history="1">
        <w:r w:rsidR="00916793" w:rsidRPr="004D0031">
          <w:rPr>
            <w:rStyle w:val="Hyperlink"/>
            <w:noProof/>
          </w:rPr>
          <w:t>2.2. Demand Reduction Estimation Methodologies</w:t>
        </w:r>
        <w:r w:rsidR="00916793">
          <w:rPr>
            <w:noProof/>
            <w:webHidden/>
          </w:rPr>
          <w:tab/>
        </w:r>
        <w:r w:rsidR="00916793">
          <w:rPr>
            <w:noProof/>
            <w:webHidden/>
          </w:rPr>
          <w:fldChar w:fldCharType="begin"/>
        </w:r>
        <w:r w:rsidR="00916793">
          <w:rPr>
            <w:noProof/>
            <w:webHidden/>
          </w:rPr>
          <w:instrText xml:space="preserve"> PAGEREF _Toc389305681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1D85D766"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2" w:history="1">
        <w:r w:rsidR="00916793" w:rsidRPr="004D0031">
          <w:rPr>
            <w:rStyle w:val="Hyperlink"/>
            <w:noProof/>
          </w:rPr>
          <w:t>2.3. Gas Energy Savings Estimation Methodologies</w:t>
        </w:r>
        <w:r w:rsidR="00916793">
          <w:rPr>
            <w:noProof/>
            <w:webHidden/>
          </w:rPr>
          <w:tab/>
        </w:r>
        <w:r w:rsidR="00916793">
          <w:rPr>
            <w:noProof/>
            <w:webHidden/>
          </w:rPr>
          <w:fldChar w:fldCharType="begin"/>
        </w:r>
        <w:r w:rsidR="00916793">
          <w:rPr>
            <w:noProof/>
            <w:webHidden/>
          </w:rPr>
          <w:instrText xml:space="preserve"> PAGEREF _Toc389305682 \h </w:instrText>
        </w:r>
        <w:r w:rsidR="00916793">
          <w:rPr>
            <w:noProof/>
            <w:webHidden/>
          </w:rPr>
        </w:r>
        <w:r w:rsidR="00916793">
          <w:rPr>
            <w:noProof/>
            <w:webHidden/>
          </w:rPr>
          <w:fldChar w:fldCharType="separate"/>
        </w:r>
        <w:r w:rsidR="00916793">
          <w:rPr>
            <w:noProof/>
            <w:webHidden/>
          </w:rPr>
          <w:t>5</w:t>
        </w:r>
        <w:r w:rsidR="00916793">
          <w:rPr>
            <w:noProof/>
            <w:webHidden/>
          </w:rPr>
          <w:fldChar w:fldCharType="end"/>
        </w:r>
      </w:hyperlink>
    </w:p>
    <w:p w14:paraId="32A52C36"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83" w:history="1">
        <w:r w:rsidR="00916793" w:rsidRPr="004D0031">
          <w:rPr>
            <w:rStyle w:val="Hyperlink"/>
            <w:i/>
            <w:noProof/>
          </w:rPr>
          <w:t>Section 3. Load Shapes</w:t>
        </w:r>
        <w:r w:rsidR="00916793">
          <w:rPr>
            <w:noProof/>
            <w:webHidden/>
          </w:rPr>
          <w:tab/>
        </w:r>
        <w:r w:rsidR="00916793">
          <w:rPr>
            <w:noProof/>
            <w:webHidden/>
          </w:rPr>
          <w:fldChar w:fldCharType="begin"/>
        </w:r>
        <w:r w:rsidR="00916793">
          <w:rPr>
            <w:noProof/>
            <w:webHidden/>
          </w:rPr>
          <w:instrText xml:space="preserve"> PAGEREF _Toc389305683 \h </w:instrText>
        </w:r>
        <w:r w:rsidR="00916793">
          <w:rPr>
            <w:noProof/>
            <w:webHidden/>
          </w:rPr>
        </w:r>
        <w:r w:rsidR="00916793">
          <w:rPr>
            <w:noProof/>
            <w:webHidden/>
          </w:rPr>
          <w:fldChar w:fldCharType="separate"/>
        </w:r>
        <w:r w:rsidR="00916793">
          <w:rPr>
            <w:noProof/>
            <w:webHidden/>
          </w:rPr>
          <w:t>6</w:t>
        </w:r>
        <w:r w:rsidR="00916793">
          <w:rPr>
            <w:noProof/>
            <w:webHidden/>
          </w:rPr>
          <w:fldChar w:fldCharType="end"/>
        </w:r>
      </w:hyperlink>
    </w:p>
    <w:p w14:paraId="059DEA63" w14:textId="21D445B7" w:rsidR="00916793" w:rsidRDefault="003174BF">
      <w:pPr>
        <w:pStyle w:val="TOC2"/>
        <w:tabs>
          <w:tab w:val="right" w:leader="dot" w:pos="9350"/>
        </w:tabs>
        <w:rPr>
          <w:rFonts w:asciiTheme="minorHAnsi" w:eastAsiaTheme="minorEastAsia" w:hAnsiTheme="minorHAnsi" w:cstheme="minorBidi"/>
          <w:noProof/>
          <w:szCs w:val="22"/>
        </w:rPr>
      </w:pPr>
      <w:hyperlink w:anchor="_Toc389305684" w:history="1">
        <w:r w:rsidR="00916793" w:rsidRPr="004D0031">
          <w:rPr>
            <w:rStyle w:val="Hyperlink"/>
            <w:noProof/>
          </w:rPr>
          <w:t>3.1 Base Case Load Shapes</w:t>
        </w:r>
        <w:r w:rsidR="00916793">
          <w:rPr>
            <w:noProof/>
            <w:webHidden/>
          </w:rPr>
          <w:tab/>
        </w:r>
        <w:r w:rsidR="00916793">
          <w:rPr>
            <w:noProof/>
            <w:webHidden/>
          </w:rPr>
          <w:fldChar w:fldCharType="begin"/>
        </w:r>
        <w:r w:rsidR="00916793">
          <w:rPr>
            <w:noProof/>
            <w:webHidden/>
          </w:rPr>
          <w:instrText xml:space="preserve"> PAGEREF _Toc389305684 \h </w:instrText>
        </w:r>
        <w:r w:rsidR="00916793">
          <w:rPr>
            <w:noProof/>
            <w:webHidden/>
          </w:rPr>
        </w:r>
        <w:r w:rsidR="00916793">
          <w:rPr>
            <w:noProof/>
            <w:webHidden/>
          </w:rPr>
          <w:fldChar w:fldCharType="separate"/>
        </w:r>
        <w:r w:rsidR="00916793">
          <w:rPr>
            <w:noProof/>
            <w:webHidden/>
          </w:rPr>
          <w:t>6</w:t>
        </w:r>
        <w:r w:rsidR="00916793">
          <w:rPr>
            <w:noProof/>
            <w:webHidden/>
          </w:rPr>
          <w:fldChar w:fldCharType="end"/>
        </w:r>
      </w:hyperlink>
    </w:p>
    <w:p w14:paraId="1635987B"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5" w:history="1">
        <w:r w:rsidR="00916793" w:rsidRPr="004D0031">
          <w:rPr>
            <w:rStyle w:val="Hyperlink"/>
            <w:noProof/>
          </w:rPr>
          <w:t>3.2 Measure Load Shapes</w:t>
        </w:r>
        <w:r w:rsidR="00916793">
          <w:rPr>
            <w:noProof/>
            <w:webHidden/>
          </w:rPr>
          <w:tab/>
        </w:r>
        <w:r w:rsidR="00916793">
          <w:rPr>
            <w:noProof/>
            <w:webHidden/>
          </w:rPr>
          <w:fldChar w:fldCharType="begin"/>
        </w:r>
        <w:r w:rsidR="00916793">
          <w:rPr>
            <w:noProof/>
            <w:webHidden/>
          </w:rPr>
          <w:instrText xml:space="preserve"> PAGEREF _Toc389305685 \h </w:instrText>
        </w:r>
        <w:r w:rsidR="00916793">
          <w:rPr>
            <w:noProof/>
            <w:webHidden/>
          </w:rPr>
        </w:r>
        <w:r w:rsidR="00916793">
          <w:rPr>
            <w:noProof/>
            <w:webHidden/>
          </w:rPr>
          <w:fldChar w:fldCharType="separate"/>
        </w:r>
        <w:r w:rsidR="00916793">
          <w:rPr>
            <w:noProof/>
            <w:webHidden/>
          </w:rPr>
          <w:t>7</w:t>
        </w:r>
        <w:r w:rsidR="00916793">
          <w:rPr>
            <w:noProof/>
            <w:webHidden/>
          </w:rPr>
          <w:fldChar w:fldCharType="end"/>
        </w:r>
      </w:hyperlink>
    </w:p>
    <w:p w14:paraId="21276939"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86" w:history="1">
        <w:r w:rsidR="00916793" w:rsidRPr="004D0031">
          <w:rPr>
            <w:rStyle w:val="Hyperlink"/>
            <w:noProof/>
          </w:rPr>
          <w:t>Section 4. Base Case &amp; Measure Costs</w:t>
        </w:r>
        <w:r w:rsidR="00916793">
          <w:rPr>
            <w:noProof/>
            <w:webHidden/>
          </w:rPr>
          <w:tab/>
        </w:r>
        <w:r w:rsidR="00916793">
          <w:rPr>
            <w:noProof/>
            <w:webHidden/>
          </w:rPr>
          <w:fldChar w:fldCharType="begin"/>
        </w:r>
        <w:r w:rsidR="00916793">
          <w:rPr>
            <w:noProof/>
            <w:webHidden/>
          </w:rPr>
          <w:instrText xml:space="preserve"> PAGEREF _Toc389305686 \h </w:instrText>
        </w:r>
        <w:r w:rsidR="00916793">
          <w:rPr>
            <w:noProof/>
            <w:webHidden/>
          </w:rPr>
        </w:r>
        <w:r w:rsidR="00916793">
          <w:rPr>
            <w:noProof/>
            <w:webHidden/>
          </w:rPr>
          <w:fldChar w:fldCharType="separate"/>
        </w:r>
        <w:r w:rsidR="00916793">
          <w:rPr>
            <w:noProof/>
            <w:webHidden/>
          </w:rPr>
          <w:t>7</w:t>
        </w:r>
        <w:r w:rsidR="00916793">
          <w:rPr>
            <w:noProof/>
            <w:webHidden/>
          </w:rPr>
          <w:fldChar w:fldCharType="end"/>
        </w:r>
      </w:hyperlink>
    </w:p>
    <w:p w14:paraId="7FFC6E91"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7" w:history="1">
        <w:r w:rsidR="00916793" w:rsidRPr="004D0031">
          <w:rPr>
            <w:rStyle w:val="Hyperlink"/>
            <w:rFonts w:cs="Arial"/>
            <w:b/>
            <w:bCs/>
            <w:i/>
            <w:iCs/>
            <w:noProof/>
          </w:rPr>
          <w:t>4.1 Base Cases Costs</w:t>
        </w:r>
        <w:r w:rsidR="00916793">
          <w:rPr>
            <w:noProof/>
            <w:webHidden/>
          </w:rPr>
          <w:tab/>
        </w:r>
        <w:r w:rsidR="00916793">
          <w:rPr>
            <w:noProof/>
            <w:webHidden/>
          </w:rPr>
          <w:fldChar w:fldCharType="begin"/>
        </w:r>
        <w:r w:rsidR="00916793">
          <w:rPr>
            <w:noProof/>
            <w:webHidden/>
          </w:rPr>
          <w:instrText xml:space="preserve"> PAGEREF _Toc389305687 \h </w:instrText>
        </w:r>
        <w:r w:rsidR="00916793">
          <w:rPr>
            <w:noProof/>
            <w:webHidden/>
          </w:rPr>
        </w:r>
        <w:r w:rsidR="00916793">
          <w:rPr>
            <w:noProof/>
            <w:webHidden/>
          </w:rPr>
          <w:fldChar w:fldCharType="separate"/>
        </w:r>
        <w:r w:rsidR="00916793">
          <w:rPr>
            <w:noProof/>
            <w:webHidden/>
          </w:rPr>
          <w:t>7</w:t>
        </w:r>
        <w:r w:rsidR="00916793">
          <w:rPr>
            <w:noProof/>
            <w:webHidden/>
          </w:rPr>
          <w:fldChar w:fldCharType="end"/>
        </w:r>
      </w:hyperlink>
    </w:p>
    <w:p w14:paraId="122AC017"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8" w:history="1">
        <w:r w:rsidR="00916793" w:rsidRPr="004D0031">
          <w:rPr>
            <w:rStyle w:val="Hyperlink"/>
            <w:rFonts w:cs="Arial"/>
            <w:b/>
            <w:bCs/>
            <w:i/>
            <w:iCs/>
            <w:noProof/>
          </w:rPr>
          <w:t>4.2 Measure Costs</w:t>
        </w:r>
        <w:r w:rsidR="00916793">
          <w:rPr>
            <w:noProof/>
            <w:webHidden/>
          </w:rPr>
          <w:tab/>
        </w:r>
        <w:r w:rsidR="00916793">
          <w:rPr>
            <w:noProof/>
            <w:webHidden/>
          </w:rPr>
          <w:fldChar w:fldCharType="begin"/>
        </w:r>
        <w:r w:rsidR="00916793">
          <w:rPr>
            <w:noProof/>
            <w:webHidden/>
          </w:rPr>
          <w:instrText xml:space="preserve"> PAGEREF _Toc389305688 \h </w:instrText>
        </w:r>
        <w:r w:rsidR="00916793">
          <w:rPr>
            <w:noProof/>
            <w:webHidden/>
          </w:rPr>
        </w:r>
        <w:r w:rsidR="00916793">
          <w:rPr>
            <w:noProof/>
            <w:webHidden/>
          </w:rPr>
          <w:fldChar w:fldCharType="separate"/>
        </w:r>
        <w:r w:rsidR="00916793">
          <w:rPr>
            <w:noProof/>
            <w:webHidden/>
          </w:rPr>
          <w:t>8</w:t>
        </w:r>
        <w:r w:rsidR="00916793">
          <w:rPr>
            <w:noProof/>
            <w:webHidden/>
          </w:rPr>
          <w:fldChar w:fldCharType="end"/>
        </w:r>
      </w:hyperlink>
    </w:p>
    <w:p w14:paraId="0D17FF4F" w14:textId="77777777" w:rsidR="00916793" w:rsidRDefault="003174BF">
      <w:pPr>
        <w:pStyle w:val="TOC2"/>
        <w:tabs>
          <w:tab w:val="right" w:leader="dot" w:pos="9350"/>
        </w:tabs>
        <w:rPr>
          <w:rFonts w:asciiTheme="minorHAnsi" w:eastAsiaTheme="minorEastAsia" w:hAnsiTheme="minorHAnsi" w:cstheme="minorBidi"/>
          <w:noProof/>
          <w:szCs w:val="22"/>
        </w:rPr>
      </w:pPr>
      <w:hyperlink w:anchor="_Toc389305689" w:history="1">
        <w:r w:rsidR="00916793" w:rsidRPr="004D0031">
          <w:rPr>
            <w:rStyle w:val="Hyperlink"/>
            <w:noProof/>
          </w:rPr>
          <w:t>4.3 Incremental &amp; Full Measure Costs</w:t>
        </w:r>
        <w:r w:rsidR="00916793">
          <w:rPr>
            <w:noProof/>
            <w:webHidden/>
          </w:rPr>
          <w:tab/>
        </w:r>
        <w:r w:rsidR="00916793">
          <w:rPr>
            <w:noProof/>
            <w:webHidden/>
          </w:rPr>
          <w:fldChar w:fldCharType="begin"/>
        </w:r>
        <w:r w:rsidR="00916793">
          <w:rPr>
            <w:noProof/>
            <w:webHidden/>
          </w:rPr>
          <w:instrText xml:space="preserve"> PAGEREF _Toc389305689 \h </w:instrText>
        </w:r>
        <w:r w:rsidR="00916793">
          <w:rPr>
            <w:noProof/>
            <w:webHidden/>
          </w:rPr>
        </w:r>
        <w:r w:rsidR="00916793">
          <w:rPr>
            <w:noProof/>
            <w:webHidden/>
          </w:rPr>
          <w:fldChar w:fldCharType="separate"/>
        </w:r>
        <w:r w:rsidR="00916793">
          <w:rPr>
            <w:noProof/>
            <w:webHidden/>
          </w:rPr>
          <w:t>8</w:t>
        </w:r>
        <w:r w:rsidR="00916793">
          <w:rPr>
            <w:noProof/>
            <w:webHidden/>
          </w:rPr>
          <w:fldChar w:fldCharType="end"/>
        </w:r>
      </w:hyperlink>
    </w:p>
    <w:p w14:paraId="6CAA4214"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90" w:history="1">
        <w:r w:rsidR="00916793" w:rsidRPr="004D0031">
          <w:rPr>
            <w:rStyle w:val="Hyperlink"/>
            <w:i/>
            <w:noProof/>
          </w:rPr>
          <w:t>4.3.1 Full Measure Cost</w:t>
        </w:r>
        <w:r w:rsidR="00916793">
          <w:rPr>
            <w:noProof/>
            <w:webHidden/>
          </w:rPr>
          <w:tab/>
        </w:r>
        <w:r w:rsidR="00916793">
          <w:rPr>
            <w:noProof/>
            <w:webHidden/>
          </w:rPr>
          <w:fldChar w:fldCharType="begin"/>
        </w:r>
        <w:r w:rsidR="00916793">
          <w:rPr>
            <w:noProof/>
            <w:webHidden/>
          </w:rPr>
          <w:instrText xml:space="preserve"> PAGEREF _Toc389305690 \h </w:instrText>
        </w:r>
        <w:r w:rsidR="00916793">
          <w:rPr>
            <w:noProof/>
            <w:webHidden/>
          </w:rPr>
        </w:r>
        <w:r w:rsidR="00916793">
          <w:rPr>
            <w:noProof/>
            <w:webHidden/>
          </w:rPr>
          <w:fldChar w:fldCharType="separate"/>
        </w:r>
        <w:r w:rsidR="00916793">
          <w:rPr>
            <w:noProof/>
            <w:webHidden/>
          </w:rPr>
          <w:t>8</w:t>
        </w:r>
        <w:r w:rsidR="00916793">
          <w:rPr>
            <w:noProof/>
            <w:webHidden/>
          </w:rPr>
          <w:fldChar w:fldCharType="end"/>
        </w:r>
      </w:hyperlink>
    </w:p>
    <w:p w14:paraId="5AB5E4F0"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91" w:history="1">
        <w:r w:rsidR="00916793" w:rsidRPr="004D0031">
          <w:rPr>
            <w:rStyle w:val="Hyperlink"/>
            <w:i/>
            <w:noProof/>
          </w:rPr>
          <w:t>4.3.2 Incremental Measure Costs</w:t>
        </w:r>
        <w:r w:rsidR="00916793">
          <w:rPr>
            <w:noProof/>
            <w:webHidden/>
          </w:rPr>
          <w:tab/>
        </w:r>
        <w:r w:rsidR="00916793">
          <w:rPr>
            <w:noProof/>
            <w:webHidden/>
          </w:rPr>
          <w:fldChar w:fldCharType="begin"/>
        </w:r>
        <w:r w:rsidR="00916793">
          <w:rPr>
            <w:noProof/>
            <w:webHidden/>
          </w:rPr>
          <w:instrText xml:space="preserve"> PAGEREF _Toc389305691 \h </w:instrText>
        </w:r>
        <w:r w:rsidR="00916793">
          <w:rPr>
            <w:noProof/>
            <w:webHidden/>
          </w:rPr>
        </w:r>
        <w:r w:rsidR="00916793">
          <w:rPr>
            <w:noProof/>
            <w:webHidden/>
          </w:rPr>
          <w:fldChar w:fldCharType="separate"/>
        </w:r>
        <w:r w:rsidR="00916793">
          <w:rPr>
            <w:noProof/>
            <w:webHidden/>
          </w:rPr>
          <w:t>8</w:t>
        </w:r>
        <w:r w:rsidR="00916793">
          <w:rPr>
            <w:noProof/>
            <w:webHidden/>
          </w:rPr>
          <w:fldChar w:fldCharType="end"/>
        </w:r>
      </w:hyperlink>
    </w:p>
    <w:p w14:paraId="0F1CA5C7"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92" w:history="1">
        <w:r w:rsidR="00916793" w:rsidRPr="004D0031">
          <w:rPr>
            <w:rStyle w:val="Hyperlink"/>
            <w:rFonts w:cs="Arial"/>
            <w:b/>
            <w:bCs/>
            <w:noProof/>
            <w:kern w:val="32"/>
          </w:rPr>
          <w:t>Appendix A</w:t>
        </w:r>
        <w:r w:rsidR="00916793">
          <w:rPr>
            <w:noProof/>
            <w:webHidden/>
          </w:rPr>
          <w:tab/>
        </w:r>
        <w:r w:rsidR="00916793">
          <w:rPr>
            <w:noProof/>
            <w:webHidden/>
          </w:rPr>
          <w:fldChar w:fldCharType="begin"/>
        </w:r>
        <w:r w:rsidR="00916793">
          <w:rPr>
            <w:noProof/>
            <w:webHidden/>
          </w:rPr>
          <w:instrText xml:space="preserve"> PAGEREF _Toc389305692 \h </w:instrText>
        </w:r>
        <w:r w:rsidR="00916793">
          <w:rPr>
            <w:noProof/>
            <w:webHidden/>
          </w:rPr>
        </w:r>
        <w:r w:rsidR="00916793">
          <w:rPr>
            <w:noProof/>
            <w:webHidden/>
          </w:rPr>
          <w:fldChar w:fldCharType="separate"/>
        </w:r>
        <w:r w:rsidR="00916793">
          <w:rPr>
            <w:noProof/>
            <w:webHidden/>
          </w:rPr>
          <w:t>10</w:t>
        </w:r>
        <w:r w:rsidR="00916793">
          <w:rPr>
            <w:noProof/>
            <w:webHidden/>
          </w:rPr>
          <w:fldChar w:fldCharType="end"/>
        </w:r>
      </w:hyperlink>
    </w:p>
    <w:p w14:paraId="59108DEC"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93" w:history="1">
        <w:r w:rsidR="00916793" w:rsidRPr="004D0031">
          <w:rPr>
            <w:rStyle w:val="Hyperlink"/>
            <w:rFonts w:cs="Arial"/>
            <w:b/>
            <w:bCs/>
            <w:noProof/>
            <w:kern w:val="32"/>
          </w:rPr>
          <w:t>Appendix B</w:t>
        </w:r>
        <w:r w:rsidR="00916793">
          <w:rPr>
            <w:noProof/>
            <w:webHidden/>
          </w:rPr>
          <w:tab/>
        </w:r>
        <w:r w:rsidR="00916793">
          <w:rPr>
            <w:noProof/>
            <w:webHidden/>
          </w:rPr>
          <w:fldChar w:fldCharType="begin"/>
        </w:r>
        <w:r w:rsidR="00916793">
          <w:rPr>
            <w:noProof/>
            <w:webHidden/>
          </w:rPr>
          <w:instrText xml:space="preserve"> PAGEREF _Toc389305693 \h </w:instrText>
        </w:r>
        <w:r w:rsidR="00916793">
          <w:rPr>
            <w:noProof/>
            <w:webHidden/>
          </w:rPr>
        </w:r>
        <w:r w:rsidR="00916793">
          <w:rPr>
            <w:noProof/>
            <w:webHidden/>
          </w:rPr>
          <w:fldChar w:fldCharType="separate"/>
        </w:r>
        <w:r w:rsidR="00916793">
          <w:rPr>
            <w:noProof/>
            <w:webHidden/>
          </w:rPr>
          <w:t>11</w:t>
        </w:r>
        <w:r w:rsidR="00916793">
          <w:rPr>
            <w:noProof/>
            <w:webHidden/>
          </w:rPr>
          <w:fldChar w:fldCharType="end"/>
        </w:r>
      </w:hyperlink>
    </w:p>
    <w:p w14:paraId="6B216D46" w14:textId="77777777" w:rsidR="00916793" w:rsidRDefault="003174BF">
      <w:pPr>
        <w:pStyle w:val="TOC1"/>
        <w:tabs>
          <w:tab w:val="right" w:leader="dot" w:pos="9350"/>
        </w:tabs>
        <w:rPr>
          <w:rFonts w:asciiTheme="minorHAnsi" w:eastAsiaTheme="minorEastAsia" w:hAnsiTheme="minorHAnsi" w:cstheme="minorBidi"/>
          <w:noProof/>
          <w:szCs w:val="22"/>
        </w:rPr>
      </w:pPr>
      <w:hyperlink w:anchor="_Toc389305694" w:history="1">
        <w:r w:rsidR="00916793" w:rsidRPr="004D0031">
          <w:rPr>
            <w:rStyle w:val="Hyperlink"/>
            <w:noProof/>
          </w:rPr>
          <w:t>References</w:t>
        </w:r>
        <w:r w:rsidR="00916793">
          <w:rPr>
            <w:noProof/>
            <w:webHidden/>
          </w:rPr>
          <w:tab/>
        </w:r>
        <w:r w:rsidR="00916793">
          <w:rPr>
            <w:noProof/>
            <w:webHidden/>
          </w:rPr>
          <w:fldChar w:fldCharType="begin"/>
        </w:r>
        <w:r w:rsidR="00916793">
          <w:rPr>
            <w:noProof/>
            <w:webHidden/>
          </w:rPr>
          <w:instrText xml:space="preserve"> PAGEREF _Toc389305694 \h </w:instrText>
        </w:r>
        <w:r w:rsidR="00916793">
          <w:rPr>
            <w:noProof/>
            <w:webHidden/>
          </w:rPr>
        </w:r>
        <w:r w:rsidR="00916793">
          <w:rPr>
            <w:noProof/>
            <w:webHidden/>
          </w:rPr>
          <w:fldChar w:fldCharType="separate"/>
        </w:r>
        <w:r w:rsidR="00916793">
          <w:rPr>
            <w:noProof/>
            <w:webHidden/>
          </w:rPr>
          <w:t>12</w:t>
        </w:r>
        <w:r w:rsidR="00916793">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20" w:name="_Toc172205729"/>
      <w:bookmarkStart w:id="21" w:name="_Toc304800199"/>
      <w:bookmarkStart w:id="22" w:name="_Toc324318335"/>
      <w:bookmarkStart w:id="23" w:name="_Toc324340479"/>
      <w:bookmarkStart w:id="24" w:name="_Toc389305665"/>
      <w:r w:rsidR="00ED21EE">
        <w:t>List of Tables</w:t>
      </w:r>
      <w:bookmarkEnd w:id="20"/>
      <w:bookmarkEnd w:id="21"/>
      <w:bookmarkEnd w:id="22"/>
      <w:bookmarkEnd w:id="23"/>
      <w:bookmarkEnd w:id="24"/>
    </w:p>
    <w:p w14:paraId="393A0A94" w14:textId="40CA3F49" w:rsidR="003B6B5B" w:rsidRPr="0064609B" w:rsidRDefault="00ED21EE">
      <w:pPr>
        <w:pStyle w:val="TableofFigures"/>
        <w:tabs>
          <w:tab w:val="right" w:leader="dot" w:pos="9350"/>
        </w:tabs>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EE4E12">
          <w:rPr>
            <w:rStyle w:val="Hyperlink"/>
            <w:rFonts w:cs="Arial"/>
            <w:noProof/>
          </w:rPr>
          <w:t>Energy Efficiency Requirements for Gas Conveyor Ovens</w:t>
        </w:r>
        <w:r w:rsidR="003B6B5B">
          <w:rPr>
            <w:noProof/>
            <w:webHidden/>
          </w:rPr>
          <w:tab/>
        </w:r>
        <w:r w:rsidR="00EE4E12">
          <w:rPr>
            <w:noProof/>
            <w:webHidden/>
          </w:rPr>
          <w:t>1</w:t>
        </w:r>
      </w:hyperlink>
    </w:p>
    <w:p w14:paraId="393A0A95" w14:textId="3F37BF35" w:rsidR="003B6B5B" w:rsidRPr="0064609B" w:rsidRDefault="003174BF">
      <w:pPr>
        <w:pStyle w:val="TableofFigures"/>
        <w:tabs>
          <w:tab w:val="right" w:leader="dot" w:pos="9350"/>
        </w:tabs>
        <w:rPr>
          <w:rFonts w:ascii="Calibri" w:hAnsi="Calibri"/>
          <w:noProof/>
          <w:szCs w:val="22"/>
        </w:rPr>
      </w:pPr>
      <w:hyperlink w:anchor="_Toc324427643" w:history="1">
        <w:r w:rsidR="003B6B5B" w:rsidRPr="00302DA8">
          <w:rPr>
            <w:rStyle w:val="Hyperlink"/>
            <w:rFonts w:cs="Arial"/>
            <w:noProof/>
          </w:rPr>
          <w:t>Table 2</w:t>
        </w:r>
        <w:r w:rsidR="00437BE1">
          <w:rPr>
            <w:rStyle w:val="Hyperlink"/>
            <w:rFonts w:cs="Arial"/>
            <w:noProof/>
          </w:rPr>
          <w:t xml:space="preserve"> </w:t>
        </w:r>
        <w:r w:rsidR="00EE4E12">
          <w:rPr>
            <w:rStyle w:val="Hyperlink"/>
            <w:rFonts w:cs="Arial"/>
            <w:noProof/>
          </w:rPr>
          <w:t>DEER Use and Technology Table</w:t>
        </w:r>
        <w:r w:rsidR="003B6B5B">
          <w:rPr>
            <w:noProof/>
            <w:webHidden/>
          </w:rPr>
          <w:tab/>
        </w:r>
        <w:r w:rsidR="00EE4E12">
          <w:rPr>
            <w:noProof/>
            <w:webHidden/>
          </w:rPr>
          <w:t>1</w:t>
        </w:r>
      </w:hyperlink>
    </w:p>
    <w:p w14:paraId="393A0A96" w14:textId="1757027A" w:rsidR="003B6B5B" w:rsidRPr="0064609B" w:rsidRDefault="003174BF">
      <w:pPr>
        <w:pStyle w:val="TableofFigures"/>
        <w:tabs>
          <w:tab w:val="right" w:leader="dot" w:pos="9350"/>
        </w:tabs>
        <w:rPr>
          <w:rFonts w:ascii="Calibri" w:hAnsi="Calibri"/>
          <w:noProof/>
          <w:szCs w:val="22"/>
        </w:rPr>
      </w:pPr>
      <w:hyperlink w:anchor="_Toc324427644" w:history="1">
        <w:r w:rsidR="003B6B5B" w:rsidRPr="00302DA8">
          <w:rPr>
            <w:rStyle w:val="Hyperlink"/>
            <w:rFonts w:cs="Arial"/>
            <w:noProof/>
          </w:rPr>
          <w:t>Table 3</w:t>
        </w:r>
        <w:r w:rsidR="00437BE1">
          <w:rPr>
            <w:rStyle w:val="Hyperlink"/>
            <w:rFonts w:cs="Arial"/>
            <w:noProof/>
          </w:rPr>
          <w:t xml:space="preserve"> </w:t>
        </w:r>
        <w:r w:rsidR="00EE4E12">
          <w:rPr>
            <w:rStyle w:val="Hyperlink"/>
            <w:rFonts w:cs="Arial"/>
            <w:noProof/>
          </w:rPr>
          <w:t>DEER Measure Application Type</w:t>
        </w:r>
        <w:r w:rsidR="003B6B5B">
          <w:rPr>
            <w:noProof/>
            <w:webHidden/>
          </w:rPr>
          <w:tab/>
        </w:r>
        <w:r w:rsidR="00EE4E12">
          <w:rPr>
            <w:noProof/>
            <w:webHidden/>
          </w:rPr>
          <w:t>2</w:t>
        </w:r>
      </w:hyperlink>
    </w:p>
    <w:p w14:paraId="393A0A97" w14:textId="41148887" w:rsidR="003B6B5B" w:rsidRPr="0064609B" w:rsidRDefault="003174BF">
      <w:pPr>
        <w:pStyle w:val="TableofFigures"/>
        <w:tabs>
          <w:tab w:val="right" w:leader="dot" w:pos="9350"/>
        </w:tabs>
        <w:rPr>
          <w:rFonts w:ascii="Calibri" w:hAnsi="Calibri"/>
          <w:noProof/>
          <w:szCs w:val="22"/>
        </w:rPr>
      </w:pPr>
      <w:hyperlink w:anchor="_Toc324427645" w:history="1">
        <w:r w:rsidR="003B6B5B" w:rsidRPr="00302DA8">
          <w:rPr>
            <w:rStyle w:val="Hyperlink"/>
            <w:rFonts w:cs="Arial"/>
            <w:noProof/>
          </w:rPr>
          <w:t>Table 4</w:t>
        </w:r>
        <w:r w:rsidR="00437BE1">
          <w:rPr>
            <w:rStyle w:val="Hyperlink"/>
            <w:rFonts w:cs="Arial"/>
            <w:noProof/>
          </w:rPr>
          <w:t xml:space="preserve"> </w:t>
        </w:r>
        <w:r w:rsidR="00EE4E12">
          <w:rPr>
            <w:rStyle w:val="Hyperlink"/>
            <w:rFonts w:cs="Arial"/>
            <w:noProof/>
          </w:rPr>
          <w:t>Baseline ASTM Test Results</w:t>
        </w:r>
        <w:r w:rsidR="003B6B5B">
          <w:rPr>
            <w:noProof/>
            <w:webHidden/>
          </w:rPr>
          <w:tab/>
        </w:r>
        <w:r w:rsidR="00EE4E12">
          <w:rPr>
            <w:noProof/>
            <w:webHidden/>
          </w:rPr>
          <w:t>3</w:t>
        </w:r>
      </w:hyperlink>
    </w:p>
    <w:p w14:paraId="393A0A98" w14:textId="1A892691" w:rsidR="003B6B5B" w:rsidRPr="0064609B" w:rsidRDefault="003174BF">
      <w:pPr>
        <w:pStyle w:val="TableofFigures"/>
        <w:tabs>
          <w:tab w:val="right" w:leader="dot" w:pos="9350"/>
        </w:tabs>
        <w:rPr>
          <w:rFonts w:ascii="Calibri" w:hAnsi="Calibri"/>
          <w:noProof/>
          <w:szCs w:val="22"/>
        </w:rPr>
      </w:pPr>
      <w:hyperlink w:anchor="_Toc324427646" w:history="1">
        <w:r w:rsidR="003B6B5B" w:rsidRPr="00302DA8">
          <w:rPr>
            <w:rStyle w:val="Hyperlink"/>
            <w:rFonts w:cs="Arial"/>
            <w:noProof/>
          </w:rPr>
          <w:t>Table 5</w:t>
        </w:r>
        <w:r w:rsidR="00437BE1">
          <w:rPr>
            <w:rStyle w:val="Hyperlink"/>
            <w:rFonts w:cs="Arial"/>
            <w:noProof/>
          </w:rPr>
          <w:t xml:space="preserve"> </w:t>
        </w:r>
        <w:r w:rsidR="00EE4E12">
          <w:rPr>
            <w:rStyle w:val="Hyperlink"/>
            <w:rFonts w:cs="Arial"/>
            <w:noProof/>
          </w:rPr>
          <w:t>Measure Case ASTM Test Results</w:t>
        </w:r>
        <w:r w:rsidR="003B6B5B">
          <w:rPr>
            <w:noProof/>
            <w:webHidden/>
          </w:rPr>
          <w:tab/>
        </w:r>
        <w:r w:rsidR="00EE4E12">
          <w:rPr>
            <w:noProof/>
            <w:webHidden/>
          </w:rPr>
          <w:t>3</w:t>
        </w:r>
      </w:hyperlink>
    </w:p>
    <w:p w14:paraId="393A0A99" w14:textId="7FF8B22F" w:rsidR="003B6B5B" w:rsidRPr="0064609B" w:rsidRDefault="003174BF">
      <w:pPr>
        <w:pStyle w:val="TableofFigures"/>
        <w:tabs>
          <w:tab w:val="right" w:leader="dot" w:pos="9350"/>
        </w:tabs>
        <w:rPr>
          <w:rFonts w:ascii="Calibri" w:hAnsi="Calibri"/>
          <w:noProof/>
          <w:szCs w:val="22"/>
        </w:rPr>
      </w:pPr>
      <w:hyperlink w:anchor="_Toc324427647" w:history="1">
        <w:r w:rsidR="003B6B5B" w:rsidRPr="00302DA8">
          <w:rPr>
            <w:rStyle w:val="Hyperlink"/>
            <w:rFonts w:cs="Arial"/>
            <w:noProof/>
          </w:rPr>
          <w:t>Table 6</w:t>
        </w:r>
        <w:r w:rsidR="00437BE1">
          <w:rPr>
            <w:rStyle w:val="Hyperlink"/>
            <w:rFonts w:cs="Arial"/>
            <w:noProof/>
          </w:rPr>
          <w:t xml:space="preserve"> </w:t>
        </w:r>
        <w:r w:rsidR="00916793">
          <w:rPr>
            <w:rStyle w:val="Hyperlink"/>
            <w:rFonts w:cs="Arial"/>
            <w:noProof/>
          </w:rPr>
          <w:t>DEER Net to Gross Ratios</w:t>
        </w:r>
        <w:r w:rsidR="003B6B5B">
          <w:rPr>
            <w:noProof/>
            <w:webHidden/>
          </w:rPr>
          <w:tab/>
        </w:r>
        <w:r w:rsidR="00916793">
          <w:rPr>
            <w:noProof/>
            <w:webHidden/>
          </w:rPr>
          <w:t>4</w:t>
        </w:r>
      </w:hyperlink>
    </w:p>
    <w:p w14:paraId="393A0A9A" w14:textId="7EFE844A" w:rsidR="003B6B5B" w:rsidRPr="0064609B" w:rsidRDefault="003174BF">
      <w:pPr>
        <w:pStyle w:val="TableofFigures"/>
        <w:tabs>
          <w:tab w:val="right" w:leader="dot" w:pos="9350"/>
        </w:tabs>
        <w:rPr>
          <w:rFonts w:ascii="Calibri" w:hAnsi="Calibri"/>
          <w:noProof/>
          <w:szCs w:val="22"/>
        </w:rPr>
      </w:pPr>
      <w:hyperlink w:anchor="_Toc324427648" w:history="1">
        <w:r w:rsidR="003B6B5B" w:rsidRPr="00302DA8">
          <w:rPr>
            <w:rStyle w:val="Hyperlink"/>
            <w:noProof/>
          </w:rPr>
          <w:t xml:space="preserve">Table 7 </w:t>
        </w:r>
        <w:r w:rsidR="00916793">
          <w:rPr>
            <w:rStyle w:val="Hyperlink"/>
            <w:noProof/>
          </w:rPr>
          <w:t>Summary of Inputs</w:t>
        </w:r>
        <w:r w:rsidR="003B6B5B">
          <w:rPr>
            <w:noProof/>
            <w:webHidden/>
          </w:rPr>
          <w:tab/>
        </w:r>
        <w:r w:rsidR="00916793">
          <w:rPr>
            <w:noProof/>
            <w:webHidden/>
          </w:rPr>
          <w:t>5</w:t>
        </w:r>
      </w:hyperlink>
    </w:p>
    <w:p w14:paraId="393A0A9B" w14:textId="324AEC7B" w:rsidR="003B6B5B" w:rsidRPr="0064609B" w:rsidRDefault="003174BF">
      <w:pPr>
        <w:pStyle w:val="TableofFigures"/>
        <w:tabs>
          <w:tab w:val="right" w:leader="dot" w:pos="9350"/>
        </w:tabs>
        <w:rPr>
          <w:rFonts w:ascii="Calibri" w:hAnsi="Calibri"/>
          <w:noProof/>
          <w:szCs w:val="22"/>
        </w:rPr>
      </w:pPr>
      <w:hyperlink w:anchor="_Toc324427649" w:history="1">
        <w:r w:rsidR="003B6B5B" w:rsidRPr="00302DA8">
          <w:rPr>
            <w:rStyle w:val="Hyperlink"/>
            <w:rFonts w:cs="Arial"/>
            <w:noProof/>
          </w:rPr>
          <w:t xml:space="preserve">Table 8 </w:t>
        </w:r>
        <w:r w:rsidR="00916793">
          <w:rPr>
            <w:rStyle w:val="Hyperlink"/>
            <w:rFonts w:cs="Arial"/>
            <w:noProof/>
          </w:rPr>
          <w:t>Baseline by Measure Application Type</w:t>
        </w:r>
        <w:r w:rsidR="003B6B5B">
          <w:rPr>
            <w:noProof/>
            <w:webHidden/>
          </w:rPr>
          <w:tab/>
        </w:r>
        <w:r w:rsidR="00916793">
          <w:rPr>
            <w:noProof/>
            <w:webHidden/>
          </w:rPr>
          <w:t>5</w:t>
        </w:r>
      </w:hyperlink>
    </w:p>
    <w:p w14:paraId="393A0A9C" w14:textId="25C66C9E" w:rsidR="003B6B5B" w:rsidRDefault="003174BF">
      <w:pPr>
        <w:pStyle w:val="TableofFigures"/>
        <w:tabs>
          <w:tab w:val="right" w:leader="dot" w:pos="9350"/>
        </w:tabs>
        <w:rPr>
          <w:noProof/>
        </w:rPr>
      </w:pPr>
      <w:hyperlink w:anchor="_Toc324427650" w:history="1">
        <w:r w:rsidR="003B6B5B" w:rsidRPr="00302DA8">
          <w:rPr>
            <w:rStyle w:val="Hyperlink"/>
            <w:rFonts w:cs="Arial"/>
            <w:noProof/>
          </w:rPr>
          <w:t xml:space="preserve">Table 9 </w:t>
        </w:r>
        <w:r w:rsidR="00916793">
          <w:rPr>
            <w:rStyle w:val="Hyperlink"/>
            <w:rFonts w:cs="Arial"/>
            <w:noProof/>
          </w:rPr>
          <w:t>Commerical Gas Conveyor Oven Cost Effectiveness Example</w:t>
        </w:r>
        <w:r w:rsidR="003B6B5B">
          <w:rPr>
            <w:noProof/>
            <w:webHidden/>
          </w:rPr>
          <w:tab/>
        </w:r>
        <w:r w:rsidR="00916793">
          <w:rPr>
            <w:noProof/>
            <w:webHidden/>
          </w:rPr>
          <w:t>6</w:t>
        </w:r>
      </w:hyperlink>
    </w:p>
    <w:p w14:paraId="2036CB1B" w14:textId="3297EFE2" w:rsidR="00916793" w:rsidRDefault="00916793" w:rsidP="00916793">
      <w:r>
        <w:t>Table 10 DEER Base Case and Measure Case Cost Definitions…………………………………..7</w:t>
      </w:r>
    </w:p>
    <w:p w14:paraId="164A11C2" w14:textId="7C05C9E4" w:rsidR="00916793" w:rsidRDefault="00916793" w:rsidP="00916793">
      <w:r>
        <w:t>Table 11 DEER Incremental and Full Measure Cost Definitions……………………………………8</w:t>
      </w:r>
    </w:p>
    <w:p w14:paraId="051F2A0A" w14:textId="63CBC0FE" w:rsidR="00916793" w:rsidRPr="00916793" w:rsidRDefault="00916793" w:rsidP="00916793">
      <w:r>
        <w:t>Table 12 Summary Table for Section 4………………………………………………………………...9</w:t>
      </w:r>
    </w:p>
    <w:p w14:paraId="393A0A9D" w14:textId="77777777" w:rsidR="005A1F9D" w:rsidRDefault="00ED21EE" w:rsidP="005A1F9D">
      <w:r>
        <w:fldChar w:fldCharType="end"/>
      </w:r>
      <w:r w:rsidR="005A1F9D" w:rsidRPr="005A1F9D">
        <w:t xml:space="preserve"> </w:t>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5" w:name="_Toc304800201"/>
      <w:bookmarkStart w:id="26" w:name="_Toc324318337"/>
      <w:bookmarkStart w:id="27" w:name="_Toc324340481"/>
      <w:bookmarkStart w:id="28" w:name="_Toc172205732"/>
    </w:p>
    <w:p w14:paraId="393A0AA1" w14:textId="77777777" w:rsidR="00ED21EE" w:rsidRPr="00C04ADA" w:rsidRDefault="00ED21EE" w:rsidP="00ED21EE">
      <w:pPr>
        <w:pStyle w:val="Heading1"/>
      </w:pPr>
      <w:bookmarkStart w:id="29" w:name="_Toc389305666"/>
      <w:proofErr w:type="gramStart"/>
      <w:r>
        <w:t>Section 1.</w:t>
      </w:r>
      <w:proofErr w:type="gramEnd"/>
      <w:r>
        <w:t xml:space="preserve"> G</w:t>
      </w:r>
      <w:r w:rsidRPr="00C04ADA">
        <w:t>eneral Measure &amp; Baseline Data</w:t>
      </w:r>
      <w:bookmarkEnd w:id="25"/>
      <w:bookmarkEnd w:id="26"/>
      <w:bookmarkEnd w:id="27"/>
      <w:bookmarkEnd w:id="29"/>
    </w:p>
    <w:p w14:paraId="393A0AA2" w14:textId="77777777" w:rsidR="00E71EF1" w:rsidRPr="00C04ADA" w:rsidRDefault="001248A3" w:rsidP="001248A3">
      <w:pPr>
        <w:pStyle w:val="Heading2"/>
      </w:pPr>
      <w:bookmarkStart w:id="30" w:name="_Toc304800202"/>
      <w:bookmarkStart w:id="31" w:name="_Toc324318338"/>
      <w:bookmarkStart w:id="32" w:name="_Toc324340482"/>
      <w:bookmarkStart w:id="33" w:name="_Toc389305667"/>
      <w:bookmarkEnd w:id="28"/>
      <w:r w:rsidRPr="00C04ADA">
        <w:t xml:space="preserve">1.1 </w:t>
      </w:r>
      <w:r w:rsidR="008C6AD1" w:rsidRPr="00C04ADA">
        <w:t xml:space="preserve">Product </w:t>
      </w:r>
      <w:r w:rsidR="00E71EF1" w:rsidRPr="00C04ADA">
        <w:t>Measure Description &amp; Background</w:t>
      </w:r>
      <w:bookmarkEnd w:id="30"/>
      <w:bookmarkEnd w:id="31"/>
      <w:bookmarkEnd w:id="32"/>
      <w:bookmarkEnd w:id="33"/>
    </w:p>
    <w:p w14:paraId="02842417" w14:textId="77777777" w:rsidR="00D77A30" w:rsidRPr="00C04ADA" w:rsidRDefault="00D77A30" w:rsidP="00D77A30">
      <w:pPr>
        <w:rPr>
          <w:rFonts w:cs="Arial"/>
          <w:sz w:val="20"/>
          <w:szCs w:val="20"/>
        </w:rPr>
      </w:pPr>
      <w:r w:rsidRPr="00C04ADA">
        <w:rPr>
          <w:rFonts w:cs="Arial"/>
          <w:sz w:val="20"/>
          <w:szCs w:val="20"/>
        </w:rPr>
        <w:t>This work paper documents the rationale for the Energy Efficient Commercial Conveyor Oven</w:t>
      </w:r>
      <w:proofErr w:type="gramStart"/>
      <w:r w:rsidRPr="00C04ADA">
        <w:rPr>
          <w:rFonts w:cs="Arial"/>
          <w:sz w:val="20"/>
          <w:szCs w:val="20"/>
        </w:rPr>
        <w:t>,(</w:t>
      </w:r>
      <w:proofErr w:type="gramEnd"/>
      <w:r w:rsidRPr="00C04ADA">
        <w:rPr>
          <w:rFonts w:cs="Arial"/>
          <w:sz w:val="20"/>
          <w:szCs w:val="20"/>
        </w:rPr>
        <w:t xml:space="preserve">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14:paraId="226930EB" w14:textId="77777777" w:rsidR="00D77A30" w:rsidRPr="00C04ADA" w:rsidRDefault="00D77A30" w:rsidP="00D77A30">
      <w:pPr>
        <w:rPr>
          <w:rFonts w:cs="Arial"/>
          <w:sz w:val="20"/>
          <w:szCs w:val="20"/>
        </w:rPr>
      </w:pPr>
    </w:p>
    <w:p w14:paraId="38866172" w14:textId="77777777" w:rsidR="00D77A30" w:rsidRPr="00C04ADA" w:rsidRDefault="00D77A30" w:rsidP="00D77A30">
      <w:pPr>
        <w:rPr>
          <w:rFonts w:cs="Arial"/>
          <w:b/>
          <w:i/>
          <w:sz w:val="20"/>
          <w:szCs w:val="20"/>
        </w:rPr>
      </w:pPr>
      <w:r w:rsidRPr="00C04ADA">
        <w:rPr>
          <w:rFonts w:cs="Arial"/>
          <w:b/>
          <w:i/>
          <w:sz w:val="20"/>
          <w:szCs w:val="20"/>
        </w:rPr>
        <w:t>Catalog Description</w:t>
      </w:r>
    </w:p>
    <w:p w14:paraId="16551421" w14:textId="77777777" w:rsidR="00D77A30" w:rsidRPr="00C04ADA" w:rsidRDefault="00D77A30" w:rsidP="00D77A30">
      <w:pPr>
        <w:tabs>
          <w:tab w:val="right" w:leader="dot" w:pos="9350"/>
        </w:tabs>
        <w:rPr>
          <w:rFonts w:cs="Arial"/>
          <w:b/>
          <w:noProof/>
          <w:sz w:val="20"/>
          <w:szCs w:val="20"/>
        </w:rPr>
      </w:pPr>
    </w:p>
    <w:p w14:paraId="58F1F4ED" w14:textId="721C299B" w:rsidR="00D77A30" w:rsidRPr="00C04ADA" w:rsidRDefault="00D77A30" w:rsidP="00D77A30">
      <w:pPr>
        <w:rPr>
          <w:rFonts w:cs="Arial"/>
          <w:sz w:val="20"/>
          <w:szCs w:val="20"/>
        </w:rPr>
      </w:pPr>
      <w:r w:rsidRPr="00C04ADA">
        <w:rPr>
          <w:rFonts w:cs="Arial"/>
          <w:b/>
          <w:bCs/>
          <w:sz w:val="20"/>
          <w:szCs w:val="20"/>
        </w:rPr>
        <w:t>F</w:t>
      </w:r>
      <w:r w:rsidR="00932670">
        <w:rPr>
          <w:rFonts w:cs="Arial"/>
          <w:b/>
          <w:bCs/>
          <w:sz w:val="20"/>
          <w:szCs w:val="20"/>
        </w:rPr>
        <w:t>208</w:t>
      </w:r>
      <w:r w:rsidRPr="00C04ADA">
        <w:rPr>
          <w:rFonts w:cs="Arial"/>
          <w:b/>
          <w:bCs/>
          <w:sz w:val="20"/>
          <w:szCs w:val="20"/>
        </w:rPr>
        <w:t>:</w:t>
      </w:r>
      <w:r w:rsidRPr="00C04ADA">
        <w:rPr>
          <w:rFonts w:cs="Arial"/>
          <w:sz w:val="20"/>
          <w:szCs w:val="20"/>
        </w:rPr>
        <w:t xml:space="preserve"> The tested commercial conveyor oven must meet or exceed baking energy efficiency of ≥42% and have an idle energy rate of ≤ 57,000 Btu/h, utilizing ASTM Standard F1817</w:t>
      </w:r>
      <w:r w:rsidRPr="00C04ADA">
        <w:rPr>
          <w:rFonts w:cs="Arial"/>
          <w:sz w:val="20"/>
          <w:szCs w:val="20"/>
          <w:vertAlign w:val="superscript"/>
        </w:rPr>
        <w:endnoteReference w:id="1"/>
      </w:r>
      <w:r w:rsidRPr="00C04ADA">
        <w:rPr>
          <w:rFonts w:cs="Arial"/>
          <w:sz w:val="20"/>
          <w:szCs w:val="20"/>
        </w:rPr>
        <w:t>. Multiple-deck oven configurations are paid per qualifying oven deck.</w:t>
      </w:r>
    </w:p>
    <w:p w14:paraId="554E181D" w14:textId="77777777" w:rsidR="00D77A30" w:rsidRPr="00C04ADA" w:rsidRDefault="00D77A30" w:rsidP="00D77A30">
      <w:pPr>
        <w:rPr>
          <w:rFonts w:cs="Arial"/>
          <w:sz w:val="20"/>
          <w:szCs w:val="20"/>
        </w:rPr>
      </w:pPr>
    </w:p>
    <w:p w14:paraId="2FFFFF95" w14:textId="77777777" w:rsidR="00D77A30" w:rsidRPr="00C04ADA" w:rsidRDefault="00D77A30" w:rsidP="00D77A30">
      <w:pPr>
        <w:rPr>
          <w:rFonts w:cs="Arial"/>
          <w:b/>
          <w:i/>
          <w:sz w:val="20"/>
          <w:szCs w:val="20"/>
        </w:rPr>
      </w:pPr>
      <w:r w:rsidRPr="00C04ADA">
        <w:rPr>
          <w:rFonts w:cs="Arial"/>
          <w:b/>
          <w:i/>
          <w:sz w:val="20"/>
          <w:szCs w:val="20"/>
        </w:rPr>
        <w:t>Program Restrictions and Guidelines</w:t>
      </w:r>
    </w:p>
    <w:p w14:paraId="0AFCB1F4" w14:textId="77777777" w:rsidR="00D77A30" w:rsidRPr="00C04ADA" w:rsidRDefault="00D77A30" w:rsidP="00D77A30">
      <w:pPr>
        <w:ind w:left="720"/>
        <w:rPr>
          <w:rFonts w:cs="Arial"/>
          <w:b/>
          <w:i/>
          <w:sz w:val="20"/>
          <w:szCs w:val="20"/>
        </w:rPr>
      </w:pPr>
      <w:r w:rsidRPr="00C04ADA">
        <w:rPr>
          <w:rFonts w:cs="Arial"/>
          <w:b/>
          <w:i/>
          <w:sz w:val="20"/>
          <w:szCs w:val="20"/>
        </w:rPr>
        <w:t>Terms and Conditions</w:t>
      </w:r>
    </w:p>
    <w:p w14:paraId="1B43814F" w14:textId="77777777" w:rsidR="00D77A30" w:rsidRPr="00C04ADA" w:rsidRDefault="00D77A30" w:rsidP="00D77A30">
      <w:pPr>
        <w:rPr>
          <w:rFonts w:cs="Arial"/>
          <w:sz w:val="20"/>
          <w:szCs w:val="20"/>
        </w:rPr>
      </w:pPr>
      <w:r w:rsidRPr="00C04ADA">
        <w:rPr>
          <w:rFonts w:cs="Arial"/>
          <w:sz w:val="20"/>
          <w:szCs w:val="20"/>
        </w:rPr>
        <w:t xml:space="preserve">This measure includes new commercial gas conveyor ovens that meet the qualifications listed in Table 1. Used or rebuilt equipment is not eligible. Customers must provide proof that the appliance meets the requirements in Table 1. </w:t>
      </w:r>
    </w:p>
    <w:p w14:paraId="07C478DD" w14:textId="77777777" w:rsidR="00D77A30" w:rsidRPr="00C04ADA" w:rsidRDefault="00D77A30" w:rsidP="00D77A30">
      <w:pPr>
        <w:rPr>
          <w:rFonts w:cs="Arial"/>
          <w:sz w:val="20"/>
          <w:szCs w:val="20"/>
        </w:rPr>
      </w:pPr>
    </w:p>
    <w:p w14:paraId="175D5C80" w14:textId="77777777" w:rsidR="00D77A30" w:rsidRPr="00C04ADA" w:rsidRDefault="00D77A30" w:rsidP="00D77A30">
      <w:pPr>
        <w:tabs>
          <w:tab w:val="center" w:pos="4320"/>
          <w:tab w:val="right" w:pos="8640"/>
        </w:tabs>
        <w:rPr>
          <w:rFonts w:cs="Arial"/>
          <w:b/>
          <w:bCs/>
          <w:sz w:val="20"/>
          <w:szCs w:val="20"/>
        </w:rPr>
      </w:pPr>
      <w:r w:rsidRPr="00C04ADA">
        <w:rPr>
          <w:rFonts w:cs="Arial"/>
          <w:b/>
          <w:bCs/>
          <w:sz w:val="20"/>
          <w:szCs w:val="20"/>
        </w:rPr>
        <w:fldChar w:fldCharType="begin"/>
      </w:r>
      <w:r w:rsidRPr="00C04ADA">
        <w:rPr>
          <w:rFonts w:cs="Arial"/>
          <w:b/>
          <w:bCs/>
          <w:sz w:val="20"/>
          <w:szCs w:val="20"/>
        </w:rPr>
        <w:instrText xml:space="preserve"> TC /f “Table”</w:instrText>
      </w:r>
      <w:r w:rsidRPr="00C04ADA">
        <w:rPr>
          <w:rFonts w:cs="Arial"/>
          <w:b/>
          <w:bCs/>
          <w:sz w:val="20"/>
          <w:szCs w:val="20"/>
        </w:rPr>
        <w:fldChar w:fldCharType="end"/>
      </w:r>
      <w:bookmarkStart w:id="35" w:name="_Toc325641409"/>
      <w:bookmarkStart w:id="36" w:name="_Toc326930815"/>
      <w:r w:rsidRPr="00C04ADA">
        <w:rPr>
          <w:rFonts w:cs="Arial"/>
          <w:b/>
          <w:bCs/>
          <w:sz w:val="20"/>
          <w:szCs w:val="20"/>
        </w:rPr>
        <w:t>Table 1 Energy Efficiency Requirements for Commercial Gas Conveyor Ovens.</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2984"/>
        <w:gridCol w:w="2978"/>
        <w:gridCol w:w="1954"/>
      </w:tblGrid>
      <w:tr w:rsidR="00D77A30" w:rsidRPr="00C04ADA" w14:paraId="6F57D017" w14:textId="77777777" w:rsidTr="00D77A30">
        <w:trPr>
          <w:trHeight w:val="432"/>
        </w:trPr>
        <w:tc>
          <w:tcPr>
            <w:tcW w:w="867" w:type="pct"/>
            <w:vAlign w:val="center"/>
          </w:tcPr>
          <w:p w14:paraId="73B26666" w14:textId="77777777" w:rsidR="00D77A30" w:rsidRPr="00C04ADA" w:rsidRDefault="00D77A30" w:rsidP="00D77A30">
            <w:pPr>
              <w:rPr>
                <w:rFonts w:cs="Arial"/>
                <w:b/>
                <w:bCs/>
                <w:color w:val="000000"/>
                <w:sz w:val="20"/>
                <w:szCs w:val="20"/>
              </w:rPr>
            </w:pPr>
            <w:r w:rsidRPr="00C04ADA">
              <w:rPr>
                <w:rFonts w:cs="Arial"/>
                <w:b/>
                <w:bCs/>
                <w:color w:val="000000"/>
                <w:sz w:val="20"/>
                <w:szCs w:val="20"/>
              </w:rPr>
              <w:t>Measure Code</w:t>
            </w:r>
          </w:p>
        </w:tc>
        <w:tc>
          <w:tcPr>
            <w:tcW w:w="1558" w:type="pct"/>
            <w:vAlign w:val="center"/>
          </w:tcPr>
          <w:p w14:paraId="1E0F5756" w14:textId="77777777" w:rsidR="00D77A30" w:rsidRPr="00C04ADA" w:rsidRDefault="00D77A30" w:rsidP="00D77A30">
            <w:pPr>
              <w:rPr>
                <w:rFonts w:cs="Arial"/>
                <w:b/>
                <w:bCs/>
                <w:color w:val="000000"/>
                <w:sz w:val="20"/>
                <w:szCs w:val="20"/>
              </w:rPr>
            </w:pPr>
            <w:r w:rsidRPr="00C04ADA">
              <w:rPr>
                <w:rFonts w:cs="Arial"/>
                <w:b/>
                <w:bCs/>
                <w:color w:val="000000"/>
                <w:sz w:val="20"/>
                <w:szCs w:val="20"/>
              </w:rPr>
              <w:t>Conveyor Oven Type</w:t>
            </w:r>
          </w:p>
        </w:tc>
        <w:tc>
          <w:tcPr>
            <w:tcW w:w="1555" w:type="pct"/>
            <w:vAlign w:val="center"/>
          </w:tcPr>
          <w:p w14:paraId="4D963085" w14:textId="77777777" w:rsidR="00D77A30" w:rsidRPr="00C04ADA" w:rsidRDefault="00D77A30" w:rsidP="00D77A30">
            <w:pPr>
              <w:jc w:val="center"/>
              <w:rPr>
                <w:rFonts w:cs="Arial"/>
                <w:b/>
                <w:bCs/>
                <w:color w:val="000000"/>
                <w:sz w:val="20"/>
                <w:szCs w:val="20"/>
              </w:rPr>
            </w:pPr>
            <w:r w:rsidRPr="00C04ADA">
              <w:rPr>
                <w:rFonts w:cs="Arial"/>
                <w:b/>
                <w:bCs/>
                <w:color w:val="000000"/>
                <w:sz w:val="20"/>
                <w:szCs w:val="20"/>
              </w:rPr>
              <w:t xml:space="preserve">Cooking-Energy Efficiency </w:t>
            </w:r>
            <w:r w:rsidRPr="00C04ADA">
              <w:rPr>
                <w:rFonts w:cs="Arial"/>
                <w:b/>
                <w:bCs/>
                <w:color w:val="000000"/>
                <w:sz w:val="20"/>
                <w:szCs w:val="20"/>
                <w:vertAlign w:val="superscript"/>
              </w:rPr>
              <w:t>a</w:t>
            </w:r>
          </w:p>
        </w:tc>
        <w:tc>
          <w:tcPr>
            <w:tcW w:w="1020" w:type="pct"/>
            <w:vAlign w:val="center"/>
          </w:tcPr>
          <w:p w14:paraId="15D03396" w14:textId="77777777" w:rsidR="00D77A30" w:rsidRPr="00C04ADA" w:rsidRDefault="00D77A30" w:rsidP="00D77A30">
            <w:pPr>
              <w:jc w:val="center"/>
              <w:rPr>
                <w:rFonts w:cs="Arial"/>
                <w:b/>
                <w:bCs/>
                <w:color w:val="000000"/>
                <w:sz w:val="20"/>
                <w:szCs w:val="20"/>
              </w:rPr>
            </w:pPr>
            <w:r w:rsidRPr="00C04ADA">
              <w:rPr>
                <w:rFonts w:cs="Arial"/>
                <w:b/>
                <w:bCs/>
                <w:color w:val="000000"/>
                <w:sz w:val="20"/>
                <w:szCs w:val="20"/>
              </w:rPr>
              <w:t xml:space="preserve">Idle Energy Rate </w:t>
            </w:r>
            <w:r w:rsidRPr="00C04ADA">
              <w:rPr>
                <w:rFonts w:cs="Arial"/>
                <w:b/>
                <w:bCs/>
                <w:color w:val="000000"/>
                <w:sz w:val="20"/>
                <w:szCs w:val="20"/>
                <w:vertAlign w:val="superscript"/>
              </w:rPr>
              <w:t>b</w:t>
            </w:r>
          </w:p>
        </w:tc>
      </w:tr>
      <w:tr w:rsidR="00D77A30" w:rsidRPr="00C04ADA" w14:paraId="7E9FCC3F" w14:textId="77777777" w:rsidTr="00D77A30">
        <w:trPr>
          <w:trHeight w:val="288"/>
        </w:trPr>
        <w:tc>
          <w:tcPr>
            <w:tcW w:w="867" w:type="pct"/>
            <w:vAlign w:val="center"/>
          </w:tcPr>
          <w:p w14:paraId="16D6F0F4" w14:textId="4F528CD7" w:rsidR="00D77A30" w:rsidRPr="00C04ADA" w:rsidRDefault="00D77A30" w:rsidP="00932670">
            <w:pPr>
              <w:rPr>
                <w:rFonts w:cs="Arial"/>
                <w:color w:val="000000"/>
                <w:sz w:val="20"/>
                <w:szCs w:val="20"/>
              </w:rPr>
            </w:pPr>
            <w:r w:rsidRPr="00C04ADA">
              <w:rPr>
                <w:rFonts w:cs="Arial"/>
                <w:color w:val="000000"/>
                <w:sz w:val="20"/>
                <w:szCs w:val="20"/>
              </w:rPr>
              <w:t>F</w:t>
            </w:r>
            <w:r w:rsidR="00932670">
              <w:rPr>
                <w:rFonts w:cs="Arial"/>
                <w:color w:val="000000"/>
                <w:sz w:val="20"/>
                <w:szCs w:val="20"/>
              </w:rPr>
              <w:t>208</w:t>
            </w:r>
          </w:p>
        </w:tc>
        <w:tc>
          <w:tcPr>
            <w:tcW w:w="1558" w:type="pct"/>
            <w:vAlign w:val="center"/>
          </w:tcPr>
          <w:p w14:paraId="4EE67803" w14:textId="77777777" w:rsidR="00D77A30" w:rsidRPr="00C04ADA" w:rsidRDefault="00D77A30" w:rsidP="00D77A30">
            <w:pPr>
              <w:rPr>
                <w:rFonts w:cs="Arial"/>
                <w:color w:val="000000"/>
                <w:sz w:val="20"/>
                <w:szCs w:val="20"/>
              </w:rPr>
            </w:pPr>
            <w:r w:rsidRPr="00C04ADA">
              <w:rPr>
                <w:rFonts w:cs="Arial"/>
                <w:color w:val="000000"/>
                <w:sz w:val="20"/>
                <w:szCs w:val="20"/>
              </w:rPr>
              <w:t>Gas Conveyor Oven</w:t>
            </w:r>
          </w:p>
          <w:p w14:paraId="7A96EDD8" w14:textId="77777777" w:rsidR="00D77A30" w:rsidRPr="00C04ADA" w:rsidRDefault="00D77A30" w:rsidP="00D77A30">
            <w:pPr>
              <w:rPr>
                <w:rFonts w:cs="Arial"/>
                <w:color w:val="000000"/>
                <w:sz w:val="20"/>
                <w:szCs w:val="20"/>
              </w:rPr>
            </w:pPr>
          </w:p>
        </w:tc>
        <w:tc>
          <w:tcPr>
            <w:tcW w:w="1555" w:type="pct"/>
            <w:vAlign w:val="center"/>
          </w:tcPr>
          <w:p w14:paraId="0B2F60BF" w14:textId="77777777" w:rsidR="00D77A30" w:rsidRPr="00C04ADA" w:rsidRDefault="00D77A30" w:rsidP="00D77A30">
            <w:pPr>
              <w:jc w:val="center"/>
              <w:rPr>
                <w:rFonts w:cs="Arial"/>
                <w:color w:val="000000"/>
                <w:sz w:val="20"/>
                <w:szCs w:val="20"/>
              </w:rPr>
            </w:pPr>
            <w:r w:rsidRPr="00C04ADA">
              <w:rPr>
                <w:rFonts w:cs="Arial"/>
                <w:color w:val="000000"/>
                <w:sz w:val="20"/>
                <w:szCs w:val="20"/>
              </w:rPr>
              <w:t>≥ 42%</w:t>
            </w:r>
          </w:p>
        </w:tc>
        <w:tc>
          <w:tcPr>
            <w:tcW w:w="1020" w:type="pct"/>
            <w:vAlign w:val="center"/>
          </w:tcPr>
          <w:p w14:paraId="339F3ACE" w14:textId="77777777" w:rsidR="00D77A30" w:rsidRPr="00C04ADA" w:rsidRDefault="00D77A30" w:rsidP="00D77A30">
            <w:pPr>
              <w:jc w:val="center"/>
              <w:rPr>
                <w:rFonts w:cs="Arial"/>
                <w:color w:val="000000"/>
                <w:sz w:val="20"/>
                <w:szCs w:val="20"/>
              </w:rPr>
            </w:pPr>
            <w:r w:rsidRPr="00C04ADA">
              <w:rPr>
                <w:rFonts w:cs="Arial"/>
                <w:color w:val="000000"/>
                <w:sz w:val="20"/>
                <w:szCs w:val="20"/>
              </w:rPr>
              <w:t>≤ 57,000 Btu/h</w:t>
            </w:r>
          </w:p>
        </w:tc>
      </w:tr>
    </w:tbl>
    <w:p w14:paraId="536B7DCE" w14:textId="77777777" w:rsidR="00D77A30" w:rsidRPr="00C04ADA" w:rsidRDefault="00D77A30" w:rsidP="00D77A30">
      <w:pPr>
        <w:rPr>
          <w:rFonts w:cs="Arial"/>
          <w:sz w:val="20"/>
          <w:szCs w:val="20"/>
        </w:rPr>
      </w:pPr>
      <w:proofErr w:type="gramStart"/>
      <w:r w:rsidRPr="00C04ADA">
        <w:rPr>
          <w:rFonts w:cs="Arial"/>
          <w:sz w:val="20"/>
          <w:szCs w:val="20"/>
          <w:vertAlign w:val="superscript"/>
        </w:rPr>
        <w:t>a</w:t>
      </w:r>
      <w:proofErr w:type="gramEnd"/>
      <w:r w:rsidRPr="00C04ADA">
        <w:rPr>
          <w:rFonts w:cs="Arial"/>
          <w:sz w:val="20"/>
          <w:szCs w:val="20"/>
          <w:vertAlign w:val="superscript"/>
        </w:rPr>
        <w:t xml:space="preserve"> </w:t>
      </w:r>
      <w:r w:rsidRPr="00C04ADA">
        <w:rPr>
          <w:rFonts w:cs="Arial"/>
          <w:sz w:val="20"/>
          <w:szCs w:val="20"/>
        </w:rPr>
        <w:t>Based on the heavy-load test in ASTM F1817.</w:t>
      </w:r>
      <w:r w:rsidRPr="00C04ADA">
        <w:rPr>
          <w:rFonts w:cs="Arial"/>
          <w:sz w:val="20"/>
          <w:szCs w:val="20"/>
          <w:vertAlign w:val="superscript"/>
        </w:rPr>
        <w:t xml:space="preserve"> </w:t>
      </w:r>
    </w:p>
    <w:p w14:paraId="5DC6177C" w14:textId="77777777" w:rsidR="00D77A30" w:rsidRPr="00C04ADA" w:rsidRDefault="00D77A30" w:rsidP="00D77A30">
      <w:pPr>
        <w:rPr>
          <w:rFonts w:cs="Arial"/>
          <w:sz w:val="20"/>
          <w:szCs w:val="20"/>
        </w:rPr>
      </w:pPr>
      <w:proofErr w:type="gramStart"/>
      <w:r w:rsidRPr="00C04ADA">
        <w:rPr>
          <w:rFonts w:cs="Arial"/>
          <w:sz w:val="20"/>
          <w:szCs w:val="20"/>
          <w:vertAlign w:val="superscript"/>
        </w:rPr>
        <w:t>b</w:t>
      </w:r>
      <w:proofErr w:type="gramEnd"/>
      <w:r w:rsidRPr="00C04ADA">
        <w:rPr>
          <w:rFonts w:cs="Arial"/>
          <w:sz w:val="20"/>
          <w:szCs w:val="20"/>
          <w:vertAlign w:val="superscript"/>
        </w:rPr>
        <w:t xml:space="preserve"> </w:t>
      </w:r>
      <w:r w:rsidRPr="00C04ADA">
        <w:rPr>
          <w:rFonts w:cs="Arial"/>
          <w:sz w:val="20"/>
          <w:szCs w:val="20"/>
        </w:rPr>
        <w:t>Based on the idle energy rate test in ASTM F1817.</w:t>
      </w:r>
      <w:r w:rsidRPr="00C04ADA">
        <w:rPr>
          <w:rFonts w:cs="Arial"/>
          <w:sz w:val="20"/>
          <w:szCs w:val="20"/>
          <w:vertAlign w:val="superscript"/>
        </w:rPr>
        <w:t xml:space="preserve"> </w:t>
      </w:r>
    </w:p>
    <w:p w14:paraId="15527C81" w14:textId="77777777" w:rsidR="00C04ADA" w:rsidRPr="00C04ADA" w:rsidRDefault="00C04ADA" w:rsidP="00C04ADA">
      <w:pPr>
        <w:ind w:left="360"/>
        <w:rPr>
          <w:rFonts w:cs="Arial"/>
          <w:b/>
          <w:i/>
          <w:sz w:val="20"/>
          <w:szCs w:val="20"/>
        </w:rPr>
      </w:pPr>
    </w:p>
    <w:p w14:paraId="42F6E8EC" w14:textId="0A9FCB77" w:rsidR="00C04ADA" w:rsidRPr="00C04ADA" w:rsidRDefault="00C04ADA" w:rsidP="00C04ADA">
      <w:pPr>
        <w:ind w:left="360"/>
        <w:rPr>
          <w:rFonts w:cs="Arial"/>
          <w:b/>
          <w:sz w:val="20"/>
          <w:szCs w:val="20"/>
        </w:rPr>
      </w:pPr>
      <w:r w:rsidRPr="00C04ADA">
        <w:rPr>
          <w:rFonts w:cs="Arial"/>
          <w:b/>
          <w:i/>
          <w:sz w:val="20"/>
          <w:szCs w:val="20"/>
        </w:rPr>
        <w:t xml:space="preserve">The rebate is downstream, provided to the customer at the time </w:t>
      </w:r>
      <w:proofErr w:type="gramStart"/>
      <w:r w:rsidRPr="00C04ADA">
        <w:rPr>
          <w:rFonts w:cs="Arial"/>
          <w:b/>
          <w:i/>
          <w:sz w:val="20"/>
          <w:szCs w:val="20"/>
        </w:rPr>
        <w:t>of  installation</w:t>
      </w:r>
      <w:proofErr w:type="gramEnd"/>
      <w:r w:rsidRPr="00C04ADA">
        <w:rPr>
          <w:rFonts w:cs="Arial"/>
          <w:b/>
          <w:i/>
          <w:sz w:val="20"/>
          <w:szCs w:val="20"/>
        </w:rPr>
        <w:t xml:space="preserve"> upon receipt of  application and invoice.  This is </w:t>
      </w:r>
      <w:proofErr w:type="gramStart"/>
      <w:r w:rsidRPr="00C04ADA">
        <w:rPr>
          <w:rFonts w:cs="Arial"/>
          <w:b/>
          <w:i/>
          <w:sz w:val="20"/>
          <w:szCs w:val="20"/>
        </w:rPr>
        <w:t>not  a</w:t>
      </w:r>
      <w:proofErr w:type="gramEnd"/>
      <w:r w:rsidRPr="00C04ADA">
        <w:rPr>
          <w:rFonts w:cs="Arial"/>
          <w:b/>
          <w:i/>
          <w:sz w:val="20"/>
          <w:szCs w:val="20"/>
        </w:rPr>
        <w:t xml:space="preserve"> Direct install program.</w:t>
      </w:r>
    </w:p>
    <w:p w14:paraId="137FCD1C" w14:textId="77777777" w:rsidR="00D77A30" w:rsidRPr="00C04ADA" w:rsidRDefault="00D77A30" w:rsidP="00D77A30">
      <w:pPr>
        <w:rPr>
          <w:rFonts w:cs="Arial"/>
          <w:sz w:val="20"/>
          <w:szCs w:val="20"/>
        </w:rPr>
      </w:pPr>
    </w:p>
    <w:p w14:paraId="28EC7594" w14:textId="77777777" w:rsidR="00D77A30" w:rsidRPr="00C04ADA" w:rsidRDefault="00D77A30" w:rsidP="00D77A30">
      <w:pPr>
        <w:rPr>
          <w:rFonts w:cs="Arial"/>
          <w:b/>
          <w:i/>
          <w:sz w:val="20"/>
          <w:szCs w:val="20"/>
        </w:rPr>
      </w:pPr>
      <w:r w:rsidRPr="00C04ADA">
        <w:rPr>
          <w:rFonts w:cs="Arial"/>
          <w:b/>
          <w:i/>
          <w:sz w:val="20"/>
          <w:szCs w:val="20"/>
        </w:rPr>
        <w:t xml:space="preserve">Market Applicability </w:t>
      </w:r>
    </w:p>
    <w:p w14:paraId="393A0AA3" w14:textId="0EE52ED4" w:rsidR="00C04ADA" w:rsidRPr="00C04ADA" w:rsidRDefault="00D77A30" w:rsidP="00C04ADA">
      <w:pPr>
        <w:rPr>
          <w:rFonts w:eastAsiaTheme="minorHAnsi" w:cs="Arial"/>
          <w:szCs w:val="22"/>
        </w:rPr>
      </w:pPr>
      <w:r w:rsidRPr="00C04ADA">
        <w:rPr>
          <w:rFonts w:cs="Arial"/>
          <w:sz w:val="20"/>
          <w:szCs w:val="20"/>
        </w:rPr>
        <w:t>This measure is applicable to any commercial cooking application, including (but not limited to) casual dining and quick service restaurants, hotels, motels, schools, colleges and recreational facilities</w:t>
      </w:r>
      <w:r w:rsidRPr="00C04ADA">
        <w:rPr>
          <w:rFonts w:cs="Arial"/>
          <w:sz w:val="24"/>
        </w:rPr>
        <w:t>.</w:t>
      </w:r>
    </w:p>
    <w:p w14:paraId="393A0AA8" w14:textId="77777777" w:rsidR="003E7422" w:rsidRPr="00C04ADA" w:rsidRDefault="003E7422" w:rsidP="00480BAD">
      <w:pPr>
        <w:ind w:left="360"/>
        <w:rPr>
          <w:rFonts w:cs="Arial"/>
          <w:b/>
          <w:i/>
          <w:sz w:val="20"/>
          <w:szCs w:val="20"/>
        </w:rPr>
      </w:pPr>
    </w:p>
    <w:p w14:paraId="393A0AAC" w14:textId="77777777" w:rsidR="00521920" w:rsidRPr="00C04ADA" w:rsidRDefault="00806070" w:rsidP="004B3924">
      <w:pPr>
        <w:pStyle w:val="Heading2"/>
      </w:pPr>
      <w:bookmarkStart w:id="37" w:name="_Toc389305668"/>
      <w:r w:rsidRPr="00C04ADA">
        <w:t xml:space="preserve">1.2 Product </w:t>
      </w:r>
      <w:r w:rsidR="00521920" w:rsidRPr="00C04ADA">
        <w:t>Technical Description</w:t>
      </w:r>
      <w:bookmarkEnd w:id="37"/>
    </w:p>
    <w:bookmarkStart w:id="38" w:name="_Toc304800203"/>
    <w:bookmarkStart w:id="39" w:name="_Toc324318339"/>
    <w:bookmarkStart w:id="40" w:name="_Toc324340483"/>
    <w:p w14:paraId="2BD6B803" w14:textId="77777777" w:rsidR="00C04ADA" w:rsidRPr="00C04ADA" w:rsidRDefault="00C04ADA" w:rsidP="00C04ADA">
      <w:pPr>
        <w:tabs>
          <w:tab w:val="center" w:pos="4320"/>
          <w:tab w:val="right" w:pos="8640"/>
        </w:tabs>
        <w:rPr>
          <w:rFonts w:cs="Arial"/>
          <w:b/>
          <w:bCs/>
        </w:rPr>
      </w:pPr>
      <w:r w:rsidRPr="00C04ADA">
        <w:rPr>
          <w:rFonts w:cs="Arial"/>
          <w:b/>
          <w:bCs/>
        </w:rPr>
        <w:fldChar w:fldCharType="begin"/>
      </w:r>
      <w:r w:rsidRPr="00C04ADA">
        <w:rPr>
          <w:rFonts w:cs="Arial"/>
          <w:b/>
          <w:bCs/>
        </w:rPr>
        <w:instrText xml:space="preserve"> TC /f “Table”</w:instrText>
      </w:r>
      <w:r w:rsidRPr="00C04ADA">
        <w:rPr>
          <w:rFonts w:cs="Arial"/>
          <w:b/>
          <w:bCs/>
        </w:rPr>
        <w:fldChar w:fldCharType="end"/>
      </w:r>
      <w:bookmarkStart w:id="41" w:name="_Toc326930816"/>
      <w:r w:rsidRPr="00C04ADA">
        <w:rPr>
          <w:rFonts w:cs="Arial"/>
          <w:b/>
          <w:bCs/>
        </w:rPr>
        <w:t xml:space="preserve">Table 2 </w:t>
      </w:r>
      <w:r w:rsidRPr="00C04ADA">
        <w:rPr>
          <w:rFonts w:cs="Arial"/>
          <w:b/>
          <w:bCs/>
          <w:szCs w:val="22"/>
        </w:rPr>
        <w:t>DEER Use and Technology Table</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
        <w:gridCol w:w="2233"/>
        <w:gridCol w:w="1594"/>
        <w:gridCol w:w="2810"/>
        <w:gridCol w:w="2146"/>
        <w:gridCol w:w="378"/>
      </w:tblGrid>
      <w:tr w:rsidR="00C04ADA" w:rsidRPr="00C04ADA" w14:paraId="0F4DCAEF" w14:textId="77777777" w:rsidTr="00707125">
        <w:trPr>
          <w:trHeight w:val="300"/>
        </w:trPr>
        <w:tc>
          <w:tcPr>
            <w:tcW w:w="415" w:type="dxa"/>
            <w:shd w:val="clear" w:color="auto" w:fill="auto"/>
            <w:noWrap/>
            <w:hideMark/>
          </w:tcPr>
          <w:p w14:paraId="675E16D7"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1F9F2873" w14:textId="77777777" w:rsidR="00C04ADA" w:rsidRPr="00C04ADA" w:rsidRDefault="00C04ADA" w:rsidP="00C04ADA">
            <w:pPr>
              <w:rPr>
                <w:rFonts w:cs="Arial"/>
                <w:sz w:val="20"/>
                <w:szCs w:val="20"/>
              </w:rPr>
            </w:pPr>
            <w:r w:rsidRPr="00C04ADA">
              <w:rPr>
                <w:rFonts w:cs="Arial"/>
                <w:sz w:val="20"/>
                <w:szCs w:val="20"/>
              </w:rPr>
              <w:t> </w:t>
            </w:r>
          </w:p>
        </w:tc>
        <w:tc>
          <w:tcPr>
            <w:tcW w:w="4404" w:type="dxa"/>
            <w:gridSpan w:val="2"/>
            <w:shd w:val="clear" w:color="auto" w:fill="auto"/>
            <w:noWrap/>
            <w:hideMark/>
          </w:tcPr>
          <w:p w14:paraId="37DF7E4C" w14:textId="77777777" w:rsidR="00C04ADA" w:rsidRPr="00C04ADA" w:rsidRDefault="00C04ADA" w:rsidP="00C04ADA">
            <w:pPr>
              <w:rPr>
                <w:rFonts w:cs="Arial"/>
                <w:b/>
                <w:bCs/>
                <w:i/>
                <w:iCs/>
                <w:sz w:val="20"/>
                <w:szCs w:val="20"/>
              </w:rPr>
            </w:pPr>
            <w:r w:rsidRPr="00C04ADA">
              <w:rPr>
                <w:rFonts w:cs="Arial"/>
                <w:b/>
                <w:bCs/>
                <w:i/>
                <w:iCs/>
                <w:sz w:val="20"/>
                <w:szCs w:val="20"/>
              </w:rPr>
              <w:t>DEER USE and TECHNOLOGY TABLE</w:t>
            </w:r>
          </w:p>
        </w:tc>
        <w:tc>
          <w:tcPr>
            <w:tcW w:w="2146" w:type="dxa"/>
            <w:shd w:val="clear" w:color="auto" w:fill="auto"/>
            <w:noWrap/>
            <w:hideMark/>
          </w:tcPr>
          <w:p w14:paraId="13FCFE22" w14:textId="77777777" w:rsidR="00C04ADA" w:rsidRPr="00C04ADA" w:rsidRDefault="00C04ADA" w:rsidP="00C04ADA">
            <w:pPr>
              <w:rPr>
                <w:rFonts w:cs="Arial"/>
                <w:sz w:val="20"/>
                <w:szCs w:val="20"/>
              </w:rPr>
            </w:pPr>
            <w:r w:rsidRPr="00C04ADA">
              <w:rPr>
                <w:rFonts w:cs="Arial"/>
                <w:sz w:val="20"/>
                <w:szCs w:val="20"/>
              </w:rPr>
              <w:t> </w:t>
            </w:r>
          </w:p>
        </w:tc>
        <w:tc>
          <w:tcPr>
            <w:tcW w:w="378" w:type="dxa"/>
            <w:shd w:val="clear" w:color="auto" w:fill="auto"/>
            <w:noWrap/>
            <w:hideMark/>
          </w:tcPr>
          <w:p w14:paraId="6BAE0DA1" w14:textId="77777777" w:rsidR="00C04ADA" w:rsidRPr="00C04ADA" w:rsidRDefault="00C04ADA" w:rsidP="00C04ADA">
            <w:pPr>
              <w:rPr>
                <w:rFonts w:cs="Arial"/>
                <w:sz w:val="20"/>
                <w:szCs w:val="20"/>
              </w:rPr>
            </w:pPr>
            <w:r w:rsidRPr="00C04ADA">
              <w:rPr>
                <w:rFonts w:cs="Arial"/>
                <w:sz w:val="20"/>
                <w:szCs w:val="20"/>
              </w:rPr>
              <w:t> </w:t>
            </w:r>
          </w:p>
        </w:tc>
      </w:tr>
      <w:tr w:rsidR="00C04ADA" w:rsidRPr="00C04ADA" w14:paraId="07D32491" w14:textId="77777777" w:rsidTr="00707125">
        <w:trPr>
          <w:trHeight w:val="255"/>
        </w:trPr>
        <w:tc>
          <w:tcPr>
            <w:tcW w:w="415" w:type="dxa"/>
            <w:shd w:val="clear" w:color="auto" w:fill="auto"/>
            <w:noWrap/>
            <w:hideMark/>
          </w:tcPr>
          <w:p w14:paraId="366EE69A"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57916920" w14:textId="77777777" w:rsidR="00C04ADA" w:rsidRPr="00C04ADA" w:rsidRDefault="00C04ADA" w:rsidP="00C04ADA">
            <w:pPr>
              <w:rPr>
                <w:rFonts w:cs="Arial"/>
                <w:b/>
                <w:bCs/>
                <w:sz w:val="20"/>
                <w:szCs w:val="20"/>
              </w:rPr>
            </w:pPr>
            <w:r w:rsidRPr="00C04ADA">
              <w:rPr>
                <w:rFonts w:cs="Arial"/>
                <w:b/>
                <w:bCs/>
                <w:sz w:val="20"/>
                <w:szCs w:val="20"/>
              </w:rPr>
              <w:t>Use Category Description</w:t>
            </w:r>
          </w:p>
        </w:tc>
        <w:tc>
          <w:tcPr>
            <w:tcW w:w="1594" w:type="dxa"/>
            <w:shd w:val="clear" w:color="auto" w:fill="auto"/>
            <w:noWrap/>
            <w:hideMark/>
          </w:tcPr>
          <w:p w14:paraId="007ADFE6" w14:textId="77777777" w:rsidR="00C04ADA" w:rsidRPr="00C04ADA" w:rsidRDefault="00C04ADA" w:rsidP="00C04ADA">
            <w:pPr>
              <w:rPr>
                <w:rFonts w:cs="Arial"/>
                <w:b/>
                <w:bCs/>
                <w:sz w:val="20"/>
                <w:szCs w:val="20"/>
              </w:rPr>
            </w:pPr>
            <w:r w:rsidRPr="00C04ADA">
              <w:rPr>
                <w:rFonts w:cs="Arial"/>
                <w:b/>
                <w:bCs/>
                <w:sz w:val="20"/>
                <w:szCs w:val="20"/>
              </w:rPr>
              <w:t>Use Category</w:t>
            </w:r>
          </w:p>
        </w:tc>
        <w:tc>
          <w:tcPr>
            <w:tcW w:w="2810" w:type="dxa"/>
            <w:shd w:val="clear" w:color="auto" w:fill="auto"/>
            <w:noWrap/>
            <w:hideMark/>
          </w:tcPr>
          <w:p w14:paraId="04EC23EB" w14:textId="77777777" w:rsidR="00C04ADA" w:rsidRPr="00C04ADA" w:rsidRDefault="00C04ADA" w:rsidP="00C04ADA">
            <w:pPr>
              <w:rPr>
                <w:rFonts w:cs="Arial"/>
                <w:b/>
                <w:bCs/>
                <w:sz w:val="20"/>
                <w:szCs w:val="20"/>
              </w:rPr>
            </w:pPr>
            <w:r w:rsidRPr="00C04ADA">
              <w:rPr>
                <w:rFonts w:cs="Arial"/>
                <w:b/>
                <w:bCs/>
                <w:sz w:val="20"/>
                <w:szCs w:val="20"/>
              </w:rPr>
              <w:t>Use Sub Category Description</w:t>
            </w:r>
          </w:p>
        </w:tc>
        <w:tc>
          <w:tcPr>
            <w:tcW w:w="2146" w:type="dxa"/>
            <w:shd w:val="clear" w:color="auto" w:fill="auto"/>
            <w:noWrap/>
            <w:hideMark/>
          </w:tcPr>
          <w:p w14:paraId="722AAC09" w14:textId="77777777" w:rsidR="00C04ADA" w:rsidRPr="00C04ADA" w:rsidRDefault="00C04ADA" w:rsidP="00C04ADA">
            <w:pPr>
              <w:rPr>
                <w:rFonts w:cs="Arial"/>
                <w:b/>
                <w:bCs/>
                <w:sz w:val="20"/>
                <w:szCs w:val="20"/>
              </w:rPr>
            </w:pPr>
            <w:r w:rsidRPr="00C04ADA">
              <w:rPr>
                <w:rFonts w:cs="Arial"/>
                <w:b/>
                <w:bCs/>
                <w:sz w:val="20"/>
                <w:szCs w:val="20"/>
              </w:rPr>
              <w:t>Use Sub Category</w:t>
            </w:r>
          </w:p>
        </w:tc>
        <w:tc>
          <w:tcPr>
            <w:tcW w:w="378" w:type="dxa"/>
            <w:shd w:val="clear" w:color="auto" w:fill="auto"/>
            <w:noWrap/>
            <w:hideMark/>
          </w:tcPr>
          <w:p w14:paraId="6A16CD69" w14:textId="77777777" w:rsidR="00C04ADA" w:rsidRPr="00C04ADA" w:rsidRDefault="00C04ADA" w:rsidP="00C04ADA">
            <w:pPr>
              <w:rPr>
                <w:rFonts w:cs="Arial"/>
                <w:sz w:val="20"/>
                <w:szCs w:val="20"/>
              </w:rPr>
            </w:pPr>
            <w:r w:rsidRPr="00C04ADA">
              <w:rPr>
                <w:rFonts w:cs="Arial"/>
                <w:sz w:val="20"/>
                <w:szCs w:val="20"/>
              </w:rPr>
              <w:t> </w:t>
            </w:r>
          </w:p>
        </w:tc>
      </w:tr>
      <w:tr w:rsidR="00C04ADA" w:rsidRPr="00C04ADA" w14:paraId="6B82B5EE" w14:textId="77777777" w:rsidTr="00707125">
        <w:trPr>
          <w:trHeight w:val="255"/>
        </w:trPr>
        <w:tc>
          <w:tcPr>
            <w:tcW w:w="415" w:type="dxa"/>
            <w:shd w:val="clear" w:color="auto" w:fill="auto"/>
            <w:noWrap/>
            <w:hideMark/>
          </w:tcPr>
          <w:p w14:paraId="4A2E85F9"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75D67D3E" w14:textId="77777777" w:rsidR="00C04ADA" w:rsidRPr="00C04ADA" w:rsidRDefault="00C04ADA" w:rsidP="00C04ADA">
            <w:pPr>
              <w:rPr>
                <w:rFonts w:cs="Arial"/>
                <w:sz w:val="20"/>
                <w:szCs w:val="20"/>
              </w:rPr>
            </w:pPr>
            <w:r w:rsidRPr="00C04ADA">
              <w:rPr>
                <w:rFonts w:cs="Arial"/>
                <w:sz w:val="20"/>
                <w:szCs w:val="20"/>
              </w:rPr>
              <w:t>Food Service</w:t>
            </w:r>
          </w:p>
        </w:tc>
        <w:tc>
          <w:tcPr>
            <w:tcW w:w="1594" w:type="dxa"/>
            <w:shd w:val="clear" w:color="auto" w:fill="auto"/>
            <w:noWrap/>
            <w:hideMark/>
          </w:tcPr>
          <w:p w14:paraId="408FA0EB" w14:textId="77777777" w:rsidR="00C04ADA" w:rsidRPr="00C04ADA" w:rsidRDefault="00C04ADA" w:rsidP="00C04ADA">
            <w:pPr>
              <w:rPr>
                <w:rFonts w:cs="Arial"/>
                <w:sz w:val="20"/>
                <w:szCs w:val="20"/>
              </w:rPr>
            </w:pPr>
            <w:proofErr w:type="spellStart"/>
            <w:r w:rsidRPr="00C04ADA">
              <w:rPr>
                <w:rFonts w:cs="Arial"/>
                <w:sz w:val="20"/>
                <w:szCs w:val="20"/>
              </w:rPr>
              <w:t>FoodServ</w:t>
            </w:r>
            <w:proofErr w:type="spellEnd"/>
          </w:p>
        </w:tc>
        <w:tc>
          <w:tcPr>
            <w:tcW w:w="2810" w:type="dxa"/>
            <w:shd w:val="clear" w:color="auto" w:fill="auto"/>
            <w:noWrap/>
            <w:hideMark/>
          </w:tcPr>
          <w:p w14:paraId="611D38B4" w14:textId="77777777" w:rsidR="00C04ADA" w:rsidRPr="00C04ADA" w:rsidRDefault="00C04ADA" w:rsidP="00C04ADA">
            <w:pPr>
              <w:rPr>
                <w:rFonts w:cs="Arial"/>
                <w:sz w:val="20"/>
                <w:szCs w:val="20"/>
              </w:rPr>
            </w:pPr>
            <w:r w:rsidRPr="00C04ADA">
              <w:rPr>
                <w:rFonts w:cs="Arial"/>
                <w:sz w:val="20"/>
                <w:szCs w:val="20"/>
              </w:rPr>
              <w:t xml:space="preserve">Cooking </w:t>
            </w:r>
          </w:p>
        </w:tc>
        <w:tc>
          <w:tcPr>
            <w:tcW w:w="2146" w:type="dxa"/>
            <w:shd w:val="clear" w:color="auto" w:fill="auto"/>
            <w:noWrap/>
            <w:hideMark/>
          </w:tcPr>
          <w:p w14:paraId="3915295B" w14:textId="77777777" w:rsidR="00C04ADA" w:rsidRPr="00C04ADA" w:rsidRDefault="00C04ADA" w:rsidP="00C04ADA">
            <w:pPr>
              <w:rPr>
                <w:rFonts w:cs="Arial"/>
                <w:sz w:val="20"/>
                <w:szCs w:val="20"/>
              </w:rPr>
            </w:pPr>
            <w:r w:rsidRPr="00C04ADA">
              <w:rPr>
                <w:rFonts w:cs="Arial"/>
                <w:sz w:val="20"/>
                <w:szCs w:val="20"/>
              </w:rPr>
              <w:t>Food-Cook</w:t>
            </w:r>
          </w:p>
        </w:tc>
        <w:tc>
          <w:tcPr>
            <w:tcW w:w="378" w:type="dxa"/>
            <w:shd w:val="clear" w:color="auto" w:fill="auto"/>
            <w:noWrap/>
            <w:hideMark/>
          </w:tcPr>
          <w:p w14:paraId="7BE06B56" w14:textId="77777777" w:rsidR="00C04ADA" w:rsidRPr="00C04ADA" w:rsidRDefault="00C04ADA" w:rsidP="00C04ADA">
            <w:pPr>
              <w:rPr>
                <w:rFonts w:cs="Arial"/>
                <w:sz w:val="20"/>
                <w:szCs w:val="20"/>
              </w:rPr>
            </w:pPr>
            <w:r w:rsidRPr="00C04ADA">
              <w:rPr>
                <w:rFonts w:cs="Arial"/>
                <w:sz w:val="20"/>
                <w:szCs w:val="20"/>
              </w:rPr>
              <w:t> </w:t>
            </w:r>
          </w:p>
        </w:tc>
      </w:tr>
      <w:tr w:rsidR="00C04ADA" w:rsidRPr="00C04ADA" w14:paraId="51D7C381" w14:textId="77777777" w:rsidTr="00707125">
        <w:trPr>
          <w:trHeight w:val="255"/>
        </w:trPr>
        <w:tc>
          <w:tcPr>
            <w:tcW w:w="415" w:type="dxa"/>
            <w:shd w:val="clear" w:color="auto" w:fill="auto"/>
            <w:noWrap/>
            <w:hideMark/>
          </w:tcPr>
          <w:p w14:paraId="108A56B0"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262C4EB8" w14:textId="77777777" w:rsidR="00C04ADA" w:rsidRPr="00C04ADA" w:rsidRDefault="00C04ADA" w:rsidP="00C04ADA">
            <w:pPr>
              <w:rPr>
                <w:rFonts w:cs="Arial"/>
                <w:sz w:val="20"/>
                <w:szCs w:val="20"/>
              </w:rPr>
            </w:pPr>
          </w:p>
        </w:tc>
        <w:tc>
          <w:tcPr>
            <w:tcW w:w="1594" w:type="dxa"/>
            <w:shd w:val="clear" w:color="auto" w:fill="auto"/>
            <w:noWrap/>
            <w:hideMark/>
          </w:tcPr>
          <w:p w14:paraId="0CD4A5D7" w14:textId="77777777" w:rsidR="00C04ADA" w:rsidRPr="00C04ADA" w:rsidRDefault="00C04ADA" w:rsidP="00C04ADA">
            <w:pPr>
              <w:rPr>
                <w:rFonts w:cs="Arial"/>
                <w:sz w:val="20"/>
                <w:szCs w:val="20"/>
              </w:rPr>
            </w:pPr>
          </w:p>
        </w:tc>
        <w:tc>
          <w:tcPr>
            <w:tcW w:w="2810" w:type="dxa"/>
            <w:shd w:val="clear" w:color="auto" w:fill="auto"/>
            <w:noWrap/>
            <w:hideMark/>
          </w:tcPr>
          <w:p w14:paraId="54EAD709" w14:textId="77777777" w:rsidR="00C04ADA" w:rsidRPr="00C04ADA" w:rsidRDefault="00C04ADA" w:rsidP="00C04ADA">
            <w:pPr>
              <w:rPr>
                <w:rFonts w:cs="Arial"/>
                <w:sz w:val="20"/>
                <w:szCs w:val="20"/>
              </w:rPr>
            </w:pPr>
          </w:p>
        </w:tc>
        <w:tc>
          <w:tcPr>
            <w:tcW w:w="2146" w:type="dxa"/>
            <w:shd w:val="clear" w:color="auto" w:fill="auto"/>
            <w:noWrap/>
            <w:hideMark/>
          </w:tcPr>
          <w:p w14:paraId="50485B5F" w14:textId="77777777" w:rsidR="00C04ADA" w:rsidRPr="00C04ADA" w:rsidRDefault="00C04ADA" w:rsidP="00C04ADA">
            <w:pPr>
              <w:rPr>
                <w:rFonts w:cs="Arial"/>
                <w:sz w:val="20"/>
                <w:szCs w:val="20"/>
              </w:rPr>
            </w:pPr>
          </w:p>
        </w:tc>
        <w:tc>
          <w:tcPr>
            <w:tcW w:w="378" w:type="dxa"/>
            <w:shd w:val="clear" w:color="auto" w:fill="auto"/>
            <w:noWrap/>
            <w:hideMark/>
          </w:tcPr>
          <w:p w14:paraId="02E622F5" w14:textId="77777777" w:rsidR="00C04ADA" w:rsidRPr="00C04ADA" w:rsidRDefault="00C04ADA" w:rsidP="00C04ADA">
            <w:pPr>
              <w:rPr>
                <w:rFonts w:cs="Arial"/>
                <w:sz w:val="20"/>
                <w:szCs w:val="20"/>
              </w:rPr>
            </w:pPr>
            <w:r w:rsidRPr="00C04ADA">
              <w:rPr>
                <w:rFonts w:cs="Arial"/>
                <w:sz w:val="20"/>
                <w:szCs w:val="20"/>
              </w:rPr>
              <w:t> </w:t>
            </w:r>
          </w:p>
        </w:tc>
      </w:tr>
      <w:tr w:rsidR="00C04ADA" w:rsidRPr="00C04ADA" w14:paraId="199BB4C6" w14:textId="77777777" w:rsidTr="00707125">
        <w:trPr>
          <w:trHeight w:val="255"/>
        </w:trPr>
        <w:tc>
          <w:tcPr>
            <w:tcW w:w="415" w:type="dxa"/>
            <w:shd w:val="clear" w:color="auto" w:fill="auto"/>
            <w:noWrap/>
            <w:hideMark/>
          </w:tcPr>
          <w:p w14:paraId="5D74160A"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497E56DF" w14:textId="77777777" w:rsidR="00C04ADA" w:rsidRPr="00C04ADA" w:rsidRDefault="00C04ADA" w:rsidP="00C04ADA">
            <w:pPr>
              <w:rPr>
                <w:rFonts w:cs="Arial"/>
                <w:b/>
                <w:bCs/>
                <w:sz w:val="20"/>
                <w:szCs w:val="20"/>
              </w:rPr>
            </w:pPr>
            <w:r w:rsidRPr="00C04ADA">
              <w:rPr>
                <w:rFonts w:cs="Arial"/>
                <w:b/>
                <w:bCs/>
                <w:sz w:val="20"/>
                <w:szCs w:val="20"/>
              </w:rPr>
              <w:t>Technology Groups Description</w:t>
            </w:r>
          </w:p>
        </w:tc>
        <w:tc>
          <w:tcPr>
            <w:tcW w:w="1594" w:type="dxa"/>
            <w:shd w:val="clear" w:color="auto" w:fill="auto"/>
            <w:noWrap/>
            <w:hideMark/>
          </w:tcPr>
          <w:p w14:paraId="0ED78FAB" w14:textId="77777777" w:rsidR="00C04ADA" w:rsidRPr="00C04ADA" w:rsidRDefault="00C04ADA" w:rsidP="00C04ADA">
            <w:pPr>
              <w:rPr>
                <w:rFonts w:cs="Arial"/>
                <w:b/>
                <w:bCs/>
                <w:sz w:val="20"/>
                <w:szCs w:val="20"/>
              </w:rPr>
            </w:pPr>
            <w:r w:rsidRPr="00C04ADA">
              <w:rPr>
                <w:rFonts w:cs="Arial"/>
                <w:b/>
                <w:bCs/>
                <w:sz w:val="20"/>
                <w:szCs w:val="20"/>
              </w:rPr>
              <w:t>Technology Groups</w:t>
            </w:r>
          </w:p>
        </w:tc>
        <w:tc>
          <w:tcPr>
            <w:tcW w:w="2810" w:type="dxa"/>
            <w:shd w:val="clear" w:color="auto" w:fill="auto"/>
            <w:noWrap/>
            <w:hideMark/>
          </w:tcPr>
          <w:p w14:paraId="7EAF40C0" w14:textId="77777777" w:rsidR="00C04ADA" w:rsidRPr="00C04ADA" w:rsidRDefault="00C04ADA" w:rsidP="00C04ADA">
            <w:pPr>
              <w:rPr>
                <w:rFonts w:cs="Arial"/>
                <w:b/>
                <w:bCs/>
                <w:sz w:val="20"/>
                <w:szCs w:val="20"/>
              </w:rPr>
            </w:pPr>
            <w:r w:rsidRPr="00C04ADA">
              <w:rPr>
                <w:rFonts w:cs="Arial"/>
                <w:b/>
                <w:bCs/>
                <w:sz w:val="20"/>
                <w:szCs w:val="20"/>
              </w:rPr>
              <w:t>Technology Types Descriptions</w:t>
            </w:r>
          </w:p>
        </w:tc>
        <w:tc>
          <w:tcPr>
            <w:tcW w:w="2146" w:type="dxa"/>
            <w:shd w:val="clear" w:color="auto" w:fill="auto"/>
            <w:noWrap/>
            <w:hideMark/>
          </w:tcPr>
          <w:p w14:paraId="2453F758" w14:textId="77777777" w:rsidR="00C04ADA" w:rsidRPr="00C04ADA" w:rsidRDefault="00C04ADA" w:rsidP="00C04ADA">
            <w:pPr>
              <w:rPr>
                <w:rFonts w:cs="Arial"/>
                <w:b/>
                <w:bCs/>
                <w:sz w:val="20"/>
                <w:szCs w:val="20"/>
              </w:rPr>
            </w:pPr>
            <w:r w:rsidRPr="00C04ADA">
              <w:rPr>
                <w:rFonts w:cs="Arial"/>
                <w:b/>
                <w:bCs/>
                <w:sz w:val="20"/>
                <w:szCs w:val="20"/>
              </w:rPr>
              <w:t>Technology Types</w:t>
            </w:r>
          </w:p>
        </w:tc>
        <w:tc>
          <w:tcPr>
            <w:tcW w:w="378" w:type="dxa"/>
            <w:shd w:val="clear" w:color="auto" w:fill="auto"/>
            <w:noWrap/>
            <w:hideMark/>
          </w:tcPr>
          <w:p w14:paraId="4444AC88" w14:textId="77777777" w:rsidR="00C04ADA" w:rsidRPr="00C04ADA" w:rsidRDefault="00C04ADA" w:rsidP="00C04ADA">
            <w:pPr>
              <w:rPr>
                <w:rFonts w:cs="Arial"/>
                <w:sz w:val="20"/>
                <w:szCs w:val="20"/>
              </w:rPr>
            </w:pPr>
            <w:r w:rsidRPr="00C04ADA">
              <w:rPr>
                <w:rFonts w:cs="Arial"/>
                <w:sz w:val="20"/>
                <w:szCs w:val="20"/>
              </w:rPr>
              <w:t> </w:t>
            </w:r>
          </w:p>
        </w:tc>
      </w:tr>
      <w:tr w:rsidR="00C04ADA" w:rsidRPr="00C04ADA" w14:paraId="0ABD5C1D" w14:textId="77777777" w:rsidTr="00707125">
        <w:trPr>
          <w:trHeight w:val="255"/>
        </w:trPr>
        <w:tc>
          <w:tcPr>
            <w:tcW w:w="415" w:type="dxa"/>
            <w:shd w:val="clear" w:color="auto" w:fill="auto"/>
            <w:noWrap/>
            <w:hideMark/>
          </w:tcPr>
          <w:p w14:paraId="0572E1D5"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234E49F3" w14:textId="77777777" w:rsidR="00C04ADA" w:rsidRPr="00C04ADA" w:rsidRDefault="00C04ADA" w:rsidP="00C04ADA">
            <w:pPr>
              <w:rPr>
                <w:rFonts w:cs="Arial"/>
                <w:sz w:val="20"/>
                <w:szCs w:val="20"/>
              </w:rPr>
            </w:pPr>
            <w:r w:rsidRPr="00C04ADA">
              <w:rPr>
                <w:rFonts w:cs="Arial"/>
                <w:sz w:val="20"/>
                <w:szCs w:val="20"/>
              </w:rPr>
              <w:t>Cooking Equipment</w:t>
            </w:r>
          </w:p>
        </w:tc>
        <w:tc>
          <w:tcPr>
            <w:tcW w:w="1594" w:type="dxa"/>
            <w:shd w:val="clear" w:color="auto" w:fill="auto"/>
            <w:noWrap/>
            <w:hideMark/>
          </w:tcPr>
          <w:p w14:paraId="0D77B125" w14:textId="77777777" w:rsidR="00C04ADA" w:rsidRPr="00C04ADA" w:rsidRDefault="00C04ADA" w:rsidP="00C04ADA">
            <w:pPr>
              <w:rPr>
                <w:rFonts w:cs="Arial"/>
                <w:sz w:val="20"/>
                <w:szCs w:val="20"/>
              </w:rPr>
            </w:pPr>
            <w:proofErr w:type="spellStart"/>
            <w:r w:rsidRPr="00C04ADA">
              <w:rPr>
                <w:rFonts w:cs="Arial"/>
                <w:sz w:val="20"/>
                <w:szCs w:val="20"/>
              </w:rPr>
              <w:t>Cook_equip</w:t>
            </w:r>
            <w:proofErr w:type="spellEnd"/>
          </w:p>
        </w:tc>
        <w:tc>
          <w:tcPr>
            <w:tcW w:w="2810" w:type="dxa"/>
            <w:shd w:val="clear" w:color="auto" w:fill="auto"/>
            <w:noWrap/>
            <w:hideMark/>
          </w:tcPr>
          <w:p w14:paraId="43D37EF4" w14:textId="77777777" w:rsidR="00C04ADA" w:rsidRPr="00C04ADA" w:rsidRDefault="00C04ADA" w:rsidP="00C04ADA">
            <w:pPr>
              <w:rPr>
                <w:rFonts w:cs="Arial"/>
                <w:sz w:val="20"/>
                <w:szCs w:val="20"/>
              </w:rPr>
            </w:pPr>
            <w:r w:rsidRPr="00C04ADA">
              <w:rPr>
                <w:rFonts w:cs="Arial"/>
                <w:sz w:val="20"/>
                <w:szCs w:val="20"/>
              </w:rPr>
              <w:t>Oven-Gas Conveyor</w:t>
            </w:r>
          </w:p>
        </w:tc>
        <w:tc>
          <w:tcPr>
            <w:tcW w:w="2146" w:type="dxa"/>
            <w:shd w:val="clear" w:color="auto" w:fill="auto"/>
            <w:noWrap/>
            <w:hideMark/>
          </w:tcPr>
          <w:p w14:paraId="23BA3E6B" w14:textId="77777777" w:rsidR="00C04ADA" w:rsidRPr="00C04ADA" w:rsidRDefault="00C04ADA" w:rsidP="00C04ADA">
            <w:pPr>
              <w:rPr>
                <w:rFonts w:cs="Arial"/>
                <w:sz w:val="20"/>
                <w:szCs w:val="20"/>
              </w:rPr>
            </w:pPr>
            <w:proofErr w:type="spellStart"/>
            <w:r w:rsidRPr="00C04ADA">
              <w:rPr>
                <w:rFonts w:cs="Arial"/>
                <w:sz w:val="20"/>
                <w:szCs w:val="20"/>
              </w:rPr>
              <w:t>OvenGasConveyor</w:t>
            </w:r>
            <w:proofErr w:type="spellEnd"/>
          </w:p>
        </w:tc>
        <w:tc>
          <w:tcPr>
            <w:tcW w:w="378" w:type="dxa"/>
            <w:shd w:val="clear" w:color="auto" w:fill="auto"/>
            <w:noWrap/>
            <w:hideMark/>
          </w:tcPr>
          <w:p w14:paraId="3AF9584D" w14:textId="77777777" w:rsidR="00C04ADA" w:rsidRPr="00C04ADA" w:rsidRDefault="00C04ADA" w:rsidP="00C04ADA">
            <w:pPr>
              <w:rPr>
                <w:rFonts w:cs="Arial"/>
                <w:sz w:val="20"/>
                <w:szCs w:val="20"/>
              </w:rPr>
            </w:pPr>
            <w:r w:rsidRPr="00C04ADA">
              <w:rPr>
                <w:rFonts w:cs="Arial"/>
                <w:sz w:val="20"/>
                <w:szCs w:val="20"/>
              </w:rPr>
              <w:t> </w:t>
            </w:r>
          </w:p>
        </w:tc>
      </w:tr>
      <w:tr w:rsidR="00C04ADA" w:rsidRPr="00C04ADA" w14:paraId="7D53030C" w14:textId="77777777" w:rsidTr="00707125">
        <w:trPr>
          <w:trHeight w:val="270"/>
        </w:trPr>
        <w:tc>
          <w:tcPr>
            <w:tcW w:w="415" w:type="dxa"/>
            <w:shd w:val="clear" w:color="auto" w:fill="auto"/>
            <w:noWrap/>
            <w:hideMark/>
          </w:tcPr>
          <w:p w14:paraId="1D838BB8" w14:textId="77777777" w:rsidR="00C04ADA" w:rsidRPr="00C04ADA" w:rsidRDefault="00C04ADA" w:rsidP="00C04ADA">
            <w:pPr>
              <w:rPr>
                <w:rFonts w:cs="Arial"/>
                <w:sz w:val="20"/>
                <w:szCs w:val="20"/>
              </w:rPr>
            </w:pPr>
            <w:r w:rsidRPr="00C04ADA">
              <w:rPr>
                <w:rFonts w:cs="Arial"/>
                <w:sz w:val="20"/>
                <w:szCs w:val="20"/>
              </w:rPr>
              <w:t> </w:t>
            </w:r>
          </w:p>
        </w:tc>
        <w:tc>
          <w:tcPr>
            <w:tcW w:w="2233" w:type="dxa"/>
            <w:shd w:val="clear" w:color="auto" w:fill="auto"/>
            <w:noWrap/>
            <w:hideMark/>
          </w:tcPr>
          <w:p w14:paraId="5A93DABF" w14:textId="77777777" w:rsidR="00C04ADA" w:rsidRPr="00C04ADA" w:rsidRDefault="00C04ADA" w:rsidP="00C04ADA">
            <w:pPr>
              <w:rPr>
                <w:rFonts w:cs="Arial"/>
                <w:sz w:val="20"/>
                <w:szCs w:val="20"/>
              </w:rPr>
            </w:pPr>
            <w:r w:rsidRPr="00C04ADA">
              <w:rPr>
                <w:rFonts w:cs="Arial"/>
                <w:sz w:val="20"/>
                <w:szCs w:val="20"/>
              </w:rPr>
              <w:t> </w:t>
            </w:r>
          </w:p>
        </w:tc>
        <w:tc>
          <w:tcPr>
            <w:tcW w:w="1594" w:type="dxa"/>
            <w:shd w:val="clear" w:color="auto" w:fill="auto"/>
            <w:noWrap/>
            <w:hideMark/>
          </w:tcPr>
          <w:p w14:paraId="753BC779" w14:textId="77777777" w:rsidR="00C04ADA" w:rsidRPr="00C04ADA" w:rsidRDefault="00C04ADA" w:rsidP="00C04ADA">
            <w:pPr>
              <w:rPr>
                <w:rFonts w:cs="Arial"/>
                <w:sz w:val="20"/>
                <w:szCs w:val="20"/>
              </w:rPr>
            </w:pPr>
            <w:r w:rsidRPr="00C04ADA">
              <w:rPr>
                <w:rFonts w:cs="Arial"/>
                <w:sz w:val="20"/>
                <w:szCs w:val="20"/>
              </w:rPr>
              <w:t> </w:t>
            </w:r>
          </w:p>
        </w:tc>
        <w:tc>
          <w:tcPr>
            <w:tcW w:w="2810" w:type="dxa"/>
            <w:shd w:val="clear" w:color="auto" w:fill="auto"/>
            <w:noWrap/>
            <w:hideMark/>
          </w:tcPr>
          <w:p w14:paraId="116050FD" w14:textId="77777777" w:rsidR="00C04ADA" w:rsidRPr="00C04ADA" w:rsidRDefault="00C04ADA" w:rsidP="00C04ADA">
            <w:pPr>
              <w:rPr>
                <w:rFonts w:cs="Arial"/>
                <w:sz w:val="20"/>
                <w:szCs w:val="20"/>
              </w:rPr>
            </w:pPr>
            <w:r w:rsidRPr="00C04ADA">
              <w:rPr>
                <w:rFonts w:cs="Arial"/>
                <w:sz w:val="20"/>
                <w:szCs w:val="20"/>
              </w:rPr>
              <w:t> </w:t>
            </w:r>
          </w:p>
        </w:tc>
        <w:tc>
          <w:tcPr>
            <w:tcW w:w="2146" w:type="dxa"/>
            <w:shd w:val="clear" w:color="auto" w:fill="auto"/>
            <w:noWrap/>
            <w:hideMark/>
          </w:tcPr>
          <w:p w14:paraId="370FC045" w14:textId="77777777" w:rsidR="00C04ADA" w:rsidRPr="00C04ADA" w:rsidRDefault="00C04ADA" w:rsidP="00C04ADA">
            <w:pPr>
              <w:rPr>
                <w:rFonts w:cs="Arial"/>
                <w:sz w:val="20"/>
                <w:szCs w:val="20"/>
              </w:rPr>
            </w:pPr>
            <w:r w:rsidRPr="00C04ADA">
              <w:rPr>
                <w:rFonts w:cs="Arial"/>
                <w:sz w:val="20"/>
                <w:szCs w:val="20"/>
              </w:rPr>
              <w:t> </w:t>
            </w:r>
          </w:p>
        </w:tc>
        <w:tc>
          <w:tcPr>
            <w:tcW w:w="378" w:type="dxa"/>
            <w:shd w:val="clear" w:color="auto" w:fill="auto"/>
            <w:noWrap/>
            <w:hideMark/>
          </w:tcPr>
          <w:p w14:paraId="724FE00B" w14:textId="77777777" w:rsidR="00C04ADA" w:rsidRPr="00C04ADA" w:rsidRDefault="00C04ADA" w:rsidP="00C04ADA">
            <w:pPr>
              <w:rPr>
                <w:rFonts w:cs="Arial"/>
                <w:sz w:val="20"/>
                <w:szCs w:val="20"/>
              </w:rPr>
            </w:pPr>
            <w:r w:rsidRPr="00C04ADA">
              <w:rPr>
                <w:rFonts w:cs="Arial"/>
                <w:sz w:val="20"/>
                <w:szCs w:val="20"/>
              </w:rPr>
              <w:t> </w:t>
            </w:r>
          </w:p>
        </w:tc>
      </w:tr>
    </w:tbl>
    <w:p w14:paraId="74A8E9B4" w14:textId="77777777" w:rsidR="00C04ADA" w:rsidRPr="00C04ADA" w:rsidRDefault="00C04ADA" w:rsidP="00C04ADA">
      <w:pPr>
        <w:rPr>
          <w:rFonts w:cs="Arial"/>
          <w:b/>
          <w:i/>
          <w:sz w:val="28"/>
        </w:rPr>
      </w:pPr>
    </w:p>
    <w:p w14:paraId="0F1A9275" w14:textId="77777777" w:rsidR="00C04ADA" w:rsidRPr="00C04ADA" w:rsidRDefault="00C04ADA" w:rsidP="00C04ADA">
      <w:pPr>
        <w:rPr>
          <w:rFonts w:cs="Arial"/>
          <w:sz w:val="20"/>
          <w:szCs w:val="20"/>
        </w:rPr>
      </w:pPr>
      <w:r w:rsidRPr="00C04ADA">
        <w:rPr>
          <w:rFonts w:cs="Arial"/>
          <w:sz w:val="20"/>
          <w:szCs w:val="20"/>
        </w:rPr>
        <w:t xml:space="preserve">Commercial ovens are the most widely used appliances in the food service industry. Many food service operations rely heavily on the versatility of ovens. A conveyor oven can be described simply as a heated chamber with a moving belt that carries food product into and through the chamber. Conveyor ovens are generally used for producing a limited number of products with similar cooking requirements at high production rates. </w:t>
      </w:r>
    </w:p>
    <w:p w14:paraId="097153EC" w14:textId="5159D5D0" w:rsidR="00C04ADA" w:rsidRPr="00C04ADA" w:rsidRDefault="00C04ADA" w:rsidP="00C04ADA">
      <w:pPr>
        <w:tabs>
          <w:tab w:val="left" w:pos="1480"/>
        </w:tabs>
        <w:rPr>
          <w:rFonts w:cs="Arial"/>
          <w:sz w:val="20"/>
          <w:szCs w:val="20"/>
        </w:rPr>
      </w:pPr>
      <w:r w:rsidRPr="00C04ADA">
        <w:rPr>
          <w:rFonts w:cs="Arial"/>
          <w:sz w:val="20"/>
          <w:szCs w:val="20"/>
        </w:rPr>
        <w:tab/>
      </w:r>
    </w:p>
    <w:p w14:paraId="5BAD27CD" w14:textId="77777777" w:rsidR="00C04ADA" w:rsidRPr="00C04ADA" w:rsidRDefault="00C04ADA" w:rsidP="00C04ADA">
      <w:pPr>
        <w:rPr>
          <w:rFonts w:cs="Arial"/>
          <w:sz w:val="20"/>
          <w:szCs w:val="20"/>
        </w:rPr>
      </w:pPr>
      <w:r w:rsidRPr="00C04ADA">
        <w:rPr>
          <w:rFonts w:cs="Arial"/>
          <w:sz w:val="20"/>
          <w:szCs w:val="20"/>
        </w:rPr>
        <w:t xml:space="preserve">Essentially, conveyor ovens are a rectangular housing unit containing a baking cavity or chamber, which is open on two opposing sides. A conveyor system carries the food product through the baking chamber or tunnel on a wire rack. Most conveyor ovens can be outfitted with multiple conveyor belts, each of which may have a different operating speed. </w:t>
      </w:r>
    </w:p>
    <w:p w14:paraId="1CDCBD9D" w14:textId="77777777" w:rsidR="00C04ADA" w:rsidRPr="00C04ADA" w:rsidRDefault="00C04ADA" w:rsidP="00C04ADA">
      <w:pPr>
        <w:rPr>
          <w:rFonts w:cs="Arial"/>
          <w:sz w:val="20"/>
          <w:szCs w:val="20"/>
        </w:rPr>
      </w:pPr>
    </w:p>
    <w:p w14:paraId="5B62F737" w14:textId="77777777" w:rsidR="00C04ADA" w:rsidRPr="00C04ADA" w:rsidRDefault="00C04ADA" w:rsidP="00C04ADA">
      <w:pPr>
        <w:rPr>
          <w:rFonts w:cs="Arial"/>
          <w:sz w:val="20"/>
          <w:szCs w:val="20"/>
        </w:rPr>
      </w:pPr>
      <w:r w:rsidRPr="00C04ADA">
        <w:rPr>
          <w:rFonts w:cs="Arial"/>
          <w:sz w:val="20"/>
          <w:szCs w:val="20"/>
        </w:rPr>
        <w:t>The ovens are available in many different sizes and configurations. They are available in sizes small enough to satisfy low-volume and niche operations, such as kiosks, that have limited production space, and large enough to meet the demands of high volume operations. Most conveyor ovens, both large and small, can be stacked up to three units high; significantly increasing production capacity without requiring increased floor space</w:t>
      </w:r>
      <w:r w:rsidRPr="00C04ADA">
        <w:rPr>
          <w:rFonts w:cs="Arial"/>
          <w:sz w:val="20"/>
          <w:szCs w:val="20"/>
        </w:rPr>
        <w:fldChar w:fldCharType="begin"/>
      </w:r>
      <w:r w:rsidRPr="00C04ADA">
        <w:rPr>
          <w:rFonts w:cs="Arial"/>
          <w:sz w:val="20"/>
          <w:szCs w:val="20"/>
        </w:rPr>
        <w:instrText xml:space="preserve"> REF _Ref185071248 \r \h  \* MERGEFORMAT </w:instrText>
      </w:r>
      <w:r w:rsidRPr="00C04ADA">
        <w:rPr>
          <w:rFonts w:cs="Arial"/>
          <w:sz w:val="20"/>
          <w:szCs w:val="20"/>
        </w:rPr>
      </w:r>
      <w:r w:rsidRPr="00C04ADA">
        <w:rPr>
          <w:rFonts w:cs="Arial"/>
          <w:sz w:val="20"/>
          <w:szCs w:val="20"/>
        </w:rPr>
        <w:fldChar w:fldCharType="separate"/>
      </w:r>
      <w:r w:rsidRPr="00C04ADA">
        <w:rPr>
          <w:rFonts w:cs="Arial"/>
          <w:sz w:val="20"/>
          <w:szCs w:val="20"/>
          <w:vertAlign w:val="superscript"/>
        </w:rPr>
        <w:t>2</w:t>
      </w:r>
      <w:r w:rsidRPr="00C04ADA">
        <w:rPr>
          <w:rFonts w:cs="Arial"/>
          <w:sz w:val="20"/>
          <w:szCs w:val="20"/>
        </w:rPr>
        <w:fldChar w:fldCharType="end"/>
      </w:r>
      <w:r w:rsidRPr="00C04ADA">
        <w:rPr>
          <w:rFonts w:cs="Arial"/>
          <w:sz w:val="20"/>
          <w:szCs w:val="20"/>
        </w:rPr>
        <w:t xml:space="preserve">. </w:t>
      </w:r>
    </w:p>
    <w:p w14:paraId="7EB2E83F" w14:textId="77777777" w:rsidR="00C04ADA" w:rsidRPr="00C04ADA" w:rsidRDefault="00C04ADA" w:rsidP="00C04ADA">
      <w:pPr>
        <w:rPr>
          <w:rFonts w:cs="Arial"/>
          <w:sz w:val="20"/>
          <w:szCs w:val="20"/>
        </w:rPr>
      </w:pPr>
    </w:p>
    <w:p w14:paraId="3084AEFA" w14:textId="77777777" w:rsidR="00C04ADA" w:rsidRPr="00C04ADA" w:rsidRDefault="00C04ADA" w:rsidP="00C04ADA">
      <w:pPr>
        <w:rPr>
          <w:rFonts w:ascii="Times New Roman" w:hAnsi="Times New Roman"/>
          <w:sz w:val="24"/>
        </w:rPr>
      </w:pPr>
      <w:r w:rsidRPr="00C04ADA">
        <w:rPr>
          <w:rFonts w:cs="Arial"/>
          <w:sz w:val="20"/>
          <w:szCs w:val="20"/>
        </w:rPr>
        <w:t xml:space="preserve">Conveyor oven performance is determined by applying the ASTM Standard Test Method for the Performance of Conveyor Ovens (F1817).  The ASTM standard test method is considered to be the industry standard for quantifying the efficiency and performance of conveyor ovens. </w:t>
      </w:r>
    </w:p>
    <w:p w14:paraId="393A0AAE" w14:textId="781CE7FF" w:rsidR="009C5CA7" w:rsidRDefault="009C5CA7" w:rsidP="00C04ADA">
      <w:pPr>
        <w:pStyle w:val="Heading2"/>
        <w:keepNext w:val="0"/>
        <w:tabs>
          <w:tab w:val="left" w:pos="7380"/>
        </w:tabs>
      </w:pPr>
      <w:bookmarkStart w:id="42" w:name="_Toc389305669"/>
      <w:r>
        <w:t>1.</w:t>
      </w:r>
      <w:r w:rsidR="00806070">
        <w:t>3</w:t>
      </w:r>
      <w:r>
        <w:t xml:space="preserve"> </w:t>
      </w:r>
      <w:r w:rsidR="002E6162">
        <w:t xml:space="preserve">Measure Application </w:t>
      </w:r>
      <w:bookmarkEnd w:id="38"/>
      <w:r w:rsidR="002E6162">
        <w:t>Type</w:t>
      </w:r>
      <w:bookmarkEnd w:id="39"/>
      <w:bookmarkEnd w:id="40"/>
      <w:bookmarkEnd w:id="42"/>
      <w:r w:rsidR="00FA595F">
        <w:t xml:space="preserve"> </w:t>
      </w:r>
      <w:r w:rsidR="00C04ADA">
        <w:tab/>
      </w:r>
    </w:p>
    <w:p w14:paraId="393A0AAF" w14:textId="6D396A7C" w:rsidR="00784500" w:rsidRDefault="00784500" w:rsidP="009C5CA7">
      <w:pPr>
        <w:rPr>
          <w:rFonts w:cs="Arial"/>
          <w:i/>
          <w:sz w:val="20"/>
          <w:szCs w:val="20"/>
        </w:rPr>
      </w:pPr>
    </w:p>
    <w:p w14:paraId="393A0AB0" w14:textId="77777777" w:rsidR="00784500" w:rsidRDefault="00784500" w:rsidP="009C5CA7">
      <w:pPr>
        <w:rPr>
          <w:rFonts w:cs="Arial"/>
          <w:sz w:val="20"/>
          <w:szCs w:val="20"/>
        </w:rPr>
      </w:pPr>
    </w:p>
    <w:p w14:paraId="393A0AB1" w14:textId="5AC6171E"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C04ADA">
        <w:rPr>
          <w:rFonts w:cs="Arial"/>
          <w:i/>
          <w:sz w:val="20"/>
          <w:szCs w:val="20"/>
        </w:rPr>
        <w:t>4</w:t>
      </w:r>
      <w:r w:rsidR="007B2E26" w:rsidRPr="003541A6">
        <w:rPr>
          <w:rFonts w:cs="Arial"/>
          <w:i/>
          <w:sz w:val="20"/>
          <w:szCs w:val="20"/>
        </w:rPr>
        <w:t xml:space="preserve"> Database Format</w:t>
      </w:r>
      <w:r w:rsidR="007B2E26">
        <w:rPr>
          <w:rFonts w:cs="Arial"/>
          <w:sz w:val="20"/>
          <w:szCs w:val="20"/>
        </w:rPr>
        <w:t xml:space="preserve"> hyperlink, </w:t>
      </w:r>
      <w:r w:rsidR="007B2E26">
        <w:rPr>
          <w:rStyle w:val="breadcrumbs"/>
          <w:rFonts w:cs="Arial"/>
          <w:color w:val="333333"/>
          <w:sz w:val="19"/>
          <w:szCs w:val="19"/>
          <w:lang w:val="en-GB"/>
        </w:rPr>
        <w:t>DEER201</w:t>
      </w:r>
      <w:r w:rsidR="00C04ADA">
        <w:rPr>
          <w:rStyle w:val="breadcrumbs"/>
          <w:rFonts w:cs="Arial"/>
          <w:color w:val="333333"/>
          <w:sz w:val="19"/>
          <w:szCs w:val="19"/>
          <w:lang w:val="en-GB"/>
        </w:rPr>
        <w:t>4</w:t>
      </w:r>
      <w:r w:rsidR="007B2E26">
        <w:rPr>
          <w:rStyle w:val="breadcrumbs"/>
          <w:rFonts w:cs="Arial"/>
          <w:color w:val="333333"/>
          <w:sz w:val="19"/>
          <w:szCs w:val="19"/>
          <w:lang w:val="en-GB"/>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4A1496F6" w:rsidR="00BD02D0" w:rsidRPr="003541A6" w:rsidRDefault="00BD02D0" w:rsidP="00BD02D0">
      <w:pPr>
        <w:pStyle w:val="Caption"/>
        <w:keepNext/>
        <w:rPr>
          <w:rFonts w:ascii="Calibri" w:hAnsi="Calibri" w:cs="Calibri"/>
          <w:sz w:val="26"/>
          <w:szCs w:val="26"/>
        </w:rPr>
      </w:pPr>
      <w:bookmarkStart w:id="43" w:name="_Toc324427642"/>
      <w:r w:rsidRPr="003541A6">
        <w:t xml:space="preserve">Table </w:t>
      </w:r>
      <w:bookmarkStart w:id="44" w:name="RANGE!B222"/>
      <w:r w:rsidR="00EE4E12">
        <w:t>3</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3"/>
      <w:bookmarkEnd w:id="44"/>
      <w:r w:rsidR="00C87539">
        <w:rPr>
          <w:rStyle w:val="EndnoteReference"/>
          <w:rFonts w:cs="Arial"/>
        </w:rPr>
        <w:endnoteReference w:id="2"/>
      </w:r>
    </w:p>
    <w:p w14:paraId="393A0AB4" w14:textId="77777777"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5B61AF3C" w14:textId="77777777" w:rsidR="00C04ADA" w:rsidRPr="00C04ADA" w:rsidRDefault="00C04ADA" w:rsidP="00C04ADA">
      <w:pPr>
        <w:rPr>
          <w:rFonts w:cs="Arial"/>
          <w:sz w:val="20"/>
          <w:szCs w:val="20"/>
        </w:rPr>
      </w:pPr>
      <w:r w:rsidRPr="00C04ADA">
        <w:rPr>
          <w:rFonts w:cs="Arial"/>
          <w:sz w:val="20"/>
          <w:szCs w:val="20"/>
        </w:rPr>
        <w:t xml:space="preserve">Since there are no EM&amp;V studies on the useful life of conveyor ovens and it is standard practice in the commercial foodservice industry to purchase equipment only when it is needed (e.g., replacement or additional capacity), this measure is focused on ROB and NC applications only. </w:t>
      </w:r>
    </w:p>
    <w:p w14:paraId="393A0AC5" w14:textId="061B2B88" w:rsidR="009C5CA7" w:rsidRPr="00172149" w:rsidRDefault="009C5CA7" w:rsidP="009C5CA7">
      <w:pPr>
        <w:rPr>
          <w:rFonts w:cs="Arial"/>
          <w:i/>
          <w:sz w:val="20"/>
          <w:szCs w:val="20"/>
        </w:rPr>
      </w:pPr>
    </w:p>
    <w:p w14:paraId="393A0AC6" w14:textId="77777777" w:rsidR="00D73550" w:rsidRDefault="00D73550" w:rsidP="002E0043"/>
    <w:p w14:paraId="393A0AC7" w14:textId="77777777" w:rsidR="00806070" w:rsidRDefault="00806070" w:rsidP="001248A3">
      <w:pPr>
        <w:pStyle w:val="Heading2"/>
      </w:pPr>
      <w:bookmarkStart w:id="45" w:name="_Toc304800204"/>
      <w:bookmarkStart w:id="46" w:name="_Toc324318340"/>
      <w:bookmarkStart w:id="47" w:name="_Toc324340484"/>
      <w:bookmarkStart w:id="48" w:name="_Toc389305670"/>
      <w:r>
        <w:t>1.4 Product Base Case and Measure Case Data</w:t>
      </w:r>
      <w:bookmarkEnd w:id="45"/>
      <w:bookmarkEnd w:id="46"/>
      <w:bookmarkEnd w:id="47"/>
      <w:bookmarkEnd w:id="48"/>
    </w:p>
    <w:p w14:paraId="31BCFE50" w14:textId="77777777" w:rsidR="00C04ADA" w:rsidRPr="00C04ADA" w:rsidRDefault="00C04ADA" w:rsidP="00C04ADA">
      <w:pPr>
        <w:rPr>
          <w:rFonts w:cs="Arial"/>
          <w:sz w:val="20"/>
          <w:szCs w:val="20"/>
        </w:rPr>
      </w:pPr>
      <w:r w:rsidRPr="00C04ADA">
        <w:rPr>
          <w:rFonts w:cs="Arial"/>
          <w:sz w:val="20"/>
          <w:szCs w:val="20"/>
        </w:rPr>
        <w:t>This Work Paper uses ASTM Standard Test Method for the</w:t>
      </w:r>
      <w:r w:rsidRPr="00C04ADA">
        <w:rPr>
          <w:rFonts w:cs="Arial"/>
          <w:i/>
          <w:iCs/>
          <w:sz w:val="20"/>
          <w:szCs w:val="20"/>
        </w:rPr>
        <w:t xml:space="preserve"> </w:t>
      </w:r>
      <w:r w:rsidRPr="00C04ADA">
        <w:rPr>
          <w:rFonts w:cs="Arial"/>
          <w:sz w:val="20"/>
          <w:szCs w:val="20"/>
        </w:rPr>
        <w:t xml:space="preserve">Performance of Conveyor Ovens (F1817) for calculation of energy use and demand, based on testing in an approved and qualified laboratory. In the absence of mandatory regulations for testing commercial conveyor ovens,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 Table 3.  </w:t>
      </w:r>
    </w:p>
    <w:p w14:paraId="3A751C9A" w14:textId="77777777" w:rsidR="00C04ADA" w:rsidRPr="00C04ADA" w:rsidRDefault="00C04ADA" w:rsidP="00C04ADA">
      <w:pPr>
        <w:rPr>
          <w:rFonts w:ascii="Times New Roman" w:hAnsi="Times New Roman"/>
          <w:sz w:val="24"/>
        </w:rPr>
      </w:pPr>
    </w:p>
    <w:p w14:paraId="39D71C1C" w14:textId="249D7F46" w:rsidR="00C04ADA" w:rsidRPr="00C04ADA" w:rsidRDefault="00C04ADA" w:rsidP="00C04ADA">
      <w:pPr>
        <w:tabs>
          <w:tab w:val="center" w:pos="4320"/>
          <w:tab w:val="right" w:pos="8640"/>
        </w:tabs>
        <w:rPr>
          <w:rFonts w:cs="Arial"/>
          <w:b/>
          <w:bCs/>
        </w:rPr>
      </w:pPr>
      <w:r w:rsidRPr="00C04ADA">
        <w:rPr>
          <w:rFonts w:cs="Arial"/>
          <w:b/>
          <w:bCs/>
        </w:rPr>
        <w:fldChar w:fldCharType="begin"/>
      </w:r>
      <w:r w:rsidRPr="00C04ADA">
        <w:rPr>
          <w:rFonts w:cs="Arial"/>
          <w:b/>
          <w:bCs/>
        </w:rPr>
        <w:instrText xml:space="preserve"> TC /f “Table”</w:instrText>
      </w:r>
      <w:r w:rsidRPr="00C04ADA">
        <w:rPr>
          <w:rFonts w:cs="Arial"/>
          <w:b/>
          <w:bCs/>
        </w:rPr>
        <w:fldChar w:fldCharType="end"/>
      </w:r>
      <w:bookmarkStart w:id="49" w:name="_Toc325641410"/>
      <w:bookmarkStart w:id="50" w:name="_Toc326930817"/>
      <w:r w:rsidRPr="00C04ADA">
        <w:rPr>
          <w:rFonts w:cs="Arial"/>
          <w:b/>
          <w:bCs/>
        </w:rPr>
        <w:t xml:space="preserve">Table </w:t>
      </w:r>
      <w:r w:rsidR="00EE4E12">
        <w:rPr>
          <w:rFonts w:cs="Arial"/>
          <w:b/>
          <w:bCs/>
        </w:rPr>
        <w:t>4</w:t>
      </w:r>
      <w:r w:rsidRPr="00C04ADA">
        <w:rPr>
          <w:rFonts w:cs="Arial"/>
          <w:b/>
          <w:bCs/>
        </w:rPr>
        <w:t xml:space="preserve"> Baseline ASTM test results for Conveyor Ovens.</w:t>
      </w:r>
      <w:bookmarkEnd w:id="49"/>
      <w:bookmarkEnd w:id="50"/>
    </w:p>
    <w:tbl>
      <w:tblPr>
        <w:tblW w:w="46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2791"/>
        <w:gridCol w:w="2791"/>
      </w:tblGrid>
      <w:tr w:rsidR="00C04ADA" w:rsidRPr="00C04ADA" w14:paraId="276A4F3C" w14:textId="77777777" w:rsidTr="00707125">
        <w:trPr>
          <w:trHeight w:val="432"/>
        </w:trPr>
        <w:tc>
          <w:tcPr>
            <w:tcW w:w="1842" w:type="pct"/>
            <w:vAlign w:val="center"/>
          </w:tcPr>
          <w:p w14:paraId="0C5E21B0" w14:textId="77777777" w:rsidR="00C04ADA" w:rsidRPr="00C04ADA" w:rsidRDefault="00C04ADA" w:rsidP="00C04ADA">
            <w:pPr>
              <w:jc w:val="center"/>
              <w:rPr>
                <w:rFonts w:cs="Arial"/>
                <w:b/>
                <w:bCs/>
                <w:color w:val="000000"/>
                <w:sz w:val="20"/>
                <w:szCs w:val="20"/>
              </w:rPr>
            </w:pPr>
          </w:p>
        </w:tc>
        <w:tc>
          <w:tcPr>
            <w:tcW w:w="1579" w:type="pct"/>
            <w:vAlign w:val="center"/>
          </w:tcPr>
          <w:p w14:paraId="123F034E" w14:textId="77777777" w:rsidR="00C04ADA" w:rsidRPr="00C04ADA" w:rsidRDefault="00C04ADA" w:rsidP="00C04ADA">
            <w:pPr>
              <w:jc w:val="center"/>
              <w:rPr>
                <w:rFonts w:cs="Arial"/>
                <w:b/>
                <w:bCs/>
                <w:color w:val="000000"/>
                <w:sz w:val="20"/>
                <w:szCs w:val="20"/>
              </w:rPr>
            </w:pPr>
            <w:r w:rsidRPr="00C04ADA">
              <w:rPr>
                <w:rFonts w:cs="Arial"/>
                <w:b/>
                <w:bCs/>
                <w:color w:val="000000"/>
                <w:sz w:val="20"/>
                <w:szCs w:val="20"/>
              </w:rPr>
              <w:t>Cooking-Energy Efficiency*</w:t>
            </w:r>
          </w:p>
        </w:tc>
        <w:tc>
          <w:tcPr>
            <w:tcW w:w="1579" w:type="pct"/>
            <w:vAlign w:val="center"/>
          </w:tcPr>
          <w:p w14:paraId="166E7AD1" w14:textId="77777777" w:rsidR="00C04ADA" w:rsidRPr="00C04ADA" w:rsidRDefault="00C04ADA" w:rsidP="00C04ADA">
            <w:pPr>
              <w:jc w:val="center"/>
              <w:rPr>
                <w:rFonts w:cs="Arial"/>
                <w:b/>
                <w:bCs/>
                <w:color w:val="000000"/>
                <w:sz w:val="20"/>
                <w:szCs w:val="20"/>
              </w:rPr>
            </w:pPr>
            <w:r w:rsidRPr="00C04ADA">
              <w:rPr>
                <w:rFonts w:cs="Arial"/>
                <w:b/>
                <w:bCs/>
                <w:color w:val="000000"/>
                <w:sz w:val="20"/>
                <w:szCs w:val="20"/>
              </w:rPr>
              <w:t>Idle Energy Rate (Btu/</w:t>
            </w:r>
            <w:proofErr w:type="spellStart"/>
            <w:r w:rsidRPr="00C04ADA">
              <w:rPr>
                <w:rFonts w:cs="Arial"/>
                <w:b/>
                <w:bCs/>
                <w:color w:val="000000"/>
                <w:sz w:val="20"/>
                <w:szCs w:val="20"/>
              </w:rPr>
              <w:t>hr</w:t>
            </w:r>
            <w:proofErr w:type="spellEnd"/>
            <w:r w:rsidRPr="00C04ADA">
              <w:rPr>
                <w:rFonts w:cs="Arial"/>
                <w:b/>
                <w:bCs/>
                <w:color w:val="000000"/>
                <w:sz w:val="20"/>
                <w:szCs w:val="20"/>
              </w:rPr>
              <w:t>)</w:t>
            </w:r>
          </w:p>
        </w:tc>
      </w:tr>
      <w:tr w:rsidR="00C04ADA" w:rsidRPr="00C04ADA" w14:paraId="0D346792" w14:textId="77777777" w:rsidTr="00707125">
        <w:trPr>
          <w:trHeight w:val="288"/>
        </w:trPr>
        <w:tc>
          <w:tcPr>
            <w:tcW w:w="1842" w:type="pct"/>
            <w:vAlign w:val="center"/>
          </w:tcPr>
          <w:p w14:paraId="346E8A30" w14:textId="77777777" w:rsidR="00C04ADA" w:rsidRPr="00C04ADA" w:rsidRDefault="00C04ADA" w:rsidP="00C04ADA">
            <w:pPr>
              <w:rPr>
                <w:rFonts w:cs="Arial"/>
                <w:color w:val="000000"/>
                <w:sz w:val="20"/>
                <w:szCs w:val="20"/>
                <w:highlight w:val="yellow"/>
              </w:rPr>
            </w:pPr>
            <w:r w:rsidRPr="00C04ADA">
              <w:rPr>
                <w:rFonts w:cs="Arial"/>
                <w:color w:val="000000"/>
                <w:sz w:val="20"/>
                <w:szCs w:val="20"/>
              </w:rPr>
              <w:t>Gas Conveyor Oven</w:t>
            </w:r>
          </w:p>
        </w:tc>
        <w:tc>
          <w:tcPr>
            <w:tcW w:w="1579" w:type="pct"/>
            <w:vAlign w:val="center"/>
          </w:tcPr>
          <w:p w14:paraId="0FB821AA" w14:textId="77777777" w:rsidR="00C04ADA" w:rsidRPr="00C04ADA" w:rsidRDefault="00C04ADA" w:rsidP="00C04ADA">
            <w:pPr>
              <w:jc w:val="center"/>
              <w:rPr>
                <w:rFonts w:cs="Arial"/>
                <w:color w:val="000000"/>
                <w:sz w:val="20"/>
                <w:szCs w:val="20"/>
                <w:highlight w:val="yellow"/>
              </w:rPr>
            </w:pPr>
            <w:r w:rsidRPr="00C04ADA">
              <w:rPr>
                <w:rFonts w:cs="Arial"/>
                <w:color w:val="000000"/>
                <w:sz w:val="20"/>
                <w:szCs w:val="20"/>
              </w:rPr>
              <w:t>20%</w:t>
            </w:r>
          </w:p>
        </w:tc>
        <w:tc>
          <w:tcPr>
            <w:tcW w:w="1579" w:type="pct"/>
            <w:vAlign w:val="center"/>
          </w:tcPr>
          <w:p w14:paraId="25F04283" w14:textId="77777777" w:rsidR="00C04ADA" w:rsidRPr="00C04ADA" w:rsidRDefault="00C04ADA" w:rsidP="00C04ADA">
            <w:pPr>
              <w:jc w:val="center"/>
              <w:rPr>
                <w:rFonts w:cs="Arial"/>
                <w:color w:val="000000"/>
                <w:sz w:val="20"/>
                <w:szCs w:val="20"/>
              </w:rPr>
            </w:pPr>
            <w:r w:rsidRPr="00C04ADA">
              <w:rPr>
                <w:rFonts w:cs="Arial"/>
                <w:color w:val="000000"/>
                <w:sz w:val="20"/>
                <w:szCs w:val="20"/>
              </w:rPr>
              <w:t>70,000</w:t>
            </w:r>
          </w:p>
        </w:tc>
      </w:tr>
    </w:tbl>
    <w:p w14:paraId="2E76068F" w14:textId="77777777" w:rsidR="00C04ADA" w:rsidRPr="00C04ADA" w:rsidRDefault="00C04ADA" w:rsidP="00C04ADA">
      <w:pPr>
        <w:rPr>
          <w:rFonts w:ascii="Times New Roman" w:hAnsi="Times New Roman"/>
          <w:sz w:val="18"/>
        </w:rPr>
      </w:pPr>
      <w:r w:rsidRPr="00C04ADA">
        <w:rPr>
          <w:rFonts w:ascii="Times New Roman" w:hAnsi="Times New Roman"/>
          <w:sz w:val="18"/>
        </w:rPr>
        <w:t>*Based on the heavy-load test in ASTM F2093.</w:t>
      </w:r>
    </w:p>
    <w:p w14:paraId="00E67079" w14:textId="77777777" w:rsidR="00C04ADA" w:rsidRPr="00C04ADA" w:rsidRDefault="00C04ADA" w:rsidP="00C04ADA">
      <w:pPr>
        <w:rPr>
          <w:rFonts w:ascii="Times New Roman" w:hAnsi="Times New Roman"/>
          <w:sz w:val="24"/>
        </w:rPr>
      </w:pPr>
    </w:p>
    <w:p w14:paraId="2375813D" w14:textId="77777777" w:rsidR="00C04ADA" w:rsidRPr="00C04ADA" w:rsidRDefault="00C04ADA" w:rsidP="00C04ADA">
      <w:pPr>
        <w:rPr>
          <w:rFonts w:cs="Arial"/>
          <w:sz w:val="20"/>
          <w:szCs w:val="20"/>
        </w:rPr>
      </w:pPr>
      <w:r w:rsidRPr="00C04ADA">
        <w:rPr>
          <w:rFonts w:cs="Arial"/>
          <w:sz w:val="20"/>
          <w:szCs w:val="20"/>
        </w:rPr>
        <w:t>The measure case data was drawn from the list of commercial conveyor ovens that have been tested by IOU testing laboratories as of April 20, 2012. The complete list is in Appendix A and the averages are summarized in Table 4.</w:t>
      </w:r>
    </w:p>
    <w:p w14:paraId="6DEBCC3D" w14:textId="77777777" w:rsidR="00C04ADA" w:rsidRPr="00C04ADA" w:rsidRDefault="00C04ADA" w:rsidP="00C04ADA">
      <w:pPr>
        <w:rPr>
          <w:rFonts w:ascii="Times New Roman" w:hAnsi="Times New Roman"/>
          <w:sz w:val="24"/>
        </w:rPr>
      </w:pPr>
    </w:p>
    <w:p w14:paraId="0A0725A7" w14:textId="2BD9F4F0" w:rsidR="00C04ADA" w:rsidRPr="00C04ADA" w:rsidRDefault="00C04ADA" w:rsidP="00C04ADA">
      <w:pPr>
        <w:tabs>
          <w:tab w:val="center" w:pos="4320"/>
          <w:tab w:val="right" w:pos="8640"/>
        </w:tabs>
        <w:rPr>
          <w:rFonts w:cs="Arial"/>
          <w:b/>
          <w:bCs/>
        </w:rPr>
      </w:pPr>
      <w:r w:rsidRPr="00C04ADA">
        <w:rPr>
          <w:rFonts w:cs="Arial"/>
          <w:b/>
          <w:bCs/>
        </w:rPr>
        <w:fldChar w:fldCharType="begin"/>
      </w:r>
      <w:r w:rsidRPr="00C04ADA">
        <w:rPr>
          <w:rFonts w:cs="Arial"/>
          <w:b/>
          <w:bCs/>
        </w:rPr>
        <w:instrText xml:space="preserve"> TC /f “Table”</w:instrText>
      </w:r>
      <w:r w:rsidRPr="00C04ADA">
        <w:rPr>
          <w:rFonts w:cs="Arial"/>
          <w:b/>
          <w:bCs/>
        </w:rPr>
        <w:fldChar w:fldCharType="end"/>
      </w:r>
      <w:r w:rsidRPr="00C04ADA">
        <w:rPr>
          <w:rFonts w:cs="Arial"/>
          <w:b/>
          <w:bCs/>
        </w:rPr>
        <w:fldChar w:fldCharType="begin"/>
      </w:r>
      <w:r w:rsidRPr="00C04ADA">
        <w:rPr>
          <w:rFonts w:cs="Arial"/>
          <w:b/>
          <w:bCs/>
        </w:rPr>
        <w:instrText xml:space="preserve"> TC /f “Table”</w:instrText>
      </w:r>
      <w:r w:rsidRPr="00C04ADA">
        <w:rPr>
          <w:rFonts w:cs="Arial"/>
          <w:b/>
          <w:bCs/>
        </w:rPr>
        <w:fldChar w:fldCharType="end"/>
      </w:r>
      <w:bookmarkStart w:id="51" w:name="_Toc325641411"/>
      <w:bookmarkStart w:id="52" w:name="_Toc326930818"/>
      <w:r w:rsidRPr="00C04ADA">
        <w:rPr>
          <w:rFonts w:cs="Arial"/>
          <w:b/>
          <w:bCs/>
        </w:rPr>
        <w:t xml:space="preserve">Table </w:t>
      </w:r>
      <w:r w:rsidR="00EE4E12">
        <w:rPr>
          <w:rFonts w:cs="Arial"/>
          <w:b/>
          <w:bCs/>
        </w:rPr>
        <w:t>5</w:t>
      </w:r>
      <w:r w:rsidRPr="00C04ADA">
        <w:rPr>
          <w:rFonts w:cs="Arial"/>
          <w:b/>
          <w:bCs/>
        </w:rPr>
        <w:t xml:space="preserve"> Measure ASTM test results for Conveyor Ovens.</w:t>
      </w:r>
      <w:bookmarkEnd w:id="51"/>
      <w:bookmarkEnd w:id="52"/>
    </w:p>
    <w:tbl>
      <w:tblPr>
        <w:tblW w:w="46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2791"/>
        <w:gridCol w:w="2791"/>
      </w:tblGrid>
      <w:tr w:rsidR="00C04ADA" w:rsidRPr="00C04ADA" w14:paraId="373BD2E2" w14:textId="77777777" w:rsidTr="00707125">
        <w:trPr>
          <w:trHeight w:val="432"/>
        </w:trPr>
        <w:tc>
          <w:tcPr>
            <w:tcW w:w="1842" w:type="pct"/>
            <w:vAlign w:val="center"/>
          </w:tcPr>
          <w:p w14:paraId="4F3C3FAC" w14:textId="77777777" w:rsidR="00C04ADA" w:rsidRPr="00C04ADA" w:rsidRDefault="00C04ADA" w:rsidP="00C04ADA">
            <w:pPr>
              <w:jc w:val="center"/>
              <w:rPr>
                <w:rFonts w:cs="Arial"/>
                <w:b/>
                <w:bCs/>
                <w:color w:val="000000"/>
                <w:sz w:val="20"/>
                <w:szCs w:val="20"/>
              </w:rPr>
            </w:pPr>
          </w:p>
        </w:tc>
        <w:tc>
          <w:tcPr>
            <w:tcW w:w="1579" w:type="pct"/>
            <w:vAlign w:val="center"/>
          </w:tcPr>
          <w:p w14:paraId="556398AD" w14:textId="77777777" w:rsidR="00C04ADA" w:rsidRPr="00C04ADA" w:rsidRDefault="00C04ADA" w:rsidP="00C04ADA">
            <w:pPr>
              <w:jc w:val="center"/>
              <w:rPr>
                <w:rFonts w:cs="Arial"/>
                <w:b/>
                <w:bCs/>
                <w:color w:val="000000"/>
                <w:sz w:val="20"/>
                <w:szCs w:val="20"/>
              </w:rPr>
            </w:pPr>
            <w:r w:rsidRPr="00C04ADA">
              <w:rPr>
                <w:rFonts w:cs="Arial"/>
                <w:b/>
                <w:bCs/>
                <w:color w:val="000000"/>
                <w:sz w:val="20"/>
                <w:szCs w:val="20"/>
              </w:rPr>
              <w:t>Cooking-Energy Efficiency*</w:t>
            </w:r>
          </w:p>
        </w:tc>
        <w:tc>
          <w:tcPr>
            <w:tcW w:w="1579" w:type="pct"/>
            <w:vAlign w:val="center"/>
          </w:tcPr>
          <w:p w14:paraId="68E513F7" w14:textId="77777777" w:rsidR="00C04ADA" w:rsidRPr="00C04ADA" w:rsidRDefault="00C04ADA" w:rsidP="00C04ADA">
            <w:pPr>
              <w:jc w:val="center"/>
              <w:rPr>
                <w:rFonts w:cs="Arial"/>
                <w:b/>
                <w:bCs/>
                <w:color w:val="000000"/>
                <w:sz w:val="20"/>
                <w:szCs w:val="20"/>
              </w:rPr>
            </w:pPr>
            <w:r w:rsidRPr="00C04ADA">
              <w:rPr>
                <w:rFonts w:cs="Arial"/>
                <w:b/>
                <w:bCs/>
                <w:color w:val="000000"/>
                <w:sz w:val="20"/>
                <w:szCs w:val="20"/>
              </w:rPr>
              <w:t>Idle Energy Rate (Btu/</w:t>
            </w:r>
            <w:proofErr w:type="spellStart"/>
            <w:r w:rsidRPr="00C04ADA">
              <w:rPr>
                <w:rFonts w:cs="Arial"/>
                <w:b/>
                <w:bCs/>
                <w:color w:val="000000"/>
                <w:sz w:val="20"/>
                <w:szCs w:val="20"/>
              </w:rPr>
              <w:t>hr</w:t>
            </w:r>
            <w:proofErr w:type="spellEnd"/>
            <w:r w:rsidRPr="00C04ADA">
              <w:rPr>
                <w:rFonts w:cs="Arial"/>
                <w:b/>
                <w:bCs/>
                <w:color w:val="000000"/>
                <w:sz w:val="20"/>
                <w:szCs w:val="20"/>
              </w:rPr>
              <w:t>)</w:t>
            </w:r>
          </w:p>
        </w:tc>
      </w:tr>
      <w:tr w:rsidR="00C04ADA" w:rsidRPr="00C04ADA" w14:paraId="4177375F" w14:textId="77777777" w:rsidTr="00707125">
        <w:trPr>
          <w:trHeight w:val="288"/>
        </w:trPr>
        <w:tc>
          <w:tcPr>
            <w:tcW w:w="1842" w:type="pct"/>
            <w:vAlign w:val="center"/>
          </w:tcPr>
          <w:p w14:paraId="0D15EE03" w14:textId="77777777" w:rsidR="00C04ADA" w:rsidRPr="00C04ADA" w:rsidRDefault="00C04ADA" w:rsidP="00C04ADA">
            <w:pPr>
              <w:rPr>
                <w:rFonts w:cs="Arial"/>
                <w:color w:val="000000"/>
                <w:sz w:val="20"/>
                <w:szCs w:val="20"/>
              </w:rPr>
            </w:pPr>
            <w:r w:rsidRPr="00C04ADA">
              <w:rPr>
                <w:rFonts w:cs="Arial"/>
                <w:color w:val="000000"/>
                <w:sz w:val="20"/>
                <w:szCs w:val="20"/>
              </w:rPr>
              <w:t>Gas Conveyor Oven</w:t>
            </w:r>
          </w:p>
        </w:tc>
        <w:tc>
          <w:tcPr>
            <w:tcW w:w="1579" w:type="pct"/>
            <w:vAlign w:val="center"/>
          </w:tcPr>
          <w:p w14:paraId="1D58AEA0" w14:textId="77777777" w:rsidR="00C04ADA" w:rsidRPr="00C04ADA" w:rsidRDefault="00C04ADA" w:rsidP="00C04ADA">
            <w:pPr>
              <w:jc w:val="center"/>
              <w:rPr>
                <w:rFonts w:cs="Arial"/>
                <w:color w:val="000000"/>
                <w:sz w:val="20"/>
                <w:szCs w:val="20"/>
              </w:rPr>
            </w:pPr>
            <w:r w:rsidRPr="00C04ADA">
              <w:rPr>
                <w:rFonts w:cs="Arial"/>
                <w:color w:val="000000"/>
                <w:sz w:val="20"/>
                <w:szCs w:val="20"/>
              </w:rPr>
              <w:t>42%</w:t>
            </w:r>
          </w:p>
        </w:tc>
        <w:tc>
          <w:tcPr>
            <w:tcW w:w="1579" w:type="pct"/>
            <w:vAlign w:val="center"/>
          </w:tcPr>
          <w:p w14:paraId="6E2FF92D" w14:textId="77777777" w:rsidR="00C04ADA" w:rsidRPr="00C04ADA" w:rsidRDefault="00C04ADA" w:rsidP="00C04ADA">
            <w:pPr>
              <w:jc w:val="center"/>
              <w:rPr>
                <w:rFonts w:cs="Arial"/>
                <w:color w:val="000000"/>
                <w:sz w:val="20"/>
                <w:szCs w:val="20"/>
              </w:rPr>
            </w:pPr>
            <w:r w:rsidRPr="00C04ADA">
              <w:rPr>
                <w:rFonts w:cs="Arial"/>
                <w:color w:val="000000"/>
                <w:sz w:val="20"/>
                <w:szCs w:val="20"/>
              </w:rPr>
              <w:t>≤ 57,000 Btu/h</w:t>
            </w:r>
          </w:p>
        </w:tc>
      </w:tr>
    </w:tbl>
    <w:p w14:paraId="15941374" w14:textId="77777777" w:rsidR="00C04ADA" w:rsidRPr="00C04ADA" w:rsidRDefault="00C04ADA" w:rsidP="00C04ADA">
      <w:pPr>
        <w:rPr>
          <w:rFonts w:ascii="Times New Roman" w:hAnsi="Times New Roman"/>
          <w:sz w:val="18"/>
        </w:rPr>
      </w:pPr>
      <w:r w:rsidRPr="00C04ADA">
        <w:rPr>
          <w:rFonts w:ascii="Times New Roman" w:hAnsi="Times New Roman"/>
          <w:sz w:val="18"/>
        </w:rPr>
        <w:t>*Based on the heavy-load test in ASTM 2093.</w:t>
      </w:r>
    </w:p>
    <w:p w14:paraId="393A0AC8" w14:textId="7B9C2ED1" w:rsidR="009003FE" w:rsidRPr="009003FE" w:rsidRDefault="009003FE" w:rsidP="009003FE">
      <w:pPr>
        <w:rPr>
          <w:rFonts w:cs="Arial"/>
          <w:b/>
          <w:i/>
          <w:color w:val="FF0000"/>
        </w:rPr>
      </w:pPr>
    </w:p>
    <w:p w14:paraId="393A0AC9" w14:textId="77777777" w:rsidR="00E71EF1" w:rsidRDefault="001248A3" w:rsidP="001248A3">
      <w:pPr>
        <w:pStyle w:val="Heading2"/>
      </w:pPr>
      <w:bookmarkStart w:id="53" w:name="_Toc304800205"/>
      <w:bookmarkStart w:id="54" w:name="_Toc324318341"/>
      <w:bookmarkStart w:id="55" w:name="_Toc324340485"/>
      <w:bookmarkStart w:id="56" w:name="_Toc389305671"/>
      <w:r>
        <w:t>1.</w:t>
      </w:r>
      <w:r w:rsidR="00806070">
        <w:t>4.1</w:t>
      </w:r>
      <w:r w:rsidR="00FA595F">
        <w:t xml:space="preserve"> </w:t>
      </w:r>
      <w:r w:rsidR="00C069A2" w:rsidRPr="001248A3">
        <w:t xml:space="preserve">DEER </w:t>
      </w:r>
      <w:r w:rsidR="008C6AD1">
        <w:t>Base Case and Measure Case Information</w:t>
      </w:r>
      <w:bookmarkEnd w:id="53"/>
      <w:bookmarkEnd w:id="54"/>
      <w:bookmarkEnd w:id="55"/>
      <w:bookmarkEnd w:id="56"/>
      <w:r w:rsidR="008C6AD1">
        <w:t xml:space="preserve"> </w:t>
      </w:r>
    </w:p>
    <w:p w14:paraId="4F1F2D79" w14:textId="22354583" w:rsidR="00A77CF2" w:rsidRDefault="00C04ADA" w:rsidP="00A77CF2">
      <w:pPr>
        <w:ind w:left="360"/>
        <w:rPr>
          <w:rFonts w:cs="Arial"/>
          <w:sz w:val="20"/>
          <w:szCs w:val="20"/>
        </w:rPr>
      </w:pPr>
      <w:r w:rsidRPr="00C04ADA">
        <w:rPr>
          <w:rFonts w:cs="Arial"/>
          <w:sz w:val="20"/>
          <w:szCs w:val="20"/>
        </w:rPr>
        <w:t>The DEER database does not contain information on energy use or savings for an energy-efficient conveyor oven measure. The only reference in DEER for Commercial cooking equipment is for Estimated Useful Life.</w:t>
      </w:r>
      <w:r w:rsidRPr="00C04ADA">
        <w:rPr>
          <w:rFonts w:cs="Arial"/>
          <w:sz w:val="20"/>
          <w:szCs w:val="20"/>
          <w:vertAlign w:val="superscript"/>
        </w:rPr>
        <w:endnoteReference w:id="3"/>
      </w:r>
      <w:r w:rsidRPr="00C04ADA">
        <w:rPr>
          <w:rFonts w:cs="Arial"/>
          <w:sz w:val="20"/>
          <w:szCs w:val="20"/>
        </w:rPr>
        <w:t xml:space="preserve">  </w:t>
      </w:r>
    </w:p>
    <w:p w14:paraId="5E92CC8D" w14:textId="333EBE7A" w:rsidR="00853B76" w:rsidRDefault="00853B76" w:rsidP="00853B76">
      <w:pPr>
        <w:rPr>
          <w:highlight w:val="yellow"/>
        </w:rPr>
      </w:pPr>
    </w:p>
    <w:p w14:paraId="393A0C8A" w14:textId="77777777" w:rsidR="002E0043" w:rsidRPr="002E0043" w:rsidRDefault="001248A3" w:rsidP="002E0043">
      <w:pPr>
        <w:pStyle w:val="Heading2"/>
      </w:pPr>
      <w:bookmarkStart w:id="57" w:name="_Toc304800206"/>
      <w:bookmarkStart w:id="58" w:name="_Toc324318342"/>
      <w:bookmarkStart w:id="59" w:name="_Toc324340486"/>
      <w:bookmarkStart w:id="60" w:name="_Toc389305672"/>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7"/>
      <w:bookmarkEnd w:id="58"/>
      <w:bookmarkEnd w:id="59"/>
      <w:bookmarkEnd w:id="60"/>
    </w:p>
    <w:p w14:paraId="59888510" w14:textId="77777777" w:rsidR="00AB14AC" w:rsidRPr="00AB14AC" w:rsidRDefault="00AB14AC" w:rsidP="00AB14AC">
      <w:pPr>
        <w:rPr>
          <w:rFonts w:cs="Arial"/>
          <w:sz w:val="20"/>
          <w:szCs w:val="20"/>
        </w:rPr>
      </w:pPr>
      <w:bookmarkStart w:id="61" w:name="_Toc304800207"/>
      <w:bookmarkStart w:id="62" w:name="_Toc324318343"/>
      <w:bookmarkStart w:id="63" w:name="_Toc324340487"/>
      <w:r w:rsidRPr="00AB14AC">
        <w:rPr>
          <w:rFonts w:cs="Arial"/>
          <w:sz w:val="20"/>
          <w:szCs w:val="20"/>
        </w:rPr>
        <w:t xml:space="preserve">These measures are not governed by either state or federal codes and standards.  </w:t>
      </w:r>
    </w:p>
    <w:p w14:paraId="6565AEFF" w14:textId="77777777" w:rsidR="00AB14AC" w:rsidRPr="00AB14AC" w:rsidRDefault="00AB14AC" w:rsidP="00AB14AC">
      <w:pPr>
        <w:rPr>
          <w:rFonts w:cs="Arial"/>
          <w:sz w:val="20"/>
          <w:szCs w:val="20"/>
        </w:rPr>
      </w:pPr>
    </w:p>
    <w:p w14:paraId="08F753F7" w14:textId="77777777" w:rsidR="00AB14AC" w:rsidRPr="00AB14AC" w:rsidRDefault="00AB14AC" w:rsidP="00AB14AC">
      <w:pPr>
        <w:rPr>
          <w:rFonts w:cs="Arial"/>
          <w:sz w:val="20"/>
          <w:szCs w:val="20"/>
        </w:rPr>
      </w:pPr>
      <w:r w:rsidRPr="00AB14AC">
        <w:rPr>
          <w:rFonts w:cs="Arial"/>
          <w:sz w:val="20"/>
          <w:szCs w:val="20"/>
        </w:rPr>
        <w:t>ASTM Standard Test Method for the</w:t>
      </w:r>
      <w:r w:rsidRPr="00AB14AC">
        <w:rPr>
          <w:rFonts w:cs="Arial"/>
          <w:i/>
          <w:iCs/>
          <w:sz w:val="20"/>
          <w:szCs w:val="20"/>
        </w:rPr>
        <w:t xml:space="preserve"> </w:t>
      </w:r>
      <w:r w:rsidRPr="00AB14AC">
        <w:rPr>
          <w:rFonts w:cs="Arial"/>
          <w:sz w:val="20"/>
          <w:szCs w:val="20"/>
        </w:rPr>
        <w:t>Performance of Conveyor Ovens (F1817) is applicable for estimating energy use and cooking performance. It was used to estimate the energy consumption of the base case and measure equipment.</w:t>
      </w:r>
    </w:p>
    <w:p w14:paraId="393A0DAF" w14:textId="77777777" w:rsidR="002E0043" w:rsidRDefault="001248A3" w:rsidP="002E0043">
      <w:pPr>
        <w:pStyle w:val="Heading2"/>
        <w:keepNext w:val="0"/>
      </w:pPr>
      <w:bookmarkStart w:id="64" w:name="_Toc389305673"/>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1"/>
      <w:bookmarkEnd w:id="62"/>
      <w:bookmarkEnd w:id="63"/>
      <w:bookmarkEnd w:id="64"/>
    </w:p>
    <w:p w14:paraId="393A0EB9" w14:textId="27950326" w:rsidR="00A35CF8" w:rsidRPr="00AB14AC" w:rsidRDefault="00AB14AC" w:rsidP="00A35CF8">
      <w:pPr>
        <w:rPr>
          <w:sz w:val="20"/>
          <w:szCs w:val="20"/>
        </w:rPr>
      </w:pPr>
      <w:r w:rsidRPr="00AB14AC">
        <w:rPr>
          <w:sz w:val="20"/>
          <w:szCs w:val="20"/>
        </w:rPr>
        <w:t>There were no specific EM&amp;V studies identified that addressed cooking measures in the commercial sector.</w:t>
      </w:r>
    </w:p>
    <w:p w14:paraId="6DE9F906" w14:textId="77777777" w:rsidR="00AB14AC" w:rsidRDefault="00AB14AC" w:rsidP="002E0043">
      <w:pPr>
        <w:pStyle w:val="Heading2"/>
        <w:keepNext w:val="0"/>
      </w:pPr>
      <w:bookmarkStart w:id="65" w:name="_Toc304800208"/>
      <w:bookmarkStart w:id="66" w:name="_Toc324318344"/>
      <w:bookmarkStart w:id="67" w:name="_Toc324340488"/>
    </w:p>
    <w:p w14:paraId="393A0EBA" w14:textId="77777777" w:rsidR="009C5CA7" w:rsidRDefault="001248A3" w:rsidP="002E0043">
      <w:pPr>
        <w:pStyle w:val="Heading2"/>
        <w:keepNext w:val="0"/>
      </w:pPr>
      <w:bookmarkStart w:id="68" w:name="_Toc389305674"/>
      <w:r>
        <w:t>1.</w:t>
      </w:r>
      <w:r w:rsidR="00264B03">
        <w:t xml:space="preserve">4.4 </w:t>
      </w:r>
      <w:r w:rsidR="009C5CA7">
        <w:t xml:space="preserve">Assumptions and </w:t>
      </w:r>
      <w:r w:rsidR="00264B03">
        <w:t>Calculations from other sources—Base and Measure Cases</w:t>
      </w:r>
      <w:bookmarkEnd w:id="65"/>
      <w:bookmarkEnd w:id="66"/>
      <w:bookmarkEnd w:id="67"/>
      <w:bookmarkEnd w:id="68"/>
    </w:p>
    <w:p w14:paraId="22143FE9" w14:textId="77777777" w:rsidR="0027314F" w:rsidRDefault="00AB14AC" w:rsidP="0027314F">
      <w:pPr>
        <w:rPr>
          <w:rFonts w:cs="Arial"/>
          <w:sz w:val="20"/>
          <w:szCs w:val="20"/>
        </w:rPr>
      </w:pPr>
      <w:r w:rsidRPr="00AB14AC">
        <w:rPr>
          <w:rFonts w:cs="Arial"/>
          <w:sz w:val="20"/>
          <w:szCs w:val="20"/>
        </w:rPr>
        <w:t>The Food Service Technology Center conducted an assessment of major commercial cooking appliance technologies in 2002, which included a chapter on ovens</w:t>
      </w:r>
      <w:r w:rsidRPr="00AB14AC">
        <w:rPr>
          <w:rFonts w:cs="Arial"/>
          <w:sz w:val="20"/>
          <w:szCs w:val="20"/>
          <w:vertAlign w:val="superscript"/>
        </w:rPr>
        <w:endnoteReference w:id="4"/>
      </w:r>
      <w:r w:rsidRPr="00AB14AC">
        <w:rPr>
          <w:rFonts w:cs="Arial"/>
          <w:sz w:val="20"/>
          <w:szCs w:val="20"/>
        </w:rPr>
        <w:t>.</w:t>
      </w:r>
      <w:r w:rsidRPr="00AB14AC">
        <w:rPr>
          <w:rFonts w:cs="Arial"/>
          <w:sz w:val="20"/>
          <w:szCs w:val="20"/>
          <w:vertAlign w:val="superscript"/>
        </w:rPr>
        <w:t xml:space="preserve">  </w:t>
      </w:r>
      <w:r w:rsidRPr="00AB14AC">
        <w:rPr>
          <w:rFonts w:cs="Arial"/>
          <w:sz w:val="20"/>
          <w:szCs w:val="20"/>
        </w:rPr>
        <w:t>The study showed that standard-efficiency gas conveyor oven cooking-energy efficiencies vary from 10 to 20% and high-efficiency gas conveyor oven cooking-energy efficiencies vary from 40 to 50%. Since commercial gas conveyor ovens are currently not covered by state or national codes, the base case for existing models of gas conveyor ovens was determined from upper range of standard gas conveyor ovens as listed in Table 7.1 of the Food Service Technology Center assessment.</w:t>
      </w:r>
      <w:bookmarkStart w:id="70" w:name="_Toc326930840"/>
    </w:p>
    <w:p w14:paraId="440BFEFC" w14:textId="77777777" w:rsidR="0027314F" w:rsidRDefault="0027314F" w:rsidP="0027314F">
      <w:pPr>
        <w:rPr>
          <w:rFonts w:cs="Arial"/>
          <w:sz w:val="20"/>
          <w:szCs w:val="20"/>
        </w:rPr>
      </w:pPr>
    </w:p>
    <w:p w14:paraId="34544C11" w14:textId="4C496D4B" w:rsidR="0027314F" w:rsidRDefault="0027314F" w:rsidP="0027314F">
      <w:pPr>
        <w:rPr>
          <w:b/>
          <w:bCs/>
          <w:i/>
          <w:iCs/>
          <w:sz w:val="20"/>
          <w:szCs w:val="20"/>
        </w:rPr>
      </w:pPr>
      <w:r w:rsidRPr="0027314F">
        <w:rPr>
          <w:b/>
          <w:bCs/>
          <w:i/>
          <w:iCs/>
          <w:sz w:val="20"/>
          <w:szCs w:val="20"/>
        </w:rPr>
        <w:t>Base Cases &amp; Measure Effective Useful Lives</w:t>
      </w:r>
      <w:bookmarkEnd w:id="70"/>
    </w:p>
    <w:p w14:paraId="07D3008D" w14:textId="77777777" w:rsidR="0027314F" w:rsidRPr="0027314F" w:rsidRDefault="0027314F" w:rsidP="0027314F">
      <w:pPr>
        <w:rPr>
          <w:b/>
          <w:bCs/>
          <w:i/>
          <w:iCs/>
          <w:sz w:val="20"/>
          <w:szCs w:val="20"/>
        </w:rPr>
      </w:pPr>
    </w:p>
    <w:p w14:paraId="20F6F91A" w14:textId="77777777" w:rsidR="0027314F" w:rsidRPr="0027314F" w:rsidRDefault="0027314F" w:rsidP="0027314F">
      <w:pPr>
        <w:rPr>
          <w:rFonts w:cs="Arial"/>
          <w:sz w:val="20"/>
          <w:szCs w:val="20"/>
        </w:rPr>
      </w:pPr>
      <w:r w:rsidRPr="0027314F">
        <w:rPr>
          <w:rFonts w:cs="Arial"/>
          <w:sz w:val="20"/>
          <w:szCs w:val="20"/>
        </w:rPr>
        <w:t>The DEER Measure Cost Data Users Guide</w:t>
      </w:r>
      <w:r w:rsidRPr="0027314F">
        <w:rPr>
          <w:rFonts w:cs="Arial"/>
          <w:sz w:val="20"/>
          <w:szCs w:val="20"/>
        </w:rPr>
        <w:fldChar w:fldCharType="begin"/>
      </w:r>
      <w:r w:rsidRPr="0027314F">
        <w:rPr>
          <w:rFonts w:cs="Arial"/>
          <w:sz w:val="20"/>
          <w:szCs w:val="20"/>
        </w:rPr>
        <w:instrText xml:space="preserve"> XE "DEER Measure Cost Data Users Guide" </w:instrText>
      </w:r>
      <w:r w:rsidRPr="0027314F">
        <w:rPr>
          <w:rFonts w:cs="Arial"/>
          <w:sz w:val="20"/>
          <w:szCs w:val="20"/>
        </w:rPr>
        <w:fldChar w:fldCharType="end"/>
      </w:r>
      <w:r w:rsidRPr="0027314F">
        <w:rPr>
          <w:rFonts w:cs="Arial"/>
          <w:sz w:val="20"/>
          <w:szCs w:val="20"/>
        </w:rPr>
        <w:t>, version 2.01, defines the following terms:</w:t>
      </w:r>
    </w:p>
    <w:p w14:paraId="3DBF1484" w14:textId="77777777" w:rsidR="0027314F" w:rsidRPr="0027314F" w:rsidRDefault="0027314F" w:rsidP="0027314F">
      <w:pPr>
        <w:numPr>
          <w:ilvl w:val="0"/>
          <w:numId w:val="3"/>
        </w:numPr>
        <w:rPr>
          <w:rFonts w:cs="Arial"/>
          <w:sz w:val="20"/>
          <w:szCs w:val="20"/>
        </w:rPr>
      </w:pPr>
      <w:r w:rsidRPr="0027314F">
        <w:rPr>
          <w:rFonts w:cs="Arial"/>
          <w:sz w:val="20"/>
          <w:szCs w:val="20"/>
        </w:rPr>
        <w:t>Replace on Burnout</w:t>
      </w:r>
      <w:r w:rsidRPr="0027314F">
        <w:rPr>
          <w:rFonts w:cs="Arial"/>
          <w:sz w:val="20"/>
          <w:szCs w:val="20"/>
        </w:rPr>
        <w:fldChar w:fldCharType="begin"/>
      </w:r>
      <w:r w:rsidRPr="0027314F">
        <w:rPr>
          <w:rFonts w:cs="Arial"/>
          <w:sz w:val="20"/>
          <w:szCs w:val="20"/>
        </w:rPr>
        <w:instrText xml:space="preserve"> XE "Replace on Burnout" </w:instrText>
      </w:r>
      <w:r w:rsidRPr="0027314F">
        <w:rPr>
          <w:rFonts w:cs="Arial"/>
          <w:sz w:val="20"/>
          <w:szCs w:val="20"/>
        </w:rPr>
        <w:fldChar w:fldCharType="end"/>
      </w:r>
      <w:r w:rsidRPr="0027314F">
        <w:rPr>
          <w:rFonts w:cs="Arial"/>
          <w:sz w:val="20"/>
          <w:szCs w:val="20"/>
        </w:rPr>
        <w:t xml:space="preserve"> (ROB) – replacing a technology at the end of its useful life.</w:t>
      </w:r>
    </w:p>
    <w:p w14:paraId="6682DD06" w14:textId="77777777" w:rsidR="0027314F" w:rsidRPr="0027314F" w:rsidRDefault="0027314F" w:rsidP="0027314F">
      <w:pPr>
        <w:numPr>
          <w:ilvl w:val="0"/>
          <w:numId w:val="3"/>
        </w:numPr>
        <w:rPr>
          <w:rFonts w:cs="Arial"/>
          <w:sz w:val="20"/>
          <w:szCs w:val="20"/>
        </w:rPr>
      </w:pPr>
      <w:r w:rsidRPr="0027314F">
        <w:rPr>
          <w:rFonts w:cs="Arial"/>
          <w:sz w:val="20"/>
          <w:szCs w:val="20"/>
        </w:rPr>
        <w:t>New Construction</w:t>
      </w:r>
      <w:r w:rsidRPr="0027314F">
        <w:rPr>
          <w:rFonts w:cs="Arial"/>
          <w:sz w:val="20"/>
          <w:szCs w:val="20"/>
        </w:rPr>
        <w:fldChar w:fldCharType="begin"/>
      </w:r>
      <w:r w:rsidRPr="0027314F">
        <w:rPr>
          <w:rFonts w:cs="Arial"/>
          <w:sz w:val="20"/>
          <w:szCs w:val="20"/>
        </w:rPr>
        <w:instrText xml:space="preserve"> XE "New Construction" </w:instrText>
      </w:r>
      <w:r w:rsidRPr="0027314F">
        <w:rPr>
          <w:rFonts w:cs="Arial"/>
          <w:sz w:val="20"/>
          <w:szCs w:val="20"/>
        </w:rPr>
        <w:fldChar w:fldCharType="end"/>
      </w:r>
      <w:r w:rsidRPr="0027314F">
        <w:rPr>
          <w:rFonts w:cs="Arial"/>
          <w:sz w:val="20"/>
          <w:szCs w:val="20"/>
        </w:rPr>
        <w:t xml:space="preserve"> (NC) – installing a technology in a new construction or major renovation project.</w:t>
      </w:r>
    </w:p>
    <w:p w14:paraId="45661D8D" w14:textId="77777777" w:rsidR="0027314F" w:rsidRPr="0027314F" w:rsidRDefault="0027314F" w:rsidP="0027314F">
      <w:pPr>
        <w:rPr>
          <w:rFonts w:cs="Arial"/>
          <w:sz w:val="20"/>
          <w:szCs w:val="20"/>
        </w:rPr>
      </w:pPr>
    </w:p>
    <w:p w14:paraId="7988730D" w14:textId="5D3D2A30" w:rsidR="0027314F" w:rsidRPr="0027314F" w:rsidRDefault="0027314F" w:rsidP="0027314F">
      <w:pPr>
        <w:rPr>
          <w:rFonts w:cs="Arial"/>
          <w:sz w:val="20"/>
          <w:szCs w:val="20"/>
        </w:rPr>
      </w:pPr>
      <w:r w:rsidRPr="0027314F">
        <w:rPr>
          <w:rFonts w:cs="Arial"/>
          <w:sz w:val="20"/>
          <w:szCs w:val="20"/>
        </w:rPr>
        <w:t xml:space="preserve">The </w:t>
      </w:r>
      <w:r w:rsidRPr="0027314F">
        <w:rPr>
          <w:rFonts w:cs="Arial"/>
          <w:bCs/>
          <w:sz w:val="20"/>
          <w:szCs w:val="20"/>
        </w:rPr>
        <w:t>201</w:t>
      </w:r>
      <w:r>
        <w:rPr>
          <w:rFonts w:cs="Arial"/>
          <w:bCs/>
          <w:sz w:val="20"/>
          <w:szCs w:val="20"/>
        </w:rPr>
        <w:t>4</w:t>
      </w:r>
      <w:r w:rsidRPr="0027314F">
        <w:rPr>
          <w:rFonts w:cs="Arial"/>
          <w:bCs/>
          <w:sz w:val="20"/>
          <w:szCs w:val="20"/>
        </w:rPr>
        <w:t xml:space="preserve"> DEER</w:t>
      </w:r>
      <w:r w:rsidRPr="0027314F">
        <w:rPr>
          <w:rFonts w:cs="Arial"/>
          <w:sz w:val="20"/>
          <w:szCs w:val="20"/>
        </w:rPr>
        <w:t xml:space="preserve">, database shows a EUL of 12 years for all cooking appliance measures, including gas conveyor ovens. </w:t>
      </w:r>
      <w:r w:rsidRPr="0027314F">
        <w:rPr>
          <w:rFonts w:cs="Arial"/>
          <w:sz w:val="20"/>
          <w:szCs w:val="20"/>
          <w:vertAlign w:val="superscript"/>
        </w:rPr>
        <w:t xml:space="preserve"> </w:t>
      </w:r>
      <w:r w:rsidRPr="0027314F">
        <w:rPr>
          <w:rFonts w:cs="Arial"/>
          <w:sz w:val="20"/>
          <w:szCs w:val="20"/>
        </w:rPr>
        <w:t>Gas</w:t>
      </w:r>
      <w:r w:rsidRPr="0027314F">
        <w:rPr>
          <w:rFonts w:cs="Arial"/>
          <w:sz w:val="20"/>
          <w:szCs w:val="20"/>
          <w:vertAlign w:val="superscript"/>
        </w:rPr>
        <w:t xml:space="preserve"> </w:t>
      </w:r>
      <w:r w:rsidRPr="0027314F">
        <w:rPr>
          <w:rFonts w:cs="Arial"/>
          <w:sz w:val="20"/>
          <w:szCs w:val="20"/>
        </w:rPr>
        <w:t>conveyor ovens are classed as suitable for ROB, and NC installations.</w:t>
      </w:r>
    </w:p>
    <w:p w14:paraId="0E886841" w14:textId="77777777" w:rsidR="0027314F" w:rsidRDefault="0027314F" w:rsidP="0027314F">
      <w:pPr>
        <w:rPr>
          <w:rFonts w:cs="Arial"/>
          <w:b/>
          <w:bCs/>
          <w:i/>
          <w:iCs/>
          <w:sz w:val="20"/>
          <w:szCs w:val="20"/>
        </w:rPr>
      </w:pPr>
      <w:bookmarkStart w:id="71" w:name="_Toc326930841"/>
    </w:p>
    <w:p w14:paraId="02B2A8D8" w14:textId="4F082DD4" w:rsidR="0027314F" w:rsidRDefault="0027314F" w:rsidP="0027314F">
      <w:pPr>
        <w:rPr>
          <w:rFonts w:cs="Arial"/>
          <w:b/>
          <w:bCs/>
          <w:i/>
          <w:iCs/>
          <w:sz w:val="20"/>
          <w:szCs w:val="20"/>
        </w:rPr>
      </w:pPr>
      <w:r w:rsidRPr="0027314F">
        <w:rPr>
          <w:rFonts w:cs="Arial"/>
          <w:b/>
          <w:bCs/>
          <w:i/>
          <w:iCs/>
          <w:sz w:val="20"/>
          <w:szCs w:val="20"/>
        </w:rPr>
        <w:t xml:space="preserve"> Net-to-Gross Ratios for Different Program Strategies</w:t>
      </w:r>
      <w:bookmarkEnd w:id="71"/>
    </w:p>
    <w:p w14:paraId="44C8CF3B" w14:textId="77777777" w:rsidR="0027314F" w:rsidRPr="0027314F" w:rsidRDefault="0027314F" w:rsidP="0027314F">
      <w:pPr>
        <w:rPr>
          <w:rFonts w:cs="Arial"/>
          <w:b/>
          <w:bCs/>
          <w:i/>
          <w:iCs/>
          <w:sz w:val="20"/>
          <w:szCs w:val="20"/>
        </w:rPr>
      </w:pPr>
    </w:p>
    <w:p w14:paraId="1B042855" w14:textId="468C0FCE" w:rsidR="0027314F" w:rsidRPr="0027314F" w:rsidRDefault="0027314F" w:rsidP="0027314F">
      <w:pPr>
        <w:rPr>
          <w:rFonts w:cs="Arial"/>
          <w:sz w:val="20"/>
          <w:szCs w:val="20"/>
        </w:rPr>
      </w:pPr>
      <w:r w:rsidRPr="0027314F">
        <w:rPr>
          <w:rFonts w:cs="Arial"/>
          <w:sz w:val="20"/>
          <w:szCs w:val="20"/>
        </w:rPr>
        <w:t>The 201</w:t>
      </w:r>
      <w:r>
        <w:rPr>
          <w:rFonts w:cs="Arial"/>
          <w:sz w:val="20"/>
          <w:szCs w:val="20"/>
        </w:rPr>
        <w:t>4</w:t>
      </w:r>
      <w:r w:rsidRPr="0027314F">
        <w:rPr>
          <w:rFonts w:cs="Arial"/>
          <w:sz w:val="20"/>
          <w:szCs w:val="20"/>
        </w:rPr>
        <w:t xml:space="preserve"> DEER NTGR Values file does not specifically list commercial food service appliances. The default used for non-residential measures is 0.6.</w:t>
      </w:r>
      <w:r w:rsidRPr="0027314F">
        <w:rPr>
          <w:rFonts w:cs="Arial"/>
          <w:sz w:val="20"/>
          <w:szCs w:val="20"/>
          <w:vertAlign w:val="superscript"/>
        </w:rPr>
        <w:endnoteReference w:id="5"/>
      </w:r>
      <w:r w:rsidRPr="0027314F">
        <w:rPr>
          <w:rFonts w:cs="Arial"/>
          <w:sz w:val="20"/>
          <w:szCs w:val="20"/>
        </w:rPr>
        <w:t xml:space="preserve"> However, we are convinced that this default value underestimates the actual importance of the rebate programs in motivating FS operators to purchase EE equipment.  </w:t>
      </w:r>
    </w:p>
    <w:p w14:paraId="098C11C3" w14:textId="77777777" w:rsidR="0027314F" w:rsidRPr="0027314F" w:rsidRDefault="0027314F" w:rsidP="0027314F">
      <w:pPr>
        <w:rPr>
          <w:rFonts w:cs="Arial"/>
          <w:b/>
          <w:bCs/>
          <w:sz w:val="20"/>
          <w:szCs w:val="20"/>
        </w:rPr>
      </w:pPr>
    </w:p>
    <w:p w14:paraId="5D9217E4" w14:textId="36A426E9" w:rsidR="0027314F" w:rsidRPr="0027314F" w:rsidRDefault="0027314F" w:rsidP="0027314F">
      <w:pPr>
        <w:rPr>
          <w:rFonts w:cs="Arial"/>
          <w:b/>
          <w:bCs/>
          <w:sz w:val="20"/>
          <w:szCs w:val="20"/>
        </w:rPr>
      </w:pPr>
      <w:r w:rsidRPr="0027314F">
        <w:rPr>
          <w:rFonts w:cs="Arial"/>
          <w:b/>
          <w:bCs/>
          <w:sz w:val="20"/>
          <w:szCs w:val="20"/>
        </w:rPr>
        <w:fldChar w:fldCharType="begin"/>
      </w:r>
      <w:r w:rsidRPr="0027314F">
        <w:rPr>
          <w:rFonts w:cs="Arial"/>
          <w:b/>
          <w:bCs/>
          <w:sz w:val="20"/>
          <w:szCs w:val="20"/>
        </w:rPr>
        <w:instrText xml:space="preserve"> TC /f “Table”</w:instrText>
      </w:r>
      <w:r w:rsidRPr="0027314F">
        <w:rPr>
          <w:rFonts w:cs="Arial"/>
          <w:b/>
          <w:bCs/>
          <w:sz w:val="20"/>
          <w:szCs w:val="20"/>
        </w:rPr>
        <w:fldChar w:fldCharType="end"/>
      </w:r>
      <w:r w:rsidRPr="0027314F">
        <w:rPr>
          <w:rFonts w:cs="Arial"/>
          <w:b/>
          <w:bCs/>
          <w:sz w:val="20"/>
          <w:szCs w:val="20"/>
        </w:rPr>
        <w:fldChar w:fldCharType="begin"/>
      </w:r>
      <w:r w:rsidRPr="0027314F">
        <w:rPr>
          <w:rFonts w:cs="Arial"/>
          <w:b/>
          <w:bCs/>
          <w:sz w:val="20"/>
          <w:szCs w:val="20"/>
        </w:rPr>
        <w:instrText xml:space="preserve"> TC /f “Table”</w:instrText>
      </w:r>
      <w:r w:rsidRPr="0027314F">
        <w:rPr>
          <w:rFonts w:cs="Arial"/>
          <w:b/>
          <w:bCs/>
          <w:sz w:val="20"/>
          <w:szCs w:val="20"/>
        </w:rPr>
        <w:fldChar w:fldCharType="end"/>
      </w:r>
      <w:bookmarkStart w:id="72" w:name="_Toc326930819"/>
      <w:r w:rsidRPr="0027314F">
        <w:rPr>
          <w:rFonts w:cs="Arial"/>
          <w:b/>
          <w:bCs/>
          <w:sz w:val="20"/>
          <w:szCs w:val="20"/>
        </w:rPr>
        <w:t>Table</w:t>
      </w:r>
      <w:r w:rsidR="00916793">
        <w:rPr>
          <w:rFonts w:cs="Arial"/>
          <w:b/>
          <w:bCs/>
          <w:sz w:val="20"/>
          <w:szCs w:val="20"/>
        </w:rPr>
        <w:t xml:space="preserve"> 6</w:t>
      </w:r>
      <w:r w:rsidRPr="0027314F">
        <w:rPr>
          <w:rFonts w:cs="Arial"/>
          <w:b/>
          <w:bCs/>
          <w:sz w:val="20"/>
          <w:szCs w:val="20"/>
        </w:rPr>
        <w:t xml:space="preserve"> Net-to-Gross Ratios</w:t>
      </w:r>
      <w:bookmarkEnd w:id="72"/>
    </w:p>
    <w:tbl>
      <w:tblPr>
        <w:tblW w:w="5000" w:type="pct"/>
        <w:tblBorders>
          <w:insideH w:val="single" w:sz="18" w:space="0" w:color="FFFFFF"/>
          <w:insideV w:val="single" w:sz="18" w:space="0" w:color="FFFFFF"/>
        </w:tblBorders>
        <w:tblLook w:val="01E0" w:firstRow="1" w:lastRow="1" w:firstColumn="1" w:lastColumn="1" w:noHBand="0" w:noVBand="0"/>
      </w:tblPr>
      <w:tblGrid>
        <w:gridCol w:w="1999"/>
        <w:gridCol w:w="691"/>
        <w:gridCol w:w="5725"/>
        <w:gridCol w:w="1161"/>
      </w:tblGrid>
      <w:tr w:rsidR="0027314F" w:rsidRPr="0027314F" w14:paraId="397A94E4" w14:textId="77777777" w:rsidTr="00707125">
        <w:trPr>
          <w:trHeight w:val="315"/>
        </w:trPr>
        <w:tc>
          <w:tcPr>
            <w:tcW w:w="1044" w:type="pct"/>
            <w:tcBorders>
              <w:top w:val="nil"/>
              <w:left w:val="nil"/>
              <w:bottom w:val="single" w:sz="18" w:space="0" w:color="FFFFFF"/>
              <w:right w:val="single" w:sz="18" w:space="0" w:color="FFFFFF"/>
            </w:tcBorders>
            <w:shd w:val="pct20" w:color="000000" w:fill="FFFFFF"/>
          </w:tcPr>
          <w:p w14:paraId="48AB6C8E" w14:textId="77777777" w:rsidR="0027314F" w:rsidRPr="0027314F" w:rsidRDefault="0027314F" w:rsidP="0027314F">
            <w:pPr>
              <w:rPr>
                <w:rFonts w:cs="Arial"/>
                <w:b/>
                <w:bCs/>
                <w:sz w:val="20"/>
                <w:szCs w:val="20"/>
              </w:rPr>
            </w:pPr>
            <w:r w:rsidRPr="0027314F">
              <w:rPr>
                <w:rFonts w:cs="Arial"/>
                <w:sz w:val="20"/>
                <w:szCs w:val="20"/>
              </w:rPr>
              <w:fldChar w:fldCharType="begin"/>
            </w:r>
            <w:r w:rsidRPr="0027314F">
              <w:rPr>
                <w:rFonts w:cs="Arial"/>
                <w:sz w:val="20"/>
                <w:szCs w:val="20"/>
              </w:rPr>
              <w:instrText xml:space="preserve"> TC /f “Table”</w:instrText>
            </w:r>
            <w:r w:rsidRPr="0027314F">
              <w:rPr>
                <w:rFonts w:cs="Arial"/>
                <w:sz w:val="20"/>
                <w:szCs w:val="20"/>
              </w:rPr>
              <w:fldChar w:fldCharType="end"/>
            </w:r>
            <w:r w:rsidRPr="0027314F">
              <w:rPr>
                <w:rFonts w:cs="Arial"/>
                <w:sz w:val="20"/>
                <w:szCs w:val="20"/>
              </w:rPr>
              <w:fldChar w:fldCharType="begin"/>
            </w:r>
            <w:r w:rsidRPr="0027314F">
              <w:rPr>
                <w:rFonts w:cs="Arial"/>
                <w:sz w:val="20"/>
                <w:szCs w:val="20"/>
              </w:rPr>
              <w:instrText xml:space="preserve"> TC /f “Table”</w:instrText>
            </w:r>
            <w:r w:rsidRPr="0027314F">
              <w:rPr>
                <w:rFonts w:cs="Arial"/>
                <w:sz w:val="20"/>
                <w:szCs w:val="20"/>
              </w:rPr>
              <w:fldChar w:fldCharType="end"/>
            </w:r>
          </w:p>
        </w:tc>
        <w:tc>
          <w:tcPr>
            <w:tcW w:w="361" w:type="pct"/>
            <w:tcBorders>
              <w:top w:val="nil"/>
              <w:left w:val="single" w:sz="18" w:space="0" w:color="FFFFFF"/>
              <w:bottom w:val="single" w:sz="18" w:space="0" w:color="FFFFFF"/>
              <w:right w:val="single" w:sz="18" w:space="0" w:color="FFFFFF"/>
            </w:tcBorders>
            <w:shd w:val="pct20" w:color="000000" w:fill="FFFFFF"/>
          </w:tcPr>
          <w:p w14:paraId="73705E8C" w14:textId="77777777" w:rsidR="0027314F" w:rsidRPr="0027314F" w:rsidRDefault="0027314F" w:rsidP="0027314F">
            <w:pPr>
              <w:rPr>
                <w:rFonts w:cs="Arial"/>
                <w:b/>
                <w:bCs/>
                <w:sz w:val="20"/>
                <w:szCs w:val="20"/>
              </w:rPr>
            </w:pPr>
          </w:p>
        </w:tc>
        <w:tc>
          <w:tcPr>
            <w:tcW w:w="3595" w:type="pct"/>
            <w:gridSpan w:val="2"/>
            <w:tcBorders>
              <w:top w:val="nil"/>
              <w:left w:val="single" w:sz="18" w:space="0" w:color="FFFFFF"/>
              <w:bottom w:val="single" w:sz="18" w:space="0" w:color="FFFFFF"/>
              <w:right w:val="nil"/>
            </w:tcBorders>
            <w:shd w:val="pct20" w:color="000000" w:fill="FFFFFF"/>
            <w:hideMark/>
          </w:tcPr>
          <w:p w14:paraId="38E80E55" w14:textId="77777777" w:rsidR="0027314F" w:rsidRPr="0027314F" w:rsidRDefault="0027314F" w:rsidP="0027314F">
            <w:pPr>
              <w:rPr>
                <w:rFonts w:cs="Arial"/>
                <w:b/>
                <w:bCs/>
                <w:sz w:val="20"/>
                <w:szCs w:val="20"/>
              </w:rPr>
            </w:pPr>
            <w:r w:rsidRPr="0027314F">
              <w:rPr>
                <w:rFonts w:cs="Arial"/>
                <w:b/>
                <w:bCs/>
                <w:sz w:val="20"/>
                <w:szCs w:val="20"/>
              </w:rPr>
              <w:t>DEER Spreadsheet</w:t>
            </w:r>
          </w:p>
        </w:tc>
      </w:tr>
      <w:tr w:rsidR="0027314F" w:rsidRPr="0027314F" w14:paraId="58CDF61A" w14:textId="77777777" w:rsidTr="00932670">
        <w:tc>
          <w:tcPr>
            <w:tcW w:w="1044" w:type="pct"/>
            <w:tcBorders>
              <w:top w:val="single" w:sz="18" w:space="0" w:color="FFFFFF"/>
              <w:left w:val="nil"/>
              <w:bottom w:val="single" w:sz="18" w:space="0" w:color="FFFFFF"/>
              <w:right w:val="single" w:sz="18" w:space="0" w:color="FFFFFF"/>
            </w:tcBorders>
            <w:shd w:val="pct5" w:color="000000" w:fill="FFFFFF"/>
            <w:hideMark/>
          </w:tcPr>
          <w:p w14:paraId="2EAEC9A5" w14:textId="77777777" w:rsidR="0027314F" w:rsidRPr="0027314F" w:rsidRDefault="0027314F" w:rsidP="0027314F">
            <w:pPr>
              <w:rPr>
                <w:rFonts w:cs="Arial"/>
                <w:sz w:val="20"/>
                <w:szCs w:val="20"/>
              </w:rPr>
            </w:pPr>
            <w:r w:rsidRPr="0027314F">
              <w:rPr>
                <w:rFonts w:cs="Arial"/>
                <w:sz w:val="20"/>
                <w:szCs w:val="20"/>
              </w:rPr>
              <w:t>Program Approach</w:t>
            </w:r>
          </w:p>
        </w:tc>
        <w:tc>
          <w:tcPr>
            <w:tcW w:w="361" w:type="pct"/>
            <w:tcBorders>
              <w:top w:val="single" w:sz="18" w:space="0" w:color="FFFFFF"/>
              <w:left w:val="single" w:sz="18" w:space="0" w:color="FFFFFF"/>
              <w:bottom w:val="single" w:sz="18" w:space="0" w:color="FFFFFF"/>
              <w:right w:val="single" w:sz="18" w:space="0" w:color="FFFFFF"/>
            </w:tcBorders>
            <w:shd w:val="pct5" w:color="000000" w:fill="FFFFFF"/>
            <w:hideMark/>
          </w:tcPr>
          <w:p w14:paraId="027A781E" w14:textId="77777777" w:rsidR="0027314F" w:rsidRPr="0027314F" w:rsidRDefault="0027314F" w:rsidP="0027314F">
            <w:pPr>
              <w:rPr>
                <w:rFonts w:cs="Arial"/>
                <w:sz w:val="20"/>
                <w:szCs w:val="20"/>
              </w:rPr>
            </w:pPr>
            <w:r w:rsidRPr="0027314F">
              <w:rPr>
                <w:rFonts w:cs="Arial"/>
                <w:sz w:val="20"/>
                <w:szCs w:val="20"/>
              </w:rPr>
              <w:t>NTG</w:t>
            </w:r>
          </w:p>
        </w:tc>
        <w:tc>
          <w:tcPr>
            <w:tcW w:w="2989" w:type="pct"/>
            <w:tcBorders>
              <w:top w:val="single" w:sz="18" w:space="0" w:color="FFFFFF"/>
              <w:left w:val="single" w:sz="18" w:space="0" w:color="FFFFFF"/>
              <w:bottom w:val="single" w:sz="18" w:space="0" w:color="FFFFFF"/>
              <w:right w:val="single" w:sz="18" w:space="0" w:color="FFFFFF"/>
            </w:tcBorders>
            <w:shd w:val="pct5" w:color="000000" w:fill="FFFFFF"/>
            <w:hideMark/>
          </w:tcPr>
          <w:p w14:paraId="2F5EBAB7" w14:textId="77777777" w:rsidR="0027314F" w:rsidRPr="0027314F" w:rsidRDefault="0027314F" w:rsidP="0027314F">
            <w:pPr>
              <w:rPr>
                <w:rFonts w:cs="Arial"/>
                <w:sz w:val="20"/>
                <w:szCs w:val="20"/>
              </w:rPr>
            </w:pPr>
            <w:r w:rsidRPr="0027314F">
              <w:rPr>
                <w:rFonts w:cs="Arial"/>
                <w:sz w:val="20"/>
                <w:szCs w:val="20"/>
              </w:rPr>
              <w:t>File name</w:t>
            </w:r>
          </w:p>
        </w:tc>
        <w:tc>
          <w:tcPr>
            <w:tcW w:w="605" w:type="pct"/>
            <w:tcBorders>
              <w:top w:val="single" w:sz="18" w:space="0" w:color="FFFFFF"/>
              <w:left w:val="single" w:sz="18" w:space="0" w:color="FFFFFF"/>
              <w:bottom w:val="single" w:sz="18" w:space="0" w:color="FFFFFF"/>
              <w:right w:val="nil"/>
            </w:tcBorders>
            <w:shd w:val="pct5" w:color="000000" w:fill="FFFFFF"/>
          </w:tcPr>
          <w:p w14:paraId="602DD194" w14:textId="2CF1E8A0" w:rsidR="0027314F" w:rsidRPr="0027314F" w:rsidRDefault="0027314F" w:rsidP="0027314F">
            <w:pPr>
              <w:rPr>
                <w:rFonts w:cs="Arial"/>
                <w:sz w:val="20"/>
                <w:szCs w:val="20"/>
              </w:rPr>
            </w:pPr>
          </w:p>
        </w:tc>
      </w:tr>
      <w:tr w:rsidR="0027314F" w:rsidRPr="0027314F" w14:paraId="0646E086" w14:textId="77777777" w:rsidTr="00707125">
        <w:tc>
          <w:tcPr>
            <w:tcW w:w="1044" w:type="pct"/>
            <w:tcBorders>
              <w:top w:val="single" w:sz="18" w:space="0" w:color="FFFFFF"/>
              <w:left w:val="nil"/>
              <w:bottom w:val="nil"/>
              <w:right w:val="single" w:sz="18" w:space="0" w:color="FFFFFF"/>
            </w:tcBorders>
            <w:shd w:val="pct20" w:color="000000" w:fill="FFFFFF"/>
            <w:vAlign w:val="center"/>
            <w:hideMark/>
          </w:tcPr>
          <w:p w14:paraId="70672D64" w14:textId="77777777" w:rsidR="0027314F" w:rsidRPr="0027314F" w:rsidRDefault="0027314F" w:rsidP="0027314F">
            <w:pPr>
              <w:rPr>
                <w:rFonts w:cs="Arial"/>
                <w:sz w:val="20"/>
                <w:szCs w:val="20"/>
              </w:rPr>
            </w:pPr>
            <w:r w:rsidRPr="0027314F">
              <w:rPr>
                <w:rFonts w:cs="Arial"/>
                <w:sz w:val="20"/>
                <w:szCs w:val="20"/>
              </w:rPr>
              <w:t>Commercial Gas Conveyor Ovens</w:t>
            </w:r>
          </w:p>
        </w:tc>
        <w:tc>
          <w:tcPr>
            <w:tcW w:w="361" w:type="pct"/>
            <w:tcBorders>
              <w:top w:val="single" w:sz="18" w:space="0" w:color="FFFFFF"/>
              <w:left w:val="single" w:sz="18" w:space="0" w:color="FFFFFF"/>
              <w:bottom w:val="nil"/>
              <w:right w:val="single" w:sz="18" w:space="0" w:color="FFFFFF"/>
            </w:tcBorders>
            <w:shd w:val="pct20" w:color="000000" w:fill="FFFFFF"/>
            <w:vAlign w:val="center"/>
          </w:tcPr>
          <w:p w14:paraId="41454F63" w14:textId="77777777" w:rsidR="0027314F" w:rsidRPr="0027314F" w:rsidRDefault="0027314F" w:rsidP="0027314F">
            <w:pPr>
              <w:rPr>
                <w:rFonts w:cs="Arial"/>
                <w:sz w:val="20"/>
                <w:szCs w:val="20"/>
              </w:rPr>
            </w:pPr>
            <w:r w:rsidRPr="0027314F">
              <w:rPr>
                <w:rFonts w:cs="Arial"/>
                <w:sz w:val="20"/>
                <w:szCs w:val="20"/>
              </w:rPr>
              <w:t>0.6*</w:t>
            </w:r>
          </w:p>
        </w:tc>
        <w:tc>
          <w:tcPr>
            <w:tcW w:w="2989" w:type="pct"/>
            <w:tcBorders>
              <w:top w:val="single" w:sz="18" w:space="0" w:color="FFFFFF"/>
              <w:left w:val="single" w:sz="18" w:space="0" w:color="FFFFFF"/>
              <w:bottom w:val="nil"/>
              <w:right w:val="single" w:sz="18" w:space="0" w:color="FFFFFF"/>
            </w:tcBorders>
            <w:shd w:val="pct20" w:color="000000" w:fill="FFFFFF"/>
            <w:vAlign w:val="center"/>
          </w:tcPr>
          <w:p w14:paraId="1B035EC3" w14:textId="77777777" w:rsidR="0027314F" w:rsidRPr="0027314F" w:rsidRDefault="0027314F" w:rsidP="0027314F">
            <w:pPr>
              <w:rPr>
                <w:rFonts w:cs="Arial"/>
                <w:sz w:val="20"/>
                <w:szCs w:val="20"/>
              </w:rPr>
            </w:pPr>
            <w:r w:rsidRPr="0027314F">
              <w:rPr>
                <w:rFonts w:cs="Arial"/>
                <w:sz w:val="20"/>
                <w:szCs w:val="20"/>
              </w:rPr>
              <w:t>DEER2011-NTG_IncludingCarryoversFromDEER2008_2012-05-16.xls</w:t>
            </w:r>
          </w:p>
        </w:tc>
        <w:tc>
          <w:tcPr>
            <w:tcW w:w="605" w:type="pct"/>
            <w:tcBorders>
              <w:top w:val="single" w:sz="18" w:space="0" w:color="FFFFFF"/>
              <w:left w:val="single" w:sz="18" w:space="0" w:color="FFFFFF"/>
              <w:bottom w:val="nil"/>
              <w:right w:val="nil"/>
            </w:tcBorders>
            <w:shd w:val="pct20" w:color="000000" w:fill="FFFFFF"/>
            <w:vAlign w:val="center"/>
          </w:tcPr>
          <w:p w14:paraId="6B57117D" w14:textId="577617C4" w:rsidR="0027314F" w:rsidRPr="0027314F" w:rsidRDefault="0027314F" w:rsidP="0027314F">
            <w:pPr>
              <w:rPr>
                <w:rFonts w:cs="Arial"/>
                <w:sz w:val="20"/>
                <w:szCs w:val="20"/>
              </w:rPr>
            </w:pPr>
          </w:p>
        </w:tc>
      </w:tr>
    </w:tbl>
    <w:p w14:paraId="68202EBF" w14:textId="77777777" w:rsidR="0027314F" w:rsidRPr="0027314F" w:rsidRDefault="0027314F" w:rsidP="0027314F">
      <w:pPr>
        <w:rPr>
          <w:rFonts w:cs="Arial"/>
          <w:sz w:val="20"/>
          <w:szCs w:val="20"/>
        </w:rPr>
      </w:pPr>
    </w:p>
    <w:p w14:paraId="053FB039" w14:textId="77777777" w:rsidR="00AB14AC" w:rsidRDefault="00AB14AC" w:rsidP="00AB14AC">
      <w:pPr>
        <w:rPr>
          <w:rFonts w:cs="Arial"/>
          <w:sz w:val="20"/>
          <w:szCs w:val="20"/>
        </w:rPr>
      </w:pPr>
    </w:p>
    <w:p w14:paraId="393086EC" w14:textId="77777777" w:rsidR="0027314F" w:rsidRDefault="0027314F" w:rsidP="00AB14AC">
      <w:pPr>
        <w:rPr>
          <w:rFonts w:cs="Arial"/>
          <w:sz w:val="20"/>
          <w:szCs w:val="20"/>
        </w:rPr>
      </w:pPr>
    </w:p>
    <w:p w14:paraId="15B4D970" w14:textId="77777777" w:rsidR="0027314F" w:rsidRPr="00AB14AC" w:rsidRDefault="0027314F" w:rsidP="00AB14AC">
      <w:pPr>
        <w:rPr>
          <w:rFonts w:cs="Arial"/>
          <w:sz w:val="20"/>
          <w:szCs w:val="20"/>
        </w:rPr>
      </w:pPr>
    </w:p>
    <w:p w14:paraId="44034B59" w14:textId="77777777" w:rsidR="00AB14AC" w:rsidRDefault="00AB14AC" w:rsidP="00063FA7">
      <w:pPr>
        <w:rPr>
          <w:rFonts w:cs="Arial"/>
          <w:b/>
          <w:i/>
          <w:sz w:val="28"/>
          <w:szCs w:val="28"/>
        </w:rPr>
      </w:pPr>
    </w:p>
    <w:p w14:paraId="393A0FCC" w14:textId="2D327F05"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AB14AC" w:rsidRDefault="00FF4E87" w:rsidP="001C2942">
      <w:pPr>
        <w:pStyle w:val="Reminders"/>
        <w:rPr>
          <w:rFonts w:ascii="Arial" w:hAnsi="Arial" w:cs="Arial"/>
          <w:i w:val="0"/>
          <w:color w:val="auto"/>
          <w:sz w:val="20"/>
          <w:szCs w:val="20"/>
        </w:rPr>
      </w:pPr>
      <w:r w:rsidRPr="00AB14AC">
        <w:rPr>
          <w:rFonts w:ascii="Arial" w:hAnsi="Arial" w:cs="Arial"/>
          <w:i w:val="0"/>
          <w:color w:val="auto"/>
          <w:sz w:val="20"/>
          <w:szCs w:val="20"/>
        </w:rPr>
        <w:t xml:space="preserve">We are required </w:t>
      </w:r>
      <w:r w:rsidR="001C2942" w:rsidRPr="00AB14AC">
        <w:rPr>
          <w:rFonts w:ascii="Arial" w:hAnsi="Arial" w:cs="Arial"/>
          <w:i w:val="0"/>
          <w:color w:val="auto"/>
          <w:sz w:val="20"/>
          <w:szCs w:val="20"/>
        </w:rPr>
        <w:t>by CPUC decision 06-06-063 dated June 29, 2006</w:t>
      </w:r>
      <w:r w:rsidRPr="00AB14AC">
        <w:rPr>
          <w:rFonts w:ascii="Arial" w:hAnsi="Arial" w:cs="Arial"/>
          <w:i w:val="0"/>
          <w:color w:val="auto"/>
          <w:sz w:val="20"/>
          <w:szCs w:val="20"/>
        </w:rPr>
        <w:t xml:space="preserve"> to apply </w:t>
      </w:r>
      <w:r w:rsidR="001C2942" w:rsidRPr="00AB14AC">
        <w:rPr>
          <w:rFonts w:ascii="Arial" w:hAnsi="Arial" w:cs="Arial"/>
          <w:i w:val="0"/>
          <w:color w:val="auto"/>
          <w:sz w:val="20"/>
          <w:szCs w:val="20"/>
        </w:rPr>
        <w:t xml:space="preserve">time-of-use (TOU) adjustment factors </w:t>
      </w:r>
      <w:r w:rsidRPr="00AB14AC">
        <w:rPr>
          <w:rFonts w:ascii="Arial" w:hAnsi="Arial" w:cs="Arial"/>
          <w:i w:val="0"/>
          <w:color w:val="auto"/>
          <w:sz w:val="20"/>
          <w:szCs w:val="20"/>
        </w:rPr>
        <w:t>on</w:t>
      </w:r>
      <w:r w:rsidR="001C2942" w:rsidRPr="00AB14AC">
        <w:rPr>
          <w:rFonts w:ascii="Arial" w:hAnsi="Arial" w:cs="Arial"/>
          <w:i w:val="0"/>
          <w:color w:val="auto"/>
          <w:sz w:val="20"/>
          <w:szCs w:val="20"/>
        </w:rPr>
        <w:t xml:space="preserve"> residential A/C and commercial A/C (packaged and split-system direct-expansion cooling) measures only.</w:t>
      </w:r>
      <w:r w:rsidR="00437BE1" w:rsidRPr="00AB14AC">
        <w:rPr>
          <w:rFonts w:ascii="Arial" w:hAnsi="Arial" w:cs="Arial"/>
          <w:i w:val="0"/>
          <w:color w:val="auto"/>
          <w:sz w:val="20"/>
          <w:szCs w:val="20"/>
        </w:rPr>
        <w:t xml:space="preserve"> </w:t>
      </w:r>
      <w:r w:rsidR="001C2942" w:rsidRPr="00AB14AC">
        <w:rPr>
          <w:rFonts w:ascii="Arial" w:hAnsi="Arial" w:cs="Arial"/>
          <w:i w:val="0"/>
          <w:color w:val="auto"/>
          <w:sz w:val="20"/>
          <w:szCs w:val="20"/>
        </w:rPr>
        <w:t xml:space="preserve"> Since this is not an A/C measure, the TOU adjustment factor is 0.</w:t>
      </w:r>
      <w:r w:rsidR="00437BE1" w:rsidRPr="00AB14AC">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EE" w14:textId="77777777" w:rsidR="00C069A2" w:rsidRPr="00EA38B4" w:rsidRDefault="001248A3" w:rsidP="001178BE">
      <w:pPr>
        <w:keepNext/>
        <w:rPr>
          <w:rFonts w:cs="Arial"/>
          <w:b/>
          <w:i/>
          <w:sz w:val="28"/>
          <w:szCs w:val="28"/>
        </w:rPr>
      </w:pPr>
      <w:bookmarkStart w:id="73"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3"/>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02D2189D" w:rsidR="001A3026" w:rsidRPr="00ED4EC4" w:rsidRDefault="00EE4E12" w:rsidP="001178BE">
      <w:pPr>
        <w:keepNext/>
        <w:rPr>
          <w:rFonts w:cs="Arial"/>
          <w:b/>
          <w:sz w:val="20"/>
          <w:szCs w:val="20"/>
        </w:rPr>
      </w:pPr>
      <w:r>
        <w:rPr>
          <w:rFonts w:cs="Arial"/>
          <w:b/>
          <w:sz w:val="20"/>
          <w:szCs w:val="20"/>
        </w:rPr>
        <w:t xml:space="preserve">Table </w:t>
      </w:r>
      <w:r w:rsidR="00916793">
        <w:rPr>
          <w:rFonts w:cs="Arial"/>
          <w:b/>
          <w:sz w:val="20"/>
          <w:szCs w:val="20"/>
        </w:rPr>
        <w:t>7</w:t>
      </w:r>
      <w:r>
        <w:rPr>
          <w:rFonts w:cs="Arial"/>
          <w:b/>
          <w:sz w:val="20"/>
          <w:szCs w:val="20"/>
        </w:rPr>
        <w:t xml:space="preserve"> Summary of Inputs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666"/>
        <w:gridCol w:w="1530"/>
        <w:gridCol w:w="1399"/>
        <w:gridCol w:w="1473"/>
        <w:gridCol w:w="1736"/>
      </w:tblGrid>
      <w:tr w:rsidR="009B1863" w:rsidRPr="001E4C31" w14:paraId="393A0FF7" w14:textId="77777777" w:rsidTr="0027314F">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666"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530"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14:paraId="393A0FFE" w14:textId="77777777" w:rsidTr="0027314F">
        <w:tc>
          <w:tcPr>
            <w:tcW w:w="1772" w:type="dxa"/>
            <w:shd w:val="pct5" w:color="000000" w:fill="FFFFFF"/>
            <w:vAlign w:val="bottom"/>
          </w:tcPr>
          <w:p w14:paraId="393A0FF8" w14:textId="77777777"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666" w:type="dxa"/>
            <w:shd w:val="pct5" w:color="000000" w:fill="FFFFFF"/>
            <w:vAlign w:val="bottom"/>
          </w:tcPr>
          <w:p w14:paraId="393A0FF9" w14:textId="758B44B0" w:rsidR="00836F9B" w:rsidRPr="0027314F" w:rsidRDefault="0027314F" w:rsidP="001E4C31">
            <w:pPr>
              <w:keepNext/>
              <w:jc w:val="center"/>
              <w:rPr>
                <w:rFonts w:cs="Arial"/>
                <w:sz w:val="20"/>
                <w:szCs w:val="20"/>
              </w:rPr>
            </w:pPr>
            <w:r>
              <w:rPr>
                <w:rFonts w:cs="Arial"/>
                <w:sz w:val="20"/>
                <w:szCs w:val="20"/>
              </w:rPr>
              <w:t>None</w:t>
            </w:r>
          </w:p>
        </w:tc>
        <w:tc>
          <w:tcPr>
            <w:tcW w:w="1530" w:type="dxa"/>
            <w:shd w:val="pct5" w:color="000000" w:fill="FFFFFF"/>
            <w:vAlign w:val="bottom"/>
          </w:tcPr>
          <w:p w14:paraId="393A0FFA" w14:textId="71FC57ED" w:rsidR="00836F9B" w:rsidRPr="0027314F" w:rsidRDefault="005478B4"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0FFB" w14:textId="2264580C" w:rsidR="00836F9B" w:rsidRPr="0027314F" w:rsidRDefault="0027314F" w:rsidP="001E4C31">
            <w:pPr>
              <w:keepNext/>
              <w:jc w:val="center"/>
              <w:rPr>
                <w:rFonts w:cs="Arial"/>
                <w:i/>
                <w:sz w:val="20"/>
                <w:szCs w:val="20"/>
              </w:rPr>
            </w:pPr>
            <w:r>
              <w:rPr>
                <w:rFonts w:cs="Arial"/>
                <w:i/>
                <w:sz w:val="20"/>
                <w:szCs w:val="20"/>
              </w:rPr>
              <w:t>N/A</w:t>
            </w:r>
          </w:p>
        </w:tc>
        <w:tc>
          <w:tcPr>
            <w:tcW w:w="1473" w:type="dxa"/>
            <w:shd w:val="pct5" w:color="000000" w:fill="FFFFFF"/>
            <w:vAlign w:val="bottom"/>
          </w:tcPr>
          <w:p w14:paraId="393A0FFC" w14:textId="23B40D7B" w:rsidR="00836F9B" w:rsidRPr="0027314F" w:rsidRDefault="005478B4" w:rsidP="001E4C31">
            <w:pPr>
              <w:keepNext/>
              <w:jc w:val="center"/>
              <w:rPr>
                <w:rFonts w:cs="Arial"/>
                <w:i/>
                <w:sz w:val="20"/>
                <w:szCs w:val="20"/>
              </w:rPr>
            </w:pPr>
            <w:r>
              <w:rPr>
                <w:rFonts w:cs="Arial"/>
                <w:i/>
                <w:sz w:val="20"/>
                <w:szCs w:val="20"/>
              </w:rPr>
              <w:t>N/A</w:t>
            </w:r>
          </w:p>
        </w:tc>
        <w:tc>
          <w:tcPr>
            <w:tcW w:w="1736" w:type="dxa"/>
            <w:shd w:val="pct5" w:color="000000" w:fill="FFFFFF"/>
            <w:vAlign w:val="bottom"/>
          </w:tcPr>
          <w:p w14:paraId="393A0FFD" w14:textId="77777777" w:rsidR="00836F9B" w:rsidRPr="0027314F" w:rsidRDefault="00836F9B" w:rsidP="001E4C31">
            <w:pPr>
              <w:keepNext/>
              <w:jc w:val="center"/>
              <w:rPr>
                <w:rFonts w:cs="Arial"/>
                <w:i/>
                <w:sz w:val="20"/>
                <w:szCs w:val="20"/>
              </w:rPr>
            </w:pPr>
            <w:r w:rsidRPr="0027314F">
              <w:rPr>
                <w:rFonts w:cs="Arial"/>
                <w:i/>
                <w:sz w:val="20"/>
                <w:szCs w:val="20"/>
              </w:rPr>
              <w:t>Section 1.4.1</w:t>
            </w:r>
          </w:p>
        </w:tc>
      </w:tr>
      <w:tr w:rsidR="009B1863" w:rsidRPr="00783DAC" w14:paraId="393A1005" w14:textId="77777777" w:rsidTr="0027314F">
        <w:trPr>
          <w:trHeight w:val="189"/>
        </w:trPr>
        <w:tc>
          <w:tcPr>
            <w:tcW w:w="1772" w:type="dxa"/>
            <w:shd w:val="pct20" w:color="000000" w:fill="FFFFFF"/>
            <w:vAlign w:val="bottom"/>
          </w:tcPr>
          <w:p w14:paraId="393A0FFF" w14:textId="77777777" w:rsidR="00836F9B" w:rsidRPr="001E4C31" w:rsidRDefault="00836F9B" w:rsidP="001E4C31">
            <w:pPr>
              <w:keepNext/>
              <w:jc w:val="center"/>
              <w:rPr>
                <w:rFonts w:cs="Arial"/>
                <w:b/>
                <w:sz w:val="20"/>
                <w:szCs w:val="20"/>
              </w:rPr>
            </w:pPr>
            <w:r w:rsidRPr="001E4C31">
              <w:rPr>
                <w:rFonts w:cs="Arial"/>
                <w:b/>
                <w:sz w:val="20"/>
                <w:szCs w:val="20"/>
              </w:rPr>
              <w:t>Gas Savings</w:t>
            </w:r>
          </w:p>
        </w:tc>
        <w:tc>
          <w:tcPr>
            <w:tcW w:w="1666" w:type="dxa"/>
            <w:shd w:val="pct20" w:color="000000" w:fill="FFFFFF"/>
            <w:vAlign w:val="bottom"/>
          </w:tcPr>
          <w:p w14:paraId="393A1000" w14:textId="248364FD" w:rsidR="00836F9B" w:rsidRPr="0027314F" w:rsidRDefault="0027314F" w:rsidP="001E4C31">
            <w:pPr>
              <w:keepNext/>
              <w:jc w:val="center"/>
              <w:rPr>
                <w:rFonts w:cs="Arial"/>
                <w:sz w:val="20"/>
                <w:szCs w:val="20"/>
              </w:rPr>
            </w:pPr>
            <w:r>
              <w:rPr>
                <w:rFonts w:cs="Arial"/>
                <w:sz w:val="20"/>
                <w:szCs w:val="20"/>
              </w:rPr>
              <w:t>None</w:t>
            </w:r>
          </w:p>
        </w:tc>
        <w:tc>
          <w:tcPr>
            <w:tcW w:w="1530" w:type="dxa"/>
            <w:shd w:val="pct20" w:color="000000" w:fill="FFFFFF"/>
            <w:vAlign w:val="bottom"/>
          </w:tcPr>
          <w:p w14:paraId="393A1001" w14:textId="6C9177F6" w:rsidR="00836F9B" w:rsidRPr="0027314F" w:rsidRDefault="005478B4"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02" w14:textId="7E9280C0" w:rsidR="00836F9B" w:rsidRPr="0027314F" w:rsidRDefault="0027314F"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03" w14:textId="5413301A" w:rsidR="00836F9B" w:rsidRPr="0027314F" w:rsidRDefault="005478B4" w:rsidP="001E4C31">
            <w:pPr>
              <w:keepNext/>
              <w:jc w:val="center"/>
              <w:rPr>
                <w:rFonts w:cs="Arial"/>
                <w:sz w:val="20"/>
                <w:szCs w:val="20"/>
              </w:rPr>
            </w:pPr>
            <w:r>
              <w:rPr>
                <w:rFonts w:cs="Arial"/>
                <w:sz w:val="20"/>
                <w:szCs w:val="20"/>
              </w:rPr>
              <w:t>884</w:t>
            </w:r>
          </w:p>
        </w:tc>
        <w:tc>
          <w:tcPr>
            <w:tcW w:w="1736" w:type="dxa"/>
            <w:shd w:val="pct20" w:color="000000" w:fill="FFFFFF"/>
            <w:vAlign w:val="bottom"/>
          </w:tcPr>
          <w:p w14:paraId="393A1004" w14:textId="1F720F83" w:rsidR="00836F9B" w:rsidRPr="0027314F" w:rsidRDefault="005478B4" w:rsidP="001E4C31">
            <w:pPr>
              <w:keepNext/>
              <w:jc w:val="center"/>
              <w:rPr>
                <w:rFonts w:cs="Arial"/>
                <w:sz w:val="20"/>
                <w:szCs w:val="20"/>
              </w:rPr>
            </w:pPr>
            <w:r>
              <w:rPr>
                <w:rFonts w:cs="Arial"/>
                <w:sz w:val="20"/>
                <w:szCs w:val="20"/>
              </w:rPr>
              <w:t>Section 2.3</w:t>
            </w:r>
          </w:p>
        </w:tc>
      </w:tr>
      <w:tr w:rsidR="009B1863" w:rsidRPr="00783DAC" w14:paraId="393A100C" w14:textId="77777777" w:rsidTr="0027314F">
        <w:tc>
          <w:tcPr>
            <w:tcW w:w="1772" w:type="dxa"/>
            <w:shd w:val="pct5" w:color="000000" w:fill="FFFFFF"/>
            <w:vAlign w:val="bottom"/>
          </w:tcPr>
          <w:p w14:paraId="393A1006"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666" w:type="dxa"/>
            <w:shd w:val="pct5" w:color="000000" w:fill="FFFFFF"/>
            <w:vAlign w:val="bottom"/>
          </w:tcPr>
          <w:p w14:paraId="393A1007" w14:textId="48E3E7F6" w:rsidR="00836F9B" w:rsidRPr="0027314F" w:rsidRDefault="0027314F" w:rsidP="001E4C31">
            <w:pPr>
              <w:keepNext/>
              <w:jc w:val="center"/>
              <w:rPr>
                <w:rFonts w:cs="Arial"/>
                <w:sz w:val="20"/>
                <w:szCs w:val="20"/>
              </w:rPr>
            </w:pPr>
            <w:r>
              <w:rPr>
                <w:rFonts w:cs="Arial"/>
                <w:sz w:val="20"/>
                <w:szCs w:val="20"/>
              </w:rPr>
              <w:t>None</w:t>
            </w:r>
          </w:p>
        </w:tc>
        <w:tc>
          <w:tcPr>
            <w:tcW w:w="1530" w:type="dxa"/>
            <w:shd w:val="pct5" w:color="000000" w:fill="FFFFFF"/>
            <w:vAlign w:val="bottom"/>
          </w:tcPr>
          <w:p w14:paraId="393A1008" w14:textId="60222761" w:rsidR="00836F9B" w:rsidRPr="0027314F" w:rsidRDefault="005478B4" w:rsidP="001E4C31">
            <w:pPr>
              <w:keepNext/>
              <w:jc w:val="center"/>
              <w:rPr>
                <w:rFonts w:cs="Arial"/>
                <w:sz w:val="20"/>
                <w:szCs w:val="20"/>
              </w:rPr>
            </w:pPr>
            <w:r>
              <w:rPr>
                <w:rFonts w:cs="Arial"/>
                <w:sz w:val="20"/>
                <w:szCs w:val="20"/>
              </w:rPr>
              <w:t>4380</w:t>
            </w:r>
          </w:p>
        </w:tc>
        <w:tc>
          <w:tcPr>
            <w:tcW w:w="1399" w:type="dxa"/>
            <w:shd w:val="pct5" w:color="000000" w:fill="FFFFFF"/>
            <w:vAlign w:val="bottom"/>
          </w:tcPr>
          <w:p w14:paraId="393A1009" w14:textId="55622F06" w:rsidR="00836F9B" w:rsidRPr="0027314F" w:rsidRDefault="0027314F"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0A" w14:textId="194DADD9" w:rsidR="00836F9B" w:rsidRPr="0027314F" w:rsidRDefault="005478B4" w:rsidP="001E4C31">
            <w:pPr>
              <w:keepNext/>
              <w:jc w:val="center"/>
              <w:rPr>
                <w:rFonts w:cs="Arial"/>
                <w:sz w:val="20"/>
                <w:szCs w:val="20"/>
              </w:rPr>
            </w:pPr>
            <w:r>
              <w:rPr>
                <w:rFonts w:cs="Arial"/>
                <w:sz w:val="20"/>
                <w:szCs w:val="20"/>
              </w:rPr>
              <w:t>4380</w:t>
            </w:r>
          </w:p>
        </w:tc>
        <w:tc>
          <w:tcPr>
            <w:tcW w:w="1736" w:type="dxa"/>
            <w:shd w:val="pct5" w:color="000000" w:fill="FFFFFF"/>
            <w:vAlign w:val="bottom"/>
          </w:tcPr>
          <w:p w14:paraId="393A100B" w14:textId="75C9E536" w:rsidR="00836F9B" w:rsidRPr="0027314F" w:rsidRDefault="005478B4" w:rsidP="001E4C31">
            <w:pPr>
              <w:keepNext/>
              <w:jc w:val="center"/>
              <w:rPr>
                <w:rFonts w:cs="Arial"/>
                <w:sz w:val="20"/>
                <w:szCs w:val="20"/>
              </w:rPr>
            </w:pPr>
            <w:r>
              <w:rPr>
                <w:rFonts w:cs="Arial"/>
                <w:sz w:val="20"/>
                <w:szCs w:val="20"/>
              </w:rPr>
              <w:t>Section 2.3</w:t>
            </w:r>
          </w:p>
        </w:tc>
      </w:tr>
      <w:tr w:rsidR="009B1863" w:rsidRPr="00783DAC" w14:paraId="393A1013" w14:textId="77777777" w:rsidTr="0027314F">
        <w:tc>
          <w:tcPr>
            <w:tcW w:w="1772" w:type="dxa"/>
            <w:shd w:val="pct20" w:color="000000" w:fill="FFFFFF"/>
            <w:vAlign w:val="bottom"/>
          </w:tcPr>
          <w:p w14:paraId="393A100D" w14:textId="77777777"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666" w:type="dxa"/>
            <w:shd w:val="pct20" w:color="000000" w:fill="FFFFFF"/>
            <w:vAlign w:val="bottom"/>
          </w:tcPr>
          <w:p w14:paraId="393A100E" w14:textId="356FFE68" w:rsidR="00836F9B" w:rsidRPr="0027314F" w:rsidRDefault="0027314F" w:rsidP="001E4C31">
            <w:pPr>
              <w:keepNext/>
              <w:jc w:val="center"/>
              <w:rPr>
                <w:rFonts w:cs="Arial"/>
                <w:sz w:val="20"/>
                <w:szCs w:val="20"/>
              </w:rPr>
            </w:pPr>
            <w:r>
              <w:rPr>
                <w:rFonts w:cs="Arial"/>
                <w:sz w:val="20"/>
                <w:szCs w:val="20"/>
              </w:rPr>
              <w:t>None</w:t>
            </w:r>
          </w:p>
        </w:tc>
        <w:tc>
          <w:tcPr>
            <w:tcW w:w="1530" w:type="dxa"/>
            <w:shd w:val="pct20" w:color="000000" w:fill="FFFFFF"/>
            <w:vAlign w:val="bottom"/>
          </w:tcPr>
          <w:p w14:paraId="393A100F" w14:textId="4D75FDED" w:rsidR="00836F9B" w:rsidRPr="0027314F" w:rsidRDefault="005478B4" w:rsidP="001E4C31">
            <w:pPr>
              <w:keepNext/>
              <w:jc w:val="center"/>
              <w:rPr>
                <w:rFonts w:cs="Arial"/>
                <w:sz w:val="20"/>
                <w:szCs w:val="20"/>
              </w:rPr>
            </w:pPr>
            <w:r>
              <w:rPr>
                <w:rFonts w:cs="Arial"/>
                <w:sz w:val="20"/>
                <w:szCs w:val="20"/>
              </w:rPr>
              <w:t>$10,177</w:t>
            </w:r>
          </w:p>
        </w:tc>
        <w:tc>
          <w:tcPr>
            <w:tcW w:w="1399" w:type="dxa"/>
            <w:shd w:val="pct20" w:color="000000" w:fill="FFFFFF"/>
            <w:vAlign w:val="bottom"/>
          </w:tcPr>
          <w:p w14:paraId="393A1010" w14:textId="32B2DAF6" w:rsidR="00836F9B" w:rsidRPr="0027314F" w:rsidRDefault="0027314F"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1" w14:textId="75CEE97B" w:rsidR="00836F9B" w:rsidRPr="0027314F" w:rsidRDefault="005478B4" w:rsidP="001E4C31">
            <w:pPr>
              <w:keepNext/>
              <w:jc w:val="center"/>
              <w:rPr>
                <w:rFonts w:cs="Arial"/>
                <w:sz w:val="20"/>
                <w:szCs w:val="20"/>
              </w:rPr>
            </w:pPr>
            <w:r>
              <w:rPr>
                <w:rFonts w:cs="Arial"/>
                <w:sz w:val="20"/>
                <w:szCs w:val="20"/>
              </w:rPr>
              <w:t>$12,407</w:t>
            </w:r>
          </w:p>
        </w:tc>
        <w:tc>
          <w:tcPr>
            <w:tcW w:w="1736" w:type="dxa"/>
            <w:shd w:val="pct20" w:color="000000" w:fill="FFFFFF"/>
            <w:vAlign w:val="bottom"/>
          </w:tcPr>
          <w:p w14:paraId="393A1012" w14:textId="5D6B338A" w:rsidR="00836F9B" w:rsidRPr="0027314F" w:rsidRDefault="005478B4" w:rsidP="001E4C31">
            <w:pPr>
              <w:keepNext/>
              <w:jc w:val="center"/>
              <w:rPr>
                <w:rFonts w:cs="Arial"/>
                <w:sz w:val="20"/>
                <w:szCs w:val="20"/>
              </w:rPr>
            </w:pPr>
            <w:r>
              <w:rPr>
                <w:rFonts w:cs="Arial"/>
                <w:sz w:val="20"/>
                <w:szCs w:val="20"/>
              </w:rPr>
              <w:t>Appendix B</w:t>
            </w:r>
          </w:p>
        </w:tc>
      </w:tr>
      <w:tr w:rsidR="009B1863" w:rsidRPr="00783DAC" w14:paraId="393A101A" w14:textId="77777777" w:rsidTr="0027314F">
        <w:tc>
          <w:tcPr>
            <w:tcW w:w="1772" w:type="dxa"/>
            <w:shd w:val="pct5" w:color="000000" w:fill="FFFFFF"/>
            <w:vAlign w:val="bottom"/>
          </w:tcPr>
          <w:p w14:paraId="393A1014" w14:textId="77777777"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666" w:type="dxa"/>
            <w:shd w:val="pct5" w:color="000000" w:fill="FFFFFF"/>
            <w:vAlign w:val="bottom"/>
          </w:tcPr>
          <w:p w14:paraId="393A1015" w14:textId="5050BE7D" w:rsidR="00836F9B" w:rsidRPr="0027314F" w:rsidRDefault="0027314F" w:rsidP="001E4C31">
            <w:pPr>
              <w:keepNext/>
              <w:jc w:val="center"/>
              <w:rPr>
                <w:rFonts w:cs="Arial"/>
                <w:sz w:val="20"/>
                <w:szCs w:val="20"/>
              </w:rPr>
            </w:pPr>
            <w:r>
              <w:rPr>
                <w:rFonts w:cs="Arial"/>
                <w:sz w:val="20"/>
                <w:szCs w:val="20"/>
              </w:rPr>
              <w:t>None</w:t>
            </w:r>
          </w:p>
        </w:tc>
        <w:tc>
          <w:tcPr>
            <w:tcW w:w="1530" w:type="dxa"/>
            <w:shd w:val="pct5" w:color="000000" w:fill="FFFFFF"/>
            <w:vAlign w:val="bottom"/>
          </w:tcPr>
          <w:p w14:paraId="393A1016" w14:textId="77777777" w:rsidR="00836F9B" w:rsidRPr="0027314F" w:rsidRDefault="00836F9B" w:rsidP="001E4C31">
            <w:pPr>
              <w:keepNext/>
              <w:jc w:val="center"/>
              <w:rPr>
                <w:rFonts w:cs="Arial"/>
                <w:sz w:val="20"/>
                <w:szCs w:val="20"/>
              </w:rPr>
            </w:pPr>
          </w:p>
        </w:tc>
        <w:tc>
          <w:tcPr>
            <w:tcW w:w="1399" w:type="dxa"/>
            <w:shd w:val="pct5" w:color="000000" w:fill="FFFFFF"/>
            <w:vAlign w:val="bottom"/>
          </w:tcPr>
          <w:p w14:paraId="393A1017" w14:textId="1286EAC8" w:rsidR="00836F9B" w:rsidRPr="0027314F" w:rsidRDefault="0027314F"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18" w14:textId="1DE01563" w:rsidR="00836F9B" w:rsidRPr="0027314F" w:rsidRDefault="005478B4" w:rsidP="001E4C31">
            <w:pPr>
              <w:keepNext/>
              <w:jc w:val="center"/>
              <w:rPr>
                <w:rFonts w:cs="Arial"/>
                <w:sz w:val="20"/>
                <w:szCs w:val="20"/>
              </w:rPr>
            </w:pPr>
            <w:r>
              <w:rPr>
                <w:rFonts w:cs="Arial"/>
                <w:sz w:val="20"/>
                <w:szCs w:val="20"/>
              </w:rPr>
              <w:t>$2,230</w:t>
            </w:r>
          </w:p>
        </w:tc>
        <w:tc>
          <w:tcPr>
            <w:tcW w:w="1736" w:type="dxa"/>
            <w:shd w:val="pct5" w:color="000000" w:fill="FFFFFF"/>
            <w:vAlign w:val="bottom"/>
          </w:tcPr>
          <w:p w14:paraId="393A1019" w14:textId="74A516C3" w:rsidR="00836F9B" w:rsidRPr="0027314F" w:rsidRDefault="005478B4" w:rsidP="001E4C31">
            <w:pPr>
              <w:keepNext/>
              <w:jc w:val="center"/>
              <w:rPr>
                <w:rFonts w:cs="Arial"/>
                <w:sz w:val="20"/>
                <w:szCs w:val="20"/>
              </w:rPr>
            </w:pPr>
            <w:r>
              <w:rPr>
                <w:rFonts w:cs="Arial"/>
                <w:sz w:val="20"/>
                <w:szCs w:val="20"/>
              </w:rPr>
              <w:t>Appendix B</w:t>
            </w:r>
          </w:p>
        </w:tc>
      </w:tr>
      <w:tr w:rsidR="009B1863" w:rsidRPr="00783DAC" w14:paraId="393A1021" w14:textId="77777777" w:rsidTr="0027314F">
        <w:tc>
          <w:tcPr>
            <w:tcW w:w="1772" w:type="dxa"/>
            <w:shd w:val="pct20" w:color="000000" w:fill="FFFFFF"/>
            <w:vAlign w:val="bottom"/>
          </w:tcPr>
          <w:p w14:paraId="393A101B" w14:textId="77777777" w:rsidR="00836F9B" w:rsidRPr="001E4C31" w:rsidRDefault="00836F9B" w:rsidP="001E4C31">
            <w:pPr>
              <w:keepNext/>
              <w:jc w:val="center"/>
              <w:rPr>
                <w:rFonts w:cs="Arial"/>
                <w:b/>
                <w:sz w:val="20"/>
                <w:szCs w:val="20"/>
              </w:rPr>
            </w:pPr>
            <w:r w:rsidRPr="001E4C31">
              <w:rPr>
                <w:rFonts w:cs="Arial"/>
                <w:b/>
                <w:sz w:val="20"/>
                <w:szCs w:val="20"/>
              </w:rPr>
              <w:t>EUL /RUL</w:t>
            </w:r>
          </w:p>
        </w:tc>
        <w:tc>
          <w:tcPr>
            <w:tcW w:w="1666" w:type="dxa"/>
            <w:shd w:val="pct20" w:color="000000" w:fill="FFFFFF"/>
            <w:vAlign w:val="bottom"/>
          </w:tcPr>
          <w:p w14:paraId="393A101C" w14:textId="132AB9FE" w:rsidR="00836F9B" w:rsidRPr="0027314F" w:rsidRDefault="0027314F" w:rsidP="001E4C31">
            <w:pPr>
              <w:keepNext/>
              <w:jc w:val="center"/>
              <w:rPr>
                <w:rFonts w:cs="Arial"/>
                <w:sz w:val="20"/>
                <w:szCs w:val="20"/>
              </w:rPr>
            </w:pPr>
            <w:r>
              <w:rPr>
                <w:rFonts w:cs="Arial"/>
                <w:sz w:val="20"/>
                <w:szCs w:val="20"/>
              </w:rPr>
              <w:t>None</w:t>
            </w:r>
          </w:p>
        </w:tc>
        <w:tc>
          <w:tcPr>
            <w:tcW w:w="1530" w:type="dxa"/>
            <w:shd w:val="pct20" w:color="000000" w:fill="FFFFFF"/>
            <w:vAlign w:val="bottom"/>
          </w:tcPr>
          <w:p w14:paraId="393A101D" w14:textId="1C52E6CA" w:rsidR="00836F9B" w:rsidRPr="0027314F" w:rsidRDefault="005478B4" w:rsidP="001E4C31">
            <w:pPr>
              <w:keepNext/>
              <w:jc w:val="center"/>
              <w:rPr>
                <w:rFonts w:cs="Arial"/>
                <w:sz w:val="20"/>
                <w:szCs w:val="20"/>
              </w:rPr>
            </w:pPr>
            <w:r>
              <w:rPr>
                <w:rFonts w:cs="Arial"/>
                <w:sz w:val="20"/>
                <w:szCs w:val="20"/>
              </w:rPr>
              <w:t>12</w:t>
            </w:r>
          </w:p>
        </w:tc>
        <w:tc>
          <w:tcPr>
            <w:tcW w:w="1399" w:type="dxa"/>
            <w:shd w:val="pct20" w:color="000000" w:fill="FFFFFF"/>
            <w:vAlign w:val="bottom"/>
          </w:tcPr>
          <w:p w14:paraId="393A101E" w14:textId="5CE9C535" w:rsidR="00836F9B" w:rsidRPr="0027314F" w:rsidRDefault="0027314F"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F" w14:textId="38A13AA0" w:rsidR="00836F9B" w:rsidRPr="0027314F" w:rsidRDefault="005478B4" w:rsidP="001E4C31">
            <w:pPr>
              <w:keepNext/>
              <w:jc w:val="center"/>
              <w:rPr>
                <w:rFonts w:cs="Arial"/>
                <w:sz w:val="20"/>
                <w:szCs w:val="20"/>
              </w:rPr>
            </w:pPr>
            <w:r>
              <w:rPr>
                <w:rFonts w:cs="Arial"/>
                <w:sz w:val="20"/>
                <w:szCs w:val="20"/>
              </w:rPr>
              <w:t>12</w:t>
            </w:r>
          </w:p>
        </w:tc>
        <w:tc>
          <w:tcPr>
            <w:tcW w:w="1736" w:type="dxa"/>
            <w:shd w:val="pct20" w:color="000000" w:fill="FFFFFF"/>
            <w:vAlign w:val="bottom"/>
          </w:tcPr>
          <w:p w14:paraId="393A1020" w14:textId="7C672AAD" w:rsidR="00836F9B" w:rsidRPr="0027314F" w:rsidRDefault="005478B4" w:rsidP="001E4C31">
            <w:pPr>
              <w:keepNext/>
              <w:jc w:val="center"/>
              <w:rPr>
                <w:rFonts w:cs="Arial"/>
                <w:sz w:val="20"/>
                <w:szCs w:val="20"/>
              </w:rPr>
            </w:pPr>
            <w:r>
              <w:rPr>
                <w:rFonts w:cs="Arial"/>
                <w:sz w:val="20"/>
                <w:szCs w:val="20"/>
              </w:rPr>
              <w:t>Section 1.4</w:t>
            </w:r>
          </w:p>
        </w:tc>
      </w:tr>
      <w:tr w:rsidR="009B1863" w:rsidRPr="00783DAC" w14:paraId="393A1028" w14:textId="77777777" w:rsidTr="0027314F">
        <w:tc>
          <w:tcPr>
            <w:tcW w:w="1772" w:type="dxa"/>
            <w:shd w:val="pct5" w:color="000000" w:fill="FFFFFF"/>
            <w:vAlign w:val="bottom"/>
          </w:tcPr>
          <w:p w14:paraId="393A1022" w14:textId="77777777" w:rsidR="00836F9B" w:rsidRPr="001E4C31" w:rsidRDefault="00836F9B" w:rsidP="001E4C31">
            <w:pPr>
              <w:keepNext/>
              <w:jc w:val="center"/>
              <w:rPr>
                <w:rFonts w:cs="Arial"/>
                <w:b/>
                <w:sz w:val="20"/>
                <w:szCs w:val="20"/>
              </w:rPr>
            </w:pPr>
            <w:r w:rsidRPr="001E4C31">
              <w:rPr>
                <w:rFonts w:cs="Arial"/>
                <w:b/>
                <w:sz w:val="20"/>
                <w:szCs w:val="20"/>
              </w:rPr>
              <w:t>NTG</w:t>
            </w:r>
          </w:p>
        </w:tc>
        <w:tc>
          <w:tcPr>
            <w:tcW w:w="1666" w:type="dxa"/>
            <w:shd w:val="pct5" w:color="000000" w:fill="FFFFFF"/>
            <w:vAlign w:val="bottom"/>
          </w:tcPr>
          <w:p w14:paraId="393A1023" w14:textId="692E13DF" w:rsidR="00836F9B" w:rsidRPr="0027314F" w:rsidRDefault="00836F9B" w:rsidP="0027314F">
            <w:pPr>
              <w:keepNext/>
              <w:jc w:val="center"/>
              <w:rPr>
                <w:rFonts w:cs="Arial"/>
                <w:sz w:val="20"/>
                <w:szCs w:val="20"/>
              </w:rPr>
            </w:pPr>
            <w:r w:rsidRPr="0027314F">
              <w:rPr>
                <w:rFonts w:cs="Arial"/>
                <w:sz w:val="20"/>
                <w:szCs w:val="20"/>
              </w:rPr>
              <w:t>One</w:t>
            </w:r>
          </w:p>
        </w:tc>
        <w:tc>
          <w:tcPr>
            <w:tcW w:w="1530" w:type="dxa"/>
            <w:shd w:val="pct5" w:color="000000" w:fill="FFFFFF"/>
            <w:vAlign w:val="bottom"/>
          </w:tcPr>
          <w:p w14:paraId="393A1024" w14:textId="336CA4FB" w:rsidR="00836F9B" w:rsidRPr="0027314F" w:rsidRDefault="005478B4" w:rsidP="001E4C31">
            <w:pPr>
              <w:keepNext/>
              <w:jc w:val="center"/>
              <w:rPr>
                <w:rFonts w:cs="Arial"/>
                <w:sz w:val="20"/>
                <w:szCs w:val="20"/>
              </w:rPr>
            </w:pPr>
            <w:r>
              <w:rPr>
                <w:rFonts w:cs="Arial"/>
                <w:sz w:val="20"/>
                <w:szCs w:val="20"/>
              </w:rPr>
              <w:t>0.6</w:t>
            </w:r>
          </w:p>
        </w:tc>
        <w:tc>
          <w:tcPr>
            <w:tcW w:w="1399" w:type="dxa"/>
            <w:shd w:val="pct5" w:color="000000" w:fill="FFFFFF"/>
            <w:vAlign w:val="bottom"/>
          </w:tcPr>
          <w:p w14:paraId="393A1025" w14:textId="0F3F7832" w:rsidR="00836F9B" w:rsidRPr="0027314F" w:rsidRDefault="0027314F"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26" w14:textId="6A02039A" w:rsidR="00836F9B" w:rsidRPr="0027314F" w:rsidRDefault="005478B4" w:rsidP="001E4C31">
            <w:pPr>
              <w:keepNext/>
              <w:jc w:val="center"/>
              <w:rPr>
                <w:rFonts w:cs="Arial"/>
                <w:sz w:val="20"/>
                <w:szCs w:val="20"/>
              </w:rPr>
            </w:pPr>
            <w:r>
              <w:rPr>
                <w:rFonts w:cs="Arial"/>
                <w:sz w:val="20"/>
                <w:szCs w:val="20"/>
              </w:rPr>
              <w:t>0.6</w:t>
            </w:r>
          </w:p>
        </w:tc>
        <w:tc>
          <w:tcPr>
            <w:tcW w:w="1736" w:type="dxa"/>
            <w:shd w:val="pct5" w:color="000000" w:fill="FFFFFF"/>
            <w:vAlign w:val="bottom"/>
          </w:tcPr>
          <w:p w14:paraId="393A1027" w14:textId="1CDD2829" w:rsidR="00836F9B" w:rsidRPr="0027314F" w:rsidRDefault="005478B4" w:rsidP="001E4C31">
            <w:pPr>
              <w:keepNext/>
              <w:jc w:val="center"/>
              <w:rPr>
                <w:rFonts w:cs="Arial"/>
                <w:sz w:val="20"/>
                <w:szCs w:val="20"/>
              </w:rPr>
            </w:pPr>
            <w:r>
              <w:rPr>
                <w:rFonts w:cs="Arial"/>
                <w:sz w:val="20"/>
                <w:szCs w:val="20"/>
              </w:rPr>
              <w:t>Section 1.4</w:t>
            </w:r>
          </w:p>
        </w:tc>
      </w:tr>
      <w:tr w:rsidR="009B1863" w:rsidRPr="00783DAC" w14:paraId="393A102F" w14:textId="77777777" w:rsidTr="0027314F">
        <w:tc>
          <w:tcPr>
            <w:tcW w:w="1772" w:type="dxa"/>
            <w:shd w:val="pct20" w:color="000000" w:fill="FFFFFF"/>
            <w:vAlign w:val="bottom"/>
          </w:tcPr>
          <w:p w14:paraId="393A1029" w14:textId="77777777" w:rsidR="00836F9B" w:rsidRPr="001E4C31" w:rsidRDefault="00836F9B" w:rsidP="001E4C31">
            <w:pPr>
              <w:keepNext/>
              <w:jc w:val="center"/>
              <w:rPr>
                <w:rFonts w:cs="Arial"/>
                <w:b/>
                <w:sz w:val="20"/>
                <w:szCs w:val="20"/>
              </w:rPr>
            </w:pPr>
            <w:r w:rsidRPr="001E4C31">
              <w:rPr>
                <w:rFonts w:cs="Arial"/>
                <w:b/>
                <w:sz w:val="20"/>
                <w:szCs w:val="20"/>
              </w:rPr>
              <w:t>ISR</w:t>
            </w:r>
          </w:p>
        </w:tc>
        <w:tc>
          <w:tcPr>
            <w:tcW w:w="1666" w:type="dxa"/>
            <w:shd w:val="pct20" w:color="000000" w:fill="FFFFFF"/>
            <w:vAlign w:val="bottom"/>
          </w:tcPr>
          <w:p w14:paraId="393A102A" w14:textId="27BD409C" w:rsidR="00836F9B" w:rsidRPr="0027314F" w:rsidRDefault="00836F9B" w:rsidP="001E4C31">
            <w:pPr>
              <w:keepNext/>
              <w:jc w:val="center"/>
              <w:rPr>
                <w:rFonts w:cs="Arial"/>
                <w:sz w:val="20"/>
                <w:szCs w:val="20"/>
              </w:rPr>
            </w:pPr>
            <w:r w:rsidRPr="0027314F">
              <w:rPr>
                <w:rFonts w:cs="Arial"/>
                <w:sz w:val="20"/>
                <w:szCs w:val="20"/>
              </w:rPr>
              <w:t xml:space="preserve">No </w:t>
            </w:r>
          </w:p>
        </w:tc>
        <w:tc>
          <w:tcPr>
            <w:tcW w:w="1530" w:type="dxa"/>
            <w:shd w:val="pct20" w:color="000000" w:fill="FFFFFF"/>
            <w:vAlign w:val="bottom"/>
          </w:tcPr>
          <w:p w14:paraId="393A102B" w14:textId="45D1AF69" w:rsidR="00836F9B" w:rsidRPr="0027314F" w:rsidRDefault="005478B4" w:rsidP="001E4C31">
            <w:pPr>
              <w:keepNext/>
              <w:jc w:val="center"/>
              <w:rPr>
                <w:rFonts w:cs="Arial"/>
                <w:sz w:val="20"/>
                <w:szCs w:val="20"/>
              </w:rPr>
            </w:pPr>
            <w:r>
              <w:rPr>
                <w:rFonts w:cs="Arial"/>
                <w:sz w:val="20"/>
                <w:szCs w:val="20"/>
              </w:rPr>
              <w:t>1</w:t>
            </w:r>
          </w:p>
        </w:tc>
        <w:tc>
          <w:tcPr>
            <w:tcW w:w="1399" w:type="dxa"/>
            <w:shd w:val="pct20" w:color="000000" w:fill="FFFFFF"/>
            <w:vAlign w:val="bottom"/>
          </w:tcPr>
          <w:p w14:paraId="393A102C" w14:textId="10F2C5E6" w:rsidR="00836F9B" w:rsidRPr="0027314F" w:rsidRDefault="0027314F"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2D" w14:textId="6A5123A7" w:rsidR="00836F9B" w:rsidRPr="0027314F" w:rsidRDefault="005478B4" w:rsidP="001E4C31">
            <w:pPr>
              <w:keepNext/>
              <w:jc w:val="center"/>
              <w:rPr>
                <w:rFonts w:cs="Arial"/>
                <w:sz w:val="20"/>
                <w:szCs w:val="20"/>
              </w:rPr>
            </w:pPr>
            <w:r>
              <w:rPr>
                <w:rFonts w:cs="Arial"/>
                <w:sz w:val="20"/>
                <w:szCs w:val="20"/>
              </w:rPr>
              <w:t>1</w:t>
            </w:r>
          </w:p>
        </w:tc>
        <w:tc>
          <w:tcPr>
            <w:tcW w:w="1736" w:type="dxa"/>
            <w:shd w:val="pct20" w:color="000000" w:fill="FFFFFF"/>
            <w:vAlign w:val="bottom"/>
          </w:tcPr>
          <w:p w14:paraId="393A102E" w14:textId="6B5A635D" w:rsidR="00836F9B" w:rsidRPr="0027314F" w:rsidRDefault="005478B4" w:rsidP="001E4C31">
            <w:pPr>
              <w:keepNext/>
              <w:jc w:val="center"/>
              <w:rPr>
                <w:rFonts w:cs="Arial"/>
                <w:sz w:val="20"/>
                <w:szCs w:val="20"/>
              </w:rPr>
            </w:pPr>
            <w:r>
              <w:rPr>
                <w:rFonts w:cs="Arial"/>
                <w:sz w:val="20"/>
                <w:szCs w:val="20"/>
              </w:rPr>
              <w:t>Section 1.4</w:t>
            </w:r>
          </w:p>
        </w:tc>
      </w:tr>
      <w:tr w:rsidR="009B1863" w:rsidRPr="00783DAC" w14:paraId="393A1036" w14:textId="77777777" w:rsidTr="0027314F">
        <w:tc>
          <w:tcPr>
            <w:tcW w:w="1772" w:type="dxa"/>
            <w:shd w:val="pct5" w:color="000000" w:fill="FFFFFF"/>
            <w:vAlign w:val="bottom"/>
          </w:tcPr>
          <w:p w14:paraId="393A1030" w14:textId="77777777" w:rsidR="00836F9B" w:rsidRPr="001E4C31" w:rsidRDefault="00836F9B" w:rsidP="001E4C31">
            <w:pPr>
              <w:jc w:val="center"/>
              <w:rPr>
                <w:rFonts w:cs="Arial"/>
                <w:b/>
                <w:sz w:val="20"/>
                <w:szCs w:val="20"/>
              </w:rPr>
            </w:pPr>
            <w:r w:rsidRPr="001E4C31">
              <w:rPr>
                <w:rFonts w:cs="Arial"/>
                <w:b/>
                <w:sz w:val="20"/>
                <w:szCs w:val="20"/>
              </w:rPr>
              <w:t>TOU Factor</w:t>
            </w:r>
          </w:p>
        </w:tc>
        <w:tc>
          <w:tcPr>
            <w:tcW w:w="1666" w:type="dxa"/>
            <w:shd w:val="pct5" w:color="000000" w:fill="FFFFFF"/>
            <w:vAlign w:val="bottom"/>
          </w:tcPr>
          <w:p w14:paraId="393A1031" w14:textId="77777777" w:rsidR="00836F9B" w:rsidRPr="0027314F" w:rsidRDefault="00836F9B" w:rsidP="001E4C31">
            <w:pPr>
              <w:jc w:val="center"/>
              <w:rPr>
                <w:rFonts w:cs="Arial"/>
                <w:i/>
                <w:sz w:val="20"/>
                <w:szCs w:val="20"/>
              </w:rPr>
            </w:pPr>
            <w:r w:rsidRPr="0027314F">
              <w:rPr>
                <w:rFonts w:cs="Arial"/>
                <w:i/>
                <w:sz w:val="20"/>
                <w:szCs w:val="20"/>
              </w:rPr>
              <w:t>A/C projects only</w:t>
            </w:r>
          </w:p>
        </w:tc>
        <w:tc>
          <w:tcPr>
            <w:tcW w:w="1530" w:type="dxa"/>
            <w:shd w:val="pct5" w:color="000000" w:fill="FFFFFF"/>
            <w:vAlign w:val="bottom"/>
          </w:tcPr>
          <w:p w14:paraId="393A1032" w14:textId="18431EA5" w:rsidR="00836F9B" w:rsidRPr="0027314F" w:rsidRDefault="005478B4" w:rsidP="001E4C31">
            <w:pPr>
              <w:jc w:val="center"/>
              <w:rPr>
                <w:rFonts w:cs="Arial"/>
                <w:i/>
                <w:sz w:val="20"/>
                <w:szCs w:val="20"/>
              </w:rPr>
            </w:pPr>
            <w:r>
              <w:rPr>
                <w:rFonts w:cs="Arial"/>
                <w:i/>
                <w:sz w:val="20"/>
                <w:szCs w:val="20"/>
              </w:rPr>
              <w:t>N/A</w:t>
            </w:r>
          </w:p>
        </w:tc>
        <w:tc>
          <w:tcPr>
            <w:tcW w:w="1399" w:type="dxa"/>
            <w:shd w:val="pct5" w:color="000000" w:fill="FFFFFF"/>
            <w:vAlign w:val="bottom"/>
          </w:tcPr>
          <w:p w14:paraId="393A1033" w14:textId="4C9EB0B7" w:rsidR="00836F9B" w:rsidRPr="0027314F" w:rsidRDefault="0027314F" w:rsidP="001E4C31">
            <w:pPr>
              <w:jc w:val="center"/>
              <w:rPr>
                <w:rFonts w:cs="Arial"/>
                <w:i/>
                <w:sz w:val="20"/>
                <w:szCs w:val="20"/>
              </w:rPr>
            </w:pPr>
            <w:r>
              <w:rPr>
                <w:rFonts w:cs="Arial"/>
                <w:i/>
                <w:sz w:val="20"/>
                <w:szCs w:val="20"/>
              </w:rPr>
              <w:t>N/A</w:t>
            </w:r>
          </w:p>
        </w:tc>
        <w:tc>
          <w:tcPr>
            <w:tcW w:w="1473" w:type="dxa"/>
            <w:shd w:val="pct5" w:color="000000" w:fill="FFFFFF"/>
            <w:vAlign w:val="bottom"/>
          </w:tcPr>
          <w:p w14:paraId="393A1034" w14:textId="61FB6F10" w:rsidR="00836F9B" w:rsidRPr="0027314F" w:rsidRDefault="005478B4" w:rsidP="001E4C31">
            <w:pPr>
              <w:jc w:val="center"/>
              <w:rPr>
                <w:rFonts w:cs="Arial"/>
                <w:i/>
                <w:sz w:val="20"/>
                <w:szCs w:val="20"/>
              </w:rPr>
            </w:pPr>
            <w:r>
              <w:rPr>
                <w:rFonts w:cs="Arial"/>
                <w:i/>
                <w:sz w:val="20"/>
                <w:szCs w:val="20"/>
              </w:rPr>
              <w:t>N/A</w:t>
            </w:r>
          </w:p>
        </w:tc>
        <w:tc>
          <w:tcPr>
            <w:tcW w:w="1736" w:type="dxa"/>
            <w:shd w:val="pct5" w:color="000000" w:fill="FFFFFF"/>
            <w:vAlign w:val="bottom"/>
          </w:tcPr>
          <w:p w14:paraId="393A1035" w14:textId="77777777" w:rsidR="00836F9B" w:rsidRPr="0027314F" w:rsidRDefault="00836F9B" w:rsidP="001E4C31">
            <w:pPr>
              <w:jc w:val="center"/>
              <w:rPr>
                <w:rFonts w:cs="Arial"/>
                <w:i/>
                <w:sz w:val="20"/>
                <w:szCs w:val="20"/>
              </w:rPr>
            </w:pPr>
            <w:r w:rsidRPr="0027314F">
              <w:rPr>
                <w:rFonts w:cs="Arial"/>
                <w:i/>
                <w:sz w:val="20"/>
                <w:szCs w:val="20"/>
              </w:rPr>
              <w:t>Section 1.4.5</w:t>
            </w:r>
          </w:p>
        </w:tc>
      </w:tr>
    </w:tbl>
    <w:p w14:paraId="393A1037" w14:textId="7EEE441A" w:rsidR="00C069A2" w:rsidRDefault="00CF3FF0" w:rsidP="00C41E61">
      <w:pPr>
        <w:pStyle w:val="Heading1"/>
      </w:pPr>
      <w:bookmarkStart w:id="74" w:name="_Toc304800210"/>
      <w:bookmarkStart w:id="75" w:name="_Toc324340489"/>
      <w:bookmarkStart w:id="76" w:name="_Toc389305675"/>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74"/>
      <w:bookmarkEnd w:id="75"/>
      <w:bookmarkEnd w:id="76"/>
    </w:p>
    <w:p w14:paraId="393A1038" w14:textId="0FEEDBA9" w:rsidR="00BC2A83" w:rsidRPr="00ED7D3D" w:rsidRDefault="00ED7D3D" w:rsidP="00EE4E12">
      <w:pPr>
        <w:pStyle w:val="Caption"/>
        <w:rPr>
          <w:rFonts w:cs="Arial"/>
          <w:b w:val="0"/>
          <w:sz w:val="22"/>
          <w:szCs w:val="22"/>
        </w:rPr>
      </w:pPr>
      <w:bookmarkStart w:id="77" w:name="_Toc324427648"/>
      <w:r>
        <w:t>Table</w:t>
      </w:r>
      <w:r w:rsidR="00EE4E12">
        <w:t xml:space="preserve"> </w:t>
      </w:r>
      <w:r w:rsidR="00916793">
        <w:t>8</w:t>
      </w:r>
      <w:r w:rsidR="0007589E">
        <w:t xml:space="preserve"> Baseline </w:t>
      </w:r>
      <w:r>
        <w:t>by Measure Application Type</w:t>
      </w:r>
      <w:bookmarkEnd w:id="77"/>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78" w:name="_Toc324340490"/>
            <w:bookmarkStart w:id="79" w:name="_Toc389305676"/>
            <w:r>
              <w:rPr>
                <w:rStyle w:val="Strong"/>
                <w:b/>
                <w:bCs/>
                <w:i w:val="0"/>
                <w:color w:val="F2F2F2"/>
              </w:rPr>
              <w:t xml:space="preserve">Measure Application </w:t>
            </w:r>
            <w:r w:rsidR="00673682" w:rsidRPr="001E4C31">
              <w:rPr>
                <w:rStyle w:val="Strong"/>
                <w:b/>
                <w:bCs/>
                <w:i w:val="0"/>
                <w:color w:val="F2F2F2"/>
              </w:rPr>
              <w:t>Type</w:t>
            </w:r>
            <w:bookmarkEnd w:id="78"/>
            <w:bookmarkEnd w:id="79"/>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80" w:name="_Toc324340491"/>
            <w:bookmarkStart w:id="81" w:name="_Toc389305677"/>
            <w:r w:rsidRPr="001E4C31">
              <w:rPr>
                <w:rStyle w:val="Strong"/>
                <w:b/>
                <w:bCs/>
                <w:i w:val="0"/>
                <w:color w:val="F2F2F2"/>
              </w:rPr>
              <w:t>Measure Life Basis</w:t>
            </w:r>
            <w:bookmarkEnd w:id="80"/>
            <w:bookmarkEnd w:id="81"/>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82" w:name="_Toc324340492"/>
            <w:bookmarkStart w:id="83" w:name="_Toc389305678"/>
            <w:r w:rsidRPr="001E4C31">
              <w:rPr>
                <w:rStyle w:val="Strong"/>
                <w:b/>
                <w:bCs/>
                <w:i w:val="0"/>
                <w:color w:val="F2F2F2"/>
              </w:rPr>
              <w:t>First Baseline Period: Energy Savings Baseline</w:t>
            </w:r>
            <w:bookmarkEnd w:id="82"/>
            <w:bookmarkEnd w:id="83"/>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84" w:name="_Toc324340493"/>
            <w:bookmarkStart w:id="85" w:name="_Toc389305679"/>
            <w:r w:rsidRPr="001E4C31">
              <w:rPr>
                <w:rStyle w:val="Strong"/>
                <w:b/>
                <w:bCs/>
                <w:i w:val="0"/>
                <w:color w:val="F2F2F2"/>
              </w:rPr>
              <w:t>Second Baseline Period: Energy Savings Baseline</w:t>
            </w:r>
            <w:bookmarkEnd w:id="84"/>
            <w:bookmarkEnd w:id="85"/>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86"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6"/>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87" w:name="_Toc324318350"/>
            <w:r w:rsidRPr="001E4C31">
              <w:rPr>
                <w:rStyle w:val="Strong"/>
                <w:b w:val="0"/>
              </w:rPr>
              <w:t>EUL</w:t>
            </w:r>
            <w:bookmarkEnd w:id="87"/>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8" w:name="_Toc324318353"/>
            <w:r w:rsidRPr="001E4C31">
              <w:rPr>
                <w:rStyle w:val="Strong"/>
                <w:i/>
              </w:rPr>
              <w:t>ROB</w:t>
            </w:r>
            <w:r w:rsidRPr="001E4C31">
              <w:rPr>
                <w:rStyle w:val="Strong"/>
                <w:b w:val="0"/>
              </w:rPr>
              <w:t xml:space="preserve"> (replace-on-burnout)</w:t>
            </w:r>
            <w:bookmarkEnd w:id="88"/>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9" w:name="_Toc324318354"/>
            <w:r w:rsidRPr="001E4C31">
              <w:rPr>
                <w:rStyle w:val="Strong"/>
                <w:b w:val="0"/>
              </w:rPr>
              <w:t>EUL</w:t>
            </w:r>
            <w:bookmarkEnd w:id="89"/>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90" w:name="_Toc324318355"/>
            <w:r w:rsidRPr="001E4C31">
              <w:rPr>
                <w:sz w:val="20"/>
                <w:szCs w:val="20"/>
              </w:rPr>
              <w:t>Code Baseline</w:t>
            </w:r>
            <w:bookmarkEnd w:id="90"/>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91" w:name="_Toc324318356"/>
            <w:r w:rsidRPr="001E4C31">
              <w:rPr>
                <w:sz w:val="20"/>
                <w:szCs w:val="20"/>
              </w:rPr>
              <w:t>N/A</w:t>
            </w:r>
            <w:bookmarkEnd w:id="91"/>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92"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92"/>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93" w:name="_Toc324318358"/>
            <w:r w:rsidRPr="001E4C31">
              <w:rPr>
                <w:rStyle w:val="Strong"/>
                <w:b w:val="0"/>
              </w:rPr>
              <w:t>RUL/EUL-RUL</w:t>
            </w:r>
            <w:bookmarkEnd w:id="93"/>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94" w:name="_Toc324318359"/>
            <w:r>
              <w:rPr>
                <w:sz w:val="20"/>
                <w:szCs w:val="20"/>
              </w:rPr>
              <w:t>Code</w:t>
            </w:r>
            <w:r w:rsidR="00645027" w:rsidRPr="001E4C31">
              <w:rPr>
                <w:sz w:val="20"/>
                <w:szCs w:val="20"/>
              </w:rPr>
              <w:t xml:space="preserve"> Baseline</w:t>
            </w:r>
            <w:bookmarkEnd w:id="94"/>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95" w:name="_Toc304800211"/>
      <w:bookmarkStart w:id="96" w:name="_Toc324318365"/>
      <w:bookmarkStart w:id="97"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393A1051" w14:textId="77777777" w:rsidR="00C069A2" w:rsidRDefault="00C069A2" w:rsidP="00D20486">
      <w:pPr>
        <w:pStyle w:val="Heading2"/>
      </w:pPr>
      <w:bookmarkStart w:id="98" w:name="_Toc389305680"/>
      <w:r>
        <w:t xml:space="preserve">2.1 </w:t>
      </w:r>
      <w:r w:rsidR="007878B9">
        <w:t xml:space="preserve">Electric </w:t>
      </w:r>
      <w:r>
        <w:t>Energy Savings Estimation Methodologies</w:t>
      </w:r>
      <w:bookmarkEnd w:id="95"/>
      <w:bookmarkEnd w:id="96"/>
      <w:bookmarkEnd w:id="97"/>
      <w:bookmarkEnd w:id="98"/>
    </w:p>
    <w:p w14:paraId="393A1052" w14:textId="5CAEF2EC" w:rsidR="004967A2" w:rsidRDefault="004967A2" w:rsidP="00126A4E">
      <w:pPr>
        <w:rPr>
          <w:rFonts w:cs="Arial"/>
          <w:sz w:val="20"/>
          <w:szCs w:val="20"/>
          <w:highlight w:val="yellow"/>
        </w:rPr>
      </w:pPr>
    </w:p>
    <w:p w14:paraId="393A1053" w14:textId="77777777" w:rsidR="00844B27" w:rsidRPr="004967A2" w:rsidRDefault="00844B27" w:rsidP="004967A2">
      <w:pPr>
        <w:numPr>
          <w:ilvl w:val="0"/>
          <w:numId w:val="14"/>
        </w:numPr>
        <w:tabs>
          <w:tab w:val="clear" w:pos="1440"/>
          <w:tab w:val="num" w:pos="360"/>
        </w:tabs>
        <w:ind w:left="360"/>
        <w:rPr>
          <w:rFonts w:cs="Arial"/>
          <w:sz w:val="20"/>
          <w:szCs w:val="20"/>
        </w:rPr>
      </w:pPr>
      <w:r w:rsidRPr="00AB14AC">
        <w:rPr>
          <w:rFonts w:cs="Arial"/>
          <w:sz w:val="20"/>
          <w:szCs w:val="20"/>
        </w:rPr>
        <w:t>There were no electric energy savings associated with this</w:t>
      </w:r>
      <w:r w:rsidR="004D7301" w:rsidRPr="00AB14AC">
        <w:rPr>
          <w:rFonts w:cs="Arial"/>
          <w:sz w:val="20"/>
          <w:szCs w:val="20"/>
        </w:rPr>
        <w:t xml:space="preserve"> </w:t>
      </w:r>
      <w:r w:rsidR="007475AA" w:rsidRPr="00AB14AC">
        <w:rPr>
          <w:rFonts w:cs="Arial"/>
          <w:sz w:val="20"/>
          <w:szCs w:val="20"/>
        </w:rPr>
        <w:t>(these)</w:t>
      </w:r>
      <w:r w:rsidRPr="00AB14AC">
        <w:rPr>
          <w:rFonts w:cs="Arial"/>
          <w:sz w:val="20"/>
          <w:szCs w:val="20"/>
        </w:rPr>
        <w:t xml:space="preserve"> measure</w:t>
      </w:r>
      <w:r w:rsidR="007475AA" w:rsidRPr="00AB14AC">
        <w:rPr>
          <w:rFonts w:cs="Arial"/>
          <w:sz w:val="20"/>
          <w:szCs w:val="20"/>
        </w:rPr>
        <w:t>(s)</w:t>
      </w:r>
      <w:r w:rsidR="00044570" w:rsidRPr="00AB14AC">
        <w:rPr>
          <w:rFonts w:cs="Arial"/>
          <w:sz w:val="20"/>
          <w:szCs w:val="20"/>
        </w:rPr>
        <w:t>.</w:t>
      </w:r>
    </w:p>
    <w:p w14:paraId="393A1054" w14:textId="77777777" w:rsidR="00044570" w:rsidRPr="004967A2" w:rsidRDefault="00044570" w:rsidP="004967A2">
      <w:pPr>
        <w:rPr>
          <w:rFonts w:cs="Arial"/>
          <w:sz w:val="20"/>
          <w:szCs w:val="20"/>
        </w:rPr>
      </w:pPr>
    </w:p>
    <w:p w14:paraId="393A106F" w14:textId="77777777" w:rsidR="00C069A2" w:rsidRDefault="0030550A" w:rsidP="002E0043">
      <w:pPr>
        <w:pStyle w:val="Heading2"/>
        <w:keepNext w:val="0"/>
      </w:pPr>
      <w:bookmarkStart w:id="99" w:name="_Toc304800212"/>
      <w:bookmarkStart w:id="100" w:name="_Toc324318366"/>
      <w:bookmarkStart w:id="101" w:name="_Toc324340495"/>
      <w:bookmarkStart w:id="102" w:name="_Toc389305681"/>
      <w:r>
        <w:t>2.2. Demand R</w:t>
      </w:r>
      <w:r w:rsidR="00C069A2">
        <w:t>eduction Estimation Methodologies</w:t>
      </w:r>
      <w:bookmarkEnd w:id="99"/>
      <w:bookmarkEnd w:id="100"/>
      <w:bookmarkEnd w:id="101"/>
      <w:bookmarkEnd w:id="102"/>
    </w:p>
    <w:p w14:paraId="393A1070" w14:textId="11040A0B" w:rsidR="00CF3FF0" w:rsidRDefault="00CF3FF0" w:rsidP="00EB46D0">
      <w:pPr>
        <w:rPr>
          <w:rFonts w:cs="Arial"/>
          <w:sz w:val="20"/>
          <w:szCs w:val="20"/>
          <w:highlight w:val="yellow"/>
        </w:rPr>
      </w:pPr>
    </w:p>
    <w:p w14:paraId="393A1071" w14:textId="77777777" w:rsidR="00CF3FF0" w:rsidRDefault="00CF3FF0" w:rsidP="00EB46D0">
      <w:pPr>
        <w:rPr>
          <w:rFonts w:cs="Arial"/>
          <w:sz w:val="20"/>
          <w:szCs w:val="20"/>
          <w:highlight w:val="yellow"/>
        </w:rPr>
      </w:pPr>
    </w:p>
    <w:p w14:paraId="393A1072" w14:textId="77777777" w:rsidR="00844B27" w:rsidRPr="00CF3FF0" w:rsidRDefault="00757590" w:rsidP="00CF3FF0">
      <w:pPr>
        <w:numPr>
          <w:ilvl w:val="0"/>
          <w:numId w:val="15"/>
        </w:numPr>
        <w:tabs>
          <w:tab w:val="clear" w:pos="1440"/>
          <w:tab w:val="num" w:pos="360"/>
        </w:tabs>
        <w:ind w:left="360"/>
        <w:rPr>
          <w:rFonts w:cs="Arial"/>
          <w:i/>
          <w:sz w:val="20"/>
          <w:szCs w:val="20"/>
        </w:rPr>
      </w:pPr>
      <w:r w:rsidRPr="00AB14AC">
        <w:rPr>
          <w:rFonts w:cs="Arial"/>
          <w:sz w:val="20"/>
          <w:szCs w:val="20"/>
        </w:rPr>
        <w:t>T</w:t>
      </w:r>
      <w:r w:rsidR="00844B27" w:rsidRPr="00AB14AC">
        <w:rPr>
          <w:rFonts w:cs="Arial"/>
          <w:sz w:val="20"/>
          <w:szCs w:val="20"/>
        </w:rPr>
        <w:t>here is no anticipated demand reduction associated with this measure</w:t>
      </w:r>
      <w:r w:rsidR="00044570" w:rsidRPr="00CF3FF0">
        <w:rPr>
          <w:rFonts w:cs="Arial"/>
          <w:sz w:val="20"/>
          <w:szCs w:val="20"/>
        </w:rPr>
        <w:t xml:space="preserve"> </w:t>
      </w:r>
    </w:p>
    <w:p w14:paraId="393A1073" w14:textId="77777777" w:rsidR="00044570" w:rsidRPr="00CF3FF0" w:rsidRDefault="00044570" w:rsidP="00CF3FF0">
      <w:pPr>
        <w:rPr>
          <w:rFonts w:cs="Arial"/>
          <w:i/>
          <w:sz w:val="20"/>
          <w:szCs w:val="20"/>
        </w:rPr>
      </w:pPr>
    </w:p>
    <w:p w14:paraId="393A108F" w14:textId="77777777" w:rsidR="007878B9" w:rsidRPr="00BF0332" w:rsidRDefault="00276ED1" w:rsidP="00BF0332">
      <w:pPr>
        <w:pStyle w:val="Heading2"/>
      </w:pPr>
      <w:bookmarkStart w:id="103" w:name="_Toc304800213"/>
      <w:bookmarkStart w:id="104" w:name="_Toc324318367"/>
      <w:bookmarkStart w:id="105" w:name="_Toc324340496"/>
      <w:bookmarkStart w:id="106" w:name="_Toc389305682"/>
      <w:r w:rsidRPr="00BF0332">
        <w:t xml:space="preserve">2.3. </w:t>
      </w:r>
      <w:r w:rsidR="007878B9" w:rsidRPr="00BF0332">
        <w:t>Gas Energy Savings Estimation Methodologies</w:t>
      </w:r>
      <w:bookmarkEnd w:id="103"/>
      <w:bookmarkEnd w:id="104"/>
      <w:bookmarkEnd w:id="105"/>
      <w:bookmarkEnd w:id="106"/>
    </w:p>
    <w:p w14:paraId="090DB800" w14:textId="252D51F4" w:rsidR="0027314F" w:rsidRPr="0027314F" w:rsidRDefault="0027314F" w:rsidP="0027314F">
      <w:pPr>
        <w:rPr>
          <w:rFonts w:ascii="Times New Roman" w:hAnsi="Times New Roman"/>
          <w:sz w:val="24"/>
          <w:highlight w:val="green"/>
        </w:rPr>
      </w:pPr>
      <w:bookmarkStart w:id="107" w:name="_Toc304800214"/>
      <w:bookmarkStart w:id="108" w:name="_Toc324318368"/>
      <w:bookmarkStart w:id="109" w:name="_Toc324340497"/>
      <w:r w:rsidRPr="0027314F">
        <w:rPr>
          <w:rFonts w:ascii="Times New Roman" w:hAnsi="Times New Roman"/>
          <w:sz w:val="24"/>
        </w:rPr>
        <w:t>The industry standard for energy use and cooking performance of conveyor ovens is ASTM Standard Test Method for the</w:t>
      </w:r>
      <w:r w:rsidRPr="0027314F">
        <w:rPr>
          <w:rFonts w:cs="Arial"/>
          <w:i/>
          <w:iCs/>
          <w:sz w:val="24"/>
        </w:rPr>
        <w:t xml:space="preserve"> </w:t>
      </w:r>
      <w:r w:rsidRPr="0027314F">
        <w:rPr>
          <w:rFonts w:ascii="Times New Roman" w:hAnsi="Times New Roman"/>
          <w:sz w:val="24"/>
        </w:rPr>
        <w:t xml:space="preserve">Performance of Conveyor Ovens (F1817). Table </w:t>
      </w:r>
      <w:r w:rsidR="00EE4E12">
        <w:rPr>
          <w:rFonts w:ascii="Times New Roman" w:hAnsi="Times New Roman"/>
          <w:sz w:val="24"/>
        </w:rPr>
        <w:t>10</w:t>
      </w:r>
      <w:r w:rsidRPr="0027314F">
        <w:rPr>
          <w:rFonts w:ascii="Times New Roman" w:hAnsi="Times New Roman"/>
          <w:sz w:val="24"/>
        </w:rPr>
        <w:t xml:space="preserve"> shows an example of the calculation results under ASTM F1817 for a gas conveyor oven.</w:t>
      </w:r>
    </w:p>
    <w:p w14:paraId="6E589237" w14:textId="77777777" w:rsidR="0027314F" w:rsidRPr="0027314F" w:rsidRDefault="0027314F" w:rsidP="0027314F">
      <w:pPr>
        <w:tabs>
          <w:tab w:val="center" w:pos="4320"/>
          <w:tab w:val="right" w:pos="8640"/>
        </w:tabs>
        <w:rPr>
          <w:rFonts w:cs="Arial"/>
          <w:b/>
          <w:bCs/>
        </w:rPr>
      </w:pPr>
    </w:p>
    <w:p w14:paraId="56EE4D5A" w14:textId="5B2428CE" w:rsidR="0027314F" w:rsidRPr="0027314F" w:rsidRDefault="0027314F" w:rsidP="0027314F">
      <w:pPr>
        <w:tabs>
          <w:tab w:val="center" w:pos="4320"/>
          <w:tab w:val="right" w:pos="8640"/>
        </w:tabs>
        <w:rPr>
          <w:rFonts w:cs="Arial"/>
          <w:b/>
          <w:bCs/>
        </w:rPr>
      </w:pPr>
      <w:r w:rsidRPr="0027314F">
        <w:rPr>
          <w:rFonts w:cs="Arial"/>
          <w:b/>
          <w:bCs/>
        </w:rPr>
        <w:fldChar w:fldCharType="begin"/>
      </w:r>
      <w:r w:rsidRPr="0027314F">
        <w:rPr>
          <w:rFonts w:cs="Arial"/>
          <w:b/>
          <w:bCs/>
        </w:rPr>
        <w:instrText xml:space="preserve"> TC /f “Table”</w:instrText>
      </w:r>
      <w:r w:rsidRPr="0027314F">
        <w:rPr>
          <w:rFonts w:cs="Arial"/>
          <w:b/>
          <w:bCs/>
        </w:rPr>
        <w:fldChar w:fldCharType="end"/>
      </w:r>
      <w:bookmarkStart w:id="110" w:name="_Toc182113831"/>
      <w:bookmarkStart w:id="111" w:name="_Toc325641412"/>
      <w:bookmarkStart w:id="112" w:name="_Toc326930820"/>
      <w:r w:rsidRPr="0027314F">
        <w:rPr>
          <w:rFonts w:cs="Arial"/>
          <w:b/>
          <w:bCs/>
        </w:rPr>
        <w:t>Table</w:t>
      </w:r>
      <w:r w:rsidR="00EE4E12">
        <w:rPr>
          <w:rFonts w:cs="Arial"/>
          <w:b/>
          <w:bCs/>
        </w:rPr>
        <w:t xml:space="preserve"> </w:t>
      </w:r>
      <w:r w:rsidR="00916793">
        <w:rPr>
          <w:rFonts w:cs="Arial"/>
          <w:b/>
          <w:bCs/>
        </w:rPr>
        <w:t>9</w:t>
      </w:r>
      <w:r w:rsidRPr="0027314F">
        <w:rPr>
          <w:rFonts w:cs="Arial"/>
          <w:b/>
          <w:bCs/>
        </w:rPr>
        <w:t xml:space="preserve"> Commercial Gas Conveyor </w:t>
      </w:r>
      <w:proofErr w:type="spellStart"/>
      <w:r w:rsidRPr="0027314F">
        <w:rPr>
          <w:rFonts w:cs="Arial"/>
          <w:b/>
          <w:bCs/>
        </w:rPr>
        <w:t>Ovenl</w:t>
      </w:r>
      <w:proofErr w:type="spellEnd"/>
      <w:r w:rsidRPr="0027314F">
        <w:rPr>
          <w:rFonts w:cs="Arial"/>
          <w:b/>
          <w:bCs/>
        </w:rPr>
        <w:t xml:space="preserve"> Cost Effectiveness </w:t>
      </w:r>
      <w:proofErr w:type="gramStart"/>
      <w:r w:rsidRPr="0027314F">
        <w:rPr>
          <w:rFonts w:cs="Arial"/>
          <w:b/>
          <w:bCs/>
        </w:rPr>
        <w:t>Example</w:t>
      </w:r>
      <w:proofErr w:type="gramEnd"/>
      <w:r w:rsidRPr="0027314F">
        <w:rPr>
          <w:rFonts w:cs="Arial"/>
          <w:b/>
          <w:bCs/>
        </w:rPr>
        <w:t>.</w:t>
      </w:r>
      <w:bookmarkEnd w:id="110"/>
      <w:bookmarkEnd w:id="111"/>
      <w:bookmarkEnd w:id="1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27314F" w:rsidRPr="0027314F" w14:paraId="46A23288" w14:textId="77777777" w:rsidTr="00707125">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p w14:paraId="0F1A5BD3" w14:textId="77777777" w:rsidR="0027314F" w:rsidRPr="0027314F" w:rsidRDefault="0027314F" w:rsidP="0027314F">
            <w:pPr>
              <w:rPr>
                <w:rFonts w:cs="Arial"/>
                <w:b/>
                <w:bCs/>
                <w:sz w:val="24"/>
              </w:rPr>
            </w:pPr>
            <w:r w:rsidRPr="0027314F">
              <w:rPr>
                <w:rFonts w:cs="Arial"/>
                <w:b/>
                <w:bCs/>
                <w:sz w:val="24"/>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14:paraId="0141773C" w14:textId="77777777" w:rsidR="0027314F" w:rsidRPr="0027314F" w:rsidRDefault="0027314F" w:rsidP="0027314F">
            <w:pPr>
              <w:jc w:val="center"/>
              <w:rPr>
                <w:rFonts w:cs="Arial"/>
                <w:b/>
                <w:bCs/>
                <w:sz w:val="24"/>
              </w:rPr>
            </w:pPr>
            <w:r w:rsidRPr="0027314F">
              <w:rPr>
                <w:rFonts w:cs="Arial"/>
                <w:b/>
                <w:bCs/>
                <w:sz w:val="24"/>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14:paraId="4787FA82" w14:textId="77777777" w:rsidR="0027314F" w:rsidRPr="0027314F" w:rsidRDefault="0027314F" w:rsidP="0027314F">
            <w:pPr>
              <w:jc w:val="center"/>
              <w:rPr>
                <w:rFonts w:cs="Arial"/>
                <w:b/>
                <w:bCs/>
                <w:sz w:val="24"/>
              </w:rPr>
            </w:pPr>
            <w:r w:rsidRPr="0027314F">
              <w:rPr>
                <w:rFonts w:cs="Arial"/>
                <w:b/>
                <w:bCs/>
                <w:sz w:val="24"/>
              </w:rPr>
              <w:t>Energy Efficient Model</w:t>
            </w:r>
          </w:p>
        </w:tc>
      </w:tr>
      <w:tr w:rsidR="0027314F" w:rsidRPr="0027314F" w14:paraId="79CAB10E"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7796086" w14:textId="77777777" w:rsidR="0027314F" w:rsidRPr="0027314F" w:rsidRDefault="0027314F" w:rsidP="0027314F">
            <w:pPr>
              <w:rPr>
                <w:rFonts w:cs="Arial"/>
                <w:sz w:val="20"/>
                <w:szCs w:val="20"/>
              </w:rPr>
            </w:pPr>
            <w:r w:rsidRPr="0027314F">
              <w:rPr>
                <w:rFonts w:cs="Arial"/>
                <w:sz w:val="20"/>
                <w:szCs w:val="20"/>
              </w:rPr>
              <w:t>Preheat Time (min)</w:t>
            </w:r>
          </w:p>
        </w:tc>
        <w:tc>
          <w:tcPr>
            <w:tcW w:w="1098" w:type="pct"/>
            <w:tcBorders>
              <w:top w:val="single" w:sz="4" w:space="0" w:color="auto"/>
              <w:left w:val="single" w:sz="4" w:space="0" w:color="auto"/>
              <w:bottom w:val="single" w:sz="4" w:space="0" w:color="auto"/>
              <w:right w:val="single" w:sz="4" w:space="0" w:color="auto"/>
            </w:tcBorders>
            <w:vAlign w:val="center"/>
          </w:tcPr>
          <w:p w14:paraId="6678DBB4" w14:textId="77777777" w:rsidR="0027314F" w:rsidRPr="0027314F" w:rsidRDefault="0027314F" w:rsidP="0027314F">
            <w:pPr>
              <w:jc w:val="center"/>
              <w:rPr>
                <w:rFonts w:cs="Arial"/>
                <w:sz w:val="20"/>
                <w:szCs w:val="20"/>
              </w:rPr>
            </w:pPr>
            <w:r w:rsidRPr="0027314F">
              <w:rPr>
                <w:rFonts w:cs="Arial"/>
                <w:sz w:val="20"/>
                <w:szCs w:val="20"/>
              </w:rPr>
              <w:t>15</w:t>
            </w:r>
          </w:p>
        </w:tc>
        <w:tc>
          <w:tcPr>
            <w:tcW w:w="1204" w:type="pct"/>
            <w:tcBorders>
              <w:top w:val="single" w:sz="4" w:space="0" w:color="auto"/>
              <w:left w:val="single" w:sz="4" w:space="0" w:color="auto"/>
              <w:bottom w:val="single" w:sz="4" w:space="0" w:color="auto"/>
              <w:right w:val="single" w:sz="4" w:space="0" w:color="auto"/>
            </w:tcBorders>
            <w:vAlign w:val="center"/>
          </w:tcPr>
          <w:p w14:paraId="45917F3A" w14:textId="77777777" w:rsidR="0027314F" w:rsidRPr="0027314F" w:rsidRDefault="0027314F" w:rsidP="0027314F">
            <w:pPr>
              <w:jc w:val="center"/>
              <w:rPr>
                <w:rFonts w:cs="Arial"/>
                <w:sz w:val="20"/>
                <w:szCs w:val="20"/>
              </w:rPr>
            </w:pPr>
            <w:r w:rsidRPr="0027314F">
              <w:rPr>
                <w:rFonts w:cs="Arial"/>
                <w:sz w:val="20"/>
                <w:szCs w:val="20"/>
              </w:rPr>
              <w:t>15</w:t>
            </w:r>
          </w:p>
        </w:tc>
      </w:tr>
      <w:tr w:rsidR="0027314F" w:rsidRPr="0027314F" w14:paraId="3ACB3E5D"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FF74FE2" w14:textId="77777777" w:rsidR="0027314F" w:rsidRPr="0027314F" w:rsidRDefault="0027314F" w:rsidP="0027314F">
            <w:pPr>
              <w:rPr>
                <w:rFonts w:cs="Arial"/>
                <w:sz w:val="20"/>
                <w:szCs w:val="20"/>
              </w:rPr>
            </w:pPr>
            <w:r w:rsidRPr="0027314F">
              <w:rPr>
                <w:rFonts w:cs="Arial"/>
                <w:sz w:val="20"/>
                <w:szCs w:val="20"/>
              </w:rPr>
              <w:t>Preheat Energy (Btu)</w:t>
            </w:r>
          </w:p>
        </w:tc>
        <w:tc>
          <w:tcPr>
            <w:tcW w:w="1098" w:type="pct"/>
            <w:tcBorders>
              <w:top w:val="single" w:sz="4" w:space="0" w:color="auto"/>
              <w:left w:val="single" w:sz="4" w:space="0" w:color="auto"/>
              <w:bottom w:val="single" w:sz="4" w:space="0" w:color="auto"/>
              <w:right w:val="single" w:sz="4" w:space="0" w:color="auto"/>
            </w:tcBorders>
            <w:vAlign w:val="center"/>
          </w:tcPr>
          <w:p w14:paraId="7DC07D38" w14:textId="77777777" w:rsidR="0027314F" w:rsidRPr="0027314F" w:rsidRDefault="0027314F" w:rsidP="0027314F">
            <w:pPr>
              <w:jc w:val="center"/>
              <w:rPr>
                <w:rFonts w:cs="Arial"/>
                <w:sz w:val="20"/>
                <w:szCs w:val="20"/>
              </w:rPr>
            </w:pPr>
            <w:r w:rsidRPr="0027314F">
              <w:rPr>
                <w:rFonts w:cs="Arial"/>
                <w:sz w:val="20"/>
                <w:szCs w:val="20"/>
              </w:rPr>
              <w:t>35,000</w:t>
            </w:r>
          </w:p>
        </w:tc>
        <w:tc>
          <w:tcPr>
            <w:tcW w:w="1204" w:type="pct"/>
            <w:tcBorders>
              <w:top w:val="single" w:sz="4" w:space="0" w:color="auto"/>
              <w:left w:val="single" w:sz="4" w:space="0" w:color="auto"/>
              <w:bottom w:val="single" w:sz="4" w:space="0" w:color="auto"/>
              <w:right w:val="single" w:sz="4" w:space="0" w:color="auto"/>
            </w:tcBorders>
            <w:vAlign w:val="center"/>
          </w:tcPr>
          <w:p w14:paraId="5C90D1BE" w14:textId="77777777" w:rsidR="0027314F" w:rsidRPr="0027314F" w:rsidRDefault="0027314F" w:rsidP="0027314F">
            <w:pPr>
              <w:jc w:val="center"/>
              <w:rPr>
                <w:rFonts w:cs="Arial"/>
                <w:sz w:val="20"/>
                <w:szCs w:val="20"/>
              </w:rPr>
            </w:pPr>
            <w:r w:rsidRPr="0027314F">
              <w:rPr>
                <w:rFonts w:cs="Arial"/>
                <w:sz w:val="20"/>
                <w:szCs w:val="20"/>
              </w:rPr>
              <w:t>18,000</w:t>
            </w:r>
          </w:p>
        </w:tc>
      </w:tr>
      <w:tr w:rsidR="0027314F" w:rsidRPr="0027314F" w14:paraId="048489BF"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224558C" w14:textId="77777777" w:rsidR="0027314F" w:rsidRPr="0027314F" w:rsidRDefault="0027314F" w:rsidP="0027314F">
            <w:pPr>
              <w:rPr>
                <w:rFonts w:cs="Arial"/>
                <w:sz w:val="20"/>
                <w:szCs w:val="20"/>
              </w:rPr>
            </w:pPr>
            <w:r w:rsidRPr="0027314F">
              <w:rPr>
                <w:rFonts w:cs="Arial"/>
                <w:sz w:val="20"/>
                <w:szCs w:val="20"/>
              </w:rPr>
              <w:t>Idle Energy Rate (Btu/h)</w:t>
            </w:r>
          </w:p>
        </w:tc>
        <w:tc>
          <w:tcPr>
            <w:tcW w:w="1098" w:type="pct"/>
            <w:tcBorders>
              <w:top w:val="single" w:sz="4" w:space="0" w:color="auto"/>
              <w:left w:val="single" w:sz="4" w:space="0" w:color="auto"/>
              <w:bottom w:val="single" w:sz="4" w:space="0" w:color="auto"/>
              <w:right w:val="single" w:sz="4" w:space="0" w:color="auto"/>
            </w:tcBorders>
            <w:vAlign w:val="center"/>
          </w:tcPr>
          <w:p w14:paraId="66F29494" w14:textId="77777777" w:rsidR="0027314F" w:rsidRPr="0027314F" w:rsidRDefault="0027314F" w:rsidP="0027314F">
            <w:pPr>
              <w:jc w:val="center"/>
              <w:rPr>
                <w:rFonts w:cs="Arial"/>
                <w:sz w:val="20"/>
                <w:szCs w:val="20"/>
              </w:rPr>
            </w:pPr>
            <w:r w:rsidRPr="0027314F">
              <w:rPr>
                <w:rFonts w:cs="Arial"/>
                <w:sz w:val="20"/>
                <w:szCs w:val="20"/>
              </w:rPr>
              <w:t>70,000</w:t>
            </w:r>
          </w:p>
        </w:tc>
        <w:tc>
          <w:tcPr>
            <w:tcW w:w="1204" w:type="pct"/>
            <w:tcBorders>
              <w:top w:val="single" w:sz="4" w:space="0" w:color="auto"/>
              <w:left w:val="single" w:sz="4" w:space="0" w:color="auto"/>
              <w:bottom w:val="single" w:sz="4" w:space="0" w:color="auto"/>
              <w:right w:val="single" w:sz="4" w:space="0" w:color="auto"/>
            </w:tcBorders>
            <w:vAlign w:val="center"/>
          </w:tcPr>
          <w:p w14:paraId="033ADEDE" w14:textId="77777777" w:rsidR="0027314F" w:rsidRPr="0027314F" w:rsidRDefault="0027314F" w:rsidP="0027314F">
            <w:pPr>
              <w:jc w:val="center"/>
              <w:rPr>
                <w:rFonts w:cs="Arial"/>
                <w:sz w:val="20"/>
                <w:szCs w:val="20"/>
              </w:rPr>
            </w:pPr>
            <w:r w:rsidRPr="0027314F">
              <w:rPr>
                <w:rFonts w:cs="Arial"/>
                <w:sz w:val="20"/>
                <w:szCs w:val="20"/>
              </w:rPr>
              <w:t>57,000</w:t>
            </w:r>
          </w:p>
        </w:tc>
      </w:tr>
      <w:tr w:rsidR="0027314F" w:rsidRPr="0027314F" w14:paraId="26004D72"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BA52679" w14:textId="77777777" w:rsidR="0027314F" w:rsidRPr="0027314F" w:rsidRDefault="0027314F" w:rsidP="0027314F">
            <w:pPr>
              <w:rPr>
                <w:rFonts w:cs="Arial"/>
                <w:sz w:val="20"/>
                <w:szCs w:val="20"/>
              </w:rPr>
            </w:pPr>
            <w:r w:rsidRPr="0027314F">
              <w:rPr>
                <w:rFonts w:cs="Arial"/>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14:paraId="39C1E8BC" w14:textId="77777777" w:rsidR="0027314F" w:rsidRPr="0027314F" w:rsidRDefault="0027314F" w:rsidP="0027314F">
            <w:pPr>
              <w:jc w:val="center"/>
              <w:rPr>
                <w:rFonts w:cs="Arial"/>
                <w:sz w:val="20"/>
                <w:szCs w:val="20"/>
              </w:rPr>
            </w:pPr>
            <w:r w:rsidRPr="0027314F">
              <w:rPr>
                <w:rFonts w:cs="Arial"/>
                <w:sz w:val="20"/>
                <w:szCs w:val="20"/>
              </w:rPr>
              <w:t>20%</w:t>
            </w:r>
          </w:p>
        </w:tc>
        <w:tc>
          <w:tcPr>
            <w:tcW w:w="1204" w:type="pct"/>
            <w:tcBorders>
              <w:top w:val="single" w:sz="4" w:space="0" w:color="auto"/>
              <w:left w:val="single" w:sz="4" w:space="0" w:color="auto"/>
              <w:bottom w:val="single" w:sz="4" w:space="0" w:color="auto"/>
              <w:right w:val="single" w:sz="4" w:space="0" w:color="auto"/>
            </w:tcBorders>
            <w:vAlign w:val="center"/>
          </w:tcPr>
          <w:p w14:paraId="5F0A3782" w14:textId="77777777" w:rsidR="0027314F" w:rsidRPr="0027314F" w:rsidRDefault="0027314F" w:rsidP="0027314F">
            <w:pPr>
              <w:jc w:val="center"/>
              <w:rPr>
                <w:rFonts w:cs="Arial"/>
                <w:sz w:val="20"/>
                <w:szCs w:val="20"/>
              </w:rPr>
            </w:pPr>
            <w:r w:rsidRPr="0027314F">
              <w:rPr>
                <w:rFonts w:cs="Arial"/>
                <w:sz w:val="20"/>
                <w:szCs w:val="20"/>
              </w:rPr>
              <w:t>42%</w:t>
            </w:r>
          </w:p>
        </w:tc>
      </w:tr>
      <w:tr w:rsidR="0027314F" w:rsidRPr="0027314F" w14:paraId="0174D168"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4A7D25F" w14:textId="77777777" w:rsidR="0027314F" w:rsidRPr="0027314F" w:rsidRDefault="0027314F" w:rsidP="0027314F">
            <w:pPr>
              <w:rPr>
                <w:rFonts w:cs="Arial"/>
                <w:sz w:val="20"/>
                <w:szCs w:val="20"/>
              </w:rPr>
            </w:pPr>
            <w:r w:rsidRPr="0027314F">
              <w:rPr>
                <w:rFonts w:cs="Arial"/>
                <w:sz w:val="20"/>
                <w:szCs w:val="20"/>
              </w:rPr>
              <w:t>Production Capacity (pizzas/</w:t>
            </w:r>
            <w:proofErr w:type="spellStart"/>
            <w:r w:rsidRPr="0027314F">
              <w:rPr>
                <w:rFonts w:cs="Arial"/>
                <w:sz w:val="20"/>
                <w:szCs w:val="20"/>
              </w:rPr>
              <w:t>hr</w:t>
            </w:r>
            <w:proofErr w:type="spellEnd"/>
            <w:r w:rsidRPr="0027314F">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653E7D0C" w14:textId="77777777" w:rsidR="0027314F" w:rsidRPr="0027314F" w:rsidRDefault="0027314F" w:rsidP="0027314F">
            <w:pPr>
              <w:jc w:val="center"/>
              <w:rPr>
                <w:rFonts w:cs="Arial"/>
                <w:sz w:val="20"/>
                <w:szCs w:val="20"/>
              </w:rPr>
            </w:pPr>
            <w:r w:rsidRPr="0027314F">
              <w:rPr>
                <w:rFonts w:cs="Arial"/>
                <w:sz w:val="20"/>
                <w:szCs w:val="20"/>
              </w:rPr>
              <w:t>150</w:t>
            </w:r>
          </w:p>
        </w:tc>
        <w:tc>
          <w:tcPr>
            <w:tcW w:w="1204" w:type="pct"/>
            <w:tcBorders>
              <w:top w:val="single" w:sz="4" w:space="0" w:color="auto"/>
              <w:left w:val="single" w:sz="4" w:space="0" w:color="auto"/>
              <w:bottom w:val="single" w:sz="4" w:space="0" w:color="auto"/>
              <w:right w:val="single" w:sz="4" w:space="0" w:color="auto"/>
            </w:tcBorders>
            <w:vAlign w:val="center"/>
          </w:tcPr>
          <w:p w14:paraId="29501CFD" w14:textId="77777777" w:rsidR="0027314F" w:rsidRPr="0027314F" w:rsidRDefault="0027314F" w:rsidP="0027314F">
            <w:pPr>
              <w:jc w:val="center"/>
              <w:rPr>
                <w:rFonts w:cs="Arial"/>
                <w:sz w:val="20"/>
                <w:szCs w:val="20"/>
              </w:rPr>
            </w:pPr>
            <w:r w:rsidRPr="0027314F">
              <w:rPr>
                <w:rFonts w:cs="Arial"/>
                <w:sz w:val="20"/>
                <w:szCs w:val="20"/>
              </w:rPr>
              <w:t>220</w:t>
            </w:r>
          </w:p>
        </w:tc>
      </w:tr>
      <w:tr w:rsidR="0027314F" w:rsidRPr="0027314F" w14:paraId="3A883E2A"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9923ECC" w14:textId="77777777" w:rsidR="0027314F" w:rsidRPr="0027314F" w:rsidRDefault="0027314F" w:rsidP="0027314F">
            <w:pPr>
              <w:rPr>
                <w:rFonts w:cs="Arial"/>
                <w:sz w:val="20"/>
                <w:szCs w:val="20"/>
              </w:rPr>
            </w:pPr>
            <w:r w:rsidRPr="0027314F">
              <w:rPr>
                <w:rFonts w:cs="Arial"/>
                <w:sz w:val="20"/>
                <w:szCs w:val="20"/>
              </w:rPr>
              <w:t>Operating Hours/Day</w:t>
            </w:r>
            <w:r w:rsidRPr="0027314F">
              <w:rPr>
                <w:rFonts w:cs="Arial"/>
                <w:sz w:val="20"/>
                <w:szCs w:val="20"/>
                <w:vertAlign w:val="superscript"/>
              </w:rPr>
              <w:t xml:space="preserve"> a</w:t>
            </w:r>
          </w:p>
        </w:tc>
        <w:tc>
          <w:tcPr>
            <w:tcW w:w="1098" w:type="pct"/>
            <w:tcBorders>
              <w:top w:val="single" w:sz="4" w:space="0" w:color="auto"/>
              <w:left w:val="single" w:sz="4" w:space="0" w:color="auto"/>
              <w:bottom w:val="single" w:sz="4" w:space="0" w:color="auto"/>
              <w:right w:val="single" w:sz="4" w:space="0" w:color="auto"/>
            </w:tcBorders>
            <w:vAlign w:val="center"/>
          </w:tcPr>
          <w:p w14:paraId="7A8004E7" w14:textId="77777777" w:rsidR="0027314F" w:rsidRPr="0027314F" w:rsidRDefault="0027314F" w:rsidP="0027314F">
            <w:pPr>
              <w:jc w:val="center"/>
              <w:rPr>
                <w:rFonts w:cs="Arial"/>
                <w:sz w:val="20"/>
                <w:szCs w:val="20"/>
              </w:rPr>
            </w:pPr>
            <w:r w:rsidRPr="0027314F">
              <w:rPr>
                <w:rFonts w:cs="Arial"/>
                <w:sz w:val="20"/>
                <w:szCs w:val="20"/>
              </w:rPr>
              <w:t>12</w:t>
            </w:r>
          </w:p>
        </w:tc>
        <w:tc>
          <w:tcPr>
            <w:tcW w:w="1204" w:type="pct"/>
            <w:tcBorders>
              <w:top w:val="single" w:sz="4" w:space="0" w:color="auto"/>
              <w:left w:val="single" w:sz="4" w:space="0" w:color="auto"/>
              <w:bottom w:val="single" w:sz="4" w:space="0" w:color="auto"/>
              <w:right w:val="single" w:sz="4" w:space="0" w:color="auto"/>
            </w:tcBorders>
            <w:vAlign w:val="center"/>
          </w:tcPr>
          <w:p w14:paraId="1C4913C5" w14:textId="77777777" w:rsidR="0027314F" w:rsidRPr="0027314F" w:rsidRDefault="0027314F" w:rsidP="0027314F">
            <w:pPr>
              <w:jc w:val="center"/>
              <w:rPr>
                <w:rFonts w:cs="Arial"/>
                <w:sz w:val="20"/>
                <w:szCs w:val="20"/>
              </w:rPr>
            </w:pPr>
            <w:r w:rsidRPr="0027314F">
              <w:rPr>
                <w:rFonts w:cs="Arial"/>
                <w:sz w:val="20"/>
                <w:szCs w:val="20"/>
              </w:rPr>
              <w:t>12</w:t>
            </w:r>
          </w:p>
        </w:tc>
      </w:tr>
      <w:tr w:rsidR="0027314F" w:rsidRPr="0027314F" w14:paraId="25CD1704"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17C5A3AF" w14:textId="77777777" w:rsidR="0027314F" w:rsidRPr="0027314F" w:rsidRDefault="0027314F" w:rsidP="0027314F">
            <w:pPr>
              <w:rPr>
                <w:rFonts w:cs="Arial"/>
                <w:sz w:val="20"/>
                <w:szCs w:val="20"/>
              </w:rPr>
            </w:pPr>
            <w:r w:rsidRPr="0027314F">
              <w:rPr>
                <w:rFonts w:cs="Arial"/>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14:paraId="14251C8F" w14:textId="77777777" w:rsidR="0027314F" w:rsidRPr="0027314F" w:rsidRDefault="0027314F" w:rsidP="0027314F">
            <w:pPr>
              <w:jc w:val="center"/>
              <w:rPr>
                <w:rFonts w:cs="Arial"/>
                <w:sz w:val="20"/>
                <w:szCs w:val="20"/>
              </w:rPr>
            </w:pPr>
            <w:r w:rsidRPr="0027314F">
              <w:rPr>
                <w:rFonts w:cs="Arial"/>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14:paraId="6EC56553" w14:textId="77777777" w:rsidR="0027314F" w:rsidRPr="0027314F" w:rsidRDefault="0027314F" w:rsidP="0027314F">
            <w:pPr>
              <w:jc w:val="center"/>
              <w:rPr>
                <w:rFonts w:cs="Arial"/>
                <w:sz w:val="20"/>
                <w:szCs w:val="20"/>
              </w:rPr>
            </w:pPr>
            <w:r w:rsidRPr="0027314F">
              <w:rPr>
                <w:rFonts w:cs="Arial"/>
                <w:sz w:val="20"/>
                <w:szCs w:val="20"/>
              </w:rPr>
              <w:t>365</w:t>
            </w:r>
          </w:p>
        </w:tc>
      </w:tr>
      <w:tr w:rsidR="0027314F" w:rsidRPr="0027314F" w14:paraId="56B05E45"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7F8C3A7" w14:textId="77777777" w:rsidR="0027314F" w:rsidRPr="0027314F" w:rsidRDefault="0027314F" w:rsidP="0027314F">
            <w:pPr>
              <w:rPr>
                <w:rFonts w:cs="Arial"/>
                <w:sz w:val="20"/>
                <w:szCs w:val="20"/>
              </w:rPr>
            </w:pPr>
            <w:r w:rsidRPr="0027314F">
              <w:rPr>
                <w:rFonts w:cs="Arial"/>
                <w:sz w:val="20"/>
                <w:szCs w:val="20"/>
              </w:rPr>
              <w:t>Number of Preheats per Day</w:t>
            </w:r>
          </w:p>
        </w:tc>
        <w:tc>
          <w:tcPr>
            <w:tcW w:w="1098" w:type="pct"/>
            <w:tcBorders>
              <w:top w:val="single" w:sz="4" w:space="0" w:color="auto"/>
              <w:left w:val="single" w:sz="4" w:space="0" w:color="auto"/>
              <w:bottom w:val="single" w:sz="4" w:space="0" w:color="auto"/>
              <w:right w:val="single" w:sz="4" w:space="0" w:color="auto"/>
            </w:tcBorders>
            <w:vAlign w:val="center"/>
          </w:tcPr>
          <w:p w14:paraId="2D76B749" w14:textId="77777777" w:rsidR="0027314F" w:rsidRPr="0027314F" w:rsidRDefault="0027314F" w:rsidP="0027314F">
            <w:pPr>
              <w:jc w:val="center"/>
              <w:rPr>
                <w:rFonts w:cs="Arial"/>
                <w:sz w:val="20"/>
                <w:szCs w:val="20"/>
              </w:rPr>
            </w:pPr>
            <w:r w:rsidRPr="0027314F">
              <w:rPr>
                <w:rFonts w:cs="Arial"/>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14:paraId="3E622849" w14:textId="77777777" w:rsidR="0027314F" w:rsidRPr="0027314F" w:rsidRDefault="0027314F" w:rsidP="0027314F">
            <w:pPr>
              <w:jc w:val="center"/>
              <w:rPr>
                <w:rFonts w:cs="Arial"/>
                <w:sz w:val="20"/>
                <w:szCs w:val="20"/>
              </w:rPr>
            </w:pPr>
            <w:r w:rsidRPr="0027314F">
              <w:rPr>
                <w:rFonts w:cs="Arial"/>
                <w:sz w:val="20"/>
                <w:szCs w:val="20"/>
              </w:rPr>
              <w:t>1</w:t>
            </w:r>
          </w:p>
        </w:tc>
      </w:tr>
      <w:tr w:rsidR="0027314F" w:rsidRPr="0027314F" w14:paraId="0ED0537B"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71D7088" w14:textId="77777777" w:rsidR="0027314F" w:rsidRPr="0027314F" w:rsidRDefault="0027314F" w:rsidP="0027314F">
            <w:pPr>
              <w:rPr>
                <w:rFonts w:cs="Arial"/>
                <w:sz w:val="20"/>
                <w:szCs w:val="20"/>
              </w:rPr>
            </w:pPr>
            <w:r w:rsidRPr="0027314F">
              <w:rPr>
                <w:rFonts w:cs="Arial"/>
                <w:sz w:val="20"/>
                <w:szCs w:val="20"/>
              </w:rPr>
              <w:t xml:space="preserve">Pizzas Cooked per Day </w:t>
            </w:r>
          </w:p>
        </w:tc>
        <w:tc>
          <w:tcPr>
            <w:tcW w:w="1098" w:type="pct"/>
            <w:tcBorders>
              <w:top w:val="single" w:sz="4" w:space="0" w:color="auto"/>
              <w:left w:val="single" w:sz="4" w:space="0" w:color="auto"/>
              <w:bottom w:val="single" w:sz="4" w:space="0" w:color="auto"/>
              <w:right w:val="single" w:sz="4" w:space="0" w:color="auto"/>
            </w:tcBorders>
            <w:vAlign w:val="center"/>
          </w:tcPr>
          <w:p w14:paraId="4F72E7B9" w14:textId="77777777" w:rsidR="0027314F" w:rsidRPr="0027314F" w:rsidRDefault="0027314F" w:rsidP="0027314F">
            <w:pPr>
              <w:jc w:val="center"/>
              <w:rPr>
                <w:rFonts w:cs="Arial"/>
                <w:sz w:val="20"/>
                <w:szCs w:val="20"/>
              </w:rPr>
            </w:pPr>
            <w:r w:rsidRPr="0027314F">
              <w:rPr>
                <w:rFonts w:cs="Arial"/>
                <w:sz w:val="20"/>
                <w:szCs w:val="20"/>
              </w:rPr>
              <w:t>250</w:t>
            </w:r>
          </w:p>
        </w:tc>
        <w:tc>
          <w:tcPr>
            <w:tcW w:w="1204" w:type="pct"/>
            <w:tcBorders>
              <w:top w:val="single" w:sz="4" w:space="0" w:color="auto"/>
              <w:left w:val="single" w:sz="4" w:space="0" w:color="auto"/>
              <w:bottom w:val="single" w:sz="4" w:space="0" w:color="auto"/>
              <w:right w:val="single" w:sz="4" w:space="0" w:color="auto"/>
            </w:tcBorders>
            <w:vAlign w:val="center"/>
          </w:tcPr>
          <w:p w14:paraId="063087A4" w14:textId="77777777" w:rsidR="0027314F" w:rsidRPr="0027314F" w:rsidRDefault="0027314F" w:rsidP="0027314F">
            <w:pPr>
              <w:jc w:val="center"/>
              <w:rPr>
                <w:rFonts w:cs="Arial"/>
                <w:sz w:val="20"/>
                <w:szCs w:val="20"/>
              </w:rPr>
            </w:pPr>
            <w:r w:rsidRPr="0027314F">
              <w:rPr>
                <w:rFonts w:cs="Arial"/>
                <w:sz w:val="20"/>
                <w:szCs w:val="20"/>
              </w:rPr>
              <w:t>250</w:t>
            </w:r>
          </w:p>
        </w:tc>
      </w:tr>
      <w:tr w:rsidR="0027314F" w:rsidRPr="0027314F" w14:paraId="201AEA37"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91F524C" w14:textId="77777777" w:rsidR="0027314F" w:rsidRPr="0027314F" w:rsidRDefault="0027314F" w:rsidP="0027314F">
            <w:pPr>
              <w:rPr>
                <w:rFonts w:cs="Arial"/>
                <w:sz w:val="20"/>
                <w:szCs w:val="20"/>
              </w:rPr>
            </w:pPr>
            <w:r w:rsidRPr="0027314F">
              <w:rPr>
                <w:rFonts w:cs="Arial"/>
                <w:sz w:val="20"/>
                <w:szCs w:val="20"/>
              </w:rPr>
              <w:t>Gas Cost ($/therm)</w:t>
            </w:r>
          </w:p>
        </w:tc>
        <w:tc>
          <w:tcPr>
            <w:tcW w:w="1098" w:type="pct"/>
            <w:tcBorders>
              <w:top w:val="single" w:sz="4" w:space="0" w:color="auto"/>
              <w:left w:val="single" w:sz="4" w:space="0" w:color="auto"/>
              <w:bottom w:val="single" w:sz="4" w:space="0" w:color="auto"/>
              <w:right w:val="single" w:sz="4" w:space="0" w:color="auto"/>
            </w:tcBorders>
            <w:vAlign w:val="center"/>
          </w:tcPr>
          <w:p w14:paraId="71A52BC9" w14:textId="77777777" w:rsidR="0027314F" w:rsidRPr="0027314F" w:rsidRDefault="0027314F" w:rsidP="0027314F">
            <w:pPr>
              <w:jc w:val="center"/>
              <w:rPr>
                <w:rFonts w:cs="Arial"/>
                <w:sz w:val="20"/>
                <w:szCs w:val="20"/>
              </w:rPr>
            </w:pPr>
            <w:r w:rsidRPr="0027314F">
              <w:rPr>
                <w:rFonts w:cs="Arial"/>
                <w:sz w:val="20"/>
                <w:szCs w:val="20"/>
              </w:rPr>
              <w:t>$1.00</w:t>
            </w:r>
          </w:p>
        </w:tc>
        <w:tc>
          <w:tcPr>
            <w:tcW w:w="1204" w:type="pct"/>
            <w:tcBorders>
              <w:top w:val="single" w:sz="4" w:space="0" w:color="auto"/>
              <w:left w:val="single" w:sz="4" w:space="0" w:color="auto"/>
              <w:bottom w:val="single" w:sz="4" w:space="0" w:color="auto"/>
              <w:right w:val="single" w:sz="4" w:space="0" w:color="auto"/>
            </w:tcBorders>
            <w:vAlign w:val="center"/>
          </w:tcPr>
          <w:p w14:paraId="688DB9B9" w14:textId="77777777" w:rsidR="0027314F" w:rsidRPr="0027314F" w:rsidRDefault="0027314F" w:rsidP="0027314F">
            <w:pPr>
              <w:jc w:val="center"/>
              <w:rPr>
                <w:rFonts w:cs="Arial"/>
                <w:sz w:val="20"/>
                <w:szCs w:val="20"/>
              </w:rPr>
            </w:pPr>
            <w:r w:rsidRPr="0027314F">
              <w:rPr>
                <w:rFonts w:cs="Arial"/>
                <w:sz w:val="20"/>
                <w:szCs w:val="20"/>
              </w:rPr>
              <w:t>$1.00</w:t>
            </w:r>
          </w:p>
        </w:tc>
      </w:tr>
      <w:tr w:rsidR="0027314F" w:rsidRPr="0027314F" w14:paraId="12AE14C3"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3980B0F" w14:textId="77777777" w:rsidR="0027314F" w:rsidRPr="0027314F" w:rsidRDefault="0027314F" w:rsidP="0027314F">
            <w:pPr>
              <w:rPr>
                <w:rFonts w:cs="Arial"/>
                <w:sz w:val="20"/>
                <w:szCs w:val="20"/>
              </w:rPr>
            </w:pPr>
            <w:r w:rsidRPr="0027314F">
              <w:rPr>
                <w:rFonts w:cs="Arial"/>
                <w:sz w:val="20"/>
                <w:szCs w:val="20"/>
              </w:rPr>
              <w:t>ASTM Energy to Food (Btu/pizza)</w:t>
            </w:r>
          </w:p>
        </w:tc>
        <w:tc>
          <w:tcPr>
            <w:tcW w:w="1098" w:type="pct"/>
            <w:tcBorders>
              <w:top w:val="single" w:sz="4" w:space="0" w:color="auto"/>
              <w:left w:val="single" w:sz="4" w:space="0" w:color="auto"/>
              <w:bottom w:val="single" w:sz="4" w:space="0" w:color="auto"/>
              <w:right w:val="single" w:sz="4" w:space="0" w:color="auto"/>
            </w:tcBorders>
            <w:vAlign w:val="center"/>
          </w:tcPr>
          <w:p w14:paraId="3AED1870" w14:textId="77777777" w:rsidR="0027314F" w:rsidRPr="0027314F" w:rsidRDefault="0027314F" w:rsidP="0027314F">
            <w:pPr>
              <w:jc w:val="center"/>
              <w:rPr>
                <w:rFonts w:cs="Arial"/>
                <w:sz w:val="20"/>
                <w:szCs w:val="20"/>
              </w:rPr>
            </w:pPr>
            <w:r w:rsidRPr="0027314F">
              <w:rPr>
                <w:rFonts w:cs="Arial"/>
                <w:sz w:val="20"/>
                <w:szCs w:val="20"/>
              </w:rPr>
              <w:t>190</w:t>
            </w:r>
          </w:p>
        </w:tc>
        <w:tc>
          <w:tcPr>
            <w:tcW w:w="1204" w:type="pct"/>
            <w:tcBorders>
              <w:top w:val="single" w:sz="4" w:space="0" w:color="auto"/>
              <w:left w:val="single" w:sz="4" w:space="0" w:color="auto"/>
              <w:bottom w:val="single" w:sz="4" w:space="0" w:color="auto"/>
              <w:right w:val="single" w:sz="4" w:space="0" w:color="auto"/>
            </w:tcBorders>
            <w:vAlign w:val="center"/>
          </w:tcPr>
          <w:p w14:paraId="34CF604C" w14:textId="77777777" w:rsidR="0027314F" w:rsidRPr="0027314F" w:rsidRDefault="0027314F" w:rsidP="0027314F">
            <w:pPr>
              <w:jc w:val="center"/>
              <w:rPr>
                <w:rFonts w:cs="Arial"/>
                <w:sz w:val="20"/>
                <w:szCs w:val="20"/>
              </w:rPr>
            </w:pPr>
            <w:r w:rsidRPr="0027314F">
              <w:rPr>
                <w:rFonts w:cs="Arial"/>
                <w:sz w:val="20"/>
                <w:szCs w:val="20"/>
              </w:rPr>
              <w:t>190</w:t>
            </w:r>
          </w:p>
        </w:tc>
      </w:tr>
      <w:tr w:rsidR="0027314F" w:rsidRPr="0027314F" w14:paraId="1D5207C9"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B5F2574" w14:textId="77777777" w:rsidR="0027314F" w:rsidRPr="0027314F" w:rsidRDefault="0027314F" w:rsidP="0027314F">
            <w:pPr>
              <w:rPr>
                <w:rFonts w:cs="Arial"/>
                <w:sz w:val="20"/>
                <w:szCs w:val="20"/>
              </w:rPr>
            </w:pPr>
            <w:r w:rsidRPr="0027314F">
              <w:rPr>
                <w:rFonts w:cs="Arial"/>
                <w:sz w:val="20"/>
                <w:szCs w:val="20"/>
              </w:rPr>
              <w:t>Daily Energy Consumption (Btu)</w:t>
            </w:r>
          </w:p>
        </w:tc>
        <w:tc>
          <w:tcPr>
            <w:tcW w:w="1098" w:type="pct"/>
            <w:tcBorders>
              <w:top w:val="single" w:sz="4" w:space="0" w:color="auto"/>
              <w:left w:val="single" w:sz="4" w:space="0" w:color="auto"/>
              <w:bottom w:val="single" w:sz="4" w:space="0" w:color="auto"/>
              <w:right w:val="single" w:sz="4" w:space="0" w:color="auto"/>
            </w:tcBorders>
            <w:vAlign w:val="center"/>
          </w:tcPr>
          <w:p w14:paraId="4C2C97D9" w14:textId="77777777" w:rsidR="0027314F" w:rsidRPr="0027314F" w:rsidRDefault="0027314F" w:rsidP="0027314F">
            <w:pPr>
              <w:jc w:val="center"/>
              <w:rPr>
                <w:rFonts w:cs="Arial"/>
                <w:sz w:val="20"/>
                <w:szCs w:val="20"/>
              </w:rPr>
            </w:pPr>
            <w:r w:rsidRPr="0027314F">
              <w:rPr>
                <w:rFonts w:cs="Arial"/>
                <w:sz w:val="20"/>
                <w:szCs w:val="20"/>
              </w:rPr>
              <w:t>978,333</w:t>
            </w:r>
          </w:p>
        </w:tc>
        <w:tc>
          <w:tcPr>
            <w:tcW w:w="1204" w:type="pct"/>
            <w:tcBorders>
              <w:top w:val="single" w:sz="4" w:space="0" w:color="auto"/>
              <w:left w:val="single" w:sz="4" w:space="0" w:color="auto"/>
              <w:bottom w:val="single" w:sz="4" w:space="0" w:color="auto"/>
              <w:right w:val="single" w:sz="4" w:space="0" w:color="auto"/>
            </w:tcBorders>
            <w:vAlign w:val="center"/>
          </w:tcPr>
          <w:p w14:paraId="65CA4F53" w14:textId="77777777" w:rsidR="0027314F" w:rsidRPr="0027314F" w:rsidRDefault="0027314F" w:rsidP="0027314F">
            <w:pPr>
              <w:jc w:val="center"/>
              <w:rPr>
                <w:rFonts w:cs="Arial"/>
                <w:sz w:val="20"/>
                <w:szCs w:val="20"/>
              </w:rPr>
            </w:pPr>
            <w:r w:rsidRPr="0027314F">
              <w:rPr>
                <w:rFonts w:cs="Arial"/>
                <w:sz w:val="20"/>
                <w:szCs w:val="20"/>
              </w:rPr>
              <w:t>736,073</w:t>
            </w:r>
          </w:p>
        </w:tc>
      </w:tr>
      <w:tr w:rsidR="0027314F" w:rsidRPr="0027314F" w14:paraId="364A1112"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F015B52" w14:textId="77777777" w:rsidR="0027314F" w:rsidRPr="0027314F" w:rsidRDefault="0027314F" w:rsidP="0027314F">
            <w:pPr>
              <w:rPr>
                <w:rFonts w:cs="Arial"/>
                <w:sz w:val="20"/>
                <w:szCs w:val="20"/>
              </w:rPr>
            </w:pPr>
            <w:r w:rsidRPr="0027314F">
              <w:rPr>
                <w:rFonts w:cs="Arial"/>
                <w:sz w:val="20"/>
                <w:szCs w:val="20"/>
              </w:rPr>
              <w:t xml:space="preserve">Annual Energy Consumption (therms) </w:t>
            </w:r>
            <w:r w:rsidRPr="0027314F">
              <w:rPr>
                <w:rFonts w:cs="Arial"/>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14:paraId="22194690" w14:textId="77777777" w:rsidR="0027314F" w:rsidRPr="0027314F" w:rsidRDefault="0027314F" w:rsidP="0027314F">
            <w:pPr>
              <w:jc w:val="center"/>
              <w:rPr>
                <w:rFonts w:cs="Arial"/>
                <w:sz w:val="20"/>
                <w:szCs w:val="20"/>
              </w:rPr>
            </w:pPr>
            <w:r w:rsidRPr="0027314F">
              <w:rPr>
                <w:rFonts w:cs="Arial"/>
                <w:sz w:val="20"/>
                <w:szCs w:val="20"/>
              </w:rPr>
              <w:t>3,571</w:t>
            </w:r>
          </w:p>
        </w:tc>
        <w:tc>
          <w:tcPr>
            <w:tcW w:w="1204" w:type="pct"/>
            <w:tcBorders>
              <w:top w:val="single" w:sz="4" w:space="0" w:color="auto"/>
              <w:left w:val="single" w:sz="4" w:space="0" w:color="auto"/>
              <w:bottom w:val="single" w:sz="4" w:space="0" w:color="auto"/>
              <w:right w:val="single" w:sz="4" w:space="0" w:color="auto"/>
            </w:tcBorders>
            <w:vAlign w:val="center"/>
          </w:tcPr>
          <w:p w14:paraId="3EB4B9D6" w14:textId="77777777" w:rsidR="0027314F" w:rsidRPr="0027314F" w:rsidRDefault="0027314F" w:rsidP="0027314F">
            <w:pPr>
              <w:jc w:val="center"/>
              <w:rPr>
                <w:rFonts w:cs="Arial"/>
                <w:sz w:val="20"/>
                <w:szCs w:val="20"/>
              </w:rPr>
            </w:pPr>
            <w:r w:rsidRPr="0027314F">
              <w:rPr>
                <w:rFonts w:cs="Arial"/>
                <w:sz w:val="20"/>
                <w:szCs w:val="20"/>
              </w:rPr>
              <w:t>2,687</w:t>
            </w:r>
          </w:p>
        </w:tc>
      </w:tr>
      <w:tr w:rsidR="0027314F" w:rsidRPr="0027314F" w14:paraId="3F06B5F6"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27DC092" w14:textId="77777777" w:rsidR="0027314F" w:rsidRPr="0027314F" w:rsidRDefault="0027314F" w:rsidP="0027314F">
            <w:pPr>
              <w:rPr>
                <w:rFonts w:cs="Arial"/>
                <w:sz w:val="20"/>
                <w:szCs w:val="20"/>
              </w:rPr>
            </w:pPr>
            <w:r w:rsidRPr="0027314F">
              <w:rPr>
                <w:rFonts w:cs="Arial"/>
                <w:sz w:val="20"/>
                <w:szCs w:val="20"/>
              </w:rPr>
              <w:t>Estimated Energy Savings (therms/</w:t>
            </w:r>
            <w:proofErr w:type="spellStart"/>
            <w:r w:rsidRPr="0027314F">
              <w:rPr>
                <w:rFonts w:cs="Arial"/>
                <w:sz w:val="20"/>
                <w:szCs w:val="20"/>
              </w:rPr>
              <w:t>yr</w:t>
            </w:r>
            <w:proofErr w:type="spellEnd"/>
            <w:r w:rsidRPr="0027314F">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3D51837F" w14:textId="77777777" w:rsidR="0027314F" w:rsidRPr="0027314F" w:rsidRDefault="0027314F" w:rsidP="0027314F">
            <w:pPr>
              <w:jc w:val="center"/>
              <w:rPr>
                <w:rFonts w:cs="Arial"/>
                <w:sz w:val="20"/>
                <w:szCs w:val="20"/>
              </w:rPr>
            </w:pPr>
            <w:r w:rsidRPr="0027314F">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7B2E6C89" w14:textId="77777777" w:rsidR="0027314F" w:rsidRPr="0027314F" w:rsidRDefault="0027314F" w:rsidP="0027314F">
            <w:pPr>
              <w:jc w:val="center"/>
              <w:rPr>
                <w:rFonts w:cs="Arial"/>
                <w:sz w:val="20"/>
                <w:szCs w:val="20"/>
              </w:rPr>
            </w:pPr>
            <w:r w:rsidRPr="0027314F">
              <w:rPr>
                <w:rFonts w:cs="Arial"/>
                <w:sz w:val="20"/>
                <w:szCs w:val="20"/>
              </w:rPr>
              <w:t>884</w:t>
            </w:r>
          </w:p>
        </w:tc>
      </w:tr>
      <w:tr w:rsidR="0027314F" w:rsidRPr="0027314F" w14:paraId="49DBE9B9"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F7F714F" w14:textId="77777777" w:rsidR="0027314F" w:rsidRPr="0027314F" w:rsidRDefault="0027314F" w:rsidP="0027314F">
            <w:pPr>
              <w:rPr>
                <w:rFonts w:cs="Arial"/>
                <w:sz w:val="20"/>
                <w:szCs w:val="20"/>
              </w:rPr>
            </w:pPr>
            <w:r w:rsidRPr="0027314F">
              <w:rPr>
                <w:rFonts w:cs="Arial"/>
                <w:sz w:val="20"/>
                <w:szCs w:val="20"/>
              </w:rPr>
              <w:t>Annual Energy Cost ($)</w:t>
            </w:r>
          </w:p>
        </w:tc>
        <w:tc>
          <w:tcPr>
            <w:tcW w:w="1098" w:type="pct"/>
            <w:tcBorders>
              <w:top w:val="single" w:sz="4" w:space="0" w:color="auto"/>
              <w:left w:val="single" w:sz="4" w:space="0" w:color="auto"/>
              <w:bottom w:val="single" w:sz="4" w:space="0" w:color="auto"/>
              <w:right w:val="single" w:sz="4" w:space="0" w:color="auto"/>
            </w:tcBorders>
            <w:vAlign w:val="center"/>
          </w:tcPr>
          <w:p w14:paraId="572AE6D3" w14:textId="77777777" w:rsidR="0027314F" w:rsidRPr="0027314F" w:rsidRDefault="0027314F" w:rsidP="0027314F">
            <w:pPr>
              <w:jc w:val="center"/>
              <w:rPr>
                <w:rFonts w:cs="Arial"/>
                <w:sz w:val="20"/>
                <w:szCs w:val="20"/>
              </w:rPr>
            </w:pPr>
            <w:r w:rsidRPr="0027314F">
              <w:rPr>
                <w:rFonts w:cs="Arial"/>
                <w:sz w:val="20"/>
                <w:szCs w:val="20"/>
              </w:rPr>
              <w:t>$3,571</w:t>
            </w:r>
          </w:p>
        </w:tc>
        <w:tc>
          <w:tcPr>
            <w:tcW w:w="1204" w:type="pct"/>
            <w:tcBorders>
              <w:top w:val="single" w:sz="4" w:space="0" w:color="auto"/>
              <w:left w:val="single" w:sz="4" w:space="0" w:color="auto"/>
              <w:bottom w:val="single" w:sz="4" w:space="0" w:color="auto"/>
              <w:right w:val="single" w:sz="4" w:space="0" w:color="auto"/>
            </w:tcBorders>
            <w:vAlign w:val="center"/>
          </w:tcPr>
          <w:p w14:paraId="23E601B3" w14:textId="77777777" w:rsidR="0027314F" w:rsidRPr="0027314F" w:rsidRDefault="0027314F" w:rsidP="0027314F">
            <w:pPr>
              <w:jc w:val="center"/>
              <w:rPr>
                <w:rFonts w:cs="Arial"/>
                <w:sz w:val="20"/>
                <w:szCs w:val="20"/>
              </w:rPr>
            </w:pPr>
            <w:r w:rsidRPr="0027314F">
              <w:rPr>
                <w:rFonts w:cs="Arial"/>
                <w:sz w:val="20"/>
                <w:szCs w:val="20"/>
              </w:rPr>
              <w:t>$2,687</w:t>
            </w:r>
          </w:p>
        </w:tc>
      </w:tr>
      <w:tr w:rsidR="0027314F" w:rsidRPr="0027314F" w14:paraId="5427C5A4"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14A232CE" w14:textId="77777777" w:rsidR="0027314F" w:rsidRPr="0027314F" w:rsidRDefault="0027314F" w:rsidP="0027314F">
            <w:pPr>
              <w:rPr>
                <w:rFonts w:cs="Arial"/>
                <w:sz w:val="20"/>
                <w:szCs w:val="20"/>
              </w:rPr>
            </w:pPr>
            <w:r w:rsidRPr="0027314F">
              <w:rPr>
                <w:rFonts w:cs="Arial"/>
                <w:sz w:val="20"/>
                <w:szCs w:val="20"/>
              </w:rPr>
              <w:t>Estimated Cost Savings ($/</w:t>
            </w:r>
            <w:proofErr w:type="spellStart"/>
            <w:r w:rsidRPr="0027314F">
              <w:rPr>
                <w:rFonts w:cs="Arial"/>
                <w:sz w:val="20"/>
                <w:szCs w:val="20"/>
              </w:rPr>
              <w:t>yr</w:t>
            </w:r>
            <w:proofErr w:type="spellEnd"/>
            <w:r w:rsidRPr="0027314F">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2D83BF16" w14:textId="77777777" w:rsidR="0027314F" w:rsidRPr="0027314F" w:rsidRDefault="0027314F" w:rsidP="0027314F">
            <w:pPr>
              <w:jc w:val="center"/>
              <w:rPr>
                <w:rFonts w:cs="Arial"/>
                <w:sz w:val="20"/>
                <w:szCs w:val="20"/>
              </w:rPr>
            </w:pPr>
            <w:r w:rsidRPr="0027314F">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324675F3" w14:textId="77777777" w:rsidR="0027314F" w:rsidRPr="0027314F" w:rsidRDefault="0027314F" w:rsidP="0027314F">
            <w:pPr>
              <w:jc w:val="center"/>
              <w:rPr>
                <w:rFonts w:cs="Arial"/>
                <w:sz w:val="20"/>
                <w:szCs w:val="20"/>
              </w:rPr>
            </w:pPr>
            <w:r w:rsidRPr="0027314F">
              <w:rPr>
                <w:rFonts w:cs="Arial"/>
                <w:sz w:val="20"/>
                <w:szCs w:val="20"/>
              </w:rPr>
              <w:t>$884</w:t>
            </w:r>
          </w:p>
        </w:tc>
      </w:tr>
      <w:tr w:rsidR="0027314F" w:rsidRPr="0027314F" w14:paraId="064131DA"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14D600AB" w14:textId="77777777" w:rsidR="0027314F" w:rsidRPr="0027314F" w:rsidRDefault="0027314F" w:rsidP="0027314F">
            <w:pPr>
              <w:rPr>
                <w:rFonts w:cs="Arial"/>
                <w:sz w:val="20"/>
                <w:szCs w:val="20"/>
              </w:rPr>
            </w:pPr>
            <w:r w:rsidRPr="0027314F">
              <w:rPr>
                <w:rFonts w:cs="Arial"/>
                <w:sz w:val="20"/>
                <w:szCs w:val="20"/>
              </w:rPr>
              <w:t xml:space="preserve">Incremental Measure Cost </w:t>
            </w:r>
            <w:r w:rsidRPr="0027314F">
              <w:rPr>
                <w:rFonts w:cs="Arial"/>
                <w:sz w:val="20"/>
                <w:szCs w:val="20"/>
                <w:vertAlign w:val="superscript"/>
              </w:rPr>
              <w:t>c</w:t>
            </w:r>
          </w:p>
        </w:tc>
        <w:tc>
          <w:tcPr>
            <w:tcW w:w="1098" w:type="pct"/>
            <w:tcBorders>
              <w:top w:val="single" w:sz="4" w:space="0" w:color="auto"/>
              <w:left w:val="single" w:sz="4" w:space="0" w:color="auto"/>
              <w:bottom w:val="single" w:sz="4" w:space="0" w:color="auto"/>
              <w:right w:val="single" w:sz="4" w:space="0" w:color="auto"/>
            </w:tcBorders>
            <w:vAlign w:val="center"/>
          </w:tcPr>
          <w:p w14:paraId="70E45CA9" w14:textId="77777777" w:rsidR="0027314F" w:rsidRPr="0027314F" w:rsidRDefault="0027314F" w:rsidP="0027314F">
            <w:pPr>
              <w:jc w:val="center"/>
              <w:rPr>
                <w:rFonts w:cs="Arial"/>
                <w:sz w:val="20"/>
                <w:szCs w:val="20"/>
              </w:rPr>
            </w:pPr>
            <w:r w:rsidRPr="0027314F">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3C3B69C" w14:textId="77777777" w:rsidR="0027314F" w:rsidRPr="0027314F" w:rsidRDefault="0027314F" w:rsidP="0027314F">
            <w:pPr>
              <w:jc w:val="center"/>
              <w:rPr>
                <w:rFonts w:cs="Arial"/>
                <w:sz w:val="20"/>
                <w:szCs w:val="20"/>
              </w:rPr>
            </w:pPr>
            <w:r w:rsidRPr="0027314F">
              <w:rPr>
                <w:rFonts w:cs="Arial"/>
                <w:sz w:val="20"/>
                <w:szCs w:val="20"/>
              </w:rPr>
              <w:t>SEE APPENDIX B</w:t>
            </w:r>
          </w:p>
        </w:tc>
      </w:tr>
      <w:tr w:rsidR="0027314F" w:rsidRPr="0027314F" w14:paraId="43F82C3F" w14:textId="77777777" w:rsidTr="00707125">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E222DFF" w14:textId="77777777" w:rsidR="0027314F" w:rsidRPr="0027314F" w:rsidRDefault="0027314F" w:rsidP="0027314F">
            <w:pPr>
              <w:rPr>
                <w:rFonts w:cs="Arial"/>
                <w:sz w:val="20"/>
                <w:szCs w:val="20"/>
              </w:rPr>
            </w:pPr>
            <w:r w:rsidRPr="0027314F">
              <w:rPr>
                <w:rFonts w:cs="Arial"/>
                <w:sz w:val="20"/>
                <w:szCs w:val="20"/>
              </w:rPr>
              <w:t xml:space="preserve">Estimated Useful Life (EUL) </w:t>
            </w:r>
            <w:r w:rsidRPr="0027314F">
              <w:rPr>
                <w:rFonts w:cs="Arial"/>
                <w:sz w:val="20"/>
                <w:szCs w:val="20"/>
                <w:vertAlign w:val="superscript"/>
              </w:rPr>
              <w:t>d</w:t>
            </w:r>
          </w:p>
        </w:tc>
        <w:tc>
          <w:tcPr>
            <w:tcW w:w="1098" w:type="pct"/>
            <w:tcBorders>
              <w:top w:val="single" w:sz="4" w:space="0" w:color="auto"/>
              <w:left w:val="single" w:sz="4" w:space="0" w:color="auto"/>
              <w:bottom w:val="single" w:sz="4" w:space="0" w:color="auto"/>
              <w:right w:val="single" w:sz="4" w:space="0" w:color="auto"/>
            </w:tcBorders>
            <w:vAlign w:val="center"/>
          </w:tcPr>
          <w:p w14:paraId="504B5325" w14:textId="77777777" w:rsidR="0027314F" w:rsidRPr="0027314F" w:rsidRDefault="0027314F" w:rsidP="0027314F">
            <w:pPr>
              <w:jc w:val="center"/>
              <w:rPr>
                <w:rFonts w:cs="Arial"/>
                <w:sz w:val="20"/>
                <w:szCs w:val="20"/>
              </w:rPr>
            </w:pPr>
            <w:r w:rsidRPr="0027314F">
              <w:rPr>
                <w:rFonts w:cs="Arial"/>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14:paraId="74C1A587" w14:textId="77777777" w:rsidR="0027314F" w:rsidRPr="0027314F" w:rsidRDefault="0027314F" w:rsidP="0027314F">
            <w:pPr>
              <w:jc w:val="center"/>
              <w:rPr>
                <w:rFonts w:cs="Arial"/>
                <w:sz w:val="20"/>
                <w:szCs w:val="20"/>
              </w:rPr>
            </w:pPr>
            <w:r w:rsidRPr="0027314F">
              <w:rPr>
                <w:rFonts w:cs="Arial"/>
                <w:sz w:val="20"/>
                <w:szCs w:val="20"/>
              </w:rPr>
              <w:t>12 years</w:t>
            </w:r>
          </w:p>
        </w:tc>
      </w:tr>
    </w:tbl>
    <w:p w14:paraId="22C63EA3" w14:textId="77777777" w:rsidR="0027314F" w:rsidRPr="0027314F" w:rsidRDefault="0027314F" w:rsidP="0027314F">
      <w:pPr>
        <w:rPr>
          <w:rFonts w:ascii="Times New Roman" w:hAnsi="Times New Roman"/>
          <w:sz w:val="18"/>
          <w:szCs w:val="20"/>
        </w:rPr>
      </w:pPr>
      <w:proofErr w:type="spellStart"/>
      <w:proofErr w:type="gramStart"/>
      <w:r w:rsidRPr="0027314F">
        <w:rPr>
          <w:rFonts w:ascii="Times New Roman" w:hAnsi="Times New Roman"/>
          <w:sz w:val="18"/>
          <w:szCs w:val="20"/>
          <w:vertAlign w:val="superscript"/>
        </w:rPr>
        <w:t>a</w:t>
      </w:r>
      <w:proofErr w:type="spellEnd"/>
      <w:proofErr w:type="gramEnd"/>
      <w:r w:rsidRPr="0027314F">
        <w:rPr>
          <w:rFonts w:ascii="Times New Roman" w:hAnsi="Times New Roman"/>
          <w:sz w:val="18"/>
          <w:szCs w:val="20"/>
          <w:vertAlign w:val="superscript"/>
        </w:rPr>
        <w:t xml:space="preserve"> </w:t>
      </w:r>
      <w:r w:rsidRPr="0027314F">
        <w:rPr>
          <w:rFonts w:ascii="Times New Roman" w:hAnsi="Times New Roman"/>
          <w:sz w:val="18"/>
          <w:szCs w:val="20"/>
        </w:rPr>
        <w:t>Operating hours were based on the procedure for calculating daily energy consumption of a convection oven based on reported test results, Appendix X2 in ASTM F1496.</w:t>
      </w:r>
    </w:p>
    <w:p w14:paraId="2A5DAD36" w14:textId="77777777" w:rsidR="0027314F" w:rsidRPr="0027314F" w:rsidRDefault="0027314F" w:rsidP="0027314F">
      <w:pPr>
        <w:rPr>
          <w:rFonts w:ascii="Times New Roman" w:hAnsi="Times New Roman"/>
          <w:sz w:val="18"/>
          <w:szCs w:val="20"/>
        </w:rPr>
      </w:pPr>
      <w:proofErr w:type="gramStart"/>
      <w:r w:rsidRPr="0027314F">
        <w:rPr>
          <w:rFonts w:ascii="Times New Roman" w:hAnsi="Times New Roman"/>
          <w:sz w:val="18"/>
          <w:szCs w:val="20"/>
          <w:vertAlign w:val="superscript"/>
        </w:rPr>
        <w:t>b</w:t>
      </w:r>
      <w:proofErr w:type="gramEnd"/>
      <w:r w:rsidRPr="0027314F">
        <w:rPr>
          <w:rFonts w:ascii="Times New Roman" w:hAnsi="Times New Roman"/>
          <w:sz w:val="18"/>
          <w:szCs w:val="20"/>
          <w:vertAlign w:val="superscript"/>
        </w:rPr>
        <w:t xml:space="preserve"> </w:t>
      </w:r>
      <w:r w:rsidRPr="0027314F">
        <w:rPr>
          <w:rFonts w:ascii="Times New Roman" w:hAnsi="Times New Roman"/>
          <w:sz w:val="18"/>
          <w:szCs w:val="20"/>
        </w:rPr>
        <w:t>1 therm = 100,000 Btu.</w:t>
      </w:r>
    </w:p>
    <w:p w14:paraId="66CABAB8" w14:textId="77777777" w:rsidR="0027314F" w:rsidRPr="0027314F" w:rsidRDefault="0027314F" w:rsidP="0027314F">
      <w:pPr>
        <w:rPr>
          <w:rFonts w:ascii="Times New Roman" w:hAnsi="Times New Roman"/>
          <w:sz w:val="18"/>
          <w:szCs w:val="20"/>
        </w:rPr>
      </w:pPr>
      <w:proofErr w:type="gramStart"/>
      <w:r w:rsidRPr="0027314F">
        <w:rPr>
          <w:rFonts w:ascii="Times New Roman" w:hAnsi="Times New Roman"/>
          <w:sz w:val="18"/>
          <w:szCs w:val="20"/>
          <w:vertAlign w:val="superscript"/>
        </w:rPr>
        <w:t>c</w:t>
      </w:r>
      <w:proofErr w:type="gramEnd"/>
      <w:r w:rsidRPr="0027314F">
        <w:rPr>
          <w:rFonts w:ascii="Times New Roman" w:hAnsi="Times New Roman"/>
          <w:sz w:val="18"/>
          <w:szCs w:val="20"/>
          <w:vertAlign w:val="superscript"/>
        </w:rPr>
        <w:t xml:space="preserve"> </w:t>
      </w:r>
      <w:r w:rsidRPr="0027314F">
        <w:rPr>
          <w:rFonts w:ascii="Times New Roman" w:hAnsi="Times New Roman"/>
          <w:sz w:val="18"/>
          <w:szCs w:val="20"/>
        </w:rPr>
        <w:t>Incremental measure cost was determined through comparison of an average of published pricing listed in APPENDIX B.</w:t>
      </w:r>
    </w:p>
    <w:p w14:paraId="0A6A1756" w14:textId="77777777" w:rsidR="0027314F" w:rsidRPr="0027314F" w:rsidRDefault="0027314F" w:rsidP="0027314F">
      <w:pPr>
        <w:rPr>
          <w:rFonts w:ascii="Times New Roman" w:hAnsi="Times New Roman"/>
          <w:sz w:val="18"/>
          <w:szCs w:val="20"/>
        </w:rPr>
      </w:pPr>
      <w:proofErr w:type="gramStart"/>
      <w:r w:rsidRPr="0027314F">
        <w:rPr>
          <w:rFonts w:ascii="Times New Roman" w:hAnsi="Times New Roman"/>
          <w:sz w:val="18"/>
          <w:szCs w:val="20"/>
          <w:vertAlign w:val="superscript"/>
        </w:rPr>
        <w:t>d</w:t>
      </w:r>
      <w:proofErr w:type="gramEnd"/>
      <w:r w:rsidRPr="0027314F">
        <w:rPr>
          <w:rFonts w:ascii="Times New Roman" w:hAnsi="Times New Roman"/>
          <w:sz w:val="18"/>
          <w:szCs w:val="20"/>
        </w:rPr>
        <w:t xml:space="preserve"> The estimated useful life is based on the 2011 DEER EUL estimates.</w:t>
      </w:r>
    </w:p>
    <w:p w14:paraId="230E06B3" w14:textId="77777777" w:rsidR="0027314F" w:rsidRPr="0027314F" w:rsidRDefault="0027314F" w:rsidP="0027314F">
      <w:pPr>
        <w:rPr>
          <w:rFonts w:ascii="Times New Roman" w:hAnsi="Times New Roman"/>
          <w:sz w:val="18"/>
          <w:szCs w:val="16"/>
        </w:rPr>
      </w:pPr>
    </w:p>
    <w:p w14:paraId="6C23CD4D" w14:textId="77777777" w:rsidR="0027314F" w:rsidRPr="0027314F" w:rsidRDefault="0027314F" w:rsidP="0027314F">
      <w:pPr>
        <w:rPr>
          <w:rFonts w:ascii="Times New Roman" w:hAnsi="Times New Roman"/>
          <w:sz w:val="18"/>
          <w:vertAlign w:val="superscript"/>
        </w:rPr>
      </w:pPr>
    </w:p>
    <w:p w14:paraId="3487FFBB" w14:textId="77777777" w:rsidR="0027314F" w:rsidRPr="0027314F" w:rsidRDefault="0027314F" w:rsidP="0027314F">
      <w:pPr>
        <w:rPr>
          <w:rFonts w:cs="Arial"/>
          <w:sz w:val="20"/>
          <w:szCs w:val="20"/>
        </w:rPr>
      </w:pPr>
      <w:r w:rsidRPr="0027314F">
        <w:rPr>
          <w:rFonts w:cs="Arial"/>
          <w:sz w:val="20"/>
          <w:szCs w:val="20"/>
        </w:rPr>
        <w:t>Daily Energy Consumption Calculation and Definitions</w:t>
      </w:r>
    </w:p>
    <w:p w14:paraId="606A6D0B" w14:textId="77777777" w:rsidR="0027314F" w:rsidRPr="0027314F" w:rsidRDefault="0027314F" w:rsidP="0027314F">
      <w:pPr>
        <w:rPr>
          <w:rFonts w:cs="Arial"/>
          <w:b/>
          <w:sz w:val="16"/>
          <w:szCs w:val="16"/>
        </w:rPr>
      </w:pPr>
    </w:p>
    <w:p w14:paraId="6DE61D1B" w14:textId="77777777" w:rsidR="0027314F" w:rsidRPr="0027314F" w:rsidRDefault="0027314F" w:rsidP="0027314F">
      <w:pPr>
        <w:rPr>
          <w:rFonts w:cs="Arial"/>
          <w:sz w:val="20"/>
          <w:szCs w:val="20"/>
          <w:u w:val="single"/>
        </w:rPr>
      </w:pPr>
      <w:r w:rsidRPr="0027314F">
        <w:rPr>
          <w:rFonts w:cs="Arial"/>
          <w:sz w:val="20"/>
          <w:szCs w:val="20"/>
          <w:u w:val="single"/>
        </w:rPr>
        <w:t>EDAY = (</w:t>
      </w:r>
      <w:proofErr w:type="spellStart"/>
      <w:r w:rsidRPr="0027314F">
        <w:rPr>
          <w:rFonts w:cs="Arial"/>
          <w:sz w:val="20"/>
          <w:szCs w:val="20"/>
          <w:u w:val="single"/>
        </w:rPr>
        <w:t>nPizzas</w:t>
      </w:r>
      <w:proofErr w:type="spellEnd"/>
      <w:r w:rsidRPr="0027314F">
        <w:rPr>
          <w:rFonts w:cs="Arial"/>
          <w:sz w:val="20"/>
          <w:szCs w:val="20"/>
          <w:u w:val="single"/>
        </w:rPr>
        <w:t xml:space="preserve"> x EFOOD) ÷ EFFICIENCY + [IDLERATE x (TON - </w:t>
      </w:r>
      <w:proofErr w:type="spellStart"/>
      <w:r w:rsidRPr="0027314F">
        <w:rPr>
          <w:rFonts w:cs="Arial"/>
          <w:sz w:val="20"/>
          <w:szCs w:val="20"/>
          <w:u w:val="single"/>
        </w:rPr>
        <w:t>nPizzas</w:t>
      </w:r>
      <w:proofErr w:type="spellEnd"/>
      <w:r w:rsidRPr="0027314F">
        <w:rPr>
          <w:rFonts w:cs="Arial"/>
          <w:sz w:val="20"/>
          <w:szCs w:val="20"/>
          <w:u w:val="single"/>
        </w:rPr>
        <w:t xml:space="preserve">/PC – </w:t>
      </w:r>
      <w:proofErr w:type="spellStart"/>
      <w:r w:rsidRPr="0027314F">
        <w:rPr>
          <w:rFonts w:cs="Arial"/>
          <w:sz w:val="20"/>
          <w:szCs w:val="20"/>
          <w:u w:val="single"/>
        </w:rPr>
        <w:t>nP</w:t>
      </w:r>
      <w:proofErr w:type="spellEnd"/>
      <w:r w:rsidRPr="0027314F">
        <w:rPr>
          <w:rFonts w:cs="Arial"/>
          <w:sz w:val="20"/>
          <w:szCs w:val="20"/>
          <w:u w:val="single"/>
        </w:rPr>
        <w:t xml:space="preserve"> x TP/60)] </w:t>
      </w:r>
      <w:r w:rsidRPr="0027314F">
        <w:rPr>
          <w:rFonts w:cs="Arial"/>
          <w:sz w:val="20"/>
          <w:szCs w:val="20"/>
          <w:u w:val="single"/>
        </w:rPr>
        <w:br/>
        <w:t xml:space="preserve">+ </w:t>
      </w:r>
      <w:proofErr w:type="spellStart"/>
      <w:r w:rsidRPr="0027314F">
        <w:rPr>
          <w:rFonts w:cs="Arial"/>
          <w:sz w:val="20"/>
          <w:szCs w:val="20"/>
          <w:u w:val="single"/>
        </w:rPr>
        <w:t>nP</w:t>
      </w:r>
      <w:proofErr w:type="spellEnd"/>
      <w:r w:rsidRPr="0027314F">
        <w:rPr>
          <w:rFonts w:cs="Arial"/>
          <w:sz w:val="20"/>
          <w:szCs w:val="20"/>
          <w:u w:val="single"/>
        </w:rPr>
        <w:t xml:space="preserve"> x EP</w:t>
      </w:r>
    </w:p>
    <w:p w14:paraId="2FF7740B" w14:textId="77777777" w:rsidR="0027314F" w:rsidRPr="0027314F" w:rsidRDefault="0027314F" w:rsidP="0027314F">
      <w:pPr>
        <w:rPr>
          <w:rFonts w:cs="Arial"/>
          <w:sz w:val="16"/>
          <w:szCs w:val="16"/>
        </w:rPr>
      </w:pPr>
    </w:p>
    <w:p w14:paraId="432B9EBD" w14:textId="77777777" w:rsidR="0027314F" w:rsidRPr="0027314F" w:rsidRDefault="0027314F" w:rsidP="0027314F">
      <w:pPr>
        <w:rPr>
          <w:rFonts w:cs="Arial"/>
          <w:sz w:val="20"/>
          <w:szCs w:val="20"/>
        </w:rPr>
      </w:pPr>
      <w:r w:rsidRPr="0027314F">
        <w:rPr>
          <w:rFonts w:cs="Arial"/>
          <w:sz w:val="20"/>
          <w:szCs w:val="20"/>
        </w:rPr>
        <w:t>Where:</w:t>
      </w:r>
    </w:p>
    <w:p w14:paraId="7B75A334" w14:textId="77777777" w:rsidR="0027314F" w:rsidRPr="0027314F" w:rsidRDefault="0027314F" w:rsidP="0027314F">
      <w:pPr>
        <w:rPr>
          <w:rFonts w:cs="Arial"/>
          <w:sz w:val="16"/>
          <w:szCs w:val="16"/>
        </w:rPr>
      </w:pPr>
    </w:p>
    <w:tbl>
      <w:tblPr>
        <w:tblW w:w="5000" w:type="pct"/>
        <w:jc w:val="center"/>
        <w:tblLook w:val="01E0" w:firstRow="1" w:lastRow="1" w:firstColumn="1" w:lastColumn="1" w:noHBand="0" w:noVBand="0"/>
      </w:tblPr>
      <w:tblGrid>
        <w:gridCol w:w="1980"/>
        <w:gridCol w:w="7596"/>
      </w:tblGrid>
      <w:tr w:rsidR="0027314F" w:rsidRPr="0027314F" w14:paraId="38E9D543" w14:textId="77777777" w:rsidTr="00707125">
        <w:trPr>
          <w:trHeight w:val="288"/>
          <w:jc w:val="center"/>
        </w:trPr>
        <w:tc>
          <w:tcPr>
            <w:tcW w:w="1034" w:type="pct"/>
            <w:vAlign w:val="center"/>
          </w:tcPr>
          <w:p w14:paraId="6B030D54" w14:textId="77777777" w:rsidR="0027314F" w:rsidRPr="0027314F" w:rsidRDefault="0027314F" w:rsidP="0027314F">
            <w:pPr>
              <w:rPr>
                <w:rFonts w:cs="Arial"/>
                <w:sz w:val="20"/>
                <w:szCs w:val="20"/>
              </w:rPr>
            </w:pPr>
            <w:r w:rsidRPr="0027314F">
              <w:rPr>
                <w:rFonts w:cs="Arial"/>
                <w:sz w:val="20"/>
                <w:szCs w:val="20"/>
              </w:rPr>
              <w:t>EDAY =</w:t>
            </w:r>
          </w:p>
        </w:tc>
        <w:tc>
          <w:tcPr>
            <w:tcW w:w="3966" w:type="pct"/>
            <w:vAlign w:val="center"/>
          </w:tcPr>
          <w:p w14:paraId="6F235110" w14:textId="77777777" w:rsidR="0027314F" w:rsidRPr="0027314F" w:rsidRDefault="0027314F" w:rsidP="0027314F">
            <w:pPr>
              <w:rPr>
                <w:rFonts w:cs="Arial"/>
                <w:sz w:val="20"/>
                <w:szCs w:val="20"/>
              </w:rPr>
            </w:pPr>
            <w:r w:rsidRPr="0027314F">
              <w:rPr>
                <w:rFonts w:cs="Arial"/>
                <w:sz w:val="20"/>
                <w:szCs w:val="20"/>
              </w:rPr>
              <w:t>Daily Energy Consumption (Btu/day)</w:t>
            </w:r>
          </w:p>
        </w:tc>
      </w:tr>
      <w:tr w:rsidR="0027314F" w:rsidRPr="0027314F" w14:paraId="0D1D4AA8" w14:textId="77777777" w:rsidTr="00707125">
        <w:trPr>
          <w:trHeight w:val="288"/>
          <w:jc w:val="center"/>
        </w:trPr>
        <w:tc>
          <w:tcPr>
            <w:tcW w:w="1034" w:type="pct"/>
            <w:vAlign w:val="center"/>
          </w:tcPr>
          <w:p w14:paraId="7DA74E51" w14:textId="77777777" w:rsidR="0027314F" w:rsidRPr="0027314F" w:rsidRDefault="0027314F" w:rsidP="0027314F">
            <w:pPr>
              <w:rPr>
                <w:rFonts w:cs="Arial"/>
                <w:sz w:val="20"/>
                <w:szCs w:val="20"/>
              </w:rPr>
            </w:pPr>
            <w:proofErr w:type="spellStart"/>
            <w:r w:rsidRPr="0027314F">
              <w:rPr>
                <w:rFonts w:cs="Arial"/>
                <w:sz w:val="20"/>
                <w:szCs w:val="20"/>
              </w:rPr>
              <w:t>nPizzas</w:t>
            </w:r>
            <w:proofErr w:type="spellEnd"/>
            <w:r w:rsidRPr="0027314F">
              <w:rPr>
                <w:rFonts w:cs="Arial"/>
                <w:sz w:val="20"/>
                <w:szCs w:val="20"/>
              </w:rPr>
              <w:t xml:space="preserve"> =</w:t>
            </w:r>
          </w:p>
        </w:tc>
        <w:tc>
          <w:tcPr>
            <w:tcW w:w="3966" w:type="pct"/>
            <w:vAlign w:val="center"/>
          </w:tcPr>
          <w:p w14:paraId="1674779C" w14:textId="77777777" w:rsidR="0027314F" w:rsidRPr="0027314F" w:rsidRDefault="0027314F" w:rsidP="0027314F">
            <w:pPr>
              <w:rPr>
                <w:rFonts w:cs="Arial"/>
                <w:sz w:val="20"/>
                <w:szCs w:val="20"/>
              </w:rPr>
            </w:pPr>
            <w:r w:rsidRPr="0027314F">
              <w:rPr>
                <w:rFonts w:cs="Arial"/>
                <w:sz w:val="20"/>
                <w:szCs w:val="20"/>
              </w:rPr>
              <w:t>Number of Pizzas Cooked per Day</w:t>
            </w:r>
          </w:p>
        </w:tc>
      </w:tr>
      <w:tr w:rsidR="0027314F" w:rsidRPr="0027314F" w14:paraId="3C04AB2D" w14:textId="77777777" w:rsidTr="00707125">
        <w:trPr>
          <w:trHeight w:val="288"/>
          <w:jc w:val="center"/>
        </w:trPr>
        <w:tc>
          <w:tcPr>
            <w:tcW w:w="1034" w:type="pct"/>
            <w:vAlign w:val="center"/>
          </w:tcPr>
          <w:p w14:paraId="37C5BE3D" w14:textId="77777777" w:rsidR="0027314F" w:rsidRPr="0027314F" w:rsidRDefault="0027314F" w:rsidP="0027314F">
            <w:pPr>
              <w:rPr>
                <w:rFonts w:cs="Arial"/>
                <w:sz w:val="20"/>
                <w:szCs w:val="20"/>
              </w:rPr>
            </w:pPr>
            <w:r w:rsidRPr="0027314F">
              <w:rPr>
                <w:rFonts w:cs="Arial"/>
                <w:sz w:val="20"/>
                <w:szCs w:val="20"/>
              </w:rPr>
              <w:t>EFOOD =</w:t>
            </w:r>
          </w:p>
        </w:tc>
        <w:tc>
          <w:tcPr>
            <w:tcW w:w="3966" w:type="pct"/>
            <w:vAlign w:val="center"/>
          </w:tcPr>
          <w:p w14:paraId="381FEE45" w14:textId="77777777" w:rsidR="0027314F" w:rsidRPr="0027314F" w:rsidRDefault="0027314F" w:rsidP="0027314F">
            <w:pPr>
              <w:rPr>
                <w:rFonts w:cs="Arial"/>
                <w:sz w:val="20"/>
                <w:szCs w:val="20"/>
              </w:rPr>
            </w:pPr>
            <w:r w:rsidRPr="0027314F">
              <w:rPr>
                <w:rFonts w:cs="Arial"/>
                <w:sz w:val="20"/>
                <w:szCs w:val="20"/>
              </w:rPr>
              <w:t>ASTM Energy to Food (Btu/pizza) = Btu of energy (per pizza) absorbed by food product during cooking</w:t>
            </w:r>
          </w:p>
        </w:tc>
      </w:tr>
      <w:tr w:rsidR="0027314F" w:rsidRPr="0027314F" w14:paraId="51DF99B0" w14:textId="77777777" w:rsidTr="00707125">
        <w:trPr>
          <w:trHeight w:val="288"/>
          <w:jc w:val="center"/>
        </w:trPr>
        <w:tc>
          <w:tcPr>
            <w:tcW w:w="1034" w:type="pct"/>
            <w:vAlign w:val="center"/>
          </w:tcPr>
          <w:p w14:paraId="1A27BC96" w14:textId="77777777" w:rsidR="0027314F" w:rsidRPr="0027314F" w:rsidRDefault="0027314F" w:rsidP="0027314F">
            <w:pPr>
              <w:rPr>
                <w:rFonts w:cs="Arial"/>
                <w:sz w:val="20"/>
                <w:szCs w:val="20"/>
              </w:rPr>
            </w:pPr>
            <w:r w:rsidRPr="0027314F">
              <w:rPr>
                <w:rFonts w:cs="Arial"/>
                <w:sz w:val="20"/>
                <w:szCs w:val="20"/>
              </w:rPr>
              <w:t xml:space="preserve">EFFICIENCY = </w:t>
            </w:r>
          </w:p>
        </w:tc>
        <w:tc>
          <w:tcPr>
            <w:tcW w:w="3966" w:type="pct"/>
            <w:vAlign w:val="center"/>
          </w:tcPr>
          <w:p w14:paraId="017A74CD" w14:textId="77777777" w:rsidR="0027314F" w:rsidRPr="0027314F" w:rsidRDefault="0027314F" w:rsidP="0027314F">
            <w:pPr>
              <w:rPr>
                <w:rFonts w:cs="Arial"/>
                <w:sz w:val="20"/>
                <w:szCs w:val="20"/>
              </w:rPr>
            </w:pPr>
            <w:r w:rsidRPr="0027314F">
              <w:rPr>
                <w:rFonts w:cs="Arial"/>
                <w:sz w:val="20"/>
                <w:szCs w:val="20"/>
              </w:rPr>
              <w:t>Heavy Load Cooking Energy Efficiency %</w:t>
            </w:r>
          </w:p>
        </w:tc>
      </w:tr>
      <w:tr w:rsidR="0027314F" w:rsidRPr="0027314F" w14:paraId="4FC269EB" w14:textId="77777777" w:rsidTr="00707125">
        <w:trPr>
          <w:trHeight w:val="288"/>
          <w:jc w:val="center"/>
        </w:trPr>
        <w:tc>
          <w:tcPr>
            <w:tcW w:w="1034" w:type="pct"/>
            <w:vAlign w:val="center"/>
          </w:tcPr>
          <w:p w14:paraId="0A17DE24" w14:textId="77777777" w:rsidR="0027314F" w:rsidRPr="0027314F" w:rsidRDefault="0027314F" w:rsidP="0027314F">
            <w:pPr>
              <w:rPr>
                <w:rFonts w:cs="Arial"/>
                <w:sz w:val="20"/>
                <w:szCs w:val="20"/>
              </w:rPr>
            </w:pPr>
            <w:r w:rsidRPr="0027314F">
              <w:rPr>
                <w:rFonts w:cs="Arial"/>
                <w:sz w:val="20"/>
                <w:szCs w:val="20"/>
              </w:rPr>
              <w:t>IDLE RATE =</w:t>
            </w:r>
          </w:p>
        </w:tc>
        <w:tc>
          <w:tcPr>
            <w:tcW w:w="3966" w:type="pct"/>
            <w:vAlign w:val="center"/>
          </w:tcPr>
          <w:p w14:paraId="50B1CAEB" w14:textId="77777777" w:rsidR="0027314F" w:rsidRPr="0027314F" w:rsidRDefault="0027314F" w:rsidP="0027314F">
            <w:pPr>
              <w:rPr>
                <w:rFonts w:cs="Arial"/>
                <w:sz w:val="20"/>
                <w:szCs w:val="20"/>
              </w:rPr>
            </w:pPr>
            <w:r w:rsidRPr="0027314F">
              <w:rPr>
                <w:rFonts w:cs="Arial"/>
                <w:sz w:val="20"/>
                <w:szCs w:val="20"/>
              </w:rPr>
              <w:t>Idle Energy Rate (Btu/h)</w:t>
            </w:r>
          </w:p>
        </w:tc>
      </w:tr>
      <w:tr w:rsidR="0027314F" w:rsidRPr="0027314F" w14:paraId="3386D296" w14:textId="77777777" w:rsidTr="00707125">
        <w:trPr>
          <w:trHeight w:val="288"/>
          <w:jc w:val="center"/>
        </w:trPr>
        <w:tc>
          <w:tcPr>
            <w:tcW w:w="1034" w:type="pct"/>
            <w:vAlign w:val="center"/>
          </w:tcPr>
          <w:p w14:paraId="70664053" w14:textId="77777777" w:rsidR="0027314F" w:rsidRPr="0027314F" w:rsidRDefault="0027314F" w:rsidP="0027314F">
            <w:pPr>
              <w:rPr>
                <w:rFonts w:cs="Arial"/>
                <w:sz w:val="20"/>
                <w:szCs w:val="20"/>
              </w:rPr>
            </w:pPr>
            <w:r w:rsidRPr="0027314F">
              <w:rPr>
                <w:rFonts w:cs="Arial"/>
                <w:sz w:val="20"/>
                <w:szCs w:val="20"/>
              </w:rPr>
              <w:t>TON =</w:t>
            </w:r>
          </w:p>
        </w:tc>
        <w:tc>
          <w:tcPr>
            <w:tcW w:w="3966" w:type="pct"/>
            <w:vAlign w:val="center"/>
          </w:tcPr>
          <w:p w14:paraId="1DBE95D5" w14:textId="77777777" w:rsidR="0027314F" w:rsidRPr="0027314F" w:rsidRDefault="0027314F" w:rsidP="0027314F">
            <w:pPr>
              <w:rPr>
                <w:rFonts w:cs="Arial"/>
                <w:sz w:val="20"/>
                <w:szCs w:val="20"/>
              </w:rPr>
            </w:pPr>
            <w:r w:rsidRPr="0027314F">
              <w:rPr>
                <w:rFonts w:cs="Arial"/>
                <w:sz w:val="20"/>
                <w:szCs w:val="20"/>
              </w:rPr>
              <w:t>Operating Hours/Day</w:t>
            </w:r>
          </w:p>
        </w:tc>
      </w:tr>
      <w:tr w:rsidR="0027314F" w:rsidRPr="0027314F" w14:paraId="3BB96592" w14:textId="77777777" w:rsidTr="00707125">
        <w:trPr>
          <w:trHeight w:val="288"/>
          <w:jc w:val="center"/>
        </w:trPr>
        <w:tc>
          <w:tcPr>
            <w:tcW w:w="1034" w:type="pct"/>
            <w:vAlign w:val="center"/>
          </w:tcPr>
          <w:p w14:paraId="5649A5E6" w14:textId="77777777" w:rsidR="0027314F" w:rsidRPr="0027314F" w:rsidRDefault="0027314F" w:rsidP="0027314F">
            <w:pPr>
              <w:rPr>
                <w:rFonts w:cs="Arial"/>
                <w:sz w:val="20"/>
                <w:szCs w:val="20"/>
              </w:rPr>
            </w:pPr>
            <w:r w:rsidRPr="0027314F">
              <w:rPr>
                <w:rFonts w:cs="Arial"/>
                <w:sz w:val="20"/>
                <w:szCs w:val="20"/>
              </w:rPr>
              <w:t>PC =</w:t>
            </w:r>
          </w:p>
        </w:tc>
        <w:tc>
          <w:tcPr>
            <w:tcW w:w="3966" w:type="pct"/>
            <w:vAlign w:val="center"/>
          </w:tcPr>
          <w:p w14:paraId="626E477D" w14:textId="77777777" w:rsidR="0027314F" w:rsidRPr="0027314F" w:rsidRDefault="0027314F" w:rsidP="0027314F">
            <w:pPr>
              <w:rPr>
                <w:rFonts w:cs="Arial"/>
                <w:sz w:val="20"/>
                <w:szCs w:val="20"/>
              </w:rPr>
            </w:pPr>
            <w:r w:rsidRPr="0027314F">
              <w:rPr>
                <w:rFonts w:cs="Arial"/>
                <w:sz w:val="20"/>
                <w:szCs w:val="20"/>
              </w:rPr>
              <w:t>Production Capacity (pizzas/</w:t>
            </w:r>
            <w:proofErr w:type="spellStart"/>
            <w:r w:rsidRPr="0027314F">
              <w:rPr>
                <w:rFonts w:cs="Arial"/>
                <w:sz w:val="20"/>
                <w:szCs w:val="20"/>
              </w:rPr>
              <w:t>hr</w:t>
            </w:r>
            <w:proofErr w:type="spellEnd"/>
            <w:r w:rsidRPr="0027314F">
              <w:rPr>
                <w:rFonts w:cs="Arial"/>
                <w:sz w:val="20"/>
                <w:szCs w:val="20"/>
              </w:rPr>
              <w:t>)</w:t>
            </w:r>
          </w:p>
        </w:tc>
      </w:tr>
      <w:tr w:rsidR="0027314F" w:rsidRPr="0027314F" w14:paraId="12E85B40" w14:textId="77777777" w:rsidTr="00707125">
        <w:trPr>
          <w:trHeight w:val="288"/>
          <w:jc w:val="center"/>
        </w:trPr>
        <w:tc>
          <w:tcPr>
            <w:tcW w:w="1034" w:type="pct"/>
            <w:vAlign w:val="center"/>
          </w:tcPr>
          <w:p w14:paraId="527A5FBD" w14:textId="77777777" w:rsidR="0027314F" w:rsidRPr="0027314F" w:rsidRDefault="0027314F" w:rsidP="0027314F">
            <w:pPr>
              <w:rPr>
                <w:rFonts w:cs="Arial"/>
                <w:sz w:val="20"/>
                <w:szCs w:val="20"/>
              </w:rPr>
            </w:pPr>
            <w:r w:rsidRPr="0027314F">
              <w:rPr>
                <w:rFonts w:cs="Arial"/>
                <w:sz w:val="20"/>
                <w:szCs w:val="20"/>
              </w:rPr>
              <w:t>TP =</w:t>
            </w:r>
          </w:p>
        </w:tc>
        <w:tc>
          <w:tcPr>
            <w:tcW w:w="3966" w:type="pct"/>
            <w:vAlign w:val="center"/>
          </w:tcPr>
          <w:p w14:paraId="3BB7BD5D" w14:textId="77777777" w:rsidR="0027314F" w:rsidRPr="0027314F" w:rsidRDefault="0027314F" w:rsidP="0027314F">
            <w:pPr>
              <w:rPr>
                <w:rFonts w:cs="Arial"/>
                <w:sz w:val="20"/>
                <w:szCs w:val="20"/>
              </w:rPr>
            </w:pPr>
            <w:r w:rsidRPr="0027314F">
              <w:rPr>
                <w:rFonts w:cs="Arial"/>
                <w:sz w:val="20"/>
                <w:szCs w:val="20"/>
              </w:rPr>
              <w:t>Preheat Time (min)</w:t>
            </w:r>
          </w:p>
        </w:tc>
      </w:tr>
      <w:tr w:rsidR="0027314F" w:rsidRPr="0027314F" w14:paraId="4322B989" w14:textId="77777777" w:rsidTr="00707125">
        <w:trPr>
          <w:trHeight w:val="288"/>
          <w:jc w:val="center"/>
        </w:trPr>
        <w:tc>
          <w:tcPr>
            <w:tcW w:w="1034" w:type="pct"/>
            <w:vAlign w:val="center"/>
          </w:tcPr>
          <w:p w14:paraId="77015E25" w14:textId="77777777" w:rsidR="0027314F" w:rsidRPr="0027314F" w:rsidRDefault="0027314F" w:rsidP="0027314F">
            <w:pPr>
              <w:rPr>
                <w:rFonts w:cs="Arial"/>
                <w:sz w:val="20"/>
                <w:szCs w:val="20"/>
              </w:rPr>
            </w:pPr>
            <w:proofErr w:type="spellStart"/>
            <w:r w:rsidRPr="0027314F">
              <w:rPr>
                <w:rFonts w:cs="Arial"/>
                <w:sz w:val="20"/>
                <w:szCs w:val="20"/>
              </w:rPr>
              <w:t>nP</w:t>
            </w:r>
            <w:proofErr w:type="spellEnd"/>
            <w:r w:rsidRPr="0027314F">
              <w:rPr>
                <w:rFonts w:cs="Arial"/>
                <w:sz w:val="20"/>
                <w:szCs w:val="20"/>
              </w:rPr>
              <w:t xml:space="preserve"> =</w:t>
            </w:r>
          </w:p>
        </w:tc>
        <w:tc>
          <w:tcPr>
            <w:tcW w:w="3966" w:type="pct"/>
            <w:vAlign w:val="center"/>
          </w:tcPr>
          <w:p w14:paraId="0A859E9E" w14:textId="77777777" w:rsidR="0027314F" w:rsidRPr="0027314F" w:rsidRDefault="0027314F" w:rsidP="0027314F">
            <w:pPr>
              <w:rPr>
                <w:rFonts w:cs="Arial"/>
                <w:sz w:val="20"/>
                <w:szCs w:val="20"/>
              </w:rPr>
            </w:pPr>
            <w:r w:rsidRPr="0027314F">
              <w:rPr>
                <w:rFonts w:cs="Arial"/>
                <w:sz w:val="20"/>
                <w:szCs w:val="20"/>
              </w:rPr>
              <w:t>Number of preheats/Day</w:t>
            </w:r>
          </w:p>
        </w:tc>
      </w:tr>
      <w:tr w:rsidR="0027314F" w:rsidRPr="0027314F" w14:paraId="70CA59E1" w14:textId="77777777" w:rsidTr="00707125">
        <w:trPr>
          <w:trHeight w:val="288"/>
          <w:jc w:val="center"/>
        </w:trPr>
        <w:tc>
          <w:tcPr>
            <w:tcW w:w="1034" w:type="pct"/>
            <w:vAlign w:val="center"/>
          </w:tcPr>
          <w:p w14:paraId="2634A812" w14:textId="77777777" w:rsidR="0027314F" w:rsidRPr="0027314F" w:rsidRDefault="0027314F" w:rsidP="0027314F">
            <w:pPr>
              <w:rPr>
                <w:rFonts w:cs="Arial"/>
                <w:sz w:val="20"/>
                <w:szCs w:val="20"/>
              </w:rPr>
            </w:pPr>
            <w:r w:rsidRPr="0027314F">
              <w:rPr>
                <w:rFonts w:cs="Arial"/>
                <w:sz w:val="20"/>
                <w:szCs w:val="20"/>
              </w:rPr>
              <w:t>EP =</w:t>
            </w:r>
          </w:p>
        </w:tc>
        <w:tc>
          <w:tcPr>
            <w:tcW w:w="3966" w:type="pct"/>
            <w:vAlign w:val="center"/>
          </w:tcPr>
          <w:p w14:paraId="4D207236" w14:textId="77777777" w:rsidR="0027314F" w:rsidRPr="0027314F" w:rsidRDefault="0027314F" w:rsidP="0027314F">
            <w:pPr>
              <w:rPr>
                <w:rFonts w:cs="Arial"/>
                <w:sz w:val="20"/>
                <w:szCs w:val="20"/>
              </w:rPr>
            </w:pPr>
            <w:r w:rsidRPr="0027314F">
              <w:rPr>
                <w:rFonts w:cs="Arial"/>
                <w:sz w:val="20"/>
                <w:szCs w:val="20"/>
              </w:rPr>
              <w:t>Preheat Energy (Btu)</w:t>
            </w:r>
          </w:p>
        </w:tc>
      </w:tr>
    </w:tbl>
    <w:p w14:paraId="1DE70BE5" w14:textId="77777777" w:rsidR="0027314F" w:rsidRPr="0027314F" w:rsidRDefault="0027314F" w:rsidP="0027314F">
      <w:pPr>
        <w:rPr>
          <w:rFonts w:ascii="Times New Roman" w:hAnsi="Times New Roman"/>
          <w:sz w:val="24"/>
        </w:rPr>
      </w:pPr>
    </w:p>
    <w:p w14:paraId="393A10A5" w14:textId="77777777" w:rsidR="00B7164C" w:rsidRPr="007A4D97" w:rsidRDefault="00C069A2" w:rsidP="00D20486">
      <w:pPr>
        <w:pStyle w:val="Heading1"/>
        <w:rPr>
          <w:i/>
          <w:sz w:val="28"/>
          <w:szCs w:val="28"/>
        </w:rPr>
      </w:pPr>
      <w:bookmarkStart w:id="113" w:name="_Toc389305683"/>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7"/>
      <w:bookmarkEnd w:id="108"/>
      <w:bookmarkEnd w:id="109"/>
      <w:bookmarkEnd w:id="113"/>
      <w:r w:rsidR="00844B27" w:rsidRPr="007A4D97">
        <w:rPr>
          <w:i/>
          <w:sz w:val="28"/>
          <w:szCs w:val="28"/>
        </w:rPr>
        <w:t xml:space="preserve"> </w:t>
      </w:r>
    </w:p>
    <w:p w14:paraId="393A10AE" w14:textId="554B5F7D" w:rsidR="00B7164C" w:rsidRPr="0027314F" w:rsidRDefault="0027314F" w:rsidP="0087599D">
      <w:pPr>
        <w:pStyle w:val="Heading2"/>
        <w:rPr>
          <w:b w:val="0"/>
          <w:i w:val="0"/>
          <w:sz w:val="20"/>
          <w:szCs w:val="20"/>
        </w:rPr>
      </w:pPr>
      <w:bookmarkStart w:id="114" w:name="_Toc173742996"/>
      <w:bookmarkStart w:id="115" w:name="_Toc304800215"/>
      <w:bookmarkStart w:id="116" w:name="_Toc324318369"/>
      <w:bookmarkStart w:id="117" w:name="_Toc324340498"/>
      <w:bookmarkStart w:id="118" w:name="_Toc389305684"/>
      <w:r w:rsidRPr="0027314F">
        <w:rPr>
          <w:b w:val="0"/>
          <w:i w:val="0"/>
          <w:sz w:val="20"/>
          <w:szCs w:val="20"/>
        </w:rPr>
        <w:t>For Gas-only measures, the gas savings profile is used to determine the gas avoided cost to apply to the measure. The gas savings profile choices are summer only, winter only, or annual.</w:t>
      </w:r>
      <w:r w:rsidR="00BF0332" w:rsidRPr="0027314F">
        <w:rPr>
          <w:b w:val="0"/>
          <w:i w:val="0"/>
          <w:sz w:val="20"/>
          <w:szCs w:val="20"/>
        </w:rPr>
        <w:t>3.1 Base Case</w:t>
      </w:r>
      <w:r w:rsidR="00B7164C" w:rsidRPr="0027314F">
        <w:rPr>
          <w:b w:val="0"/>
          <w:i w:val="0"/>
          <w:sz w:val="20"/>
          <w:szCs w:val="20"/>
        </w:rPr>
        <w:t xml:space="preserve"> Load Shapes</w:t>
      </w:r>
      <w:bookmarkEnd w:id="114"/>
      <w:bookmarkEnd w:id="115"/>
      <w:bookmarkEnd w:id="116"/>
      <w:bookmarkEnd w:id="117"/>
      <w:bookmarkEnd w:id="118"/>
    </w:p>
    <w:p w14:paraId="17DACE47" w14:textId="77777777" w:rsidR="0027314F" w:rsidRPr="0027314F" w:rsidRDefault="0027314F" w:rsidP="0027314F">
      <w:pPr>
        <w:rPr>
          <w:rFonts w:cs="Arial"/>
          <w:sz w:val="20"/>
          <w:szCs w:val="20"/>
        </w:rPr>
      </w:pPr>
      <w:bookmarkStart w:id="119" w:name="_Toc173742997"/>
      <w:r w:rsidRPr="0027314F">
        <w:rPr>
          <w:rFonts w:cs="Arial"/>
          <w:sz w:val="20"/>
          <w:szCs w:val="20"/>
        </w:rPr>
        <w:t>The base case would be expected to follow a typical non-residential foodservice gas usage profile.</w:t>
      </w:r>
    </w:p>
    <w:p w14:paraId="40283CEE" w14:textId="77777777" w:rsidR="0027314F" w:rsidRPr="0027314F" w:rsidRDefault="0027314F" w:rsidP="0027314F">
      <w:pPr>
        <w:rPr>
          <w:rFonts w:cs="Arial"/>
          <w:sz w:val="20"/>
          <w:szCs w:val="20"/>
        </w:rPr>
      </w:pPr>
    </w:p>
    <w:p w14:paraId="62B646B5" w14:textId="77777777" w:rsidR="0027314F" w:rsidRPr="0027314F" w:rsidRDefault="0027314F" w:rsidP="0027314F">
      <w:pPr>
        <w:rPr>
          <w:rFonts w:cs="Arial"/>
          <w:sz w:val="20"/>
          <w:szCs w:val="20"/>
        </w:rPr>
      </w:pPr>
      <w:r w:rsidRPr="0027314F">
        <w:rPr>
          <w:rFonts w:cs="Arial"/>
          <w:sz w:val="20"/>
          <w:szCs w:val="20"/>
        </w:rPr>
        <w:t xml:space="preserve">Commercial conveyor oven load shapes </w:t>
      </w:r>
      <w:r w:rsidRPr="0027314F">
        <w:rPr>
          <w:rFonts w:cs="Arial"/>
          <w:sz w:val="20"/>
          <w:szCs w:val="20"/>
        </w:rPr>
        <w:fldChar w:fldCharType="begin"/>
      </w:r>
      <w:r w:rsidRPr="0027314F">
        <w:rPr>
          <w:rFonts w:cs="Arial"/>
          <w:sz w:val="20"/>
          <w:szCs w:val="20"/>
        </w:rPr>
        <w:instrText xml:space="preserve"> XE "load shape" </w:instrText>
      </w:r>
      <w:r w:rsidRPr="0027314F">
        <w:rPr>
          <w:rFonts w:cs="Arial"/>
          <w:sz w:val="20"/>
          <w:szCs w:val="20"/>
        </w:rPr>
        <w:fldChar w:fldCharType="end"/>
      </w:r>
      <w:r w:rsidRPr="0027314F">
        <w:rPr>
          <w:rFonts w:cs="Arial"/>
          <w:i/>
          <w:sz w:val="20"/>
          <w:szCs w:val="20"/>
        </w:rPr>
        <w:t xml:space="preserve"> </w:t>
      </w:r>
      <w:r w:rsidRPr="0027314F">
        <w:rPr>
          <w:rFonts w:cs="Arial"/>
          <w:sz w:val="20"/>
          <w:szCs w:val="20"/>
        </w:rPr>
        <w:t xml:space="preserve">differ among food service facilities (quick service, casual dining, hotels, college, schools, hospitals, etc.) depending on daily menu variations, hours of operation, serving periods, day-of-week, and facility location (city downtown, suburban mall, access to interstate highways, etc.). Consequently, applicable average TOU and hourly load shapes for conveyor ovens are unavailable. The ASTM Standard Test Method used to generate energy use data is based on hours of use and operating state (preheat, idle, idle, light- and heavy-load cooking). Generally, conveyor ovens are used to prepare food shortly before being served, so loads tend to be coincident with regular meal periods (e.g., lunch, dinner). Between meal periods conveyor ovens energy use tends to be either idle or light. </w:t>
      </w:r>
    </w:p>
    <w:p w14:paraId="393A10BE" w14:textId="77777777" w:rsidR="008840FA" w:rsidRPr="007A4D97" w:rsidRDefault="008840FA" w:rsidP="00B7164C">
      <w:pPr>
        <w:rPr>
          <w:rFonts w:cs="Arial"/>
          <w:sz w:val="20"/>
          <w:szCs w:val="20"/>
        </w:rPr>
      </w:pPr>
    </w:p>
    <w:p w14:paraId="393A10BF" w14:textId="77777777" w:rsidR="00B7164C" w:rsidRPr="007A4D97" w:rsidRDefault="00B7164C" w:rsidP="00D20486">
      <w:pPr>
        <w:pStyle w:val="Heading2"/>
        <w:keepNext w:val="0"/>
      </w:pPr>
      <w:bookmarkStart w:id="120" w:name="_Toc304800216"/>
      <w:bookmarkStart w:id="121" w:name="_Toc324318370"/>
      <w:bookmarkStart w:id="122" w:name="_Toc324340499"/>
      <w:bookmarkStart w:id="123" w:name="_Toc389305685"/>
      <w:r w:rsidRPr="007A4D97">
        <w:t>3.2 Measure Load Shapes</w:t>
      </w:r>
      <w:bookmarkEnd w:id="119"/>
      <w:bookmarkEnd w:id="120"/>
      <w:bookmarkEnd w:id="121"/>
      <w:bookmarkEnd w:id="122"/>
      <w:bookmarkEnd w:id="123"/>
    </w:p>
    <w:p w14:paraId="140FDC80" w14:textId="77777777" w:rsidR="0027314F" w:rsidRPr="0027314F" w:rsidRDefault="00B66898" w:rsidP="0027314F">
      <w:pPr>
        <w:rPr>
          <w:rFonts w:cs="Arial"/>
          <w:sz w:val="20"/>
          <w:szCs w:val="20"/>
        </w:rPr>
      </w:pPr>
      <w:r w:rsidRPr="0027314F">
        <w:rPr>
          <w:rFonts w:cs="Arial"/>
          <w:sz w:val="20"/>
          <w:szCs w:val="20"/>
        </w:rPr>
        <w:t>There are no measure case load shapes applicable to this measure.</w:t>
      </w:r>
      <w:r w:rsidR="00437BE1" w:rsidRPr="0027314F">
        <w:rPr>
          <w:rFonts w:cs="Arial"/>
          <w:sz w:val="20"/>
          <w:szCs w:val="20"/>
        </w:rPr>
        <w:t xml:space="preserve"> </w:t>
      </w:r>
      <w:r w:rsidRPr="0027314F">
        <w:rPr>
          <w:rFonts w:cs="Arial"/>
          <w:sz w:val="20"/>
          <w:szCs w:val="20"/>
        </w:rPr>
        <w:t>The base case shapes are to be used in the cost avoidance calculation.</w:t>
      </w:r>
      <w:r>
        <w:rPr>
          <w:rFonts w:cs="Arial"/>
          <w:sz w:val="20"/>
          <w:szCs w:val="20"/>
        </w:rPr>
        <w:t xml:space="preserve"> </w:t>
      </w:r>
      <w:r w:rsidR="0027314F" w:rsidRPr="0027314F">
        <w:rPr>
          <w:rFonts w:cs="Arial"/>
          <w:sz w:val="20"/>
          <w:szCs w:val="20"/>
        </w:rPr>
        <w:t>For purposes of the net benefits estimates in the E3 calculator, the gas usage profile for this measure is determined based on the applicable non-residential market sector and the foodservice end-use.</w:t>
      </w:r>
    </w:p>
    <w:p w14:paraId="3F8ADCA9" w14:textId="77777777" w:rsidR="0027314F" w:rsidRPr="0027314F" w:rsidRDefault="0027314F" w:rsidP="0027314F">
      <w:pPr>
        <w:rPr>
          <w:rFonts w:cs="Arial"/>
          <w:sz w:val="20"/>
          <w:szCs w:val="20"/>
        </w:rPr>
      </w:pPr>
      <w:r w:rsidRPr="0027314F">
        <w:rPr>
          <w:rFonts w:cs="Arial"/>
          <w:sz w:val="20"/>
          <w:szCs w:val="20"/>
        </w:rPr>
        <w:tab/>
      </w:r>
    </w:p>
    <w:p w14:paraId="4D402825" w14:textId="77777777" w:rsidR="0027314F" w:rsidRPr="0027314F" w:rsidRDefault="0027314F" w:rsidP="0027314F">
      <w:pPr>
        <w:rPr>
          <w:rFonts w:cs="Arial"/>
          <w:sz w:val="20"/>
          <w:szCs w:val="20"/>
        </w:rPr>
      </w:pPr>
      <w:r w:rsidRPr="0027314F">
        <w:rPr>
          <w:rFonts w:cs="Arial"/>
          <w:sz w:val="20"/>
          <w:szCs w:val="20"/>
        </w:rPr>
        <w:t>The gas load profile for the high efficiency gas conveyor oven is expected to be the same as the Base Case. The profile will vary as explained in Section 3.1. The Measure Load Shape</w:t>
      </w:r>
      <w:r w:rsidRPr="0027314F">
        <w:rPr>
          <w:rFonts w:cs="Arial"/>
          <w:sz w:val="20"/>
          <w:szCs w:val="20"/>
        </w:rPr>
        <w:fldChar w:fldCharType="begin"/>
      </w:r>
      <w:r w:rsidRPr="0027314F">
        <w:rPr>
          <w:rFonts w:cs="Arial"/>
          <w:sz w:val="20"/>
          <w:szCs w:val="20"/>
        </w:rPr>
        <w:instrText xml:space="preserve"> XE "Measure Load Shape" </w:instrText>
      </w:r>
      <w:r w:rsidRPr="0027314F">
        <w:rPr>
          <w:rFonts w:cs="Arial"/>
          <w:sz w:val="20"/>
          <w:szCs w:val="20"/>
        </w:rPr>
        <w:fldChar w:fldCharType="end"/>
      </w:r>
      <w:r w:rsidRPr="0027314F">
        <w:rPr>
          <w:rFonts w:cs="Arial"/>
          <w:sz w:val="20"/>
          <w:szCs w:val="20"/>
        </w:rPr>
        <w:t xml:space="preserve"> for the high efficiency conveyor oven will use less energy.</w:t>
      </w:r>
    </w:p>
    <w:p w14:paraId="393A10C0" w14:textId="4A61CB47" w:rsidR="00F47D9D" w:rsidRPr="007A4D97" w:rsidRDefault="00F47D9D" w:rsidP="00F47D9D">
      <w:pPr>
        <w:rPr>
          <w:rFonts w:cs="Arial"/>
          <w:sz w:val="20"/>
          <w:szCs w:val="20"/>
        </w:rPr>
      </w:pPr>
    </w:p>
    <w:p w14:paraId="393A10C1" w14:textId="77777777" w:rsidR="00B7164C" w:rsidRDefault="00B7164C" w:rsidP="003C6DFA">
      <w:pPr>
        <w:rPr>
          <w:rFonts w:cs="Arial"/>
          <w:sz w:val="20"/>
          <w:szCs w:val="20"/>
        </w:rPr>
      </w:pPr>
    </w:p>
    <w:p w14:paraId="393A10D6" w14:textId="77777777" w:rsidR="0091058D" w:rsidRDefault="00C069A2" w:rsidP="00663A00">
      <w:pPr>
        <w:pStyle w:val="Heading1"/>
        <w:keepNext w:val="0"/>
      </w:pPr>
      <w:bookmarkStart w:id="124" w:name="_Toc304800217"/>
      <w:bookmarkStart w:id="125" w:name="_Toc324318371"/>
      <w:bookmarkStart w:id="126" w:name="_Toc324340500"/>
      <w:bookmarkStart w:id="127" w:name="_Toc389305686"/>
      <w:proofErr w:type="gramStart"/>
      <w:r>
        <w:t>Section 4</w:t>
      </w:r>
      <w:r w:rsidR="003129E8">
        <w:t>.</w:t>
      </w:r>
      <w:proofErr w:type="gramEnd"/>
      <w:r>
        <w:t xml:space="preserve"> Base Case &amp; Measure Costs</w:t>
      </w:r>
      <w:bookmarkEnd w:id="124"/>
      <w:bookmarkEnd w:id="125"/>
      <w:bookmarkEnd w:id="126"/>
      <w:bookmarkEnd w:id="127"/>
    </w:p>
    <w:p w14:paraId="393A10D7" w14:textId="77777777" w:rsidR="00B16BE4" w:rsidRDefault="00B16BE4" w:rsidP="00B16BE4"/>
    <w:p w14:paraId="393A10D8" w14:textId="11916F85" w:rsidR="00B16BE4" w:rsidRPr="00EE4E12" w:rsidRDefault="00EE4E12" w:rsidP="00B16BE4">
      <w:pPr>
        <w:rPr>
          <w:b/>
          <w:sz w:val="20"/>
          <w:szCs w:val="20"/>
        </w:rPr>
      </w:pPr>
      <w:r w:rsidRPr="00EE4E12">
        <w:rPr>
          <w:b/>
          <w:sz w:val="20"/>
          <w:szCs w:val="20"/>
        </w:rPr>
        <w:t>Table 1</w:t>
      </w:r>
      <w:r w:rsidR="00916793">
        <w:rPr>
          <w:b/>
          <w:sz w:val="20"/>
          <w:szCs w:val="20"/>
        </w:rPr>
        <w:t>0</w:t>
      </w:r>
      <w:r w:rsidRPr="00EE4E12">
        <w:rPr>
          <w:b/>
          <w:sz w:val="20"/>
          <w:szCs w:val="20"/>
        </w:rPr>
        <w:t xml:space="preserve"> DEER Base Case </w:t>
      </w:r>
      <w:proofErr w:type="gramStart"/>
      <w:r w:rsidRPr="00EE4E12">
        <w:rPr>
          <w:b/>
          <w:sz w:val="20"/>
          <w:szCs w:val="20"/>
        </w:rPr>
        <w:t>an</w:t>
      </w:r>
      <w:proofErr w:type="gramEnd"/>
      <w:r w:rsidRPr="00EE4E12">
        <w:rPr>
          <w:b/>
          <w:sz w:val="20"/>
          <w:szCs w:val="20"/>
        </w:rPr>
        <w:t xml:space="preserve"> Measure Case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28"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619DFEC6" w14:textId="77777777" w:rsidR="0027314F" w:rsidRPr="0027314F" w:rsidRDefault="0027314F" w:rsidP="0027314F">
      <w:pPr>
        <w:rPr>
          <w:rFonts w:cs="Arial"/>
          <w:sz w:val="20"/>
          <w:szCs w:val="20"/>
        </w:rPr>
      </w:pPr>
      <w:bookmarkStart w:id="129" w:name="_Toc304800220"/>
      <w:bookmarkStart w:id="130" w:name="_Toc324318374"/>
      <w:bookmarkStart w:id="131" w:name="_Toc324340503"/>
      <w:bookmarkEnd w:id="128"/>
      <w:r w:rsidRPr="0027314F">
        <w:rPr>
          <w:rFonts w:cs="Arial"/>
          <w:sz w:val="20"/>
          <w:szCs w:val="20"/>
        </w:rPr>
        <w:t>High efficiency gas conveyor ovens typically list for more than standard-efficiency gas conveyor ovens. However, high-efficiency designs are often bundled with other features such as all-stainless steel construction and high-quality components and controls. In addition to lower operating costs, high-efficiency conveyor ovens frequently exhibit better uniformity and higher production capacities.</w:t>
      </w:r>
    </w:p>
    <w:p w14:paraId="0543E65F" w14:textId="77777777" w:rsidR="0027314F" w:rsidRPr="0027314F" w:rsidRDefault="0027314F" w:rsidP="0027314F">
      <w:pPr>
        <w:tabs>
          <w:tab w:val="left" w:pos="960"/>
          <w:tab w:val="center" w:pos="4680"/>
        </w:tabs>
        <w:rPr>
          <w:rFonts w:cs="Arial"/>
          <w:sz w:val="20"/>
          <w:szCs w:val="20"/>
        </w:rPr>
      </w:pPr>
      <w:r w:rsidRPr="0027314F">
        <w:rPr>
          <w:rFonts w:cs="Arial"/>
          <w:sz w:val="20"/>
          <w:szCs w:val="20"/>
        </w:rPr>
        <w:tab/>
      </w:r>
      <w:r w:rsidRPr="0027314F">
        <w:rPr>
          <w:rFonts w:cs="Arial"/>
          <w:sz w:val="20"/>
          <w:szCs w:val="20"/>
        </w:rPr>
        <w:tab/>
      </w:r>
    </w:p>
    <w:p w14:paraId="18E98855" w14:textId="77777777" w:rsidR="0027314F" w:rsidRPr="0027314F" w:rsidRDefault="0027314F" w:rsidP="0027314F">
      <w:pPr>
        <w:rPr>
          <w:rFonts w:cs="Arial"/>
          <w:sz w:val="20"/>
          <w:szCs w:val="20"/>
        </w:rPr>
      </w:pPr>
      <w:r w:rsidRPr="0027314F">
        <w:rPr>
          <w:rFonts w:cs="Arial"/>
          <w:sz w:val="20"/>
          <w:szCs w:val="20"/>
        </w:rPr>
        <w:t xml:space="preserve">Equipment prices for these work papers were compiled from a number of sources including, </w:t>
      </w:r>
      <w:proofErr w:type="spellStart"/>
      <w:r w:rsidRPr="0027314F">
        <w:rPr>
          <w:rFonts w:cs="Arial"/>
          <w:sz w:val="20"/>
          <w:szCs w:val="20"/>
        </w:rPr>
        <w:t>Autoquotes</w:t>
      </w:r>
      <w:proofErr w:type="spellEnd"/>
      <w:r w:rsidRPr="0027314F">
        <w:rPr>
          <w:rFonts w:cs="Arial"/>
          <w:sz w:val="20"/>
          <w:szCs w:val="20"/>
        </w:rPr>
        <w:t>, equipment sales reps and manufacturer sources. Since equipment pricing in food service is closely held information and prices vary widely according to buying volume and other factors, we cannot list the sources for prices specifically.</w:t>
      </w:r>
    </w:p>
    <w:p w14:paraId="521FD2BC" w14:textId="77777777" w:rsidR="0027314F" w:rsidRPr="0027314F" w:rsidRDefault="0027314F" w:rsidP="0027314F">
      <w:pPr>
        <w:spacing w:before="240" w:after="60"/>
        <w:outlineLvl w:val="1"/>
        <w:rPr>
          <w:rFonts w:cs="Arial"/>
          <w:b/>
          <w:bCs/>
          <w:i/>
          <w:iCs/>
          <w:sz w:val="28"/>
          <w:szCs w:val="28"/>
        </w:rPr>
      </w:pPr>
    </w:p>
    <w:p w14:paraId="29E4566E" w14:textId="77777777" w:rsidR="0027314F" w:rsidRPr="0027314F" w:rsidRDefault="0027314F" w:rsidP="0027314F">
      <w:pPr>
        <w:spacing w:before="240" w:after="60"/>
        <w:outlineLvl w:val="1"/>
        <w:rPr>
          <w:rFonts w:cs="Arial"/>
          <w:b/>
          <w:bCs/>
          <w:i/>
          <w:iCs/>
          <w:sz w:val="28"/>
          <w:szCs w:val="28"/>
        </w:rPr>
      </w:pPr>
      <w:bookmarkStart w:id="132" w:name="_Toc326930850"/>
      <w:bookmarkStart w:id="133" w:name="_Toc389305687"/>
      <w:r w:rsidRPr="0027314F">
        <w:rPr>
          <w:rFonts w:cs="Arial"/>
          <w:b/>
          <w:bCs/>
          <w:i/>
          <w:iCs/>
          <w:sz w:val="28"/>
          <w:szCs w:val="28"/>
        </w:rPr>
        <w:t>4.1 Base Cases Costs</w:t>
      </w:r>
      <w:bookmarkEnd w:id="132"/>
      <w:bookmarkEnd w:id="133"/>
    </w:p>
    <w:p w14:paraId="37D49586" w14:textId="77777777" w:rsidR="0027314F" w:rsidRPr="0027314F" w:rsidRDefault="0027314F" w:rsidP="0027314F">
      <w:pPr>
        <w:rPr>
          <w:rFonts w:cs="Arial"/>
          <w:sz w:val="20"/>
          <w:szCs w:val="20"/>
        </w:rPr>
      </w:pPr>
      <w:r w:rsidRPr="0027314F">
        <w:rPr>
          <w:rFonts w:cs="Arial"/>
          <w:sz w:val="20"/>
          <w:szCs w:val="20"/>
        </w:rPr>
        <w:t>The Base Case costs include only the equipment. Since this measure is applicable for ROB and NC installations, the installation and maintenance costs are expected to be the same for the customer. The estimated equipment cost is based on recent list cost data for electric and gas conveyor ovens and applying an industry-standard 50% discount to the manufacturer published list prices.</w:t>
      </w:r>
      <w:r w:rsidRPr="0027314F">
        <w:rPr>
          <w:rFonts w:cs="Arial"/>
          <w:sz w:val="20"/>
          <w:szCs w:val="20"/>
          <w:vertAlign w:val="superscript"/>
        </w:rPr>
        <w:endnoteReference w:id="6"/>
      </w:r>
    </w:p>
    <w:p w14:paraId="71790E2B" w14:textId="77777777" w:rsidR="0027314F" w:rsidRPr="0027314F" w:rsidRDefault="0027314F" w:rsidP="0027314F">
      <w:pPr>
        <w:keepNext/>
        <w:spacing w:before="240" w:after="60"/>
        <w:outlineLvl w:val="1"/>
        <w:rPr>
          <w:rFonts w:cs="Arial"/>
          <w:b/>
          <w:bCs/>
          <w:i/>
          <w:iCs/>
          <w:sz w:val="28"/>
          <w:szCs w:val="28"/>
        </w:rPr>
      </w:pPr>
      <w:bookmarkStart w:id="134" w:name="_Toc326930851"/>
      <w:bookmarkStart w:id="135" w:name="_Toc389305688"/>
      <w:r w:rsidRPr="0027314F">
        <w:rPr>
          <w:rFonts w:cs="Arial"/>
          <w:b/>
          <w:bCs/>
          <w:i/>
          <w:iCs/>
          <w:sz w:val="28"/>
          <w:szCs w:val="28"/>
        </w:rPr>
        <w:t>4.2 Measure Costs</w:t>
      </w:r>
      <w:bookmarkEnd w:id="134"/>
      <w:bookmarkEnd w:id="135"/>
    </w:p>
    <w:p w14:paraId="4C217551" w14:textId="77777777" w:rsidR="0027314F" w:rsidRPr="0027314F" w:rsidRDefault="0027314F" w:rsidP="0027314F">
      <w:pPr>
        <w:rPr>
          <w:rFonts w:cs="Arial"/>
          <w:sz w:val="20"/>
          <w:szCs w:val="20"/>
        </w:rPr>
      </w:pPr>
      <w:r w:rsidRPr="0027314F">
        <w:rPr>
          <w:rFonts w:cs="Arial"/>
          <w:sz w:val="20"/>
          <w:szCs w:val="20"/>
        </w:rPr>
        <w:t>The Measure costs include only the equipment, as explained in Section 4.1. The estimated equipment cost is based on recent list cost data and applying an industry-standard 50% discount to the manufacturer published list prices (see Appendix B).</w:t>
      </w:r>
    </w:p>
    <w:p w14:paraId="6CEBCD8C" w14:textId="01E7F954" w:rsidR="0027314F" w:rsidRPr="0027314F" w:rsidRDefault="0027314F" w:rsidP="0027314F">
      <w:pPr>
        <w:rPr>
          <w:rFonts w:ascii="Times New Roman" w:hAnsi="Times New Roman"/>
          <w:sz w:val="24"/>
        </w:rPr>
      </w:pPr>
    </w:p>
    <w:p w14:paraId="393A113C" w14:textId="77777777" w:rsidR="0030550A" w:rsidRDefault="0030550A" w:rsidP="002E0043">
      <w:pPr>
        <w:pStyle w:val="Heading2"/>
        <w:keepNext w:val="0"/>
      </w:pPr>
      <w:bookmarkStart w:id="136" w:name="_Toc389305689"/>
      <w:r>
        <w:t>4.3 Incremental &amp; Full Measure Costs</w:t>
      </w:r>
      <w:bookmarkEnd w:id="129"/>
      <w:bookmarkEnd w:id="130"/>
      <w:bookmarkEnd w:id="131"/>
      <w:bookmarkEnd w:id="136"/>
    </w:p>
    <w:p w14:paraId="2B541879" w14:textId="4C16FE80" w:rsidR="00EE4E12" w:rsidRPr="00EE4E12" w:rsidRDefault="00EE4E12" w:rsidP="00EE4E12">
      <w:pPr>
        <w:rPr>
          <w:b/>
          <w:sz w:val="20"/>
          <w:szCs w:val="20"/>
        </w:rPr>
      </w:pPr>
      <w:r w:rsidRPr="00EE4E12">
        <w:rPr>
          <w:b/>
          <w:sz w:val="20"/>
          <w:szCs w:val="20"/>
        </w:rPr>
        <w:t>Table 1</w:t>
      </w:r>
      <w:r w:rsidR="00916793">
        <w:rPr>
          <w:b/>
          <w:sz w:val="20"/>
          <w:szCs w:val="20"/>
        </w:rPr>
        <w:t>1</w:t>
      </w:r>
      <w:r w:rsidRPr="00EE4E12">
        <w:rPr>
          <w:b/>
          <w:sz w:val="20"/>
          <w:szCs w:val="20"/>
        </w:rPr>
        <w:t xml:space="preserve"> DEER Incremental and Full Measure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37" w:name="_Toc324318375"/>
      <w:bookmarkStart w:id="138" w:name="_Toc324340504"/>
      <w:bookmarkStart w:id="139" w:name="_Toc389305690"/>
      <w:r>
        <w:rPr>
          <w:i/>
        </w:rPr>
        <w:t>4.3.1 Full</w:t>
      </w:r>
      <w:r w:rsidR="003F57BD" w:rsidRPr="003F57BD">
        <w:rPr>
          <w:i/>
        </w:rPr>
        <w:t xml:space="preserve"> Measure Cost</w:t>
      </w:r>
      <w:bookmarkEnd w:id="137"/>
      <w:bookmarkEnd w:id="138"/>
      <w:bookmarkEnd w:id="139"/>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13FF90FA" w:rsidR="00F32479" w:rsidRPr="0027314F" w:rsidRDefault="00F32479" w:rsidP="00F32479">
      <w:pPr>
        <w:rPr>
          <w:rFonts w:cs="Arial"/>
          <w:sz w:val="20"/>
          <w:szCs w:val="20"/>
        </w:rPr>
      </w:pPr>
      <w:r w:rsidRPr="0027314F">
        <w:rPr>
          <w:rFonts w:cs="Arial"/>
          <w:sz w:val="20"/>
          <w:szCs w:val="20"/>
        </w:rPr>
        <w:t xml:space="preserve">This </w:t>
      </w:r>
      <w:r w:rsidR="003541A6" w:rsidRPr="0027314F">
        <w:rPr>
          <w:rFonts w:cs="Arial"/>
          <w:sz w:val="20"/>
          <w:szCs w:val="20"/>
        </w:rPr>
        <w:t>Measure Application Type</w:t>
      </w:r>
      <w:r w:rsidR="0027314F" w:rsidRPr="0027314F">
        <w:rPr>
          <w:rFonts w:cs="Arial"/>
          <w:sz w:val="20"/>
          <w:szCs w:val="20"/>
        </w:rPr>
        <w:t xml:space="preserve"> is</w:t>
      </w:r>
      <w:r w:rsidRPr="0027314F">
        <w:rPr>
          <w:rFonts w:cs="Arial"/>
          <w:sz w:val="20"/>
          <w:szCs w:val="20"/>
        </w:rPr>
        <w:t xml:space="preserve">: </w:t>
      </w:r>
      <w:r w:rsidR="00ED7D3D" w:rsidRPr="0027314F">
        <w:rPr>
          <w:rFonts w:cs="Arial"/>
          <w:b/>
          <w:sz w:val="20"/>
          <w:szCs w:val="20"/>
        </w:rPr>
        <w:t>NC</w:t>
      </w:r>
      <w:r w:rsidRPr="0027314F">
        <w:rPr>
          <w:rFonts w:cs="Arial"/>
          <w:sz w:val="20"/>
          <w:szCs w:val="20"/>
        </w:rPr>
        <w:t xml:space="preserve"> or </w:t>
      </w:r>
      <w:r w:rsidRPr="0027314F">
        <w:rPr>
          <w:rFonts w:cs="Arial"/>
          <w:b/>
          <w:sz w:val="20"/>
          <w:szCs w:val="20"/>
        </w:rPr>
        <w:t>ROB</w:t>
      </w:r>
      <w:r w:rsidRPr="0027314F">
        <w:rPr>
          <w:rFonts w:cs="Arial"/>
          <w:sz w:val="20"/>
          <w:szCs w:val="20"/>
        </w:rPr>
        <w:t xml:space="preserve">, </w:t>
      </w:r>
      <w:r w:rsidR="00E564BA" w:rsidRPr="0027314F">
        <w:rPr>
          <w:rFonts w:cs="Arial"/>
          <w:sz w:val="20"/>
          <w:szCs w:val="20"/>
        </w:rPr>
        <w:t>so the Full Measure Cost (F</w:t>
      </w:r>
      <w:r w:rsidRPr="0027314F">
        <w:rPr>
          <w:rFonts w:cs="Arial"/>
          <w:sz w:val="20"/>
          <w:szCs w:val="20"/>
        </w:rPr>
        <w:t>MC) is represented by the equation below</w:t>
      </w:r>
      <w:r w:rsidR="003541A6" w:rsidRPr="0027314F">
        <w:rPr>
          <w:rFonts w:cs="Arial"/>
          <w:sz w:val="20"/>
          <w:szCs w:val="20"/>
        </w:rPr>
        <w:t xml:space="preserve"> (choose)</w:t>
      </w:r>
      <w:r w:rsidRPr="0027314F">
        <w:rPr>
          <w:rFonts w:cs="Arial"/>
          <w:sz w:val="20"/>
          <w:szCs w:val="20"/>
        </w:rPr>
        <w:t>:</w:t>
      </w:r>
    </w:p>
    <w:p w14:paraId="393A115F" w14:textId="77777777" w:rsidR="00F32479" w:rsidRPr="0027314F" w:rsidRDefault="00F32479" w:rsidP="00F32479">
      <w:pPr>
        <w:rPr>
          <w:rFonts w:cs="Arial"/>
          <w:sz w:val="20"/>
          <w:szCs w:val="20"/>
        </w:rPr>
      </w:pPr>
    </w:p>
    <w:p w14:paraId="393A1160" w14:textId="77777777" w:rsidR="00F32479" w:rsidRPr="0027314F" w:rsidRDefault="00F32479" w:rsidP="00F32479">
      <w:pPr>
        <w:rPr>
          <w:rFonts w:cs="Arial"/>
          <w:sz w:val="20"/>
          <w:szCs w:val="20"/>
        </w:rPr>
      </w:pPr>
    </w:p>
    <w:p w14:paraId="393A1161" w14:textId="48F9B76C" w:rsidR="00F32479" w:rsidRPr="0027314F" w:rsidRDefault="00E564BA" w:rsidP="00F32479">
      <w:pPr>
        <w:ind w:firstLine="720"/>
        <w:rPr>
          <w:rFonts w:cs="Arial"/>
          <w:sz w:val="20"/>
          <w:szCs w:val="20"/>
        </w:rPr>
      </w:pPr>
      <w:r w:rsidRPr="0027314F">
        <w:rPr>
          <w:rFonts w:cs="Arial"/>
          <w:sz w:val="20"/>
          <w:szCs w:val="20"/>
        </w:rPr>
        <w:t>F</w:t>
      </w:r>
      <w:r w:rsidR="00F32479" w:rsidRPr="0027314F">
        <w:rPr>
          <w:rFonts w:cs="Arial"/>
          <w:sz w:val="20"/>
          <w:szCs w:val="20"/>
        </w:rPr>
        <w:t>MC = (Measure Equipment Cost + Measure Labor Cost) –</w:t>
      </w:r>
    </w:p>
    <w:p w14:paraId="393A1162" w14:textId="77777777" w:rsidR="00F32479" w:rsidRPr="0027314F" w:rsidRDefault="00437BE1" w:rsidP="00F32479">
      <w:pPr>
        <w:ind w:left="720" w:firstLine="720"/>
        <w:rPr>
          <w:rFonts w:cs="Arial"/>
          <w:sz w:val="20"/>
          <w:szCs w:val="20"/>
        </w:rPr>
      </w:pPr>
      <w:r w:rsidRPr="0027314F">
        <w:rPr>
          <w:rFonts w:cs="Arial"/>
          <w:sz w:val="20"/>
          <w:szCs w:val="20"/>
        </w:rPr>
        <w:t xml:space="preserve"> </w:t>
      </w:r>
      <w:r w:rsidR="00F32479" w:rsidRPr="0027314F">
        <w:rPr>
          <w:rFonts w:cs="Arial"/>
          <w:sz w:val="20"/>
          <w:szCs w:val="20"/>
        </w:rPr>
        <w:t xml:space="preserve">  (Base Case Equipment Cost + Base Case Labor Cost)</w:t>
      </w:r>
    </w:p>
    <w:p w14:paraId="393A1163" w14:textId="77777777" w:rsidR="00F32479" w:rsidRPr="0027314F" w:rsidRDefault="00F32479" w:rsidP="00F32479">
      <w:pPr>
        <w:rPr>
          <w:rFonts w:cs="Arial"/>
          <w:b/>
          <w:sz w:val="20"/>
          <w:szCs w:val="20"/>
        </w:rPr>
      </w:pPr>
    </w:p>
    <w:p w14:paraId="393A1164" w14:textId="77777777" w:rsidR="00F32479" w:rsidRPr="0027314F" w:rsidRDefault="00F32479" w:rsidP="00F32479">
      <w:pPr>
        <w:ind w:left="720" w:right="720"/>
        <w:rPr>
          <w:rFonts w:cs="Arial"/>
          <w:sz w:val="20"/>
          <w:szCs w:val="20"/>
        </w:rPr>
      </w:pPr>
      <w:r w:rsidRPr="0027314F">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27314F" w:rsidRDefault="00F32479" w:rsidP="00F32479">
      <w:pPr>
        <w:ind w:left="720" w:right="720"/>
        <w:rPr>
          <w:rFonts w:cs="Arial"/>
          <w:sz w:val="20"/>
          <w:szCs w:val="20"/>
        </w:rPr>
      </w:pPr>
    </w:p>
    <w:p w14:paraId="393A1166" w14:textId="77932240" w:rsidR="00F32479" w:rsidRPr="0027314F" w:rsidRDefault="00E564BA" w:rsidP="00F32479">
      <w:pPr>
        <w:ind w:firstLine="720"/>
        <w:rPr>
          <w:rFonts w:cs="Arial"/>
          <w:i/>
          <w:sz w:val="20"/>
          <w:szCs w:val="20"/>
        </w:rPr>
      </w:pPr>
      <w:r w:rsidRPr="0027314F">
        <w:rPr>
          <w:rFonts w:cs="Arial"/>
          <w:sz w:val="20"/>
          <w:szCs w:val="20"/>
        </w:rPr>
        <w:t>F</w:t>
      </w:r>
      <w:r w:rsidR="00F32479" w:rsidRPr="0027314F">
        <w:rPr>
          <w:rFonts w:cs="Arial"/>
          <w:sz w:val="20"/>
          <w:szCs w:val="20"/>
        </w:rPr>
        <w:t>MC = Measure Equipment Cost – Base Case Equipment</w:t>
      </w:r>
      <w:r w:rsidR="00F32479" w:rsidRPr="0027314F">
        <w:rPr>
          <w:rFonts w:cs="Arial"/>
          <w:i/>
          <w:sz w:val="20"/>
          <w:szCs w:val="20"/>
        </w:rPr>
        <w:t xml:space="preserve"> Cost</w:t>
      </w:r>
    </w:p>
    <w:p w14:paraId="393A1167" w14:textId="77777777" w:rsidR="00F32479" w:rsidRPr="0027314F" w:rsidRDefault="00F32479" w:rsidP="00F32479">
      <w:pPr>
        <w:ind w:firstLine="720"/>
        <w:rPr>
          <w:rFonts w:cs="Arial"/>
          <w:i/>
          <w:sz w:val="20"/>
          <w:szCs w:val="20"/>
        </w:rPr>
      </w:pPr>
    </w:p>
    <w:p w14:paraId="393A1168" w14:textId="7277BE52" w:rsidR="00F32479" w:rsidRPr="0027314F" w:rsidRDefault="00E564BA" w:rsidP="00F32479">
      <w:pPr>
        <w:ind w:firstLine="720"/>
        <w:rPr>
          <w:rFonts w:cs="Arial"/>
          <w:i/>
          <w:sz w:val="20"/>
          <w:szCs w:val="20"/>
        </w:rPr>
      </w:pPr>
      <w:r w:rsidRPr="0027314F">
        <w:rPr>
          <w:rFonts w:cs="Arial"/>
          <w:i/>
          <w:sz w:val="20"/>
          <w:szCs w:val="20"/>
        </w:rPr>
        <w:t>F</w:t>
      </w:r>
      <w:r w:rsidR="00F32479" w:rsidRPr="0027314F">
        <w:rPr>
          <w:rFonts w:cs="Arial"/>
          <w:i/>
          <w:sz w:val="20"/>
          <w:szCs w:val="20"/>
        </w:rPr>
        <w:t xml:space="preserve">MC = $    </w:t>
      </w:r>
      <w:r w:rsidR="00707125">
        <w:rPr>
          <w:rFonts w:cs="Arial"/>
          <w:i/>
          <w:sz w:val="20"/>
          <w:szCs w:val="20"/>
        </w:rPr>
        <w:t>$12,407</w:t>
      </w:r>
      <w:r w:rsidR="00F32479" w:rsidRPr="0027314F">
        <w:rPr>
          <w:rFonts w:cs="Arial"/>
          <w:i/>
          <w:sz w:val="20"/>
          <w:szCs w:val="20"/>
        </w:rPr>
        <w:t xml:space="preserve">   per </w:t>
      </w:r>
      <w:r w:rsidR="00707125">
        <w:rPr>
          <w:rFonts w:cs="Arial"/>
          <w:i/>
          <w:sz w:val="20"/>
          <w:szCs w:val="20"/>
        </w:rPr>
        <w:t>oven- $ 10,177</w:t>
      </w:r>
      <w:r w:rsidR="00F32479" w:rsidRPr="0027314F">
        <w:rPr>
          <w:rFonts w:cs="Arial"/>
          <w:i/>
          <w:sz w:val="20"/>
          <w:szCs w:val="20"/>
        </w:rPr>
        <w:t xml:space="preserve">                 per </w:t>
      </w:r>
      <w:r w:rsidR="00707125">
        <w:rPr>
          <w:rFonts w:cs="Arial"/>
          <w:i/>
          <w:sz w:val="20"/>
          <w:szCs w:val="20"/>
        </w:rPr>
        <w:t>oven</w:t>
      </w:r>
      <w:r w:rsidR="00F32479" w:rsidRPr="0027314F">
        <w:rPr>
          <w:rFonts w:cs="Arial"/>
          <w:i/>
          <w:sz w:val="20"/>
          <w:szCs w:val="20"/>
        </w:rPr>
        <w:t xml:space="preserve"> = $ </w:t>
      </w:r>
      <w:r w:rsidR="00707125">
        <w:rPr>
          <w:rFonts w:cs="Arial"/>
          <w:i/>
          <w:sz w:val="20"/>
          <w:szCs w:val="20"/>
        </w:rPr>
        <w:t>$2,230</w:t>
      </w:r>
      <w:r w:rsidR="00F32479" w:rsidRPr="0027314F">
        <w:rPr>
          <w:rFonts w:cs="Arial"/>
          <w:i/>
          <w:sz w:val="20"/>
          <w:szCs w:val="20"/>
        </w:rPr>
        <w:t xml:space="preserve">             per unit</w:t>
      </w:r>
    </w:p>
    <w:p w14:paraId="393A1169" w14:textId="77777777" w:rsidR="00F32479" w:rsidRPr="0027314F" w:rsidRDefault="00F32479" w:rsidP="003F57BD">
      <w:pPr>
        <w:rPr>
          <w:rFonts w:cs="Arial"/>
          <w:b/>
          <w:sz w:val="20"/>
          <w:szCs w:val="20"/>
        </w:rPr>
      </w:pPr>
    </w:p>
    <w:p w14:paraId="393A117D" w14:textId="77777777" w:rsidR="00A47BFE" w:rsidRDefault="001E4C31" w:rsidP="001E4C31">
      <w:pPr>
        <w:pStyle w:val="Heading1"/>
        <w:rPr>
          <w:i/>
        </w:rPr>
      </w:pPr>
      <w:bookmarkStart w:id="140" w:name="_Toc324318376"/>
      <w:bookmarkStart w:id="141" w:name="_Toc324340505"/>
      <w:bookmarkStart w:id="142" w:name="_Toc389305691"/>
      <w:bookmarkStart w:id="143" w:name="_Toc304800221"/>
      <w:r>
        <w:rPr>
          <w:i/>
        </w:rPr>
        <w:t xml:space="preserve">4.3.2 </w:t>
      </w:r>
      <w:r w:rsidR="00A47BFE" w:rsidRPr="00A47BFE">
        <w:rPr>
          <w:i/>
        </w:rPr>
        <w:t>Incremental Measure Costs</w:t>
      </w:r>
      <w:bookmarkEnd w:id="140"/>
      <w:bookmarkEnd w:id="141"/>
      <w:bookmarkEnd w:id="142"/>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66E08A24" w:rsidR="00ED3B31" w:rsidRPr="0027314F" w:rsidRDefault="00192B77" w:rsidP="00ED3B31">
      <w:pPr>
        <w:rPr>
          <w:rFonts w:cs="Arial"/>
          <w:sz w:val="20"/>
          <w:szCs w:val="20"/>
        </w:rPr>
      </w:pPr>
      <w:r w:rsidRPr="0027314F">
        <w:rPr>
          <w:rFonts w:cs="Arial"/>
          <w:sz w:val="20"/>
          <w:szCs w:val="20"/>
        </w:rPr>
        <w:t>This</w:t>
      </w:r>
      <w:r w:rsidR="00ED3B31" w:rsidRPr="0027314F">
        <w:rPr>
          <w:rFonts w:cs="Arial"/>
          <w:sz w:val="20"/>
          <w:szCs w:val="20"/>
        </w:rPr>
        <w:t xml:space="preserve"> </w:t>
      </w:r>
      <w:r w:rsidR="002E6162" w:rsidRPr="0027314F">
        <w:rPr>
          <w:rFonts w:cs="Arial"/>
          <w:sz w:val="20"/>
          <w:szCs w:val="20"/>
        </w:rPr>
        <w:t>Measure Application Types</w:t>
      </w:r>
      <w:r w:rsidR="00ED3B31" w:rsidRPr="0027314F">
        <w:rPr>
          <w:rFonts w:cs="Arial"/>
          <w:sz w:val="20"/>
          <w:szCs w:val="20"/>
        </w:rPr>
        <w:t xml:space="preserve"> is:</w:t>
      </w:r>
      <w:r w:rsidR="00437BE1" w:rsidRPr="0027314F">
        <w:rPr>
          <w:rFonts w:cs="Arial"/>
          <w:b/>
          <w:sz w:val="20"/>
          <w:szCs w:val="20"/>
        </w:rPr>
        <w:t xml:space="preserve"> </w:t>
      </w:r>
      <w:proofErr w:type="gramStart"/>
      <w:r w:rsidR="00ED3B31" w:rsidRPr="0027314F">
        <w:rPr>
          <w:rFonts w:cs="Arial"/>
          <w:b/>
          <w:sz w:val="20"/>
          <w:szCs w:val="20"/>
        </w:rPr>
        <w:t>ROB</w:t>
      </w:r>
      <w:r w:rsidRPr="0027314F">
        <w:rPr>
          <w:rFonts w:cs="Arial"/>
          <w:b/>
          <w:sz w:val="20"/>
          <w:szCs w:val="20"/>
        </w:rPr>
        <w:t>,</w:t>
      </w:r>
      <w:proofErr w:type="gramEnd"/>
      <w:r w:rsidR="00ED3B31" w:rsidRPr="0027314F">
        <w:rPr>
          <w:rFonts w:cs="Arial"/>
          <w:sz w:val="20"/>
          <w:szCs w:val="20"/>
        </w:rPr>
        <w:t xml:space="preserve"> </w:t>
      </w:r>
      <w:r w:rsidR="0027314F" w:rsidRPr="0027314F">
        <w:rPr>
          <w:rFonts w:cs="Arial"/>
          <w:sz w:val="20"/>
          <w:szCs w:val="20"/>
        </w:rPr>
        <w:t xml:space="preserve">or </w:t>
      </w:r>
      <w:r w:rsidR="00587DDD" w:rsidRPr="0027314F">
        <w:rPr>
          <w:rFonts w:cs="Arial"/>
          <w:b/>
          <w:sz w:val="20"/>
          <w:szCs w:val="20"/>
        </w:rPr>
        <w:t>NC</w:t>
      </w:r>
      <w:r w:rsidR="00ED3B31" w:rsidRPr="0027314F">
        <w:rPr>
          <w:rFonts w:cs="Arial"/>
          <w:b/>
          <w:sz w:val="20"/>
          <w:szCs w:val="20"/>
        </w:rPr>
        <w:t xml:space="preserve"> </w:t>
      </w:r>
      <w:r w:rsidR="00ED3B31" w:rsidRPr="0027314F">
        <w:rPr>
          <w:rFonts w:cs="Arial"/>
          <w:sz w:val="20"/>
          <w:szCs w:val="20"/>
        </w:rPr>
        <w:t xml:space="preserve">so the Gross Measure Cost (GMC) is represented by the </w:t>
      </w:r>
      <w:r w:rsidRPr="0027314F">
        <w:rPr>
          <w:rFonts w:cs="Arial"/>
          <w:sz w:val="20"/>
          <w:szCs w:val="20"/>
        </w:rPr>
        <w:t xml:space="preserve">appropriate </w:t>
      </w:r>
      <w:r w:rsidR="00ED3B31" w:rsidRPr="0027314F">
        <w:rPr>
          <w:rFonts w:cs="Arial"/>
          <w:sz w:val="20"/>
          <w:szCs w:val="20"/>
        </w:rPr>
        <w:t>equation below:</w:t>
      </w:r>
    </w:p>
    <w:p w14:paraId="393A1181" w14:textId="77777777" w:rsidR="00ED3B31" w:rsidRPr="0027314F" w:rsidRDefault="00ED3B31" w:rsidP="00ED3B31">
      <w:pPr>
        <w:rPr>
          <w:rFonts w:cs="Arial"/>
          <w:szCs w:val="22"/>
        </w:rPr>
      </w:pPr>
    </w:p>
    <w:p w14:paraId="393A1182" w14:textId="77777777" w:rsidR="00ED3B31" w:rsidRPr="0027314F" w:rsidRDefault="00ED3B31" w:rsidP="00ED3B31">
      <w:pPr>
        <w:ind w:firstLine="720"/>
        <w:rPr>
          <w:rFonts w:cs="Arial"/>
          <w:sz w:val="20"/>
          <w:szCs w:val="20"/>
        </w:rPr>
      </w:pPr>
      <w:r w:rsidRPr="0027314F">
        <w:rPr>
          <w:rFonts w:cs="Arial"/>
          <w:sz w:val="20"/>
          <w:szCs w:val="20"/>
        </w:rPr>
        <w:t>IMC = (Measure Equipment Cost + Measure Labor Cost) –</w:t>
      </w:r>
    </w:p>
    <w:p w14:paraId="393A1183" w14:textId="77777777" w:rsidR="00ED3B31" w:rsidRPr="0027314F" w:rsidRDefault="00ED3B31" w:rsidP="00ED3B31">
      <w:pPr>
        <w:ind w:left="720" w:firstLine="720"/>
        <w:rPr>
          <w:rFonts w:cs="Arial"/>
          <w:sz w:val="20"/>
          <w:szCs w:val="20"/>
        </w:rPr>
      </w:pPr>
      <w:r w:rsidRPr="0027314F">
        <w:rPr>
          <w:rFonts w:cs="Arial"/>
          <w:sz w:val="20"/>
          <w:szCs w:val="20"/>
        </w:rPr>
        <w:t xml:space="preserve">    (Base Case Equipment Cost + Base Case Labor Cost)</w:t>
      </w:r>
    </w:p>
    <w:p w14:paraId="393A1184" w14:textId="77777777" w:rsidR="00ED3B31" w:rsidRPr="0027314F" w:rsidRDefault="00ED3B31" w:rsidP="00ED3B31">
      <w:pPr>
        <w:rPr>
          <w:rFonts w:cs="Arial"/>
          <w:b/>
          <w:szCs w:val="22"/>
        </w:rPr>
      </w:pPr>
    </w:p>
    <w:p w14:paraId="393A1185" w14:textId="77777777" w:rsidR="00ED3B31" w:rsidRPr="0027314F" w:rsidRDefault="00ED3B31" w:rsidP="00ED3B31">
      <w:pPr>
        <w:ind w:left="720" w:right="720"/>
        <w:rPr>
          <w:rFonts w:cs="Arial"/>
          <w:sz w:val="20"/>
          <w:szCs w:val="20"/>
        </w:rPr>
      </w:pPr>
      <w:r w:rsidRPr="0027314F">
        <w:rPr>
          <w:rFonts w:cs="Arial"/>
          <w:sz w:val="20"/>
          <w:szCs w:val="20"/>
        </w:rPr>
        <w:t xml:space="preserve">*Note: Unless stated otherwise the measure case and base case labor </w:t>
      </w:r>
      <w:r w:rsidR="00192B77" w:rsidRPr="0027314F">
        <w:rPr>
          <w:rFonts w:cs="Arial"/>
          <w:sz w:val="20"/>
          <w:szCs w:val="20"/>
        </w:rPr>
        <w:t xml:space="preserve">costs </w:t>
      </w:r>
      <w:r w:rsidRPr="0027314F">
        <w:rPr>
          <w:rFonts w:cs="Arial"/>
          <w:sz w:val="20"/>
          <w:szCs w:val="20"/>
        </w:rPr>
        <w:t xml:space="preserve">are </w:t>
      </w:r>
      <w:r w:rsidR="00192B77" w:rsidRPr="0027314F">
        <w:rPr>
          <w:rFonts w:cs="Arial"/>
          <w:sz w:val="20"/>
          <w:szCs w:val="20"/>
        </w:rPr>
        <w:t>typically the same,</w:t>
      </w:r>
      <w:r w:rsidRPr="0027314F">
        <w:rPr>
          <w:rFonts w:cs="Arial"/>
          <w:sz w:val="20"/>
          <w:szCs w:val="20"/>
        </w:rPr>
        <w:t xml:space="preserve"> reducing the equation to the following:</w:t>
      </w:r>
    </w:p>
    <w:p w14:paraId="393A1186" w14:textId="77777777" w:rsidR="00ED3B31" w:rsidRPr="0027314F" w:rsidRDefault="00ED3B31" w:rsidP="00ED3B31">
      <w:pPr>
        <w:ind w:left="720" w:right="720"/>
        <w:rPr>
          <w:rFonts w:cs="Arial"/>
          <w:sz w:val="20"/>
          <w:szCs w:val="20"/>
        </w:rPr>
      </w:pPr>
    </w:p>
    <w:p w14:paraId="393A1187" w14:textId="77777777" w:rsidR="00ED3B31" w:rsidRPr="0027314F" w:rsidRDefault="00ED3B31" w:rsidP="00ED3B31">
      <w:pPr>
        <w:ind w:firstLine="720"/>
        <w:rPr>
          <w:rFonts w:cs="Arial"/>
          <w:sz w:val="20"/>
          <w:szCs w:val="20"/>
        </w:rPr>
      </w:pPr>
      <w:r w:rsidRPr="0027314F">
        <w:rPr>
          <w:rFonts w:cs="Arial"/>
          <w:sz w:val="20"/>
          <w:szCs w:val="20"/>
        </w:rPr>
        <w:t>IMC = Measure Equipment Cost – Base Case Equipment Cost</w:t>
      </w:r>
    </w:p>
    <w:p w14:paraId="393A1188" w14:textId="77777777" w:rsidR="00ED3B31" w:rsidRPr="0027314F" w:rsidRDefault="00ED3B31" w:rsidP="00ED3B31">
      <w:pPr>
        <w:ind w:firstLine="720"/>
        <w:rPr>
          <w:rFonts w:cs="Arial"/>
          <w:sz w:val="20"/>
          <w:szCs w:val="20"/>
        </w:rPr>
      </w:pPr>
    </w:p>
    <w:p w14:paraId="393A1189" w14:textId="77777777" w:rsidR="00ED3B31" w:rsidRPr="00ED3B31" w:rsidRDefault="00ED3B31" w:rsidP="00ED3B31">
      <w:pPr>
        <w:ind w:firstLine="720"/>
        <w:rPr>
          <w:rFonts w:cs="Arial"/>
          <w:i/>
          <w:sz w:val="20"/>
          <w:szCs w:val="20"/>
        </w:rPr>
      </w:pPr>
      <w:r w:rsidRPr="0027314F">
        <w:rPr>
          <w:rFonts w:cs="Arial"/>
          <w:i/>
          <w:sz w:val="20"/>
          <w:szCs w:val="20"/>
        </w:rPr>
        <w:t>IMC = $                         per (unit) -- $                           per (unit) = $                         per (unit)</w:t>
      </w:r>
    </w:p>
    <w:p w14:paraId="393A118A" w14:textId="77777777" w:rsidR="00ED3B31" w:rsidRDefault="00ED3B31" w:rsidP="00ED3B31">
      <w:pPr>
        <w:rPr>
          <w:rFonts w:cs="Arial"/>
          <w:szCs w:val="22"/>
        </w:rPr>
      </w:pPr>
    </w:p>
    <w:p w14:paraId="393A1194" w14:textId="77777777" w:rsidR="002F3610" w:rsidRDefault="002F3610" w:rsidP="00ED3B31">
      <w:pPr>
        <w:ind w:firstLine="720"/>
        <w:rPr>
          <w:rFonts w:cs="Arial"/>
          <w:i/>
          <w:sz w:val="20"/>
          <w:szCs w:val="20"/>
        </w:rPr>
      </w:pPr>
    </w:p>
    <w:p w14:paraId="393A1195" w14:textId="7069324F" w:rsidR="002F3610" w:rsidRDefault="00EE4E12" w:rsidP="00EE4E12">
      <w:pPr>
        <w:rPr>
          <w:rFonts w:cs="Arial"/>
          <w:b/>
          <w:sz w:val="20"/>
          <w:szCs w:val="20"/>
        </w:rPr>
      </w:pPr>
      <w:r>
        <w:rPr>
          <w:rFonts w:cs="Arial"/>
          <w:b/>
          <w:sz w:val="20"/>
          <w:szCs w:val="20"/>
        </w:rPr>
        <w:t>Table 1</w:t>
      </w:r>
      <w:r w:rsidR="00916793">
        <w:rPr>
          <w:rFonts w:cs="Arial"/>
          <w:b/>
          <w:sz w:val="20"/>
          <w:szCs w:val="20"/>
        </w:rPr>
        <w:t>2</w:t>
      </w:r>
      <w:r>
        <w:rPr>
          <w:rFonts w:cs="Arial"/>
          <w:b/>
          <w:sz w:val="20"/>
          <w:szCs w:val="20"/>
        </w:rPr>
        <w:t xml:space="preserve">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707125">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7"/>
            </w:r>
          </w:p>
        </w:tc>
        <w:tc>
          <w:tcPr>
            <w:tcW w:w="737" w:type="pct"/>
            <w:shd w:val="clear" w:color="auto" w:fill="auto"/>
          </w:tcPr>
          <w:p w14:paraId="393A119A" w14:textId="557C463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14:paraId="393A11AA" w14:textId="77777777" w:rsidTr="00707125">
        <w:tc>
          <w:tcPr>
            <w:tcW w:w="758" w:type="pct"/>
            <w:shd w:val="clear" w:color="auto" w:fill="auto"/>
          </w:tcPr>
          <w:p w14:paraId="393A11A4" w14:textId="1853DE0D" w:rsidR="002F3610" w:rsidRPr="00A01631" w:rsidRDefault="00707125" w:rsidP="003174BF">
            <w:pPr>
              <w:rPr>
                <w:rFonts w:cs="Arial"/>
                <w:b/>
                <w:sz w:val="20"/>
                <w:szCs w:val="20"/>
              </w:rPr>
            </w:pPr>
            <w:r>
              <w:rPr>
                <w:rFonts w:cs="Arial"/>
                <w:b/>
                <w:sz w:val="20"/>
                <w:szCs w:val="20"/>
              </w:rPr>
              <w:t>F</w:t>
            </w:r>
            <w:r w:rsidR="003174BF">
              <w:rPr>
                <w:rFonts w:cs="Arial"/>
                <w:b/>
                <w:sz w:val="20"/>
                <w:szCs w:val="20"/>
              </w:rPr>
              <w:t>208</w:t>
            </w:r>
          </w:p>
        </w:tc>
        <w:tc>
          <w:tcPr>
            <w:tcW w:w="968" w:type="pct"/>
            <w:shd w:val="clear" w:color="auto" w:fill="auto"/>
          </w:tcPr>
          <w:p w14:paraId="393A11A5" w14:textId="77777777" w:rsidR="002F3610" w:rsidRPr="00707125" w:rsidRDefault="002F3610" w:rsidP="002F3610">
            <w:pPr>
              <w:rPr>
                <w:rFonts w:cs="Arial"/>
                <w:b/>
                <w:sz w:val="20"/>
                <w:szCs w:val="20"/>
              </w:rPr>
            </w:pPr>
            <w:r w:rsidRPr="00707125">
              <w:rPr>
                <w:rFonts w:cs="Arial"/>
                <w:sz w:val="20"/>
                <w:szCs w:val="20"/>
              </w:rPr>
              <w:t>ROB</w:t>
            </w:r>
          </w:p>
        </w:tc>
        <w:tc>
          <w:tcPr>
            <w:tcW w:w="838" w:type="pct"/>
            <w:shd w:val="clear" w:color="auto" w:fill="auto"/>
          </w:tcPr>
          <w:p w14:paraId="393A11A6" w14:textId="695B5887" w:rsidR="002F3610" w:rsidRPr="00A01631" w:rsidRDefault="00707125" w:rsidP="002F3610">
            <w:pPr>
              <w:rPr>
                <w:rFonts w:cs="Arial"/>
                <w:b/>
                <w:sz w:val="20"/>
                <w:szCs w:val="20"/>
              </w:rPr>
            </w:pPr>
            <w:r>
              <w:rPr>
                <w:rFonts w:cs="Arial"/>
                <w:b/>
                <w:sz w:val="20"/>
                <w:szCs w:val="20"/>
              </w:rPr>
              <w:t>10,177</w:t>
            </w:r>
          </w:p>
        </w:tc>
        <w:tc>
          <w:tcPr>
            <w:tcW w:w="739" w:type="pct"/>
            <w:shd w:val="clear" w:color="auto" w:fill="auto"/>
          </w:tcPr>
          <w:p w14:paraId="393A11A7" w14:textId="329B4C17" w:rsidR="002F3610" w:rsidRPr="00A01631" w:rsidRDefault="00707125" w:rsidP="002F3610">
            <w:pPr>
              <w:rPr>
                <w:rFonts w:cs="Arial"/>
                <w:b/>
                <w:sz w:val="20"/>
                <w:szCs w:val="20"/>
              </w:rPr>
            </w:pPr>
            <w:r>
              <w:rPr>
                <w:rFonts w:cs="Arial"/>
                <w:b/>
                <w:sz w:val="20"/>
                <w:szCs w:val="20"/>
              </w:rPr>
              <w:t>12,407</w:t>
            </w:r>
          </w:p>
        </w:tc>
        <w:tc>
          <w:tcPr>
            <w:tcW w:w="737" w:type="pct"/>
            <w:shd w:val="clear" w:color="auto" w:fill="auto"/>
          </w:tcPr>
          <w:p w14:paraId="393A11A8" w14:textId="395A70BE" w:rsidR="002F3610" w:rsidRPr="00A01631" w:rsidRDefault="006E0762" w:rsidP="002F3610">
            <w:pPr>
              <w:rPr>
                <w:rFonts w:cs="Arial"/>
                <w:b/>
                <w:sz w:val="20"/>
                <w:szCs w:val="20"/>
              </w:rPr>
            </w:pPr>
            <w:r>
              <w:rPr>
                <w:rFonts w:cs="Arial"/>
                <w:b/>
                <w:sz w:val="20"/>
                <w:szCs w:val="20"/>
              </w:rPr>
              <w:t>12,407</w:t>
            </w:r>
          </w:p>
        </w:tc>
        <w:tc>
          <w:tcPr>
            <w:tcW w:w="960" w:type="pct"/>
            <w:shd w:val="clear" w:color="auto" w:fill="auto"/>
          </w:tcPr>
          <w:p w14:paraId="393A11A9" w14:textId="5C188113" w:rsidR="002F3610" w:rsidRPr="00A01631" w:rsidRDefault="006E0762" w:rsidP="002F3610">
            <w:pPr>
              <w:rPr>
                <w:rFonts w:cs="Arial"/>
                <w:b/>
                <w:sz w:val="20"/>
                <w:szCs w:val="20"/>
              </w:rPr>
            </w:pPr>
            <w:r>
              <w:rPr>
                <w:rFonts w:cs="Arial"/>
                <w:b/>
                <w:sz w:val="20"/>
                <w:szCs w:val="20"/>
              </w:rPr>
              <w:t>2,230</w:t>
            </w:r>
          </w:p>
        </w:tc>
      </w:tr>
      <w:tr w:rsidR="002F3610" w:rsidRPr="00A01631" w14:paraId="393A11B1" w14:textId="77777777" w:rsidTr="00707125">
        <w:tc>
          <w:tcPr>
            <w:tcW w:w="758" w:type="pct"/>
            <w:shd w:val="clear" w:color="auto" w:fill="auto"/>
          </w:tcPr>
          <w:p w14:paraId="393A11AB" w14:textId="4573538D" w:rsidR="002F3610" w:rsidRPr="00A01631" w:rsidRDefault="00707125" w:rsidP="003174BF">
            <w:pPr>
              <w:jc w:val="center"/>
              <w:rPr>
                <w:rFonts w:cs="Arial"/>
                <w:b/>
                <w:sz w:val="20"/>
                <w:szCs w:val="20"/>
              </w:rPr>
            </w:pPr>
            <w:r>
              <w:rPr>
                <w:rFonts w:cs="Arial"/>
                <w:b/>
                <w:sz w:val="20"/>
                <w:szCs w:val="20"/>
              </w:rPr>
              <w:t>F</w:t>
            </w:r>
            <w:r w:rsidR="003174BF">
              <w:rPr>
                <w:rFonts w:cs="Arial"/>
                <w:b/>
                <w:sz w:val="20"/>
                <w:szCs w:val="20"/>
              </w:rPr>
              <w:t>208</w:t>
            </w:r>
            <w:bookmarkStart w:id="147" w:name="_GoBack"/>
            <w:bookmarkEnd w:id="147"/>
          </w:p>
        </w:tc>
        <w:tc>
          <w:tcPr>
            <w:tcW w:w="968" w:type="pct"/>
            <w:shd w:val="clear" w:color="auto" w:fill="auto"/>
          </w:tcPr>
          <w:p w14:paraId="393A11AC" w14:textId="77777777" w:rsidR="002F3610" w:rsidRPr="00707125" w:rsidRDefault="00430775" w:rsidP="002F3610">
            <w:pPr>
              <w:rPr>
                <w:rFonts w:cs="Arial"/>
                <w:sz w:val="20"/>
                <w:szCs w:val="20"/>
              </w:rPr>
            </w:pPr>
            <w:r w:rsidRPr="00707125">
              <w:rPr>
                <w:rFonts w:cs="Arial"/>
                <w:sz w:val="20"/>
                <w:szCs w:val="20"/>
              </w:rPr>
              <w:t>NC</w:t>
            </w:r>
          </w:p>
        </w:tc>
        <w:tc>
          <w:tcPr>
            <w:tcW w:w="838" w:type="pct"/>
            <w:shd w:val="clear" w:color="auto" w:fill="auto"/>
          </w:tcPr>
          <w:p w14:paraId="393A11AD" w14:textId="70601F3D" w:rsidR="002F3610" w:rsidRPr="00A01631" w:rsidRDefault="00707125" w:rsidP="002F3610">
            <w:pPr>
              <w:rPr>
                <w:rFonts w:cs="Arial"/>
                <w:b/>
                <w:sz w:val="20"/>
                <w:szCs w:val="20"/>
              </w:rPr>
            </w:pPr>
            <w:r>
              <w:rPr>
                <w:rFonts w:cs="Arial"/>
                <w:b/>
                <w:sz w:val="20"/>
                <w:szCs w:val="20"/>
              </w:rPr>
              <w:t>10,177</w:t>
            </w:r>
          </w:p>
        </w:tc>
        <w:tc>
          <w:tcPr>
            <w:tcW w:w="739" w:type="pct"/>
            <w:shd w:val="clear" w:color="auto" w:fill="auto"/>
          </w:tcPr>
          <w:p w14:paraId="393A11AE" w14:textId="0AC2DB9C" w:rsidR="002F3610" w:rsidRPr="00A01631" w:rsidRDefault="00707125" w:rsidP="002F3610">
            <w:pPr>
              <w:rPr>
                <w:rFonts w:cs="Arial"/>
                <w:b/>
                <w:sz w:val="20"/>
                <w:szCs w:val="20"/>
              </w:rPr>
            </w:pPr>
            <w:r>
              <w:rPr>
                <w:rFonts w:cs="Arial"/>
                <w:b/>
                <w:sz w:val="20"/>
                <w:szCs w:val="20"/>
              </w:rPr>
              <w:t>12,407</w:t>
            </w:r>
          </w:p>
        </w:tc>
        <w:tc>
          <w:tcPr>
            <w:tcW w:w="737" w:type="pct"/>
            <w:shd w:val="clear" w:color="auto" w:fill="auto"/>
          </w:tcPr>
          <w:p w14:paraId="393A11AF" w14:textId="5DA3F560" w:rsidR="002F3610" w:rsidRPr="00A01631" w:rsidRDefault="006E0762" w:rsidP="006E0762">
            <w:pPr>
              <w:rPr>
                <w:rFonts w:cs="Arial"/>
                <w:b/>
                <w:sz w:val="20"/>
                <w:szCs w:val="20"/>
              </w:rPr>
            </w:pPr>
            <w:r>
              <w:rPr>
                <w:rFonts w:cs="Arial"/>
                <w:b/>
                <w:sz w:val="20"/>
                <w:szCs w:val="20"/>
              </w:rPr>
              <w:t>12,407</w:t>
            </w:r>
          </w:p>
        </w:tc>
        <w:tc>
          <w:tcPr>
            <w:tcW w:w="960" w:type="pct"/>
            <w:shd w:val="clear" w:color="auto" w:fill="auto"/>
          </w:tcPr>
          <w:p w14:paraId="393A11B0" w14:textId="7609413C" w:rsidR="002F3610" w:rsidRPr="00A01631" w:rsidRDefault="006E0762" w:rsidP="002F3610">
            <w:pPr>
              <w:rPr>
                <w:rFonts w:cs="Arial"/>
                <w:b/>
                <w:sz w:val="20"/>
                <w:szCs w:val="20"/>
              </w:rPr>
            </w:pPr>
            <w:r>
              <w:rPr>
                <w:rFonts w:cs="Arial"/>
                <w:b/>
                <w:sz w:val="20"/>
                <w:szCs w:val="20"/>
              </w:rPr>
              <w:t>2,230</w:t>
            </w:r>
          </w:p>
        </w:tc>
      </w:tr>
    </w:tbl>
    <w:p w14:paraId="393A11B2" w14:textId="77777777" w:rsidR="002F3610" w:rsidRPr="002F3610" w:rsidRDefault="002F3610" w:rsidP="002F3610">
      <w:pPr>
        <w:ind w:firstLine="720"/>
        <w:rPr>
          <w:rFonts w:cs="Arial"/>
          <w:b/>
          <w:sz w:val="20"/>
          <w:szCs w:val="20"/>
        </w:rPr>
      </w:pPr>
    </w:p>
    <w:p w14:paraId="393A11B3" w14:textId="77777777" w:rsidR="00A47BFE" w:rsidRPr="00ED3B31" w:rsidRDefault="00A47BFE" w:rsidP="00786700">
      <w:pPr>
        <w:pStyle w:val="Heading1"/>
        <w:rPr>
          <w:sz w:val="20"/>
          <w:szCs w:val="20"/>
        </w:rPr>
      </w:pPr>
    </w:p>
    <w:p w14:paraId="393A11B7" w14:textId="4338B81F" w:rsidR="00F52572" w:rsidRPr="00F52572" w:rsidRDefault="00915CE6" w:rsidP="005478B4">
      <w:pPr>
        <w:pStyle w:val="Heading1"/>
      </w:pPr>
      <w:bookmarkStart w:id="148" w:name="_MON_1382719630"/>
      <w:bookmarkStart w:id="149" w:name="_Toc324340506"/>
      <w:bookmarkStart w:id="150" w:name="_Toc324318377"/>
      <w:bookmarkStart w:id="151" w:name="_Toc324340404"/>
      <w:bookmarkEnd w:id="148"/>
      <w:r>
        <w:br w:type="page"/>
      </w:r>
      <w:bookmarkEnd w:id="143"/>
      <w:bookmarkEnd w:id="149"/>
      <w:bookmarkEnd w:id="150"/>
      <w:bookmarkEnd w:id="151"/>
    </w:p>
    <w:p w14:paraId="393A11B8" w14:textId="77777777" w:rsidR="00315AB7" w:rsidRPr="0030080B" w:rsidRDefault="00315AB7" w:rsidP="000966CC">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p>
    <w:p w14:paraId="2E771E0A" w14:textId="77777777" w:rsidR="005478B4" w:rsidRPr="005478B4" w:rsidRDefault="005478B4" w:rsidP="005478B4">
      <w:pPr>
        <w:keepNext/>
        <w:spacing w:before="240" w:after="60"/>
        <w:outlineLvl w:val="0"/>
        <w:rPr>
          <w:rFonts w:cs="Arial"/>
          <w:b/>
          <w:bCs/>
          <w:kern w:val="32"/>
          <w:sz w:val="32"/>
          <w:szCs w:val="32"/>
        </w:rPr>
      </w:pPr>
      <w:bookmarkStart w:id="152" w:name="_Toc326930853"/>
      <w:bookmarkStart w:id="153" w:name="_Toc389305692"/>
      <w:bookmarkStart w:id="154" w:name="_Toc324318383"/>
      <w:bookmarkStart w:id="155" w:name="_Toc324340513"/>
      <w:bookmarkStart w:id="156" w:name="_Toc304800222"/>
      <w:r w:rsidRPr="005478B4">
        <w:rPr>
          <w:rFonts w:cs="Arial"/>
          <w:b/>
          <w:bCs/>
          <w:kern w:val="32"/>
          <w:sz w:val="32"/>
          <w:szCs w:val="32"/>
        </w:rPr>
        <w:t>Appendix A</w:t>
      </w:r>
      <w:bookmarkEnd w:id="152"/>
      <w:bookmarkEnd w:id="153"/>
    </w:p>
    <w:p w14:paraId="2AC82001" w14:textId="77777777" w:rsidR="005478B4" w:rsidRPr="005478B4" w:rsidRDefault="005478B4" w:rsidP="005478B4">
      <w:pPr>
        <w:rPr>
          <w:rFonts w:ascii="Times New Roman" w:hAnsi="Times New Roman"/>
          <w:sz w:val="24"/>
        </w:rPr>
      </w:pPr>
    </w:p>
    <w:p w14:paraId="5A808CF2" w14:textId="77777777" w:rsidR="005478B4" w:rsidRPr="005478B4" w:rsidRDefault="005478B4" w:rsidP="005478B4">
      <w:pPr>
        <w:keepNext/>
        <w:rPr>
          <w:rFonts w:cs="Arial"/>
          <w:b/>
          <w:bCs/>
          <w:sz w:val="24"/>
          <w:vertAlign w:val="superscript"/>
        </w:rPr>
      </w:pPr>
      <w:r w:rsidRPr="005478B4">
        <w:rPr>
          <w:rFonts w:cs="Arial"/>
          <w:b/>
          <w:bCs/>
          <w:sz w:val="24"/>
        </w:rPr>
        <w:t>ASTM Qualifying Equipment Data for Gas Conveyor Ovens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2000"/>
        <w:gridCol w:w="1341"/>
        <w:gridCol w:w="1299"/>
        <w:gridCol w:w="1672"/>
        <w:gridCol w:w="1378"/>
      </w:tblGrid>
      <w:tr w:rsidR="005478B4" w:rsidRPr="005478B4" w14:paraId="68ECB315" w14:textId="77777777" w:rsidTr="00707125">
        <w:trPr>
          <w:trHeight w:val="801"/>
        </w:trPr>
        <w:tc>
          <w:tcPr>
            <w:tcW w:w="996" w:type="pct"/>
            <w:shd w:val="clear" w:color="000000" w:fill="D9D9D9"/>
            <w:vAlign w:val="center"/>
            <w:hideMark/>
          </w:tcPr>
          <w:p w14:paraId="10ABFDCD" w14:textId="77777777" w:rsidR="005478B4" w:rsidRPr="005478B4" w:rsidRDefault="005478B4" w:rsidP="005478B4">
            <w:pPr>
              <w:jc w:val="center"/>
              <w:rPr>
                <w:rFonts w:cs="Arial"/>
                <w:b/>
                <w:bCs/>
                <w:color w:val="000000"/>
                <w:szCs w:val="22"/>
              </w:rPr>
            </w:pPr>
            <w:r w:rsidRPr="005478B4">
              <w:rPr>
                <w:rFonts w:cs="Arial"/>
                <w:b/>
                <w:bCs/>
                <w:color w:val="000000"/>
                <w:szCs w:val="22"/>
              </w:rPr>
              <w:t>Company</w:t>
            </w:r>
          </w:p>
        </w:tc>
        <w:tc>
          <w:tcPr>
            <w:tcW w:w="1056" w:type="pct"/>
            <w:shd w:val="clear" w:color="000000" w:fill="D9D9D9"/>
            <w:vAlign w:val="center"/>
            <w:hideMark/>
          </w:tcPr>
          <w:p w14:paraId="31346BCE" w14:textId="77777777" w:rsidR="005478B4" w:rsidRPr="005478B4" w:rsidRDefault="005478B4" w:rsidP="005478B4">
            <w:pPr>
              <w:jc w:val="center"/>
              <w:rPr>
                <w:rFonts w:cs="Arial"/>
                <w:b/>
                <w:bCs/>
                <w:color w:val="000000"/>
                <w:szCs w:val="22"/>
              </w:rPr>
            </w:pPr>
            <w:r w:rsidRPr="005478B4">
              <w:rPr>
                <w:rFonts w:cs="Arial"/>
                <w:b/>
                <w:bCs/>
                <w:color w:val="000000"/>
                <w:szCs w:val="22"/>
              </w:rPr>
              <w:t>Model Number</w:t>
            </w:r>
          </w:p>
        </w:tc>
        <w:tc>
          <w:tcPr>
            <w:tcW w:w="710" w:type="pct"/>
            <w:shd w:val="clear" w:color="000000" w:fill="D9D9D9"/>
          </w:tcPr>
          <w:p w14:paraId="43187881" w14:textId="77777777" w:rsidR="005478B4" w:rsidRPr="005478B4" w:rsidRDefault="005478B4" w:rsidP="005478B4">
            <w:pPr>
              <w:jc w:val="center"/>
              <w:rPr>
                <w:rFonts w:cs="Arial"/>
                <w:b/>
                <w:bCs/>
                <w:color w:val="000000"/>
                <w:szCs w:val="22"/>
              </w:rPr>
            </w:pPr>
            <w:r w:rsidRPr="005478B4">
              <w:rPr>
                <w:rFonts w:cs="Arial"/>
                <w:b/>
                <w:bCs/>
                <w:color w:val="000000"/>
                <w:szCs w:val="22"/>
              </w:rPr>
              <w:t xml:space="preserve">Conveyor Width </w:t>
            </w:r>
          </w:p>
          <w:p w14:paraId="1CD3CF52" w14:textId="77777777" w:rsidR="005478B4" w:rsidRPr="005478B4" w:rsidRDefault="005478B4" w:rsidP="005478B4">
            <w:pPr>
              <w:jc w:val="center"/>
              <w:rPr>
                <w:rFonts w:cs="Arial"/>
                <w:b/>
                <w:bCs/>
                <w:color w:val="000000"/>
                <w:szCs w:val="22"/>
              </w:rPr>
            </w:pPr>
            <w:r w:rsidRPr="005478B4">
              <w:rPr>
                <w:rFonts w:cs="Arial"/>
                <w:b/>
                <w:bCs/>
                <w:color w:val="000000"/>
                <w:szCs w:val="22"/>
              </w:rPr>
              <w:t>(in.)</w:t>
            </w:r>
          </w:p>
        </w:tc>
        <w:tc>
          <w:tcPr>
            <w:tcW w:w="689" w:type="pct"/>
            <w:shd w:val="clear" w:color="000000" w:fill="D9D9D9"/>
            <w:vAlign w:val="center"/>
            <w:hideMark/>
          </w:tcPr>
          <w:p w14:paraId="04C54A32" w14:textId="77777777" w:rsidR="005478B4" w:rsidRPr="005478B4" w:rsidRDefault="005478B4" w:rsidP="005478B4">
            <w:pPr>
              <w:jc w:val="center"/>
              <w:rPr>
                <w:rFonts w:cs="Arial"/>
                <w:b/>
                <w:bCs/>
                <w:color w:val="000000"/>
                <w:szCs w:val="22"/>
              </w:rPr>
            </w:pPr>
            <w:r w:rsidRPr="005478B4">
              <w:rPr>
                <w:rFonts w:cs="Arial"/>
                <w:b/>
                <w:bCs/>
                <w:color w:val="000000"/>
                <w:szCs w:val="22"/>
              </w:rPr>
              <w:t>Cooking-Energy Efficiency (%)</w:t>
            </w:r>
          </w:p>
        </w:tc>
        <w:tc>
          <w:tcPr>
            <w:tcW w:w="884" w:type="pct"/>
            <w:shd w:val="clear" w:color="000000" w:fill="D9D9D9"/>
            <w:vAlign w:val="center"/>
            <w:hideMark/>
          </w:tcPr>
          <w:p w14:paraId="1FBC05A1" w14:textId="77777777" w:rsidR="005478B4" w:rsidRPr="005478B4" w:rsidRDefault="005478B4" w:rsidP="005478B4">
            <w:pPr>
              <w:jc w:val="center"/>
              <w:rPr>
                <w:rFonts w:cs="Arial"/>
                <w:b/>
                <w:bCs/>
                <w:color w:val="000000"/>
                <w:szCs w:val="22"/>
              </w:rPr>
            </w:pPr>
            <w:r w:rsidRPr="005478B4">
              <w:rPr>
                <w:rFonts w:cs="Arial"/>
                <w:b/>
                <w:bCs/>
                <w:color w:val="000000"/>
                <w:szCs w:val="22"/>
              </w:rPr>
              <w:t>Idle Energy Rate (kW)</w:t>
            </w:r>
          </w:p>
        </w:tc>
        <w:tc>
          <w:tcPr>
            <w:tcW w:w="664" w:type="pct"/>
            <w:shd w:val="clear" w:color="000000" w:fill="D9D9D9"/>
            <w:vAlign w:val="center"/>
            <w:hideMark/>
          </w:tcPr>
          <w:p w14:paraId="0B30C470" w14:textId="77777777" w:rsidR="005478B4" w:rsidRPr="005478B4" w:rsidRDefault="005478B4" w:rsidP="005478B4">
            <w:pPr>
              <w:jc w:val="center"/>
              <w:rPr>
                <w:rFonts w:cs="Arial"/>
                <w:b/>
                <w:bCs/>
                <w:color w:val="000000"/>
                <w:szCs w:val="22"/>
              </w:rPr>
            </w:pPr>
            <w:r w:rsidRPr="005478B4">
              <w:rPr>
                <w:rFonts w:cs="Arial"/>
                <w:b/>
                <w:bCs/>
                <w:color w:val="000000"/>
                <w:szCs w:val="22"/>
              </w:rPr>
              <w:t>Production Capacity (</w:t>
            </w:r>
            <w:proofErr w:type="spellStart"/>
            <w:r w:rsidRPr="005478B4">
              <w:rPr>
                <w:rFonts w:cs="Arial"/>
                <w:b/>
                <w:bCs/>
                <w:color w:val="000000"/>
                <w:szCs w:val="22"/>
              </w:rPr>
              <w:t>lbs</w:t>
            </w:r>
            <w:proofErr w:type="spellEnd"/>
            <w:r w:rsidRPr="005478B4">
              <w:rPr>
                <w:rFonts w:cs="Arial"/>
                <w:b/>
                <w:bCs/>
                <w:color w:val="000000"/>
                <w:szCs w:val="22"/>
              </w:rPr>
              <w:t>/h)</w:t>
            </w:r>
          </w:p>
        </w:tc>
      </w:tr>
      <w:tr w:rsidR="005478B4" w:rsidRPr="005478B4" w14:paraId="1AA7C2A3" w14:textId="77777777" w:rsidTr="00707125">
        <w:trPr>
          <w:trHeight w:val="300"/>
        </w:trPr>
        <w:tc>
          <w:tcPr>
            <w:tcW w:w="996" w:type="pct"/>
            <w:shd w:val="clear" w:color="auto" w:fill="auto"/>
            <w:vAlign w:val="center"/>
          </w:tcPr>
          <w:p w14:paraId="5B9F27E2"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Lincoln</w:t>
            </w:r>
          </w:p>
        </w:tc>
        <w:tc>
          <w:tcPr>
            <w:tcW w:w="1056" w:type="pct"/>
            <w:shd w:val="clear" w:color="auto" w:fill="auto"/>
            <w:vAlign w:val="center"/>
          </w:tcPr>
          <w:p w14:paraId="03CA0197"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1600-***-UK****</w:t>
            </w:r>
          </w:p>
        </w:tc>
        <w:tc>
          <w:tcPr>
            <w:tcW w:w="710" w:type="pct"/>
          </w:tcPr>
          <w:p w14:paraId="77ABB45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1131D662"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46.4</w:t>
            </w:r>
          </w:p>
        </w:tc>
        <w:tc>
          <w:tcPr>
            <w:tcW w:w="884" w:type="pct"/>
            <w:shd w:val="clear" w:color="auto" w:fill="auto"/>
            <w:vAlign w:val="center"/>
          </w:tcPr>
          <w:p w14:paraId="3FFA1564"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36.393</w:t>
            </w:r>
          </w:p>
        </w:tc>
        <w:tc>
          <w:tcPr>
            <w:tcW w:w="664" w:type="pct"/>
            <w:shd w:val="clear" w:color="auto" w:fill="auto"/>
            <w:vAlign w:val="center"/>
          </w:tcPr>
          <w:p w14:paraId="7813621C"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262</w:t>
            </w:r>
          </w:p>
        </w:tc>
      </w:tr>
      <w:tr w:rsidR="005478B4" w:rsidRPr="005478B4" w14:paraId="5E1E6F95" w14:textId="77777777" w:rsidTr="00707125">
        <w:trPr>
          <w:trHeight w:val="300"/>
        </w:trPr>
        <w:tc>
          <w:tcPr>
            <w:tcW w:w="996" w:type="pct"/>
            <w:shd w:val="clear" w:color="auto" w:fill="auto"/>
            <w:vAlign w:val="center"/>
          </w:tcPr>
          <w:p w14:paraId="30E2A16F"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Lincoln</w:t>
            </w:r>
          </w:p>
        </w:tc>
        <w:tc>
          <w:tcPr>
            <w:tcW w:w="1056" w:type="pct"/>
            <w:shd w:val="clear" w:color="auto" w:fill="auto"/>
            <w:vAlign w:val="center"/>
          </w:tcPr>
          <w:p w14:paraId="0157FE56"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1600-***-UK****-AQ</w:t>
            </w:r>
          </w:p>
        </w:tc>
        <w:tc>
          <w:tcPr>
            <w:tcW w:w="710" w:type="pct"/>
          </w:tcPr>
          <w:p w14:paraId="27C4E902"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482BBB4F"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46.4</w:t>
            </w:r>
          </w:p>
        </w:tc>
        <w:tc>
          <w:tcPr>
            <w:tcW w:w="884" w:type="pct"/>
            <w:shd w:val="clear" w:color="auto" w:fill="auto"/>
            <w:vAlign w:val="center"/>
          </w:tcPr>
          <w:p w14:paraId="50BD92EA"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23,402</w:t>
            </w:r>
          </w:p>
        </w:tc>
        <w:tc>
          <w:tcPr>
            <w:tcW w:w="664" w:type="pct"/>
            <w:shd w:val="clear" w:color="auto" w:fill="auto"/>
            <w:vAlign w:val="center"/>
          </w:tcPr>
          <w:p w14:paraId="13B9E8A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262</w:t>
            </w:r>
          </w:p>
        </w:tc>
      </w:tr>
      <w:tr w:rsidR="005478B4" w:rsidRPr="005478B4" w14:paraId="1FDF87EE" w14:textId="77777777" w:rsidTr="00707125">
        <w:trPr>
          <w:trHeight w:val="300"/>
        </w:trPr>
        <w:tc>
          <w:tcPr>
            <w:tcW w:w="996" w:type="pct"/>
            <w:shd w:val="clear" w:color="auto" w:fill="auto"/>
            <w:vAlign w:val="center"/>
          </w:tcPr>
          <w:p w14:paraId="50AB941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Lincoln</w:t>
            </w:r>
          </w:p>
        </w:tc>
        <w:tc>
          <w:tcPr>
            <w:tcW w:w="1056" w:type="pct"/>
            <w:shd w:val="clear" w:color="auto" w:fill="auto"/>
            <w:vAlign w:val="center"/>
          </w:tcPr>
          <w:p w14:paraId="615C7AC9"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3270-**-N-K****</w:t>
            </w:r>
          </w:p>
        </w:tc>
        <w:tc>
          <w:tcPr>
            <w:tcW w:w="710" w:type="pct"/>
          </w:tcPr>
          <w:p w14:paraId="33DF61B6"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1BB46427"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43.8</w:t>
            </w:r>
          </w:p>
        </w:tc>
        <w:tc>
          <w:tcPr>
            <w:tcW w:w="884" w:type="pct"/>
            <w:shd w:val="clear" w:color="auto" w:fill="auto"/>
            <w:vAlign w:val="center"/>
          </w:tcPr>
          <w:p w14:paraId="7272E842"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53,800</w:t>
            </w:r>
          </w:p>
        </w:tc>
        <w:tc>
          <w:tcPr>
            <w:tcW w:w="664" w:type="pct"/>
            <w:shd w:val="clear" w:color="auto" w:fill="auto"/>
            <w:vAlign w:val="center"/>
          </w:tcPr>
          <w:p w14:paraId="3D451FBE"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410</w:t>
            </w:r>
          </w:p>
        </w:tc>
      </w:tr>
      <w:tr w:rsidR="005478B4" w:rsidRPr="005478B4" w14:paraId="473BA851" w14:textId="77777777" w:rsidTr="00707125">
        <w:trPr>
          <w:trHeight w:val="300"/>
        </w:trPr>
        <w:tc>
          <w:tcPr>
            <w:tcW w:w="996" w:type="pct"/>
            <w:shd w:val="clear" w:color="auto" w:fill="auto"/>
            <w:vAlign w:val="center"/>
          </w:tcPr>
          <w:p w14:paraId="5D6E6903" w14:textId="77777777" w:rsidR="005478B4" w:rsidRPr="005478B4" w:rsidRDefault="005478B4" w:rsidP="005478B4">
            <w:pPr>
              <w:jc w:val="center"/>
              <w:rPr>
                <w:rFonts w:ascii="Calibri" w:hAnsi="Calibri" w:cs="Calibri"/>
                <w:b/>
                <w:bCs/>
                <w:color w:val="000000"/>
                <w:szCs w:val="22"/>
              </w:rPr>
            </w:pPr>
            <w:proofErr w:type="spellStart"/>
            <w:r w:rsidRPr="005478B4">
              <w:rPr>
                <w:rFonts w:ascii="Calibri" w:hAnsi="Calibri" w:cs="Calibri"/>
                <w:b/>
                <w:bCs/>
                <w:color w:val="000000"/>
                <w:szCs w:val="22"/>
              </w:rPr>
              <w:t>Middleby</w:t>
            </w:r>
            <w:proofErr w:type="spellEnd"/>
          </w:p>
        </w:tc>
        <w:tc>
          <w:tcPr>
            <w:tcW w:w="1056" w:type="pct"/>
            <w:shd w:val="clear" w:color="auto" w:fill="auto"/>
            <w:vAlign w:val="center"/>
          </w:tcPr>
          <w:p w14:paraId="6FBF70BA"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PS570</w:t>
            </w:r>
          </w:p>
        </w:tc>
        <w:tc>
          <w:tcPr>
            <w:tcW w:w="710" w:type="pct"/>
          </w:tcPr>
          <w:p w14:paraId="1E548B34"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2C6D18A4"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47.4</w:t>
            </w:r>
          </w:p>
        </w:tc>
        <w:tc>
          <w:tcPr>
            <w:tcW w:w="884" w:type="pct"/>
            <w:shd w:val="clear" w:color="auto" w:fill="auto"/>
            <w:vAlign w:val="center"/>
          </w:tcPr>
          <w:p w14:paraId="705721BE"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40,600</w:t>
            </w:r>
          </w:p>
        </w:tc>
        <w:tc>
          <w:tcPr>
            <w:tcW w:w="664" w:type="pct"/>
            <w:shd w:val="clear" w:color="auto" w:fill="auto"/>
            <w:vAlign w:val="center"/>
          </w:tcPr>
          <w:p w14:paraId="59B671E1"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329</w:t>
            </w:r>
          </w:p>
        </w:tc>
      </w:tr>
      <w:tr w:rsidR="005478B4" w:rsidRPr="005478B4" w14:paraId="3A524BF5" w14:textId="77777777" w:rsidTr="00707125">
        <w:trPr>
          <w:trHeight w:val="300"/>
        </w:trPr>
        <w:tc>
          <w:tcPr>
            <w:tcW w:w="996" w:type="pct"/>
            <w:shd w:val="clear" w:color="auto" w:fill="auto"/>
            <w:vAlign w:val="center"/>
          </w:tcPr>
          <w:p w14:paraId="56B514A0" w14:textId="77777777" w:rsidR="005478B4" w:rsidRPr="005478B4" w:rsidRDefault="005478B4" w:rsidP="005478B4">
            <w:pPr>
              <w:jc w:val="center"/>
              <w:rPr>
                <w:rFonts w:ascii="Calibri" w:hAnsi="Calibri" w:cs="Calibri"/>
                <w:b/>
                <w:bCs/>
                <w:color w:val="000000"/>
                <w:szCs w:val="22"/>
              </w:rPr>
            </w:pPr>
            <w:proofErr w:type="spellStart"/>
            <w:r w:rsidRPr="005478B4">
              <w:rPr>
                <w:rFonts w:ascii="Calibri" w:hAnsi="Calibri" w:cs="Calibri"/>
                <w:b/>
                <w:bCs/>
                <w:color w:val="000000"/>
                <w:szCs w:val="22"/>
              </w:rPr>
              <w:t>Middleby</w:t>
            </w:r>
            <w:proofErr w:type="spellEnd"/>
          </w:p>
        </w:tc>
        <w:tc>
          <w:tcPr>
            <w:tcW w:w="1056" w:type="pct"/>
            <w:shd w:val="clear" w:color="auto" w:fill="auto"/>
            <w:vAlign w:val="center"/>
          </w:tcPr>
          <w:p w14:paraId="7BE518DC"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WOW-P670</w:t>
            </w:r>
          </w:p>
        </w:tc>
        <w:tc>
          <w:tcPr>
            <w:tcW w:w="710" w:type="pct"/>
          </w:tcPr>
          <w:p w14:paraId="1EF7AEDA"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1EFBAFA6"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47.8</w:t>
            </w:r>
          </w:p>
        </w:tc>
        <w:tc>
          <w:tcPr>
            <w:tcW w:w="884" w:type="pct"/>
            <w:shd w:val="clear" w:color="auto" w:fill="auto"/>
            <w:vAlign w:val="center"/>
          </w:tcPr>
          <w:p w14:paraId="388E2D9A"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37,465</w:t>
            </w:r>
          </w:p>
        </w:tc>
        <w:tc>
          <w:tcPr>
            <w:tcW w:w="664" w:type="pct"/>
            <w:shd w:val="clear" w:color="auto" w:fill="auto"/>
            <w:vAlign w:val="center"/>
          </w:tcPr>
          <w:p w14:paraId="41782C8F"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363</w:t>
            </w:r>
          </w:p>
        </w:tc>
      </w:tr>
      <w:tr w:rsidR="005478B4" w:rsidRPr="005478B4" w14:paraId="1D152BAF" w14:textId="77777777" w:rsidTr="00707125">
        <w:trPr>
          <w:trHeight w:val="300"/>
        </w:trPr>
        <w:tc>
          <w:tcPr>
            <w:tcW w:w="996" w:type="pct"/>
            <w:shd w:val="clear" w:color="auto" w:fill="auto"/>
            <w:vAlign w:val="center"/>
          </w:tcPr>
          <w:p w14:paraId="0238BFF6" w14:textId="77777777" w:rsidR="005478B4" w:rsidRPr="005478B4" w:rsidRDefault="005478B4" w:rsidP="005478B4">
            <w:pPr>
              <w:jc w:val="center"/>
              <w:rPr>
                <w:rFonts w:ascii="Calibri" w:hAnsi="Calibri" w:cs="Calibri"/>
                <w:b/>
                <w:bCs/>
                <w:color w:val="000000"/>
                <w:szCs w:val="22"/>
              </w:rPr>
            </w:pPr>
            <w:proofErr w:type="spellStart"/>
            <w:r w:rsidRPr="005478B4">
              <w:rPr>
                <w:rFonts w:ascii="Calibri" w:hAnsi="Calibri" w:cs="Calibri"/>
                <w:b/>
                <w:bCs/>
                <w:color w:val="000000"/>
                <w:szCs w:val="22"/>
              </w:rPr>
              <w:t>Middleby</w:t>
            </w:r>
            <w:proofErr w:type="spellEnd"/>
          </w:p>
        </w:tc>
        <w:tc>
          <w:tcPr>
            <w:tcW w:w="1056" w:type="pct"/>
            <w:shd w:val="clear" w:color="auto" w:fill="auto"/>
            <w:vAlign w:val="center"/>
          </w:tcPr>
          <w:p w14:paraId="5628FE8F"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WOW-P770</w:t>
            </w:r>
          </w:p>
        </w:tc>
        <w:tc>
          <w:tcPr>
            <w:tcW w:w="710" w:type="pct"/>
          </w:tcPr>
          <w:p w14:paraId="7DBA84A5"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777FB6D5"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47.8</w:t>
            </w:r>
          </w:p>
        </w:tc>
        <w:tc>
          <w:tcPr>
            <w:tcW w:w="884" w:type="pct"/>
            <w:shd w:val="clear" w:color="auto" w:fill="auto"/>
            <w:vAlign w:val="center"/>
          </w:tcPr>
          <w:p w14:paraId="7996042F"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37,465</w:t>
            </w:r>
          </w:p>
        </w:tc>
        <w:tc>
          <w:tcPr>
            <w:tcW w:w="664" w:type="pct"/>
            <w:shd w:val="clear" w:color="auto" w:fill="auto"/>
            <w:vAlign w:val="center"/>
          </w:tcPr>
          <w:p w14:paraId="0B2B7431"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363</w:t>
            </w:r>
          </w:p>
        </w:tc>
      </w:tr>
      <w:tr w:rsidR="005478B4" w:rsidRPr="005478B4" w14:paraId="35D38AFF" w14:textId="77777777" w:rsidTr="00707125">
        <w:trPr>
          <w:trHeight w:val="300"/>
        </w:trPr>
        <w:tc>
          <w:tcPr>
            <w:tcW w:w="996" w:type="pct"/>
            <w:shd w:val="clear" w:color="auto" w:fill="auto"/>
            <w:vAlign w:val="center"/>
          </w:tcPr>
          <w:p w14:paraId="50398EAC" w14:textId="77777777" w:rsidR="005478B4" w:rsidRPr="005478B4" w:rsidRDefault="005478B4" w:rsidP="005478B4">
            <w:pPr>
              <w:jc w:val="center"/>
              <w:rPr>
                <w:rFonts w:ascii="Calibri" w:hAnsi="Calibri" w:cs="Calibri"/>
                <w:b/>
                <w:bCs/>
                <w:color w:val="000000"/>
                <w:szCs w:val="22"/>
              </w:rPr>
            </w:pPr>
            <w:proofErr w:type="spellStart"/>
            <w:r w:rsidRPr="005478B4">
              <w:rPr>
                <w:rFonts w:ascii="Calibri" w:hAnsi="Calibri" w:cs="Calibri"/>
                <w:b/>
                <w:bCs/>
                <w:color w:val="000000"/>
                <w:szCs w:val="22"/>
              </w:rPr>
              <w:t>Middleby</w:t>
            </w:r>
            <w:proofErr w:type="spellEnd"/>
          </w:p>
        </w:tc>
        <w:tc>
          <w:tcPr>
            <w:tcW w:w="1056" w:type="pct"/>
            <w:shd w:val="clear" w:color="auto" w:fill="auto"/>
            <w:vAlign w:val="center"/>
          </w:tcPr>
          <w:p w14:paraId="4B233BDE"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WOW-P870</w:t>
            </w:r>
          </w:p>
        </w:tc>
        <w:tc>
          <w:tcPr>
            <w:tcW w:w="710" w:type="pct"/>
          </w:tcPr>
          <w:p w14:paraId="21BC9642"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5ADD16F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47.8</w:t>
            </w:r>
          </w:p>
        </w:tc>
        <w:tc>
          <w:tcPr>
            <w:tcW w:w="884" w:type="pct"/>
            <w:shd w:val="clear" w:color="auto" w:fill="auto"/>
            <w:vAlign w:val="center"/>
          </w:tcPr>
          <w:p w14:paraId="6EC65239"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37,465</w:t>
            </w:r>
          </w:p>
        </w:tc>
        <w:tc>
          <w:tcPr>
            <w:tcW w:w="664" w:type="pct"/>
            <w:shd w:val="clear" w:color="auto" w:fill="auto"/>
            <w:vAlign w:val="center"/>
          </w:tcPr>
          <w:p w14:paraId="494D4EC4"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363</w:t>
            </w:r>
          </w:p>
        </w:tc>
      </w:tr>
      <w:tr w:rsidR="005478B4" w:rsidRPr="005478B4" w14:paraId="073974DF" w14:textId="77777777" w:rsidTr="00707125">
        <w:trPr>
          <w:trHeight w:val="300"/>
        </w:trPr>
        <w:tc>
          <w:tcPr>
            <w:tcW w:w="996" w:type="pct"/>
            <w:shd w:val="clear" w:color="auto" w:fill="auto"/>
            <w:vAlign w:val="center"/>
          </w:tcPr>
          <w:p w14:paraId="0F8831A8"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XLT</w:t>
            </w:r>
          </w:p>
        </w:tc>
        <w:tc>
          <w:tcPr>
            <w:tcW w:w="1056" w:type="pct"/>
            <w:shd w:val="clear" w:color="auto" w:fill="auto"/>
            <w:vAlign w:val="center"/>
          </w:tcPr>
          <w:p w14:paraId="76E5A569" w14:textId="77777777" w:rsidR="005478B4" w:rsidRPr="005478B4" w:rsidRDefault="005478B4" w:rsidP="005478B4">
            <w:pPr>
              <w:jc w:val="center"/>
              <w:rPr>
                <w:rFonts w:ascii="Calibri" w:hAnsi="Calibri" w:cs="Calibri"/>
                <w:b/>
                <w:bCs/>
                <w:color w:val="000000"/>
                <w:szCs w:val="22"/>
              </w:rPr>
            </w:pPr>
            <w:r w:rsidRPr="005478B4">
              <w:rPr>
                <w:rFonts w:cs="Arial"/>
                <w:b/>
                <w:bCs/>
                <w:szCs w:val="22"/>
              </w:rPr>
              <w:t>XLT 3255-TS3</w:t>
            </w:r>
          </w:p>
        </w:tc>
        <w:tc>
          <w:tcPr>
            <w:tcW w:w="710" w:type="pct"/>
          </w:tcPr>
          <w:p w14:paraId="6307B3DD"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398C15E7"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42.0</w:t>
            </w:r>
          </w:p>
        </w:tc>
        <w:tc>
          <w:tcPr>
            <w:tcW w:w="884" w:type="pct"/>
            <w:shd w:val="clear" w:color="auto" w:fill="auto"/>
            <w:vAlign w:val="center"/>
          </w:tcPr>
          <w:p w14:paraId="4E3118FB"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41,700</w:t>
            </w:r>
          </w:p>
        </w:tc>
        <w:tc>
          <w:tcPr>
            <w:tcW w:w="664" w:type="pct"/>
            <w:shd w:val="clear" w:color="auto" w:fill="auto"/>
            <w:vAlign w:val="center"/>
          </w:tcPr>
          <w:p w14:paraId="4C983BC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255</w:t>
            </w:r>
          </w:p>
        </w:tc>
      </w:tr>
      <w:tr w:rsidR="005478B4" w:rsidRPr="005478B4" w14:paraId="45805108" w14:textId="77777777" w:rsidTr="00707125">
        <w:trPr>
          <w:trHeight w:val="300"/>
        </w:trPr>
        <w:tc>
          <w:tcPr>
            <w:tcW w:w="996" w:type="pct"/>
            <w:shd w:val="clear" w:color="auto" w:fill="auto"/>
            <w:vAlign w:val="center"/>
          </w:tcPr>
          <w:p w14:paraId="424537FF"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XLT</w:t>
            </w:r>
          </w:p>
        </w:tc>
        <w:tc>
          <w:tcPr>
            <w:tcW w:w="1056" w:type="pct"/>
            <w:shd w:val="clear" w:color="auto" w:fill="auto"/>
            <w:vAlign w:val="center"/>
          </w:tcPr>
          <w:p w14:paraId="7482192F" w14:textId="77777777" w:rsidR="005478B4" w:rsidRPr="005478B4" w:rsidRDefault="005478B4" w:rsidP="005478B4">
            <w:pPr>
              <w:jc w:val="center"/>
              <w:rPr>
                <w:rFonts w:ascii="Calibri" w:hAnsi="Calibri" w:cs="Calibri"/>
                <w:b/>
                <w:bCs/>
                <w:color w:val="000000"/>
                <w:szCs w:val="22"/>
              </w:rPr>
            </w:pPr>
            <w:r w:rsidRPr="005478B4">
              <w:rPr>
                <w:rFonts w:cs="Arial"/>
                <w:b/>
                <w:bCs/>
                <w:szCs w:val="22"/>
              </w:rPr>
              <w:t>XLT 3270-TS3</w:t>
            </w:r>
          </w:p>
        </w:tc>
        <w:tc>
          <w:tcPr>
            <w:tcW w:w="710" w:type="pct"/>
          </w:tcPr>
          <w:p w14:paraId="3E0D215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32</w:t>
            </w:r>
          </w:p>
        </w:tc>
        <w:tc>
          <w:tcPr>
            <w:tcW w:w="689" w:type="pct"/>
            <w:shd w:val="clear" w:color="auto" w:fill="auto"/>
            <w:vAlign w:val="center"/>
          </w:tcPr>
          <w:p w14:paraId="18C453BB"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46.9</w:t>
            </w:r>
          </w:p>
        </w:tc>
        <w:tc>
          <w:tcPr>
            <w:tcW w:w="884" w:type="pct"/>
            <w:shd w:val="clear" w:color="auto" w:fill="auto"/>
            <w:vAlign w:val="center"/>
          </w:tcPr>
          <w:p w14:paraId="3ECCF9F6"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46,017</w:t>
            </w:r>
          </w:p>
        </w:tc>
        <w:tc>
          <w:tcPr>
            <w:tcW w:w="664" w:type="pct"/>
            <w:shd w:val="clear" w:color="auto" w:fill="auto"/>
            <w:vAlign w:val="center"/>
          </w:tcPr>
          <w:p w14:paraId="589E21B7"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381</w:t>
            </w:r>
          </w:p>
        </w:tc>
      </w:tr>
      <w:tr w:rsidR="005478B4" w:rsidRPr="005478B4" w14:paraId="15737DEF" w14:textId="77777777" w:rsidTr="00707125">
        <w:trPr>
          <w:trHeight w:val="300"/>
        </w:trPr>
        <w:tc>
          <w:tcPr>
            <w:tcW w:w="996" w:type="pct"/>
            <w:shd w:val="clear" w:color="auto" w:fill="auto"/>
            <w:vAlign w:val="center"/>
          </w:tcPr>
          <w:p w14:paraId="66B17ACB"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XLT</w:t>
            </w:r>
          </w:p>
        </w:tc>
        <w:tc>
          <w:tcPr>
            <w:tcW w:w="1056" w:type="pct"/>
            <w:shd w:val="clear" w:color="auto" w:fill="auto"/>
            <w:vAlign w:val="center"/>
          </w:tcPr>
          <w:p w14:paraId="41C0A440" w14:textId="77777777" w:rsidR="005478B4" w:rsidRPr="005478B4" w:rsidRDefault="005478B4" w:rsidP="005478B4">
            <w:pPr>
              <w:jc w:val="center"/>
              <w:rPr>
                <w:rFonts w:ascii="Calibri" w:hAnsi="Calibri" w:cs="Calibri"/>
                <w:b/>
                <w:bCs/>
                <w:color w:val="000000"/>
                <w:szCs w:val="22"/>
              </w:rPr>
            </w:pPr>
            <w:r w:rsidRPr="005478B4">
              <w:rPr>
                <w:rFonts w:cs="Arial"/>
                <w:b/>
                <w:bCs/>
                <w:szCs w:val="22"/>
              </w:rPr>
              <w:t>XLT 3855-TS3</w:t>
            </w:r>
          </w:p>
        </w:tc>
        <w:tc>
          <w:tcPr>
            <w:tcW w:w="710" w:type="pct"/>
          </w:tcPr>
          <w:p w14:paraId="1669F150"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38</w:t>
            </w:r>
          </w:p>
        </w:tc>
        <w:tc>
          <w:tcPr>
            <w:tcW w:w="689" w:type="pct"/>
            <w:shd w:val="clear" w:color="auto" w:fill="auto"/>
            <w:vAlign w:val="center"/>
          </w:tcPr>
          <w:p w14:paraId="795B372B"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45.4</w:t>
            </w:r>
          </w:p>
        </w:tc>
        <w:tc>
          <w:tcPr>
            <w:tcW w:w="884" w:type="pct"/>
            <w:shd w:val="clear" w:color="auto" w:fill="auto"/>
            <w:vAlign w:val="center"/>
          </w:tcPr>
          <w:p w14:paraId="3B6053CC"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45,004</w:t>
            </w:r>
          </w:p>
        </w:tc>
        <w:tc>
          <w:tcPr>
            <w:tcW w:w="664" w:type="pct"/>
            <w:shd w:val="clear" w:color="auto" w:fill="auto"/>
            <w:vAlign w:val="center"/>
          </w:tcPr>
          <w:p w14:paraId="797B9797"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345</w:t>
            </w:r>
          </w:p>
        </w:tc>
      </w:tr>
      <w:tr w:rsidR="005478B4" w:rsidRPr="005478B4" w14:paraId="02B9DEB8" w14:textId="77777777" w:rsidTr="00707125">
        <w:trPr>
          <w:trHeight w:val="300"/>
        </w:trPr>
        <w:tc>
          <w:tcPr>
            <w:tcW w:w="996" w:type="pct"/>
            <w:shd w:val="clear" w:color="auto" w:fill="auto"/>
            <w:vAlign w:val="center"/>
          </w:tcPr>
          <w:p w14:paraId="0AB2F9E4"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XLT</w:t>
            </w:r>
          </w:p>
        </w:tc>
        <w:tc>
          <w:tcPr>
            <w:tcW w:w="1056" w:type="pct"/>
            <w:shd w:val="clear" w:color="auto" w:fill="auto"/>
            <w:vAlign w:val="center"/>
          </w:tcPr>
          <w:p w14:paraId="0F295EEC" w14:textId="77777777" w:rsidR="005478B4" w:rsidRPr="005478B4" w:rsidRDefault="005478B4" w:rsidP="005478B4">
            <w:pPr>
              <w:jc w:val="center"/>
              <w:rPr>
                <w:rFonts w:ascii="Calibri" w:hAnsi="Calibri" w:cs="Calibri"/>
                <w:b/>
                <w:bCs/>
                <w:color w:val="000000"/>
                <w:szCs w:val="22"/>
              </w:rPr>
            </w:pPr>
            <w:r w:rsidRPr="005478B4">
              <w:rPr>
                <w:rFonts w:cs="Arial"/>
                <w:b/>
                <w:bCs/>
                <w:szCs w:val="22"/>
              </w:rPr>
              <w:t>XLT 3870-TS3</w:t>
            </w:r>
          </w:p>
        </w:tc>
        <w:tc>
          <w:tcPr>
            <w:tcW w:w="710" w:type="pct"/>
          </w:tcPr>
          <w:p w14:paraId="412B34F6"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38</w:t>
            </w:r>
          </w:p>
        </w:tc>
        <w:tc>
          <w:tcPr>
            <w:tcW w:w="689" w:type="pct"/>
            <w:shd w:val="clear" w:color="auto" w:fill="auto"/>
            <w:vAlign w:val="center"/>
          </w:tcPr>
          <w:p w14:paraId="319BA82C"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43.9</w:t>
            </w:r>
          </w:p>
        </w:tc>
        <w:tc>
          <w:tcPr>
            <w:tcW w:w="884" w:type="pct"/>
            <w:shd w:val="clear" w:color="auto" w:fill="auto"/>
            <w:vAlign w:val="center"/>
          </w:tcPr>
          <w:p w14:paraId="3B8F5B8E"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56,500</w:t>
            </w:r>
          </w:p>
        </w:tc>
        <w:tc>
          <w:tcPr>
            <w:tcW w:w="664" w:type="pct"/>
            <w:shd w:val="clear" w:color="auto" w:fill="auto"/>
            <w:vAlign w:val="center"/>
          </w:tcPr>
          <w:p w14:paraId="05B81993" w14:textId="77777777" w:rsidR="005478B4" w:rsidRPr="005478B4" w:rsidRDefault="005478B4" w:rsidP="005478B4">
            <w:pPr>
              <w:jc w:val="center"/>
              <w:rPr>
                <w:rFonts w:ascii="Calibri" w:hAnsi="Calibri" w:cs="Calibri"/>
                <w:b/>
                <w:bCs/>
                <w:color w:val="000000"/>
                <w:szCs w:val="22"/>
              </w:rPr>
            </w:pPr>
            <w:r w:rsidRPr="005478B4">
              <w:rPr>
                <w:rFonts w:ascii="Calibri" w:hAnsi="Calibri" w:cs="Calibri"/>
                <w:b/>
                <w:bCs/>
                <w:color w:val="000000"/>
                <w:szCs w:val="22"/>
              </w:rPr>
              <w:t>380</w:t>
            </w:r>
          </w:p>
        </w:tc>
      </w:tr>
      <w:tr w:rsidR="005478B4" w:rsidRPr="005478B4" w14:paraId="0184402A" w14:textId="77777777" w:rsidTr="00707125">
        <w:trPr>
          <w:trHeight w:val="576"/>
        </w:trPr>
        <w:tc>
          <w:tcPr>
            <w:tcW w:w="2763" w:type="pct"/>
            <w:gridSpan w:val="3"/>
            <w:shd w:val="clear" w:color="auto" w:fill="auto"/>
            <w:noWrap/>
            <w:vAlign w:val="center"/>
            <w:hideMark/>
          </w:tcPr>
          <w:p w14:paraId="2FA1E2CE" w14:textId="77777777" w:rsidR="005478B4" w:rsidRPr="005478B4" w:rsidRDefault="005478B4" w:rsidP="005478B4">
            <w:pPr>
              <w:jc w:val="center"/>
              <w:rPr>
                <w:rFonts w:ascii="Calibri" w:hAnsi="Calibri" w:cs="Calibri"/>
                <w:b/>
                <w:bCs/>
                <w:szCs w:val="22"/>
              </w:rPr>
            </w:pPr>
            <w:r w:rsidRPr="005478B4">
              <w:rPr>
                <w:rFonts w:ascii="Calibri" w:hAnsi="Calibri" w:cs="Calibri"/>
                <w:b/>
                <w:bCs/>
                <w:szCs w:val="22"/>
              </w:rPr>
              <w:t>Average Performance</w:t>
            </w:r>
          </w:p>
        </w:tc>
        <w:tc>
          <w:tcPr>
            <w:tcW w:w="689" w:type="pct"/>
            <w:shd w:val="clear" w:color="000000" w:fill="D9D9D9"/>
            <w:noWrap/>
            <w:vAlign w:val="center"/>
            <w:hideMark/>
          </w:tcPr>
          <w:p w14:paraId="7086C7E3" w14:textId="77777777" w:rsidR="005478B4" w:rsidRPr="005478B4" w:rsidRDefault="005478B4" w:rsidP="005478B4">
            <w:pPr>
              <w:jc w:val="center"/>
              <w:rPr>
                <w:rFonts w:ascii="Calibri" w:hAnsi="Calibri" w:cs="Calibri"/>
                <w:b/>
                <w:bCs/>
                <w:szCs w:val="22"/>
              </w:rPr>
            </w:pPr>
            <w:r w:rsidRPr="005478B4">
              <w:rPr>
                <w:rFonts w:ascii="Calibri" w:hAnsi="Calibri" w:cs="Calibri"/>
                <w:b/>
                <w:bCs/>
                <w:szCs w:val="22"/>
              </w:rPr>
              <w:t>45.8</w:t>
            </w:r>
          </w:p>
        </w:tc>
        <w:tc>
          <w:tcPr>
            <w:tcW w:w="884" w:type="pct"/>
            <w:shd w:val="clear" w:color="000000" w:fill="D9D9D9"/>
            <w:noWrap/>
            <w:vAlign w:val="center"/>
            <w:hideMark/>
          </w:tcPr>
          <w:p w14:paraId="7DAF3224" w14:textId="77777777" w:rsidR="005478B4" w:rsidRPr="005478B4" w:rsidRDefault="005478B4" w:rsidP="005478B4">
            <w:pPr>
              <w:jc w:val="center"/>
              <w:rPr>
                <w:rFonts w:ascii="Calibri" w:hAnsi="Calibri" w:cs="Calibri"/>
                <w:b/>
                <w:bCs/>
                <w:szCs w:val="22"/>
              </w:rPr>
            </w:pPr>
            <w:r w:rsidRPr="005478B4">
              <w:rPr>
                <w:rFonts w:ascii="Calibri" w:hAnsi="Calibri" w:cs="Calibri"/>
                <w:b/>
                <w:bCs/>
                <w:szCs w:val="22"/>
              </w:rPr>
              <w:t>42,468</w:t>
            </w:r>
          </w:p>
        </w:tc>
        <w:tc>
          <w:tcPr>
            <w:tcW w:w="664" w:type="pct"/>
            <w:shd w:val="clear" w:color="000000" w:fill="D9D9D9"/>
            <w:noWrap/>
            <w:vAlign w:val="center"/>
            <w:hideMark/>
          </w:tcPr>
          <w:p w14:paraId="452397D3" w14:textId="77777777" w:rsidR="005478B4" w:rsidRPr="005478B4" w:rsidRDefault="005478B4" w:rsidP="005478B4">
            <w:pPr>
              <w:jc w:val="center"/>
              <w:rPr>
                <w:rFonts w:ascii="Calibri" w:hAnsi="Calibri" w:cs="Calibri"/>
                <w:b/>
                <w:bCs/>
                <w:szCs w:val="22"/>
              </w:rPr>
            </w:pPr>
            <w:r w:rsidRPr="005478B4">
              <w:rPr>
                <w:rFonts w:ascii="Calibri" w:hAnsi="Calibri" w:cs="Calibri"/>
                <w:b/>
                <w:bCs/>
                <w:szCs w:val="22"/>
              </w:rPr>
              <w:t>344</w:t>
            </w:r>
          </w:p>
        </w:tc>
      </w:tr>
    </w:tbl>
    <w:p w14:paraId="499E3BD0" w14:textId="77777777" w:rsidR="005478B4" w:rsidRPr="005478B4" w:rsidRDefault="005478B4" w:rsidP="005478B4">
      <w:pPr>
        <w:keepNext/>
        <w:rPr>
          <w:rFonts w:cs="Arial"/>
          <w:b/>
          <w:bCs/>
          <w:sz w:val="24"/>
        </w:rPr>
      </w:pPr>
    </w:p>
    <w:p w14:paraId="56696903" w14:textId="77777777" w:rsidR="005478B4" w:rsidRPr="005478B4" w:rsidRDefault="005478B4" w:rsidP="005478B4">
      <w:pPr>
        <w:keepNext/>
        <w:spacing w:before="240" w:after="60"/>
        <w:outlineLvl w:val="0"/>
        <w:rPr>
          <w:rFonts w:cs="Arial"/>
          <w:b/>
          <w:bCs/>
          <w:kern w:val="32"/>
          <w:sz w:val="32"/>
          <w:szCs w:val="32"/>
        </w:rPr>
      </w:pPr>
      <w:r w:rsidRPr="005478B4">
        <w:rPr>
          <w:rFonts w:cs="Arial"/>
          <w:b/>
          <w:bCs/>
          <w:kern w:val="32"/>
          <w:sz w:val="32"/>
          <w:szCs w:val="32"/>
        </w:rPr>
        <w:br w:type="page"/>
      </w:r>
      <w:bookmarkStart w:id="157" w:name="_Toc326930854"/>
      <w:bookmarkStart w:id="158" w:name="_Toc389305693"/>
      <w:r w:rsidRPr="005478B4">
        <w:rPr>
          <w:rFonts w:cs="Arial"/>
          <w:b/>
          <w:bCs/>
          <w:kern w:val="32"/>
          <w:sz w:val="32"/>
          <w:szCs w:val="32"/>
        </w:rPr>
        <w:t>Appendix B</w:t>
      </w:r>
      <w:bookmarkEnd w:id="157"/>
      <w:bookmarkEnd w:id="158"/>
    </w:p>
    <w:p w14:paraId="24EE8437" w14:textId="77777777" w:rsidR="005478B4" w:rsidRPr="005478B4" w:rsidRDefault="005478B4" w:rsidP="005478B4">
      <w:pPr>
        <w:rPr>
          <w:rFonts w:ascii="Times New Roman" w:hAnsi="Times New Roman"/>
          <w:sz w:val="24"/>
        </w:rPr>
      </w:pPr>
      <w:r w:rsidRPr="005478B4">
        <w:rPr>
          <w:rFonts w:ascii="Times New Roman" w:hAnsi="Times New Roman"/>
          <w:sz w:val="24"/>
        </w:rPr>
        <w:t xml:space="preserve">Equipment prices for these work papers were compiled from a number of sources including, </w:t>
      </w:r>
      <w:proofErr w:type="spellStart"/>
      <w:r w:rsidRPr="005478B4">
        <w:rPr>
          <w:rFonts w:ascii="Times New Roman" w:hAnsi="Times New Roman"/>
          <w:sz w:val="24"/>
        </w:rPr>
        <w:t>Autoquotes</w:t>
      </w:r>
      <w:proofErr w:type="spellEnd"/>
      <w:r w:rsidRPr="005478B4">
        <w:rPr>
          <w:rFonts w:ascii="Times New Roman" w:hAnsi="Times New Roman"/>
          <w:sz w:val="24"/>
        </w:rPr>
        <w:t>, equipment sales reps and manufacturer sources. Since equipment pricing in food service is closely held information and prices vary widely according to buying volume and other factors, we cannot list the sources for prices specifically.</w:t>
      </w:r>
    </w:p>
    <w:p w14:paraId="6D52E993" w14:textId="77777777" w:rsidR="005478B4" w:rsidRPr="005478B4" w:rsidRDefault="005478B4" w:rsidP="005478B4">
      <w:pPr>
        <w:rPr>
          <w:rFonts w:ascii="Times New Roman" w:hAnsi="Times New Roman"/>
          <w:sz w:val="24"/>
        </w:rPr>
      </w:pPr>
    </w:p>
    <w:p w14:paraId="20D7A411" w14:textId="77777777" w:rsidR="005478B4" w:rsidRPr="005478B4" w:rsidRDefault="005478B4" w:rsidP="005478B4">
      <w:pPr>
        <w:keepNext/>
        <w:rPr>
          <w:rFonts w:cs="Arial"/>
          <w:b/>
          <w:bCs/>
          <w:sz w:val="24"/>
        </w:rPr>
      </w:pPr>
      <w:r w:rsidRPr="005478B4">
        <w:rPr>
          <w:rFonts w:cs="Arial"/>
          <w:b/>
          <w:bCs/>
          <w:sz w:val="24"/>
        </w:rPr>
        <w:t>Equipment Cost Data for Gas Conveyor Ovens</w:t>
      </w:r>
    </w:p>
    <w:tbl>
      <w:tblPr>
        <w:tblW w:w="4971" w:type="pct"/>
        <w:jc w:val="center"/>
        <w:tblInd w:w="-2016" w:type="dxa"/>
        <w:tblLayout w:type="fixed"/>
        <w:tblLook w:val="04A0" w:firstRow="1" w:lastRow="0" w:firstColumn="1" w:lastColumn="0" w:noHBand="0" w:noVBand="1"/>
      </w:tblPr>
      <w:tblGrid>
        <w:gridCol w:w="3500"/>
        <w:gridCol w:w="2159"/>
        <w:gridCol w:w="2163"/>
        <w:gridCol w:w="1698"/>
      </w:tblGrid>
      <w:tr w:rsidR="005478B4" w:rsidRPr="005478B4" w14:paraId="1D39A0B0" w14:textId="77777777" w:rsidTr="00707125">
        <w:trPr>
          <w:trHeight w:val="300"/>
          <w:tblHeader/>
          <w:jc w:val="center"/>
        </w:trPr>
        <w:tc>
          <w:tcPr>
            <w:tcW w:w="1838" w:type="pct"/>
            <w:tcBorders>
              <w:top w:val="single" w:sz="4" w:space="0" w:color="auto"/>
              <w:left w:val="single" w:sz="4" w:space="0" w:color="auto"/>
              <w:bottom w:val="single" w:sz="4" w:space="0" w:color="auto"/>
              <w:right w:val="single" w:sz="4" w:space="0" w:color="auto"/>
            </w:tcBorders>
            <w:shd w:val="clear" w:color="000000" w:fill="C0C0C0"/>
            <w:noWrap/>
            <w:vAlign w:val="bottom"/>
          </w:tcPr>
          <w:p w14:paraId="0BBDD6CD"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Group</w:t>
            </w:r>
          </w:p>
        </w:tc>
        <w:tc>
          <w:tcPr>
            <w:tcW w:w="1134" w:type="pct"/>
            <w:tcBorders>
              <w:top w:val="single" w:sz="4" w:space="0" w:color="auto"/>
              <w:left w:val="nil"/>
              <w:bottom w:val="single" w:sz="4" w:space="0" w:color="auto"/>
              <w:right w:val="single" w:sz="4" w:space="0" w:color="auto"/>
            </w:tcBorders>
            <w:shd w:val="clear" w:color="000000" w:fill="C0C0C0"/>
            <w:noWrap/>
            <w:vAlign w:val="bottom"/>
          </w:tcPr>
          <w:p w14:paraId="0CE639E9"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Model</w:t>
            </w:r>
          </w:p>
        </w:tc>
        <w:tc>
          <w:tcPr>
            <w:tcW w:w="1136" w:type="pct"/>
            <w:tcBorders>
              <w:top w:val="single" w:sz="4" w:space="0" w:color="auto"/>
              <w:left w:val="nil"/>
              <w:bottom w:val="single" w:sz="4" w:space="0" w:color="auto"/>
              <w:right w:val="single" w:sz="4" w:space="0" w:color="auto"/>
            </w:tcBorders>
            <w:shd w:val="clear" w:color="000000" w:fill="C0C0C0"/>
            <w:noWrap/>
            <w:vAlign w:val="bottom"/>
          </w:tcPr>
          <w:p w14:paraId="77486566"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List Price ($)</w:t>
            </w:r>
          </w:p>
        </w:tc>
        <w:tc>
          <w:tcPr>
            <w:tcW w:w="892" w:type="pct"/>
            <w:tcBorders>
              <w:top w:val="single" w:sz="4" w:space="0" w:color="auto"/>
              <w:left w:val="nil"/>
              <w:bottom w:val="single" w:sz="4" w:space="0" w:color="auto"/>
              <w:right w:val="single" w:sz="4" w:space="0" w:color="auto"/>
            </w:tcBorders>
            <w:shd w:val="clear" w:color="000000" w:fill="C0C0C0"/>
            <w:noWrap/>
            <w:vAlign w:val="bottom"/>
          </w:tcPr>
          <w:p w14:paraId="2F66FE61"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Cost($)*</w:t>
            </w:r>
          </w:p>
        </w:tc>
      </w:tr>
      <w:tr w:rsidR="005478B4" w:rsidRPr="005478B4" w14:paraId="16C2E700"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46D6446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250BBDD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w:t>
            </w:r>
          </w:p>
        </w:tc>
        <w:tc>
          <w:tcPr>
            <w:tcW w:w="1136" w:type="pct"/>
            <w:tcBorders>
              <w:top w:val="nil"/>
              <w:left w:val="nil"/>
              <w:bottom w:val="single" w:sz="4" w:space="0" w:color="auto"/>
              <w:right w:val="single" w:sz="4" w:space="0" w:color="auto"/>
            </w:tcBorders>
            <w:shd w:val="clear" w:color="auto" w:fill="auto"/>
            <w:noWrap/>
            <w:vAlign w:val="bottom"/>
          </w:tcPr>
          <w:p w14:paraId="4E7E1248"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$26,219</w:t>
            </w:r>
          </w:p>
        </w:tc>
        <w:tc>
          <w:tcPr>
            <w:tcW w:w="892" w:type="pct"/>
            <w:tcBorders>
              <w:top w:val="nil"/>
              <w:left w:val="nil"/>
              <w:bottom w:val="single" w:sz="4" w:space="0" w:color="auto"/>
              <w:right w:val="single" w:sz="4" w:space="0" w:color="auto"/>
            </w:tcBorders>
            <w:shd w:val="clear" w:color="auto" w:fill="auto"/>
            <w:noWrap/>
            <w:vAlign w:val="bottom"/>
          </w:tcPr>
          <w:p w14:paraId="55902AB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$13,110</w:t>
            </w:r>
          </w:p>
        </w:tc>
      </w:tr>
      <w:tr w:rsidR="005478B4" w:rsidRPr="005478B4" w14:paraId="1E338F3A"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4E24B9E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71FC90A8"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X2</w:t>
            </w:r>
          </w:p>
        </w:tc>
        <w:tc>
          <w:tcPr>
            <w:tcW w:w="1136" w:type="pct"/>
            <w:tcBorders>
              <w:top w:val="nil"/>
              <w:left w:val="nil"/>
              <w:bottom w:val="single" w:sz="4" w:space="0" w:color="auto"/>
              <w:right w:val="single" w:sz="4" w:space="0" w:color="auto"/>
            </w:tcBorders>
            <w:shd w:val="clear" w:color="auto" w:fill="auto"/>
            <w:noWrap/>
            <w:vAlign w:val="bottom"/>
          </w:tcPr>
          <w:p w14:paraId="014670A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$17,,738</w:t>
            </w:r>
          </w:p>
        </w:tc>
        <w:tc>
          <w:tcPr>
            <w:tcW w:w="892" w:type="pct"/>
            <w:tcBorders>
              <w:top w:val="nil"/>
              <w:left w:val="nil"/>
              <w:bottom w:val="single" w:sz="4" w:space="0" w:color="auto"/>
              <w:right w:val="single" w:sz="4" w:space="0" w:color="auto"/>
            </w:tcBorders>
            <w:shd w:val="clear" w:color="auto" w:fill="auto"/>
            <w:noWrap/>
            <w:vAlign w:val="bottom"/>
          </w:tcPr>
          <w:p w14:paraId="065C4E4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$8,869</w:t>
            </w:r>
          </w:p>
        </w:tc>
      </w:tr>
      <w:tr w:rsidR="005478B4" w:rsidRPr="005478B4" w14:paraId="016ECE1A"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3B0A6118"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183BB90A"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X3</w:t>
            </w:r>
          </w:p>
        </w:tc>
        <w:tc>
          <w:tcPr>
            <w:tcW w:w="1136" w:type="pct"/>
            <w:tcBorders>
              <w:top w:val="nil"/>
              <w:left w:val="nil"/>
              <w:bottom w:val="single" w:sz="4" w:space="0" w:color="auto"/>
              <w:right w:val="single" w:sz="4" w:space="0" w:color="auto"/>
            </w:tcBorders>
            <w:shd w:val="clear" w:color="auto" w:fill="auto"/>
            <w:noWrap/>
            <w:vAlign w:val="bottom"/>
          </w:tcPr>
          <w:p w14:paraId="46367239"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$31,004</w:t>
            </w:r>
          </w:p>
        </w:tc>
        <w:tc>
          <w:tcPr>
            <w:tcW w:w="892" w:type="pct"/>
            <w:tcBorders>
              <w:top w:val="nil"/>
              <w:left w:val="nil"/>
              <w:bottom w:val="single" w:sz="4" w:space="0" w:color="auto"/>
              <w:right w:val="single" w:sz="4" w:space="0" w:color="auto"/>
            </w:tcBorders>
            <w:shd w:val="clear" w:color="auto" w:fill="auto"/>
            <w:noWrap/>
            <w:vAlign w:val="bottom"/>
          </w:tcPr>
          <w:p w14:paraId="31C8DA6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$15,502</w:t>
            </w:r>
          </w:p>
        </w:tc>
      </w:tr>
      <w:tr w:rsidR="005478B4" w:rsidRPr="005478B4" w14:paraId="25040A81"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12E56F8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06F42460"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X4</w:t>
            </w:r>
          </w:p>
        </w:tc>
        <w:tc>
          <w:tcPr>
            <w:tcW w:w="1136" w:type="pct"/>
            <w:tcBorders>
              <w:top w:val="nil"/>
              <w:left w:val="nil"/>
              <w:bottom w:val="single" w:sz="4" w:space="0" w:color="auto"/>
              <w:right w:val="single" w:sz="4" w:space="0" w:color="auto"/>
            </w:tcBorders>
            <w:shd w:val="clear" w:color="auto" w:fill="auto"/>
            <w:noWrap/>
            <w:vAlign w:val="bottom"/>
          </w:tcPr>
          <w:p w14:paraId="5F243AC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$6,842</w:t>
            </w:r>
          </w:p>
        </w:tc>
        <w:tc>
          <w:tcPr>
            <w:tcW w:w="892" w:type="pct"/>
            <w:tcBorders>
              <w:top w:val="nil"/>
              <w:left w:val="nil"/>
              <w:bottom w:val="single" w:sz="4" w:space="0" w:color="auto"/>
              <w:right w:val="single" w:sz="4" w:space="0" w:color="auto"/>
            </w:tcBorders>
            <w:shd w:val="clear" w:color="auto" w:fill="auto"/>
            <w:noWrap/>
            <w:vAlign w:val="bottom"/>
          </w:tcPr>
          <w:p w14:paraId="0BF083F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$3,421</w:t>
            </w:r>
          </w:p>
        </w:tc>
      </w:tr>
      <w:tr w:rsidR="005478B4" w:rsidRPr="005478B4" w14:paraId="5FB70FF4"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2713B3EF"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39EA8CB9"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X6</w:t>
            </w:r>
          </w:p>
        </w:tc>
        <w:tc>
          <w:tcPr>
            <w:tcW w:w="1136" w:type="pct"/>
            <w:tcBorders>
              <w:top w:val="nil"/>
              <w:left w:val="nil"/>
              <w:bottom w:val="single" w:sz="4" w:space="0" w:color="auto"/>
              <w:right w:val="single" w:sz="4" w:space="0" w:color="auto"/>
            </w:tcBorders>
            <w:shd w:val="clear" w:color="auto" w:fill="auto"/>
            <w:noWrap/>
            <w:vAlign w:val="bottom"/>
          </w:tcPr>
          <w:p w14:paraId="7625782F"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$15,564</w:t>
            </w:r>
          </w:p>
        </w:tc>
        <w:tc>
          <w:tcPr>
            <w:tcW w:w="892" w:type="pct"/>
            <w:tcBorders>
              <w:top w:val="nil"/>
              <w:left w:val="nil"/>
              <w:bottom w:val="single" w:sz="4" w:space="0" w:color="auto"/>
              <w:right w:val="single" w:sz="4" w:space="0" w:color="auto"/>
            </w:tcBorders>
            <w:shd w:val="clear" w:color="auto" w:fill="auto"/>
            <w:noWrap/>
            <w:vAlign w:val="bottom"/>
          </w:tcPr>
          <w:p w14:paraId="1680A142"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$7,782</w:t>
            </w:r>
          </w:p>
        </w:tc>
      </w:tr>
      <w:tr w:rsidR="005478B4" w:rsidRPr="005478B4" w14:paraId="4FBF6602"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0CEBFF9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54B86E8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X8</w:t>
            </w:r>
          </w:p>
        </w:tc>
        <w:tc>
          <w:tcPr>
            <w:tcW w:w="1136" w:type="pct"/>
            <w:tcBorders>
              <w:top w:val="nil"/>
              <w:left w:val="nil"/>
              <w:bottom w:val="single" w:sz="4" w:space="0" w:color="auto"/>
              <w:right w:val="single" w:sz="4" w:space="0" w:color="auto"/>
            </w:tcBorders>
            <w:shd w:val="clear" w:color="auto" w:fill="auto"/>
            <w:noWrap/>
            <w:vAlign w:val="bottom"/>
          </w:tcPr>
          <w:p w14:paraId="427475B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$14,282</w:t>
            </w:r>
          </w:p>
        </w:tc>
        <w:tc>
          <w:tcPr>
            <w:tcW w:w="892" w:type="pct"/>
            <w:tcBorders>
              <w:top w:val="nil"/>
              <w:left w:val="nil"/>
              <w:bottom w:val="single" w:sz="4" w:space="0" w:color="auto"/>
              <w:right w:val="single" w:sz="4" w:space="0" w:color="auto"/>
            </w:tcBorders>
            <w:shd w:val="clear" w:color="auto" w:fill="auto"/>
            <w:noWrap/>
            <w:vAlign w:val="bottom"/>
          </w:tcPr>
          <w:p w14:paraId="08D43344"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$7,141</w:t>
            </w:r>
          </w:p>
        </w:tc>
      </w:tr>
      <w:tr w:rsidR="005478B4" w:rsidRPr="005478B4" w14:paraId="47FBEE0C"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7CB93E4E"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69981F88"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X9</w:t>
            </w:r>
          </w:p>
        </w:tc>
        <w:tc>
          <w:tcPr>
            <w:tcW w:w="1136" w:type="pct"/>
            <w:tcBorders>
              <w:top w:val="nil"/>
              <w:left w:val="nil"/>
              <w:bottom w:val="single" w:sz="4" w:space="0" w:color="auto"/>
              <w:right w:val="single" w:sz="4" w:space="0" w:color="auto"/>
            </w:tcBorders>
            <w:shd w:val="clear" w:color="auto" w:fill="auto"/>
            <w:noWrap/>
            <w:vAlign w:val="bottom"/>
          </w:tcPr>
          <w:p w14:paraId="0BFEA58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$16,234</w:t>
            </w:r>
          </w:p>
        </w:tc>
        <w:tc>
          <w:tcPr>
            <w:tcW w:w="892" w:type="pct"/>
            <w:tcBorders>
              <w:top w:val="nil"/>
              <w:left w:val="nil"/>
              <w:bottom w:val="single" w:sz="4" w:space="0" w:color="auto"/>
              <w:right w:val="single" w:sz="4" w:space="0" w:color="auto"/>
            </w:tcBorders>
            <w:shd w:val="clear" w:color="auto" w:fill="auto"/>
            <w:noWrap/>
            <w:vAlign w:val="bottom"/>
          </w:tcPr>
          <w:p w14:paraId="432044CB"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$8,117</w:t>
            </w:r>
          </w:p>
        </w:tc>
      </w:tr>
      <w:tr w:rsidR="005478B4" w:rsidRPr="005478B4" w14:paraId="395BED48"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26E81515"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307D8E7D"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X10</w:t>
            </w:r>
          </w:p>
        </w:tc>
        <w:tc>
          <w:tcPr>
            <w:tcW w:w="1136" w:type="pct"/>
            <w:tcBorders>
              <w:top w:val="nil"/>
              <w:left w:val="nil"/>
              <w:bottom w:val="single" w:sz="4" w:space="0" w:color="auto"/>
              <w:right w:val="single" w:sz="4" w:space="0" w:color="auto"/>
            </w:tcBorders>
            <w:shd w:val="clear" w:color="auto" w:fill="auto"/>
            <w:noWrap/>
            <w:vAlign w:val="bottom"/>
          </w:tcPr>
          <w:p w14:paraId="5BD00C4D"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$18,086</w:t>
            </w:r>
          </w:p>
        </w:tc>
        <w:tc>
          <w:tcPr>
            <w:tcW w:w="892" w:type="pct"/>
            <w:tcBorders>
              <w:top w:val="nil"/>
              <w:left w:val="nil"/>
              <w:bottom w:val="single" w:sz="4" w:space="0" w:color="auto"/>
              <w:right w:val="single" w:sz="4" w:space="0" w:color="auto"/>
            </w:tcBorders>
            <w:shd w:val="clear" w:color="auto" w:fill="auto"/>
            <w:noWrap/>
            <w:vAlign w:val="bottom"/>
          </w:tcPr>
          <w:p w14:paraId="5774DD55"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$9,043</w:t>
            </w:r>
          </w:p>
        </w:tc>
      </w:tr>
      <w:tr w:rsidR="005478B4" w:rsidRPr="005478B4" w14:paraId="67128069"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16AAB01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2D32EA8E"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X11</w:t>
            </w:r>
          </w:p>
        </w:tc>
        <w:tc>
          <w:tcPr>
            <w:tcW w:w="1136" w:type="pct"/>
            <w:tcBorders>
              <w:top w:val="nil"/>
              <w:left w:val="nil"/>
              <w:bottom w:val="single" w:sz="4" w:space="0" w:color="auto"/>
              <w:right w:val="single" w:sz="4" w:space="0" w:color="auto"/>
            </w:tcBorders>
            <w:shd w:val="clear" w:color="auto" w:fill="auto"/>
            <w:noWrap/>
            <w:vAlign w:val="bottom"/>
          </w:tcPr>
          <w:p w14:paraId="155D0EE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$22,680</w:t>
            </w:r>
          </w:p>
        </w:tc>
        <w:tc>
          <w:tcPr>
            <w:tcW w:w="892" w:type="pct"/>
            <w:tcBorders>
              <w:top w:val="nil"/>
              <w:left w:val="nil"/>
              <w:bottom w:val="single" w:sz="4" w:space="0" w:color="auto"/>
              <w:right w:val="single" w:sz="4" w:space="0" w:color="auto"/>
            </w:tcBorders>
            <w:shd w:val="clear" w:color="auto" w:fill="auto"/>
            <w:noWrap/>
            <w:vAlign w:val="bottom"/>
          </w:tcPr>
          <w:p w14:paraId="2E1141B5"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$11,340</w:t>
            </w:r>
          </w:p>
        </w:tc>
      </w:tr>
      <w:tr w:rsidR="005478B4" w:rsidRPr="005478B4" w14:paraId="2D3BA36B"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4BD53D2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4E989295"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X12</w:t>
            </w:r>
          </w:p>
        </w:tc>
        <w:tc>
          <w:tcPr>
            <w:tcW w:w="1136" w:type="pct"/>
            <w:tcBorders>
              <w:top w:val="nil"/>
              <w:left w:val="nil"/>
              <w:bottom w:val="single" w:sz="4" w:space="0" w:color="auto"/>
              <w:right w:val="single" w:sz="4" w:space="0" w:color="auto"/>
            </w:tcBorders>
            <w:shd w:val="clear" w:color="auto" w:fill="auto"/>
            <w:noWrap/>
            <w:vAlign w:val="bottom"/>
          </w:tcPr>
          <w:p w14:paraId="4E3C308D"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$34,896</w:t>
            </w:r>
          </w:p>
        </w:tc>
        <w:tc>
          <w:tcPr>
            <w:tcW w:w="892" w:type="pct"/>
            <w:tcBorders>
              <w:top w:val="nil"/>
              <w:left w:val="nil"/>
              <w:bottom w:val="single" w:sz="4" w:space="0" w:color="auto"/>
              <w:right w:val="single" w:sz="4" w:space="0" w:color="auto"/>
            </w:tcBorders>
            <w:shd w:val="clear" w:color="auto" w:fill="auto"/>
            <w:noWrap/>
            <w:vAlign w:val="bottom"/>
          </w:tcPr>
          <w:p w14:paraId="761F6391"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$17,448</w:t>
            </w:r>
          </w:p>
        </w:tc>
      </w:tr>
      <w:tr w:rsidR="005478B4" w:rsidRPr="005478B4" w14:paraId="14581C1A"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63F90F85"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64D53E60"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X13</w:t>
            </w:r>
          </w:p>
        </w:tc>
        <w:tc>
          <w:tcPr>
            <w:tcW w:w="1136" w:type="pct"/>
            <w:tcBorders>
              <w:top w:val="nil"/>
              <w:left w:val="nil"/>
              <w:bottom w:val="single" w:sz="4" w:space="0" w:color="auto"/>
              <w:right w:val="single" w:sz="4" w:space="0" w:color="auto"/>
            </w:tcBorders>
            <w:shd w:val="clear" w:color="auto" w:fill="auto"/>
            <w:noWrap/>
            <w:vAlign w:val="bottom"/>
          </w:tcPr>
          <w:p w14:paraId="63C6D9A4"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$32,773</w:t>
            </w:r>
          </w:p>
        </w:tc>
        <w:tc>
          <w:tcPr>
            <w:tcW w:w="892" w:type="pct"/>
            <w:tcBorders>
              <w:top w:val="nil"/>
              <w:left w:val="nil"/>
              <w:bottom w:val="single" w:sz="4" w:space="0" w:color="auto"/>
              <w:right w:val="single" w:sz="4" w:space="0" w:color="auto"/>
            </w:tcBorders>
            <w:shd w:val="clear" w:color="auto" w:fill="auto"/>
            <w:noWrap/>
            <w:vAlign w:val="bottom"/>
          </w:tcPr>
          <w:p w14:paraId="5E985094"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$16,387</w:t>
            </w:r>
          </w:p>
        </w:tc>
      </w:tr>
      <w:tr w:rsidR="005478B4" w:rsidRPr="005478B4" w14:paraId="429151E3"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133ADF39"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4925603"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X14</w:t>
            </w:r>
          </w:p>
        </w:tc>
        <w:tc>
          <w:tcPr>
            <w:tcW w:w="1136" w:type="pct"/>
            <w:tcBorders>
              <w:top w:val="nil"/>
              <w:left w:val="nil"/>
              <w:bottom w:val="single" w:sz="4" w:space="0" w:color="auto"/>
              <w:right w:val="single" w:sz="4" w:space="0" w:color="auto"/>
            </w:tcBorders>
            <w:shd w:val="clear" w:color="auto" w:fill="auto"/>
            <w:noWrap/>
            <w:vAlign w:val="bottom"/>
          </w:tcPr>
          <w:p w14:paraId="0CFA95C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$34,917</w:t>
            </w:r>
          </w:p>
        </w:tc>
        <w:tc>
          <w:tcPr>
            <w:tcW w:w="892" w:type="pct"/>
            <w:tcBorders>
              <w:top w:val="nil"/>
              <w:left w:val="nil"/>
              <w:bottom w:val="single" w:sz="4" w:space="0" w:color="auto"/>
              <w:right w:val="single" w:sz="4" w:space="0" w:color="auto"/>
            </w:tcBorders>
            <w:shd w:val="clear" w:color="auto" w:fill="auto"/>
            <w:noWrap/>
            <w:vAlign w:val="bottom"/>
          </w:tcPr>
          <w:p w14:paraId="04516B62"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$17,459</w:t>
            </w:r>
          </w:p>
        </w:tc>
      </w:tr>
      <w:tr w:rsidR="005478B4" w:rsidRPr="005478B4" w14:paraId="5440D6A6"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5BFF4FA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6C9F7981"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X17</w:t>
            </w:r>
          </w:p>
        </w:tc>
        <w:tc>
          <w:tcPr>
            <w:tcW w:w="1136" w:type="pct"/>
            <w:tcBorders>
              <w:top w:val="nil"/>
              <w:left w:val="nil"/>
              <w:bottom w:val="single" w:sz="4" w:space="0" w:color="auto"/>
              <w:right w:val="single" w:sz="4" w:space="0" w:color="auto"/>
            </w:tcBorders>
            <w:shd w:val="clear" w:color="auto" w:fill="auto"/>
            <w:noWrap/>
            <w:vAlign w:val="bottom"/>
          </w:tcPr>
          <w:p w14:paraId="3D0540C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$50,000</w:t>
            </w:r>
          </w:p>
        </w:tc>
        <w:tc>
          <w:tcPr>
            <w:tcW w:w="892" w:type="pct"/>
            <w:tcBorders>
              <w:top w:val="nil"/>
              <w:left w:val="nil"/>
              <w:bottom w:val="single" w:sz="4" w:space="0" w:color="auto"/>
              <w:right w:val="single" w:sz="4" w:space="0" w:color="auto"/>
            </w:tcBorders>
            <w:shd w:val="clear" w:color="auto" w:fill="auto"/>
            <w:noWrap/>
            <w:vAlign w:val="bottom"/>
          </w:tcPr>
          <w:p w14:paraId="0D92CFF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$25,000*</w:t>
            </w:r>
          </w:p>
        </w:tc>
      </w:tr>
      <w:tr w:rsidR="005478B4" w:rsidRPr="005478B4" w14:paraId="5E377D7D"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567786AE"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42769C0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X20</w:t>
            </w:r>
          </w:p>
        </w:tc>
        <w:tc>
          <w:tcPr>
            <w:tcW w:w="1136" w:type="pct"/>
            <w:tcBorders>
              <w:top w:val="nil"/>
              <w:left w:val="nil"/>
              <w:bottom w:val="single" w:sz="4" w:space="0" w:color="auto"/>
              <w:right w:val="single" w:sz="4" w:space="0" w:color="auto"/>
            </w:tcBorders>
            <w:shd w:val="clear" w:color="auto" w:fill="auto"/>
            <w:noWrap/>
            <w:vAlign w:val="bottom"/>
          </w:tcPr>
          <w:p w14:paraId="5B4C71B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$11,924</w:t>
            </w:r>
          </w:p>
        </w:tc>
        <w:tc>
          <w:tcPr>
            <w:tcW w:w="892" w:type="pct"/>
            <w:tcBorders>
              <w:top w:val="nil"/>
              <w:left w:val="nil"/>
              <w:bottom w:val="single" w:sz="4" w:space="0" w:color="auto"/>
              <w:right w:val="single" w:sz="4" w:space="0" w:color="auto"/>
            </w:tcBorders>
            <w:shd w:val="clear" w:color="auto" w:fill="auto"/>
            <w:noWrap/>
            <w:vAlign w:val="bottom"/>
          </w:tcPr>
          <w:p w14:paraId="1EB343A9"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$5,962</w:t>
            </w:r>
          </w:p>
        </w:tc>
      </w:tr>
      <w:tr w:rsidR="005478B4" w:rsidRPr="005478B4" w14:paraId="04B1EAFA"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11D60F1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C0E71D2"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X21</w:t>
            </w:r>
          </w:p>
        </w:tc>
        <w:tc>
          <w:tcPr>
            <w:tcW w:w="1136" w:type="pct"/>
            <w:tcBorders>
              <w:top w:val="nil"/>
              <w:left w:val="nil"/>
              <w:bottom w:val="single" w:sz="4" w:space="0" w:color="auto"/>
              <w:right w:val="single" w:sz="4" w:space="0" w:color="auto"/>
            </w:tcBorders>
            <w:shd w:val="clear" w:color="auto" w:fill="auto"/>
            <w:noWrap/>
            <w:vAlign w:val="bottom"/>
          </w:tcPr>
          <w:p w14:paraId="31317E8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$14,339</w:t>
            </w:r>
          </w:p>
        </w:tc>
        <w:tc>
          <w:tcPr>
            <w:tcW w:w="892" w:type="pct"/>
            <w:tcBorders>
              <w:top w:val="nil"/>
              <w:left w:val="nil"/>
              <w:bottom w:val="single" w:sz="4" w:space="0" w:color="auto"/>
              <w:right w:val="single" w:sz="4" w:space="0" w:color="auto"/>
            </w:tcBorders>
            <w:shd w:val="clear" w:color="auto" w:fill="auto"/>
            <w:noWrap/>
            <w:vAlign w:val="bottom"/>
          </w:tcPr>
          <w:p w14:paraId="52CFB079"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$7,170</w:t>
            </w:r>
          </w:p>
        </w:tc>
      </w:tr>
      <w:tr w:rsidR="005478B4" w:rsidRPr="005478B4" w14:paraId="538030E4"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38902434"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0CC9BF40"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X22</w:t>
            </w:r>
          </w:p>
        </w:tc>
        <w:tc>
          <w:tcPr>
            <w:tcW w:w="1136" w:type="pct"/>
            <w:tcBorders>
              <w:top w:val="nil"/>
              <w:left w:val="nil"/>
              <w:bottom w:val="single" w:sz="4" w:space="0" w:color="auto"/>
              <w:right w:val="single" w:sz="4" w:space="0" w:color="auto"/>
            </w:tcBorders>
            <w:shd w:val="clear" w:color="auto" w:fill="auto"/>
            <w:noWrap/>
            <w:vAlign w:val="bottom"/>
          </w:tcPr>
          <w:p w14:paraId="32BAC45B"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$13,116</w:t>
            </w:r>
          </w:p>
        </w:tc>
        <w:tc>
          <w:tcPr>
            <w:tcW w:w="892" w:type="pct"/>
            <w:tcBorders>
              <w:top w:val="nil"/>
              <w:left w:val="nil"/>
              <w:bottom w:val="single" w:sz="4" w:space="0" w:color="auto"/>
              <w:right w:val="single" w:sz="4" w:space="0" w:color="auto"/>
            </w:tcBorders>
            <w:shd w:val="clear" w:color="auto" w:fill="auto"/>
            <w:noWrap/>
            <w:vAlign w:val="bottom"/>
          </w:tcPr>
          <w:p w14:paraId="420BA330"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$6,558</w:t>
            </w:r>
          </w:p>
        </w:tc>
      </w:tr>
      <w:tr w:rsidR="005478B4" w:rsidRPr="005478B4" w14:paraId="40A41C34" w14:textId="77777777" w:rsidTr="00707125">
        <w:trPr>
          <w:trHeight w:val="300"/>
          <w:jc w:val="center"/>
        </w:trPr>
        <w:tc>
          <w:tcPr>
            <w:tcW w:w="1838" w:type="pct"/>
            <w:tcBorders>
              <w:top w:val="nil"/>
              <w:left w:val="single" w:sz="4" w:space="0" w:color="auto"/>
              <w:bottom w:val="single" w:sz="4" w:space="0" w:color="auto"/>
              <w:right w:val="single" w:sz="4" w:space="0" w:color="auto"/>
            </w:tcBorders>
            <w:shd w:val="clear" w:color="auto" w:fill="auto"/>
            <w:noWrap/>
            <w:vAlign w:val="bottom"/>
          </w:tcPr>
          <w:p w14:paraId="77E08D77"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7CA00AFC"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X23</w:t>
            </w:r>
          </w:p>
        </w:tc>
        <w:tc>
          <w:tcPr>
            <w:tcW w:w="1136" w:type="pct"/>
            <w:tcBorders>
              <w:top w:val="nil"/>
              <w:left w:val="nil"/>
              <w:bottom w:val="single" w:sz="4" w:space="0" w:color="auto"/>
              <w:right w:val="single" w:sz="4" w:space="0" w:color="auto"/>
            </w:tcBorders>
            <w:shd w:val="clear" w:color="auto" w:fill="auto"/>
            <w:noWrap/>
            <w:vAlign w:val="bottom"/>
          </w:tcPr>
          <w:p w14:paraId="22D25006"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$16,633</w:t>
            </w:r>
          </w:p>
        </w:tc>
        <w:tc>
          <w:tcPr>
            <w:tcW w:w="892" w:type="pct"/>
            <w:tcBorders>
              <w:top w:val="nil"/>
              <w:left w:val="nil"/>
              <w:bottom w:val="single" w:sz="4" w:space="0" w:color="auto"/>
              <w:right w:val="single" w:sz="4" w:space="0" w:color="auto"/>
            </w:tcBorders>
            <w:shd w:val="clear" w:color="auto" w:fill="auto"/>
            <w:noWrap/>
            <w:vAlign w:val="bottom"/>
          </w:tcPr>
          <w:p w14:paraId="7954AE00" w14:textId="77777777" w:rsidR="005478B4" w:rsidRPr="005478B4" w:rsidRDefault="005478B4" w:rsidP="005478B4">
            <w:pPr>
              <w:jc w:val="center"/>
              <w:rPr>
                <w:rFonts w:ascii="Calibri" w:hAnsi="Calibri" w:cs="Calibri"/>
                <w:color w:val="000000"/>
                <w:szCs w:val="22"/>
              </w:rPr>
            </w:pPr>
            <w:r w:rsidRPr="005478B4">
              <w:rPr>
                <w:rFonts w:ascii="Calibri" w:hAnsi="Calibri" w:cs="Calibri"/>
                <w:color w:val="000000"/>
                <w:szCs w:val="22"/>
              </w:rPr>
              <w:t>$8,317</w:t>
            </w:r>
          </w:p>
        </w:tc>
      </w:tr>
    </w:tbl>
    <w:p w14:paraId="72DAC770" w14:textId="77777777" w:rsidR="005478B4" w:rsidRPr="005478B4" w:rsidRDefault="005478B4" w:rsidP="005478B4">
      <w:pPr>
        <w:rPr>
          <w:rFonts w:ascii="Times New Roman" w:hAnsi="Times New Roman"/>
          <w:sz w:val="18"/>
        </w:rPr>
      </w:pPr>
      <w:r w:rsidRPr="005478B4">
        <w:rPr>
          <w:rFonts w:ascii="Times New Roman" w:hAnsi="Times New Roman"/>
          <w:sz w:val="18"/>
        </w:rPr>
        <w:t>*Taken from industry survey</w:t>
      </w:r>
    </w:p>
    <w:p w14:paraId="4E21F7A4" w14:textId="77777777" w:rsidR="005478B4" w:rsidRPr="005478B4" w:rsidRDefault="005478B4" w:rsidP="005478B4">
      <w:pPr>
        <w:rPr>
          <w:rFonts w:ascii="Times New Roman" w:hAnsi="Times New Roman"/>
          <w:sz w:val="24"/>
        </w:rPr>
      </w:pPr>
    </w:p>
    <w:p w14:paraId="08263469" w14:textId="77777777" w:rsidR="005478B4" w:rsidRPr="005478B4" w:rsidRDefault="005478B4" w:rsidP="005478B4">
      <w:pPr>
        <w:rPr>
          <w:rFonts w:cs="Arial"/>
          <w:b/>
          <w:sz w:val="24"/>
        </w:rPr>
      </w:pPr>
      <w:r w:rsidRPr="005478B4">
        <w:rPr>
          <w:rFonts w:cs="Arial"/>
          <w:b/>
          <w:sz w:val="24"/>
        </w:rPr>
        <w:t>Equipment Incremental Cost Data for Energy Efficient Gas Conveyor Ovens*</w:t>
      </w:r>
    </w:p>
    <w:tbl>
      <w:tblPr>
        <w:tblW w:w="5000" w:type="pct"/>
        <w:tblLook w:val="04A0" w:firstRow="1" w:lastRow="0" w:firstColumn="1" w:lastColumn="0" w:noHBand="0" w:noVBand="1"/>
      </w:tblPr>
      <w:tblGrid>
        <w:gridCol w:w="2065"/>
        <w:gridCol w:w="1040"/>
        <w:gridCol w:w="1237"/>
        <w:gridCol w:w="1339"/>
        <w:gridCol w:w="1040"/>
        <w:gridCol w:w="1170"/>
        <w:gridCol w:w="1685"/>
      </w:tblGrid>
      <w:tr w:rsidR="005478B4" w:rsidRPr="005478B4" w14:paraId="7C67175E" w14:textId="77777777" w:rsidTr="00707125">
        <w:trPr>
          <w:trHeight w:val="780"/>
        </w:trPr>
        <w:tc>
          <w:tcPr>
            <w:tcW w:w="1078" w:type="pct"/>
            <w:tcBorders>
              <w:top w:val="single" w:sz="4" w:space="0" w:color="auto"/>
              <w:left w:val="single" w:sz="4" w:space="0" w:color="auto"/>
              <w:bottom w:val="single" w:sz="4" w:space="0" w:color="auto"/>
              <w:right w:val="single" w:sz="4" w:space="0" w:color="auto"/>
            </w:tcBorders>
            <w:shd w:val="clear" w:color="000000" w:fill="C0C0C0"/>
            <w:vAlign w:val="bottom"/>
          </w:tcPr>
          <w:p w14:paraId="3CB54DDA"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Category</w:t>
            </w:r>
          </w:p>
        </w:tc>
        <w:tc>
          <w:tcPr>
            <w:tcW w:w="543" w:type="pct"/>
            <w:tcBorders>
              <w:top w:val="single" w:sz="4" w:space="0" w:color="auto"/>
              <w:left w:val="nil"/>
              <w:bottom w:val="single" w:sz="4" w:space="0" w:color="auto"/>
              <w:right w:val="single" w:sz="4" w:space="0" w:color="auto"/>
            </w:tcBorders>
            <w:shd w:val="clear" w:color="000000" w:fill="C0C0C0"/>
            <w:vAlign w:val="bottom"/>
          </w:tcPr>
          <w:p w14:paraId="12787665"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Baseline Unit Price</w:t>
            </w:r>
          </w:p>
        </w:tc>
        <w:tc>
          <w:tcPr>
            <w:tcW w:w="646" w:type="pct"/>
            <w:tcBorders>
              <w:top w:val="single" w:sz="4" w:space="0" w:color="auto"/>
              <w:left w:val="nil"/>
              <w:bottom w:val="single" w:sz="4" w:space="0" w:color="auto"/>
              <w:right w:val="single" w:sz="4" w:space="0" w:color="auto"/>
            </w:tcBorders>
            <w:shd w:val="clear" w:color="000000" w:fill="C0C0C0"/>
            <w:vAlign w:val="bottom"/>
          </w:tcPr>
          <w:p w14:paraId="3262BE22"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Energy Efficient Unit Price</w:t>
            </w:r>
          </w:p>
        </w:tc>
        <w:tc>
          <w:tcPr>
            <w:tcW w:w="699" w:type="pct"/>
            <w:tcBorders>
              <w:top w:val="single" w:sz="4" w:space="0" w:color="auto"/>
              <w:left w:val="nil"/>
              <w:bottom w:val="single" w:sz="4" w:space="0" w:color="auto"/>
              <w:right w:val="single" w:sz="4" w:space="0" w:color="auto"/>
            </w:tcBorders>
            <w:shd w:val="clear" w:color="000000" w:fill="C0C0C0"/>
            <w:vAlign w:val="bottom"/>
          </w:tcPr>
          <w:p w14:paraId="1124F619"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Incremental Price Difference</w:t>
            </w:r>
          </w:p>
        </w:tc>
        <w:tc>
          <w:tcPr>
            <w:tcW w:w="543" w:type="pct"/>
            <w:tcBorders>
              <w:top w:val="single" w:sz="4" w:space="0" w:color="auto"/>
              <w:left w:val="nil"/>
              <w:bottom w:val="single" w:sz="4" w:space="0" w:color="auto"/>
              <w:right w:val="single" w:sz="4" w:space="0" w:color="auto"/>
            </w:tcBorders>
            <w:shd w:val="clear" w:color="000000" w:fill="C0C0C0"/>
            <w:vAlign w:val="bottom"/>
          </w:tcPr>
          <w:p w14:paraId="5201C518"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Baseline Unit Cost</w:t>
            </w:r>
          </w:p>
        </w:tc>
        <w:tc>
          <w:tcPr>
            <w:tcW w:w="611" w:type="pct"/>
            <w:tcBorders>
              <w:top w:val="single" w:sz="4" w:space="0" w:color="auto"/>
              <w:left w:val="nil"/>
              <w:bottom w:val="single" w:sz="4" w:space="0" w:color="auto"/>
              <w:right w:val="single" w:sz="4" w:space="0" w:color="auto"/>
            </w:tcBorders>
            <w:shd w:val="clear" w:color="000000" w:fill="C0C0C0"/>
            <w:vAlign w:val="bottom"/>
          </w:tcPr>
          <w:p w14:paraId="28F30369"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Energy Efficient Unit Cost</w:t>
            </w:r>
          </w:p>
        </w:tc>
        <w:tc>
          <w:tcPr>
            <w:tcW w:w="880" w:type="pct"/>
            <w:tcBorders>
              <w:top w:val="single" w:sz="4" w:space="0" w:color="auto"/>
              <w:left w:val="nil"/>
              <w:bottom w:val="single" w:sz="4" w:space="0" w:color="auto"/>
              <w:right w:val="single" w:sz="4" w:space="0" w:color="auto"/>
            </w:tcBorders>
            <w:shd w:val="clear" w:color="000000" w:fill="C0C0C0"/>
            <w:vAlign w:val="bottom"/>
          </w:tcPr>
          <w:p w14:paraId="0DD696E2" w14:textId="77777777" w:rsidR="005478B4" w:rsidRPr="005478B4" w:rsidRDefault="005478B4" w:rsidP="005478B4">
            <w:pPr>
              <w:jc w:val="center"/>
              <w:rPr>
                <w:rFonts w:cs="Arial"/>
                <w:b/>
                <w:bCs/>
                <w:color w:val="000000"/>
                <w:sz w:val="20"/>
                <w:szCs w:val="20"/>
              </w:rPr>
            </w:pPr>
            <w:r w:rsidRPr="005478B4">
              <w:rPr>
                <w:rFonts w:cs="Arial"/>
                <w:b/>
                <w:bCs/>
                <w:color w:val="000000"/>
                <w:sz w:val="20"/>
                <w:szCs w:val="20"/>
              </w:rPr>
              <w:t>Incremental Measure Cost (IMC)</w:t>
            </w:r>
          </w:p>
        </w:tc>
      </w:tr>
      <w:tr w:rsidR="005478B4" w:rsidRPr="005478B4" w14:paraId="525B4BC9" w14:textId="77777777" w:rsidTr="00707125">
        <w:trPr>
          <w:trHeight w:val="300"/>
        </w:trPr>
        <w:tc>
          <w:tcPr>
            <w:tcW w:w="1078" w:type="pct"/>
            <w:tcBorders>
              <w:top w:val="nil"/>
              <w:left w:val="single" w:sz="4" w:space="0" w:color="auto"/>
              <w:bottom w:val="single" w:sz="4" w:space="0" w:color="auto"/>
              <w:right w:val="single" w:sz="4" w:space="0" w:color="auto"/>
            </w:tcBorders>
            <w:shd w:val="clear" w:color="auto" w:fill="auto"/>
            <w:noWrap/>
            <w:vAlign w:val="center"/>
          </w:tcPr>
          <w:p w14:paraId="19F864FE" w14:textId="77777777" w:rsidR="005478B4" w:rsidRPr="005478B4" w:rsidRDefault="005478B4" w:rsidP="005478B4">
            <w:pPr>
              <w:jc w:val="center"/>
              <w:rPr>
                <w:rFonts w:ascii="Calibri" w:hAnsi="Calibri"/>
                <w:color w:val="000000"/>
                <w:szCs w:val="22"/>
              </w:rPr>
            </w:pPr>
            <w:r w:rsidRPr="005478B4">
              <w:rPr>
                <w:rFonts w:ascii="Calibri" w:hAnsi="Calibri" w:cs="Calibri"/>
                <w:color w:val="000000"/>
                <w:szCs w:val="22"/>
              </w:rPr>
              <w:t>Gas Conveyor Oven</w:t>
            </w:r>
          </w:p>
        </w:tc>
        <w:tc>
          <w:tcPr>
            <w:tcW w:w="543" w:type="pct"/>
            <w:tcBorders>
              <w:top w:val="nil"/>
              <w:left w:val="nil"/>
              <w:bottom w:val="single" w:sz="4" w:space="0" w:color="auto"/>
              <w:right w:val="single" w:sz="4" w:space="0" w:color="auto"/>
            </w:tcBorders>
            <w:shd w:val="clear" w:color="auto" w:fill="auto"/>
            <w:noWrap/>
            <w:vAlign w:val="center"/>
          </w:tcPr>
          <w:p w14:paraId="694710DB" w14:textId="77777777" w:rsidR="005478B4" w:rsidRPr="005478B4" w:rsidRDefault="005478B4" w:rsidP="005478B4">
            <w:pPr>
              <w:jc w:val="center"/>
              <w:rPr>
                <w:rFonts w:ascii="Calibri" w:hAnsi="Calibri"/>
                <w:color w:val="000000"/>
                <w:szCs w:val="22"/>
              </w:rPr>
            </w:pPr>
            <w:r w:rsidRPr="005478B4">
              <w:rPr>
                <w:rFonts w:ascii="Calibri" w:hAnsi="Calibri"/>
                <w:color w:val="000000"/>
                <w:szCs w:val="22"/>
              </w:rPr>
              <w:t>$ 20,354</w:t>
            </w:r>
          </w:p>
        </w:tc>
        <w:tc>
          <w:tcPr>
            <w:tcW w:w="646" w:type="pct"/>
            <w:tcBorders>
              <w:top w:val="nil"/>
              <w:left w:val="nil"/>
              <w:bottom w:val="single" w:sz="4" w:space="0" w:color="auto"/>
              <w:right w:val="single" w:sz="4" w:space="0" w:color="auto"/>
            </w:tcBorders>
            <w:shd w:val="clear" w:color="auto" w:fill="auto"/>
            <w:noWrap/>
            <w:vAlign w:val="center"/>
          </w:tcPr>
          <w:p w14:paraId="665E7E51" w14:textId="77777777" w:rsidR="005478B4" w:rsidRPr="005478B4" w:rsidRDefault="005478B4" w:rsidP="005478B4">
            <w:pPr>
              <w:jc w:val="center"/>
              <w:rPr>
                <w:rFonts w:ascii="Calibri" w:hAnsi="Calibri"/>
                <w:color w:val="000000"/>
                <w:szCs w:val="22"/>
              </w:rPr>
            </w:pPr>
            <w:r w:rsidRPr="005478B4">
              <w:rPr>
                <w:rFonts w:ascii="Calibri" w:hAnsi="Calibri"/>
                <w:color w:val="000000"/>
                <w:szCs w:val="22"/>
              </w:rPr>
              <w:t>$24,815</w:t>
            </w:r>
          </w:p>
        </w:tc>
        <w:tc>
          <w:tcPr>
            <w:tcW w:w="699" w:type="pct"/>
            <w:tcBorders>
              <w:top w:val="nil"/>
              <w:left w:val="nil"/>
              <w:bottom w:val="single" w:sz="4" w:space="0" w:color="auto"/>
              <w:right w:val="single" w:sz="4" w:space="0" w:color="auto"/>
            </w:tcBorders>
            <w:shd w:val="clear" w:color="auto" w:fill="auto"/>
            <w:noWrap/>
            <w:vAlign w:val="center"/>
          </w:tcPr>
          <w:p w14:paraId="5220E4AF" w14:textId="77777777" w:rsidR="005478B4" w:rsidRPr="005478B4" w:rsidRDefault="005478B4" w:rsidP="005478B4">
            <w:pPr>
              <w:jc w:val="center"/>
              <w:rPr>
                <w:rFonts w:ascii="Calibri" w:hAnsi="Calibri"/>
                <w:color w:val="000000"/>
                <w:szCs w:val="22"/>
              </w:rPr>
            </w:pPr>
            <w:r w:rsidRPr="005478B4">
              <w:rPr>
                <w:rFonts w:ascii="Calibri" w:hAnsi="Calibri"/>
                <w:color w:val="000000"/>
                <w:szCs w:val="22"/>
              </w:rPr>
              <w:t>$ 4,460</w:t>
            </w:r>
          </w:p>
        </w:tc>
        <w:tc>
          <w:tcPr>
            <w:tcW w:w="543" w:type="pct"/>
            <w:tcBorders>
              <w:top w:val="nil"/>
              <w:left w:val="nil"/>
              <w:bottom w:val="single" w:sz="4" w:space="0" w:color="auto"/>
              <w:right w:val="single" w:sz="4" w:space="0" w:color="auto"/>
            </w:tcBorders>
            <w:shd w:val="clear" w:color="auto" w:fill="auto"/>
            <w:noWrap/>
            <w:vAlign w:val="center"/>
          </w:tcPr>
          <w:p w14:paraId="52F1DFB2" w14:textId="77777777" w:rsidR="005478B4" w:rsidRPr="005478B4" w:rsidRDefault="005478B4" w:rsidP="005478B4">
            <w:pPr>
              <w:jc w:val="center"/>
              <w:rPr>
                <w:rFonts w:ascii="Calibri" w:hAnsi="Calibri"/>
                <w:color w:val="000000"/>
                <w:szCs w:val="22"/>
              </w:rPr>
            </w:pPr>
            <w:r w:rsidRPr="005478B4">
              <w:rPr>
                <w:rFonts w:ascii="Calibri" w:hAnsi="Calibri"/>
                <w:color w:val="000000"/>
                <w:szCs w:val="22"/>
              </w:rPr>
              <w:t>$ 10,177</w:t>
            </w:r>
          </w:p>
        </w:tc>
        <w:tc>
          <w:tcPr>
            <w:tcW w:w="611" w:type="pct"/>
            <w:tcBorders>
              <w:top w:val="nil"/>
              <w:left w:val="nil"/>
              <w:bottom w:val="single" w:sz="4" w:space="0" w:color="auto"/>
              <w:right w:val="single" w:sz="4" w:space="0" w:color="auto"/>
            </w:tcBorders>
            <w:shd w:val="clear" w:color="auto" w:fill="auto"/>
            <w:noWrap/>
            <w:vAlign w:val="center"/>
          </w:tcPr>
          <w:p w14:paraId="241F8C81" w14:textId="77777777" w:rsidR="005478B4" w:rsidRPr="005478B4" w:rsidRDefault="005478B4" w:rsidP="005478B4">
            <w:pPr>
              <w:jc w:val="center"/>
              <w:rPr>
                <w:rFonts w:ascii="Calibri" w:hAnsi="Calibri"/>
                <w:color w:val="000000"/>
                <w:szCs w:val="22"/>
              </w:rPr>
            </w:pPr>
            <w:r w:rsidRPr="005478B4">
              <w:rPr>
                <w:rFonts w:ascii="Calibri" w:hAnsi="Calibri"/>
                <w:color w:val="000000"/>
                <w:szCs w:val="22"/>
              </w:rPr>
              <w:t>$ 12,407</w:t>
            </w:r>
          </w:p>
        </w:tc>
        <w:tc>
          <w:tcPr>
            <w:tcW w:w="880" w:type="pct"/>
            <w:tcBorders>
              <w:top w:val="nil"/>
              <w:left w:val="nil"/>
              <w:bottom w:val="single" w:sz="4" w:space="0" w:color="auto"/>
              <w:right w:val="single" w:sz="4" w:space="0" w:color="auto"/>
            </w:tcBorders>
            <w:shd w:val="clear" w:color="auto" w:fill="auto"/>
            <w:noWrap/>
            <w:vAlign w:val="center"/>
          </w:tcPr>
          <w:p w14:paraId="695DE65C" w14:textId="77777777" w:rsidR="005478B4" w:rsidRPr="005478B4" w:rsidRDefault="005478B4" w:rsidP="005478B4">
            <w:pPr>
              <w:jc w:val="center"/>
              <w:rPr>
                <w:rFonts w:ascii="Calibri" w:hAnsi="Calibri"/>
                <w:color w:val="000000"/>
                <w:szCs w:val="22"/>
              </w:rPr>
            </w:pPr>
            <w:r w:rsidRPr="005478B4">
              <w:rPr>
                <w:rFonts w:ascii="Calibri" w:hAnsi="Calibri"/>
                <w:color w:val="000000"/>
                <w:szCs w:val="22"/>
              </w:rPr>
              <w:t>$ 2,230</w:t>
            </w:r>
          </w:p>
        </w:tc>
      </w:tr>
    </w:tbl>
    <w:p w14:paraId="13773B3C" w14:textId="77777777" w:rsidR="005478B4" w:rsidRPr="005478B4" w:rsidRDefault="005478B4" w:rsidP="005478B4">
      <w:pPr>
        <w:keepNext/>
        <w:rPr>
          <w:rFonts w:cs="Arial"/>
          <w:sz w:val="20"/>
          <w:szCs w:val="20"/>
        </w:rPr>
      </w:pPr>
      <w:r w:rsidRPr="005478B4">
        <w:rPr>
          <w:rFonts w:cs="Arial"/>
          <w:sz w:val="20"/>
          <w:szCs w:val="20"/>
        </w:rPr>
        <w:t>*Estimated purchase price and Incremental Measure Cost (IMC) were based on an industry-standard 50% discount off the manufacturer’s list price</w:t>
      </w:r>
    </w:p>
    <w:p w14:paraId="60281EC6" w14:textId="77777777" w:rsidR="005478B4" w:rsidRPr="005478B4" w:rsidRDefault="005478B4" w:rsidP="005478B4">
      <w:pPr>
        <w:keepNext/>
        <w:rPr>
          <w:rFonts w:cs="Arial"/>
          <w:b/>
          <w:bCs/>
          <w:sz w:val="24"/>
        </w:rPr>
      </w:pPr>
    </w:p>
    <w:p w14:paraId="393A153A" w14:textId="7E3171AF" w:rsidR="006B4563" w:rsidRDefault="005478B4" w:rsidP="005478B4">
      <w:pPr>
        <w:pStyle w:val="Heading1"/>
      </w:pPr>
      <w:r w:rsidRPr="005478B4">
        <w:rPr>
          <w:rFonts w:ascii="Times New Roman" w:hAnsi="Times New Roman" w:cs="Times New Roman"/>
          <w:b w:val="0"/>
          <w:bCs w:val="0"/>
          <w:kern w:val="0"/>
          <w:sz w:val="24"/>
          <w:szCs w:val="24"/>
        </w:rPr>
        <w:br w:type="page"/>
      </w:r>
      <w:bookmarkStart w:id="159" w:name="_Toc389305694"/>
      <w:r w:rsidR="000966CC">
        <w:t>References</w:t>
      </w:r>
      <w:bookmarkEnd w:id="154"/>
      <w:bookmarkEnd w:id="155"/>
      <w:bookmarkEnd w:id="159"/>
      <w:r w:rsidR="00844B27">
        <w:t xml:space="preserve"> </w:t>
      </w:r>
    </w:p>
    <w:bookmarkEnd w:id="156"/>
    <w:p w14:paraId="393A153B" w14:textId="77777777"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DB29F" w14:textId="77777777" w:rsidR="00F71B92" w:rsidRDefault="00F71B92">
      <w:r>
        <w:separator/>
      </w:r>
    </w:p>
    <w:p w14:paraId="662A4577" w14:textId="77777777" w:rsidR="00F71B92" w:rsidRDefault="00F71B92"/>
  </w:endnote>
  <w:endnote w:type="continuationSeparator" w:id="0">
    <w:p w14:paraId="6F15ED3F" w14:textId="77777777" w:rsidR="00F71B92" w:rsidRDefault="00F71B92">
      <w:r>
        <w:continuationSeparator/>
      </w:r>
    </w:p>
    <w:p w14:paraId="373B709D" w14:textId="77777777" w:rsidR="00F71B92" w:rsidRDefault="00F71B92"/>
  </w:endnote>
  <w:endnote w:id="1">
    <w:p w14:paraId="254FFDC1" w14:textId="77777777" w:rsidR="00707125" w:rsidRPr="00896D90" w:rsidRDefault="00707125" w:rsidP="00D77A30">
      <w:pPr>
        <w:keepNext/>
        <w:ind w:left="900" w:hanging="180"/>
      </w:pPr>
      <w:r>
        <w:rPr>
          <w:rStyle w:val="EndnoteReference"/>
        </w:rPr>
        <w:endnoteRef/>
      </w:r>
      <w:r>
        <w:t xml:space="preserve"> </w:t>
      </w:r>
      <w:bookmarkStart w:id="34" w:name="_Ref185071222"/>
      <w:proofErr w:type="gramStart"/>
      <w:r w:rsidRPr="00896D90">
        <w:t>American Society for Testing and Materials.2003.</w:t>
      </w:r>
      <w:proofErr w:type="gramEnd"/>
      <w:r w:rsidRPr="00896D90">
        <w:t xml:space="preserve"> </w:t>
      </w:r>
      <w:proofErr w:type="gramStart"/>
      <w:r w:rsidRPr="00896D90">
        <w:rPr>
          <w:i/>
          <w:iCs/>
        </w:rPr>
        <w:t>Standard Test Method for the Performance of Conveyor Ovens</w:t>
      </w:r>
      <w:r w:rsidRPr="00896D90">
        <w:t>.</w:t>
      </w:r>
      <w:proofErr w:type="gramEnd"/>
      <w:r w:rsidRPr="00896D90">
        <w:t xml:space="preserve"> </w:t>
      </w:r>
      <w:proofErr w:type="gramStart"/>
      <w:r w:rsidRPr="00896D90">
        <w:t>ASTM Designation F1817, in Annual Book of ASTM Standards, West Conshohocken, PA.</w:t>
      </w:r>
      <w:bookmarkEnd w:id="34"/>
      <w:proofErr w:type="gramEnd"/>
    </w:p>
    <w:p w14:paraId="08C6A2E4" w14:textId="77777777" w:rsidR="00707125" w:rsidRPr="00896D90" w:rsidRDefault="00707125" w:rsidP="00D77A30">
      <w:pPr>
        <w:pStyle w:val="EndnoteText"/>
        <w:rPr>
          <w:sz w:val="24"/>
          <w:szCs w:val="24"/>
        </w:rPr>
      </w:pPr>
    </w:p>
  </w:endnote>
  <w:endnote w:id="2">
    <w:p w14:paraId="393A15BF" w14:textId="51C81DD3" w:rsidR="00707125" w:rsidRDefault="00707125" w:rsidP="005478B4">
      <w:pPr>
        <w:pStyle w:val="EndnoteText"/>
        <w:ind w:left="720" w:firstLine="135"/>
      </w:pP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w:t>
      </w:r>
      <w:r>
        <w:rPr>
          <w:rFonts w:cs="Arial"/>
          <w:i/>
        </w:rPr>
        <w:t>4</w:t>
      </w:r>
      <w:r w:rsidRPr="003541A6">
        <w:rPr>
          <w:rFonts w:cs="Arial"/>
          <w:i/>
        </w:rPr>
        <w:t xml:space="preserve">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3">
    <w:p w14:paraId="70B87234" w14:textId="188B10FF" w:rsidR="00707125" w:rsidRPr="00893235" w:rsidRDefault="00707125" w:rsidP="00C04ADA">
      <w:pPr>
        <w:ind w:left="900" w:hanging="180"/>
      </w:pPr>
      <w:r w:rsidRPr="00893235">
        <w:rPr>
          <w:rStyle w:val="EndnoteReference"/>
        </w:rPr>
        <w:endnoteRef/>
      </w:r>
      <w:r w:rsidRPr="00D75D51">
        <w:t xml:space="preserve"> </w:t>
      </w:r>
      <w:r>
        <w:rPr>
          <w:i/>
          <w:u w:val="single"/>
        </w:rPr>
        <w:t>EUL_Summary.</w:t>
      </w:r>
      <w:r w:rsidRPr="00896D90">
        <w:rPr>
          <w:i/>
          <w:u w:val="single"/>
        </w:rPr>
        <w:t>xls</w:t>
      </w:r>
      <w:r w:rsidRPr="00896D90">
        <w:t xml:space="preserve"> from  </w:t>
      </w:r>
      <w:r w:rsidRPr="00896D90">
        <w:rPr>
          <w:bCs/>
          <w:color w:val="333333"/>
          <w:kern w:val="36"/>
          <w:lang w:val="en-GB"/>
        </w:rPr>
        <w:t xml:space="preserve">DEER Database for Energy-Efficient Resources; </w:t>
      </w:r>
      <w:r w:rsidRPr="00896D90">
        <w:rPr>
          <w:bCs/>
          <w:color w:val="333333"/>
          <w:lang w:val="en-GB"/>
        </w:rPr>
        <w:t xml:space="preserve">Version 2011 4.01 found at: </w:t>
      </w:r>
      <w:hyperlink r:id="rId2" w:history="1">
        <w:r w:rsidRPr="00863BA9">
          <w:rPr>
            <w:rStyle w:val="Hyperlink"/>
          </w:rPr>
          <w:t>http://www.deeresources.com/2014</w:t>
        </w:r>
      </w:hyperlink>
      <w:r w:rsidRPr="00896D90">
        <w:t xml:space="preserve"> Under: </w:t>
      </w:r>
      <w:r w:rsidRPr="00896D90">
        <w:rPr>
          <w:color w:val="333333"/>
          <w:lang w:val="en-GB"/>
        </w:rPr>
        <w:t>DEER201</w:t>
      </w:r>
      <w:r>
        <w:rPr>
          <w:color w:val="333333"/>
          <w:lang w:val="en-GB"/>
        </w:rPr>
        <w:t>4</w:t>
      </w:r>
      <w:r w:rsidRPr="00896D90">
        <w:rPr>
          <w:color w:val="333333"/>
          <w:lang w:val="en-GB"/>
        </w:rPr>
        <w:t xml:space="preserve"> Update Documentation linked at: </w:t>
      </w:r>
      <w:hyperlink r:id="rId3" w:history="1">
        <w:r w:rsidRPr="00896D90">
          <w:rPr>
            <w:rStyle w:val="Hyperlink"/>
            <w:lang w:val="en-GB"/>
          </w:rPr>
          <w:t>EUL/RUL Values</w:t>
        </w:r>
      </w:hyperlink>
      <w:r w:rsidRPr="00893235">
        <w:t xml:space="preserve"> </w:t>
      </w:r>
      <w:r w:rsidRPr="00896D90">
        <w:rPr>
          <w:color w:val="333333"/>
          <w:lang w:val="en-GB"/>
        </w:rPr>
        <w:t>Cells: (D82)</w:t>
      </w:r>
    </w:p>
    <w:p w14:paraId="6F0216E5" w14:textId="77777777" w:rsidR="00707125" w:rsidRPr="00896D90" w:rsidRDefault="00707125" w:rsidP="00C04ADA">
      <w:pPr>
        <w:pStyle w:val="EndnoteText"/>
        <w:tabs>
          <w:tab w:val="left" w:pos="90"/>
        </w:tabs>
        <w:ind w:left="720"/>
        <w:rPr>
          <w:sz w:val="24"/>
          <w:szCs w:val="24"/>
        </w:rPr>
      </w:pPr>
    </w:p>
  </w:endnote>
  <w:endnote w:id="4">
    <w:p w14:paraId="7758202B" w14:textId="77777777" w:rsidR="00707125" w:rsidRPr="00D75D51" w:rsidRDefault="00707125" w:rsidP="00AB14AC">
      <w:pPr>
        <w:pStyle w:val="EndnoteText"/>
        <w:ind w:left="810" w:hanging="90"/>
        <w:rPr>
          <w:sz w:val="24"/>
          <w:szCs w:val="24"/>
        </w:rPr>
      </w:pPr>
      <w:r w:rsidRPr="00896D90">
        <w:rPr>
          <w:rStyle w:val="EndnoteReference"/>
          <w:sz w:val="24"/>
          <w:szCs w:val="24"/>
        </w:rPr>
        <w:endnoteRef/>
      </w:r>
      <w:r w:rsidRPr="00896D90">
        <w:rPr>
          <w:sz w:val="24"/>
          <w:szCs w:val="24"/>
        </w:rPr>
        <w:t xml:space="preserve"> </w:t>
      </w:r>
      <w:bookmarkStart w:id="69" w:name="_Ref185071248"/>
      <w:r w:rsidRPr="00893235">
        <w:rPr>
          <w:sz w:val="24"/>
          <w:szCs w:val="24"/>
          <w:lang w:val="de-DE"/>
        </w:rPr>
        <w:t xml:space="preserve">Fisher-Nickel, inc., D. Fisher, et al., 2002. </w:t>
      </w:r>
      <w:proofErr w:type="gramStart"/>
      <w:r w:rsidRPr="00D75D51">
        <w:rPr>
          <w:sz w:val="24"/>
          <w:szCs w:val="24"/>
        </w:rPr>
        <w:t>Commercial Cooking Appliance Technology Assessment.</w:t>
      </w:r>
      <w:proofErr w:type="gramEnd"/>
      <w:r w:rsidRPr="00D75D51">
        <w:rPr>
          <w:sz w:val="24"/>
          <w:szCs w:val="24"/>
        </w:rPr>
        <w:t xml:space="preserve"> Food Service Technology Center Report 5011.02.26, pp. 7-1 to 7-31.</w:t>
      </w:r>
      <w:bookmarkEnd w:id="69"/>
    </w:p>
    <w:p w14:paraId="0AD70AEF" w14:textId="77777777" w:rsidR="00707125" w:rsidRPr="00896D90" w:rsidRDefault="00707125" w:rsidP="00AB14AC">
      <w:pPr>
        <w:pStyle w:val="EndnoteText"/>
        <w:ind w:left="630" w:hanging="630"/>
        <w:rPr>
          <w:sz w:val="24"/>
          <w:szCs w:val="24"/>
        </w:rPr>
      </w:pPr>
    </w:p>
  </w:endnote>
  <w:endnote w:id="5">
    <w:p w14:paraId="35AE4CD3" w14:textId="3AA1FF92" w:rsidR="00707125" w:rsidRPr="00893235" w:rsidRDefault="00707125" w:rsidP="0027314F">
      <w:pPr>
        <w:pStyle w:val="EndnoteText"/>
        <w:ind w:left="810" w:hanging="90"/>
        <w:rPr>
          <w:sz w:val="24"/>
          <w:szCs w:val="24"/>
        </w:rPr>
      </w:pPr>
      <w:r w:rsidRPr="00896D90">
        <w:rPr>
          <w:rStyle w:val="EndnoteReference"/>
          <w:sz w:val="24"/>
          <w:szCs w:val="24"/>
        </w:rPr>
        <w:endnoteRef/>
      </w:r>
      <w:r w:rsidRPr="00896D90">
        <w:rPr>
          <w:sz w:val="24"/>
          <w:szCs w:val="24"/>
        </w:rPr>
        <w:t xml:space="preserve"> </w:t>
      </w:r>
      <w:r w:rsidRPr="00896D90">
        <w:rPr>
          <w:i/>
          <w:sz w:val="24"/>
          <w:szCs w:val="24"/>
          <w:u w:val="single"/>
        </w:rPr>
        <w:t>DEER201</w:t>
      </w:r>
      <w:r>
        <w:rPr>
          <w:i/>
          <w:sz w:val="24"/>
          <w:szCs w:val="24"/>
          <w:u w:val="single"/>
        </w:rPr>
        <w:t>4</w:t>
      </w:r>
      <w:r w:rsidRPr="00896D90">
        <w:rPr>
          <w:i/>
          <w:sz w:val="24"/>
          <w:szCs w:val="24"/>
          <w:u w:val="single"/>
        </w:rPr>
        <w:t>1_NTGR_2012-05-16.xls</w:t>
      </w:r>
      <w:r w:rsidRPr="00896D90">
        <w:rPr>
          <w:sz w:val="24"/>
          <w:szCs w:val="24"/>
        </w:rPr>
        <w:t xml:space="preserve"> from  </w:t>
      </w:r>
      <w:r w:rsidRPr="00896D90">
        <w:rPr>
          <w:bCs/>
          <w:color w:val="333333"/>
          <w:kern w:val="36"/>
          <w:sz w:val="24"/>
          <w:szCs w:val="24"/>
          <w:lang w:val="en-GB"/>
        </w:rPr>
        <w:t xml:space="preserve">DEER Database for Energy-Efficient Resources; </w:t>
      </w:r>
      <w:r w:rsidRPr="00896D90">
        <w:rPr>
          <w:bCs/>
          <w:color w:val="333333"/>
          <w:sz w:val="24"/>
          <w:szCs w:val="24"/>
          <w:lang w:val="en-GB"/>
        </w:rPr>
        <w:t xml:space="preserve">Version 2011 4.01 found at: </w:t>
      </w:r>
      <w:hyperlink r:id="rId4" w:history="1">
        <w:r w:rsidRPr="00863BA9">
          <w:rPr>
            <w:rStyle w:val="Hyperlink"/>
            <w:sz w:val="24"/>
            <w:szCs w:val="24"/>
          </w:rPr>
          <w:t>http://www.deeresources.com/2014</w:t>
        </w:r>
      </w:hyperlink>
      <w:r w:rsidRPr="00896D90">
        <w:rPr>
          <w:sz w:val="24"/>
          <w:szCs w:val="24"/>
        </w:rPr>
        <w:t xml:space="preserve"> Under: </w:t>
      </w:r>
      <w:r w:rsidRPr="00896D90">
        <w:rPr>
          <w:color w:val="333333"/>
          <w:sz w:val="24"/>
          <w:szCs w:val="24"/>
          <w:lang w:val="en-GB"/>
        </w:rPr>
        <w:t>DEER201</w:t>
      </w:r>
      <w:r>
        <w:rPr>
          <w:color w:val="333333"/>
          <w:sz w:val="24"/>
          <w:szCs w:val="24"/>
          <w:lang w:val="en-GB"/>
        </w:rPr>
        <w:t>4</w:t>
      </w:r>
      <w:r w:rsidRPr="00896D90">
        <w:rPr>
          <w:color w:val="333333"/>
          <w:sz w:val="24"/>
          <w:szCs w:val="24"/>
          <w:lang w:val="en-GB"/>
        </w:rPr>
        <w:t xml:space="preserve">Update Documentation linked at: </w:t>
      </w:r>
      <w:hyperlink r:id="rId5" w:history="1">
        <w:r w:rsidRPr="00896D90">
          <w:rPr>
            <w:rStyle w:val="Hyperlink"/>
            <w:sz w:val="24"/>
            <w:szCs w:val="24"/>
            <w:lang w:val="en-GB"/>
          </w:rPr>
          <w:t>DEER201</w:t>
        </w:r>
        <w:r>
          <w:rPr>
            <w:rStyle w:val="Hyperlink"/>
            <w:sz w:val="24"/>
            <w:szCs w:val="24"/>
            <w:lang w:val="en-GB"/>
          </w:rPr>
          <w:t>4</w:t>
        </w:r>
        <w:r w:rsidRPr="00896D90">
          <w:rPr>
            <w:rStyle w:val="Hyperlink"/>
            <w:sz w:val="24"/>
            <w:szCs w:val="24"/>
            <w:lang w:val="en-GB"/>
          </w:rPr>
          <w:t xml:space="preserve"> Update Net-To-Gross table</w:t>
        </w:r>
      </w:hyperlink>
      <w:r w:rsidRPr="00896D90">
        <w:rPr>
          <w:color w:val="333333"/>
          <w:sz w:val="24"/>
          <w:szCs w:val="24"/>
          <w:lang w:val="en-GB"/>
        </w:rPr>
        <w:t> Cells: (T56,U56)</w:t>
      </w:r>
    </w:p>
    <w:p w14:paraId="7AC602A8" w14:textId="77777777" w:rsidR="00707125" w:rsidRPr="00896D90" w:rsidRDefault="00707125" w:rsidP="0027314F">
      <w:pPr>
        <w:pStyle w:val="EndnoteText"/>
        <w:ind w:left="720" w:hanging="720"/>
        <w:rPr>
          <w:sz w:val="24"/>
          <w:szCs w:val="24"/>
        </w:rPr>
      </w:pPr>
    </w:p>
  </w:endnote>
  <w:endnote w:id="6">
    <w:p w14:paraId="2D3958A4" w14:textId="77777777" w:rsidR="00707125" w:rsidRPr="00893235" w:rsidRDefault="00707125" w:rsidP="0027314F">
      <w:pPr>
        <w:tabs>
          <w:tab w:val="left" w:pos="900"/>
        </w:tabs>
        <w:ind w:left="900" w:hanging="180"/>
      </w:pPr>
      <w:r w:rsidRPr="00893235">
        <w:rPr>
          <w:rStyle w:val="EndnoteReference"/>
        </w:rPr>
        <w:endnoteRef/>
      </w:r>
      <w:r w:rsidRPr="00893235">
        <w:t xml:space="preserve"> </w:t>
      </w:r>
      <w:proofErr w:type="spellStart"/>
      <w:r w:rsidRPr="00893235">
        <w:t>AutoQuotes</w:t>
      </w:r>
      <w:proofErr w:type="spellEnd"/>
      <w:r w:rsidRPr="00893235">
        <w:t xml:space="preserve"> electronic catalog for foodservice equ</w:t>
      </w:r>
      <w:r w:rsidRPr="00D75D51">
        <w:t xml:space="preserve">ipment and supplies </w:t>
      </w:r>
      <w:hyperlink r:id="rId6" w:history="1">
        <w:r w:rsidRPr="00D75D51">
          <w:rPr>
            <w:rStyle w:val="Hyperlink"/>
          </w:rPr>
          <w:t>http://www.aqnet.com</w:t>
        </w:r>
      </w:hyperlink>
      <w:r w:rsidRPr="00893235">
        <w:t xml:space="preserve"> </w:t>
      </w:r>
    </w:p>
    <w:p w14:paraId="0C0A4AE5" w14:textId="77777777" w:rsidR="00707125" w:rsidRDefault="00707125" w:rsidP="0027314F">
      <w:pPr>
        <w:pStyle w:val="EndnoteText"/>
      </w:pPr>
    </w:p>
  </w:endnote>
  <w:endnote w:id="7">
    <w:p w14:paraId="393A15C1" w14:textId="77777777" w:rsidR="00707125" w:rsidRDefault="00707125" w:rsidP="005478B4">
      <w:pPr>
        <w:pStyle w:val="EndnoteText"/>
        <w:ind w:firstLine="720"/>
      </w:pPr>
      <w:r>
        <w:rPr>
          <w:rStyle w:val="EndnoteReference"/>
        </w:rPr>
        <w:endnoteRef/>
      </w:r>
      <w:r>
        <w:t xml:space="preserve"> SCE, Measure Cost Revision 5 revised for PG&amp;E by S.L. Blanc 2012</w:t>
      </w:r>
    </w:p>
    <w:p w14:paraId="393A15C2" w14:textId="77777777" w:rsidR="00707125" w:rsidRDefault="00707125">
      <w:pPr>
        <w:pStyle w:val="EndnoteText"/>
      </w:pPr>
      <w:r w:rsidRPr="003D298F">
        <w:t xml:space="preserve"> </w:t>
      </w:r>
      <w:bookmarkStart w:id="144" w:name="_MON_1398086104"/>
      <w:bookmarkStart w:id="145" w:name="_MON_1398083315"/>
      <w:bookmarkEnd w:id="144"/>
      <w:bookmarkEnd w:id="145"/>
      <w:bookmarkStart w:id="146" w:name="_MON_1382719778"/>
      <w:bookmarkEnd w:id="146"/>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pt;height:50pt" o:ole="">
            <v:imagedata r:id="rId7" o:title=""/>
          </v:shape>
          <o:OLEObject Type="Embed" ProgID="Word.Document.8" ShapeID="_x0000_i1026" DrawAspect="Icon" ObjectID="_1463462372" r:id="rId8">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707125" w:rsidRDefault="0070712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707125" w:rsidRDefault="007071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707125" w:rsidRPr="00846195" w:rsidRDefault="00707125"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707125" w:rsidRDefault="00707125"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707125" w:rsidRDefault="00707125" w:rsidP="00D7047A">
    <w:pPr>
      <w:pStyle w:val="Footer"/>
      <w:rPr>
        <w:b/>
        <w:sz w:val="20"/>
        <w:szCs w:val="20"/>
      </w:rPr>
    </w:pPr>
    <w:r>
      <w:rPr>
        <w:b/>
        <w:sz w:val="20"/>
        <w:szCs w:val="20"/>
      </w:rPr>
      <w:t>Pacific Gas &amp; Electric Company</w:t>
    </w:r>
  </w:p>
  <w:p w14:paraId="393A15AB" w14:textId="77777777" w:rsidR="00707125" w:rsidRPr="00844B27" w:rsidRDefault="00707125"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3B93F16C" w:rsidR="00707125" w:rsidRPr="002E0E3F" w:rsidRDefault="00707125" w:rsidP="00274A7E">
    <w:pPr>
      <w:pStyle w:val="Footer"/>
      <w:jc w:val="right"/>
      <w:rPr>
        <w:rFonts w:cs="Arial"/>
        <w:b/>
        <w:sz w:val="36"/>
        <w:szCs w:val="36"/>
      </w:rPr>
    </w:pPr>
    <w:r>
      <w:rPr>
        <w:rFonts w:cs="Arial"/>
        <w:b/>
        <w:sz w:val="36"/>
        <w:szCs w:val="36"/>
      </w:rPr>
      <w:t>May 31, 2014</w:t>
    </w:r>
  </w:p>
  <w:p w14:paraId="393A15AE" w14:textId="77777777" w:rsidR="00707125" w:rsidRDefault="007071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707125" w:rsidRDefault="0070712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707125" w:rsidRDefault="0070712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988168"/>
      <w:docPartObj>
        <w:docPartGallery w:val="Page Numbers (Bottom of Page)"/>
        <w:docPartUnique/>
      </w:docPartObj>
    </w:sdtPr>
    <w:sdtEndPr>
      <w:rPr>
        <w:noProof/>
      </w:rPr>
    </w:sdtEndPr>
    <w:sdtContent>
      <w:p w14:paraId="2C924C27" w14:textId="67DC66D5" w:rsidR="00707125" w:rsidRDefault="00707125">
        <w:pPr>
          <w:pStyle w:val="Footer"/>
          <w:jc w:val="right"/>
        </w:pPr>
        <w:r>
          <w:fldChar w:fldCharType="begin"/>
        </w:r>
        <w:r>
          <w:instrText xml:space="preserve"> PAGE   \* MERGEFORMAT </w:instrText>
        </w:r>
        <w:r>
          <w:fldChar w:fldCharType="separate"/>
        </w:r>
        <w:r w:rsidR="003174BF">
          <w:rPr>
            <w:noProof/>
          </w:rPr>
          <w:t>9</w:t>
        </w:r>
        <w:r>
          <w:rPr>
            <w:noProof/>
          </w:rPr>
          <w:fldChar w:fldCharType="end"/>
        </w:r>
      </w:p>
    </w:sdtContent>
  </w:sdt>
  <w:p w14:paraId="393A15B6" w14:textId="4F70D4DA" w:rsidR="00707125" w:rsidRPr="00D77A30" w:rsidRDefault="00707125" w:rsidP="00C747DF">
    <w:pPr>
      <w:pStyle w:val="Footer"/>
      <w:tabs>
        <w:tab w:val="clear" w:pos="4320"/>
        <w:tab w:val="clear" w:pos="8640"/>
        <w:tab w:val="right" w:pos="9360"/>
      </w:tabs>
      <w:rPr>
        <w:b/>
        <w:sz w:val="20"/>
        <w:szCs w:val="20"/>
      </w:rPr>
    </w:pPr>
    <w:r w:rsidRPr="00D77A30">
      <w:rPr>
        <w:b/>
        <w:sz w:val="20"/>
        <w:szCs w:val="20"/>
      </w:rPr>
      <w:t>PGECOFST117 Revision 5 Commercial Gas Conveyor Oven</w:t>
    </w:r>
  </w:p>
  <w:p w14:paraId="381D19BA" w14:textId="3ADB5F13" w:rsidR="00707125" w:rsidRPr="00D77A30" w:rsidRDefault="00707125" w:rsidP="00C747DF">
    <w:pPr>
      <w:pStyle w:val="Footer"/>
      <w:tabs>
        <w:tab w:val="clear" w:pos="4320"/>
        <w:tab w:val="clear" w:pos="8640"/>
        <w:tab w:val="right" w:pos="9360"/>
      </w:tabs>
      <w:rPr>
        <w:b/>
        <w:sz w:val="20"/>
        <w:szCs w:val="20"/>
      </w:rPr>
    </w:pPr>
    <w:r w:rsidRPr="00D77A30">
      <w:rPr>
        <w:b/>
        <w:sz w:val="20"/>
        <w:szCs w:val="20"/>
      </w:rPr>
      <w:t>Pacific Gas and Electric Company</w:t>
    </w:r>
    <w:r w:rsidRPr="00D77A30">
      <w:rPr>
        <w:b/>
        <w:sz w:val="20"/>
        <w:szCs w:val="20"/>
      </w:rPr>
      <w:tab/>
      <w:t>May 31, 2014</w:t>
    </w:r>
  </w:p>
  <w:p w14:paraId="16C8B4EA" w14:textId="72216B27" w:rsidR="00707125" w:rsidRDefault="00707125" w:rsidP="00C747DF">
    <w:pPr>
      <w:pStyle w:val="Footer"/>
      <w:tabs>
        <w:tab w:val="clear" w:pos="4320"/>
        <w:tab w:val="clear" w:pos="8640"/>
        <w:tab w:val="right" w:pos="9360"/>
      </w:tabs>
      <w:rPr>
        <w:b/>
        <w:color w:val="0000FF"/>
        <w:sz w:val="20"/>
        <w:szCs w:val="20"/>
      </w:rPr>
    </w:pPr>
    <w:r w:rsidRPr="00D77A30">
      <w:rPr>
        <w:b/>
        <w:sz w:val="20"/>
        <w:szCs w:val="20"/>
      </w:rPr>
      <w:t>PGECOFST117 R5 Commercial Gas Conveyor Oven</w:t>
    </w:r>
    <w:r w:rsidRPr="00D77A30">
      <w:rPr>
        <w:b/>
        <w:sz w:val="20"/>
        <w:szCs w:val="20"/>
      </w:rPr>
      <w:tab/>
    </w:r>
    <w:r w:rsidRPr="00D77A30">
      <w:rPr>
        <w:b/>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707125" w:rsidRPr="002E0E3F" w:rsidRDefault="00707125" w:rsidP="00D7047A">
    <w:pPr>
      <w:pStyle w:val="Footer"/>
      <w:jc w:val="right"/>
      <w:rPr>
        <w:rFonts w:cs="Arial"/>
        <w:b/>
        <w:sz w:val="36"/>
        <w:szCs w:val="36"/>
      </w:rPr>
    </w:pPr>
    <w:r>
      <w:rPr>
        <w:rFonts w:cs="Arial"/>
        <w:b/>
        <w:sz w:val="36"/>
        <w:szCs w:val="36"/>
      </w:rPr>
      <w:t>Date of Last Revision</w:t>
    </w:r>
  </w:p>
  <w:p w14:paraId="393A15B9" w14:textId="77777777" w:rsidR="00707125" w:rsidRDefault="007071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7E167" w14:textId="77777777" w:rsidR="00F71B92" w:rsidRDefault="00F71B92">
      <w:r>
        <w:separator/>
      </w:r>
    </w:p>
    <w:p w14:paraId="4ECF1DC9" w14:textId="77777777" w:rsidR="00F71B92" w:rsidRDefault="00F71B92"/>
  </w:footnote>
  <w:footnote w:type="continuationSeparator" w:id="0">
    <w:p w14:paraId="459B125D" w14:textId="77777777" w:rsidR="00F71B92" w:rsidRDefault="00F71B92">
      <w:r>
        <w:continuationSeparator/>
      </w:r>
    </w:p>
    <w:p w14:paraId="691C4AA1" w14:textId="77777777" w:rsidR="00F71B92" w:rsidRDefault="00F71B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707125" w:rsidRDefault="003174BF">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707125" w:rsidRDefault="00707125" w:rsidP="001A573F">
    <w:pPr>
      <w:pStyle w:val="Header"/>
      <w:jc w:val="right"/>
    </w:pPr>
  </w:p>
  <w:p w14:paraId="393A15A5" w14:textId="77777777" w:rsidR="00707125" w:rsidRDefault="0070712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707125" w:rsidRDefault="003174BF">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707125" w:rsidRDefault="00707125" w:rsidP="001A573F">
    <w:pPr>
      <w:pStyle w:val="Header"/>
      <w:jc w:val="right"/>
    </w:pPr>
  </w:p>
  <w:p w14:paraId="393A15B1" w14:textId="77777777" w:rsidR="00707125" w:rsidRDefault="00707125"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707125" w:rsidRDefault="003174BF">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7314F"/>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174BF"/>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478B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0762"/>
    <w:rsid w:val="006E3C13"/>
    <w:rsid w:val="006E5CB6"/>
    <w:rsid w:val="006F0139"/>
    <w:rsid w:val="006F214B"/>
    <w:rsid w:val="006F28C7"/>
    <w:rsid w:val="007001DD"/>
    <w:rsid w:val="0070443C"/>
    <w:rsid w:val="00707125"/>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793"/>
    <w:rsid w:val="009168A1"/>
    <w:rsid w:val="009241E2"/>
    <w:rsid w:val="00924681"/>
    <w:rsid w:val="0092622E"/>
    <w:rsid w:val="00930877"/>
    <w:rsid w:val="00932670"/>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14AC"/>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4ADA"/>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77A3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4E12"/>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1B9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s>
</file>

<file path=word/_rels/endnotes.xml.rels><?xml version="1.0" encoding="UTF-8" standalone="yes"?>
<Relationships xmlns="http://schemas.openxmlformats.org/package/2006/relationships"><Relationship Id="rId8" Type="http://schemas.openxmlformats.org/officeDocument/2006/relationships/oleObject" Target="embeddings/Microsoft_Word_97_-_2003_Document1.doc"/><Relationship Id="rId3" Type="http://schemas.openxmlformats.org/officeDocument/2006/relationships/hyperlink" Target="http://www.deeresources.com/deer0911planning/downloads/DEER_EULS_4-14-08.doc" TargetMode="External"/><Relationship Id="rId7" Type="http://schemas.openxmlformats.org/officeDocument/2006/relationships/image" Target="media/image1.emf"/><Relationship Id="rId2" Type="http://schemas.openxmlformats.org/officeDocument/2006/relationships/hyperlink" Target="http://www.deeresources.com/2014" TargetMode="External"/><Relationship Id="rId1" Type="http://schemas.openxmlformats.org/officeDocument/2006/relationships/hyperlink" Target="http://www.deeresources.com" TargetMode="External"/><Relationship Id="rId6" Type="http://schemas.openxmlformats.org/officeDocument/2006/relationships/hyperlink" Target="http://www.aqnet.com/" TargetMode="External"/><Relationship Id="rId5" Type="http://schemas.openxmlformats.org/officeDocument/2006/relationships/hyperlink" Target="http://www.deeresources.com/DEER2011/download/DEER2011_NTGR_2012-05-16.xls" TargetMode="External"/><Relationship Id="rId4" Type="http://schemas.openxmlformats.org/officeDocument/2006/relationships/hyperlink" Target="http://www.deeresources.com/20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BBED7485-DF5C-4025-A8ED-08C39F9D4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4</TotalTime>
  <Pages>18</Pages>
  <Words>3743</Words>
  <Characters>24404</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28091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Spoor, Charlene</cp:lastModifiedBy>
  <cp:revision>3</cp:revision>
  <cp:lastPrinted>2011-11-17T03:58:00Z</cp:lastPrinted>
  <dcterms:created xsi:type="dcterms:W3CDTF">2014-06-05T15:30:00Z</dcterms:created>
  <dcterms:modified xsi:type="dcterms:W3CDTF">2014-06-05T15:33:00Z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