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17B" w:rsidRPr="000A417B" w:rsidRDefault="000A417B" w:rsidP="000A417B">
      <w:pPr>
        <w:spacing w:after="0" w:line="240" w:lineRule="auto"/>
        <w:jc w:val="right"/>
        <w:rPr>
          <w:rFonts w:ascii="Arial" w:eastAsia="Times New Roman" w:hAnsi="Arial" w:cs="Arial"/>
          <w:b/>
          <w:sz w:val="48"/>
          <w:szCs w:val="48"/>
        </w:rPr>
      </w:pPr>
      <w:bookmarkStart w:id="0" w:name="_Toc342311739"/>
      <w:bookmarkStart w:id="1" w:name="_Toc387835517"/>
      <w:bookmarkStart w:id="2" w:name="_Toc153189646"/>
      <w:r w:rsidRPr="000A417B">
        <w:rPr>
          <w:rFonts w:ascii="Arial" w:eastAsia="Times New Roman" w:hAnsi="Arial" w:cs="Arial"/>
          <w:b/>
          <w:sz w:val="48"/>
          <w:szCs w:val="48"/>
        </w:rPr>
        <w:t xml:space="preserve">Work Paper </w:t>
      </w:r>
      <w:bookmarkEnd w:id="2"/>
      <w:r w:rsidRPr="000A417B">
        <w:rPr>
          <w:rFonts w:ascii="Arial" w:eastAsia="Times New Roman" w:hAnsi="Arial" w:cs="Arial"/>
          <w:b/>
          <w:sz w:val="48"/>
          <w:szCs w:val="48"/>
        </w:rPr>
        <w:t>PGECOFST116</w:t>
      </w:r>
    </w:p>
    <w:p w:rsidR="000A417B" w:rsidRPr="000A417B" w:rsidRDefault="000A417B" w:rsidP="000A417B">
      <w:pPr>
        <w:keepNext/>
        <w:spacing w:after="0" w:line="240" w:lineRule="auto"/>
        <w:jc w:val="right"/>
        <w:outlineLvl w:val="3"/>
        <w:rPr>
          <w:rFonts w:ascii="Arial" w:eastAsia="Times New Roman" w:hAnsi="Arial" w:cs="Arial"/>
          <w:b/>
          <w:sz w:val="48"/>
          <w:szCs w:val="48"/>
        </w:rPr>
      </w:pPr>
      <w:r w:rsidRPr="000A417B">
        <w:rPr>
          <w:rFonts w:ascii="Arial" w:eastAsia="Times New Roman" w:hAnsi="Arial" w:cs="Arial"/>
          <w:b/>
          <w:sz w:val="48"/>
          <w:szCs w:val="48"/>
        </w:rPr>
        <w:t>Demand Ventilation Controls</w:t>
      </w:r>
    </w:p>
    <w:p w:rsidR="000A417B" w:rsidRPr="000A417B" w:rsidRDefault="000A417B" w:rsidP="000A417B">
      <w:pPr>
        <w:spacing w:after="0" w:line="240" w:lineRule="auto"/>
        <w:jc w:val="right"/>
        <w:rPr>
          <w:rFonts w:ascii="Arial" w:eastAsia="Times New Roman" w:hAnsi="Arial" w:cs="Arial"/>
          <w:b/>
          <w:sz w:val="48"/>
          <w:szCs w:val="48"/>
        </w:rPr>
      </w:pPr>
      <w:bookmarkStart w:id="3" w:name="_Toc153189647"/>
      <w:r w:rsidRPr="000A417B">
        <w:rPr>
          <w:rFonts w:ascii="Arial" w:eastAsia="Times New Roman" w:hAnsi="Arial" w:cs="Arial"/>
          <w:b/>
          <w:sz w:val="48"/>
          <w:szCs w:val="48"/>
        </w:rPr>
        <w:t>Revision #</w:t>
      </w:r>
      <w:bookmarkEnd w:id="3"/>
      <w:r w:rsidRPr="000A417B">
        <w:rPr>
          <w:rFonts w:ascii="Arial" w:eastAsia="Times New Roman" w:hAnsi="Arial" w:cs="Arial"/>
          <w:b/>
          <w:sz w:val="48"/>
          <w:szCs w:val="48"/>
        </w:rPr>
        <w:t xml:space="preserve"> </w:t>
      </w:r>
      <w:r>
        <w:rPr>
          <w:rFonts w:ascii="Arial" w:eastAsia="Times New Roman" w:hAnsi="Arial" w:cs="Arial"/>
          <w:b/>
          <w:sz w:val="48"/>
          <w:szCs w:val="48"/>
        </w:rPr>
        <w:t>4</w:t>
      </w: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pBdr>
          <w:bottom w:val="single" w:sz="4" w:space="1" w:color="auto"/>
        </w:pBdr>
        <w:spacing w:after="0" w:line="240" w:lineRule="auto"/>
        <w:rPr>
          <w:rFonts w:ascii="Arial" w:eastAsia="Times New Roman" w:hAnsi="Arial" w:cs="Arial"/>
          <w:b/>
          <w:sz w:val="36"/>
          <w:szCs w:val="36"/>
        </w:rPr>
      </w:pPr>
      <w:r w:rsidRPr="000A417B">
        <w:rPr>
          <w:rFonts w:ascii="Arial" w:eastAsia="Times New Roman" w:hAnsi="Arial" w:cs="Arial"/>
          <w:b/>
          <w:sz w:val="36"/>
          <w:szCs w:val="36"/>
        </w:rPr>
        <w:t>Pacific Gas &amp; Electric Company</w:t>
      </w:r>
    </w:p>
    <w:p w:rsidR="000A417B" w:rsidRPr="000A417B" w:rsidRDefault="000A417B" w:rsidP="000A417B">
      <w:pPr>
        <w:spacing w:after="0" w:line="240" w:lineRule="auto"/>
        <w:rPr>
          <w:rFonts w:ascii="Arial" w:eastAsia="Times New Roman" w:hAnsi="Arial" w:cs="Arial"/>
          <w:b/>
          <w:sz w:val="32"/>
          <w:szCs w:val="32"/>
        </w:rPr>
      </w:pPr>
      <w:r w:rsidRPr="000A417B">
        <w:rPr>
          <w:rFonts w:ascii="Arial" w:eastAsia="Times New Roman" w:hAnsi="Arial" w:cs="Arial"/>
          <w:b/>
          <w:sz w:val="32"/>
          <w:szCs w:val="32"/>
        </w:rPr>
        <w:t>Customer Energy Solutions</w:t>
      </w: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ind w:right="-720"/>
        <w:rPr>
          <w:rFonts w:ascii="Arial" w:eastAsia="Times New Roman" w:hAnsi="Arial" w:cs="Arial"/>
          <w:b/>
          <w:sz w:val="56"/>
          <w:szCs w:val="56"/>
        </w:rPr>
      </w:pPr>
      <w:r w:rsidRPr="000A417B">
        <w:rPr>
          <w:rFonts w:ascii="Arial" w:eastAsia="Times New Roman" w:hAnsi="Arial" w:cs="Arial"/>
          <w:b/>
          <w:sz w:val="56"/>
          <w:szCs w:val="56"/>
        </w:rPr>
        <w:t xml:space="preserve">Commercial Kitchen Demand Ventilation Controls </w:t>
      </w:r>
    </w:p>
    <w:p w:rsidR="000A417B" w:rsidRPr="000A417B" w:rsidRDefault="000A417B" w:rsidP="000A417B">
      <w:pPr>
        <w:spacing w:after="0" w:line="240" w:lineRule="auto"/>
        <w:ind w:right="-720"/>
        <w:rPr>
          <w:rFonts w:ascii="Arial" w:eastAsia="Times New Roman" w:hAnsi="Arial" w:cs="Arial"/>
          <w:b/>
          <w:sz w:val="72"/>
          <w:szCs w:val="72"/>
        </w:rPr>
      </w:pPr>
      <w:r w:rsidRPr="000A417B">
        <w:rPr>
          <w:rFonts w:ascii="Arial" w:eastAsia="Times New Roman" w:hAnsi="Arial" w:cs="Arial"/>
          <w:b/>
          <w:sz w:val="24"/>
          <w:szCs w:val="24"/>
        </w:rPr>
        <w:t>Measure Codes F150</w:t>
      </w:r>
    </w:p>
    <w:p w:rsidR="000A417B" w:rsidRPr="000A417B" w:rsidRDefault="000A417B" w:rsidP="000A417B">
      <w:pPr>
        <w:spacing w:after="0" w:line="240" w:lineRule="auto"/>
        <w:rPr>
          <w:rFonts w:ascii="Arial" w:eastAsia="Times New Roman" w:hAnsi="Arial" w:cs="Arial"/>
          <w:b/>
          <w:sz w:val="72"/>
          <w:szCs w:val="72"/>
        </w:rPr>
      </w:pPr>
    </w:p>
    <w:p w:rsidR="000A417B" w:rsidRPr="000A417B" w:rsidRDefault="000A417B" w:rsidP="000A417B">
      <w:pPr>
        <w:spacing w:after="0" w:line="240" w:lineRule="auto"/>
        <w:rPr>
          <w:rFonts w:ascii="Arial" w:eastAsia="Times New Roman" w:hAnsi="Arial" w:cs="Arial"/>
          <w:b/>
          <w:sz w:val="72"/>
          <w:szCs w:val="72"/>
        </w:rPr>
        <w:sectPr w:rsidR="000A417B" w:rsidRPr="000A417B">
          <w:footerReference w:type="even" r:id="rId7"/>
          <w:footerReference w:type="default" r:id="rId8"/>
          <w:footerReference w:type="first" r:id="rId9"/>
          <w:endnotePr>
            <w:numFmt w:val="decimal"/>
          </w:endnotePr>
          <w:pgSz w:w="12240" w:h="15840" w:code="1"/>
          <w:pgMar w:top="1440" w:right="1800" w:bottom="1440" w:left="1800" w:header="720" w:footer="720" w:gutter="0"/>
          <w:pgNumType w:fmt="lowerRoman"/>
          <w:cols w:space="720"/>
          <w:titlePg/>
          <w:docGrid w:linePitch="360"/>
        </w:sectPr>
      </w:pPr>
    </w:p>
    <w:p w:rsidR="000A417B" w:rsidRPr="000A417B" w:rsidRDefault="000A417B" w:rsidP="000A417B">
      <w:pPr>
        <w:keepNext/>
        <w:spacing w:before="240" w:after="60" w:line="240" w:lineRule="auto"/>
        <w:outlineLvl w:val="0"/>
        <w:rPr>
          <w:rFonts w:ascii="Arial" w:eastAsia="Times New Roman" w:hAnsi="Arial" w:cs="Arial"/>
          <w:b/>
          <w:bCs/>
          <w:kern w:val="32"/>
          <w:sz w:val="32"/>
          <w:szCs w:val="32"/>
        </w:rPr>
      </w:pPr>
      <w:bookmarkStart w:id="5" w:name="_Toc327789696"/>
      <w:r w:rsidRPr="000A417B">
        <w:rPr>
          <w:rFonts w:ascii="Arial" w:eastAsia="Times New Roman" w:hAnsi="Arial" w:cs="Arial"/>
          <w:b/>
          <w:bCs/>
          <w:kern w:val="32"/>
          <w:sz w:val="32"/>
          <w:szCs w:val="32"/>
        </w:rPr>
        <w:lastRenderedPageBreak/>
        <w:t>At-a-Glance Summary</w:t>
      </w:r>
      <w:bookmarkEnd w:id="5"/>
    </w:p>
    <w:tbl>
      <w:tblPr>
        <w:tblW w:w="0" w:type="auto"/>
        <w:tblBorders>
          <w:insideH w:val="single" w:sz="18" w:space="0" w:color="FFFFFF"/>
          <w:insideV w:val="single" w:sz="18" w:space="0" w:color="FFFFFF"/>
        </w:tblBorders>
        <w:tblLook w:val="01E0" w:firstRow="1" w:lastRow="1" w:firstColumn="1" w:lastColumn="1" w:noHBand="0" w:noVBand="0"/>
      </w:tblPr>
      <w:tblGrid>
        <w:gridCol w:w="2426"/>
        <w:gridCol w:w="7150"/>
      </w:tblGrid>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Applicable Measure Codes:</w:t>
            </w:r>
          </w:p>
        </w:tc>
        <w:tc>
          <w:tcPr>
            <w:tcW w:w="0" w:type="auto"/>
            <w:shd w:val="pct20" w:color="000000" w:fill="FFFFFF"/>
            <w:vAlign w:val="center"/>
          </w:tcPr>
          <w:p w:rsidR="000A417B" w:rsidRPr="000A417B" w:rsidRDefault="000A417B" w:rsidP="000A417B">
            <w:pPr>
              <w:spacing w:after="0" w:line="240" w:lineRule="auto"/>
              <w:jc w:val="center"/>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F150</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Measure Description: </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Commercial Kitchen Demand Ventilation Control</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Energy Impact Common Units: </w:t>
            </w:r>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Source: PG&amp;E Calculations</w:t>
            </w:r>
            <w:r w:rsidRPr="000A417B">
              <w:rPr>
                <w:rFonts w:ascii="Times New Roman" w:eastAsia="Times New Roman" w:hAnsi="Times New Roman" w:cs="Times New Roman"/>
                <w:sz w:val="20"/>
                <w:szCs w:val="20"/>
              </w:rPr>
              <w:br/>
              <w:t>Per nameplate rated exhaust fan horsepower (</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Base Case Description:</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Single-speed commercial kitchen exhaust system</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Base Case Energy Consumption: </w:t>
            </w:r>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7,172 kWh/</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 and 404 therms/</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Measure Energy Consumption:</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2,976 kWh/</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 and 299 therms/</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Energy Savings (Base Case – Measure)</w:t>
            </w:r>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4,197 kWh/</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 and 105 therms/</w:t>
            </w:r>
            <w:proofErr w:type="spellStart"/>
            <w:r w:rsidRPr="000A417B">
              <w:rPr>
                <w:rFonts w:ascii="Times New Roman" w:eastAsia="Times New Roman" w:hAnsi="Times New Roman" w:cs="Times New Roman"/>
                <w:sz w:val="20"/>
                <w:szCs w:val="20"/>
              </w:rPr>
              <w:t>yr</w:t>
            </w:r>
            <w:proofErr w:type="spellEnd"/>
            <w:r w:rsidRPr="000A417B">
              <w:rPr>
                <w:rFonts w:ascii="Times New Roman" w:eastAsia="Times New Roman" w:hAnsi="Times New Roman" w:cs="Times New Roman"/>
                <w:sz w:val="20"/>
                <w:szCs w:val="20"/>
              </w:rPr>
              <w:t>/</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Costs Common Units: </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Source: PG&amp;E Calculations</w:t>
            </w:r>
            <w:r w:rsidRPr="000A417B">
              <w:rPr>
                <w:rFonts w:ascii="Times New Roman" w:eastAsia="Times New Roman" w:hAnsi="Times New Roman" w:cs="Times New Roman"/>
                <w:sz w:val="20"/>
                <w:szCs w:val="20"/>
              </w:rPr>
              <w:br/>
              <w:t>Per nameplate rated exhaust fan horsepower</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Base Case Equipment Cost ($/unit):</w:t>
            </w:r>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$0</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Measure Equipment Cost ($/unit): </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$1,991/</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bookmarkStart w:id="6" w:name="OLE_LINK1"/>
            <w:r w:rsidRPr="000A417B">
              <w:rPr>
                <w:rFonts w:ascii="Times New Roman" w:eastAsia="Times New Roman" w:hAnsi="Times New Roman" w:cs="Times New Roman"/>
                <w:b/>
                <w:sz w:val="20"/>
                <w:szCs w:val="20"/>
              </w:rPr>
              <w:t xml:space="preserve">Measure Incremental Cost ($/unit): </w:t>
            </w:r>
            <w:bookmarkEnd w:id="6"/>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Calculations. </w:t>
            </w:r>
            <w:r w:rsidRPr="000A417B">
              <w:rPr>
                <w:rFonts w:ascii="Times New Roman" w:eastAsia="Times New Roman" w:hAnsi="Times New Roman" w:cs="Times New Roman"/>
                <w:sz w:val="20"/>
                <w:szCs w:val="20"/>
              </w:rPr>
              <w:br/>
              <w:t>$1,991/</w:t>
            </w:r>
            <w:proofErr w:type="spellStart"/>
            <w:r w:rsidRPr="000A417B">
              <w:rPr>
                <w:rFonts w:ascii="Times New Roman" w:eastAsia="Times New Roman" w:hAnsi="Times New Roman" w:cs="Times New Roman"/>
                <w:sz w:val="20"/>
                <w:szCs w:val="20"/>
              </w:rPr>
              <w:t>Exh</w:t>
            </w:r>
            <w:proofErr w:type="spellEnd"/>
            <w:r w:rsidRPr="000A417B">
              <w:rPr>
                <w:rFonts w:ascii="Times New Roman" w:eastAsia="Times New Roman" w:hAnsi="Times New Roman" w:cs="Times New Roman"/>
                <w:sz w:val="20"/>
                <w:szCs w:val="20"/>
              </w:rPr>
              <w:t xml:space="preserve"> HP</w:t>
            </w:r>
          </w:p>
        </w:tc>
      </w:tr>
      <w:tr w:rsidR="000A417B" w:rsidRPr="000A417B" w:rsidTr="00905D73">
        <w:trPr>
          <w:trHeight w:val="465"/>
        </w:trPr>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 xml:space="preserve">Effective Useful Life (years): </w:t>
            </w:r>
          </w:p>
        </w:tc>
        <w:tc>
          <w:tcPr>
            <w:tcW w:w="0" w:type="auto"/>
            <w:shd w:val="pct5"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 xml:space="preserve">Source: PG&amp;E. </w:t>
            </w:r>
            <w:r w:rsidRPr="000A417B">
              <w:rPr>
                <w:rFonts w:ascii="Times New Roman" w:eastAsia="Times New Roman" w:hAnsi="Times New Roman" w:cs="Times New Roman"/>
                <w:sz w:val="20"/>
                <w:szCs w:val="20"/>
              </w:rPr>
              <w:br/>
              <w:t>EUL = 15 years</w:t>
            </w:r>
          </w:p>
        </w:tc>
      </w:tr>
      <w:tr w:rsidR="000A417B" w:rsidRPr="000A417B" w:rsidTr="00905D73">
        <w:trPr>
          <w:trHeight w:val="465"/>
        </w:trPr>
        <w:tc>
          <w:tcPr>
            <w:tcW w:w="0" w:type="auto"/>
            <w:shd w:val="pct20" w:color="000000" w:fill="FFFFFF"/>
          </w:tcPr>
          <w:p w:rsidR="000A417B" w:rsidRPr="000A417B" w:rsidRDefault="000A417B" w:rsidP="000A417B">
            <w:pPr>
              <w:spacing w:after="0" w:line="240" w:lineRule="auto"/>
              <w:rPr>
                <w:rFonts w:ascii="Times New Roman" w:eastAsia="Times New Roman" w:hAnsi="Times New Roman" w:cs="Times New Roman"/>
                <w:b/>
                <w:sz w:val="24"/>
                <w:szCs w:val="24"/>
              </w:rPr>
            </w:pPr>
            <w:r w:rsidRPr="000A417B">
              <w:rPr>
                <w:rFonts w:ascii="Times New Roman" w:eastAsia="Times New Roman" w:hAnsi="Times New Roman" w:cs="Times New Roman"/>
                <w:b/>
                <w:sz w:val="24"/>
                <w:szCs w:val="24"/>
              </w:rPr>
              <w:t>Program Type:</w:t>
            </w:r>
          </w:p>
        </w:tc>
        <w:tc>
          <w:tcPr>
            <w:tcW w:w="0" w:type="auto"/>
            <w:shd w:val="pct20" w:color="000000" w:fill="FFFFFF"/>
          </w:tcPr>
          <w:tbl>
            <w:tblPr>
              <w:tblW w:w="5001" w:type="pct"/>
              <w:tblBorders>
                <w:insideH w:val="single" w:sz="18" w:space="0" w:color="FFFFFF"/>
                <w:insideV w:val="single" w:sz="18" w:space="0" w:color="FFFFFF"/>
              </w:tblBorders>
              <w:tblLook w:val="01E0" w:firstRow="1" w:lastRow="1" w:firstColumn="1" w:lastColumn="1" w:noHBand="0" w:noVBand="0"/>
            </w:tblPr>
            <w:tblGrid>
              <w:gridCol w:w="6935"/>
            </w:tblGrid>
            <w:tr w:rsidR="000A417B" w:rsidRPr="000A417B" w:rsidTr="00905D73">
              <w:trPr>
                <w:trHeight w:val="465"/>
              </w:trPr>
              <w:tc>
                <w:tcPr>
                  <w:tcW w:w="1812" w:type="pct"/>
                  <w:shd w:val="pct20" w:color="000000" w:fill="FFFFFF"/>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Replace on Burnout</w:t>
                  </w:r>
                  <w:r w:rsidRPr="000A417B">
                    <w:rPr>
                      <w:rFonts w:ascii="Times New Roman" w:eastAsia="Times New Roman" w:hAnsi="Times New Roman" w:cs="Times New Roman"/>
                      <w:sz w:val="20"/>
                      <w:szCs w:val="20"/>
                    </w:rPr>
                    <w:fldChar w:fldCharType="begin"/>
                  </w:r>
                  <w:r w:rsidRPr="000A417B">
                    <w:rPr>
                      <w:rFonts w:ascii="Times New Roman" w:eastAsia="Times New Roman" w:hAnsi="Times New Roman" w:cs="Times New Roman"/>
                      <w:sz w:val="24"/>
                      <w:szCs w:val="24"/>
                    </w:rPr>
                    <w:instrText xml:space="preserve"> XE "</w:instrText>
                  </w:r>
                  <w:r w:rsidRPr="000A417B">
                    <w:rPr>
                      <w:rFonts w:ascii="Times New Roman" w:eastAsia="Times New Roman" w:hAnsi="Times New Roman" w:cs="Times New Roman"/>
                      <w:sz w:val="20"/>
                      <w:szCs w:val="20"/>
                    </w:rPr>
                    <w:instrText>Replace on Burnout</w:instrText>
                  </w:r>
                  <w:r w:rsidRPr="000A417B">
                    <w:rPr>
                      <w:rFonts w:ascii="Times New Roman" w:eastAsia="Times New Roman" w:hAnsi="Times New Roman" w:cs="Times New Roman"/>
                      <w:sz w:val="24"/>
                      <w:szCs w:val="24"/>
                    </w:rPr>
                    <w:instrText xml:space="preserve">" </w:instrText>
                  </w:r>
                  <w:r w:rsidRPr="000A417B">
                    <w:rPr>
                      <w:rFonts w:ascii="Times New Roman" w:eastAsia="Times New Roman" w:hAnsi="Times New Roman" w:cs="Times New Roman"/>
                      <w:sz w:val="20"/>
                      <w:szCs w:val="20"/>
                    </w:rPr>
                    <w:fldChar w:fldCharType="end"/>
                  </w:r>
                  <w:r w:rsidRPr="000A417B">
                    <w:rPr>
                      <w:rFonts w:ascii="Times New Roman" w:eastAsia="Times New Roman" w:hAnsi="Times New Roman" w:cs="Times New Roman"/>
                      <w:sz w:val="20"/>
                      <w:szCs w:val="20"/>
                    </w:rPr>
                    <w:t xml:space="preserve"> (ROB), and New Construction</w:t>
                  </w:r>
                  <w:r w:rsidRPr="000A417B">
                    <w:rPr>
                      <w:rFonts w:ascii="Times New Roman" w:eastAsia="Times New Roman" w:hAnsi="Times New Roman" w:cs="Times New Roman"/>
                      <w:sz w:val="20"/>
                      <w:szCs w:val="20"/>
                    </w:rPr>
                    <w:fldChar w:fldCharType="begin"/>
                  </w:r>
                  <w:r w:rsidRPr="000A417B">
                    <w:rPr>
                      <w:rFonts w:ascii="Times New Roman" w:eastAsia="Times New Roman" w:hAnsi="Times New Roman" w:cs="Times New Roman"/>
                      <w:sz w:val="24"/>
                      <w:szCs w:val="24"/>
                    </w:rPr>
                    <w:instrText xml:space="preserve"> XE "</w:instrText>
                  </w:r>
                  <w:r w:rsidRPr="000A417B">
                    <w:rPr>
                      <w:rFonts w:ascii="Times New Roman" w:eastAsia="Times New Roman" w:hAnsi="Times New Roman" w:cs="Times New Roman"/>
                      <w:sz w:val="20"/>
                      <w:szCs w:val="20"/>
                    </w:rPr>
                    <w:instrText>New Construction</w:instrText>
                  </w:r>
                  <w:r w:rsidRPr="000A417B">
                    <w:rPr>
                      <w:rFonts w:ascii="Times New Roman" w:eastAsia="Times New Roman" w:hAnsi="Times New Roman" w:cs="Times New Roman"/>
                      <w:sz w:val="24"/>
                      <w:szCs w:val="24"/>
                    </w:rPr>
                    <w:instrText xml:space="preserve">" </w:instrText>
                  </w:r>
                  <w:r w:rsidRPr="000A417B">
                    <w:rPr>
                      <w:rFonts w:ascii="Times New Roman" w:eastAsia="Times New Roman" w:hAnsi="Times New Roman" w:cs="Times New Roman"/>
                      <w:sz w:val="20"/>
                      <w:szCs w:val="20"/>
                    </w:rPr>
                    <w:fldChar w:fldCharType="end"/>
                  </w:r>
                  <w:r w:rsidRPr="000A417B">
                    <w:rPr>
                      <w:rFonts w:ascii="Times New Roman" w:eastAsia="Times New Roman" w:hAnsi="Times New Roman" w:cs="Times New Roman"/>
                      <w:sz w:val="20"/>
                      <w:szCs w:val="20"/>
                    </w:rPr>
                    <w:t xml:space="preserve"> (NC).</w:t>
                  </w:r>
                </w:p>
              </w:tc>
            </w:tr>
          </w:tbl>
          <w:p w:rsidR="000A417B" w:rsidRPr="000A417B" w:rsidRDefault="000A417B" w:rsidP="000A417B">
            <w:pPr>
              <w:spacing w:after="0" w:line="240" w:lineRule="auto"/>
              <w:rPr>
                <w:rFonts w:ascii="Times New Roman" w:eastAsia="Times New Roman" w:hAnsi="Times New Roman" w:cs="Times New Roman"/>
                <w:sz w:val="20"/>
                <w:szCs w:val="20"/>
              </w:rPr>
            </w:pPr>
          </w:p>
        </w:tc>
      </w:tr>
      <w:tr w:rsidR="000A417B" w:rsidRPr="000A417B" w:rsidTr="00905D73">
        <w:trPr>
          <w:trHeight w:val="465"/>
        </w:trPr>
        <w:tc>
          <w:tcPr>
            <w:tcW w:w="0" w:type="auto"/>
            <w:shd w:val="pct5" w:color="000000" w:fill="FFFFFF"/>
          </w:tcPr>
          <w:p w:rsidR="000A417B" w:rsidRPr="000A417B" w:rsidRDefault="000A417B" w:rsidP="000A417B">
            <w:pPr>
              <w:spacing w:after="0" w:line="240" w:lineRule="auto"/>
              <w:rPr>
                <w:rFonts w:ascii="Times New Roman" w:eastAsia="Times New Roman" w:hAnsi="Times New Roman" w:cs="Times New Roman"/>
                <w:b/>
                <w:sz w:val="24"/>
                <w:szCs w:val="24"/>
                <w:highlight w:val="red"/>
              </w:rPr>
            </w:pPr>
            <w:r w:rsidRPr="000A417B">
              <w:rPr>
                <w:rFonts w:ascii="Times New Roman" w:eastAsia="Times New Roman" w:hAnsi="Times New Roman" w:cs="Times New Roman"/>
                <w:b/>
                <w:sz w:val="24"/>
                <w:szCs w:val="24"/>
              </w:rPr>
              <w:t xml:space="preserve">Net-to-Gross Ratios: </w:t>
            </w:r>
          </w:p>
        </w:tc>
        <w:tc>
          <w:tcPr>
            <w:tcW w:w="0" w:type="auto"/>
            <w:shd w:val="pct5" w:color="000000" w:fill="FFFFFF"/>
          </w:tcPr>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Source: 2011 DEER Default</w:t>
            </w:r>
          </w:p>
          <w:p w:rsidR="000A417B" w:rsidRPr="000A417B" w:rsidRDefault="000A417B" w:rsidP="000A417B">
            <w:pPr>
              <w:spacing w:after="0" w:line="240" w:lineRule="auto"/>
              <w:rPr>
                <w:rFonts w:ascii="Times New Roman" w:eastAsia="Times New Roman" w:hAnsi="Times New Roman" w:cs="Times New Roman"/>
                <w:sz w:val="20"/>
                <w:szCs w:val="20"/>
              </w:rPr>
            </w:pPr>
            <w:r w:rsidRPr="000A417B">
              <w:rPr>
                <w:rFonts w:ascii="Times New Roman" w:eastAsia="Times New Roman" w:hAnsi="Times New Roman" w:cs="Times New Roman"/>
                <w:sz w:val="20"/>
                <w:szCs w:val="20"/>
              </w:rPr>
              <w:t>0.6</w:t>
            </w:r>
          </w:p>
        </w:tc>
      </w:tr>
      <w:tr w:rsidR="000A417B" w:rsidRPr="000A417B" w:rsidTr="00905D73">
        <w:trPr>
          <w:trHeight w:val="465"/>
        </w:trPr>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b/>
                <w:sz w:val="20"/>
                <w:szCs w:val="20"/>
              </w:rPr>
            </w:pPr>
            <w:r w:rsidRPr="000A417B">
              <w:rPr>
                <w:rFonts w:ascii="Times New Roman" w:eastAsia="Times New Roman" w:hAnsi="Times New Roman" w:cs="Times New Roman"/>
                <w:b/>
                <w:sz w:val="20"/>
                <w:szCs w:val="20"/>
              </w:rPr>
              <w:t>Important Comments:</w:t>
            </w:r>
          </w:p>
        </w:tc>
        <w:tc>
          <w:tcPr>
            <w:tcW w:w="0" w:type="auto"/>
            <w:shd w:val="pct20" w:color="000000" w:fill="FFFFFF"/>
            <w:vAlign w:val="center"/>
          </w:tcPr>
          <w:p w:rsidR="000A417B" w:rsidRPr="000A417B" w:rsidRDefault="000A417B" w:rsidP="000A417B">
            <w:pPr>
              <w:spacing w:after="0" w:line="240" w:lineRule="auto"/>
              <w:rPr>
                <w:rFonts w:ascii="Times New Roman" w:eastAsia="Times New Roman" w:hAnsi="Times New Roman" w:cs="Times New Roman"/>
                <w:sz w:val="20"/>
                <w:szCs w:val="20"/>
              </w:rPr>
            </w:pPr>
          </w:p>
        </w:tc>
      </w:tr>
    </w:tbl>
    <w:p w:rsidR="000A417B" w:rsidRPr="000A417B" w:rsidRDefault="000A417B" w:rsidP="000A417B">
      <w:pPr>
        <w:tabs>
          <w:tab w:val="center" w:pos="4320"/>
          <w:tab w:val="right" w:pos="8640"/>
        </w:tabs>
        <w:spacing w:after="0" w:line="240" w:lineRule="auto"/>
        <w:rPr>
          <w:rFonts w:ascii="Times New Roman" w:eastAsia="Times New Roman" w:hAnsi="Times New Roman" w:cs="Times New Roman"/>
          <w:sz w:val="24"/>
          <w:szCs w:val="24"/>
        </w:rPr>
      </w:pPr>
    </w:p>
    <w:p w:rsidR="000A417B" w:rsidRPr="000A417B" w:rsidRDefault="000A417B" w:rsidP="000A417B">
      <w:pPr>
        <w:keepNext/>
        <w:spacing w:before="240" w:after="60" w:line="240" w:lineRule="auto"/>
        <w:outlineLvl w:val="0"/>
        <w:rPr>
          <w:rFonts w:ascii="Arial" w:eastAsia="Times New Roman" w:hAnsi="Arial" w:cs="Arial"/>
          <w:b/>
          <w:bCs/>
          <w:kern w:val="32"/>
          <w:sz w:val="32"/>
          <w:szCs w:val="32"/>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pPr>
    </w:p>
    <w:p w:rsidR="000A417B" w:rsidRPr="000A417B" w:rsidRDefault="000A417B" w:rsidP="000A417B">
      <w:pPr>
        <w:spacing w:after="0" w:line="240" w:lineRule="auto"/>
        <w:rPr>
          <w:rFonts w:ascii="Times New Roman" w:eastAsia="Times New Roman" w:hAnsi="Times New Roman" w:cs="Times New Roman"/>
          <w:sz w:val="24"/>
          <w:szCs w:val="24"/>
        </w:rPr>
        <w:sectPr w:rsidR="000A417B" w:rsidRPr="000A417B">
          <w:footerReference w:type="default" r:id="rId10"/>
          <w:endnotePr>
            <w:numFmt w:val="decimal"/>
          </w:endnotePr>
          <w:pgSz w:w="12240" w:h="15840"/>
          <w:pgMar w:top="1440" w:right="1440" w:bottom="1440" w:left="1440" w:header="720" w:footer="720" w:gutter="0"/>
          <w:pgNumType w:fmt="lowerRoman"/>
          <w:cols w:space="720"/>
          <w:docGrid w:linePitch="360"/>
        </w:sectPr>
      </w:pPr>
    </w:p>
    <w:p w:rsidR="00EB50BD" w:rsidRPr="00EB50BD" w:rsidRDefault="00EB50BD" w:rsidP="00EB50BD">
      <w:pPr>
        <w:keepNext/>
        <w:spacing w:before="240" w:after="60" w:line="240" w:lineRule="auto"/>
        <w:outlineLvl w:val="0"/>
        <w:rPr>
          <w:rFonts w:ascii="Arial" w:eastAsia="Times New Roman" w:hAnsi="Arial" w:cs="Arial"/>
          <w:b/>
          <w:bCs/>
          <w:kern w:val="32"/>
          <w:sz w:val="32"/>
          <w:szCs w:val="32"/>
        </w:rPr>
      </w:pPr>
      <w:r w:rsidRPr="00EB50BD">
        <w:rPr>
          <w:rFonts w:ascii="Arial" w:eastAsia="Times New Roman" w:hAnsi="Arial" w:cs="Arial"/>
          <w:b/>
          <w:bCs/>
          <w:kern w:val="32"/>
          <w:sz w:val="32"/>
          <w:szCs w:val="32"/>
        </w:rPr>
        <w:lastRenderedPageBreak/>
        <w:t>Work Paper Approvals</w:t>
      </w:r>
      <w:bookmarkEnd w:id="0"/>
      <w:bookmarkEnd w:id="1"/>
    </w:p>
    <w:p w:rsidR="00EB50BD" w:rsidRPr="00EB50BD" w:rsidRDefault="00EB50BD" w:rsidP="00EB50BD">
      <w:pPr>
        <w:spacing w:after="0" w:line="240" w:lineRule="auto"/>
        <w:rPr>
          <w:rFonts w:ascii="Arial" w:hAnsi="Arial" w:cs="Times New Roman"/>
          <w:szCs w:val="24"/>
        </w:rPr>
      </w:pPr>
      <w:r w:rsidRPr="00EB50BD">
        <w:rPr>
          <w:rFonts w:ascii="Arial" w:eastAsia="Times New Roman" w:hAnsi="Arial" w:cs="Times New Roman"/>
          <w:szCs w:val="24"/>
        </w:rPr>
        <w:t xml:space="preserve">The following Manager(s) approved this workpaper through the PG&amp;E Electronic Data Routing System under Routing Requisition # </w:t>
      </w:r>
      <w:r w:rsidRPr="00EB50BD">
        <w:rPr>
          <w:rFonts w:ascii="Arial" w:eastAsia="Times New Roman" w:hAnsi="Arial" w:cs="Times New Roman"/>
          <w:szCs w:val="24"/>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EB50BD" w:rsidRPr="00EB50BD" w:rsidTr="00905D73">
        <w:tc>
          <w:tcPr>
            <w:tcW w:w="5000" w:type="pct"/>
            <w:tcMar>
              <w:top w:w="0" w:type="dxa"/>
              <w:left w:w="108" w:type="dxa"/>
              <w:bottom w:w="0" w:type="dxa"/>
              <w:right w:w="108" w:type="dxa"/>
            </w:tcMar>
          </w:tcPr>
          <w:p w:rsidR="00EB50BD" w:rsidRPr="00EB50BD" w:rsidRDefault="00EB50BD" w:rsidP="00EB50BD">
            <w:pPr>
              <w:spacing w:after="0" w:line="240" w:lineRule="auto"/>
              <w:rPr>
                <w:rFonts w:ascii="Arial" w:hAnsi="Arial" w:cs="Arial"/>
              </w:rPr>
            </w:pPr>
          </w:p>
        </w:tc>
      </w:tr>
      <w:tr w:rsidR="00EB50BD" w:rsidRPr="00EB50BD" w:rsidTr="00905D73">
        <w:tc>
          <w:tcPr>
            <w:tcW w:w="5000" w:type="pct"/>
            <w:tcMar>
              <w:top w:w="0" w:type="dxa"/>
              <w:left w:w="108" w:type="dxa"/>
              <w:bottom w:w="0" w:type="dxa"/>
              <w:right w:w="108" w:type="dxa"/>
            </w:tcMar>
            <w:hideMark/>
          </w:tcPr>
          <w:p w:rsidR="00EB50BD" w:rsidRPr="00EB50BD" w:rsidRDefault="00EB50BD" w:rsidP="00EB50BD">
            <w:pPr>
              <w:spacing w:after="0" w:line="240" w:lineRule="auto"/>
              <w:rPr>
                <w:rFonts w:ascii="Arial" w:hAnsi="Arial" w:cs="Arial"/>
                <w:b/>
                <w:bCs/>
              </w:rPr>
            </w:pPr>
            <w:r w:rsidRPr="00EB50BD">
              <w:rPr>
                <w:rFonts w:ascii="Arial" w:eastAsia="Times New Roman" w:hAnsi="Arial" w:cs="Times New Roman"/>
                <w:b/>
                <w:bCs/>
                <w:szCs w:val="24"/>
              </w:rPr>
              <w:t>Grant Brohard</w:t>
            </w:r>
          </w:p>
          <w:p w:rsidR="00EB50BD" w:rsidRPr="00EB50BD" w:rsidRDefault="00EB50BD" w:rsidP="00EB50BD">
            <w:pPr>
              <w:spacing w:after="0" w:line="240" w:lineRule="auto"/>
              <w:rPr>
                <w:rFonts w:ascii="Arial" w:hAnsi="Arial" w:cs="Arial"/>
              </w:rPr>
            </w:pPr>
            <w:r w:rsidRPr="00EB50BD">
              <w:rPr>
                <w:rFonts w:ascii="Arial" w:eastAsia="Times New Roman" w:hAnsi="Arial" w:cs="Times New Roman"/>
                <w:szCs w:val="24"/>
              </w:rPr>
              <w:t>Manager, Technical Product Support</w:t>
            </w:r>
          </w:p>
        </w:tc>
      </w:tr>
      <w:tr w:rsidR="00EB50BD" w:rsidRPr="00EB50BD" w:rsidTr="00905D73">
        <w:tc>
          <w:tcPr>
            <w:tcW w:w="5000" w:type="pct"/>
            <w:tcMar>
              <w:top w:w="0" w:type="dxa"/>
              <w:left w:w="108" w:type="dxa"/>
              <w:bottom w:w="0" w:type="dxa"/>
              <w:right w:w="108" w:type="dxa"/>
            </w:tcMar>
          </w:tcPr>
          <w:p w:rsidR="00EB50BD" w:rsidRPr="00EB50BD" w:rsidRDefault="00EB50BD" w:rsidP="00EB50BD">
            <w:pPr>
              <w:spacing w:after="0" w:line="240" w:lineRule="auto"/>
              <w:rPr>
                <w:rFonts w:ascii="Arial" w:hAnsi="Arial" w:cs="Arial"/>
                <w:b/>
                <w:bCs/>
              </w:rPr>
            </w:pPr>
          </w:p>
          <w:p w:rsidR="00EB50BD" w:rsidRPr="00EB50BD" w:rsidRDefault="00EB50BD" w:rsidP="00EB50BD">
            <w:pPr>
              <w:spacing w:after="0" w:line="240" w:lineRule="auto"/>
              <w:rPr>
                <w:rFonts w:ascii="Arial" w:eastAsia="Times New Roman" w:hAnsi="Arial" w:cs="Times New Roman"/>
                <w:b/>
                <w:bCs/>
                <w:szCs w:val="24"/>
              </w:rPr>
            </w:pPr>
            <w:r w:rsidRPr="00EB50BD">
              <w:rPr>
                <w:rFonts w:ascii="Arial" w:eastAsia="Times New Roman" w:hAnsi="Arial" w:cs="Times New Roman"/>
                <w:b/>
                <w:bCs/>
                <w:szCs w:val="24"/>
              </w:rPr>
              <w:t>Carolyn Weiner</w:t>
            </w:r>
          </w:p>
          <w:p w:rsidR="00EB50BD" w:rsidRPr="00EB50BD" w:rsidRDefault="00EB50BD" w:rsidP="00EB50BD">
            <w:pPr>
              <w:spacing w:after="0" w:line="240" w:lineRule="auto"/>
              <w:rPr>
                <w:rFonts w:ascii="Arial" w:eastAsia="Times New Roman" w:hAnsi="Arial" w:cs="Times New Roman"/>
                <w:szCs w:val="24"/>
              </w:rPr>
            </w:pPr>
            <w:r w:rsidRPr="00EB50BD">
              <w:rPr>
                <w:rFonts w:ascii="Arial" w:eastAsia="Times New Roman" w:hAnsi="Arial" w:cs="Times New Roman"/>
                <w:szCs w:val="24"/>
              </w:rPr>
              <w:t xml:space="preserve">Manager, Appliance  Products </w:t>
            </w:r>
          </w:p>
          <w:p w:rsidR="00EB50BD" w:rsidRPr="00EB50BD" w:rsidRDefault="00EB50BD" w:rsidP="00EB50BD">
            <w:pPr>
              <w:spacing w:after="0" w:line="240" w:lineRule="auto"/>
              <w:rPr>
                <w:rFonts w:ascii="Arial" w:eastAsia="Times New Roman" w:hAnsi="Arial" w:cs="Times New Roman"/>
                <w:b/>
                <w:bCs/>
                <w:szCs w:val="24"/>
              </w:rPr>
            </w:pPr>
          </w:p>
          <w:p w:rsidR="00EB50BD" w:rsidRPr="00EB50BD" w:rsidRDefault="00EB50BD" w:rsidP="00EB50BD">
            <w:pPr>
              <w:spacing w:after="0" w:line="240" w:lineRule="auto"/>
              <w:rPr>
                <w:rFonts w:ascii="Arial" w:hAnsi="Arial" w:cs="Arial"/>
              </w:rPr>
            </w:pPr>
          </w:p>
        </w:tc>
      </w:tr>
    </w:tbl>
    <w:p w:rsidR="00EB50BD" w:rsidRPr="00EB50BD" w:rsidRDefault="00EB50BD" w:rsidP="00EB50BD">
      <w:pPr>
        <w:spacing w:after="0" w:line="240" w:lineRule="auto"/>
        <w:rPr>
          <w:rFonts w:ascii="Arial" w:eastAsia="Times New Roman" w:hAnsi="Arial" w:cs="Times New Roman"/>
          <w:szCs w:val="24"/>
        </w:rPr>
      </w:pPr>
    </w:p>
    <w:p w:rsidR="00EB50BD" w:rsidRPr="00EB50BD" w:rsidRDefault="00EB50BD" w:rsidP="00EB50BD">
      <w:pPr>
        <w:keepNext/>
        <w:spacing w:before="240" w:after="60" w:line="240" w:lineRule="auto"/>
        <w:outlineLvl w:val="0"/>
        <w:rPr>
          <w:rFonts w:ascii="Arial" w:eastAsia="Times New Roman" w:hAnsi="Arial" w:cs="Arial"/>
          <w:b/>
          <w:bCs/>
          <w:kern w:val="32"/>
          <w:sz w:val="32"/>
          <w:szCs w:val="32"/>
        </w:rPr>
      </w:pPr>
      <w:r w:rsidRPr="00EB50BD">
        <w:rPr>
          <w:rFonts w:ascii="Arial" w:eastAsia="Times New Roman" w:hAnsi="Arial" w:cs="Arial"/>
          <w:b/>
          <w:bCs/>
          <w:kern w:val="32"/>
          <w:sz w:val="32"/>
          <w:szCs w:val="32"/>
        </w:rPr>
        <w:br w:type="page"/>
      </w:r>
      <w:bookmarkStart w:id="7" w:name="_Toc304800196"/>
      <w:bookmarkStart w:id="8" w:name="_Toc324318333"/>
      <w:bookmarkStart w:id="9" w:name="_Toc324340477"/>
      <w:bookmarkStart w:id="10" w:name="_Toc387835518"/>
      <w:r w:rsidRPr="00EB50BD">
        <w:rPr>
          <w:rFonts w:ascii="Arial" w:eastAsia="Times New Roman" w:hAnsi="Arial" w:cs="Arial"/>
          <w:b/>
          <w:bCs/>
          <w:kern w:val="32"/>
          <w:sz w:val="32"/>
          <w:szCs w:val="32"/>
        </w:rPr>
        <w:lastRenderedPageBreak/>
        <w:t>Document Revision History</w:t>
      </w:r>
      <w:bookmarkEnd w:id="7"/>
      <w:bookmarkEnd w:id="8"/>
      <w:bookmarkEnd w:id="9"/>
      <w:bookmarkEnd w:id="10"/>
    </w:p>
    <w:p w:rsidR="00EB50BD" w:rsidRPr="00EB50BD" w:rsidRDefault="00EB50BD" w:rsidP="00EB50BD">
      <w:pPr>
        <w:spacing w:after="0" w:line="240" w:lineRule="auto"/>
        <w:rPr>
          <w:rFonts w:ascii="Arial" w:eastAsia="Times New Roman" w:hAnsi="Arial" w:cs="Times New Roman"/>
          <w:szCs w:val="24"/>
        </w:rPr>
      </w:pPr>
      <w:r w:rsidRPr="00EB50BD">
        <w:rPr>
          <w:rFonts w:ascii="Arial" w:eastAsia="Times New Roman" w:hAnsi="Arial" w:cs="Times New Roman"/>
          <w:szCs w:val="24"/>
        </w:rPr>
        <w:t xml:space="preserve">     </w:t>
      </w:r>
      <w:r w:rsidRPr="00EB50BD">
        <w:rPr>
          <w:rFonts w:ascii="Arial" w:eastAsia="Times New Roman" w:hAnsi="Arial" w:cs="Times New Roman"/>
          <w:szCs w:val="24"/>
        </w:rPr>
        <w:tab/>
      </w:r>
      <w:r w:rsidRPr="00EB50BD">
        <w:rPr>
          <w:rFonts w:ascii="Arial" w:eastAsia="Times New Roman" w:hAnsi="Arial" w:cs="Times New Roman"/>
          <w:szCs w:val="24"/>
        </w:rPr>
        <w:tab/>
      </w:r>
      <w:r w:rsidRPr="00EB50BD">
        <w:rPr>
          <w:rFonts w:ascii="Arial" w:eastAsia="Times New Roman" w:hAnsi="Arial" w:cs="Times New Roman"/>
          <w:szCs w:val="24"/>
        </w:rPr>
        <w:tab/>
      </w:r>
      <w:r w:rsidRPr="00EB50BD">
        <w:rPr>
          <w:rFonts w:ascii="Arial" w:eastAsia="Times New Roman" w:hAnsi="Arial" w:cs="Times New Roman"/>
          <w:szCs w:val="24"/>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3"/>
        <w:gridCol w:w="1413"/>
        <w:gridCol w:w="47"/>
        <w:gridCol w:w="3157"/>
        <w:gridCol w:w="25"/>
        <w:gridCol w:w="3180"/>
      </w:tblGrid>
      <w:tr w:rsidR="00EB50BD" w:rsidRPr="00EB50BD" w:rsidTr="0065608B">
        <w:trPr>
          <w:trHeight w:val="464"/>
        </w:trPr>
        <w:tc>
          <w:tcPr>
            <w:tcW w:w="858" w:type="pct"/>
            <w:tcBorders>
              <w:top w:val="nil"/>
              <w:bottom w:val="single" w:sz="18" w:space="0" w:color="FFFFFF"/>
            </w:tcBorders>
            <w:shd w:val="pct20" w:color="000000" w:fill="FFFFFF"/>
          </w:tcPr>
          <w:p w:rsidR="00EB50BD" w:rsidRPr="00EB50BD" w:rsidRDefault="00EB50BD" w:rsidP="00EB50BD">
            <w:pPr>
              <w:spacing w:after="0" w:line="240" w:lineRule="auto"/>
              <w:jc w:val="center"/>
              <w:rPr>
                <w:rFonts w:ascii="Arial" w:eastAsia="Times New Roman" w:hAnsi="Arial" w:cs="Times New Roman"/>
                <w:b/>
                <w:bCs/>
                <w:szCs w:val="24"/>
              </w:rPr>
            </w:pPr>
            <w:r w:rsidRPr="00EB50BD">
              <w:rPr>
                <w:rFonts w:ascii="Arial" w:eastAsia="Times New Roman" w:hAnsi="Arial" w:cs="Times New Roman"/>
                <w:b/>
                <w:szCs w:val="24"/>
              </w:rPr>
              <w:t>Revision #</w:t>
            </w:r>
            <w:r w:rsidRPr="00EB50BD">
              <w:rPr>
                <w:rFonts w:ascii="Arial" w:eastAsia="Times New Roman" w:hAnsi="Arial" w:cs="Times New Roman"/>
                <w:b/>
                <w:szCs w:val="24"/>
              </w:rPr>
              <w:tab/>
            </w:r>
          </w:p>
        </w:tc>
        <w:tc>
          <w:tcPr>
            <w:tcW w:w="783" w:type="pct"/>
            <w:gridSpan w:val="3"/>
            <w:tcBorders>
              <w:top w:val="nil"/>
              <w:bottom w:val="single" w:sz="18" w:space="0" w:color="FFFFFF"/>
            </w:tcBorders>
            <w:shd w:val="pct20" w:color="000000" w:fill="FFFFFF"/>
          </w:tcPr>
          <w:p w:rsidR="00EB50BD" w:rsidRPr="00EB50BD" w:rsidRDefault="00EB50BD" w:rsidP="00EB50BD">
            <w:pPr>
              <w:spacing w:after="0" w:line="240" w:lineRule="auto"/>
              <w:jc w:val="center"/>
              <w:rPr>
                <w:rFonts w:ascii="Arial" w:eastAsia="Times New Roman" w:hAnsi="Arial" w:cs="Times New Roman"/>
                <w:b/>
                <w:bCs/>
                <w:sz w:val="20"/>
                <w:szCs w:val="20"/>
              </w:rPr>
            </w:pPr>
            <w:r w:rsidRPr="00EB50BD">
              <w:rPr>
                <w:rFonts w:ascii="Arial" w:eastAsia="Times New Roman" w:hAnsi="Arial" w:cs="Times New Roman"/>
                <w:b/>
                <w:szCs w:val="24"/>
              </w:rPr>
              <w:t>Revision Date</w:t>
            </w:r>
            <w:r w:rsidRPr="00EB50BD">
              <w:rPr>
                <w:rFonts w:ascii="Arial" w:eastAsia="Times New Roman" w:hAnsi="Arial" w:cs="Times New Roman"/>
                <w:b/>
                <w:szCs w:val="24"/>
              </w:rPr>
              <w:tab/>
            </w:r>
          </w:p>
        </w:tc>
        <w:tc>
          <w:tcPr>
            <w:tcW w:w="1680" w:type="pct"/>
            <w:gridSpan w:val="2"/>
            <w:tcBorders>
              <w:top w:val="nil"/>
              <w:bottom w:val="single" w:sz="18" w:space="0" w:color="FFFFFF"/>
            </w:tcBorders>
            <w:shd w:val="pct20" w:color="000000" w:fill="FFFFFF"/>
          </w:tcPr>
          <w:p w:rsidR="00EB50BD" w:rsidRPr="00EB50BD" w:rsidRDefault="00EB50BD" w:rsidP="00EB50BD">
            <w:pPr>
              <w:spacing w:after="0" w:line="240" w:lineRule="auto"/>
              <w:jc w:val="center"/>
              <w:rPr>
                <w:rFonts w:ascii="Arial" w:eastAsia="Times New Roman" w:hAnsi="Arial" w:cs="Times New Roman"/>
                <w:b/>
                <w:bCs/>
                <w:sz w:val="20"/>
                <w:szCs w:val="20"/>
              </w:rPr>
            </w:pPr>
            <w:r w:rsidRPr="00EB50BD">
              <w:rPr>
                <w:rFonts w:ascii="Arial" w:eastAsia="Times New Roman" w:hAnsi="Arial" w:cs="Times New Roman"/>
                <w:b/>
                <w:szCs w:val="24"/>
              </w:rPr>
              <w:t>Section-by-Section Description of Revisions</w:t>
            </w:r>
          </w:p>
        </w:tc>
        <w:tc>
          <w:tcPr>
            <w:tcW w:w="1679" w:type="pct"/>
            <w:tcBorders>
              <w:top w:val="nil"/>
              <w:bottom w:val="single" w:sz="18" w:space="0" w:color="FFFFFF"/>
            </w:tcBorders>
            <w:shd w:val="pct20" w:color="000000" w:fill="FFFFFF"/>
          </w:tcPr>
          <w:p w:rsidR="00EB50BD" w:rsidRPr="00EB50BD" w:rsidRDefault="00EB50BD" w:rsidP="00EB50BD">
            <w:pPr>
              <w:spacing w:after="0" w:line="240" w:lineRule="auto"/>
              <w:jc w:val="center"/>
              <w:rPr>
                <w:rFonts w:ascii="Arial" w:eastAsia="Times New Roman" w:hAnsi="Arial" w:cs="Times New Roman"/>
                <w:b/>
                <w:bCs/>
                <w:sz w:val="20"/>
                <w:szCs w:val="20"/>
              </w:rPr>
            </w:pPr>
            <w:r w:rsidRPr="00EB50BD">
              <w:rPr>
                <w:rFonts w:ascii="Arial" w:eastAsia="Times New Roman" w:hAnsi="Arial" w:cs="Times New Roman"/>
                <w:b/>
                <w:szCs w:val="24"/>
              </w:rPr>
              <w:t>Author (Company)</w:t>
            </w:r>
          </w:p>
        </w:tc>
      </w:tr>
      <w:tr w:rsidR="0065608B" w:rsidRPr="00D04B30" w:rsidTr="00905D73">
        <w:trPr>
          <w:trHeight w:val="464"/>
        </w:trPr>
        <w:tc>
          <w:tcPr>
            <w:tcW w:w="870" w:type="pct"/>
            <w:gridSpan w:val="2"/>
            <w:shd w:val="pct20" w:color="000000" w:fill="FFFFFF"/>
          </w:tcPr>
          <w:p w:rsidR="0065608B" w:rsidRDefault="0065608B" w:rsidP="00905D73">
            <w:r>
              <w:t>Revision 0</w:t>
            </w:r>
          </w:p>
        </w:tc>
        <w:tc>
          <w:tcPr>
            <w:tcW w:w="746" w:type="pct"/>
            <w:shd w:val="pct20" w:color="000000" w:fill="FFFFFF"/>
          </w:tcPr>
          <w:p w:rsidR="0065608B" w:rsidRDefault="0065608B" w:rsidP="00905D73">
            <w:pPr>
              <w:rPr>
                <w:sz w:val="20"/>
                <w:szCs w:val="20"/>
              </w:rPr>
            </w:pPr>
            <w:r>
              <w:rPr>
                <w:sz w:val="20"/>
                <w:szCs w:val="20"/>
              </w:rPr>
              <w:t>12/21/2007</w:t>
            </w:r>
          </w:p>
        </w:tc>
        <w:tc>
          <w:tcPr>
            <w:tcW w:w="1692" w:type="pct"/>
            <w:gridSpan w:val="2"/>
            <w:shd w:val="pct20" w:color="000000" w:fill="FFFFFF"/>
          </w:tcPr>
          <w:p w:rsidR="0065608B" w:rsidRDefault="0065608B" w:rsidP="00905D73">
            <w:pPr>
              <w:rPr>
                <w:sz w:val="20"/>
                <w:szCs w:val="20"/>
              </w:rPr>
            </w:pPr>
            <w:r>
              <w:rPr>
                <w:sz w:val="20"/>
                <w:szCs w:val="20"/>
              </w:rPr>
              <w:t>Original work paper</w:t>
            </w:r>
            <w:r w:rsidRPr="007247E5">
              <w:rPr>
                <w:sz w:val="20"/>
                <w:szCs w:val="20"/>
              </w:rPr>
              <w:t xml:space="preserve"> </w:t>
            </w:r>
            <w:r>
              <w:rPr>
                <w:sz w:val="20"/>
                <w:szCs w:val="20"/>
              </w:rPr>
              <w:t xml:space="preserve">: Demand Ventilation Controls </w:t>
            </w:r>
            <w:r w:rsidRPr="007247E5">
              <w:rPr>
                <w:sz w:val="20"/>
                <w:szCs w:val="20"/>
              </w:rPr>
              <w:t>PGECOFST116</w:t>
            </w:r>
            <w:r>
              <w:rPr>
                <w:sz w:val="20"/>
                <w:szCs w:val="20"/>
              </w:rPr>
              <w:t xml:space="preserve"> R0.doc </w:t>
            </w:r>
          </w:p>
        </w:tc>
        <w:tc>
          <w:tcPr>
            <w:tcW w:w="1692" w:type="pct"/>
            <w:gridSpan w:val="2"/>
            <w:shd w:val="pct20" w:color="000000" w:fill="FFFFFF"/>
          </w:tcPr>
          <w:p w:rsidR="0065608B" w:rsidRPr="007247E5" w:rsidRDefault="0065608B" w:rsidP="00905D73">
            <w:pPr>
              <w:rPr>
                <w:bCs/>
                <w:sz w:val="20"/>
                <w:szCs w:val="20"/>
                <w:lang w:val="de-DE"/>
              </w:rPr>
            </w:pPr>
            <w:r w:rsidRPr="007247E5">
              <w:rPr>
                <w:bCs/>
                <w:sz w:val="20"/>
                <w:szCs w:val="20"/>
                <w:lang w:val="de-DE"/>
              </w:rPr>
              <w:t xml:space="preserve">David Zabrowski (Fisher-Nickel, </w:t>
            </w:r>
            <w:r>
              <w:rPr>
                <w:bCs/>
                <w:sz w:val="20"/>
                <w:szCs w:val="20"/>
                <w:lang w:val="de-DE"/>
              </w:rPr>
              <w:t>I</w:t>
            </w:r>
            <w:r w:rsidRPr="007247E5">
              <w:rPr>
                <w:bCs/>
                <w:sz w:val="20"/>
                <w:szCs w:val="20"/>
                <w:lang w:val="de-DE"/>
              </w:rPr>
              <w:t>nc.)</w:t>
            </w:r>
          </w:p>
        </w:tc>
      </w:tr>
      <w:tr w:rsidR="0065608B" w:rsidTr="00905D73">
        <w:trPr>
          <w:trHeight w:val="464"/>
        </w:trPr>
        <w:tc>
          <w:tcPr>
            <w:tcW w:w="870" w:type="pct"/>
            <w:gridSpan w:val="2"/>
            <w:shd w:val="pct5" w:color="000000" w:fill="FFFFFF"/>
          </w:tcPr>
          <w:p w:rsidR="0065608B" w:rsidRDefault="0065608B" w:rsidP="00905D73">
            <w:r>
              <w:t>Revision 1</w:t>
            </w:r>
          </w:p>
        </w:tc>
        <w:tc>
          <w:tcPr>
            <w:tcW w:w="746" w:type="pct"/>
            <w:shd w:val="pct5" w:color="000000" w:fill="FFFFFF"/>
          </w:tcPr>
          <w:p w:rsidR="0065608B" w:rsidRDefault="0065608B" w:rsidP="00905D73">
            <w:pPr>
              <w:rPr>
                <w:sz w:val="20"/>
                <w:szCs w:val="20"/>
              </w:rPr>
            </w:pPr>
            <w:r>
              <w:rPr>
                <w:sz w:val="20"/>
                <w:szCs w:val="20"/>
              </w:rPr>
              <w:t>6/1/09</w:t>
            </w:r>
          </w:p>
        </w:tc>
        <w:tc>
          <w:tcPr>
            <w:tcW w:w="1692" w:type="pct"/>
            <w:gridSpan w:val="2"/>
            <w:shd w:val="pct5" w:color="000000" w:fill="FFFFFF"/>
          </w:tcPr>
          <w:p w:rsidR="0065608B" w:rsidRDefault="0065608B" w:rsidP="00905D73">
            <w:pPr>
              <w:rPr>
                <w:sz w:val="20"/>
                <w:szCs w:val="20"/>
              </w:rPr>
            </w:pPr>
            <w:r w:rsidRPr="00BF29B8">
              <w:rPr>
                <w:sz w:val="20"/>
                <w:szCs w:val="20"/>
              </w:rPr>
              <w:t>Changes to EUL, NTG language and references, costs  updated</w:t>
            </w:r>
          </w:p>
        </w:tc>
        <w:tc>
          <w:tcPr>
            <w:tcW w:w="1692" w:type="pct"/>
            <w:gridSpan w:val="2"/>
            <w:shd w:val="pct5" w:color="000000" w:fill="FFFFFF"/>
          </w:tcPr>
          <w:p w:rsidR="0065608B" w:rsidRDefault="0065608B" w:rsidP="00905D73">
            <w:pPr>
              <w:rPr>
                <w:bCs/>
                <w:sz w:val="20"/>
                <w:szCs w:val="20"/>
              </w:rPr>
            </w:pPr>
            <w:r>
              <w:rPr>
                <w:bCs/>
                <w:sz w:val="20"/>
                <w:szCs w:val="20"/>
                <w:lang w:val="de-DE"/>
              </w:rPr>
              <w:t xml:space="preserve">David Zabrowski, Lauren Mills </w:t>
            </w:r>
            <w:r w:rsidRPr="005631D2">
              <w:rPr>
                <w:bCs/>
                <w:sz w:val="20"/>
                <w:szCs w:val="20"/>
                <w:lang w:val="de-DE"/>
              </w:rPr>
              <w:t>(Fisher-Nickel, inc.)</w:t>
            </w:r>
            <w:r>
              <w:rPr>
                <w:bCs/>
                <w:sz w:val="20"/>
                <w:szCs w:val="20"/>
                <w:lang w:val="de-DE"/>
              </w:rPr>
              <w:t>, Steve Blanc PG&amp;E</w:t>
            </w:r>
          </w:p>
        </w:tc>
      </w:tr>
      <w:tr w:rsidR="0065608B" w:rsidRPr="0018453D" w:rsidTr="00905D73">
        <w:trPr>
          <w:trHeight w:val="464"/>
        </w:trPr>
        <w:tc>
          <w:tcPr>
            <w:tcW w:w="870" w:type="pct"/>
            <w:gridSpan w:val="2"/>
            <w:shd w:val="pct20" w:color="000000" w:fill="FFFFFF"/>
          </w:tcPr>
          <w:p w:rsidR="0065608B" w:rsidRPr="0018453D" w:rsidRDefault="0065608B" w:rsidP="00905D73">
            <w:r w:rsidRPr="0018453D">
              <w:t>Revision 2</w:t>
            </w:r>
          </w:p>
        </w:tc>
        <w:tc>
          <w:tcPr>
            <w:tcW w:w="746" w:type="pct"/>
            <w:shd w:val="pct20" w:color="000000" w:fill="FFFFFF"/>
          </w:tcPr>
          <w:p w:rsidR="0065608B" w:rsidRPr="0018453D" w:rsidRDefault="0065608B" w:rsidP="00905D73">
            <w:pPr>
              <w:rPr>
                <w:sz w:val="20"/>
                <w:szCs w:val="20"/>
              </w:rPr>
            </w:pPr>
            <w:r w:rsidRPr="0018453D">
              <w:rPr>
                <w:sz w:val="20"/>
                <w:szCs w:val="20"/>
              </w:rPr>
              <w:t>3/31/2010</w:t>
            </w:r>
          </w:p>
        </w:tc>
        <w:tc>
          <w:tcPr>
            <w:tcW w:w="1692" w:type="pct"/>
            <w:gridSpan w:val="2"/>
            <w:shd w:val="pct20" w:color="000000" w:fill="FFFFFF"/>
          </w:tcPr>
          <w:p w:rsidR="0065608B" w:rsidRPr="0018453D" w:rsidRDefault="0065608B" w:rsidP="00905D73">
            <w:pPr>
              <w:rPr>
                <w:sz w:val="20"/>
                <w:szCs w:val="20"/>
              </w:rPr>
            </w:pPr>
            <w:r w:rsidRPr="0018453D">
              <w:rPr>
                <w:sz w:val="20"/>
                <w:szCs w:val="20"/>
              </w:rPr>
              <w:t>Update to DEER 2009-11 NTG file</w:t>
            </w:r>
          </w:p>
        </w:tc>
        <w:tc>
          <w:tcPr>
            <w:tcW w:w="1692" w:type="pct"/>
            <w:gridSpan w:val="2"/>
            <w:shd w:val="pct20" w:color="000000" w:fill="FFFFFF"/>
          </w:tcPr>
          <w:p w:rsidR="0065608B" w:rsidRPr="0018453D" w:rsidRDefault="0065608B" w:rsidP="00905D73">
            <w:pPr>
              <w:rPr>
                <w:bCs/>
                <w:sz w:val="20"/>
                <w:szCs w:val="20"/>
              </w:rPr>
            </w:pPr>
            <w:r w:rsidRPr="0018453D">
              <w:rPr>
                <w:bCs/>
                <w:sz w:val="20"/>
                <w:szCs w:val="20"/>
                <w:lang w:val="de-DE"/>
              </w:rPr>
              <w:t>David Zabrowski (Fisher-Nickel, inc.), Steve Blanc PG&amp;E</w:t>
            </w:r>
          </w:p>
        </w:tc>
      </w:tr>
      <w:tr w:rsidR="0065608B" w:rsidRPr="00FF3B80" w:rsidTr="00905D73">
        <w:trPr>
          <w:trHeight w:val="464"/>
        </w:trPr>
        <w:tc>
          <w:tcPr>
            <w:tcW w:w="870" w:type="pct"/>
            <w:gridSpan w:val="2"/>
            <w:shd w:val="pct5" w:color="000000" w:fill="FFFFFF"/>
          </w:tcPr>
          <w:p w:rsidR="0065608B" w:rsidRPr="00FF3B80" w:rsidRDefault="0065608B" w:rsidP="00905D73">
            <w:r w:rsidRPr="00FF3B80">
              <w:t>Revision 3</w:t>
            </w:r>
          </w:p>
        </w:tc>
        <w:tc>
          <w:tcPr>
            <w:tcW w:w="746" w:type="pct"/>
            <w:shd w:val="pct5" w:color="000000" w:fill="FFFFFF"/>
          </w:tcPr>
          <w:p w:rsidR="0065608B" w:rsidRDefault="0065608B" w:rsidP="00905D73">
            <w:pPr>
              <w:rPr>
                <w:sz w:val="20"/>
                <w:szCs w:val="20"/>
              </w:rPr>
            </w:pPr>
            <w:r w:rsidRPr="00FF3B80">
              <w:rPr>
                <w:sz w:val="20"/>
                <w:szCs w:val="20"/>
              </w:rPr>
              <w:t>6/</w:t>
            </w:r>
            <w:r>
              <w:rPr>
                <w:sz w:val="20"/>
                <w:szCs w:val="20"/>
              </w:rPr>
              <w:t>18</w:t>
            </w:r>
            <w:r w:rsidRPr="00FF3B80">
              <w:rPr>
                <w:sz w:val="20"/>
                <w:szCs w:val="20"/>
              </w:rPr>
              <w:t>/2012</w:t>
            </w:r>
          </w:p>
          <w:p w:rsidR="0065608B" w:rsidRDefault="0065608B" w:rsidP="00905D73">
            <w:pPr>
              <w:rPr>
                <w:sz w:val="20"/>
                <w:szCs w:val="20"/>
              </w:rPr>
            </w:pPr>
          </w:p>
          <w:p w:rsidR="0065608B" w:rsidRDefault="0065608B" w:rsidP="00905D73">
            <w:pPr>
              <w:rPr>
                <w:sz w:val="20"/>
                <w:szCs w:val="20"/>
              </w:rPr>
            </w:pPr>
          </w:p>
          <w:p w:rsidR="0065608B" w:rsidRDefault="0065608B" w:rsidP="00905D73">
            <w:pPr>
              <w:rPr>
                <w:sz w:val="20"/>
                <w:szCs w:val="20"/>
              </w:rPr>
            </w:pPr>
          </w:p>
          <w:p w:rsidR="0065608B" w:rsidRPr="00FF3B80" w:rsidRDefault="0065608B" w:rsidP="00905D73">
            <w:pPr>
              <w:rPr>
                <w:sz w:val="20"/>
                <w:szCs w:val="20"/>
              </w:rPr>
            </w:pPr>
            <w:r>
              <w:rPr>
                <w:sz w:val="20"/>
                <w:szCs w:val="20"/>
              </w:rPr>
              <w:t>8/22/2012</w:t>
            </w:r>
          </w:p>
        </w:tc>
        <w:tc>
          <w:tcPr>
            <w:tcW w:w="1692" w:type="pct"/>
            <w:gridSpan w:val="2"/>
            <w:shd w:val="pct5" w:color="000000" w:fill="FFFFFF"/>
          </w:tcPr>
          <w:p w:rsidR="0065608B" w:rsidRDefault="0065608B" w:rsidP="00905D73">
            <w:pPr>
              <w:rPr>
                <w:sz w:val="20"/>
                <w:szCs w:val="20"/>
              </w:rPr>
            </w:pPr>
            <w:r w:rsidRPr="008E0441">
              <w:rPr>
                <w:sz w:val="20"/>
                <w:szCs w:val="20"/>
              </w:rPr>
              <w:t>Updated NTG, EUL and savings analysis</w:t>
            </w:r>
            <w:r>
              <w:rPr>
                <w:sz w:val="20"/>
                <w:szCs w:val="20"/>
              </w:rPr>
              <w:t xml:space="preserve"> to include field monitoring and natural gas savings, combined F150 &amp; F151</w:t>
            </w:r>
          </w:p>
          <w:p w:rsidR="0065608B" w:rsidRPr="00FF3B80" w:rsidRDefault="0065608B" w:rsidP="00905D73">
            <w:pPr>
              <w:rPr>
                <w:sz w:val="20"/>
                <w:szCs w:val="20"/>
              </w:rPr>
            </w:pPr>
            <w:r>
              <w:rPr>
                <w:sz w:val="20"/>
                <w:szCs w:val="20"/>
              </w:rPr>
              <w:t>Updated BLD, CZ and VIN to ANY per READI requirements</w:t>
            </w:r>
          </w:p>
        </w:tc>
        <w:tc>
          <w:tcPr>
            <w:tcW w:w="1692" w:type="pct"/>
            <w:gridSpan w:val="2"/>
            <w:shd w:val="pct5" w:color="000000" w:fill="FFFFFF"/>
          </w:tcPr>
          <w:p w:rsidR="0065608B" w:rsidRDefault="0065608B" w:rsidP="00905D73">
            <w:pPr>
              <w:rPr>
                <w:bCs/>
                <w:sz w:val="20"/>
                <w:szCs w:val="20"/>
                <w:lang w:val="de-DE"/>
              </w:rPr>
            </w:pPr>
            <w:r>
              <w:rPr>
                <w:bCs/>
                <w:sz w:val="20"/>
                <w:szCs w:val="20"/>
                <w:lang w:val="de-DE"/>
              </w:rPr>
              <w:t>Rich Swierczyna, Angelo Karas, Don Fisher</w:t>
            </w:r>
            <w:r w:rsidRPr="000B55AF">
              <w:rPr>
                <w:bCs/>
                <w:sz w:val="20"/>
                <w:szCs w:val="20"/>
                <w:lang w:val="de-DE"/>
              </w:rPr>
              <w:t xml:space="preserve"> (Fisher-Nickel, inc.), </w:t>
            </w:r>
            <w:r>
              <w:rPr>
                <w:bCs/>
                <w:sz w:val="20"/>
                <w:szCs w:val="20"/>
                <w:lang w:val="de-DE"/>
              </w:rPr>
              <w:t xml:space="preserve">Charlene Spoor, </w:t>
            </w:r>
            <w:r w:rsidRPr="000B55AF">
              <w:rPr>
                <w:bCs/>
                <w:sz w:val="20"/>
                <w:szCs w:val="20"/>
                <w:lang w:val="de-DE"/>
              </w:rPr>
              <w:t>PG&amp;E</w:t>
            </w:r>
          </w:p>
          <w:p w:rsidR="0065608B" w:rsidRDefault="0065608B" w:rsidP="00905D73">
            <w:pPr>
              <w:rPr>
                <w:bCs/>
                <w:sz w:val="20"/>
                <w:szCs w:val="20"/>
                <w:lang w:val="de-DE"/>
              </w:rPr>
            </w:pPr>
          </w:p>
          <w:p w:rsidR="0065608B" w:rsidRPr="00FF3B80" w:rsidRDefault="0065608B" w:rsidP="00905D73">
            <w:pPr>
              <w:rPr>
                <w:bCs/>
                <w:sz w:val="20"/>
                <w:szCs w:val="20"/>
              </w:rPr>
            </w:pPr>
            <w:r>
              <w:rPr>
                <w:bCs/>
                <w:sz w:val="20"/>
                <w:szCs w:val="20"/>
                <w:lang w:val="de-DE"/>
              </w:rPr>
              <w:t>Charlene Spoor (PG&amp;E)</w:t>
            </w:r>
          </w:p>
        </w:tc>
      </w:tr>
      <w:tr w:rsidR="0065608B" w:rsidTr="00905D73">
        <w:trPr>
          <w:trHeight w:val="464"/>
        </w:trPr>
        <w:tc>
          <w:tcPr>
            <w:tcW w:w="870" w:type="pct"/>
            <w:gridSpan w:val="2"/>
            <w:shd w:val="pct20" w:color="000000" w:fill="FFFFFF"/>
          </w:tcPr>
          <w:p w:rsidR="0065608B" w:rsidRDefault="0065608B" w:rsidP="00905D73">
            <w:r>
              <w:t>Revision 4</w:t>
            </w:r>
          </w:p>
        </w:tc>
        <w:tc>
          <w:tcPr>
            <w:tcW w:w="746" w:type="pct"/>
            <w:shd w:val="pct20" w:color="000000" w:fill="FFFFFF"/>
          </w:tcPr>
          <w:p w:rsidR="0065608B" w:rsidRDefault="0065608B" w:rsidP="00905D73">
            <w:pPr>
              <w:rPr>
                <w:sz w:val="20"/>
                <w:szCs w:val="20"/>
              </w:rPr>
            </w:pPr>
            <w:r>
              <w:rPr>
                <w:sz w:val="20"/>
                <w:szCs w:val="20"/>
              </w:rPr>
              <w:t>5/31/2014</w:t>
            </w:r>
          </w:p>
        </w:tc>
        <w:tc>
          <w:tcPr>
            <w:tcW w:w="1692" w:type="pct"/>
            <w:gridSpan w:val="2"/>
            <w:shd w:val="pct20" w:color="000000" w:fill="FFFFFF"/>
          </w:tcPr>
          <w:p w:rsidR="0065608B" w:rsidRDefault="0065608B" w:rsidP="00905D73">
            <w:pPr>
              <w:rPr>
                <w:sz w:val="20"/>
                <w:szCs w:val="20"/>
              </w:rPr>
            </w:pPr>
            <w:r>
              <w:rPr>
                <w:sz w:val="20"/>
                <w:szCs w:val="20"/>
              </w:rPr>
              <w:t>SCE updated statewide WP</w:t>
            </w:r>
          </w:p>
        </w:tc>
        <w:tc>
          <w:tcPr>
            <w:tcW w:w="1692" w:type="pct"/>
            <w:gridSpan w:val="2"/>
            <w:shd w:val="pct20" w:color="000000" w:fill="FFFFFF"/>
          </w:tcPr>
          <w:p w:rsidR="0065608B" w:rsidRDefault="0065608B" w:rsidP="00905D73">
            <w:pPr>
              <w:rPr>
                <w:sz w:val="20"/>
                <w:szCs w:val="20"/>
              </w:rPr>
            </w:pPr>
            <w:r>
              <w:rPr>
                <w:sz w:val="20"/>
                <w:szCs w:val="20"/>
              </w:rPr>
              <w:t>Charlene Spoor (PG&amp;E)</w:t>
            </w:r>
          </w:p>
        </w:tc>
      </w:tr>
    </w:tbl>
    <w:p w:rsidR="008912B8" w:rsidRDefault="00571F45" w:rsidP="0065608B">
      <w:bookmarkStart w:id="11" w:name="_GoBack"/>
      <w:bookmarkEnd w:id="11"/>
    </w:p>
    <w:sectPr w:rsidR="008912B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F45" w:rsidRDefault="00571F45" w:rsidP="000A417B">
      <w:pPr>
        <w:spacing w:after="0" w:line="240" w:lineRule="auto"/>
      </w:pPr>
      <w:r>
        <w:separator/>
      </w:r>
    </w:p>
  </w:endnote>
  <w:endnote w:type="continuationSeparator" w:id="0">
    <w:p w:rsidR="00571F45" w:rsidRDefault="00571F45" w:rsidP="000A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17B" w:rsidRDefault="000A41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417B" w:rsidRDefault="000A41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17B" w:rsidRDefault="000A417B">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0A417B" w:rsidRPr="00712258" w:rsidRDefault="000A417B" w:rsidP="006D718F">
    <w:pPr>
      <w:pStyle w:val="Footer"/>
      <w:pBdr>
        <w:top w:val="single" w:sz="4" w:space="1" w:color="auto"/>
      </w:pBdr>
      <w:tabs>
        <w:tab w:val="right" w:pos="14040"/>
      </w:tabs>
      <w:ind w:left="-7920"/>
      <w:rPr>
        <w:b/>
        <w:sz w:val="20"/>
        <w:szCs w:val="20"/>
      </w:rPr>
    </w:pPr>
    <w:r w:rsidRPr="00712258">
      <w:rPr>
        <w:b/>
        <w:sz w:val="20"/>
        <w:szCs w:val="20"/>
      </w:rPr>
      <w:t xml:space="preserve">Work Paper PGECOFST116, Revision </w:t>
    </w:r>
    <w:r>
      <w:rPr>
        <w:b/>
        <w:sz w:val="20"/>
        <w:szCs w:val="20"/>
      </w:rPr>
      <w:t>3</w:t>
    </w:r>
    <w:r w:rsidRPr="00712258">
      <w:rPr>
        <w:b/>
        <w:sz w:val="20"/>
        <w:szCs w:val="20"/>
      </w:rPr>
      <w:tab/>
    </w:r>
    <w:r w:rsidRPr="00712258">
      <w:rPr>
        <w:b/>
        <w:sz w:val="20"/>
        <w:szCs w:val="20"/>
      </w:rPr>
      <w:tab/>
    </w:r>
    <w:r>
      <w:rPr>
        <w:b/>
        <w:sz w:val="20"/>
        <w:szCs w:val="20"/>
      </w:rPr>
      <w:t>June 15, 2012</w:t>
    </w:r>
  </w:p>
  <w:p w:rsidR="000A417B" w:rsidRDefault="000A417B" w:rsidP="006D718F">
    <w:pPr>
      <w:pStyle w:val="Footer"/>
      <w:ind w:left="-7920"/>
      <w:rPr>
        <w:b/>
        <w:sz w:val="20"/>
        <w:szCs w:val="20"/>
      </w:rPr>
    </w:pPr>
    <w:r>
      <w:rPr>
        <w:b/>
        <w:sz w:val="20"/>
        <w:szCs w:val="20"/>
      </w:rPr>
      <w:t>Pacific Gas &amp; Electric Company</w:t>
    </w:r>
  </w:p>
  <w:bookmarkStart w:id="4" w:name="OLE_LINK14"/>
  <w:p w:rsidR="000A417B" w:rsidRDefault="000A417B" w:rsidP="006D718F">
    <w:pPr>
      <w:pStyle w:val="Footer"/>
      <w:ind w:left="-7920"/>
      <w:rPr>
        <w:b/>
        <w:sz w:val="20"/>
        <w:szCs w:val="20"/>
      </w:rPr>
    </w:pPr>
    <w:r w:rsidRPr="00E10259">
      <w:rPr>
        <w:b/>
        <w:sz w:val="20"/>
        <w:szCs w:val="20"/>
      </w:rPr>
      <w:fldChar w:fldCharType="begin"/>
    </w:r>
    <w:r w:rsidRPr="00E10259">
      <w:rPr>
        <w:b/>
        <w:sz w:val="20"/>
        <w:szCs w:val="20"/>
      </w:rPr>
      <w:instrText xml:space="preserve"> FILENAME </w:instrText>
    </w:r>
    <w:r w:rsidRPr="00E10259">
      <w:rPr>
        <w:b/>
        <w:sz w:val="20"/>
        <w:szCs w:val="20"/>
      </w:rPr>
      <w:fldChar w:fldCharType="separate"/>
    </w:r>
    <w:r>
      <w:rPr>
        <w:b/>
        <w:noProof/>
        <w:sz w:val="20"/>
        <w:szCs w:val="20"/>
      </w:rPr>
      <w:t>PGECOFST116 DemandVentilationControlsR3-120617.docx</w:t>
    </w:r>
    <w:r w:rsidRPr="00E10259">
      <w:rPr>
        <w:b/>
        <w:sz w:val="20"/>
        <w:szCs w:val="20"/>
      </w:rPr>
      <w:fldChar w:fldCharType="end"/>
    </w:r>
    <w:bookmarkEnd w:id="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17B" w:rsidRDefault="000A417B">
    <w:pPr>
      <w:pStyle w:val="Footer"/>
      <w:jc w:val="right"/>
      <w:rPr>
        <w:rFonts w:ascii="Arial" w:hAnsi="Arial" w:cs="Arial"/>
        <w:b/>
        <w:sz w:val="36"/>
        <w:szCs w:val="36"/>
      </w:rPr>
    </w:pPr>
    <w:r>
      <w:rPr>
        <w:rFonts w:ascii="Arial" w:hAnsi="Arial" w:cs="Arial"/>
        <w:b/>
        <w:sz w:val="36"/>
        <w:szCs w:val="36"/>
      </w:rPr>
      <w:t>August 22, 2012</w:t>
    </w:r>
  </w:p>
  <w:p w:rsidR="000A417B" w:rsidRDefault="000A417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17B" w:rsidRDefault="000A417B">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65608B">
      <w:rPr>
        <w:rStyle w:val="PageNumber"/>
        <w:b/>
        <w:noProof/>
        <w:sz w:val="20"/>
        <w:szCs w:val="20"/>
      </w:rPr>
      <w:t>ii</w:t>
    </w:r>
    <w:r>
      <w:rPr>
        <w:rStyle w:val="PageNumber"/>
        <w:b/>
        <w:sz w:val="20"/>
        <w:szCs w:val="20"/>
      </w:rPr>
      <w:fldChar w:fldCharType="end"/>
    </w:r>
  </w:p>
  <w:p w:rsidR="000A417B" w:rsidRPr="00712258" w:rsidRDefault="000A417B" w:rsidP="007150AE">
    <w:pPr>
      <w:pStyle w:val="Footer"/>
      <w:pBdr>
        <w:top w:val="single" w:sz="4" w:space="1" w:color="auto"/>
      </w:pBdr>
      <w:tabs>
        <w:tab w:val="right" w:pos="9270"/>
        <w:tab w:val="right" w:pos="14040"/>
      </w:tabs>
      <w:rPr>
        <w:b/>
        <w:sz w:val="20"/>
        <w:szCs w:val="20"/>
      </w:rPr>
    </w:pPr>
    <w:r w:rsidRPr="00712258">
      <w:rPr>
        <w:b/>
        <w:sz w:val="20"/>
        <w:szCs w:val="20"/>
      </w:rPr>
      <w:t xml:space="preserve">Work Paper PGECOFST116, Revision </w:t>
    </w:r>
    <w:r>
      <w:rPr>
        <w:b/>
        <w:sz w:val="20"/>
        <w:szCs w:val="20"/>
      </w:rPr>
      <w:t>3</w:t>
    </w:r>
    <w:r w:rsidRPr="00712258">
      <w:rPr>
        <w:b/>
        <w:sz w:val="20"/>
        <w:szCs w:val="20"/>
      </w:rPr>
      <w:tab/>
    </w:r>
    <w:r w:rsidRPr="00712258">
      <w:rPr>
        <w:b/>
        <w:sz w:val="20"/>
        <w:szCs w:val="20"/>
      </w:rPr>
      <w:tab/>
    </w:r>
    <w:r>
      <w:rPr>
        <w:b/>
        <w:sz w:val="20"/>
        <w:szCs w:val="20"/>
      </w:rPr>
      <w:t>August 22, 2012</w:t>
    </w:r>
  </w:p>
  <w:p w:rsidR="000A417B" w:rsidRDefault="000A417B" w:rsidP="007150AE">
    <w:pPr>
      <w:pStyle w:val="Footer"/>
      <w:tabs>
        <w:tab w:val="right" w:pos="9270"/>
      </w:tabs>
      <w:rPr>
        <w:b/>
        <w:sz w:val="20"/>
        <w:szCs w:val="20"/>
      </w:rPr>
    </w:pPr>
    <w:r>
      <w:rPr>
        <w:b/>
        <w:sz w:val="20"/>
        <w:szCs w:val="20"/>
      </w:rPr>
      <w:t>Pacific Gas &amp; Electric Company</w:t>
    </w:r>
  </w:p>
  <w:p w:rsidR="000A417B" w:rsidRDefault="000A417B" w:rsidP="007150AE">
    <w:pPr>
      <w:pStyle w:val="Footer"/>
      <w:tabs>
        <w:tab w:val="right" w:pos="9270"/>
      </w:tabs>
      <w:rPr>
        <w:b/>
        <w:sz w:val="20"/>
        <w:szCs w:val="20"/>
      </w:rPr>
    </w:pPr>
    <w:r w:rsidRPr="00E10259">
      <w:rPr>
        <w:b/>
        <w:sz w:val="20"/>
        <w:szCs w:val="20"/>
      </w:rPr>
      <w:fldChar w:fldCharType="begin"/>
    </w:r>
    <w:r w:rsidRPr="00E10259">
      <w:rPr>
        <w:b/>
        <w:sz w:val="20"/>
        <w:szCs w:val="20"/>
      </w:rPr>
      <w:instrText xml:space="preserve"> FILENAME </w:instrText>
    </w:r>
    <w:r w:rsidRPr="00E10259">
      <w:rPr>
        <w:b/>
        <w:sz w:val="20"/>
        <w:szCs w:val="20"/>
      </w:rPr>
      <w:fldChar w:fldCharType="separate"/>
    </w:r>
    <w:r>
      <w:rPr>
        <w:b/>
        <w:noProof/>
        <w:sz w:val="20"/>
        <w:szCs w:val="20"/>
      </w:rPr>
      <w:t>PGECOFST116 DemandVentilationControlsR3.docx</w:t>
    </w:r>
    <w:r w:rsidRPr="00E10259">
      <w:rPr>
        <w:b/>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86" w:rsidRDefault="00571F4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77786" w:rsidRDefault="00571F4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777325"/>
      <w:docPartObj>
        <w:docPartGallery w:val="Page Numbers (Bottom of Page)"/>
        <w:docPartUnique/>
      </w:docPartObj>
    </w:sdtPr>
    <w:sdtEndPr>
      <w:rPr>
        <w:noProof/>
      </w:rPr>
    </w:sdtEndPr>
    <w:sdtContent>
      <w:p w:rsidR="00577786" w:rsidRDefault="00571F45">
        <w:pPr>
          <w:pStyle w:val="Footer"/>
          <w:jc w:val="right"/>
        </w:pPr>
        <w:r>
          <w:fldChar w:fldCharType="begin"/>
        </w:r>
        <w:r>
          <w:instrText xml:space="preserve"> PAGE   \* MERGEFORMAT </w:instrText>
        </w:r>
        <w:r>
          <w:fldChar w:fldCharType="separate"/>
        </w:r>
        <w:r w:rsidR="0065608B">
          <w:rPr>
            <w:noProof/>
          </w:rPr>
          <w:t>3</w:t>
        </w:r>
        <w:r>
          <w:rPr>
            <w:noProof/>
          </w:rPr>
          <w:fldChar w:fldCharType="end"/>
        </w:r>
      </w:p>
    </w:sdtContent>
  </w:sdt>
  <w:p w:rsidR="00577786" w:rsidRPr="00ED777B" w:rsidRDefault="00571F45" w:rsidP="00C747DF">
    <w:pPr>
      <w:pStyle w:val="Footer"/>
      <w:rPr>
        <w:b/>
        <w:sz w:val="20"/>
        <w:szCs w:val="20"/>
      </w:rPr>
    </w:pPr>
    <w:r w:rsidRPr="00ED777B">
      <w:rPr>
        <w:b/>
        <w:sz w:val="20"/>
        <w:szCs w:val="20"/>
      </w:rPr>
      <w:t>PGECOFST1</w:t>
    </w:r>
    <w:r w:rsidR="000A417B">
      <w:rPr>
        <w:b/>
        <w:sz w:val="20"/>
        <w:szCs w:val="20"/>
      </w:rPr>
      <w:t>16</w:t>
    </w:r>
    <w:r w:rsidRPr="00ED777B">
      <w:rPr>
        <w:b/>
        <w:sz w:val="20"/>
        <w:szCs w:val="20"/>
      </w:rPr>
      <w:t>, Revision</w:t>
    </w:r>
    <w:r w:rsidR="000A417B">
      <w:rPr>
        <w:b/>
        <w:sz w:val="20"/>
        <w:szCs w:val="20"/>
      </w:rPr>
      <w:t xml:space="preserve"> 4</w:t>
    </w:r>
    <w:r w:rsidRPr="00ED777B">
      <w:rPr>
        <w:b/>
        <w:sz w:val="20"/>
        <w:szCs w:val="20"/>
      </w:rPr>
      <w:tab/>
      <w:t>05/</w:t>
    </w:r>
    <w:r w:rsidR="000A417B">
      <w:rPr>
        <w:b/>
        <w:sz w:val="20"/>
        <w:szCs w:val="20"/>
      </w:rPr>
      <w:t>31/</w:t>
    </w:r>
    <w:r w:rsidRPr="00ED777B">
      <w:rPr>
        <w:b/>
        <w:sz w:val="20"/>
        <w:szCs w:val="20"/>
      </w:rPr>
      <w:t>2014</w:t>
    </w:r>
  </w:p>
  <w:p w:rsidR="000A417B" w:rsidRDefault="00571F45" w:rsidP="00C747DF">
    <w:pPr>
      <w:pStyle w:val="Footer"/>
      <w:rPr>
        <w:b/>
        <w:sz w:val="20"/>
        <w:szCs w:val="20"/>
      </w:rPr>
    </w:pPr>
    <w:r w:rsidRPr="00ED777B">
      <w:rPr>
        <w:b/>
        <w:sz w:val="20"/>
        <w:szCs w:val="20"/>
      </w:rPr>
      <w:t>Pacific Gas &amp; Electric Company</w:t>
    </w:r>
  </w:p>
  <w:p w:rsidR="00577786" w:rsidRPr="000A417B" w:rsidRDefault="00571F45" w:rsidP="00C747DF">
    <w:pPr>
      <w:pStyle w:val="Footer"/>
      <w:rPr>
        <w:b/>
        <w:sz w:val="20"/>
        <w:szCs w:val="20"/>
      </w:rPr>
    </w:pPr>
    <w:r w:rsidRPr="00ED777B">
      <w:rPr>
        <w:b/>
        <w:sz w:val="20"/>
        <w:szCs w:val="20"/>
      </w:rPr>
      <w:t>PGECOFST1</w:t>
    </w:r>
    <w:r w:rsidR="000A417B">
      <w:rPr>
        <w:b/>
        <w:sz w:val="20"/>
        <w:szCs w:val="20"/>
      </w:rPr>
      <w:t>16 R4</w:t>
    </w:r>
    <w:r w:rsidRPr="00ED777B">
      <w:rPr>
        <w:b/>
        <w:sz w:val="20"/>
        <w:szCs w:val="20"/>
      </w:rPr>
      <w:t>.docx</w:t>
    </w:r>
  </w:p>
  <w:p w:rsidR="00577786" w:rsidRDefault="00571F45" w:rsidP="00C747DF">
    <w:pPr>
      <w:pStyle w:val="Footer"/>
      <w:rPr>
        <w:b/>
        <w:color w:val="0000FF"/>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86" w:rsidRPr="002E0E3F" w:rsidRDefault="00571F45" w:rsidP="00D7047A">
    <w:pPr>
      <w:pStyle w:val="Footer"/>
      <w:jc w:val="right"/>
      <w:rPr>
        <w:rFonts w:cs="Arial"/>
        <w:b/>
        <w:sz w:val="36"/>
        <w:szCs w:val="36"/>
      </w:rPr>
    </w:pPr>
    <w:r>
      <w:rPr>
        <w:rFonts w:cs="Arial"/>
        <w:b/>
        <w:sz w:val="36"/>
        <w:szCs w:val="36"/>
      </w:rPr>
      <w:t xml:space="preserve">Date of Last </w:t>
    </w:r>
    <w:r>
      <w:rPr>
        <w:rFonts w:cs="Arial"/>
        <w:b/>
        <w:sz w:val="36"/>
        <w:szCs w:val="36"/>
      </w:rPr>
      <w:t>Revision</w:t>
    </w:r>
  </w:p>
  <w:p w:rsidR="00577786" w:rsidRDefault="00571F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F45" w:rsidRDefault="00571F45" w:rsidP="000A417B">
      <w:pPr>
        <w:spacing w:after="0" w:line="240" w:lineRule="auto"/>
      </w:pPr>
      <w:r>
        <w:separator/>
      </w:r>
    </w:p>
  </w:footnote>
  <w:footnote w:type="continuationSeparator" w:id="0">
    <w:p w:rsidR="00571F45" w:rsidRDefault="00571F45" w:rsidP="000A4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86" w:rsidRDefault="00571F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619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86" w:rsidRDefault="00571F45" w:rsidP="001A573F">
    <w:pPr>
      <w:pStyle w:val="Header"/>
      <w:jc w:val="right"/>
    </w:pPr>
  </w:p>
  <w:p w:rsidR="00577786" w:rsidRDefault="00571F4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86" w:rsidRDefault="00571F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0BD"/>
    <w:rsid w:val="000A417B"/>
    <w:rsid w:val="000D5F34"/>
    <w:rsid w:val="003A6E9A"/>
    <w:rsid w:val="00571F45"/>
    <w:rsid w:val="0065608B"/>
    <w:rsid w:val="00EB5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A417B"/>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B50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50BD"/>
  </w:style>
  <w:style w:type="paragraph" w:styleId="Header">
    <w:name w:val="header"/>
    <w:basedOn w:val="Normal"/>
    <w:link w:val="HeaderChar"/>
    <w:uiPriority w:val="99"/>
    <w:unhideWhenUsed/>
    <w:rsid w:val="00EB5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0BD"/>
  </w:style>
  <w:style w:type="character" w:styleId="PageNumber">
    <w:name w:val="page number"/>
    <w:basedOn w:val="DefaultParagraphFont"/>
    <w:rsid w:val="00EB50BD"/>
  </w:style>
  <w:style w:type="character" w:customStyle="1" w:styleId="Heading1Char">
    <w:name w:val="Heading 1 Char"/>
    <w:basedOn w:val="DefaultParagraphFont"/>
    <w:link w:val="Heading1"/>
    <w:rsid w:val="000A417B"/>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A417B"/>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B50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50BD"/>
  </w:style>
  <w:style w:type="paragraph" w:styleId="Header">
    <w:name w:val="header"/>
    <w:basedOn w:val="Normal"/>
    <w:link w:val="HeaderChar"/>
    <w:uiPriority w:val="99"/>
    <w:unhideWhenUsed/>
    <w:rsid w:val="00EB5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0BD"/>
  </w:style>
  <w:style w:type="character" w:styleId="PageNumber">
    <w:name w:val="page number"/>
    <w:basedOn w:val="DefaultParagraphFont"/>
    <w:rsid w:val="00EB50BD"/>
  </w:style>
  <w:style w:type="character" w:customStyle="1" w:styleId="Heading1Char">
    <w:name w:val="Heading 1 Char"/>
    <w:basedOn w:val="DefaultParagraphFont"/>
    <w:link w:val="Heading1"/>
    <w:rsid w:val="000A417B"/>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Spoor, Charlene</dc:creator>
  <cp:lastModifiedBy>Spoor, Charlene</cp:lastModifiedBy>
  <cp:revision>2</cp:revision>
  <dcterms:created xsi:type="dcterms:W3CDTF">2014-05-31T18:31:00Z</dcterms:created>
  <dcterms:modified xsi:type="dcterms:W3CDTF">2014-05-31T18:49:00Z</dcterms:modified>
</cp:coreProperties>
</file>