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5DCFF570" w:rsidR="00DD6B5E" w:rsidRPr="00EE4E7D" w:rsidRDefault="003129E8" w:rsidP="00DD6B5E">
      <w:pPr>
        <w:jc w:val="right"/>
        <w:rPr>
          <w:rFonts w:cs="Arial"/>
          <w:b/>
          <w:sz w:val="48"/>
          <w:szCs w:val="48"/>
        </w:rPr>
      </w:pPr>
      <w:bookmarkStart w:id="0" w:name="_Toc153189646"/>
      <w:bookmarkStart w:id="1" w:name="_GoBack"/>
      <w:bookmarkEnd w:id="1"/>
      <w:r w:rsidRPr="00AC6C3F">
        <w:rPr>
          <w:rFonts w:cs="Arial"/>
          <w:b/>
          <w:sz w:val="48"/>
          <w:szCs w:val="48"/>
        </w:rPr>
        <w:t>Work Pap</w:t>
      </w:r>
      <w:r w:rsidRPr="00EE4E7D">
        <w:rPr>
          <w:rFonts w:cs="Arial"/>
          <w:b/>
          <w:sz w:val="48"/>
          <w:szCs w:val="48"/>
        </w:rPr>
        <w:t xml:space="preserve">er </w:t>
      </w:r>
      <w:bookmarkEnd w:id="0"/>
      <w:r w:rsidR="00B43B1F" w:rsidRPr="00EE4E7D">
        <w:rPr>
          <w:rFonts w:cs="Arial"/>
          <w:b/>
          <w:sz w:val="48"/>
          <w:szCs w:val="48"/>
        </w:rPr>
        <w:t>PGECOFST103</w:t>
      </w:r>
    </w:p>
    <w:p w14:paraId="393A0868" w14:textId="58CE048C" w:rsidR="00A167EC" w:rsidRPr="00EE4E7D" w:rsidRDefault="00B43B1F" w:rsidP="00A167EC">
      <w:pPr>
        <w:jc w:val="right"/>
        <w:rPr>
          <w:rFonts w:cs="Arial"/>
          <w:b/>
          <w:sz w:val="48"/>
          <w:szCs w:val="48"/>
        </w:rPr>
      </w:pPr>
      <w:r w:rsidRPr="00EE4E7D">
        <w:rPr>
          <w:rFonts w:cs="Arial"/>
          <w:b/>
          <w:sz w:val="48"/>
          <w:szCs w:val="48"/>
        </w:rPr>
        <w:t>Commercial Griddle</w:t>
      </w:r>
    </w:p>
    <w:p w14:paraId="393A0869" w14:textId="11951465" w:rsidR="003129E8" w:rsidRPr="00EE4E7D" w:rsidRDefault="003129E8" w:rsidP="002E0043">
      <w:pPr>
        <w:jc w:val="right"/>
        <w:rPr>
          <w:rFonts w:cs="Arial"/>
          <w:b/>
          <w:sz w:val="48"/>
          <w:szCs w:val="48"/>
        </w:rPr>
      </w:pPr>
      <w:bookmarkStart w:id="2" w:name="_Toc153189647"/>
      <w:r w:rsidRPr="00EE4E7D">
        <w:rPr>
          <w:rFonts w:cs="Arial"/>
          <w:b/>
          <w:sz w:val="48"/>
          <w:szCs w:val="48"/>
        </w:rPr>
        <w:t>Revision #</w:t>
      </w:r>
      <w:bookmarkEnd w:id="2"/>
      <w:r w:rsidR="00D7047A" w:rsidRPr="00EE4E7D">
        <w:rPr>
          <w:rFonts w:cs="Arial"/>
          <w:b/>
          <w:sz w:val="48"/>
          <w:szCs w:val="48"/>
        </w:rPr>
        <w:t xml:space="preserve"> </w:t>
      </w:r>
      <w:r w:rsidR="002D0EE8">
        <w:rPr>
          <w:rFonts w:cs="Arial"/>
          <w:b/>
          <w:sz w:val="48"/>
          <w:szCs w:val="48"/>
        </w:rPr>
        <w:t>6</w:t>
      </w:r>
    </w:p>
    <w:p w14:paraId="393A086A" w14:textId="77777777" w:rsidR="003129E8" w:rsidRPr="00EE4E7D" w:rsidRDefault="003129E8" w:rsidP="003129E8"/>
    <w:p w14:paraId="393A086B" w14:textId="77777777" w:rsidR="00D7047A" w:rsidRPr="00EE4E7D" w:rsidRDefault="00DD6B5E" w:rsidP="00D7047A">
      <w:pPr>
        <w:pBdr>
          <w:bottom w:val="single" w:sz="4" w:space="1" w:color="auto"/>
        </w:pBdr>
        <w:rPr>
          <w:rFonts w:cs="Arial"/>
          <w:b/>
          <w:sz w:val="36"/>
          <w:szCs w:val="36"/>
        </w:rPr>
      </w:pPr>
      <w:r w:rsidRPr="00EE4E7D">
        <w:rPr>
          <w:rFonts w:cs="Arial"/>
          <w:b/>
          <w:sz w:val="36"/>
          <w:szCs w:val="36"/>
        </w:rPr>
        <w:t>Pacific Gas &amp; Electric</w:t>
      </w:r>
      <w:r w:rsidR="00DF21B8" w:rsidRPr="00EE4E7D">
        <w:rPr>
          <w:rFonts w:cs="Arial"/>
          <w:b/>
          <w:sz w:val="36"/>
          <w:szCs w:val="36"/>
        </w:rPr>
        <w:t xml:space="preserve"> Company</w:t>
      </w:r>
    </w:p>
    <w:p w14:paraId="393A086C" w14:textId="77777777" w:rsidR="00D7047A" w:rsidRPr="00EE4E7D" w:rsidRDefault="00661864" w:rsidP="00D7047A">
      <w:pPr>
        <w:rPr>
          <w:rFonts w:cs="Arial"/>
          <w:b/>
          <w:sz w:val="32"/>
          <w:szCs w:val="32"/>
        </w:rPr>
      </w:pPr>
      <w:r w:rsidRPr="00EE4E7D">
        <w:rPr>
          <w:rFonts w:cs="Arial"/>
          <w:b/>
          <w:sz w:val="32"/>
          <w:szCs w:val="32"/>
        </w:rPr>
        <w:t xml:space="preserve">Customer Energy Solutions </w:t>
      </w:r>
    </w:p>
    <w:p w14:paraId="393A086D" w14:textId="77777777" w:rsidR="00E34E73" w:rsidRPr="00EE4E7D" w:rsidRDefault="00E34E73" w:rsidP="00324D0F">
      <w:pPr>
        <w:rPr>
          <w:rFonts w:cs="Arial"/>
          <w:b/>
          <w:highlight w:val="cyan"/>
        </w:rPr>
      </w:pPr>
    </w:p>
    <w:p w14:paraId="393A086E" w14:textId="77777777" w:rsidR="00C274E0" w:rsidRPr="00EE4E7D" w:rsidRDefault="00C274E0" w:rsidP="00324D0F">
      <w:pPr>
        <w:rPr>
          <w:rFonts w:cs="Arial"/>
          <w:b/>
          <w:highlight w:val="cyan"/>
        </w:rPr>
      </w:pPr>
    </w:p>
    <w:p w14:paraId="393A086F" w14:textId="77777777" w:rsidR="00C274E0" w:rsidRPr="00EE4E7D" w:rsidRDefault="00C274E0" w:rsidP="00324D0F">
      <w:pPr>
        <w:rPr>
          <w:rFonts w:cs="Arial"/>
          <w:b/>
          <w:highlight w:val="cyan"/>
        </w:rPr>
      </w:pPr>
    </w:p>
    <w:p w14:paraId="393A0873" w14:textId="4C67F691" w:rsidR="00324D0F" w:rsidRPr="00EE4E7D" w:rsidRDefault="00324D0F" w:rsidP="00324D0F">
      <w:pPr>
        <w:rPr>
          <w:rFonts w:cs="Arial"/>
          <w:b/>
          <w:bCs/>
          <w:i/>
        </w:rPr>
      </w:pPr>
    </w:p>
    <w:p w14:paraId="393A0874" w14:textId="3717D32E" w:rsidR="00324D0F" w:rsidRPr="00EE4E7D" w:rsidRDefault="00B43B1F" w:rsidP="00A167EC">
      <w:pPr>
        <w:ind w:right="-720"/>
        <w:rPr>
          <w:rFonts w:cs="Arial"/>
          <w:b/>
          <w:sz w:val="72"/>
          <w:szCs w:val="72"/>
        </w:rPr>
      </w:pPr>
      <w:r w:rsidRPr="00EE4E7D">
        <w:rPr>
          <w:rFonts w:cs="Arial"/>
          <w:b/>
          <w:sz w:val="72"/>
          <w:szCs w:val="72"/>
        </w:rPr>
        <w:t>Commercial Griddle- Electric and Gas</w:t>
      </w:r>
    </w:p>
    <w:p w14:paraId="393A0875" w14:textId="5FA2BBC4" w:rsidR="00B421F2" w:rsidRPr="00CB3583" w:rsidRDefault="00A167EC" w:rsidP="002D4621">
      <w:pPr>
        <w:ind w:right="-720"/>
        <w:rPr>
          <w:rFonts w:cs="Arial"/>
          <w:b/>
          <w:color w:val="FF0000"/>
        </w:rPr>
      </w:pPr>
      <w:r w:rsidRPr="00EE4E7D">
        <w:rPr>
          <w:rFonts w:cs="Arial"/>
          <w:b/>
        </w:rPr>
        <w:t xml:space="preserve">Measure Codes </w:t>
      </w:r>
      <w:r w:rsidR="00B43B1F" w:rsidRPr="00EE4E7D">
        <w:rPr>
          <w:rFonts w:cs="Arial"/>
          <w:b/>
        </w:rPr>
        <w:t>F</w:t>
      </w:r>
      <w:r w:rsidR="002D0EE8">
        <w:rPr>
          <w:rFonts w:cs="Arial"/>
          <w:b/>
        </w:rPr>
        <w:t>S002</w:t>
      </w:r>
      <w:r w:rsidR="00B43B1F" w:rsidRPr="00EE4E7D">
        <w:rPr>
          <w:rFonts w:cs="Arial"/>
          <w:b/>
        </w:rPr>
        <w:t>, F</w:t>
      </w:r>
      <w:r w:rsidR="002D0EE8">
        <w:rPr>
          <w:rFonts w:cs="Arial"/>
          <w:b/>
        </w:rPr>
        <w:t>S003</w:t>
      </w:r>
    </w:p>
    <w:p w14:paraId="393A0876" w14:textId="470CBFD1" w:rsidR="002D4621" w:rsidRPr="00C274E0" w:rsidRDefault="002D4621" w:rsidP="002D4621">
      <w:pPr>
        <w:ind w:right="-720"/>
        <w:rPr>
          <w:rFonts w:cs="Arial"/>
          <w:b/>
          <w:i/>
          <w:color w:val="FF0000"/>
        </w:rPr>
      </w:pPr>
    </w:p>
    <w:p w14:paraId="393A0877" w14:textId="77777777" w:rsidR="00CB3583" w:rsidRPr="00C274E0" w:rsidRDefault="00CB3583" w:rsidP="002E0043">
      <w:pPr>
        <w:rPr>
          <w:rFonts w:cs="Arial"/>
          <w:b/>
          <w:i/>
          <w:highlight w:val="cyan"/>
        </w:rPr>
      </w:pPr>
    </w:p>
    <w:p w14:paraId="393A0878" w14:textId="77777777" w:rsidR="003D3F36" w:rsidRPr="00C274E0" w:rsidRDefault="003D3F36" w:rsidP="00844B27">
      <w:pPr>
        <w:rPr>
          <w:rFonts w:cs="Arial"/>
          <w:b/>
          <w:i/>
          <w:highlight w:val="cyan"/>
        </w:rPr>
      </w:pPr>
    </w:p>
    <w:p w14:paraId="393A0879" w14:textId="77777777" w:rsidR="00E84DBD" w:rsidRDefault="00E84DBD" w:rsidP="00844B27">
      <w:pPr>
        <w:rPr>
          <w:rFonts w:cs="Arial"/>
          <w:b/>
          <w:i/>
        </w:rPr>
      </w:pPr>
    </w:p>
    <w:p w14:paraId="393A087A" w14:textId="77777777" w:rsidR="00C274E0" w:rsidRDefault="00C274E0" w:rsidP="00844B27">
      <w:pPr>
        <w:rPr>
          <w:rFonts w:cs="Arial"/>
          <w:b/>
          <w:i/>
        </w:rPr>
      </w:pPr>
    </w:p>
    <w:p w14:paraId="393A087B" w14:textId="77777777" w:rsidR="00C274E0" w:rsidRDefault="00C274E0" w:rsidP="00844B27">
      <w:pPr>
        <w:rPr>
          <w:rFonts w:cs="Arial"/>
          <w:b/>
          <w:i/>
        </w:rPr>
      </w:pPr>
    </w:p>
    <w:p w14:paraId="393A087C" w14:textId="77777777" w:rsidR="00C274E0" w:rsidRDefault="00C274E0" w:rsidP="00844B27">
      <w:pPr>
        <w:rPr>
          <w:rFonts w:cs="Arial"/>
          <w:b/>
          <w:i/>
        </w:rPr>
      </w:pPr>
    </w:p>
    <w:p w14:paraId="393A087D" w14:textId="77777777" w:rsidR="00C274E0" w:rsidRDefault="00C274E0" w:rsidP="00844B27">
      <w:pPr>
        <w:rPr>
          <w:rFonts w:cs="Arial"/>
          <w:b/>
          <w:i/>
        </w:rPr>
      </w:pPr>
    </w:p>
    <w:p w14:paraId="393A087E" w14:textId="77777777" w:rsidR="00C274E0" w:rsidRDefault="00C274E0" w:rsidP="00844B27">
      <w:pPr>
        <w:rPr>
          <w:rFonts w:cs="Arial"/>
          <w:b/>
          <w:i/>
        </w:rPr>
      </w:pPr>
    </w:p>
    <w:p w14:paraId="393A087F" w14:textId="77777777" w:rsidR="00C274E0" w:rsidRDefault="00C274E0" w:rsidP="00844B27">
      <w:pPr>
        <w:rPr>
          <w:rFonts w:cs="Arial"/>
          <w:b/>
          <w:i/>
        </w:rPr>
      </w:pPr>
    </w:p>
    <w:p w14:paraId="393A0880" w14:textId="77777777" w:rsidR="00C274E0" w:rsidRDefault="00C274E0" w:rsidP="00844B27">
      <w:pPr>
        <w:rPr>
          <w:rFonts w:cs="Arial"/>
          <w:b/>
          <w:i/>
        </w:rPr>
      </w:pPr>
    </w:p>
    <w:p w14:paraId="393A0881" w14:textId="77777777" w:rsidR="00C274E0" w:rsidRDefault="00C274E0" w:rsidP="00844B27">
      <w:pPr>
        <w:rPr>
          <w:rFonts w:cs="Arial"/>
          <w:b/>
          <w:i/>
        </w:rPr>
      </w:pPr>
    </w:p>
    <w:p w14:paraId="393A0882" w14:textId="77777777" w:rsidR="00C274E0" w:rsidRDefault="00C274E0" w:rsidP="00844B27">
      <w:pPr>
        <w:rPr>
          <w:rFonts w:cs="Arial"/>
          <w:b/>
          <w:i/>
        </w:rPr>
      </w:pPr>
    </w:p>
    <w:p w14:paraId="393A0883" w14:textId="77777777" w:rsidR="00C274E0" w:rsidRDefault="00C274E0" w:rsidP="00844B27">
      <w:pPr>
        <w:rPr>
          <w:rFonts w:cs="Arial"/>
          <w:b/>
          <w:i/>
        </w:rPr>
      </w:pPr>
    </w:p>
    <w:p w14:paraId="393A0884" w14:textId="77777777" w:rsidR="00C274E0"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Default="00E731C6" w:rsidP="00E71EF1">
      <w:pPr>
        <w:pStyle w:val="Heading1"/>
      </w:pPr>
      <w:bookmarkStart w:id="3" w:name="_Toc304800192"/>
      <w:bookmarkStart w:id="4" w:name="_Toc324318330"/>
      <w:bookmarkStart w:id="5" w:name="_Toc324340474"/>
      <w:bookmarkStart w:id="6" w:name="_Toc385935848"/>
      <w:r>
        <w:lastRenderedPageBreak/>
        <w:t>At-</w:t>
      </w:r>
      <w:r w:rsidR="00E71EF1">
        <w:t>a</w:t>
      </w:r>
      <w:r>
        <w:t>-</w:t>
      </w:r>
      <w:r w:rsidR="00E71EF1">
        <w:t>Glance Summary</w:t>
      </w:r>
      <w:bookmarkEnd w:id="3"/>
      <w:bookmarkEnd w:id="4"/>
      <w:bookmarkEnd w:id="5"/>
      <w:bookmarkEnd w:id="6"/>
    </w:p>
    <w:tbl>
      <w:tblPr>
        <w:tblW w:w="5001" w:type="pct"/>
        <w:tblBorders>
          <w:insideH w:val="single" w:sz="18" w:space="0" w:color="FFFFFF"/>
          <w:insideV w:val="single" w:sz="18" w:space="0" w:color="FFFFFF"/>
        </w:tblBorders>
        <w:tblLook w:val="01E0" w:firstRow="1" w:lastRow="1" w:firstColumn="1" w:lastColumn="1" w:noHBand="0" w:noVBand="0"/>
      </w:tblPr>
      <w:tblGrid>
        <w:gridCol w:w="2636"/>
        <w:gridCol w:w="3471"/>
        <w:gridCol w:w="3471"/>
      </w:tblGrid>
      <w:tr w:rsidR="00EE4E7D" w:rsidRPr="00EE4E7D" w14:paraId="34E0C84C" w14:textId="77777777" w:rsidTr="00EE4E7D">
        <w:trPr>
          <w:trHeight w:val="465"/>
        </w:trPr>
        <w:tc>
          <w:tcPr>
            <w:tcW w:w="1376" w:type="pct"/>
            <w:shd w:val="pct20" w:color="000000" w:fill="FFFFFF"/>
          </w:tcPr>
          <w:p w14:paraId="45F22DAB" w14:textId="77777777" w:rsidR="00EE4E7D" w:rsidRPr="00EE4E7D" w:rsidRDefault="00EE4E7D" w:rsidP="00EE4E7D">
            <w:pPr>
              <w:rPr>
                <w:rFonts w:ascii="Times New Roman" w:hAnsi="Times New Roman"/>
                <w:b/>
                <w:sz w:val="24"/>
              </w:rPr>
            </w:pPr>
            <w:r w:rsidRPr="00EE4E7D">
              <w:rPr>
                <w:rFonts w:ascii="Times New Roman" w:hAnsi="Times New Roman"/>
                <w:b/>
                <w:sz w:val="24"/>
              </w:rPr>
              <w:t>Applicable Measure Codes:</w:t>
            </w:r>
          </w:p>
        </w:tc>
        <w:tc>
          <w:tcPr>
            <w:tcW w:w="1812" w:type="pct"/>
            <w:shd w:val="pct20" w:color="000000" w:fill="FFFFFF"/>
          </w:tcPr>
          <w:p w14:paraId="76CECD56" w14:textId="63B02A8F" w:rsidR="00EE4E7D" w:rsidRPr="00EE4E7D" w:rsidRDefault="00EE4E7D" w:rsidP="002D0EE8">
            <w:pPr>
              <w:rPr>
                <w:rFonts w:ascii="Times New Roman" w:hAnsi="Times New Roman"/>
                <w:b/>
                <w:sz w:val="20"/>
                <w:szCs w:val="20"/>
              </w:rPr>
            </w:pPr>
            <w:r w:rsidRPr="00EE4E7D">
              <w:rPr>
                <w:rFonts w:ascii="Times New Roman" w:hAnsi="Times New Roman"/>
                <w:b/>
                <w:sz w:val="20"/>
                <w:szCs w:val="20"/>
              </w:rPr>
              <w:t>F</w:t>
            </w:r>
            <w:r w:rsidR="002D0EE8">
              <w:rPr>
                <w:rFonts w:ascii="Times New Roman" w:hAnsi="Times New Roman"/>
                <w:b/>
                <w:sz w:val="20"/>
                <w:szCs w:val="20"/>
              </w:rPr>
              <w:t>S002</w:t>
            </w:r>
          </w:p>
        </w:tc>
        <w:tc>
          <w:tcPr>
            <w:tcW w:w="1812" w:type="pct"/>
            <w:shd w:val="pct20" w:color="000000" w:fill="FFFFFF"/>
          </w:tcPr>
          <w:p w14:paraId="76A862BC" w14:textId="39928400" w:rsidR="00EE4E7D" w:rsidRPr="00EE4E7D" w:rsidRDefault="00EE4E7D" w:rsidP="002D0EE8">
            <w:pPr>
              <w:rPr>
                <w:rFonts w:ascii="Times New Roman" w:hAnsi="Times New Roman"/>
                <w:b/>
                <w:sz w:val="20"/>
                <w:szCs w:val="20"/>
              </w:rPr>
            </w:pPr>
            <w:r w:rsidRPr="00EE4E7D">
              <w:rPr>
                <w:rFonts w:ascii="Times New Roman" w:hAnsi="Times New Roman"/>
                <w:b/>
                <w:sz w:val="20"/>
                <w:szCs w:val="20"/>
              </w:rPr>
              <w:t>F</w:t>
            </w:r>
            <w:r w:rsidR="002D0EE8">
              <w:rPr>
                <w:rFonts w:ascii="Times New Roman" w:hAnsi="Times New Roman"/>
                <w:b/>
                <w:sz w:val="20"/>
                <w:szCs w:val="20"/>
              </w:rPr>
              <w:t>S003</w:t>
            </w:r>
          </w:p>
        </w:tc>
      </w:tr>
      <w:tr w:rsidR="00EE4E7D" w:rsidRPr="00EE4E7D" w14:paraId="6E145E41" w14:textId="77777777" w:rsidTr="00EE4E7D">
        <w:trPr>
          <w:trHeight w:val="465"/>
        </w:trPr>
        <w:tc>
          <w:tcPr>
            <w:tcW w:w="1376" w:type="pct"/>
            <w:shd w:val="pct5" w:color="000000" w:fill="FFFFFF"/>
          </w:tcPr>
          <w:p w14:paraId="2E70EB25" w14:textId="77777777" w:rsidR="00EE4E7D" w:rsidRPr="00EE4E7D" w:rsidRDefault="00EE4E7D" w:rsidP="00EE4E7D">
            <w:pPr>
              <w:rPr>
                <w:rFonts w:ascii="Times New Roman" w:hAnsi="Times New Roman"/>
                <w:b/>
                <w:sz w:val="24"/>
              </w:rPr>
            </w:pPr>
            <w:r w:rsidRPr="00EE4E7D">
              <w:rPr>
                <w:rFonts w:ascii="Times New Roman" w:hAnsi="Times New Roman"/>
                <w:b/>
                <w:sz w:val="24"/>
              </w:rPr>
              <w:t xml:space="preserve">Measure Description: </w:t>
            </w:r>
          </w:p>
        </w:tc>
        <w:tc>
          <w:tcPr>
            <w:tcW w:w="1812" w:type="pct"/>
            <w:shd w:val="pct5" w:color="000000" w:fill="FFFFFF"/>
          </w:tcPr>
          <w:p w14:paraId="3CF9B49F"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Commercial Griddle (Electric)</w:t>
            </w:r>
          </w:p>
        </w:tc>
        <w:tc>
          <w:tcPr>
            <w:tcW w:w="1812" w:type="pct"/>
            <w:shd w:val="pct5" w:color="000000" w:fill="FFFFFF"/>
          </w:tcPr>
          <w:p w14:paraId="52930ADB"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Commercial Griddle (Gas)</w:t>
            </w:r>
          </w:p>
        </w:tc>
      </w:tr>
      <w:tr w:rsidR="00EE4E7D" w:rsidRPr="00EE4E7D" w14:paraId="5B6F3CE2" w14:textId="77777777" w:rsidTr="00EE4E7D">
        <w:trPr>
          <w:trHeight w:val="465"/>
        </w:trPr>
        <w:tc>
          <w:tcPr>
            <w:tcW w:w="1376" w:type="pct"/>
            <w:shd w:val="pct20" w:color="000000" w:fill="FFFFFF"/>
          </w:tcPr>
          <w:p w14:paraId="1E70D6A1" w14:textId="77777777" w:rsidR="00EE4E7D" w:rsidRPr="00EE4E7D" w:rsidRDefault="00EE4E7D" w:rsidP="00EE4E7D">
            <w:pPr>
              <w:rPr>
                <w:rFonts w:ascii="Times New Roman" w:hAnsi="Times New Roman"/>
                <w:b/>
                <w:sz w:val="24"/>
              </w:rPr>
            </w:pPr>
            <w:r w:rsidRPr="00EE4E7D">
              <w:rPr>
                <w:rFonts w:ascii="Times New Roman" w:hAnsi="Times New Roman"/>
                <w:b/>
                <w:sz w:val="24"/>
              </w:rPr>
              <w:t xml:space="preserve">Energy Impact Common Units: </w:t>
            </w:r>
          </w:p>
        </w:tc>
        <w:tc>
          <w:tcPr>
            <w:tcW w:w="1812" w:type="pct"/>
            <w:shd w:val="pct20" w:color="000000" w:fill="FFFFFF"/>
          </w:tcPr>
          <w:p w14:paraId="69E6B16F" w14:textId="44DECE24" w:rsidR="00EE4E7D" w:rsidRPr="00EE4E7D" w:rsidRDefault="00EE4E7D" w:rsidP="00EE4E7D">
            <w:pPr>
              <w:rPr>
                <w:rFonts w:ascii="Times New Roman" w:hAnsi="Times New Roman"/>
                <w:sz w:val="20"/>
                <w:szCs w:val="20"/>
              </w:rPr>
            </w:pPr>
            <w:r w:rsidRPr="00EE4E7D">
              <w:rPr>
                <w:rFonts w:ascii="Times New Roman" w:hAnsi="Times New Roman"/>
                <w:sz w:val="20"/>
                <w:szCs w:val="20"/>
              </w:rPr>
              <w:t xml:space="preserve">Griddle </w:t>
            </w:r>
            <w:r w:rsidR="002D0EE8">
              <w:rPr>
                <w:rFonts w:ascii="Times New Roman" w:hAnsi="Times New Roman"/>
                <w:sz w:val="20"/>
                <w:szCs w:val="20"/>
              </w:rPr>
              <w:t>Per Foot</w:t>
            </w:r>
          </w:p>
        </w:tc>
        <w:tc>
          <w:tcPr>
            <w:tcW w:w="1812" w:type="pct"/>
            <w:shd w:val="pct20" w:color="000000" w:fill="FFFFFF"/>
          </w:tcPr>
          <w:p w14:paraId="5231CC16" w14:textId="32970243" w:rsidR="00EE4E7D" w:rsidRPr="00EE4E7D" w:rsidRDefault="00EE4E7D" w:rsidP="00EE4E7D">
            <w:pPr>
              <w:rPr>
                <w:rFonts w:ascii="Times New Roman" w:hAnsi="Times New Roman"/>
                <w:sz w:val="20"/>
                <w:szCs w:val="20"/>
              </w:rPr>
            </w:pPr>
            <w:r w:rsidRPr="00EE4E7D">
              <w:rPr>
                <w:rFonts w:ascii="Times New Roman" w:hAnsi="Times New Roman"/>
                <w:sz w:val="20"/>
                <w:szCs w:val="20"/>
              </w:rPr>
              <w:t xml:space="preserve">Griddle </w:t>
            </w:r>
            <w:r w:rsidR="002D0EE8">
              <w:rPr>
                <w:rFonts w:ascii="Times New Roman" w:hAnsi="Times New Roman"/>
                <w:sz w:val="20"/>
                <w:szCs w:val="20"/>
              </w:rPr>
              <w:t>Per Foot</w:t>
            </w:r>
          </w:p>
        </w:tc>
      </w:tr>
      <w:tr w:rsidR="00EE4E7D" w:rsidRPr="00EE4E7D" w14:paraId="714E3A3C" w14:textId="77777777" w:rsidTr="00EE4E7D">
        <w:trPr>
          <w:trHeight w:val="465"/>
        </w:trPr>
        <w:tc>
          <w:tcPr>
            <w:tcW w:w="1376" w:type="pct"/>
            <w:shd w:val="pct5" w:color="000000" w:fill="FFFFFF"/>
          </w:tcPr>
          <w:p w14:paraId="557FA296" w14:textId="77777777" w:rsidR="00EE4E7D" w:rsidRPr="00EE4E7D" w:rsidRDefault="00EE4E7D" w:rsidP="00EE4E7D">
            <w:pPr>
              <w:rPr>
                <w:rFonts w:ascii="Times New Roman" w:hAnsi="Times New Roman"/>
                <w:b/>
                <w:sz w:val="24"/>
              </w:rPr>
            </w:pPr>
            <w:r w:rsidRPr="00EE4E7D">
              <w:rPr>
                <w:rFonts w:ascii="Times New Roman" w:hAnsi="Times New Roman"/>
                <w:b/>
                <w:sz w:val="24"/>
              </w:rPr>
              <w:t>Base Case Description:</w:t>
            </w:r>
          </w:p>
        </w:tc>
        <w:tc>
          <w:tcPr>
            <w:tcW w:w="1812" w:type="pct"/>
            <w:shd w:val="pct5" w:color="000000" w:fill="FFFFFF"/>
          </w:tcPr>
          <w:p w14:paraId="1C8D3155"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t>Existing Electric Griddle</w:t>
            </w:r>
          </w:p>
        </w:tc>
        <w:tc>
          <w:tcPr>
            <w:tcW w:w="1812" w:type="pct"/>
            <w:shd w:val="pct5" w:color="000000" w:fill="FFFFFF"/>
          </w:tcPr>
          <w:p w14:paraId="6FAA3F60"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t>Existing Gas Griddle</w:t>
            </w:r>
          </w:p>
        </w:tc>
      </w:tr>
      <w:tr w:rsidR="00EE4E7D" w:rsidRPr="00EE4E7D" w14:paraId="263B5ED2" w14:textId="77777777" w:rsidTr="00EE4E7D">
        <w:trPr>
          <w:trHeight w:val="465"/>
        </w:trPr>
        <w:tc>
          <w:tcPr>
            <w:tcW w:w="1376" w:type="pct"/>
            <w:shd w:val="pct20" w:color="000000" w:fill="FFFFFF"/>
          </w:tcPr>
          <w:p w14:paraId="611D1372" w14:textId="77777777" w:rsidR="00EE4E7D" w:rsidRPr="00EE4E7D" w:rsidRDefault="00EE4E7D" w:rsidP="00EE4E7D">
            <w:pPr>
              <w:rPr>
                <w:rFonts w:ascii="Times New Roman" w:hAnsi="Times New Roman"/>
                <w:b/>
                <w:sz w:val="24"/>
              </w:rPr>
            </w:pPr>
            <w:r w:rsidRPr="00EE4E7D">
              <w:rPr>
                <w:rFonts w:ascii="Times New Roman" w:hAnsi="Times New Roman"/>
                <w:b/>
                <w:sz w:val="24"/>
              </w:rPr>
              <w:t xml:space="preserve">Base Case Energy Consumption: </w:t>
            </w:r>
          </w:p>
        </w:tc>
        <w:tc>
          <w:tcPr>
            <w:tcW w:w="1812" w:type="pct"/>
            <w:shd w:val="pct20" w:color="000000" w:fill="FFFFFF"/>
          </w:tcPr>
          <w:p w14:paraId="337FDBCD" w14:textId="5DE2F39C"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5,904</w:t>
            </w:r>
            <w:r w:rsidRPr="00EE4E7D">
              <w:rPr>
                <w:rFonts w:ascii="Times New Roman" w:hAnsi="Times New Roman"/>
                <w:sz w:val="20"/>
                <w:szCs w:val="20"/>
              </w:rPr>
              <w:t xml:space="preserve"> kWh/</w:t>
            </w:r>
            <w:proofErr w:type="spellStart"/>
            <w:r w:rsidRPr="00EE4E7D">
              <w:rPr>
                <w:rFonts w:ascii="Times New Roman" w:hAnsi="Times New Roman"/>
                <w:sz w:val="20"/>
                <w:szCs w:val="20"/>
              </w:rPr>
              <w:t>yr</w:t>
            </w:r>
            <w:proofErr w:type="spellEnd"/>
            <w:r w:rsidR="002D0EE8">
              <w:rPr>
                <w:rFonts w:ascii="Times New Roman" w:hAnsi="Times New Roman"/>
                <w:sz w:val="20"/>
                <w:szCs w:val="20"/>
              </w:rPr>
              <w:t xml:space="preserve"> </w:t>
            </w:r>
          </w:p>
        </w:tc>
        <w:tc>
          <w:tcPr>
            <w:tcW w:w="1812" w:type="pct"/>
            <w:shd w:val="pct20" w:color="000000" w:fill="FFFFFF"/>
          </w:tcPr>
          <w:p w14:paraId="4B2003B7" w14:textId="6A1E4904"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417</w:t>
            </w:r>
            <w:r w:rsidRPr="00EE4E7D">
              <w:rPr>
                <w:rFonts w:ascii="Times New Roman" w:hAnsi="Times New Roman"/>
                <w:sz w:val="20"/>
                <w:szCs w:val="20"/>
              </w:rPr>
              <w:t xml:space="preserve"> </w:t>
            </w:r>
            <w:proofErr w:type="spellStart"/>
            <w:r w:rsidRPr="00EE4E7D">
              <w:rPr>
                <w:rFonts w:ascii="Times New Roman" w:hAnsi="Times New Roman"/>
                <w:sz w:val="20"/>
                <w:szCs w:val="20"/>
              </w:rPr>
              <w:t>Therms</w:t>
            </w:r>
            <w:proofErr w:type="spellEnd"/>
            <w:r w:rsidRPr="00EE4E7D">
              <w:rPr>
                <w:rFonts w:ascii="Times New Roman" w:hAnsi="Times New Roman"/>
                <w:sz w:val="20"/>
                <w:szCs w:val="20"/>
              </w:rPr>
              <w:t>/</w:t>
            </w:r>
            <w:proofErr w:type="spellStart"/>
            <w:r w:rsidRPr="00EE4E7D">
              <w:rPr>
                <w:rFonts w:ascii="Times New Roman" w:hAnsi="Times New Roman"/>
                <w:sz w:val="20"/>
                <w:szCs w:val="20"/>
              </w:rPr>
              <w:t>yr</w:t>
            </w:r>
            <w:proofErr w:type="spellEnd"/>
          </w:p>
        </w:tc>
      </w:tr>
      <w:tr w:rsidR="00EE4E7D" w:rsidRPr="00EE4E7D" w14:paraId="41285006" w14:textId="77777777" w:rsidTr="00EE4E7D">
        <w:trPr>
          <w:trHeight w:val="465"/>
        </w:trPr>
        <w:tc>
          <w:tcPr>
            <w:tcW w:w="1376" w:type="pct"/>
            <w:shd w:val="pct5" w:color="000000" w:fill="FFFFFF"/>
          </w:tcPr>
          <w:p w14:paraId="4EB161E0" w14:textId="77777777" w:rsidR="00EE4E7D" w:rsidRPr="00EE4E7D" w:rsidRDefault="00EE4E7D" w:rsidP="00EE4E7D">
            <w:pPr>
              <w:rPr>
                <w:rFonts w:ascii="Times New Roman" w:hAnsi="Times New Roman"/>
                <w:b/>
                <w:sz w:val="24"/>
              </w:rPr>
            </w:pPr>
            <w:r w:rsidRPr="00EE4E7D">
              <w:rPr>
                <w:rFonts w:ascii="Times New Roman" w:hAnsi="Times New Roman"/>
                <w:b/>
                <w:sz w:val="24"/>
              </w:rPr>
              <w:t>Measure Energy Consumption:</w:t>
            </w:r>
          </w:p>
        </w:tc>
        <w:tc>
          <w:tcPr>
            <w:tcW w:w="1812" w:type="pct"/>
            <w:shd w:val="pct5" w:color="000000" w:fill="FFFFFF"/>
          </w:tcPr>
          <w:p w14:paraId="0604A213" w14:textId="4914DC21"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4,578</w:t>
            </w:r>
            <w:r w:rsidRPr="00EE4E7D">
              <w:rPr>
                <w:rFonts w:ascii="Times New Roman" w:hAnsi="Times New Roman"/>
                <w:sz w:val="20"/>
                <w:szCs w:val="20"/>
              </w:rPr>
              <w:t xml:space="preserve"> kWh/</w:t>
            </w:r>
            <w:proofErr w:type="spellStart"/>
            <w:r w:rsidRPr="00EE4E7D">
              <w:rPr>
                <w:rFonts w:ascii="Times New Roman" w:hAnsi="Times New Roman"/>
                <w:sz w:val="20"/>
                <w:szCs w:val="20"/>
              </w:rPr>
              <w:t>yr</w:t>
            </w:r>
            <w:proofErr w:type="spellEnd"/>
          </w:p>
        </w:tc>
        <w:tc>
          <w:tcPr>
            <w:tcW w:w="1812" w:type="pct"/>
            <w:shd w:val="pct5" w:color="000000" w:fill="FFFFFF"/>
          </w:tcPr>
          <w:p w14:paraId="7ACA6241" w14:textId="0346D286"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291</w:t>
            </w:r>
            <w:r w:rsidRPr="00EE4E7D">
              <w:rPr>
                <w:rFonts w:ascii="Times New Roman" w:hAnsi="Times New Roman"/>
                <w:sz w:val="20"/>
                <w:szCs w:val="20"/>
              </w:rPr>
              <w:t xml:space="preserve"> </w:t>
            </w:r>
            <w:proofErr w:type="spellStart"/>
            <w:r w:rsidRPr="00EE4E7D">
              <w:rPr>
                <w:rFonts w:ascii="Times New Roman" w:hAnsi="Times New Roman"/>
                <w:sz w:val="20"/>
                <w:szCs w:val="20"/>
              </w:rPr>
              <w:t>Therms</w:t>
            </w:r>
            <w:proofErr w:type="spellEnd"/>
            <w:r w:rsidRPr="00EE4E7D">
              <w:rPr>
                <w:rFonts w:ascii="Times New Roman" w:hAnsi="Times New Roman"/>
                <w:sz w:val="20"/>
                <w:szCs w:val="20"/>
              </w:rPr>
              <w:t>/</w:t>
            </w:r>
            <w:proofErr w:type="spellStart"/>
            <w:r w:rsidRPr="00EE4E7D">
              <w:rPr>
                <w:rFonts w:ascii="Times New Roman" w:hAnsi="Times New Roman"/>
                <w:sz w:val="20"/>
                <w:szCs w:val="20"/>
              </w:rPr>
              <w:t>yr</w:t>
            </w:r>
            <w:proofErr w:type="spellEnd"/>
          </w:p>
        </w:tc>
      </w:tr>
      <w:tr w:rsidR="00EE4E7D" w:rsidRPr="00EE4E7D" w14:paraId="5A2DE927" w14:textId="77777777" w:rsidTr="00EE4E7D">
        <w:trPr>
          <w:trHeight w:val="465"/>
        </w:trPr>
        <w:tc>
          <w:tcPr>
            <w:tcW w:w="1376" w:type="pct"/>
            <w:shd w:val="pct20" w:color="000000" w:fill="FFFFFF"/>
          </w:tcPr>
          <w:p w14:paraId="4292CC1F" w14:textId="77777777" w:rsidR="00EE4E7D" w:rsidRPr="00EE4E7D" w:rsidRDefault="00EE4E7D" w:rsidP="00EE4E7D">
            <w:pPr>
              <w:rPr>
                <w:rFonts w:ascii="Times New Roman" w:hAnsi="Times New Roman"/>
                <w:b/>
                <w:sz w:val="24"/>
              </w:rPr>
            </w:pPr>
            <w:r w:rsidRPr="00EE4E7D">
              <w:rPr>
                <w:rFonts w:ascii="Times New Roman" w:hAnsi="Times New Roman"/>
                <w:b/>
                <w:sz w:val="24"/>
              </w:rPr>
              <w:t>Energy Savings (Base Case – Measure)</w:t>
            </w:r>
          </w:p>
        </w:tc>
        <w:tc>
          <w:tcPr>
            <w:tcW w:w="1812" w:type="pct"/>
            <w:shd w:val="pct20" w:color="000000" w:fill="FFFFFF"/>
          </w:tcPr>
          <w:p w14:paraId="14ADA837" w14:textId="67EF39B3"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1,326 kWh/</w:t>
            </w:r>
            <w:proofErr w:type="spellStart"/>
            <w:r w:rsidR="002D0EE8">
              <w:rPr>
                <w:rFonts w:ascii="Times New Roman" w:hAnsi="Times New Roman"/>
                <w:sz w:val="20"/>
                <w:szCs w:val="20"/>
              </w:rPr>
              <w:t>yr</w:t>
            </w:r>
            <w:proofErr w:type="spellEnd"/>
            <w:r w:rsidR="002D0EE8">
              <w:rPr>
                <w:rFonts w:ascii="Times New Roman" w:hAnsi="Times New Roman"/>
                <w:sz w:val="20"/>
                <w:szCs w:val="20"/>
              </w:rPr>
              <w:t xml:space="preserve"> per foot</w:t>
            </w:r>
          </w:p>
        </w:tc>
        <w:tc>
          <w:tcPr>
            <w:tcW w:w="1812" w:type="pct"/>
            <w:shd w:val="pct20" w:color="000000" w:fill="FFFFFF"/>
          </w:tcPr>
          <w:p w14:paraId="651B0F7C" w14:textId="360A37D5"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12</w:t>
            </w:r>
            <w:r w:rsidRPr="00EE4E7D">
              <w:rPr>
                <w:rFonts w:ascii="Times New Roman" w:hAnsi="Times New Roman"/>
                <w:sz w:val="20"/>
                <w:szCs w:val="20"/>
              </w:rPr>
              <w:t xml:space="preserve">6 </w:t>
            </w:r>
            <w:proofErr w:type="spellStart"/>
            <w:r w:rsidRPr="00EE4E7D">
              <w:rPr>
                <w:rFonts w:ascii="Times New Roman" w:hAnsi="Times New Roman"/>
                <w:sz w:val="20"/>
                <w:szCs w:val="20"/>
              </w:rPr>
              <w:t>Therms</w:t>
            </w:r>
            <w:proofErr w:type="spellEnd"/>
            <w:r w:rsidRPr="00EE4E7D">
              <w:rPr>
                <w:rFonts w:ascii="Times New Roman" w:hAnsi="Times New Roman"/>
                <w:sz w:val="20"/>
                <w:szCs w:val="20"/>
              </w:rPr>
              <w:t>/</w:t>
            </w:r>
            <w:proofErr w:type="spellStart"/>
            <w:r w:rsidRPr="00EE4E7D">
              <w:rPr>
                <w:rFonts w:ascii="Times New Roman" w:hAnsi="Times New Roman"/>
                <w:sz w:val="20"/>
                <w:szCs w:val="20"/>
              </w:rPr>
              <w:t>yr</w:t>
            </w:r>
            <w:proofErr w:type="spellEnd"/>
            <w:r w:rsidR="002D0EE8">
              <w:rPr>
                <w:rFonts w:ascii="Times New Roman" w:hAnsi="Times New Roman"/>
                <w:sz w:val="20"/>
                <w:szCs w:val="20"/>
              </w:rPr>
              <w:t xml:space="preserve"> per foot</w:t>
            </w:r>
          </w:p>
        </w:tc>
      </w:tr>
      <w:tr w:rsidR="00EE4E7D" w:rsidRPr="00EE4E7D" w14:paraId="2E7DA8D1" w14:textId="77777777" w:rsidTr="00EE4E7D">
        <w:trPr>
          <w:trHeight w:val="465"/>
        </w:trPr>
        <w:tc>
          <w:tcPr>
            <w:tcW w:w="1376" w:type="pct"/>
            <w:shd w:val="pct5" w:color="000000" w:fill="FFFFFF"/>
          </w:tcPr>
          <w:p w14:paraId="2E566698" w14:textId="77777777" w:rsidR="00EE4E7D" w:rsidRPr="00EE4E7D" w:rsidRDefault="00EE4E7D" w:rsidP="00EE4E7D">
            <w:pPr>
              <w:rPr>
                <w:rFonts w:ascii="Times New Roman" w:hAnsi="Times New Roman"/>
                <w:b/>
                <w:sz w:val="24"/>
              </w:rPr>
            </w:pPr>
            <w:r w:rsidRPr="00EE4E7D">
              <w:rPr>
                <w:rFonts w:ascii="Times New Roman" w:hAnsi="Times New Roman"/>
                <w:b/>
                <w:sz w:val="24"/>
              </w:rPr>
              <w:t xml:space="preserve">Costs Common Units: </w:t>
            </w:r>
          </w:p>
        </w:tc>
        <w:tc>
          <w:tcPr>
            <w:tcW w:w="1812" w:type="pct"/>
            <w:shd w:val="pct5" w:color="000000" w:fill="FFFFFF"/>
          </w:tcPr>
          <w:p w14:paraId="43AA9E80"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 xml:space="preserve">Source: PG&amp;E Calculations </w:t>
            </w:r>
            <w:r w:rsidRPr="00EE4E7D">
              <w:rPr>
                <w:rFonts w:ascii="Times New Roman" w:hAnsi="Times New Roman"/>
                <w:sz w:val="20"/>
                <w:szCs w:val="20"/>
              </w:rPr>
              <w:br/>
              <w:t xml:space="preserve">Griddle </w:t>
            </w:r>
          </w:p>
        </w:tc>
        <w:tc>
          <w:tcPr>
            <w:tcW w:w="1812" w:type="pct"/>
            <w:shd w:val="pct5" w:color="000000" w:fill="FFFFFF"/>
          </w:tcPr>
          <w:p w14:paraId="038F60B5"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t xml:space="preserve">Griddle </w:t>
            </w:r>
          </w:p>
        </w:tc>
      </w:tr>
      <w:tr w:rsidR="00EE4E7D" w:rsidRPr="00EE4E7D" w14:paraId="1B9B6E94" w14:textId="77777777" w:rsidTr="00EE4E7D">
        <w:trPr>
          <w:trHeight w:val="465"/>
        </w:trPr>
        <w:tc>
          <w:tcPr>
            <w:tcW w:w="1376" w:type="pct"/>
            <w:shd w:val="pct20" w:color="000000" w:fill="FFFFFF"/>
          </w:tcPr>
          <w:p w14:paraId="25C22215" w14:textId="77777777" w:rsidR="00EE4E7D" w:rsidRPr="00EE4E7D" w:rsidRDefault="00EE4E7D" w:rsidP="00EE4E7D">
            <w:pPr>
              <w:rPr>
                <w:rFonts w:ascii="Times New Roman" w:hAnsi="Times New Roman"/>
                <w:b/>
                <w:sz w:val="24"/>
              </w:rPr>
            </w:pPr>
            <w:r w:rsidRPr="00EE4E7D">
              <w:rPr>
                <w:rFonts w:ascii="Times New Roman" w:hAnsi="Times New Roman"/>
                <w:b/>
                <w:sz w:val="24"/>
              </w:rPr>
              <w:t>Base Case Equipment Cost ($/unit):</w:t>
            </w:r>
          </w:p>
        </w:tc>
        <w:tc>
          <w:tcPr>
            <w:tcW w:w="1812" w:type="pct"/>
            <w:shd w:val="pct20" w:color="000000" w:fill="FFFFFF"/>
          </w:tcPr>
          <w:p w14:paraId="23A25666" w14:textId="4D0C5DB2"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t>$</w:t>
            </w:r>
            <w:r w:rsidR="002D0EE8">
              <w:rPr>
                <w:rFonts w:ascii="Times New Roman" w:hAnsi="Times New Roman"/>
                <w:sz w:val="20"/>
                <w:szCs w:val="20"/>
              </w:rPr>
              <w:t>750</w:t>
            </w:r>
          </w:p>
        </w:tc>
        <w:tc>
          <w:tcPr>
            <w:tcW w:w="1812" w:type="pct"/>
            <w:shd w:val="pct20" w:color="000000" w:fill="FFFFFF"/>
          </w:tcPr>
          <w:p w14:paraId="25D94792" w14:textId="636C2D2C"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t>$</w:t>
            </w:r>
            <w:r w:rsidR="002D0EE8">
              <w:rPr>
                <w:rFonts w:ascii="Times New Roman" w:hAnsi="Times New Roman"/>
                <w:sz w:val="20"/>
                <w:szCs w:val="20"/>
              </w:rPr>
              <w:t>1,026</w:t>
            </w:r>
          </w:p>
        </w:tc>
      </w:tr>
      <w:tr w:rsidR="00EE4E7D" w:rsidRPr="00EE4E7D" w14:paraId="74647EA1" w14:textId="77777777" w:rsidTr="00EE4E7D">
        <w:trPr>
          <w:trHeight w:val="465"/>
        </w:trPr>
        <w:tc>
          <w:tcPr>
            <w:tcW w:w="1376" w:type="pct"/>
            <w:shd w:val="pct5" w:color="000000" w:fill="FFFFFF"/>
          </w:tcPr>
          <w:p w14:paraId="34EDE2A2" w14:textId="77777777" w:rsidR="00EE4E7D" w:rsidRPr="00EE4E7D" w:rsidRDefault="00EE4E7D" w:rsidP="00EE4E7D">
            <w:pPr>
              <w:rPr>
                <w:rFonts w:ascii="Times New Roman" w:hAnsi="Times New Roman"/>
                <w:b/>
                <w:sz w:val="24"/>
              </w:rPr>
            </w:pPr>
            <w:r w:rsidRPr="00EE4E7D">
              <w:rPr>
                <w:rFonts w:ascii="Times New Roman" w:hAnsi="Times New Roman"/>
                <w:b/>
                <w:sz w:val="24"/>
              </w:rPr>
              <w:t xml:space="preserve">Measure Equipment Cost ($/unit): </w:t>
            </w:r>
          </w:p>
        </w:tc>
        <w:tc>
          <w:tcPr>
            <w:tcW w:w="1812" w:type="pct"/>
            <w:shd w:val="pct5" w:color="000000" w:fill="FFFFFF"/>
          </w:tcPr>
          <w:p w14:paraId="251C238A" w14:textId="56C3F04C"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t>$</w:t>
            </w:r>
            <w:r w:rsidR="002D0EE8">
              <w:rPr>
                <w:rFonts w:ascii="Times New Roman" w:hAnsi="Times New Roman"/>
                <w:sz w:val="20"/>
                <w:szCs w:val="20"/>
              </w:rPr>
              <w:t>1,008</w:t>
            </w:r>
          </w:p>
        </w:tc>
        <w:tc>
          <w:tcPr>
            <w:tcW w:w="1812" w:type="pct"/>
            <w:shd w:val="pct5" w:color="000000" w:fill="FFFFFF"/>
          </w:tcPr>
          <w:p w14:paraId="438C31EF" w14:textId="26E41D9C"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r>
            <w:r w:rsidR="002D0EE8">
              <w:rPr>
                <w:rFonts w:ascii="Times New Roman" w:hAnsi="Times New Roman"/>
                <w:sz w:val="20"/>
                <w:szCs w:val="20"/>
              </w:rPr>
              <w:t>$1,312</w:t>
            </w:r>
          </w:p>
        </w:tc>
      </w:tr>
      <w:tr w:rsidR="00EE4E7D" w:rsidRPr="00EE4E7D" w14:paraId="23740DB2" w14:textId="77777777" w:rsidTr="00EE4E7D">
        <w:trPr>
          <w:trHeight w:val="465"/>
        </w:trPr>
        <w:tc>
          <w:tcPr>
            <w:tcW w:w="1376" w:type="pct"/>
            <w:shd w:val="pct20" w:color="000000" w:fill="FFFFFF"/>
          </w:tcPr>
          <w:p w14:paraId="4E5ADA67" w14:textId="77777777" w:rsidR="00EE4E7D" w:rsidRPr="00EE4E7D" w:rsidRDefault="00EE4E7D" w:rsidP="00EE4E7D">
            <w:pPr>
              <w:rPr>
                <w:rFonts w:ascii="Times New Roman" w:hAnsi="Times New Roman"/>
                <w:b/>
                <w:sz w:val="24"/>
              </w:rPr>
            </w:pPr>
            <w:bookmarkStart w:id="7" w:name="OLE_LINK1"/>
            <w:r w:rsidRPr="00EE4E7D">
              <w:rPr>
                <w:rFonts w:ascii="Times New Roman" w:hAnsi="Times New Roman"/>
                <w:b/>
                <w:sz w:val="24"/>
              </w:rPr>
              <w:t xml:space="preserve">Measure Incremental Cost ($/unit): </w:t>
            </w:r>
            <w:bookmarkEnd w:id="7"/>
          </w:p>
        </w:tc>
        <w:tc>
          <w:tcPr>
            <w:tcW w:w="1812" w:type="pct"/>
            <w:shd w:val="pct20" w:color="000000" w:fill="FFFFFF"/>
          </w:tcPr>
          <w:p w14:paraId="0E797B43" w14:textId="5E742555"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t>$</w:t>
            </w:r>
            <w:r w:rsidR="002D0EE8">
              <w:rPr>
                <w:rFonts w:ascii="Times New Roman" w:hAnsi="Times New Roman"/>
                <w:sz w:val="20"/>
                <w:szCs w:val="20"/>
              </w:rPr>
              <w:t>286</w:t>
            </w:r>
          </w:p>
        </w:tc>
        <w:tc>
          <w:tcPr>
            <w:tcW w:w="1812" w:type="pct"/>
            <w:shd w:val="pct20" w:color="000000" w:fill="FFFFFF"/>
          </w:tcPr>
          <w:p w14:paraId="657A64A5" w14:textId="46EE84D7" w:rsidR="00EE4E7D" w:rsidRPr="00EE4E7D" w:rsidRDefault="00EE4E7D" w:rsidP="002D0EE8">
            <w:pPr>
              <w:rPr>
                <w:rFonts w:ascii="Times New Roman" w:hAnsi="Times New Roman"/>
                <w:sz w:val="20"/>
                <w:szCs w:val="20"/>
              </w:rPr>
            </w:pPr>
            <w:r w:rsidRPr="00EE4E7D">
              <w:rPr>
                <w:rFonts w:ascii="Times New Roman" w:hAnsi="Times New Roman"/>
                <w:sz w:val="20"/>
                <w:szCs w:val="20"/>
              </w:rPr>
              <w:t>Source: PG&amp;E Calculations</w:t>
            </w:r>
            <w:r w:rsidRPr="00EE4E7D">
              <w:rPr>
                <w:rFonts w:ascii="Times New Roman" w:hAnsi="Times New Roman"/>
                <w:sz w:val="20"/>
                <w:szCs w:val="20"/>
              </w:rPr>
              <w:br/>
              <w:t>$</w:t>
            </w:r>
            <w:r w:rsidR="002D0EE8">
              <w:rPr>
                <w:rFonts w:ascii="Times New Roman" w:hAnsi="Times New Roman"/>
                <w:sz w:val="20"/>
                <w:szCs w:val="20"/>
              </w:rPr>
              <w:t>258</w:t>
            </w:r>
          </w:p>
        </w:tc>
      </w:tr>
      <w:tr w:rsidR="00EE4E7D" w:rsidRPr="00EE4E7D" w14:paraId="6B1FB1B0" w14:textId="77777777" w:rsidTr="00EE4E7D">
        <w:trPr>
          <w:trHeight w:val="465"/>
        </w:trPr>
        <w:tc>
          <w:tcPr>
            <w:tcW w:w="1376" w:type="pct"/>
            <w:shd w:val="pct5" w:color="000000" w:fill="FFFFFF"/>
          </w:tcPr>
          <w:p w14:paraId="363E33E4" w14:textId="77777777" w:rsidR="00EE4E7D" w:rsidRPr="00EE4E7D" w:rsidRDefault="00EE4E7D" w:rsidP="00EE4E7D">
            <w:pPr>
              <w:rPr>
                <w:rFonts w:ascii="Times New Roman" w:hAnsi="Times New Roman"/>
                <w:b/>
                <w:sz w:val="24"/>
                <w:highlight w:val="red"/>
              </w:rPr>
            </w:pPr>
            <w:r w:rsidRPr="00EE4E7D">
              <w:rPr>
                <w:rFonts w:ascii="Times New Roman" w:hAnsi="Times New Roman"/>
                <w:b/>
                <w:sz w:val="24"/>
              </w:rPr>
              <w:t xml:space="preserve">Effective Useful Life (years): </w:t>
            </w:r>
          </w:p>
        </w:tc>
        <w:tc>
          <w:tcPr>
            <w:tcW w:w="1812" w:type="pct"/>
            <w:shd w:val="pct5" w:color="000000" w:fill="FFFFFF"/>
          </w:tcPr>
          <w:p w14:paraId="0B597D96"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 xml:space="preserve">12 years -- Source: </w:t>
            </w:r>
            <w:hyperlink r:id="rId17" w:history="1">
              <w:r w:rsidRPr="00EE4E7D">
                <w:rPr>
                  <w:rFonts w:ascii="Times New Roman" w:hAnsi="Times New Roman"/>
                  <w:color w:val="0000FF"/>
                  <w:sz w:val="20"/>
                  <w:szCs w:val="20"/>
                  <w:u w:val="single"/>
                </w:rPr>
                <w:t>www.Deeresources.com</w:t>
              </w:r>
            </w:hyperlink>
            <w:r w:rsidRPr="00EE4E7D">
              <w:rPr>
                <w:rFonts w:ascii="Times New Roman" w:hAnsi="Times New Roman"/>
                <w:sz w:val="20"/>
                <w:szCs w:val="20"/>
              </w:rPr>
              <w:t xml:space="preserve"> EUL </w:t>
            </w:r>
          </w:p>
        </w:tc>
        <w:tc>
          <w:tcPr>
            <w:tcW w:w="1812" w:type="pct"/>
            <w:shd w:val="pct5" w:color="000000" w:fill="FFFFFF"/>
          </w:tcPr>
          <w:p w14:paraId="0333891C"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 xml:space="preserve">12 years  --  Source: </w:t>
            </w:r>
            <w:hyperlink r:id="rId18" w:history="1">
              <w:r w:rsidRPr="00EE4E7D">
                <w:rPr>
                  <w:rFonts w:ascii="Times New Roman" w:hAnsi="Times New Roman"/>
                  <w:color w:val="0000FF"/>
                  <w:sz w:val="20"/>
                  <w:szCs w:val="20"/>
                  <w:u w:val="single"/>
                </w:rPr>
                <w:t>www.Deeresources.com</w:t>
              </w:r>
            </w:hyperlink>
            <w:r w:rsidRPr="00EE4E7D">
              <w:rPr>
                <w:rFonts w:ascii="Times New Roman" w:hAnsi="Times New Roman"/>
                <w:sz w:val="20"/>
                <w:szCs w:val="20"/>
              </w:rPr>
              <w:t xml:space="preserve"> EUL</w:t>
            </w:r>
          </w:p>
        </w:tc>
      </w:tr>
      <w:tr w:rsidR="00EE4E7D" w:rsidRPr="00EE4E7D" w14:paraId="265DE53C" w14:textId="77777777" w:rsidTr="00EE4E7D">
        <w:trPr>
          <w:trHeight w:val="465"/>
        </w:trPr>
        <w:tc>
          <w:tcPr>
            <w:tcW w:w="1376" w:type="pct"/>
            <w:shd w:val="pct20" w:color="000000" w:fill="FFFFFF"/>
          </w:tcPr>
          <w:p w14:paraId="39F0A7D3" w14:textId="77777777" w:rsidR="00EE4E7D" w:rsidRPr="00EE4E7D" w:rsidRDefault="00EE4E7D" w:rsidP="00EE4E7D">
            <w:pPr>
              <w:rPr>
                <w:rFonts w:ascii="Times New Roman" w:hAnsi="Times New Roman"/>
                <w:b/>
                <w:sz w:val="24"/>
              </w:rPr>
            </w:pPr>
            <w:r w:rsidRPr="00EE4E7D">
              <w:rPr>
                <w:rFonts w:ascii="Times New Roman" w:hAnsi="Times New Roman"/>
                <w:b/>
                <w:sz w:val="24"/>
              </w:rPr>
              <w:t>Program Type:</w:t>
            </w:r>
          </w:p>
        </w:tc>
        <w:tc>
          <w:tcPr>
            <w:tcW w:w="1812" w:type="pct"/>
            <w:shd w:val="pct20" w:color="000000" w:fill="FFFFFF"/>
          </w:tcPr>
          <w:p w14:paraId="60631002"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fldChar w:fldCharType="begin"/>
            </w:r>
            <w:r w:rsidRPr="00EE4E7D">
              <w:rPr>
                <w:rFonts w:ascii="Times New Roman" w:hAnsi="Times New Roman"/>
                <w:sz w:val="24"/>
              </w:rPr>
              <w:instrText xml:space="preserve"> XE "</w:instrText>
            </w:r>
            <w:r w:rsidRPr="00EE4E7D">
              <w:rPr>
                <w:rFonts w:ascii="Times New Roman" w:hAnsi="Times New Roman"/>
                <w:sz w:val="20"/>
                <w:szCs w:val="20"/>
              </w:rPr>
              <w:instrText>Retrofit</w:instrText>
            </w:r>
            <w:r w:rsidRPr="00EE4E7D">
              <w:rPr>
                <w:rFonts w:ascii="Times New Roman" w:hAnsi="Times New Roman"/>
                <w:sz w:val="24"/>
              </w:rPr>
              <w:instrText xml:space="preserve">" </w:instrText>
            </w:r>
            <w:r w:rsidRPr="00EE4E7D">
              <w:rPr>
                <w:rFonts w:ascii="Times New Roman" w:hAnsi="Times New Roman"/>
                <w:sz w:val="20"/>
                <w:szCs w:val="20"/>
              </w:rPr>
              <w:fldChar w:fldCharType="end"/>
            </w:r>
            <w:r w:rsidRPr="00EE4E7D">
              <w:rPr>
                <w:rFonts w:ascii="Times New Roman" w:hAnsi="Times New Roman"/>
                <w:sz w:val="20"/>
                <w:szCs w:val="20"/>
              </w:rPr>
              <w:br/>
              <w:t>Replace on Burnout</w:t>
            </w:r>
            <w:r w:rsidRPr="00EE4E7D">
              <w:rPr>
                <w:rFonts w:ascii="Times New Roman" w:hAnsi="Times New Roman"/>
                <w:sz w:val="20"/>
                <w:szCs w:val="20"/>
              </w:rPr>
              <w:fldChar w:fldCharType="begin"/>
            </w:r>
            <w:r w:rsidRPr="00EE4E7D">
              <w:rPr>
                <w:rFonts w:ascii="Times New Roman" w:hAnsi="Times New Roman"/>
                <w:sz w:val="24"/>
              </w:rPr>
              <w:instrText xml:space="preserve"> XE "</w:instrText>
            </w:r>
            <w:r w:rsidRPr="00EE4E7D">
              <w:rPr>
                <w:rFonts w:ascii="Times New Roman" w:hAnsi="Times New Roman"/>
                <w:sz w:val="20"/>
                <w:szCs w:val="20"/>
              </w:rPr>
              <w:instrText>Replace on Burnout</w:instrText>
            </w:r>
            <w:r w:rsidRPr="00EE4E7D">
              <w:rPr>
                <w:rFonts w:ascii="Times New Roman" w:hAnsi="Times New Roman"/>
                <w:sz w:val="24"/>
              </w:rPr>
              <w:instrText xml:space="preserve">" </w:instrText>
            </w:r>
            <w:r w:rsidRPr="00EE4E7D">
              <w:rPr>
                <w:rFonts w:ascii="Times New Roman" w:hAnsi="Times New Roman"/>
                <w:sz w:val="20"/>
                <w:szCs w:val="20"/>
              </w:rPr>
              <w:fldChar w:fldCharType="end"/>
            </w:r>
            <w:r w:rsidRPr="00EE4E7D">
              <w:rPr>
                <w:rFonts w:ascii="Times New Roman" w:hAnsi="Times New Roman"/>
                <w:sz w:val="20"/>
                <w:szCs w:val="20"/>
              </w:rPr>
              <w:t xml:space="preserve"> (ROB), and New Construction</w:t>
            </w:r>
            <w:r w:rsidRPr="00EE4E7D">
              <w:rPr>
                <w:rFonts w:ascii="Times New Roman" w:hAnsi="Times New Roman"/>
                <w:sz w:val="20"/>
                <w:szCs w:val="20"/>
              </w:rPr>
              <w:fldChar w:fldCharType="begin"/>
            </w:r>
            <w:r w:rsidRPr="00EE4E7D">
              <w:rPr>
                <w:rFonts w:ascii="Times New Roman" w:hAnsi="Times New Roman"/>
                <w:sz w:val="24"/>
              </w:rPr>
              <w:instrText xml:space="preserve"> XE "</w:instrText>
            </w:r>
            <w:r w:rsidRPr="00EE4E7D">
              <w:rPr>
                <w:rFonts w:ascii="Times New Roman" w:hAnsi="Times New Roman"/>
                <w:sz w:val="20"/>
                <w:szCs w:val="20"/>
              </w:rPr>
              <w:instrText>New Construction</w:instrText>
            </w:r>
            <w:r w:rsidRPr="00EE4E7D">
              <w:rPr>
                <w:rFonts w:ascii="Times New Roman" w:hAnsi="Times New Roman"/>
                <w:sz w:val="24"/>
              </w:rPr>
              <w:instrText xml:space="preserve">" </w:instrText>
            </w:r>
            <w:r w:rsidRPr="00EE4E7D">
              <w:rPr>
                <w:rFonts w:ascii="Times New Roman" w:hAnsi="Times New Roman"/>
                <w:sz w:val="20"/>
                <w:szCs w:val="20"/>
              </w:rPr>
              <w:fldChar w:fldCharType="end"/>
            </w:r>
            <w:r w:rsidRPr="00EE4E7D">
              <w:rPr>
                <w:rFonts w:ascii="Times New Roman" w:hAnsi="Times New Roman"/>
                <w:sz w:val="20"/>
                <w:szCs w:val="20"/>
              </w:rPr>
              <w:t xml:space="preserve"> (NC).</w:t>
            </w:r>
          </w:p>
        </w:tc>
        <w:tc>
          <w:tcPr>
            <w:tcW w:w="1812" w:type="pct"/>
            <w:shd w:val="pct20" w:color="000000" w:fill="FFFFFF"/>
          </w:tcPr>
          <w:p w14:paraId="536A0C12"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fldChar w:fldCharType="begin"/>
            </w:r>
            <w:r w:rsidRPr="00EE4E7D">
              <w:rPr>
                <w:rFonts w:ascii="Times New Roman" w:hAnsi="Times New Roman"/>
                <w:sz w:val="24"/>
              </w:rPr>
              <w:instrText xml:space="preserve"> XE "</w:instrText>
            </w:r>
            <w:r w:rsidRPr="00EE4E7D">
              <w:rPr>
                <w:rFonts w:ascii="Times New Roman" w:hAnsi="Times New Roman"/>
                <w:sz w:val="20"/>
                <w:szCs w:val="20"/>
              </w:rPr>
              <w:instrText>Retrofit</w:instrText>
            </w:r>
            <w:r w:rsidRPr="00EE4E7D">
              <w:rPr>
                <w:rFonts w:ascii="Times New Roman" w:hAnsi="Times New Roman"/>
                <w:sz w:val="24"/>
              </w:rPr>
              <w:instrText xml:space="preserve">" </w:instrText>
            </w:r>
            <w:r w:rsidRPr="00EE4E7D">
              <w:rPr>
                <w:rFonts w:ascii="Times New Roman" w:hAnsi="Times New Roman"/>
                <w:sz w:val="20"/>
                <w:szCs w:val="20"/>
              </w:rPr>
              <w:fldChar w:fldCharType="end"/>
            </w:r>
            <w:r w:rsidRPr="00EE4E7D">
              <w:rPr>
                <w:rFonts w:ascii="Times New Roman" w:hAnsi="Times New Roman"/>
                <w:sz w:val="20"/>
                <w:szCs w:val="20"/>
              </w:rPr>
              <w:br/>
              <w:t>Replace on Burnout</w:t>
            </w:r>
            <w:r w:rsidRPr="00EE4E7D">
              <w:rPr>
                <w:rFonts w:ascii="Times New Roman" w:hAnsi="Times New Roman"/>
                <w:sz w:val="20"/>
                <w:szCs w:val="20"/>
              </w:rPr>
              <w:fldChar w:fldCharType="begin"/>
            </w:r>
            <w:r w:rsidRPr="00EE4E7D">
              <w:rPr>
                <w:rFonts w:ascii="Times New Roman" w:hAnsi="Times New Roman"/>
                <w:sz w:val="24"/>
              </w:rPr>
              <w:instrText xml:space="preserve"> XE "</w:instrText>
            </w:r>
            <w:r w:rsidRPr="00EE4E7D">
              <w:rPr>
                <w:rFonts w:ascii="Times New Roman" w:hAnsi="Times New Roman"/>
                <w:sz w:val="20"/>
                <w:szCs w:val="20"/>
              </w:rPr>
              <w:instrText>Replace on Burnout</w:instrText>
            </w:r>
            <w:r w:rsidRPr="00EE4E7D">
              <w:rPr>
                <w:rFonts w:ascii="Times New Roman" w:hAnsi="Times New Roman"/>
                <w:sz w:val="24"/>
              </w:rPr>
              <w:instrText xml:space="preserve">" </w:instrText>
            </w:r>
            <w:r w:rsidRPr="00EE4E7D">
              <w:rPr>
                <w:rFonts w:ascii="Times New Roman" w:hAnsi="Times New Roman"/>
                <w:sz w:val="20"/>
                <w:szCs w:val="20"/>
              </w:rPr>
              <w:fldChar w:fldCharType="end"/>
            </w:r>
            <w:r w:rsidRPr="00EE4E7D">
              <w:rPr>
                <w:rFonts w:ascii="Times New Roman" w:hAnsi="Times New Roman"/>
                <w:sz w:val="20"/>
                <w:szCs w:val="20"/>
              </w:rPr>
              <w:t xml:space="preserve"> (ROB), and New Construction</w:t>
            </w:r>
            <w:r w:rsidRPr="00EE4E7D">
              <w:rPr>
                <w:rFonts w:ascii="Times New Roman" w:hAnsi="Times New Roman"/>
                <w:sz w:val="20"/>
                <w:szCs w:val="20"/>
              </w:rPr>
              <w:fldChar w:fldCharType="begin"/>
            </w:r>
            <w:r w:rsidRPr="00EE4E7D">
              <w:rPr>
                <w:rFonts w:ascii="Times New Roman" w:hAnsi="Times New Roman"/>
                <w:sz w:val="24"/>
              </w:rPr>
              <w:instrText xml:space="preserve"> XE "</w:instrText>
            </w:r>
            <w:r w:rsidRPr="00EE4E7D">
              <w:rPr>
                <w:rFonts w:ascii="Times New Roman" w:hAnsi="Times New Roman"/>
                <w:sz w:val="20"/>
                <w:szCs w:val="20"/>
              </w:rPr>
              <w:instrText>New Construction</w:instrText>
            </w:r>
            <w:r w:rsidRPr="00EE4E7D">
              <w:rPr>
                <w:rFonts w:ascii="Times New Roman" w:hAnsi="Times New Roman"/>
                <w:sz w:val="24"/>
              </w:rPr>
              <w:instrText xml:space="preserve">" </w:instrText>
            </w:r>
            <w:r w:rsidRPr="00EE4E7D">
              <w:rPr>
                <w:rFonts w:ascii="Times New Roman" w:hAnsi="Times New Roman"/>
                <w:sz w:val="20"/>
                <w:szCs w:val="20"/>
              </w:rPr>
              <w:fldChar w:fldCharType="end"/>
            </w:r>
            <w:r w:rsidRPr="00EE4E7D">
              <w:rPr>
                <w:rFonts w:ascii="Times New Roman" w:hAnsi="Times New Roman"/>
                <w:sz w:val="20"/>
                <w:szCs w:val="20"/>
              </w:rPr>
              <w:t xml:space="preserve"> (NC).</w:t>
            </w:r>
          </w:p>
        </w:tc>
      </w:tr>
      <w:tr w:rsidR="00EE4E7D" w:rsidRPr="00EE4E7D" w14:paraId="7E609D44" w14:textId="77777777" w:rsidTr="00EE4E7D">
        <w:trPr>
          <w:trHeight w:val="465"/>
        </w:trPr>
        <w:tc>
          <w:tcPr>
            <w:tcW w:w="1376" w:type="pct"/>
            <w:shd w:val="pct5" w:color="000000" w:fill="FFFFFF"/>
          </w:tcPr>
          <w:p w14:paraId="7B2FE857" w14:textId="77777777" w:rsidR="00EE4E7D" w:rsidRPr="00EE4E7D" w:rsidRDefault="00EE4E7D" w:rsidP="00EE4E7D">
            <w:pPr>
              <w:rPr>
                <w:rFonts w:ascii="Times New Roman" w:hAnsi="Times New Roman"/>
                <w:b/>
                <w:sz w:val="24"/>
                <w:highlight w:val="red"/>
              </w:rPr>
            </w:pPr>
            <w:r w:rsidRPr="00EE4E7D">
              <w:rPr>
                <w:rFonts w:ascii="Times New Roman" w:hAnsi="Times New Roman"/>
                <w:b/>
                <w:sz w:val="24"/>
              </w:rPr>
              <w:t xml:space="preserve">Net-to-Gross Ratios: </w:t>
            </w:r>
          </w:p>
        </w:tc>
        <w:tc>
          <w:tcPr>
            <w:tcW w:w="1812" w:type="pct"/>
            <w:shd w:val="pct5" w:color="000000" w:fill="FFFFFF"/>
          </w:tcPr>
          <w:p w14:paraId="3C235483" w14:textId="77777777" w:rsidR="00EE4E7D" w:rsidRDefault="00EE4E7D" w:rsidP="00EE4E7D">
            <w:pPr>
              <w:rPr>
                <w:rFonts w:ascii="Times New Roman" w:hAnsi="Times New Roman"/>
                <w:sz w:val="20"/>
                <w:szCs w:val="20"/>
              </w:rPr>
            </w:pPr>
            <w:bookmarkStart w:id="8" w:name="OLE_LINK2"/>
            <w:r w:rsidRPr="00EE4E7D">
              <w:rPr>
                <w:rFonts w:ascii="Times New Roman" w:hAnsi="Times New Roman"/>
                <w:sz w:val="20"/>
                <w:szCs w:val="20"/>
              </w:rPr>
              <w:t xml:space="preserve">Source: </w:t>
            </w:r>
          </w:p>
          <w:p w14:paraId="77F13EA0" w14:textId="326DFCF5" w:rsidR="00EE4E7D" w:rsidRPr="00EE4E7D" w:rsidRDefault="00EE4E7D" w:rsidP="00EE4E7D">
            <w:pPr>
              <w:rPr>
                <w:rFonts w:ascii="Times New Roman" w:hAnsi="Times New Roman"/>
                <w:sz w:val="20"/>
                <w:szCs w:val="20"/>
              </w:rPr>
            </w:pPr>
            <w:r w:rsidRPr="00EE4E7D">
              <w:rPr>
                <w:rFonts w:ascii="Times New Roman" w:hAnsi="Times New Roman"/>
                <w:sz w:val="20"/>
                <w:szCs w:val="20"/>
              </w:rPr>
              <w:t>201</w:t>
            </w:r>
            <w:r>
              <w:rPr>
                <w:rFonts w:ascii="Times New Roman" w:hAnsi="Times New Roman"/>
                <w:sz w:val="20"/>
                <w:szCs w:val="20"/>
              </w:rPr>
              <w:t>4</w:t>
            </w:r>
            <w:r w:rsidRPr="00EE4E7D">
              <w:rPr>
                <w:rFonts w:ascii="Times New Roman" w:hAnsi="Times New Roman"/>
                <w:sz w:val="20"/>
                <w:szCs w:val="20"/>
              </w:rPr>
              <w:t xml:space="preserve"> DEER </w:t>
            </w:r>
            <w:r>
              <w:rPr>
                <w:rFonts w:ascii="Times New Roman" w:hAnsi="Times New Roman"/>
                <w:sz w:val="20"/>
                <w:szCs w:val="20"/>
              </w:rPr>
              <w:t xml:space="preserve">Com </w:t>
            </w:r>
            <w:r w:rsidRPr="00EE4E7D">
              <w:rPr>
                <w:rFonts w:ascii="Times New Roman" w:hAnsi="Times New Roman"/>
                <w:sz w:val="20"/>
                <w:szCs w:val="20"/>
              </w:rPr>
              <w:t>Default</w:t>
            </w:r>
            <w:r>
              <w:rPr>
                <w:rFonts w:ascii="Times New Roman" w:hAnsi="Times New Roman"/>
                <w:sz w:val="20"/>
                <w:szCs w:val="20"/>
              </w:rPr>
              <w:t xml:space="preserve">&gt;= 2 </w:t>
            </w:r>
            <w:proofErr w:type="spellStart"/>
            <w:r>
              <w:rPr>
                <w:rFonts w:ascii="Times New Roman" w:hAnsi="Times New Roman"/>
                <w:sz w:val="20"/>
                <w:szCs w:val="20"/>
              </w:rPr>
              <w:t>yrs</w:t>
            </w:r>
            <w:proofErr w:type="spellEnd"/>
          </w:p>
          <w:p w14:paraId="7CFC650D"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0.6</w:t>
            </w:r>
            <w:bookmarkEnd w:id="8"/>
          </w:p>
        </w:tc>
        <w:tc>
          <w:tcPr>
            <w:tcW w:w="1812" w:type="pct"/>
            <w:shd w:val="pct5" w:color="000000" w:fill="FFFFFF"/>
          </w:tcPr>
          <w:p w14:paraId="16460A64" w14:textId="77777777" w:rsidR="00EE4E7D" w:rsidRDefault="00EE4E7D" w:rsidP="00EE4E7D">
            <w:pPr>
              <w:rPr>
                <w:rFonts w:ascii="Times New Roman" w:hAnsi="Times New Roman"/>
                <w:sz w:val="20"/>
                <w:szCs w:val="20"/>
              </w:rPr>
            </w:pPr>
            <w:r w:rsidRPr="00EE4E7D">
              <w:rPr>
                <w:rFonts w:ascii="Times New Roman" w:hAnsi="Times New Roman"/>
                <w:sz w:val="20"/>
                <w:szCs w:val="20"/>
              </w:rPr>
              <w:t xml:space="preserve">Source: </w:t>
            </w:r>
          </w:p>
          <w:p w14:paraId="79BD9755" w14:textId="1809698F" w:rsidR="00EE4E7D" w:rsidRPr="00EE4E7D" w:rsidRDefault="00EE4E7D" w:rsidP="00EE4E7D">
            <w:pPr>
              <w:rPr>
                <w:rFonts w:ascii="Times New Roman" w:hAnsi="Times New Roman"/>
                <w:sz w:val="20"/>
                <w:szCs w:val="20"/>
              </w:rPr>
            </w:pPr>
            <w:r w:rsidRPr="00EE4E7D">
              <w:rPr>
                <w:rFonts w:ascii="Times New Roman" w:hAnsi="Times New Roman"/>
                <w:sz w:val="20"/>
                <w:szCs w:val="20"/>
              </w:rPr>
              <w:t>201</w:t>
            </w:r>
            <w:r>
              <w:rPr>
                <w:rFonts w:ascii="Times New Roman" w:hAnsi="Times New Roman"/>
                <w:sz w:val="20"/>
                <w:szCs w:val="20"/>
              </w:rPr>
              <w:t>4</w:t>
            </w:r>
            <w:r w:rsidRPr="00EE4E7D">
              <w:rPr>
                <w:rFonts w:ascii="Times New Roman" w:hAnsi="Times New Roman"/>
                <w:sz w:val="20"/>
                <w:szCs w:val="20"/>
              </w:rPr>
              <w:t xml:space="preserve"> DEER</w:t>
            </w:r>
            <w:r>
              <w:rPr>
                <w:rFonts w:ascii="Times New Roman" w:hAnsi="Times New Roman"/>
                <w:sz w:val="20"/>
                <w:szCs w:val="20"/>
              </w:rPr>
              <w:t xml:space="preserve"> Com</w:t>
            </w:r>
            <w:r w:rsidRPr="00EE4E7D">
              <w:rPr>
                <w:rFonts w:ascii="Times New Roman" w:hAnsi="Times New Roman"/>
                <w:sz w:val="20"/>
                <w:szCs w:val="20"/>
              </w:rPr>
              <w:t xml:space="preserve"> Default</w:t>
            </w:r>
            <w:r>
              <w:rPr>
                <w:rFonts w:ascii="Times New Roman" w:hAnsi="Times New Roman"/>
                <w:sz w:val="20"/>
                <w:szCs w:val="20"/>
              </w:rPr>
              <w:t xml:space="preserve"> &gt;= 2 </w:t>
            </w:r>
            <w:proofErr w:type="spellStart"/>
            <w:r>
              <w:rPr>
                <w:rFonts w:ascii="Times New Roman" w:hAnsi="Times New Roman"/>
                <w:sz w:val="20"/>
                <w:szCs w:val="20"/>
              </w:rPr>
              <w:t>yrs</w:t>
            </w:r>
            <w:proofErr w:type="spellEnd"/>
          </w:p>
          <w:p w14:paraId="7963A291" w14:textId="77777777" w:rsidR="00EE4E7D" w:rsidRPr="00EE4E7D" w:rsidRDefault="00EE4E7D" w:rsidP="00EE4E7D">
            <w:pPr>
              <w:rPr>
                <w:rFonts w:ascii="Times New Roman" w:hAnsi="Times New Roman"/>
                <w:sz w:val="20"/>
                <w:szCs w:val="20"/>
              </w:rPr>
            </w:pPr>
            <w:r w:rsidRPr="00EE4E7D">
              <w:rPr>
                <w:rFonts w:ascii="Times New Roman" w:hAnsi="Times New Roman"/>
                <w:sz w:val="20"/>
                <w:szCs w:val="20"/>
              </w:rPr>
              <w:t>0.6</w:t>
            </w:r>
          </w:p>
        </w:tc>
      </w:tr>
      <w:tr w:rsidR="00EE4E7D" w:rsidRPr="00EE4E7D" w14:paraId="25A554D0" w14:textId="77777777" w:rsidTr="00EE4E7D">
        <w:trPr>
          <w:trHeight w:val="465"/>
        </w:trPr>
        <w:tc>
          <w:tcPr>
            <w:tcW w:w="1376" w:type="pct"/>
            <w:shd w:val="pct20" w:color="000000" w:fill="FFFFFF"/>
          </w:tcPr>
          <w:p w14:paraId="5B7E3F00" w14:textId="77777777" w:rsidR="00EE4E7D" w:rsidRPr="00EE4E7D" w:rsidRDefault="00EE4E7D" w:rsidP="00EE4E7D">
            <w:pPr>
              <w:rPr>
                <w:rFonts w:ascii="Times New Roman" w:hAnsi="Times New Roman"/>
                <w:b/>
                <w:sz w:val="24"/>
              </w:rPr>
            </w:pPr>
            <w:r w:rsidRPr="00EE4E7D">
              <w:rPr>
                <w:rFonts w:ascii="Times New Roman" w:hAnsi="Times New Roman"/>
                <w:b/>
                <w:sz w:val="24"/>
              </w:rPr>
              <w:t>Important Comments:</w:t>
            </w:r>
          </w:p>
        </w:tc>
        <w:tc>
          <w:tcPr>
            <w:tcW w:w="1812" w:type="pct"/>
            <w:shd w:val="pct20" w:color="000000" w:fill="FFFFFF"/>
          </w:tcPr>
          <w:p w14:paraId="1543C23D" w14:textId="476AF443" w:rsidR="00EE4E7D" w:rsidRPr="00EE4E7D" w:rsidRDefault="002D0EE8" w:rsidP="00EE4E7D">
            <w:pPr>
              <w:rPr>
                <w:rFonts w:ascii="Times New Roman" w:hAnsi="Times New Roman"/>
                <w:sz w:val="20"/>
                <w:szCs w:val="20"/>
              </w:rPr>
            </w:pPr>
            <w:r>
              <w:rPr>
                <w:rFonts w:ascii="Times New Roman" w:hAnsi="Times New Roman"/>
                <w:sz w:val="20"/>
                <w:szCs w:val="20"/>
              </w:rPr>
              <w:t>Offering changed to per foot from an averaged 3 foot griddle</w:t>
            </w:r>
          </w:p>
        </w:tc>
        <w:tc>
          <w:tcPr>
            <w:tcW w:w="1812" w:type="pct"/>
            <w:shd w:val="pct20" w:color="000000" w:fill="FFFFFF"/>
          </w:tcPr>
          <w:p w14:paraId="637F4C77" w14:textId="6CE443AF" w:rsidR="00EE4E7D" w:rsidRPr="00EE4E7D" w:rsidRDefault="002D0EE8" w:rsidP="00EE4E7D">
            <w:pPr>
              <w:rPr>
                <w:rFonts w:ascii="Times New Roman" w:hAnsi="Times New Roman"/>
                <w:sz w:val="20"/>
                <w:szCs w:val="20"/>
              </w:rPr>
            </w:pPr>
            <w:r>
              <w:rPr>
                <w:rFonts w:ascii="Times New Roman" w:hAnsi="Times New Roman"/>
                <w:sz w:val="20"/>
                <w:szCs w:val="20"/>
              </w:rPr>
              <w:t>Offering changed to per foot from an averaged 3 foot griddle</w:t>
            </w:r>
          </w:p>
        </w:tc>
      </w:tr>
    </w:tbl>
    <w:p w14:paraId="1BBD3DA2" w14:textId="77777777" w:rsidR="00EE4E7D" w:rsidRPr="00EE4E7D" w:rsidRDefault="00EE4E7D" w:rsidP="00EE4E7D"/>
    <w:p w14:paraId="393A08C1" w14:textId="77777777" w:rsidR="007F2147" w:rsidRPr="005F19E0" w:rsidRDefault="007F2147" w:rsidP="0006490F">
      <w:pPr>
        <w:rPr>
          <w:rFonts w:cs="Arial"/>
          <w:b/>
          <w:color w:val="FF0000"/>
          <w:sz w:val="20"/>
          <w:szCs w:val="20"/>
        </w:rPr>
        <w:sectPr w:rsidR="007F2147" w:rsidRPr="005F19E0" w:rsidSect="00150F88">
          <w:headerReference w:type="even" r:id="rId19"/>
          <w:headerReference w:type="default" r:id="rId20"/>
          <w:footerReference w:type="even" r:id="rId21"/>
          <w:footerReference w:type="default" r:id="rId22"/>
          <w:headerReference w:type="first" r:id="rId23"/>
          <w:footerReference w:type="first" r:id="rId24"/>
          <w:endnotePr>
            <w:numFmt w:val="decimal"/>
          </w:endnotePr>
          <w:pgSz w:w="12240" w:h="15840"/>
          <w:pgMar w:top="1440" w:right="1440" w:bottom="1440" w:left="1440" w:header="720" w:footer="720" w:gutter="0"/>
          <w:pgNumType w:fmt="lowerRoman" w:start="2"/>
          <w:cols w:space="720"/>
          <w:docGrid w:linePitch="360"/>
        </w:sectPr>
      </w:pPr>
    </w:p>
    <w:p w14:paraId="4FF1DA06" w14:textId="77777777" w:rsidR="00AB723D" w:rsidRDefault="00AB723D" w:rsidP="00AB723D">
      <w:pPr>
        <w:pStyle w:val="Heading1"/>
      </w:pPr>
      <w:bookmarkStart w:id="9" w:name="_Toc342311739"/>
      <w:bookmarkStart w:id="10" w:name="_Toc385935849"/>
      <w:r>
        <w:lastRenderedPageBreak/>
        <w:t>Work Paper Approvals</w:t>
      </w:r>
      <w:bookmarkEnd w:id="9"/>
      <w:bookmarkEnd w:id="10"/>
    </w:p>
    <w:p w14:paraId="0C45EB21" w14:textId="77777777" w:rsidR="00AB723D" w:rsidRDefault="00AB723D" w:rsidP="00AB723D">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AB723D" w14:paraId="25DA35DC" w14:textId="77777777" w:rsidTr="00AB723D">
        <w:tc>
          <w:tcPr>
            <w:tcW w:w="5000" w:type="pct"/>
            <w:tcMar>
              <w:top w:w="0" w:type="dxa"/>
              <w:left w:w="108" w:type="dxa"/>
              <w:bottom w:w="0" w:type="dxa"/>
              <w:right w:w="108" w:type="dxa"/>
            </w:tcMar>
          </w:tcPr>
          <w:p w14:paraId="715A0762" w14:textId="77777777" w:rsidR="00AB723D" w:rsidRDefault="00AB723D">
            <w:pPr>
              <w:rPr>
                <w:rFonts w:eastAsiaTheme="minorHAnsi" w:cs="Arial"/>
                <w:szCs w:val="22"/>
              </w:rPr>
            </w:pPr>
          </w:p>
        </w:tc>
      </w:tr>
      <w:tr w:rsidR="00AB723D" w14:paraId="45C50E22" w14:textId="77777777" w:rsidTr="00AB723D">
        <w:tc>
          <w:tcPr>
            <w:tcW w:w="5000" w:type="pct"/>
            <w:tcMar>
              <w:top w:w="0" w:type="dxa"/>
              <w:left w:w="108" w:type="dxa"/>
              <w:bottom w:w="0" w:type="dxa"/>
              <w:right w:w="108" w:type="dxa"/>
            </w:tcMar>
            <w:hideMark/>
          </w:tcPr>
          <w:p w14:paraId="3F510B1E" w14:textId="77777777" w:rsidR="00AB723D" w:rsidRDefault="00AB723D">
            <w:pPr>
              <w:rPr>
                <w:rFonts w:eastAsiaTheme="minorHAnsi" w:cs="Arial"/>
                <w:b/>
                <w:bCs/>
                <w:szCs w:val="22"/>
              </w:rPr>
            </w:pPr>
            <w:r>
              <w:rPr>
                <w:b/>
                <w:bCs/>
              </w:rPr>
              <w:t>Grant Brohard</w:t>
            </w:r>
          </w:p>
          <w:p w14:paraId="232461B4" w14:textId="77777777" w:rsidR="00AB723D" w:rsidRDefault="00AB723D">
            <w:pPr>
              <w:rPr>
                <w:rFonts w:eastAsiaTheme="minorHAnsi" w:cs="Arial"/>
                <w:szCs w:val="22"/>
              </w:rPr>
            </w:pPr>
            <w:r>
              <w:t>Manager, Technical Product Support</w:t>
            </w:r>
          </w:p>
        </w:tc>
      </w:tr>
      <w:tr w:rsidR="00AB723D" w14:paraId="15A6698E" w14:textId="77777777" w:rsidTr="00AB723D">
        <w:tc>
          <w:tcPr>
            <w:tcW w:w="5000" w:type="pct"/>
            <w:tcMar>
              <w:top w:w="0" w:type="dxa"/>
              <w:left w:w="108" w:type="dxa"/>
              <w:bottom w:w="0" w:type="dxa"/>
              <w:right w:w="108" w:type="dxa"/>
            </w:tcMar>
          </w:tcPr>
          <w:p w14:paraId="33BBFCBA" w14:textId="77777777" w:rsidR="00AB723D" w:rsidRDefault="00AB723D">
            <w:pPr>
              <w:rPr>
                <w:rFonts w:eastAsiaTheme="minorHAnsi" w:cs="Arial"/>
                <w:b/>
                <w:bCs/>
                <w:szCs w:val="22"/>
              </w:rPr>
            </w:pPr>
          </w:p>
          <w:p w14:paraId="4DDB4542" w14:textId="769394E3" w:rsidR="00AB723D" w:rsidRDefault="008D25C4">
            <w:pPr>
              <w:rPr>
                <w:b/>
                <w:bCs/>
              </w:rPr>
            </w:pPr>
            <w:r>
              <w:rPr>
                <w:b/>
                <w:bCs/>
              </w:rPr>
              <w:t>Carolyn Weiner</w:t>
            </w:r>
          </w:p>
          <w:p w14:paraId="6FFCDF13" w14:textId="27EB5654" w:rsidR="00AB723D" w:rsidRDefault="00AB723D">
            <w:r>
              <w:t xml:space="preserve">Manager, </w:t>
            </w:r>
            <w:r w:rsidR="008D25C4">
              <w:t>Appliance</w:t>
            </w:r>
            <w:r>
              <w:t xml:space="preserve"> Products </w:t>
            </w:r>
          </w:p>
          <w:p w14:paraId="5306BD88" w14:textId="77777777" w:rsidR="00AB723D" w:rsidRDefault="00AB723D">
            <w:pPr>
              <w:rPr>
                <w:b/>
                <w:bCs/>
              </w:rPr>
            </w:pPr>
          </w:p>
          <w:p w14:paraId="44A1FE52" w14:textId="77777777" w:rsidR="00AB723D" w:rsidRDefault="00AB723D">
            <w:pPr>
              <w:rPr>
                <w:rFonts w:eastAsiaTheme="minorHAnsi" w:cs="Arial"/>
                <w:szCs w:val="22"/>
              </w:rPr>
            </w:pPr>
          </w:p>
        </w:tc>
      </w:tr>
    </w:tbl>
    <w:p w14:paraId="393A0A58" w14:textId="77777777" w:rsidR="00EE7092" w:rsidRPr="00EE7092" w:rsidRDefault="00EE7092" w:rsidP="00EE7092"/>
    <w:p w14:paraId="393A0A59" w14:textId="77777777" w:rsidR="00E71EF1" w:rsidRDefault="009B5F5D" w:rsidP="00E71EF1">
      <w:pPr>
        <w:pStyle w:val="Heading1"/>
      </w:pPr>
      <w:r>
        <w:br w:type="page"/>
      </w:r>
      <w:bookmarkStart w:id="11" w:name="_Toc304800196"/>
      <w:bookmarkStart w:id="12" w:name="_Toc324318333"/>
      <w:bookmarkStart w:id="13" w:name="_Toc324340477"/>
      <w:bookmarkStart w:id="14" w:name="_Toc385935850"/>
      <w:r w:rsidR="00E71EF1">
        <w:lastRenderedPageBreak/>
        <w:t>Document Revision History</w:t>
      </w:r>
      <w:bookmarkEnd w:id="11"/>
      <w:bookmarkEnd w:id="12"/>
      <w:bookmarkEnd w:id="13"/>
      <w:bookmarkEnd w:id="14"/>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C9363F" w:rsidRPr="00F7031F" w14:paraId="61E2B2C1" w14:textId="77777777" w:rsidTr="00C9363F">
        <w:trPr>
          <w:trHeight w:val="464"/>
        </w:trPr>
        <w:tc>
          <w:tcPr>
            <w:tcW w:w="858" w:type="pct"/>
            <w:tcBorders>
              <w:top w:val="nil"/>
              <w:bottom w:val="single" w:sz="18" w:space="0" w:color="FFFFFF"/>
              <w:right w:val="single" w:sz="18" w:space="0" w:color="FFFFFF"/>
            </w:tcBorders>
            <w:shd w:val="pct20" w:color="000000" w:fill="FFFFFF"/>
          </w:tcPr>
          <w:p w14:paraId="77F16B22" w14:textId="77777777" w:rsidR="00C9363F" w:rsidRPr="00C9363F" w:rsidRDefault="00C9363F" w:rsidP="00C9363F">
            <w:pPr>
              <w:jc w:val="center"/>
              <w:rPr>
                <w:b/>
              </w:rPr>
            </w:pPr>
            <w:r w:rsidRPr="00C9363F">
              <w:rPr>
                <w:b/>
              </w:rPr>
              <w:t>Revision 0</w:t>
            </w:r>
          </w:p>
        </w:tc>
        <w:tc>
          <w:tcPr>
            <w:tcW w:w="783" w:type="pct"/>
            <w:tcBorders>
              <w:top w:val="nil"/>
              <w:left w:val="single" w:sz="18" w:space="0" w:color="FFFFFF"/>
              <w:bottom w:val="single" w:sz="18" w:space="0" w:color="FFFFFF"/>
              <w:right w:val="single" w:sz="18" w:space="0" w:color="FFFFFF"/>
            </w:tcBorders>
            <w:shd w:val="pct20" w:color="000000" w:fill="FFFFFF"/>
          </w:tcPr>
          <w:p w14:paraId="03A7EC3E" w14:textId="77777777" w:rsidR="00C9363F" w:rsidRPr="00C9363F" w:rsidRDefault="00C9363F" w:rsidP="00C9363F">
            <w:pPr>
              <w:jc w:val="center"/>
              <w:rPr>
                <w:b/>
              </w:rPr>
            </w:pPr>
            <w:r w:rsidRPr="00C9363F">
              <w:rPr>
                <w:b/>
              </w:rPr>
              <w:t>12/11/2007</w:t>
            </w:r>
          </w:p>
        </w:tc>
        <w:tc>
          <w:tcPr>
            <w:tcW w:w="1680" w:type="pct"/>
            <w:tcBorders>
              <w:top w:val="nil"/>
              <w:left w:val="single" w:sz="18" w:space="0" w:color="FFFFFF"/>
              <w:bottom w:val="single" w:sz="18" w:space="0" w:color="FFFFFF"/>
              <w:right w:val="single" w:sz="18" w:space="0" w:color="FFFFFF"/>
            </w:tcBorders>
            <w:shd w:val="pct20" w:color="000000" w:fill="FFFFFF"/>
          </w:tcPr>
          <w:p w14:paraId="5C1EC7C9" w14:textId="77777777" w:rsidR="00C9363F" w:rsidRPr="00C9363F" w:rsidRDefault="00C9363F" w:rsidP="00C9363F">
            <w:pPr>
              <w:jc w:val="center"/>
              <w:rPr>
                <w:b/>
              </w:rPr>
            </w:pPr>
            <w:r w:rsidRPr="00C9363F">
              <w:rPr>
                <w:b/>
              </w:rPr>
              <w:t>Original work paper: Commercial Griddles PGECOFST103.doc</w:t>
            </w:r>
          </w:p>
        </w:tc>
        <w:tc>
          <w:tcPr>
            <w:tcW w:w="1679" w:type="pct"/>
            <w:tcBorders>
              <w:top w:val="nil"/>
              <w:left w:val="single" w:sz="18" w:space="0" w:color="FFFFFF"/>
              <w:bottom w:val="single" w:sz="18" w:space="0" w:color="FFFFFF"/>
            </w:tcBorders>
            <w:shd w:val="pct20" w:color="000000" w:fill="FFFFFF"/>
          </w:tcPr>
          <w:p w14:paraId="23E34BE1" w14:textId="77777777" w:rsidR="00C9363F" w:rsidRPr="00C9363F" w:rsidRDefault="00C9363F" w:rsidP="00C9363F">
            <w:pPr>
              <w:jc w:val="center"/>
              <w:rPr>
                <w:b/>
              </w:rPr>
            </w:pPr>
            <w:r w:rsidRPr="00C9363F">
              <w:rPr>
                <w:b/>
              </w:rPr>
              <w:t>David Zabrowski (Fisher-Nickel, Inc.)</w:t>
            </w:r>
          </w:p>
        </w:tc>
      </w:tr>
      <w:tr w:rsidR="00C9363F" w14:paraId="571FB941" w14:textId="77777777" w:rsidTr="00C9363F">
        <w:trPr>
          <w:trHeight w:val="464"/>
        </w:trPr>
        <w:tc>
          <w:tcPr>
            <w:tcW w:w="858" w:type="pct"/>
            <w:tcBorders>
              <w:top w:val="nil"/>
              <w:bottom w:val="single" w:sz="18" w:space="0" w:color="FFFFFF"/>
              <w:right w:val="single" w:sz="18" w:space="0" w:color="FFFFFF"/>
            </w:tcBorders>
            <w:shd w:val="pct20" w:color="000000" w:fill="FFFFFF"/>
          </w:tcPr>
          <w:p w14:paraId="50F082E9" w14:textId="77777777" w:rsidR="00C9363F" w:rsidRPr="00C9363F" w:rsidRDefault="00C9363F" w:rsidP="00C9363F">
            <w:pPr>
              <w:jc w:val="center"/>
              <w:rPr>
                <w:b/>
              </w:rPr>
            </w:pPr>
            <w:r w:rsidRPr="00C9363F">
              <w:rPr>
                <w:b/>
              </w:rPr>
              <w:t>Revision 1</w:t>
            </w:r>
          </w:p>
        </w:tc>
        <w:tc>
          <w:tcPr>
            <w:tcW w:w="783" w:type="pct"/>
            <w:tcBorders>
              <w:top w:val="nil"/>
              <w:left w:val="single" w:sz="18" w:space="0" w:color="FFFFFF"/>
              <w:bottom w:val="single" w:sz="18" w:space="0" w:color="FFFFFF"/>
              <w:right w:val="single" w:sz="18" w:space="0" w:color="FFFFFF"/>
            </w:tcBorders>
            <w:shd w:val="pct20" w:color="000000" w:fill="FFFFFF"/>
          </w:tcPr>
          <w:p w14:paraId="35DAF498" w14:textId="77777777" w:rsidR="00C9363F" w:rsidRPr="00C9363F" w:rsidRDefault="00C9363F" w:rsidP="00C9363F">
            <w:pPr>
              <w:jc w:val="center"/>
              <w:rPr>
                <w:b/>
              </w:rPr>
            </w:pPr>
            <w:r w:rsidRPr="00C9363F">
              <w:rPr>
                <w:b/>
              </w:rPr>
              <w:t>6/1/2009</w:t>
            </w:r>
          </w:p>
        </w:tc>
        <w:tc>
          <w:tcPr>
            <w:tcW w:w="1680" w:type="pct"/>
            <w:tcBorders>
              <w:top w:val="nil"/>
              <w:left w:val="single" w:sz="18" w:space="0" w:color="FFFFFF"/>
              <w:bottom w:val="single" w:sz="18" w:space="0" w:color="FFFFFF"/>
              <w:right w:val="single" w:sz="18" w:space="0" w:color="FFFFFF"/>
            </w:tcBorders>
            <w:shd w:val="pct20" w:color="000000" w:fill="FFFFFF"/>
          </w:tcPr>
          <w:p w14:paraId="2BE63DCB" w14:textId="77777777" w:rsidR="00C9363F" w:rsidRPr="00C9363F" w:rsidRDefault="00C9363F" w:rsidP="00C9363F">
            <w:pPr>
              <w:jc w:val="center"/>
              <w:rPr>
                <w:b/>
              </w:rPr>
            </w:pPr>
            <w:r w:rsidRPr="00C9363F">
              <w:rPr>
                <w:b/>
              </w:rPr>
              <w:t>Changes to EUL, NTG language and references, costs  updated</w:t>
            </w:r>
          </w:p>
        </w:tc>
        <w:tc>
          <w:tcPr>
            <w:tcW w:w="1679" w:type="pct"/>
            <w:tcBorders>
              <w:top w:val="nil"/>
              <w:left w:val="single" w:sz="18" w:space="0" w:color="FFFFFF"/>
              <w:bottom w:val="single" w:sz="18" w:space="0" w:color="FFFFFF"/>
            </w:tcBorders>
            <w:shd w:val="pct20" w:color="000000" w:fill="FFFFFF"/>
          </w:tcPr>
          <w:p w14:paraId="3ADD4EAB" w14:textId="77777777" w:rsidR="00C9363F" w:rsidRPr="00C9363F" w:rsidRDefault="00C9363F" w:rsidP="00C9363F">
            <w:pPr>
              <w:jc w:val="center"/>
              <w:rPr>
                <w:b/>
              </w:rPr>
            </w:pPr>
            <w:r w:rsidRPr="00C9363F">
              <w:rPr>
                <w:b/>
              </w:rPr>
              <w:t xml:space="preserve">David Zabrowski, Lauren Mills (Fisher-Nickel, </w:t>
            </w:r>
            <w:proofErr w:type="spellStart"/>
            <w:r w:rsidRPr="00C9363F">
              <w:rPr>
                <w:b/>
              </w:rPr>
              <w:t>inc.</w:t>
            </w:r>
            <w:proofErr w:type="spellEnd"/>
            <w:r w:rsidRPr="00C9363F">
              <w:rPr>
                <w:b/>
              </w:rPr>
              <w:t>), Steve Blanc PG&amp;E</w:t>
            </w:r>
          </w:p>
        </w:tc>
      </w:tr>
      <w:tr w:rsidR="00C9363F" w:rsidRPr="000B55AF" w14:paraId="5D3FC706" w14:textId="77777777" w:rsidTr="00C9363F">
        <w:trPr>
          <w:trHeight w:val="464"/>
        </w:trPr>
        <w:tc>
          <w:tcPr>
            <w:tcW w:w="858" w:type="pct"/>
            <w:tcBorders>
              <w:top w:val="nil"/>
              <w:bottom w:val="single" w:sz="18" w:space="0" w:color="FFFFFF"/>
              <w:right w:val="single" w:sz="18" w:space="0" w:color="FFFFFF"/>
            </w:tcBorders>
            <w:shd w:val="pct20" w:color="000000" w:fill="FFFFFF"/>
          </w:tcPr>
          <w:p w14:paraId="7712E939" w14:textId="77777777" w:rsidR="00C9363F" w:rsidRPr="00C9363F" w:rsidRDefault="00C9363F" w:rsidP="00C9363F">
            <w:pPr>
              <w:jc w:val="center"/>
              <w:rPr>
                <w:b/>
              </w:rPr>
            </w:pPr>
            <w:r w:rsidRPr="00C9363F">
              <w:rPr>
                <w:b/>
              </w:rPr>
              <w:t>Revision 2</w:t>
            </w:r>
          </w:p>
        </w:tc>
        <w:tc>
          <w:tcPr>
            <w:tcW w:w="783" w:type="pct"/>
            <w:tcBorders>
              <w:top w:val="nil"/>
              <w:left w:val="single" w:sz="18" w:space="0" w:color="FFFFFF"/>
              <w:bottom w:val="single" w:sz="18" w:space="0" w:color="FFFFFF"/>
              <w:right w:val="single" w:sz="18" w:space="0" w:color="FFFFFF"/>
            </w:tcBorders>
            <w:shd w:val="pct20" w:color="000000" w:fill="FFFFFF"/>
          </w:tcPr>
          <w:p w14:paraId="2B8A1E27" w14:textId="77777777" w:rsidR="00C9363F" w:rsidRPr="00C9363F" w:rsidRDefault="00C9363F" w:rsidP="00C9363F">
            <w:pPr>
              <w:jc w:val="center"/>
              <w:rPr>
                <w:b/>
              </w:rPr>
            </w:pPr>
            <w:r w:rsidRPr="00C9363F">
              <w:rPr>
                <w:b/>
              </w:rPr>
              <w:t>2/10/2010</w:t>
            </w:r>
          </w:p>
        </w:tc>
        <w:tc>
          <w:tcPr>
            <w:tcW w:w="1680" w:type="pct"/>
            <w:tcBorders>
              <w:top w:val="nil"/>
              <w:left w:val="single" w:sz="18" w:space="0" w:color="FFFFFF"/>
              <w:bottom w:val="single" w:sz="18" w:space="0" w:color="FFFFFF"/>
              <w:right w:val="single" w:sz="18" w:space="0" w:color="FFFFFF"/>
            </w:tcBorders>
            <w:shd w:val="pct20" w:color="000000" w:fill="FFFFFF"/>
          </w:tcPr>
          <w:p w14:paraId="6CB38E1D" w14:textId="77777777" w:rsidR="00C9363F" w:rsidRPr="00C9363F" w:rsidRDefault="00C9363F" w:rsidP="00C9363F">
            <w:pPr>
              <w:jc w:val="center"/>
              <w:rPr>
                <w:b/>
              </w:rPr>
            </w:pPr>
            <w:r w:rsidRPr="00C9363F">
              <w:rPr>
                <w:b/>
              </w:rPr>
              <w:t>Updated pricing and incremental cost, Changes to align with new Energy Star specification, Update to DEER 2009-11 NTG file</w:t>
            </w:r>
          </w:p>
        </w:tc>
        <w:tc>
          <w:tcPr>
            <w:tcW w:w="1679" w:type="pct"/>
            <w:tcBorders>
              <w:top w:val="nil"/>
              <w:left w:val="single" w:sz="18" w:space="0" w:color="FFFFFF"/>
              <w:bottom w:val="single" w:sz="18" w:space="0" w:color="FFFFFF"/>
            </w:tcBorders>
            <w:shd w:val="pct20" w:color="000000" w:fill="FFFFFF"/>
          </w:tcPr>
          <w:p w14:paraId="3F5FE778" w14:textId="77777777" w:rsidR="00C9363F" w:rsidRPr="00C9363F" w:rsidRDefault="00C9363F" w:rsidP="00C9363F">
            <w:pPr>
              <w:jc w:val="center"/>
              <w:rPr>
                <w:b/>
              </w:rPr>
            </w:pPr>
            <w:r w:rsidRPr="00C9363F">
              <w:rPr>
                <w:b/>
              </w:rPr>
              <w:t xml:space="preserve">David </w:t>
            </w:r>
            <w:proofErr w:type="spellStart"/>
            <w:r w:rsidRPr="00C9363F">
              <w:rPr>
                <w:b/>
              </w:rPr>
              <w:t>Zabrowski</w:t>
            </w:r>
            <w:proofErr w:type="spellEnd"/>
            <w:r w:rsidRPr="00C9363F">
              <w:rPr>
                <w:b/>
              </w:rPr>
              <w:t xml:space="preserve"> (Fisher-Nickel, </w:t>
            </w:r>
            <w:proofErr w:type="spellStart"/>
            <w:r w:rsidRPr="00C9363F">
              <w:rPr>
                <w:b/>
              </w:rPr>
              <w:t>inc.</w:t>
            </w:r>
            <w:proofErr w:type="spellEnd"/>
            <w:r w:rsidRPr="00C9363F">
              <w:rPr>
                <w:b/>
              </w:rPr>
              <w:t>), Steve Blanc PG&amp;E</w:t>
            </w:r>
          </w:p>
        </w:tc>
      </w:tr>
      <w:tr w:rsidR="00C9363F" w14:paraId="4E92096C" w14:textId="77777777" w:rsidTr="00C9363F">
        <w:trPr>
          <w:trHeight w:val="464"/>
        </w:trPr>
        <w:tc>
          <w:tcPr>
            <w:tcW w:w="858" w:type="pct"/>
            <w:tcBorders>
              <w:top w:val="nil"/>
              <w:bottom w:val="single" w:sz="18" w:space="0" w:color="FFFFFF"/>
              <w:right w:val="single" w:sz="18" w:space="0" w:color="FFFFFF"/>
            </w:tcBorders>
            <w:shd w:val="pct20" w:color="000000" w:fill="FFFFFF"/>
          </w:tcPr>
          <w:p w14:paraId="72C3289D" w14:textId="77777777" w:rsidR="00C9363F" w:rsidRDefault="00C9363F" w:rsidP="00C9363F">
            <w:pPr>
              <w:jc w:val="center"/>
              <w:rPr>
                <w:b/>
              </w:rPr>
            </w:pPr>
            <w:r w:rsidRPr="00C9363F">
              <w:rPr>
                <w:b/>
              </w:rPr>
              <w:t>Revision 3</w:t>
            </w:r>
          </w:p>
        </w:tc>
        <w:tc>
          <w:tcPr>
            <w:tcW w:w="783" w:type="pct"/>
            <w:tcBorders>
              <w:top w:val="nil"/>
              <w:left w:val="single" w:sz="18" w:space="0" w:color="FFFFFF"/>
              <w:bottom w:val="single" w:sz="18" w:space="0" w:color="FFFFFF"/>
              <w:right w:val="single" w:sz="18" w:space="0" w:color="FFFFFF"/>
            </w:tcBorders>
            <w:shd w:val="pct20" w:color="000000" w:fill="FFFFFF"/>
          </w:tcPr>
          <w:p w14:paraId="43F9FD68" w14:textId="77777777" w:rsidR="00C9363F" w:rsidRPr="00C9363F" w:rsidRDefault="00C9363F" w:rsidP="00C9363F">
            <w:pPr>
              <w:jc w:val="center"/>
              <w:rPr>
                <w:b/>
              </w:rPr>
            </w:pPr>
            <w:r w:rsidRPr="00C9363F">
              <w:rPr>
                <w:b/>
              </w:rPr>
              <w:t>7/15/2010</w:t>
            </w:r>
          </w:p>
        </w:tc>
        <w:tc>
          <w:tcPr>
            <w:tcW w:w="1680" w:type="pct"/>
            <w:tcBorders>
              <w:top w:val="nil"/>
              <w:left w:val="single" w:sz="18" w:space="0" w:color="FFFFFF"/>
              <w:bottom w:val="single" w:sz="18" w:space="0" w:color="FFFFFF"/>
              <w:right w:val="single" w:sz="18" w:space="0" w:color="FFFFFF"/>
            </w:tcBorders>
            <w:shd w:val="pct20" w:color="000000" w:fill="FFFFFF"/>
          </w:tcPr>
          <w:p w14:paraId="687B47AF" w14:textId="77777777" w:rsidR="00C9363F" w:rsidRPr="00C9363F" w:rsidRDefault="00C9363F" w:rsidP="00C9363F">
            <w:pPr>
              <w:jc w:val="center"/>
              <w:rPr>
                <w:b/>
              </w:rPr>
            </w:pPr>
            <w:r w:rsidRPr="00C9363F">
              <w:rPr>
                <w:b/>
              </w:rPr>
              <w:t>Updated NTG, EUL and savings analysis, updated measure codes per 2010-2012 Program</w:t>
            </w:r>
          </w:p>
        </w:tc>
        <w:tc>
          <w:tcPr>
            <w:tcW w:w="1679" w:type="pct"/>
            <w:tcBorders>
              <w:top w:val="nil"/>
              <w:left w:val="single" w:sz="18" w:space="0" w:color="FFFFFF"/>
              <w:bottom w:val="single" w:sz="18" w:space="0" w:color="FFFFFF"/>
            </w:tcBorders>
            <w:shd w:val="pct20" w:color="000000" w:fill="FFFFFF"/>
          </w:tcPr>
          <w:p w14:paraId="5C79FAA9" w14:textId="77777777" w:rsidR="00C9363F" w:rsidRPr="00C9363F" w:rsidRDefault="00C9363F" w:rsidP="00C9363F">
            <w:pPr>
              <w:jc w:val="center"/>
              <w:rPr>
                <w:b/>
              </w:rPr>
            </w:pPr>
            <w:r w:rsidRPr="00C9363F">
              <w:rPr>
                <w:b/>
              </w:rPr>
              <w:t>Charlene Spoor PG&amp;E</w:t>
            </w:r>
          </w:p>
        </w:tc>
      </w:tr>
      <w:tr w:rsidR="00C9363F" w14:paraId="31135C7A" w14:textId="77777777" w:rsidTr="00C9363F">
        <w:trPr>
          <w:trHeight w:val="464"/>
        </w:trPr>
        <w:tc>
          <w:tcPr>
            <w:tcW w:w="858" w:type="pct"/>
            <w:tcBorders>
              <w:top w:val="nil"/>
              <w:bottom w:val="single" w:sz="18" w:space="0" w:color="FFFFFF"/>
              <w:right w:val="single" w:sz="18" w:space="0" w:color="FFFFFF"/>
            </w:tcBorders>
            <w:shd w:val="pct20" w:color="000000" w:fill="FFFFFF"/>
          </w:tcPr>
          <w:p w14:paraId="538060E1" w14:textId="77777777" w:rsidR="00C9363F" w:rsidRPr="00C9363F" w:rsidRDefault="00C9363F" w:rsidP="00C9363F">
            <w:pPr>
              <w:jc w:val="center"/>
              <w:rPr>
                <w:b/>
              </w:rPr>
            </w:pPr>
            <w:r w:rsidRPr="00C9363F">
              <w:rPr>
                <w:b/>
              </w:rPr>
              <w:t>Revision 4</w:t>
            </w:r>
          </w:p>
        </w:tc>
        <w:tc>
          <w:tcPr>
            <w:tcW w:w="783" w:type="pct"/>
            <w:tcBorders>
              <w:top w:val="nil"/>
              <w:left w:val="single" w:sz="18" w:space="0" w:color="FFFFFF"/>
              <w:bottom w:val="single" w:sz="18" w:space="0" w:color="FFFFFF"/>
              <w:right w:val="single" w:sz="18" w:space="0" w:color="FFFFFF"/>
            </w:tcBorders>
            <w:shd w:val="pct20" w:color="000000" w:fill="FFFFFF"/>
          </w:tcPr>
          <w:p w14:paraId="7F11801C" w14:textId="77777777" w:rsidR="00C9363F" w:rsidRPr="00C9363F" w:rsidRDefault="00C9363F" w:rsidP="00C9363F">
            <w:pPr>
              <w:jc w:val="center"/>
              <w:rPr>
                <w:b/>
              </w:rPr>
            </w:pPr>
            <w:r w:rsidRPr="00C9363F">
              <w:rPr>
                <w:b/>
              </w:rPr>
              <w:t>5/2/2012</w:t>
            </w:r>
          </w:p>
          <w:p w14:paraId="5D6CB359" w14:textId="77777777" w:rsidR="00C9363F" w:rsidRPr="00C9363F" w:rsidRDefault="00C9363F" w:rsidP="00C9363F">
            <w:pPr>
              <w:jc w:val="center"/>
              <w:rPr>
                <w:b/>
              </w:rPr>
            </w:pPr>
          </w:p>
          <w:p w14:paraId="2E293CDE" w14:textId="77777777" w:rsidR="00C9363F" w:rsidRPr="00C9363F" w:rsidRDefault="00C9363F" w:rsidP="00C9363F">
            <w:pPr>
              <w:jc w:val="center"/>
              <w:rPr>
                <w:b/>
              </w:rPr>
            </w:pPr>
          </w:p>
          <w:p w14:paraId="7F10DAD3" w14:textId="77777777" w:rsidR="00C9363F" w:rsidRPr="00C9363F" w:rsidRDefault="00C9363F" w:rsidP="00C9363F">
            <w:pPr>
              <w:jc w:val="center"/>
              <w:rPr>
                <w:b/>
              </w:rPr>
            </w:pPr>
            <w:r w:rsidRPr="00C9363F">
              <w:rPr>
                <w:b/>
              </w:rPr>
              <w:t>8/22/2012</w:t>
            </w:r>
          </w:p>
        </w:tc>
        <w:tc>
          <w:tcPr>
            <w:tcW w:w="1680" w:type="pct"/>
            <w:tcBorders>
              <w:top w:val="nil"/>
              <w:left w:val="single" w:sz="18" w:space="0" w:color="FFFFFF"/>
              <w:bottom w:val="single" w:sz="18" w:space="0" w:color="FFFFFF"/>
              <w:right w:val="single" w:sz="18" w:space="0" w:color="FFFFFF"/>
            </w:tcBorders>
            <w:shd w:val="pct20" w:color="000000" w:fill="FFFFFF"/>
          </w:tcPr>
          <w:p w14:paraId="44A7CA1C" w14:textId="77777777" w:rsidR="00C9363F" w:rsidRPr="00C9363F" w:rsidRDefault="00C9363F" w:rsidP="00C9363F">
            <w:pPr>
              <w:jc w:val="center"/>
              <w:rPr>
                <w:b/>
              </w:rPr>
            </w:pPr>
            <w:r w:rsidRPr="00C9363F">
              <w:rPr>
                <w:b/>
              </w:rPr>
              <w:t>Updated  NTG and savings analysis, updated measure codes for 2013-2014</w:t>
            </w:r>
          </w:p>
          <w:p w14:paraId="74017EF1" w14:textId="77777777" w:rsidR="00C9363F" w:rsidRPr="00C9363F" w:rsidRDefault="00C9363F" w:rsidP="00C9363F">
            <w:pPr>
              <w:jc w:val="center"/>
              <w:rPr>
                <w:b/>
              </w:rPr>
            </w:pPr>
            <w:r w:rsidRPr="00C9363F">
              <w:rPr>
                <w:b/>
              </w:rPr>
              <w:t>Updated BLD, CZ and VIN to ANY per READI requirements</w:t>
            </w:r>
          </w:p>
        </w:tc>
        <w:tc>
          <w:tcPr>
            <w:tcW w:w="1679" w:type="pct"/>
            <w:tcBorders>
              <w:top w:val="nil"/>
              <w:left w:val="single" w:sz="18" w:space="0" w:color="FFFFFF"/>
              <w:bottom w:val="single" w:sz="18" w:space="0" w:color="FFFFFF"/>
            </w:tcBorders>
            <w:shd w:val="pct20" w:color="000000" w:fill="FFFFFF"/>
          </w:tcPr>
          <w:p w14:paraId="786FDD88" w14:textId="77777777" w:rsidR="00C9363F" w:rsidRPr="00C9363F" w:rsidRDefault="00C9363F" w:rsidP="00C9363F">
            <w:pPr>
              <w:jc w:val="center"/>
              <w:rPr>
                <w:b/>
              </w:rPr>
            </w:pPr>
            <w:r w:rsidRPr="00C9363F">
              <w:rPr>
                <w:b/>
              </w:rPr>
              <w:t xml:space="preserve">Kong Sham (Fisher Nickel </w:t>
            </w:r>
            <w:proofErr w:type="spellStart"/>
            <w:r w:rsidRPr="00C9363F">
              <w:rPr>
                <w:b/>
              </w:rPr>
              <w:t>inc.</w:t>
            </w:r>
            <w:proofErr w:type="spellEnd"/>
            <w:r w:rsidRPr="00C9363F">
              <w:rPr>
                <w:b/>
              </w:rPr>
              <w:t>)</w:t>
            </w:r>
          </w:p>
          <w:p w14:paraId="76929F84" w14:textId="77777777" w:rsidR="00C9363F" w:rsidRPr="00C9363F" w:rsidRDefault="00C9363F" w:rsidP="00C9363F">
            <w:pPr>
              <w:jc w:val="center"/>
              <w:rPr>
                <w:b/>
              </w:rPr>
            </w:pPr>
            <w:r w:rsidRPr="00C9363F">
              <w:rPr>
                <w:b/>
              </w:rPr>
              <w:t>Charlene Spoor (PG&amp;E)</w:t>
            </w:r>
          </w:p>
          <w:p w14:paraId="71FE878E" w14:textId="77777777" w:rsidR="00C9363F" w:rsidRPr="00C9363F" w:rsidRDefault="00C9363F" w:rsidP="00C9363F">
            <w:pPr>
              <w:jc w:val="center"/>
              <w:rPr>
                <w:b/>
              </w:rPr>
            </w:pPr>
          </w:p>
          <w:p w14:paraId="4CA3557C" w14:textId="77777777" w:rsidR="00C9363F" w:rsidRPr="00C9363F" w:rsidRDefault="00C9363F" w:rsidP="00C9363F">
            <w:pPr>
              <w:jc w:val="center"/>
              <w:rPr>
                <w:b/>
              </w:rPr>
            </w:pPr>
            <w:r w:rsidRPr="00C9363F">
              <w:rPr>
                <w:b/>
              </w:rPr>
              <w:t>Charlene Spoor (PG&amp;E)</w:t>
            </w:r>
          </w:p>
        </w:tc>
      </w:tr>
      <w:tr w:rsidR="00E91C15" w:rsidRPr="00DE21B1" w14:paraId="393A0A69" w14:textId="77777777" w:rsidTr="00C9363F">
        <w:trPr>
          <w:trHeight w:val="464"/>
        </w:trPr>
        <w:tc>
          <w:tcPr>
            <w:tcW w:w="858" w:type="pct"/>
            <w:shd w:val="pct5" w:color="000000" w:fill="FFFFFF"/>
          </w:tcPr>
          <w:p w14:paraId="393A0A65" w14:textId="64F6432E" w:rsidR="00E91C15" w:rsidRPr="00DE21B1" w:rsidRDefault="00806EE8" w:rsidP="00C9363F">
            <w:pPr>
              <w:rPr>
                <w:b/>
              </w:rPr>
            </w:pPr>
            <w:r w:rsidRPr="00DE21B1">
              <w:rPr>
                <w:b/>
              </w:rPr>
              <w:t xml:space="preserve">Revision </w:t>
            </w:r>
            <w:r w:rsidR="00C9363F">
              <w:rPr>
                <w:b/>
              </w:rPr>
              <w:t>5</w:t>
            </w:r>
          </w:p>
        </w:tc>
        <w:tc>
          <w:tcPr>
            <w:tcW w:w="783" w:type="pct"/>
            <w:shd w:val="pct5" w:color="000000" w:fill="FFFFFF"/>
          </w:tcPr>
          <w:p w14:paraId="393A0A66" w14:textId="7680B846" w:rsidR="00E91C15" w:rsidRPr="005B00A6" w:rsidRDefault="00C9363F" w:rsidP="005B00A6">
            <w:pPr>
              <w:autoSpaceDE w:val="0"/>
              <w:autoSpaceDN w:val="0"/>
              <w:adjustRightInd w:val="0"/>
              <w:rPr>
                <w:b/>
                <w:sz w:val="20"/>
                <w:szCs w:val="20"/>
                <w:highlight w:val="yellow"/>
              </w:rPr>
            </w:pPr>
            <w:r w:rsidRPr="00775694">
              <w:rPr>
                <w:b/>
                <w:sz w:val="20"/>
                <w:szCs w:val="20"/>
              </w:rPr>
              <w:t>4/7/2014</w:t>
            </w:r>
          </w:p>
        </w:tc>
        <w:tc>
          <w:tcPr>
            <w:tcW w:w="1680" w:type="pct"/>
            <w:shd w:val="pct5" w:color="000000" w:fill="FFFFFF"/>
          </w:tcPr>
          <w:p w14:paraId="393A0A67" w14:textId="50C08943" w:rsidR="00E91C15" w:rsidRPr="00DE21B1" w:rsidRDefault="00C9363F" w:rsidP="008948E0">
            <w:pPr>
              <w:rPr>
                <w:b/>
                <w:sz w:val="20"/>
                <w:szCs w:val="20"/>
              </w:rPr>
            </w:pPr>
            <w:r>
              <w:rPr>
                <w:b/>
                <w:sz w:val="20"/>
                <w:szCs w:val="20"/>
              </w:rPr>
              <w:t>Updated to new template and noted DEER14 values</w:t>
            </w:r>
          </w:p>
        </w:tc>
        <w:tc>
          <w:tcPr>
            <w:tcW w:w="1679" w:type="pct"/>
            <w:shd w:val="pct5" w:color="000000" w:fill="FFFFFF"/>
          </w:tcPr>
          <w:p w14:paraId="393A0A68" w14:textId="1A484A00" w:rsidR="00E91C15" w:rsidRPr="00DE21B1" w:rsidRDefault="00C9363F" w:rsidP="00746DDC">
            <w:pPr>
              <w:rPr>
                <w:b/>
                <w:bCs/>
                <w:sz w:val="20"/>
                <w:szCs w:val="20"/>
              </w:rPr>
            </w:pPr>
            <w:r>
              <w:rPr>
                <w:b/>
                <w:bCs/>
                <w:sz w:val="20"/>
                <w:szCs w:val="20"/>
              </w:rPr>
              <w:t>Charlene Spoor (PG&amp;E)</w:t>
            </w:r>
          </w:p>
        </w:tc>
      </w:tr>
      <w:tr w:rsidR="002D0EE8" w:rsidRPr="00DE21B1" w14:paraId="4D2E47F1" w14:textId="77777777" w:rsidTr="00C9363F">
        <w:trPr>
          <w:trHeight w:val="464"/>
        </w:trPr>
        <w:tc>
          <w:tcPr>
            <w:tcW w:w="858" w:type="pct"/>
            <w:shd w:val="pct5" w:color="000000" w:fill="FFFFFF"/>
          </w:tcPr>
          <w:p w14:paraId="6DA80DD8" w14:textId="038AC7DD" w:rsidR="002D0EE8" w:rsidRPr="00DE21B1" w:rsidRDefault="002D0EE8" w:rsidP="00C9363F">
            <w:pPr>
              <w:rPr>
                <w:b/>
              </w:rPr>
            </w:pPr>
            <w:r>
              <w:rPr>
                <w:b/>
              </w:rPr>
              <w:t>Revision 6</w:t>
            </w:r>
          </w:p>
        </w:tc>
        <w:tc>
          <w:tcPr>
            <w:tcW w:w="783" w:type="pct"/>
            <w:shd w:val="pct5" w:color="000000" w:fill="FFFFFF"/>
          </w:tcPr>
          <w:p w14:paraId="6328047D" w14:textId="7E221E8E" w:rsidR="002D0EE8" w:rsidRPr="00775694" w:rsidRDefault="002D0EE8" w:rsidP="005B00A6">
            <w:pPr>
              <w:autoSpaceDE w:val="0"/>
              <w:autoSpaceDN w:val="0"/>
              <w:adjustRightInd w:val="0"/>
              <w:rPr>
                <w:b/>
                <w:sz w:val="20"/>
                <w:szCs w:val="20"/>
              </w:rPr>
            </w:pPr>
            <w:r>
              <w:rPr>
                <w:b/>
                <w:sz w:val="20"/>
                <w:szCs w:val="20"/>
              </w:rPr>
              <w:t>10/8/2014</w:t>
            </w:r>
          </w:p>
        </w:tc>
        <w:tc>
          <w:tcPr>
            <w:tcW w:w="1680" w:type="pct"/>
            <w:shd w:val="pct5" w:color="000000" w:fill="FFFFFF"/>
          </w:tcPr>
          <w:p w14:paraId="11411457" w14:textId="28F00682" w:rsidR="002D0EE8" w:rsidRDefault="002D0EE8" w:rsidP="008948E0">
            <w:pPr>
              <w:rPr>
                <w:b/>
                <w:sz w:val="20"/>
                <w:szCs w:val="20"/>
              </w:rPr>
            </w:pPr>
            <w:r>
              <w:rPr>
                <w:b/>
                <w:sz w:val="20"/>
                <w:szCs w:val="20"/>
              </w:rPr>
              <w:t>New measure codes, measure changed to rebate per foot</w:t>
            </w:r>
          </w:p>
        </w:tc>
        <w:tc>
          <w:tcPr>
            <w:tcW w:w="1679" w:type="pct"/>
            <w:shd w:val="pct5" w:color="000000" w:fill="FFFFFF"/>
          </w:tcPr>
          <w:p w14:paraId="08B61AC9" w14:textId="1B366818" w:rsidR="002D0EE8" w:rsidRDefault="002D0EE8" w:rsidP="00746DDC">
            <w:pPr>
              <w:rPr>
                <w:b/>
                <w:bCs/>
                <w:sz w:val="20"/>
                <w:szCs w:val="20"/>
              </w:rPr>
            </w:pPr>
            <w:r>
              <w:rPr>
                <w:b/>
                <w:bCs/>
                <w:sz w:val="20"/>
                <w:szCs w:val="20"/>
              </w:rPr>
              <w:t>Charlene Spoor (PG&amp;E)</w:t>
            </w:r>
          </w:p>
        </w:tc>
      </w:tr>
    </w:tbl>
    <w:p w14:paraId="393A0A6A" w14:textId="77777777" w:rsidR="00E71EF1" w:rsidRDefault="00E71EF1" w:rsidP="00F55847">
      <w:pPr>
        <w:pStyle w:val="Heading1"/>
      </w:pPr>
      <w:bookmarkStart w:id="15" w:name="_Toc186621650"/>
      <w:bookmarkStart w:id="16" w:name="_Toc304800197"/>
      <w:bookmarkStart w:id="17" w:name="_Toc324318334"/>
      <w:r w:rsidRPr="006832A4">
        <w:br w:type="page"/>
      </w:r>
      <w:bookmarkStart w:id="18" w:name="_Toc304800198"/>
      <w:bookmarkStart w:id="19" w:name="_Toc324340478"/>
      <w:bookmarkStart w:id="20" w:name="_Toc385935851"/>
      <w:r w:rsidR="001248A3">
        <w:lastRenderedPageBreak/>
        <w:t>Table</w:t>
      </w:r>
      <w:r w:rsidR="006559C8">
        <w:t xml:space="preserve"> of Contents</w:t>
      </w:r>
      <w:bookmarkEnd w:id="15"/>
      <w:bookmarkEnd w:id="16"/>
      <w:bookmarkEnd w:id="17"/>
      <w:bookmarkEnd w:id="18"/>
      <w:bookmarkEnd w:id="19"/>
      <w:bookmarkEnd w:id="20"/>
    </w:p>
    <w:p w14:paraId="7196CF7C" w14:textId="77777777" w:rsidR="00BC5B20"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85935848" w:history="1">
        <w:r w:rsidR="00BC5B20" w:rsidRPr="00304963">
          <w:rPr>
            <w:rStyle w:val="Hyperlink"/>
            <w:noProof/>
          </w:rPr>
          <w:t>At-a-Glance Summary</w:t>
        </w:r>
        <w:r w:rsidR="00BC5B20">
          <w:rPr>
            <w:noProof/>
            <w:webHidden/>
          </w:rPr>
          <w:tab/>
        </w:r>
        <w:r w:rsidR="00BC5B20">
          <w:rPr>
            <w:noProof/>
            <w:webHidden/>
          </w:rPr>
          <w:fldChar w:fldCharType="begin"/>
        </w:r>
        <w:r w:rsidR="00BC5B20">
          <w:rPr>
            <w:noProof/>
            <w:webHidden/>
          </w:rPr>
          <w:instrText xml:space="preserve"> PAGEREF _Toc385935848 \h </w:instrText>
        </w:r>
        <w:r w:rsidR="00BC5B20">
          <w:rPr>
            <w:noProof/>
            <w:webHidden/>
          </w:rPr>
        </w:r>
        <w:r w:rsidR="00BC5B20">
          <w:rPr>
            <w:noProof/>
            <w:webHidden/>
          </w:rPr>
          <w:fldChar w:fldCharType="separate"/>
        </w:r>
        <w:r w:rsidR="00CD1471">
          <w:rPr>
            <w:noProof/>
            <w:webHidden/>
          </w:rPr>
          <w:t>ii</w:t>
        </w:r>
        <w:r w:rsidR="00BC5B20">
          <w:rPr>
            <w:noProof/>
            <w:webHidden/>
          </w:rPr>
          <w:fldChar w:fldCharType="end"/>
        </w:r>
      </w:hyperlink>
    </w:p>
    <w:p w14:paraId="41A2CF38" w14:textId="77777777" w:rsidR="00BC5B20" w:rsidRDefault="00C65541">
      <w:pPr>
        <w:pStyle w:val="TOC1"/>
        <w:tabs>
          <w:tab w:val="right" w:leader="dot" w:pos="9350"/>
        </w:tabs>
        <w:rPr>
          <w:rFonts w:asciiTheme="minorHAnsi" w:eastAsiaTheme="minorEastAsia" w:hAnsiTheme="minorHAnsi" w:cstheme="minorBidi"/>
          <w:noProof/>
          <w:szCs w:val="22"/>
        </w:rPr>
      </w:pPr>
      <w:hyperlink w:anchor="_Toc385935849" w:history="1">
        <w:r w:rsidR="00BC5B20" w:rsidRPr="00304963">
          <w:rPr>
            <w:rStyle w:val="Hyperlink"/>
            <w:noProof/>
          </w:rPr>
          <w:t>Work Paper Approvals</w:t>
        </w:r>
        <w:r w:rsidR="00BC5B20">
          <w:rPr>
            <w:noProof/>
            <w:webHidden/>
          </w:rPr>
          <w:tab/>
        </w:r>
        <w:r w:rsidR="00BC5B20">
          <w:rPr>
            <w:noProof/>
            <w:webHidden/>
          </w:rPr>
          <w:fldChar w:fldCharType="begin"/>
        </w:r>
        <w:r w:rsidR="00BC5B20">
          <w:rPr>
            <w:noProof/>
            <w:webHidden/>
          </w:rPr>
          <w:instrText xml:space="preserve"> PAGEREF _Toc385935849 \h </w:instrText>
        </w:r>
        <w:r w:rsidR="00BC5B20">
          <w:rPr>
            <w:noProof/>
            <w:webHidden/>
          </w:rPr>
        </w:r>
        <w:r w:rsidR="00BC5B20">
          <w:rPr>
            <w:noProof/>
            <w:webHidden/>
          </w:rPr>
          <w:fldChar w:fldCharType="separate"/>
        </w:r>
        <w:r w:rsidR="00CD1471">
          <w:rPr>
            <w:noProof/>
            <w:webHidden/>
          </w:rPr>
          <w:t>iii</w:t>
        </w:r>
        <w:r w:rsidR="00BC5B20">
          <w:rPr>
            <w:noProof/>
            <w:webHidden/>
          </w:rPr>
          <w:fldChar w:fldCharType="end"/>
        </w:r>
      </w:hyperlink>
    </w:p>
    <w:p w14:paraId="1DF464E6" w14:textId="77777777" w:rsidR="00BC5B20" w:rsidRDefault="00C65541">
      <w:pPr>
        <w:pStyle w:val="TOC1"/>
        <w:tabs>
          <w:tab w:val="right" w:leader="dot" w:pos="9350"/>
        </w:tabs>
        <w:rPr>
          <w:rFonts w:asciiTheme="minorHAnsi" w:eastAsiaTheme="minorEastAsia" w:hAnsiTheme="minorHAnsi" w:cstheme="minorBidi"/>
          <w:noProof/>
          <w:szCs w:val="22"/>
        </w:rPr>
      </w:pPr>
      <w:hyperlink w:anchor="_Toc385935850" w:history="1">
        <w:r w:rsidR="00BC5B20" w:rsidRPr="00304963">
          <w:rPr>
            <w:rStyle w:val="Hyperlink"/>
            <w:noProof/>
          </w:rPr>
          <w:t>Document Revision History</w:t>
        </w:r>
        <w:r w:rsidR="00BC5B20">
          <w:rPr>
            <w:noProof/>
            <w:webHidden/>
          </w:rPr>
          <w:tab/>
        </w:r>
        <w:r w:rsidR="00BC5B20">
          <w:rPr>
            <w:noProof/>
            <w:webHidden/>
          </w:rPr>
          <w:fldChar w:fldCharType="begin"/>
        </w:r>
        <w:r w:rsidR="00BC5B20">
          <w:rPr>
            <w:noProof/>
            <w:webHidden/>
          </w:rPr>
          <w:instrText xml:space="preserve"> PAGEREF _Toc385935850 \h </w:instrText>
        </w:r>
        <w:r w:rsidR="00BC5B20">
          <w:rPr>
            <w:noProof/>
            <w:webHidden/>
          </w:rPr>
        </w:r>
        <w:r w:rsidR="00BC5B20">
          <w:rPr>
            <w:noProof/>
            <w:webHidden/>
          </w:rPr>
          <w:fldChar w:fldCharType="separate"/>
        </w:r>
        <w:r w:rsidR="00CD1471">
          <w:rPr>
            <w:noProof/>
            <w:webHidden/>
          </w:rPr>
          <w:t>iv</w:t>
        </w:r>
        <w:r w:rsidR="00BC5B20">
          <w:rPr>
            <w:noProof/>
            <w:webHidden/>
          </w:rPr>
          <w:fldChar w:fldCharType="end"/>
        </w:r>
      </w:hyperlink>
    </w:p>
    <w:p w14:paraId="43CF7EF5" w14:textId="77777777" w:rsidR="00BC5B20" w:rsidRDefault="00C65541">
      <w:pPr>
        <w:pStyle w:val="TOC1"/>
        <w:tabs>
          <w:tab w:val="right" w:leader="dot" w:pos="9350"/>
        </w:tabs>
        <w:rPr>
          <w:rFonts w:asciiTheme="minorHAnsi" w:eastAsiaTheme="minorEastAsia" w:hAnsiTheme="minorHAnsi" w:cstheme="minorBidi"/>
          <w:noProof/>
          <w:szCs w:val="22"/>
        </w:rPr>
      </w:pPr>
      <w:hyperlink w:anchor="_Toc385935851" w:history="1">
        <w:r w:rsidR="00BC5B20" w:rsidRPr="00304963">
          <w:rPr>
            <w:rStyle w:val="Hyperlink"/>
            <w:noProof/>
          </w:rPr>
          <w:t>Table of Contents</w:t>
        </w:r>
        <w:r w:rsidR="00BC5B20">
          <w:rPr>
            <w:noProof/>
            <w:webHidden/>
          </w:rPr>
          <w:tab/>
        </w:r>
        <w:r w:rsidR="00BC5B20">
          <w:rPr>
            <w:noProof/>
            <w:webHidden/>
          </w:rPr>
          <w:fldChar w:fldCharType="begin"/>
        </w:r>
        <w:r w:rsidR="00BC5B20">
          <w:rPr>
            <w:noProof/>
            <w:webHidden/>
          </w:rPr>
          <w:instrText xml:space="preserve"> PAGEREF _Toc385935851 \h </w:instrText>
        </w:r>
        <w:r w:rsidR="00BC5B20">
          <w:rPr>
            <w:noProof/>
            <w:webHidden/>
          </w:rPr>
        </w:r>
        <w:r w:rsidR="00BC5B20">
          <w:rPr>
            <w:noProof/>
            <w:webHidden/>
          </w:rPr>
          <w:fldChar w:fldCharType="separate"/>
        </w:r>
        <w:r w:rsidR="00CD1471">
          <w:rPr>
            <w:noProof/>
            <w:webHidden/>
          </w:rPr>
          <w:t>v</w:t>
        </w:r>
        <w:r w:rsidR="00BC5B20">
          <w:rPr>
            <w:noProof/>
            <w:webHidden/>
          </w:rPr>
          <w:fldChar w:fldCharType="end"/>
        </w:r>
      </w:hyperlink>
    </w:p>
    <w:p w14:paraId="0A4647B6" w14:textId="77777777" w:rsidR="00BC5B20" w:rsidRDefault="00C65541">
      <w:pPr>
        <w:pStyle w:val="TOC1"/>
        <w:tabs>
          <w:tab w:val="right" w:leader="dot" w:pos="9350"/>
        </w:tabs>
        <w:rPr>
          <w:rFonts w:asciiTheme="minorHAnsi" w:eastAsiaTheme="minorEastAsia" w:hAnsiTheme="minorHAnsi" w:cstheme="minorBidi"/>
          <w:noProof/>
          <w:szCs w:val="22"/>
        </w:rPr>
      </w:pPr>
      <w:hyperlink w:anchor="_Toc385935852" w:history="1">
        <w:r w:rsidR="00BC5B20" w:rsidRPr="00304963">
          <w:rPr>
            <w:rStyle w:val="Hyperlink"/>
            <w:noProof/>
          </w:rPr>
          <w:t>List of Tables</w:t>
        </w:r>
        <w:r w:rsidR="00BC5B20">
          <w:rPr>
            <w:noProof/>
            <w:webHidden/>
          </w:rPr>
          <w:tab/>
        </w:r>
        <w:r w:rsidR="00BC5B20">
          <w:rPr>
            <w:noProof/>
            <w:webHidden/>
          </w:rPr>
          <w:fldChar w:fldCharType="begin"/>
        </w:r>
        <w:r w:rsidR="00BC5B20">
          <w:rPr>
            <w:noProof/>
            <w:webHidden/>
          </w:rPr>
          <w:instrText xml:space="preserve"> PAGEREF _Toc385935852 \h </w:instrText>
        </w:r>
        <w:r w:rsidR="00BC5B20">
          <w:rPr>
            <w:noProof/>
            <w:webHidden/>
          </w:rPr>
        </w:r>
        <w:r w:rsidR="00BC5B20">
          <w:rPr>
            <w:noProof/>
            <w:webHidden/>
          </w:rPr>
          <w:fldChar w:fldCharType="separate"/>
        </w:r>
        <w:r w:rsidR="00CD1471">
          <w:rPr>
            <w:noProof/>
            <w:webHidden/>
          </w:rPr>
          <w:t>vi</w:t>
        </w:r>
        <w:r w:rsidR="00BC5B20">
          <w:rPr>
            <w:noProof/>
            <w:webHidden/>
          </w:rPr>
          <w:fldChar w:fldCharType="end"/>
        </w:r>
      </w:hyperlink>
    </w:p>
    <w:p w14:paraId="4539C844" w14:textId="77777777" w:rsidR="00BC5B20" w:rsidRDefault="00C65541">
      <w:pPr>
        <w:pStyle w:val="TOC1"/>
        <w:tabs>
          <w:tab w:val="right" w:leader="dot" w:pos="9350"/>
        </w:tabs>
        <w:rPr>
          <w:rFonts w:asciiTheme="minorHAnsi" w:eastAsiaTheme="minorEastAsia" w:hAnsiTheme="minorHAnsi" w:cstheme="minorBidi"/>
          <w:noProof/>
          <w:szCs w:val="22"/>
        </w:rPr>
      </w:pPr>
      <w:hyperlink w:anchor="_Toc385935853" w:history="1">
        <w:r w:rsidR="00BC5B20" w:rsidRPr="00304963">
          <w:rPr>
            <w:rStyle w:val="Hyperlink"/>
            <w:noProof/>
          </w:rPr>
          <w:t>List of Figures</w:t>
        </w:r>
        <w:r w:rsidR="00BC5B20">
          <w:rPr>
            <w:noProof/>
            <w:webHidden/>
          </w:rPr>
          <w:tab/>
        </w:r>
        <w:r w:rsidR="00BC5B20">
          <w:rPr>
            <w:noProof/>
            <w:webHidden/>
          </w:rPr>
          <w:fldChar w:fldCharType="begin"/>
        </w:r>
        <w:r w:rsidR="00BC5B20">
          <w:rPr>
            <w:noProof/>
            <w:webHidden/>
          </w:rPr>
          <w:instrText xml:space="preserve"> PAGEREF _Toc385935853 \h </w:instrText>
        </w:r>
        <w:r w:rsidR="00BC5B20">
          <w:rPr>
            <w:noProof/>
            <w:webHidden/>
          </w:rPr>
        </w:r>
        <w:r w:rsidR="00BC5B20">
          <w:rPr>
            <w:noProof/>
            <w:webHidden/>
          </w:rPr>
          <w:fldChar w:fldCharType="separate"/>
        </w:r>
        <w:r w:rsidR="00CD1471">
          <w:rPr>
            <w:noProof/>
            <w:webHidden/>
          </w:rPr>
          <w:t>vi</w:t>
        </w:r>
        <w:r w:rsidR="00BC5B20">
          <w:rPr>
            <w:noProof/>
            <w:webHidden/>
          </w:rPr>
          <w:fldChar w:fldCharType="end"/>
        </w:r>
      </w:hyperlink>
    </w:p>
    <w:p w14:paraId="54C4A68D" w14:textId="77777777" w:rsidR="00BC5B20" w:rsidRDefault="00C65541">
      <w:pPr>
        <w:pStyle w:val="TOC1"/>
        <w:tabs>
          <w:tab w:val="right" w:leader="dot" w:pos="9350"/>
        </w:tabs>
        <w:rPr>
          <w:rFonts w:asciiTheme="minorHAnsi" w:eastAsiaTheme="minorEastAsia" w:hAnsiTheme="minorHAnsi" w:cstheme="minorBidi"/>
          <w:noProof/>
          <w:szCs w:val="22"/>
        </w:rPr>
      </w:pPr>
      <w:hyperlink w:anchor="_Toc385935854" w:history="1">
        <w:r w:rsidR="00BC5B20" w:rsidRPr="00304963">
          <w:rPr>
            <w:rStyle w:val="Hyperlink"/>
            <w:noProof/>
          </w:rPr>
          <w:t>Section 1. General Measure &amp; Baseline Data</w:t>
        </w:r>
        <w:r w:rsidR="00BC5B20">
          <w:rPr>
            <w:noProof/>
            <w:webHidden/>
          </w:rPr>
          <w:tab/>
        </w:r>
        <w:r w:rsidR="00BC5B20">
          <w:rPr>
            <w:noProof/>
            <w:webHidden/>
          </w:rPr>
          <w:fldChar w:fldCharType="begin"/>
        </w:r>
        <w:r w:rsidR="00BC5B20">
          <w:rPr>
            <w:noProof/>
            <w:webHidden/>
          </w:rPr>
          <w:instrText xml:space="preserve"> PAGEREF _Toc385935854 \h </w:instrText>
        </w:r>
        <w:r w:rsidR="00BC5B20">
          <w:rPr>
            <w:noProof/>
            <w:webHidden/>
          </w:rPr>
        </w:r>
        <w:r w:rsidR="00BC5B20">
          <w:rPr>
            <w:noProof/>
            <w:webHidden/>
          </w:rPr>
          <w:fldChar w:fldCharType="separate"/>
        </w:r>
        <w:r w:rsidR="00CD1471">
          <w:rPr>
            <w:noProof/>
            <w:webHidden/>
          </w:rPr>
          <w:t>1</w:t>
        </w:r>
        <w:r w:rsidR="00BC5B20">
          <w:rPr>
            <w:noProof/>
            <w:webHidden/>
          </w:rPr>
          <w:fldChar w:fldCharType="end"/>
        </w:r>
      </w:hyperlink>
    </w:p>
    <w:p w14:paraId="173664DD"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55" w:history="1">
        <w:r w:rsidR="00BC5B20" w:rsidRPr="00304963">
          <w:rPr>
            <w:rStyle w:val="Hyperlink"/>
            <w:noProof/>
          </w:rPr>
          <w:t>1.1 Product Measure Description &amp; Background</w:t>
        </w:r>
        <w:r w:rsidR="00BC5B20">
          <w:rPr>
            <w:noProof/>
            <w:webHidden/>
          </w:rPr>
          <w:tab/>
        </w:r>
        <w:r w:rsidR="00BC5B20">
          <w:rPr>
            <w:noProof/>
            <w:webHidden/>
          </w:rPr>
          <w:fldChar w:fldCharType="begin"/>
        </w:r>
        <w:r w:rsidR="00BC5B20">
          <w:rPr>
            <w:noProof/>
            <w:webHidden/>
          </w:rPr>
          <w:instrText xml:space="preserve"> PAGEREF _Toc385935855 \h </w:instrText>
        </w:r>
        <w:r w:rsidR="00BC5B20">
          <w:rPr>
            <w:noProof/>
            <w:webHidden/>
          </w:rPr>
        </w:r>
        <w:r w:rsidR="00BC5B20">
          <w:rPr>
            <w:noProof/>
            <w:webHidden/>
          </w:rPr>
          <w:fldChar w:fldCharType="separate"/>
        </w:r>
        <w:r w:rsidR="00CD1471">
          <w:rPr>
            <w:noProof/>
            <w:webHidden/>
          </w:rPr>
          <w:t>1</w:t>
        </w:r>
        <w:r w:rsidR="00BC5B20">
          <w:rPr>
            <w:noProof/>
            <w:webHidden/>
          </w:rPr>
          <w:fldChar w:fldCharType="end"/>
        </w:r>
      </w:hyperlink>
    </w:p>
    <w:p w14:paraId="1CC82C82"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56" w:history="1">
        <w:r w:rsidR="00BC5B20" w:rsidRPr="00304963">
          <w:rPr>
            <w:rStyle w:val="Hyperlink"/>
            <w:noProof/>
          </w:rPr>
          <w:t>1.2 Product Technical Description</w:t>
        </w:r>
        <w:r w:rsidR="00BC5B20">
          <w:rPr>
            <w:noProof/>
            <w:webHidden/>
          </w:rPr>
          <w:tab/>
        </w:r>
        <w:r w:rsidR="00BC5B20">
          <w:rPr>
            <w:noProof/>
            <w:webHidden/>
          </w:rPr>
          <w:fldChar w:fldCharType="begin"/>
        </w:r>
        <w:r w:rsidR="00BC5B20">
          <w:rPr>
            <w:noProof/>
            <w:webHidden/>
          </w:rPr>
          <w:instrText xml:space="preserve"> PAGEREF _Toc385935856 \h </w:instrText>
        </w:r>
        <w:r w:rsidR="00BC5B20">
          <w:rPr>
            <w:noProof/>
            <w:webHidden/>
          </w:rPr>
        </w:r>
        <w:r w:rsidR="00BC5B20">
          <w:rPr>
            <w:noProof/>
            <w:webHidden/>
          </w:rPr>
          <w:fldChar w:fldCharType="separate"/>
        </w:r>
        <w:r w:rsidR="00CD1471">
          <w:rPr>
            <w:noProof/>
            <w:webHidden/>
          </w:rPr>
          <w:t>2</w:t>
        </w:r>
        <w:r w:rsidR="00BC5B20">
          <w:rPr>
            <w:noProof/>
            <w:webHidden/>
          </w:rPr>
          <w:fldChar w:fldCharType="end"/>
        </w:r>
      </w:hyperlink>
    </w:p>
    <w:p w14:paraId="46602FDF"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57" w:history="1">
        <w:r w:rsidR="00BC5B20" w:rsidRPr="00304963">
          <w:rPr>
            <w:rStyle w:val="Hyperlink"/>
            <w:noProof/>
          </w:rPr>
          <w:t>1.3 Measure Application Type</w:t>
        </w:r>
        <w:r w:rsidR="00BC5B20">
          <w:rPr>
            <w:noProof/>
            <w:webHidden/>
          </w:rPr>
          <w:tab/>
        </w:r>
        <w:r w:rsidR="00BC5B20">
          <w:rPr>
            <w:noProof/>
            <w:webHidden/>
          </w:rPr>
          <w:fldChar w:fldCharType="begin"/>
        </w:r>
        <w:r w:rsidR="00BC5B20">
          <w:rPr>
            <w:noProof/>
            <w:webHidden/>
          </w:rPr>
          <w:instrText xml:space="preserve"> PAGEREF _Toc385935857 \h </w:instrText>
        </w:r>
        <w:r w:rsidR="00BC5B20">
          <w:rPr>
            <w:noProof/>
            <w:webHidden/>
          </w:rPr>
        </w:r>
        <w:r w:rsidR="00BC5B20">
          <w:rPr>
            <w:noProof/>
            <w:webHidden/>
          </w:rPr>
          <w:fldChar w:fldCharType="separate"/>
        </w:r>
        <w:r w:rsidR="00CD1471">
          <w:rPr>
            <w:noProof/>
            <w:webHidden/>
          </w:rPr>
          <w:t>2</w:t>
        </w:r>
        <w:r w:rsidR="00BC5B20">
          <w:rPr>
            <w:noProof/>
            <w:webHidden/>
          </w:rPr>
          <w:fldChar w:fldCharType="end"/>
        </w:r>
      </w:hyperlink>
    </w:p>
    <w:p w14:paraId="73196423"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58" w:history="1">
        <w:r w:rsidR="00BC5B20" w:rsidRPr="00304963">
          <w:rPr>
            <w:rStyle w:val="Hyperlink"/>
            <w:noProof/>
          </w:rPr>
          <w:t>Since there are no EM&amp;V studies on the useful life of griddles and it is standard practice in the commercial foodservice industry to purchase equipment only when it is needed (e.g., replacement or additional capacity), this measure is focused on ROB and NC applications only.</w:t>
        </w:r>
        <w:r w:rsidR="00BC5B20">
          <w:rPr>
            <w:noProof/>
            <w:webHidden/>
          </w:rPr>
          <w:tab/>
        </w:r>
        <w:r w:rsidR="00BC5B20">
          <w:rPr>
            <w:noProof/>
            <w:webHidden/>
          </w:rPr>
          <w:fldChar w:fldCharType="begin"/>
        </w:r>
        <w:r w:rsidR="00BC5B20">
          <w:rPr>
            <w:noProof/>
            <w:webHidden/>
          </w:rPr>
          <w:instrText xml:space="preserve"> PAGEREF _Toc385935858 \h </w:instrText>
        </w:r>
        <w:r w:rsidR="00BC5B20">
          <w:rPr>
            <w:noProof/>
            <w:webHidden/>
          </w:rPr>
        </w:r>
        <w:r w:rsidR="00BC5B20">
          <w:rPr>
            <w:noProof/>
            <w:webHidden/>
          </w:rPr>
          <w:fldChar w:fldCharType="separate"/>
        </w:r>
        <w:r w:rsidR="00CD1471">
          <w:rPr>
            <w:noProof/>
            <w:webHidden/>
          </w:rPr>
          <w:t>3</w:t>
        </w:r>
        <w:r w:rsidR="00BC5B20">
          <w:rPr>
            <w:noProof/>
            <w:webHidden/>
          </w:rPr>
          <w:fldChar w:fldCharType="end"/>
        </w:r>
      </w:hyperlink>
    </w:p>
    <w:p w14:paraId="302382A9"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59" w:history="1">
        <w:r w:rsidR="00BC5B20" w:rsidRPr="00304963">
          <w:rPr>
            <w:rStyle w:val="Hyperlink"/>
            <w:rFonts w:cs="Arial"/>
            <w:b/>
            <w:bCs/>
            <w:i/>
            <w:iCs/>
            <w:noProof/>
          </w:rPr>
          <w:t>1.4 Product Base Case and Measure Case Data</w:t>
        </w:r>
        <w:r w:rsidR="00BC5B20">
          <w:rPr>
            <w:noProof/>
            <w:webHidden/>
          </w:rPr>
          <w:tab/>
        </w:r>
        <w:r w:rsidR="00BC5B20">
          <w:rPr>
            <w:noProof/>
            <w:webHidden/>
          </w:rPr>
          <w:fldChar w:fldCharType="begin"/>
        </w:r>
        <w:r w:rsidR="00BC5B20">
          <w:rPr>
            <w:noProof/>
            <w:webHidden/>
          </w:rPr>
          <w:instrText xml:space="preserve"> PAGEREF _Toc385935859 \h </w:instrText>
        </w:r>
        <w:r w:rsidR="00BC5B20">
          <w:rPr>
            <w:noProof/>
            <w:webHidden/>
          </w:rPr>
        </w:r>
        <w:r w:rsidR="00BC5B20">
          <w:rPr>
            <w:noProof/>
            <w:webHidden/>
          </w:rPr>
          <w:fldChar w:fldCharType="separate"/>
        </w:r>
        <w:r w:rsidR="00CD1471">
          <w:rPr>
            <w:noProof/>
            <w:webHidden/>
          </w:rPr>
          <w:t>3</w:t>
        </w:r>
        <w:r w:rsidR="00BC5B20">
          <w:rPr>
            <w:noProof/>
            <w:webHidden/>
          </w:rPr>
          <w:fldChar w:fldCharType="end"/>
        </w:r>
      </w:hyperlink>
    </w:p>
    <w:p w14:paraId="5D584F41"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60" w:history="1">
        <w:r w:rsidR="00BC5B20" w:rsidRPr="00304963">
          <w:rPr>
            <w:rStyle w:val="Hyperlink"/>
            <w:noProof/>
          </w:rPr>
          <w:t>1.4.1 DEER Base Case and Measure Case Information</w:t>
        </w:r>
        <w:r w:rsidR="00BC5B20">
          <w:rPr>
            <w:noProof/>
            <w:webHidden/>
          </w:rPr>
          <w:tab/>
        </w:r>
        <w:r w:rsidR="00BC5B20">
          <w:rPr>
            <w:noProof/>
            <w:webHidden/>
          </w:rPr>
          <w:fldChar w:fldCharType="begin"/>
        </w:r>
        <w:r w:rsidR="00BC5B20">
          <w:rPr>
            <w:noProof/>
            <w:webHidden/>
          </w:rPr>
          <w:instrText xml:space="preserve"> PAGEREF _Toc385935860 \h </w:instrText>
        </w:r>
        <w:r w:rsidR="00BC5B20">
          <w:rPr>
            <w:noProof/>
            <w:webHidden/>
          </w:rPr>
        </w:r>
        <w:r w:rsidR="00BC5B20">
          <w:rPr>
            <w:noProof/>
            <w:webHidden/>
          </w:rPr>
          <w:fldChar w:fldCharType="separate"/>
        </w:r>
        <w:r w:rsidR="00CD1471">
          <w:rPr>
            <w:noProof/>
            <w:webHidden/>
          </w:rPr>
          <w:t>3</w:t>
        </w:r>
        <w:r w:rsidR="00BC5B20">
          <w:rPr>
            <w:noProof/>
            <w:webHidden/>
          </w:rPr>
          <w:fldChar w:fldCharType="end"/>
        </w:r>
      </w:hyperlink>
    </w:p>
    <w:p w14:paraId="1FE563DB"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61" w:history="1">
        <w:r w:rsidR="00BC5B20" w:rsidRPr="00304963">
          <w:rPr>
            <w:rStyle w:val="Hyperlink"/>
            <w:noProof/>
          </w:rPr>
          <w:t>1.4.2 Codes &amp; Standards Requirements Base Case and Measure Information</w:t>
        </w:r>
        <w:r w:rsidR="00BC5B20">
          <w:rPr>
            <w:noProof/>
            <w:webHidden/>
          </w:rPr>
          <w:tab/>
        </w:r>
        <w:r w:rsidR="00BC5B20">
          <w:rPr>
            <w:noProof/>
            <w:webHidden/>
          </w:rPr>
          <w:fldChar w:fldCharType="begin"/>
        </w:r>
        <w:r w:rsidR="00BC5B20">
          <w:rPr>
            <w:noProof/>
            <w:webHidden/>
          </w:rPr>
          <w:instrText xml:space="preserve"> PAGEREF _Toc385935861 \h </w:instrText>
        </w:r>
        <w:r w:rsidR="00BC5B20">
          <w:rPr>
            <w:noProof/>
            <w:webHidden/>
          </w:rPr>
        </w:r>
        <w:r w:rsidR="00BC5B20">
          <w:rPr>
            <w:noProof/>
            <w:webHidden/>
          </w:rPr>
          <w:fldChar w:fldCharType="separate"/>
        </w:r>
        <w:r w:rsidR="00CD1471">
          <w:rPr>
            <w:noProof/>
            <w:webHidden/>
          </w:rPr>
          <w:t>4</w:t>
        </w:r>
        <w:r w:rsidR="00BC5B20">
          <w:rPr>
            <w:noProof/>
            <w:webHidden/>
          </w:rPr>
          <w:fldChar w:fldCharType="end"/>
        </w:r>
      </w:hyperlink>
    </w:p>
    <w:p w14:paraId="3E3489F9"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62" w:history="1">
        <w:r w:rsidR="00BC5B20" w:rsidRPr="00304963">
          <w:rPr>
            <w:rStyle w:val="Hyperlink"/>
            <w:noProof/>
          </w:rPr>
          <w:t>1.4.3 EM&amp;V, Market Potential, and Other Studies – Base Case and Measure Case Information</w:t>
        </w:r>
        <w:r w:rsidR="00BC5B20">
          <w:rPr>
            <w:noProof/>
            <w:webHidden/>
          </w:rPr>
          <w:tab/>
        </w:r>
        <w:r w:rsidR="00BC5B20">
          <w:rPr>
            <w:noProof/>
            <w:webHidden/>
          </w:rPr>
          <w:fldChar w:fldCharType="begin"/>
        </w:r>
        <w:r w:rsidR="00BC5B20">
          <w:rPr>
            <w:noProof/>
            <w:webHidden/>
          </w:rPr>
          <w:instrText xml:space="preserve"> PAGEREF _Toc385935862 \h </w:instrText>
        </w:r>
        <w:r w:rsidR="00BC5B20">
          <w:rPr>
            <w:noProof/>
            <w:webHidden/>
          </w:rPr>
        </w:r>
        <w:r w:rsidR="00BC5B20">
          <w:rPr>
            <w:noProof/>
            <w:webHidden/>
          </w:rPr>
          <w:fldChar w:fldCharType="separate"/>
        </w:r>
        <w:r w:rsidR="00CD1471">
          <w:rPr>
            <w:noProof/>
            <w:webHidden/>
          </w:rPr>
          <w:t>4</w:t>
        </w:r>
        <w:r w:rsidR="00BC5B20">
          <w:rPr>
            <w:noProof/>
            <w:webHidden/>
          </w:rPr>
          <w:fldChar w:fldCharType="end"/>
        </w:r>
      </w:hyperlink>
    </w:p>
    <w:p w14:paraId="009DDEE4"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63" w:history="1">
        <w:r w:rsidR="00BC5B20" w:rsidRPr="00304963">
          <w:rPr>
            <w:rStyle w:val="Hyperlink"/>
            <w:noProof/>
          </w:rPr>
          <w:t>There are no specific EM&amp;V studies identified that addressed the cooking measures in the commercial sector.</w:t>
        </w:r>
        <w:r w:rsidR="00BC5B20">
          <w:rPr>
            <w:noProof/>
            <w:webHidden/>
          </w:rPr>
          <w:tab/>
        </w:r>
        <w:r w:rsidR="00BC5B20">
          <w:rPr>
            <w:noProof/>
            <w:webHidden/>
          </w:rPr>
          <w:fldChar w:fldCharType="begin"/>
        </w:r>
        <w:r w:rsidR="00BC5B20">
          <w:rPr>
            <w:noProof/>
            <w:webHidden/>
          </w:rPr>
          <w:instrText xml:space="preserve"> PAGEREF _Toc385935863 \h </w:instrText>
        </w:r>
        <w:r w:rsidR="00BC5B20">
          <w:rPr>
            <w:noProof/>
            <w:webHidden/>
          </w:rPr>
        </w:r>
        <w:r w:rsidR="00BC5B20">
          <w:rPr>
            <w:noProof/>
            <w:webHidden/>
          </w:rPr>
          <w:fldChar w:fldCharType="separate"/>
        </w:r>
        <w:r w:rsidR="00CD1471">
          <w:rPr>
            <w:noProof/>
            <w:webHidden/>
          </w:rPr>
          <w:t>4</w:t>
        </w:r>
        <w:r w:rsidR="00BC5B20">
          <w:rPr>
            <w:noProof/>
            <w:webHidden/>
          </w:rPr>
          <w:fldChar w:fldCharType="end"/>
        </w:r>
      </w:hyperlink>
    </w:p>
    <w:p w14:paraId="437C849B"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64" w:history="1">
        <w:r w:rsidR="00BC5B20" w:rsidRPr="00304963">
          <w:rPr>
            <w:rStyle w:val="Hyperlink"/>
            <w:noProof/>
          </w:rPr>
          <w:t>1.4.4 Assumptions and Calculations from other sources—Base and Measure Cases</w:t>
        </w:r>
        <w:r w:rsidR="00BC5B20">
          <w:rPr>
            <w:noProof/>
            <w:webHidden/>
          </w:rPr>
          <w:tab/>
        </w:r>
        <w:r w:rsidR="00BC5B20">
          <w:rPr>
            <w:noProof/>
            <w:webHidden/>
          </w:rPr>
          <w:fldChar w:fldCharType="begin"/>
        </w:r>
        <w:r w:rsidR="00BC5B20">
          <w:rPr>
            <w:noProof/>
            <w:webHidden/>
          </w:rPr>
          <w:instrText xml:space="preserve"> PAGEREF _Toc385935864 \h </w:instrText>
        </w:r>
        <w:r w:rsidR="00BC5B20">
          <w:rPr>
            <w:noProof/>
            <w:webHidden/>
          </w:rPr>
        </w:r>
        <w:r w:rsidR="00BC5B20">
          <w:rPr>
            <w:noProof/>
            <w:webHidden/>
          </w:rPr>
          <w:fldChar w:fldCharType="separate"/>
        </w:r>
        <w:r w:rsidR="00CD1471">
          <w:rPr>
            <w:noProof/>
            <w:webHidden/>
          </w:rPr>
          <w:t>5</w:t>
        </w:r>
        <w:r w:rsidR="00BC5B20">
          <w:rPr>
            <w:noProof/>
            <w:webHidden/>
          </w:rPr>
          <w:fldChar w:fldCharType="end"/>
        </w:r>
      </w:hyperlink>
    </w:p>
    <w:p w14:paraId="1AF7F57F" w14:textId="77777777" w:rsidR="00BC5B20" w:rsidRDefault="00C65541">
      <w:pPr>
        <w:pStyle w:val="TOC1"/>
        <w:tabs>
          <w:tab w:val="right" w:leader="dot" w:pos="9350"/>
        </w:tabs>
        <w:rPr>
          <w:rFonts w:asciiTheme="minorHAnsi" w:eastAsiaTheme="minorEastAsia" w:hAnsiTheme="minorHAnsi" w:cstheme="minorBidi"/>
          <w:noProof/>
          <w:szCs w:val="22"/>
        </w:rPr>
      </w:pPr>
      <w:hyperlink w:anchor="_Toc385935865" w:history="1">
        <w:r w:rsidR="00BC5B20" w:rsidRPr="00304963">
          <w:rPr>
            <w:rStyle w:val="Hyperlink"/>
            <w:noProof/>
          </w:rPr>
          <w:t>Section 2. Calculation Methods</w:t>
        </w:r>
        <w:r w:rsidR="00BC5B20">
          <w:rPr>
            <w:noProof/>
            <w:webHidden/>
          </w:rPr>
          <w:tab/>
        </w:r>
        <w:r w:rsidR="00BC5B20">
          <w:rPr>
            <w:noProof/>
            <w:webHidden/>
          </w:rPr>
          <w:fldChar w:fldCharType="begin"/>
        </w:r>
        <w:r w:rsidR="00BC5B20">
          <w:rPr>
            <w:noProof/>
            <w:webHidden/>
          </w:rPr>
          <w:instrText xml:space="preserve"> PAGEREF _Toc385935865 \h </w:instrText>
        </w:r>
        <w:r w:rsidR="00BC5B20">
          <w:rPr>
            <w:noProof/>
            <w:webHidden/>
          </w:rPr>
        </w:r>
        <w:r w:rsidR="00BC5B20">
          <w:rPr>
            <w:noProof/>
            <w:webHidden/>
          </w:rPr>
          <w:fldChar w:fldCharType="separate"/>
        </w:r>
        <w:r w:rsidR="00CD1471">
          <w:rPr>
            <w:noProof/>
            <w:webHidden/>
          </w:rPr>
          <w:t>7</w:t>
        </w:r>
        <w:r w:rsidR="00BC5B20">
          <w:rPr>
            <w:noProof/>
            <w:webHidden/>
          </w:rPr>
          <w:fldChar w:fldCharType="end"/>
        </w:r>
      </w:hyperlink>
    </w:p>
    <w:p w14:paraId="3591B725"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66" w:history="1">
        <w:r w:rsidR="00BC5B20" w:rsidRPr="00304963">
          <w:rPr>
            <w:rStyle w:val="Hyperlink"/>
            <w:noProof/>
          </w:rPr>
          <w:t>Measure Application Type</w:t>
        </w:r>
        <w:r w:rsidR="00BC5B20">
          <w:rPr>
            <w:noProof/>
            <w:webHidden/>
          </w:rPr>
          <w:tab/>
        </w:r>
        <w:r w:rsidR="00BC5B20">
          <w:rPr>
            <w:noProof/>
            <w:webHidden/>
          </w:rPr>
          <w:fldChar w:fldCharType="begin"/>
        </w:r>
        <w:r w:rsidR="00BC5B20">
          <w:rPr>
            <w:noProof/>
            <w:webHidden/>
          </w:rPr>
          <w:instrText xml:space="preserve"> PAGEREF _Toc385935866 \h </w:instrText>
        </w:r>
        <w:r w:rsidR="00BC5B20">
          <w:rPr>
            <w:noProof/>
            <w:webHidden/>
          </w:rPr>
        </w:r>
        <w:r w:rsidR="00BC5B20">
          <w:rPr>
            <w:noProof/>
            <w:webHidden/>
          </w:rPr>
          <w:fldChar w:fldCharType="separate"/>
        </w:r>
        <w:r w:rsidR="00CD1471">
          <w:rPr>
            <w:noProof/>
            <w:webHidden/>
          </w:rPr>
          <w:t>7</w:t>
        </w:r>
        <w:r w:rsidR="00BC5B20">
          <w:rPr>
            <w:noProof/>
            <w:webHidden/>
          </w:rPr>
          <w:fldChar w:fldCharType="end"/>
        </w:r>
      </w:hyperlink>
    </w:p>
    <w:p w14:paraId="322BCE26"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67" w:history="1">
        <w:r w:rsidR="00BC5B20" w:rsidRPr="00304963">
          <w:rPr>
            <w:rStyle w:val="Hyperlink"/>
            <w:noProof/>
          </w:rPr>
          <w:t>Measure Life Basis</w:t>
        </w:r>
        <w:r w:rsidR="00BC5B20">
          <w:rPr>
            <w:noProof/>
            <w:webHidden/>
          </w:rPr>
          <w:tab/>
        </w:r>
        <w:r w:rsidR="00BC5B20">
          <w:rPr>
            <w:noProof/>
            <w:webHidden/>
          </w:rPr>
          <w:fldChar w:fldCharType="begin"/>
        </w:r>
        <w:r w:rsidR="00BC5B20">
          <w:rPr>
            <w:noProof/>
            <w:webHidden/>
          </w:rPr>
          <w:instrText xml:space="preserve"> PAGEREF _Toc385935867 \h </w:instrText>
        </w:r>
        <w:r w:rsidR="00BC5B20">
          <w:rPr>
            <w:noProof/>
            <w:webHidden/>
          </w:rPr>
        </w:r>
        <w:r w:rsidR="00BC5B20">
          <w:rPr>
            <w:noProof/>
            <w:webHidden/>
          </w:rPr>
          <w:fldChar w:fldCharType="separate"/>
        </w:r>
        <w:r w:rsidR="00CD1471">
          <w:rPr>
            <w:noProof/>
            <w:webHidden/>
          </w:rPr>
          <w:t>7</w:t>
        </w:r>
        <w:r w:rsidR="00BC5B20">
          <w:rPr>
            <w:noProof/>
            <w:webHidden/>
          </w:rPr>
          <w:fldChar w:fldCharType="end"/>
        </w:r>
      </w:hyperlink>
    </w:p>
    <w:p w14:paraId="55905B20"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68" w:history="1">
        <w:r w:rsidR="00BC5B20" w:rsidRPr="00304963">
          <w:rPr>
            <w:rStyle w:val="Hyperlink"/>
            <w:noProof/>
          </w:rPr>
          <w:t>First Baseline Period: Energy Savings Baseline</w:t>
        </w:r>
        <w:r w:rsidR="00BC5B20">
          <w:rPr>
            <w:noProof/>
            <w:webHidden/>
          </w:rPr>
          <w:tab/>
        </w:r>
        <w:r w:rsidR="00BC5B20">
          <w:rPr>
            <w:noProof/>
            <w:webHidden/>
          </w:rPr>
          <w:fldChar w:fldCharType="begin"/>
        </w:r>
        <w:r w:rsidR="00BC5B20">
          <w:rPr>
            <w:noProof/>
            <w:webHidden/>
          </w:rPr>
          <w:instrText xml:space="preserve"> PAGEREF _Toc385935868 \h </w:instrText>
        </w:r>
        <w:r w:rsidR="00BC5B20">
          <w:rPr>
            <w:noProof/>
            <w:webHidden/>
          </w:rPr>
        </w:r>
        <w:r w:rsidR="00BC5B20">
          <w:rPr>
            <w:noProof/>
            <w:webHidden/>
          </w:rPr>
          <w:fldChar w:fldCharType="separate"/>
        </w:r>
        <w:r w:rsidR="00CD1471">
          <w:rPr>
            <w:noProof/>
            <w:webHidden/>
          </w:rPr>
          <w:t>7</w:t>
        </w:r>
        <w:r w:rsidR="00BC5B20">
          <w:rPr>
            <w:noProof/>
            <w:webHidden/>
          </w:rPr>
          <w:fldChar w:fldCharType="end"/>
        </w:r>
      </w:hyperlink>
    </w:p>
    <w:p w14:paraId="1E04B3DE"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69" w:history="1">
        <w:r w:rsidR="00BC5B20" w:rsidRPr="00304963">
          <w:rPr>
            <w:rStyle w:val="Hyperlink"/>
            <w:noProof/>
          </w:rPr>
          <w:t>Second Baseline Period: Energy Savings Baseline</w:t>
        </w:r>
        <w:r w:rsidR="00BC5B20">
          <w:rPr>
            <w:noProof/>
            <w:webHidden/>
          </w:rPr>
          <w:tab/>
        </w:r>
        <w:r w:rsidR="00BC5B20">
          <w:rPr>
            <w:noProof/>
            <w:webHidden/>
          </w:rPr>
          <w:fldChar w:fldCharType="begin"/>
        </w:r>
        <w:r w:rsidR="00BC5B20">
          <w:rPr>
            <w:noProof/>
            <w:webHidden/>
          </w:rPr>
          <w:instrText xml:space="preserve"> PAGEREF _Toc385935869 \h </w:instrText>
        </w:r>
        <w:r w:rsidR="00BC5B20">
          <w:rPr>
            <w:noProof/>
            <w:webHidden/>
          </w:rPr>
        </w:r>
        <w:r w:rsidR="00BC5B20">
          <w:rPr>
            <w:noProof/>
            <w:webHidden/>
          </w:rPr>
          <w:fldChar w:fldCharType="separate"/>
        </w:r>
        <w:r w:rsidR="00CD1471">
          <w:rPr>
            <w:noProof/>
            <w:webHidden/>
          </w:rPr>
          <w:t>7</w:t>
        </w:r>
        <w:r w:rsidR="00BC5B20">
          <w:rPr>
            <w:noProof/>
            <w:webHidden/>
          </w:rPr>
          <w:fldChar w:fldCharType="end"/>
        </w:r>
      </w:hyperlink>
    </w:p>
    <w:p w14:paraId="35750BF0"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70" w:history="1">
        <w:r w:rsidR="00BC5B20" w:rsidRPr="00304963">
          <w:rPr>
            <w:rStyle w:val="Hyperlink"/>
            <w:noProof/>
          </w:rPr>
          <w:t>2.1 Electric Energy Savings Estimation Methodologies</w:t>
        </w:r>
        <w:r w:rsidR="00BC5B20">
          <w:rPr>
            <w:noProof/>
            <w:webHidden/>
          </w:rPr>
          <w:tab/>
        </w:r>
        <w:r w:rsidR="00BC5B20">
          <w:rPr>
            <w:noProof/>
            <w:webHidden/>
          </w:rPr>
          <w:fldChar w:fldCharType="begin"/>
        </w:r>
        <w:r w:rsidR="00BC5B20">
          <w:rPr>
            <w:noProof/>
            <w:webHidden/>
          </w:rPr>
          <w:instrText xml:space="preserve"> PAGEREF _Toc385935870 \h </w:instrText>
        </w:r>
        <w:r w:rsidR="00BC5B20">
          <w:rPr>
            <w:noProof/>
            <w:webHidden/>
          </w:rPr>
        </w:r>
        <w:r w:rsidR="00BC5B20">
          <w:rPr>
            <w:noProof/>
            <w:webHidden/>
          </w:rPr>
          <w:fldChar w:fldCharType="separate"/>
        </w:r>
        <w:r w:rsidR="00CD1471">
          <w:rPr>
            <w:noProof/>
            <w:webHidden/>
          </w:rPr>
          <w:t>7</w:t>
        </w:r>
        <w:r w:rsidR="00BC5B20">
          <w:rPr>
            <w:noProof/>
            <w:webHidden/>
          </w:rPr>
          <w:fldChar w:fldCharType="end"/>
        </w:r>
      </w:hyperlink>
    </w:p>
    <w:p w14:paraId="6657CA2E"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71" w:history="1">
        <w:r w:rsidR="00BC5B20" w:rsidRPr="00304963">
          <w:rPr>
            <w:rStyle w:val="Hyperlink"/>
            <w:noProof/>
          </w:rPr>
          <w:t>2.2. Demand Reduction Estimation Methodologies</w:t>
        </w:r>
        <w:r w:rsidR="00BC5B20">
          <w:rPr>
            <w:noProof/>
            <w:webHidden/>
          </w:rPr>
          <w:tab/>
        </w:r>
        <w:r w:rsidR="00BC5B20">
          <w:rPr>
            <w:noProof/>
            <w:webHidden/>
          </w:rPr>
          <w:fldChar w:fldCharType="begin"/>
        </w:r>
        <w:r w:rsidR="00BC5B20">
          <w:rPr>
            <w:noProof/>
            <w:webHidden/>
          </w:rPr>
          <w:instrText xml:space="preserve"> PAGEREF _Toc385935871 \h </w:instrText>
        </w:r>
        <w:r w:rsidR="00BC5B20">
          <w:rPr>
            <w:noProof/>
            <w:webHidden/>
          </w:rPr>
        </w:r>
        <w:r w:rsidR="00BC5B20">
          <w:rPr>
            <w:noProof/>
            <w:webHidden/>
          </w:rPr>
          <w:fldChar w:fldCharType="separate"/>
        </w:r>
        <w:r w:rsidR="00CD1471">
          <w:rPr>
            <w:noProof/>
            <w:webHidden/>
          </w:rPr>
          <w:t>8</w:t>
        </w:r>
        <w:r w:rsidR="00BC5B20">
          <w:rPr>
            <w:noProof/>
            <w:webHidden/>
          </w:rPr>
          <w:fldChar w:fldCharType="end"/>
        </w:r>
      </w:hyperlink>
    </w:p>
    <w:p w14:paraId="50F4384D"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72" w:history="1">
        <w:r w:rsidR="00BC5B20" w:rsidRPr="00304963">
          <w:rPr>
            <w:rStyle w:val="Hyperlink"/>
            <w:noProof/>
          </w:rPr>
          <w:t>2.3. Gas Energy Savings Estimation Methodologies</w:t>
        </w:r>
        <w:r w:rsidR="00BC5B20">
          <w:rPr>
            <w:noProof/>
            <w:webHidden/>
          </w:rPr>
          <w:tab/>
        </w:r>
        <w:r w:rsidR="00BC5B20">
          <w:rPr>
            <w:noProof/>
            <w:webHidden/>
          </w:rPr>
          <w:fldChar w:fldCharType="begin"/>
        </w:r>
        <w:r w:rsidR="00BC5B20">
          <w:rPr>
            <w:noProof/>
            <w:webHidden/>
          </w:rPr>
          <w:instrText xml:space="preserve"> PAGEREF _Toc385935872 \h </w:instrText>
        </w:r>
        <w:r w:rsidR="00BC5B20">
          <w:rPr>
            <w:noProof/>
            <w:webHidden/>
          </w:rPr>
        </w:r>
        <w:r w:rsidR="00BC5B20">
          <w:rPr>
            <w:noProof/>
            <w:webHidden/>
          </w:rPr>
          <w:fldChar w:fldCharType="separate"/>
        </w:r>
        <w:r w:rsidR="00CD1471">
          <w:rPr>
            <w:noProof/>
            <w:webHidden/>
          </w:rPr>
          <w:t>9</w:t>
        </w:r>
        <w:r w:rsidR="00BC5B20">
          <w:rPr>
            <w:noProof/>
            <w:webHidden/>
          </w:rPr>
          <w:fldChar w:fldCharType="end"/>
        </w:r>
      </w:hyperlink>
    </w:p>
    <w:p w14:paraId="4420C9E6" w14:textId="77777777" w:rsidR="00BC5B20" w:rsidRDefault="00C65541">
      <w:pPr>
        <w:pStyle w:val="TOC1"/>
        <w:tabs>
          <w:tab w:val="right" w:leader="dot" w:pos="9350"/>
        </w:tabs>
        <w:rPr>
          <w:rFonts w:asciiTheme="minorHAnsi" w:eastAsiaTheme="minorEastAsia" w:hAnsiTheme="minorHAnsi" w:cstheme="minorBidi"/>
          <w:noProof/>
          <w:szCs w:val="22"/>
        </w:rPr>
      </w:pPr>
      <w:hyperlink w:anchor="_Toc385935873" w:history="1">
        <w:r w:rsidR="00BC5B20" w:rsidRPr="00304963">
          <w:rPr>
            <w:rStyle w:val="Hyperlink"/>
            <w:i/>
            <w:noProof/>
          </w:rPr>
          <w:t>Section 3. Load Shapes</w:t>
        </w:r>
        <w:r w:rsidR="00BC5B20">
          <w:rPr>
            <w:noProof/>
            <w:webHidden/>
          </w:rPr>
          <w:tab/>
        </w:r>
        <w:r w:rsidR="00BC5B20">
          <w:rPr>
            <w:noProof/>
            <w:webHidden/>
          </w:rPr>
          <w:fldChar w:fldCharType="begin"/>
        </w:r>
        <w:r w:rsidR="00BC5B20">
          <w:rPr>
            <w:noProof/>
            <w:webHidden/>
          </w:rPr>
          <w:instrText xml:space="preserve"> PAGEREF _Toc385935873 \h </w:instrText>
        </w:r>
        <w:r w:rsidR="00BC5B20">
          <w:rPr>
            <w:noProof/>
            <w:webHidden/>
          </w:rPr>
        </w:r>
        <w:r w:rsidR="00BC5B20">
          <w:rPr>
            <w:noProof/>
            <w:webHidden/>
          </w:rPr>
          <w:fldChar w:fldCharType="separate"/>
        </w:r>
        <w:r w:rsidR="00CD1471">
          <w:rPr>
            <w:noProof/>
            <w:webHidden/>
          </w:rPr>
          <w:t>10</w:t>
        </w:r>
        <w:r w:rsidR="00BC5B20">
          <w:rPr>
            <w:noProof/>
            <w:webHidden/>
          </w:rPr>
          <w:fldChar w:fldCharType="end"/>
        </w:r>
      </w:hyperlink>
    </w:p>
    <w:p w14:paraId="38EE53EC"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74" w:history="1">
        <w:r w:rsidR="00BC5B20" w:rsidRPr="00304963">
          <w:rPr>
            <w:rStyle w:val="Hyperlink"/>
            <w:noProof/>
          </w:rPr>
          <w:t>3.1 Base Case Load Shapes</w:t>
        </w:r>
        <w:r w:rsidR="00BC5B20">
          <w:rPr>
            <w:noProof/>
            <w:webHidden/>
          </w:rPr>
          <w:tab/>
        </w:r>
        <w:r w:rsidR="00BC5B20">
          <w:rPr>
            <w:noProof/>
            <w:webHidden/>
          </w:rPr>
          <w:fldChar w:fldCharType="begin"/>
        </w:r>
        <w:r w:rsidR="00BC5B20">
          <w:rPr>
            <w:noProof/>
            <w:webHidden/>
          </w:rPr>
          <w:instrText xml:space="preserve"> PAGEREF _Toc385935874 \h </w:instrText>
        </w:r>
        <w:r w:rsidR="00BC5B20">
          <w:rPr>
            <w:noProof/>
            <w:webHidden/>
          </w:rPr>
        </w:r>
        <w:r w:rsidR="00BC5B20">
          <w:rPr>
            <w:noProof/>
            <w:webHidden/>
          </w:rPr>
          <w:fldChar w:fldCharType="separate"/>
        </w:r>
        <w:r w:rsidR="00CD1471">
          <w:rPr>
            <w:noProof/>
            <w:webHidden/>
          </w:rPr>
          <w:t>10</w:t>
        </w:r>
        <w:r w:rsidR="00BC5B20">
          <w:rPr>
            <w:noProof/>
            <w:webHidden/>
          </w:rPr>
          <w:fldChar w:fldCharType="end"/>
        </w:r>
      </w:hyperlink>
    </w:p>
    <w:p w14:paraId="2A1656A2"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75" w:history="1">
        <w:r w:rsidR="00BC5B20" w:rsidRPr="00304963">
          <w:rPr>
            <w:rStyle w:val="Hyperlink"/>
            <w:noProof/>
          </w:rPr>
          <w:t>3.2 Measure Load Shapes</w:t>
        </w:r>
        <w:r w:rsidR="00BC5B20">
          <w:rPr>
            <w:noProof/>
            <w:webHidden/>
          </w:rPr>
          <w:tab/>
        </w:r>
        <w:r w:rsidR="00BC5B20">
          <w:rPr>
            <w:noProof/>
            <w:webHidden/>
          </w:rPr>
          <w:fldChar w:fldCharType="begin"/>
        </w:r>
        <w:r w:rsidR="00BC5B20">
          <w:rPr>
            <w:noProof/>
            <w:webHidden/>
          </w:rPr>
          <w:instrText xml:space="preserve"> PAGEREF _Toc385935875 \h </w:instrText>
        </w:r>
        <w:r w:rsidR="00BC5B20">
          <w:rPr>
            <w:noProof/>
            <w:webHidden/>
          </w:rPr>
        </w:r>
        <w:r w:rsidR="00BC5B20">
          <w:rPr>
            <w:noProof/>
            <w:webHidden/>
          </w:rPr>
          <w:fldChar w:fldCharType="separate"/>
        </w:r>
        <w:r w:rsidR="00CD1471">
          <w:rPr>
            <w:noProof/>
            <w:webHidden/>
          </w:rPr>
          <w:t>11</w:t>
        </w:r>
        <w:r w:rsidR="00BC5B20">
          <w:rPr>
            <w:noProof/>
            <w:webHidden/>
          </w:rPr>
          <w:fldChar w:fldCharType="end"/>
        </w:r>
      </w:hyperlink>
    </w:p>
    <w:p w14:paraId="36064CC9" w14:textId="77777777" w:rsidR="00BC5B20" w:rsidRDefault="00C65541">
      <w:pPr>
        <w:pStyle w:val="TOC1"/>
        <w:tabs>
          <w:tab w:val="right" w:leader="dot" w:pos="9350"/>
        </w:tabs>
        <w:rPr>
          <w:rFonts w:asciiTheme="minorHAnsi" w:eastAsiaTheme="minorEastAsia" w:hAnsiTheme="minorHAnsi" w:cstheme="minorBidi"/>
          <w:noProof/>
          <w:szCs w:val="22"/>
        </w:rPr>
      </w:pPr>
      <w:hyperlink w:anchor="_Toc385935876" w:history="1">
        <w:r w:rsidR="00BC5B20" w:rsidRPr="00304963">
          <w:rPr>
            <w:rStyle w:val="Hyperlink"/>
            <w:noProof/>
          </w:rPr>
          <w:t>Section 4. Base Case &amp; Measure Costs</w:t>
        </w:r>
        <w:r w:rsidR="00BC5B20">
          <w:rPr>
            <w:noProof/>
            <w:webHidden/>
          </w:rPr>
          <w:tab/>
        </w:r>
        <w:r w:rsidR="00BC5B20">
          <w:rPr>
            <w:noProof/>
            <w:webHidden/>
          </w:rPr>
          <w:fldChar w:fldCharType="begin"/>
        </w:r>
        <w:r w:rsidR="00BC5B20">
          <w:rPr>
            <w:noProof/>
            <w:webHidden/>
          </w:rPr>
          <w:instrText xml:space="preserve"> PAGEREF _Toc385935876 \h </w:instrText>
        </w:r>
        <w:r w:rsidR="00BC5B20">
          <w:rPr>
            <w:noProof/>
            <w:webHidden/>
          </w:rPr>
        </w:r>
        <w:r w:rsidR="00BC5B20">
          <w:rPr>
            <w:noProof/>
            <w:webHidden/>
          </w:rPr>
          <w:fldChar w:fldCharType="separate"/>
        </w:r>
        <w:r w:rsidR="00CD1471">
          <w:rPr>
            <w:noProof/>
            <w:webHidden/>
          </w:rPr>
          <w:t>11</w:t>
        </w:r>
        <w:r w:rsidR="00BC5B20">
          <w:rPr>
            <w:noProof/>
            <w:webHidden/>
          </w:rPr>
          <w:fldChar w:fldCharType="end"/>
        </w:r>
      </w:hyperlink>
    </w:p>
    <w:p w14:paraId="2ABC7CE2"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77" w:history="1">
        <w:r w:rsidR="00BC5B20" w:rsidRPr="00304963">
          <w:rPr>
            <w:rStyle w:val="Hyperlink"/>
            <w:noProof/>
          </w:rPr>
          <w:t>4.1 Base Case(s) Costs</w:t>
        </w:r>
        <w:r w:rsidR="00BC5B20">
          <w:rPr>
            <w:noProof/>
            <w:webHidden/>
          </w:rPr>
          <w:tab/>
        </w:r>
        <w:r w:rsidR="00BC5B20">
          <w:rPr>
            <w:noProof/>
            <w:webHidden/>
          </w:rPr>
          <w:fldChar w:fldCharType="begin"/>
        </w:r>
        <w:r w:rsidR="00BC5B20">
          <w:rPr>
            <w:noProof/>
            <w:webHidden/>
          </w:rPr>
          <w:instrText xml:space="preserve"> PAGEREF _Toc385935877 \h </w:instrText>
        </w:r>
        <w:r w:rsidR="00BC5B20">
          <w:rPr>
            <w:noProof/>
            <w:webHidden/>
          </w:rPr>
        </w:r>
        <w:r w:rsidR="00BC5B20">
          <w:rPr>
            <w:noProof/>
            <w:webHidden/>
          </w:rPr>
          <w:fldChar w:fldCharType="separate"/>
        </w:r>
        <w:r w:rsidR="00CD1471">
          <w:rPr>
            <w:noProof/>
            <w:webHidden/>
          </w:rPr>
          <w:t>12</w:t>
        </w:r>
        <w:r w:rsidR="00BC5B20">
          <w:rPr>
            <w:noProof/>
            <w:webHidden/>
          </w:rPr>
          <w:fldChar w:fldCharType="end"/>
        </w:r>
      </w:hyperlink>
    </w:p>
    <w:p w14:paraId="1C0FB6FB"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78" w:history="1">
        <w:r w:rsidR="00BC5B20" w:rsidRPr="00304963">
          <w:rPr>
            <w:rStyle w:val="Hyperlink"/>
            <w:noProof/>
          </w:rPr>
          <w:t>4.2 Measure Case Costs</w:t>
        </w:r>
        <w:r w:rsidR="00BC5B20">
          <w:rPr>
            <w:noProof/>
            <w:webHidden/>
          </w:rPr>
          <w:tab/>
        </w:r>
        <w:r w:rsidR="00BC5B20">
          <w:rPr>
            <w:noProof/>
            <w:webHidden/>
          </w:rPr>
          <w:fldChar w:fldCharType="begin"/>
        </w:r>
        <w:r w:rsidR="00BC5B20">
          <w:rPr>
            <w:noProof/>
            <w:webHidden/>
          </w:rPr>
          <w:instrText xml:space="preserve"> PAGEREF _Toc385935878 \h </w:instrText>
        </w:r>
        <w:r w:rsidR="00BC5B20">
          <w:rPr>
            <w:noProof/>
            <w:webHidden/>
          </w:rPr>
        </w:r>
        <w:r w:rsidR="00BC5B20">
          <w:rPr>
            <w:noProof/>
            <w:webHidden/>
          </w:rPr>
          <w:fldChar w:fldCharType="separate"/>
        </w:r>
        <w:r w:rsidR="00CD1471">
          <w:rPr>
            <w:noProof/>
            <w:webHidden/>
          </w:rPr>
          <w:t>12</w:t>
        </w:r>
        <w:r w:rsidR="00BC5B20">
          <w:rPr>
            <w:noProof/>
            <w:webHidden/>
          </w:rPr>
          <w:fldChar w:fldCharType="end"/>
        </w:r>
      </w:hyperlink>
    </w:p>
    <w:p w14:paraId="21EB7C99" w14:textId="77777777" w:rsidR="00BC5B20" w:rsidRDefault="00C65541">
      <w:pPr>
        <w:pStyle w:val="TOC2"/>
        <w:tabs>
          <w:tab w:val="right" w:leader="dot" w:pos="9350"/>
        </w:tabs>
        <w:rPr>
          <w:rFonts w:asciiTheme="minorHAnsi" w:eastAsiaTheme="minorEastAsia" w:hAnsiTheme="minorHAnsi" w:cstheme="minorBidi"/>
          <w:noProof/>
          <w:szCs w:val="22"/>
        </w:rPr>
      </w:pPr>
      <w:hyperlink w:anchor="_Toc385935879" w:history="1">
        <w:r w:rsidR="00BC5B20" w:rsidRPr="00304963">
          <w:rPr>
            <w:rStyle w:val="Hyperlink"/>
            <w:noProof/>
          </w:rPr>
          <w:t>4.3 Incremental &amp; Full Measure Costs</w:t>
        </w:r>
        <w:r w:rsidR="00BC5B20">
          <w:rPr>
            <w:noProof/>
            <w:webHidden/>
          </w:rPr>
          <w:tab/>
        </w:r>
        <w:r w:rsidR="00BC5B20">
          <w:rPr>
            <w:noProof/>
            <w:webHidden/>
          </w:rPr>
          <w:fldChar w:fldCharType="begin"/>
        </w:r>
        <w:r w:rsidR="00BC5B20">
          <w:rPr>
            <w:noProof/>
            <w:webHidden/>
          </w:rPr>
          <w:instrText xml:space="preserve"> PAGEREF _Toc385935879 \h </w:instrText>
        </w:r>
        <w:r w:rsidR="00BC5B20">
          <w:rPr>
            <w:noProof/>
            <w:webHidden/>
          </w:rPr>
        </w:r>
        <w:r w:rsidR="00BC5B20">
          <w:rPr>
            <w:noProof/>
            <w:webHidden/>
          </w:rPr>
          <w:fldChar w:fldCharType="separate"/>
        </w:r>
        <w:r w:rsidR="00CD1471">
          <w:rPr>
            <w:noProof/>
            <w:webHidden/>
          </w:rPr>
          <w:t>13</w:t>
        </w:r>
        <w:r w:rsidR="00BC5B20">
          <w:rPr>
            <w:noProof/>
            <w:webHidden/>
          </w:rPr>
          <w:fldChar w:fldCharType="end"/>
        </w:r>
      </w:hyperlink>
    </w:p>
    <w:p w14:paraId="6217C303" w14:textId="77777777" w:rsidR="00BC5B20" w:rsidRDefault="00C65541">
      <w:pPr>
        <w:pStyle w:val="TOC1"/>
        <w:tabs>
          <w:tab w:val="right" w:leader="dot" w:pos="9350"/>
        </w:tabs>
        <w:rPr>
          <w:rFonts w:asciiTheme="minorHAnsi" w:eastAsiaTheme="minorEastAsia" w:hAnsiTheme="minorHAnsi" w:cstheme="minorBidi"/>
          <w:noProof/>
          <w:szCs w:val="22"/>
        </w:rPr>
      </w:pPr>
      <w:hyperlink w:anchor="_Toc385935880" w:history="1">
        <w:r w:rsidR="00BC5B20" w:rsidRPr="00304963">
          <w:rPr>
            <w:rStyle w:val="Hyperlink"/>
            <w:i/>
            <w:noProof/>
          </w:rPr>
          <w:t>4.3.1 Full Measure Cost</w:t>
        </w:r>
        <w:r w:rsidR="00BC5B20">
          <w:rPr>
            <w:noProof/>
            <w:webHidden/>
          </w:rPr>
          <w:tab/>
        </w:r>
        <w:r w:rsidR="00BC5B20">
          <w:rPr>
            <w:noProof/>
            <w:webHidden/>
          </w:rPr>
          <w:fldChar w:fldCharType="begin"/>
        </w:r>
        <w:r w:rsidR="00BC5B20">
          <w:rPr>
            <w:noProof/>
            <w:webHidden/>
          </w:rPr>
          <w:instrText xml:space="preserve"> PAGEREF _Toc385935880 \h </w:instrText>
        </w:r>
        <w:r w:rsidR="00BC5B20">
          <w:rPr>
            <w:noProof/>
            <w:webHidden/>
          </w:rPr>
        </w:r>
        <w:r w:rsidR="00BC5B20">
          <w:rPr>
            <w:noProof/>
            <w:webHidden/>
          </w:rPr>
          <w:fldChar w:fldCharType="separate"/>
        </w:r>
        <w:r w:rsidR="00CD1471">
          <w:rPr>
            <w:noProof/>
            <w:webHidden/>
          </w:rPr>
          <w:t>13</w:t>
        </w:r>
        <w:r w:rsidR="00BC5B20">
          <w:rPr>
            <w:noProof/>
            <w:webHidden/>
          </w:rPr>
          <w:fldChar w:fldCharType="end"/>
        </w:r>
      </w:hyperlink>
    </w:p>
    <w:p w14:paraId="44A1243B" w14:textId="77777777" w:rsidR="00BC5B20" w:rsidRDefault="00C65541">
      <w:pPr>
        <w:pStyle w:val="TOC1"/>
        <w:tabs>
          <w:tab w:val="right" w:leader="dot" w:pos="9350"/>
        </w:tabs>
        <w:rPr>
          <w:rFonts w:asciiTheme="minorHAnsi" w:eastAsiaTheme="minorEastAsia" w:hAnsiTheme="minorHAnsi" w:cstheme="minorBidi"/>
          <w:noProof/>
          <w:szCs w:val="22"/>
        </w:rPr>
      </w:pPr>
      <w:hyperlink w:anchor="_Toc385935881" w:history="1">
        <w:r w:rsidR="00BC5B20" w:rsidRPr="00304963">
          <w:rPr>
            <w:rStyle w:val="Hyperlink"/>
            <w:i/>
            <w:noProof/>
          </w:rPr>
          <w:t>4.3.2 Incremental Measure Costs</w:t>
        </w:r>
        <w:r w:rsidR="00BC5B20">
          <w:rPr>
            <w:noProof/>
            <w:webHidden/>
          </w:rPr>
          <w:tab/>
        </w:r>
        <w:r w:rsidR="00BC5B20">
          <w:rPr>
            <w:noProof/>
            <w:webHidden/>
          </w:rPr>
          <w:fldChar w:fldCharType="begin"/>
        </w:r>
        <w:r w:rsidR="00BC5B20">
          <w:rPr>
            <w:noProof/>
            <w:webHidden/>
          </w:rPr>
          <w:instrText xml:space="preserve"> PAGEREF _Toc385935881 \h </w:instrText>
        </w:r>
        <w:r w:rsidR="00BC5B20">
          <w:rPr>
            <w:noProof/>
            <w:webHidden/>
          </w:rPr>
        </w:r>
        <w:r w:rsidR="00BC5B20">
          <w:rPr>
            <w:noProof/>
            <w:webHidden/>
          </w:rPr>
          <w:fldChar w:fldCharType="separate"/>
        </w:r>
        <w:r w:rsidR="00CD1471">
          <w:rPr>
            <w:noProof/>
            <w:webHidden/>
          </w:rPr>
          <w:t>13</w:t>
        </w:r>
        <w:r w:rsidR="00BC5B20">
          <w:rPr>
            <w:noProof/>
            <w:webHidden/>
          </w:rPr>
          <w:fldChar w:fldCharType="end"/>
        </w:r>
      </w:hyperlink>
    </w:p>
    <w:p w14:paraId="74F7B29D" w14:textId="77777777" w:rsidR="00BC5B20" w:rsidRDefault="00C65541">
      <w:pPr>
        <w:pStyle w:val="TOC1"/>
        <w:tabs>
          <w:tab w:val="right" w:leader="dot" w:pos="9350"/>
        </w:tabs>
        <w:rPr>
          <w:rFonts w:asciiTheme="minorHAnsi" w:eastAsiaTheme="minorEastAsia" w:hAnsiTheme="minorHAnsi" w:cstheme="minorBidi"/>
          <w:noProof/>
          <w:szCs w:val="22"/>
        </w:rPr>
      </w:pPr>
      <w:hyperlink w:anchor="_Toc385935882" w:history="1">
        <w:r w:rsidR="00BC5B20" w:rsidRPr="00304963">
          <w:rPr>
            <w:rStyle w:val="Hyperlink"/>
            <w:rFonts w:cs="Arial"/>
            <w:b/>
            <w:bCs/>
            <w:noProof/>
            <w:kern w:val="32"/>
          </w:rPr>
          <w:t>References</w:t>
        </w:r>
        <w:r w:rsidR="00BC5B20">
          <w:rPr>
            <w:noProof/>
            <w:webHidden/>
          </w:rPr>
          <w:tab/>
        </w:r>
        <w:r w:rsidR="00BC5B20">
          <w:rPr>
            <w:noProof/>
            <w:webHidden/>
          </w:rPr>
          <w:fldChar w:fldCharType="begin"/>
        </w:r>
        <w:r w:rsidR="00BC5B20">
          <w:rPr>
            <w:noProof/>
            <w:webHidden/>
          </w:rPr>
          <w:instrText xml:space="preserve"> PAGEREF _Toc385935882 \h </w:instrText>
        </w:r>
        <w:r w:rsidR="00BC5B20">
          <w:rPr>
            <w:noProof/>
            <w:webHidden/>
          </w:rPr>
        </w:r>
        <w:r w:rsidR="00BC5B20">
          <w:rPr>
            <w:noProof/>
            <w:webHidden/>
          </w:rPr>
          <w:fldChar w:fldCharType="separate"/>
        </w:r>
        <w:r w:rsidR="00CD1471">
          <w:rPr>
            <w:noProof/>
            <w:webHidden/>
          </w:rPr>
          <w:t>14</w:t>
        </w:r>
        <w:r w:rsidR="00BC5B20">
          <w:rPr>
            <w:noProof/>
            <w:webHidden/>
          </w:rPr>
          <w:fldChar w:fldCharType="end"/>
        </w:r>
      </w:hyperlink>
    </w:p>
    <w:p w14:paraId="393A0A92" w14:textId="77777777" w:rsidR="001E4C31" w:rsidRDefault="001E4C31">
      <w:r>
        <w:rPr>
          <w:b/>
          <w:bCs/>
          <w:noProof/>
        </w:rPr>
        <w:fldChar w:fldCharType="end"/>
      </w:r>
    </w:p>
    <w:p w14:paraId="393A0A93" w14:textId="77777777" w:rsidR="00ED21EE" w:rsidRDefault="006559C8" w:rsidP="00ED21EE">
      <w:pPr>
        <w:pStyle w:val="Heading1"/>
      </w:pPr>
      <w:r>
        <w:br w:type="page"/>
      </w:r>
      <w:bookmarkStart w:id="21" w:name="_Toc172205729"/>
      <w:bookmarkStart w:id="22" w:name="_Toc304800199"/>
      <w:bookmarkStart w:id="23" w:name="_Toc324318335"/>
      <w:bookmarkStart w:id="24" w:name="_Toc324340479"/>
      <w:bookmarkStart w:id="25" w:name="_Toc385935852"/>
      <w:r w:rsidR="00ED21EE">
        <w:lastRenderedPageBreak/>
        <w:t>List of Tables</w:t>
      </w:r>
      <w:bookmarkEnd w:id="21"/>
      <w:bookmarkEnd w:id="22"/>
      <w:bookmarkEnd w:id="23"/>
      <w:bookmarkEnd w:id="24"/>
      <w:bookmarkEnd w:id="25"/>
    </w:p>
    <w:p w14:paraId="07F94ABE" w14:textId="1C71CC14" w:rsidR="00D80069" w:rsidRDefault="00D80069" w:rsidP="00BC5B20">
      <w:pPr>
        <w:pStyle w:val="TableofFigures"/>
        <w:tabs>
          <w:tab w:val="right" w:leader="dot" w:pos="9350"/>
        </w:tabs>
        <w:jc w:val="both"/>
      </w:pPr>
      <w:r>
        <w:t>Table 1 Energy Efficiency requirements for Commercial Griddles…………………………………1</w:t>
      </w:r>
    </w:p>
    <w:p w14:paraId="393A0A94" w14:textId="60C65A7C" w:rsidR="003B6B5B" w:rsidRPr="0064609B" w:rsidRDefault="00ED21EE" w:rsidP="00BC5B20">
      <w:pPr>
        <w:pStyle w:val="TableofFigures"/>
        <w:tabs>
          <w:tab w:val="right" w:leader="dot" w:pos="9350"/>
        </w:tabs>
        <w:jc w:val="both"/>
        <w:rPr>
          <w:rFonts w:ascii="Calibri" w:hAnsi="Calibri"/>
          <w:noProof/>
          <w:szCs w:val="22"/>
        </w:rPr>
      </w:pPr>
      <w:r>
        <w:fldChar w:fldCharType="begin"/>
      </w:r>
      <w:r>
        <w:instrText xml:space="preserve"> TOC \h \z \c "Table" </w:instrText>
      </w:r>
      <w:r>
        <w:fldChar w:fldCharType="separate"/>
      </w:r>
      <w:hyperlink w:anchor="_Toc324427642" w:history="1">
        <w:r w:rsidR="003B6B5B" w:rsidRPr="00302DA8">
          <w:rPr>
            <w:rStyle w:val="Hyperlink"/>
            <w:noProof/>
          </w:rPr>
          <w:t xml:space="preserve">Table </w:t>
        </w:r>
        <w:r w:rsidR="00D25F81">
          <w:rPr>
            <w:rStyle w:val="Hyperlink"/>
            <w:noProof/>
          </w:rPr>
          <w:t>2</w:t>
        </w:r>
        <w:r w:rsidR="003B6B5B" w:rsidRPr="00302DA8">
          <w:rPr>
            <w:rStyle w:val="Hyperlink"/>
            <w:rFonts w:ascii="Calibri" w:hAnsi="Calibri" w:cs="Calibri"/>
            <w:noProof/>
          </w:rPr>
          <w:t xml:space="preserve"> </w:t>
        </w:r>
        <w:r w:rsidR="003B6B5B" w:rsidRPr="00302DA8">
          <w:rPr>
            <w:rStyle w:val="Hyperlink"/>
            <w:rFonts w:cs="Arial"/>
            <w:noProof/>
          </w:rPr>
          <w:t>Measure Application Type</w:t>
        </w:r>
        <w:r w:rsidR="003B6B5B">
          <w:rPr>
            <w:noProof/>
            <w:webHidden/>
          </w:rPr>
          <w:tab/>
        </w:r>
        <w:r w:rsidR="007E7B15">
          <w:rPr>
            <w:noProof/>
            <w:webHidden/>
          </w:rPr>
          <w:t>..</w:t>
        </w:r>
        <w:r w:rsidR="003B6B5B">
          <w:rPr>
            <w:noProof/>
            <w:webHidden/>
          </w:rPr>
          <w:fldChar w:fldCharType="begin"/>
        </w:r>
        <w:r w:rsidR="003B6B5B">
          <w:rPr>
            <w:noProof/>
            <w:webHidden/>
          </w:rPr>
          <w:instrText xml:space="preserve"> PAGEREF _Toc324427642 \h </w:instrText>
        </w:r>
        <w:r w:rsidR="003B6B5B">
          <w:rPr>
            <w:noProof/>
            <w:webHidden/>
          </w:rPr>
        </w:r>
        <w:r w:rsidR="003B6B5B">
          <w:rPr>
            <w:noProof/>
            <w:webHidden/>
          </w:rPr>
          <w:fldChar w:fldCharType="separate"/>
        </w:r>
        <w:r w:rsidR="00CD1471">
          <w:rPr>
            <w:noProof/>
            <w:webHidden/>
          </w:rPr>
          <w:t>2</w:t>
        </w:r>
        <w:r w:rsidR="003B6B5B">
          <w:rPr>
            <w:noProof/>
            <w:webHidden/>
          </w:rPr>
          <w:fldChar w:fldCharType="end"/>
        </w:r>
      </w:hyperlink>
    </w:p>
    <w:p w14:paraId="3F5E20B0" w14:textId="2FCB0867" w:rsidR="00D25F81" w:rsidRDefault="00D25F81" w:rsidP="00BC5B20">
      <w:pPr>
        <w:pStyle w:val="TableofFigures"/>
        <w:tabs>
          <w:tab w:val="right" w:leader="dot" w:pos="9350"/>
        </w:tabs>
        <w:jc w:val="both"/>
      </w:pPr>
      <w:r>
        <w:t>Table 3</w:t>
      </w:r>
      <w:r w:rsidR="007E7B15">
        <w:t xml:space="preserve"> Deer Use and Technology Table……………………...</w:t>
      </w:r>
      <w:r>
        <w:t>………………………………………3</w:t>
      </w:r>
    </w:p>
    <w:p w14:paraId="3DB9ABFD" w14:textId="1B724F5C" w:rsidR="00D25F81" w:rsidRDefault="00D25F81" w:rsidP="00BC5B20">
      <w:pPr>
        <w:jc w:val="both"/>
      </w:pPr>
      <w:r>
        <w:t xml:space="preserve">Table 4 </w:t>
      </w:r>
      <w:r w:rsidR="007E7B15">
        <w:t xml:space="preserve">DEER </w:t>
      </w:r>
      <w:r w:rsidR="00B20BB2">
        <w:t xml:space="preserve">2014 </w:t>
      </w:r>
      <w:r w:rsidR="007E7B15">
        <w:t>Net to Gross Ration………………………………………</w:t>
      </w:r>
      <w:r>
        <w:t>……………………</w:t>
      </w:r>
      <w:r w:rsidR="00B20BB2">
        <w:t>..</w:t>
      </w:r>
      <w:r>
        <w:t>.</w:t>
      </w:r>
      <w:r w:rsidR="008512F3">
        <w:t>4</w:t>
      </w:r>
    </w:p>
    <w:p w14:paraId="68C4D7EF" w14:textId="3FEE2C43" w:rsidR="002B4002" w:rsidRPr="00D25F81" w:rsidRDefault="002B4002" w:rsidP="00BC5B20">
      <w:pPr>
        <w:jc w:val="both"/>
      </w:pPr>
      <w:r>
        <w:t>Table 5 D</w:t>
      </w:r>
      <w:r w:rsidR="008512F3">
        <w:t>EER 2014 Effective Useful Life.</w:t>
      </w:r>
      <w:r>
        <w:t>……………………………………………………………</w:t>
      </w:r>
      <w:r w:rsidR="008512F3">
        <w:t>.</w:t>
      </w:r>
      <w:r>
        <w:t>.</w:t>
      </w:r>
      <w:r w:rsidR="008512F3">
        <w:t>4</w:t>
      </w:r>
    </w:p>
    <w:p w14:paraId="393A0A95" w14:textId="76464A21" w:rsidR="003B6B5B" w:rsidRPr="0064609B" w:rsidRDefault="00C65541" w:rsidP="00BC5B20">
      <w:pPr>
        <w:pStyle w:val="TableofFigures"/>
        <w:tabs>
          <w:tab w:val="right" w:leader="dot" w:pos="9350"/>
        </w:tabs>
        <w:jc w:val="both"/>
        <w:rPr>
          <w:rFonts w:ascii="Calibri" w:hAnsi="Calibri"/>
          <w:noProof/>
          <w:szCs w:val="22"/>
        </w:rPr>
      </w:pPr>
      <w:hyperlink w:anchor="_Toc324427643" w:history="1">
        <w:r w:rsidR="003B6B5B" w:rsidRPr="00302DA8">
          <w:rPr>
            <w:rStyle w:val="Hyperlink"/>
            <w:rFonts w:cs="Arial"/>
            <w:noProof/>
          </w:rPr>
          <w:t xml:space="preserve">Table </w:t>
        </w:r>
        <w:r w:rsidR="000E73CA">
          <w:rPr>
            <w:rStyle w:val="Hyperlink"/>
            <w:rFonts w:cs="Arial"/>
            <w:noProof/>
          </w:rPr>
          <w:t>6</w:t>
        </w:r>
        <w:r w:rsidR="00437BE1">
          <w:rPr>
            <w:rStyle w:val="Hyperlink"/>
            <w:rFonts w:cs="Arial"/>
            <w:noProof/>
          </w:rPr>
          <w:t xml:space="preserve"> </w:t>
        </w:r>
        <w:r w:rsidR="000E73CA">
          <w:rPr>
            <w:rStyle w:val="Hyperlink"/>
            <w:rFonts w:cs="Arial"/>
            <w:noProof/>
          </w:rPr>
          <w:t>Baseline</w:t>
        </w:r>
      </w:hyperlink>
      <w:r w:rsidR="000E73CA">
        <w:rPr>
          <w:noProof/>
        </w:rPr>
        <w:t xml:space="preserve"> ASTM Test Results for Commercial Griddles……………………………………</w:t>
      </w:r>
      <w:r w:rsidR="00B20BB2">
        <w:rPr>
          <w:noProof/>
        </w:rPr>
        <w:t>.</w:t>
      </w:r>
      <w:r w:rsidR="000E73CA">
        <w:rPr>
          <w:noProof/>
        </w:rPr>
        <w:t>5</w:t>
      </w:r>
    </w:p>
    <w:p w14:paraId="393A0A96" w14:textId="52F0ADBF" w:rsidR="003B6B5B" w:rsidRPr="0064609B" w:rsidRDefault="00C65541" w:rsidP="00BC5B20">
      <w:pPr>
        <w:pStyle w:val="TableofFigures"/>
        <w:tabs>
          <w:tab w:val="right" w:leader="dot" w:pos="9350"/>
        </w:tabs>
        <w:jc w:val="both"/>
        <w:rPr>
          <w:rFonts w:ascii="Calibri" w:hAnsi="Calibri"/>
          <w:noProof/>
          <w:szCs w:val="22"/>
        </w:rPr>
      </w:pPr>
      <w:hyperlink w:anchor="_Toc324427644" w:history="1">
        <w:r w:rsidR="003B6B5B" w:rsidRPr="00302DA8">
          <w:rPr>
            <w:rStyle w:val="Hyperlink"/>
            <w:rFonts w:cs="Arial"/>
            <w:noProof/>
          </w:rPr>
          <w:t xml:space="preserve">Table </w:t>
        </w:r>
        <w:r w:rsidR="00B20BB2">
          <w:rPr>
            <w:rStyle w:val="Hyperlink"/>
            <w:rFonts w:cs="Arial"/>
            <w:noProof/>
          </w:rPr>
          <w:t>7</w:t>
        </w:r>
        <w:r w:rsidR="00437BE1">
          <w:rPr>
            <w:rStyle w:val="Hyperlink"/>
            <w:rFonts w:cs="Arial"/>
            <w:noProof/>
          </w:rPr>
          <w:t xml:space="preserve"> </w:t>
        </w:r>
        <w:r w:rsidR="00B20BB2">
          <w:rPr>
            <w:rStyle w:val="Hyperlink"/>
            <w:rFonts w:cs="Arial"/>
            <w:noProof/>
          </w:rPr>
          <w:t>Measure Case ASTM Test Results for Commercial Griddles</w:t>
        </w:r>
        <w:r w:rsidR="003B6B5B">
          <w:rPr>
            <w:noProof/>
            <w:webHidden/>
          </w:rPr>
          <w:tab/>
        </w:r>
        <w:r w:rsidR="00B20BB2">
          <w:rPr>
            <w:noProof/>
            <w:webHidden/>
          </w:rPr>
          <w:t>5</w:t>
        </w:r>
      </w:hyperlink>
    </w:p>
    <w:p w14:paraId="393A0A99" w14:textId="7CA18AA9" w:rsidR="003B6B5B" w:rsidRPr="0064609B" w:rsidRDefault="00C65541" w:rsidP="00BC5B20">
      <w:pPr>
        <w:pStyle w:val="TableofFigures"/>
        <w:tabs>
          <w:tab w:val="right" w:leader="dot" w:pos="9350"/>
        </w:tabs>
        <w:jc w:val="both"/>
        <w:rPr>
          <w:rFonts w:ascii="Calibri" w:hAnsi="Calibri"/>
          <w:noProof/>
          <w:szCs w:val="22"/>
        </w:rPr>
      </w:pPr>
      <w:hyperlink w:anchor="_Toc324427647" w:history="1">
        <w:r w:rsidR="003B6B5B" w:rsidRPr="00302DA8">
          <w:rPr>
            <w:rStyle w:val="Hyperlink"/>
            <w:rFonts w:cs="Arial"/>
            <w:noProof/>
          </w:rPr>
          <w:t xml:space="preserve">Table </w:t>
        </w:r>
        <w:r w:rsidR="00B20BB2">
          <w:rPr>
            <w:rStyle w:val="Hyperlink"/>
            <w:rFonts w:cs="Arial"/>
            <w:noProof/>
          </w:rPr>
          <w:t>8</w:t>
        </w:r>
        <w:r w:rsidR="00437BE1">
          <w:rPr>
            <w:rStyle w:val="Hyperlink"/>
            <w:rFonts w:cs="Arial"/>
            <w:noProof/>
          </w:rPr>
          <w:t xml:space="preserve"> </w:t>
        </w:r>
        <w:r w:rsidR="003B6B5B" w:rsidRPr="00302DA8">
          <w:rPr>
            <w:rStyle w:val="Hyperlink"/>
            <w:rFonts w:cs="Arial"/>
            <w:noProof/>
          </w:rPr>
          <w:t>TOU Adjustment Factors</w:t>
        </w:r>
        <w:r w:rsidR="003B6B5B">
          <w:rPr>
            <w:noProof/>
            <w:webHidden/>
          </w:rPr>
          <w:tab/>
        </w:r>
        <w:r w:rsidR="00B20BB2">
          <w:rPr>
            <w:noProof/>
            <w:webHidden/>
          </w:rPr>
          <w:t>6</w:t>
        </w:r>
      </w:hyperlink>
    </w:p>
    <w:p w14:paraId="393A0A9A" w14:textId="4FF136BF" w:rsidR="003B6B5B" w:rsidRPr="0064609B" w:rsidRDefault="00C65541" w:rsidP="00BC5B20">
      <w:pPr>
        <w:pStyle w:val="TableofFigures"/>
        <w:tabs>
          <w:tab w:val="right" w:leader="dot" w:pos="9350"/>
        </w:tabs>
        <w:jc w:val="both"/>
        <w:rPr>
          <w:rFonts w:ascii="Calibri" w:hAnsi="Calibri"/>
          <w:noProof/>
          <w:szCs w:val="22"/>
        </w:rPr>
      </w:pPr>
      <w:hyperlink w:anchor="_Toc324427648" w:history="1">
        <w:r w:rsidR="003B6B5B" w:rsidRPr="00302DA8">
          <w:rPr>
            <w:rStyle w:val="Hyperlink"/>
            <w:noProof/>
          </w:rPr>
          <w:t xml:space="preserve">Table </w:t>
        </w:r>
        <w:r w:rsidR="00067F6B">
          <w:rPr>
            <w:rStyle w:val="Hyperlink"/>
            <w:noProof/>
          </w:rPr>
          <w:t>9</w:t>
        </w:r>
        <w:r w:rsidR="003B6B5B" w:rsidRPr="00302DA8">
          <w:rPr>
            <w:rStyle w:val="Hyperlink"/>
            <w:noProof/>
          </w:rPr>
          <w:t xml:space="preserve"> </w:t>
        </w:r>
        <w:r w:rsidR="00067F6B">
          <w:rPr>
            <w:rStyle w:val="Hyperlink"/>
            <w:noProof/>
          </w:rPr>
          <w:t>Summary</w:t>
        </w:r>
      </w:hyperlink>
      <w:r w:rsidR="00067F6B">
        <w:rPr>
          <w:noProof/>
        </w:rPr>
        <w:t xml:space="preserve"> of Inputs for Savings Calculations………………………………………………6</w:t>
      </w:r>
    </w:p>
    <w:p w14:paraId="393A0A9B" w14:textId="016274A3" w:rsidR="003B6B5B" w:rsidRPr="0064609B" w:rsidRDefault="00C65541" w:rsidP="00BC5B20">
      <w:pPr>
        <w:pStyle w:val="TableofFigures"/>
        <w:tabs>
          <w:tab w:val="right" w:leader="dot" w:pos="9350"/>
        </w:tabs>
        <w:jc w:val="both"/>
        <w:rPr>
          <w:rFonts w:ascii="Calibri" w:hAnsi="Calibri"/>
          <w:noProof/>
          <w:szCs w:val="22"/>
        </w:rPr>
      </w:pPr>
      <w:hyperlink w:anchor="_Toc324427649" w:history="1">
        <w:r w:rsidR="003B6B5B" w:rsidRPr="00302DA8">
          <w:rPr>
            <w:rStyle w:val="Hyperlink"/>
            <w:rFonts w:cs="Arial"/>
            <w:noProof/>
          </w:rPr>
          <w:t xml:space="preserve">Table </w:t>
        </w:r>
        <w:r w:rsidR="00067F6B">
          <w:rPr>
            <w:rStyle w:val="Hyperlink"/>
            <w:rFonts w:cs="Arial"/>
            <w:noProof/>
          </w:rPr>
          <w:t>10</w:t>
        </w:r>
        <w:r w:rsidR="003B6B5B" w:rsidRPr="00302DA8">
          <w:rPr>
            <w:rStyle w:val="Hyperlink"/>
            <w:rFonts w:cs="Arial"/>
            <w:noProof/>
          </w:rPr>
          <w:t xml:space="preserve"> Base</w:t>
        </w:r>
        <w:r w:rsidR="00067F6B">
          <w:rPr>
            <w:rStyle w:val="Hyperlink"/>
            <w:rFonts w:cs="Arial"/>
            <w:noProof/>
          </w:rPr>
          <w:t xml:space="preserve">line by Measure Application Type </w:t>
        </w:r>
        <w:r w:rsidR="003B6B5B">
          <w:rPr>
            <w:noProof/>
            <w:webHidden/>
          </w:rPr>
          <w:tab/>
        </w:r>
        <w:r w:rsidR="00067F6B">
          <w:rPr>
            <w:noProof/>
            <w:webHidden/>
          </w:rPr>
          <w:t>7</w:t>
        </w:r>
      </w:hyperlink>
    </w:p>
    <w:p w14:paraId="393A0A9C" w14:textId="5DFBDA65" w:rsidR="003B6B5B" w:rsidRDefault="00C65541" w:rsidP="00BC5B20">
      <w:pPr>
        <w:pStyle w:val="TableofFigures"/>
        <w:tabs>
          <w:tab w:val="right" w:leader="dot" w:pos="9350"/>
        </w:tabs>
        <w:jc w:val="both"/>
        <w:rPr>
          <w:noProof/>
        </w:rPr>
      </w:pPr>
      <w:hyperlink w:anchor="_Toc324427650" w:history="1">
        <w:r w:rsidR="003B6B5B" w:rsidRPr="00302DA8">
          <w:rPr>
            <w:rStyle w:val="Hyperlink"/>
            <w:rFonts w:cs="Arial"/>
            <w:noProof/>
          </w:rPr>
          <w:t xml:space="preserve">Table </w:t>
        </w:r>
        <w:r w:rsidR="003F589E">
          <w:rPr>
            <w:rStyle w:val="Hyperlink"/>
            <w:rFonts w:cs="Arial"/>
            <w:noProof/>
          </w:rPr>
          <w:t>11</w:t>
        </w:r>
        <w:r w:rsidR="003B6B5B" w:rsidRPr="00302DA8">
          <w:rPr>
            <w:rStyle w:val="Hyperlink"/>
            <w:rFonts w:cs="Arial"/>
            <w:noProof/>
          </w:rPr>
          <w:t xml:space="preserve"> </w:t>
        </w:r>
        <w:r w:rsidR="003F589E">
          <w:rPr>
            <w:rStyle w:val="Hyperlink"/>
            <w:rFonts w:cs="Arial"/>
            <w:noProof/>
          </w:rPr>
          <w:t>Commercial Electric Griddle Cost Effectiveness Example</w:t>
        </w:r>
        <w:r w:rsidR="003B6B5B">
          <w:rPr>
            <w:noProof/>
            <w:webHidden/>
          </w:rPr>
          <w:tab/>
        </w:r>
        <w:r w:rsidR="003F589E">
          <w:rPr>
            <w:noProof/>
            <w:webHidden/>
          </w:rPr>
          <w:t>7</w:t>
        </w:r>
      </w:hyperlink>
    </w:p>
    <w:p w14:paraId="484045C4" w14:textId="2A297CF4" w:rsidR="003F589E" w:rsidRDefault="003F589E" w:rsidP="00BC5B20">
      <w:pPr>
        <w:jc w:val="both"/>
      </w:pPr>
      <w:r>
        <w:t>Table 12 Commercial Gas Griddle Cost Effectiveness Example…………………………………...9</w:t>
      </w:r>
    </w:p>
    <w:p w14:paraId="3AAB5C32" w14:textId="7C62DD12" w:rsidR="003F589E" w:rsidRDefault="003F589E" w:rsidP="00BC5B20">
      <w:pPr>
        <w:jc w:val="both"/>
      </w:pPr>
      <w:r>
        <w:t>Table 13</w:t>
      </w:r>
      <w:r w:rsidR="00C0363E">
        <w:t xml:space="preserve"> Base Case Building Types and Load Shapes…………………………………………….10</w:t>
      </w:r>
    </w:p>
    <w:p w14:paraId="64D5E298" w14:textId="109B5D68" w:rsidR="00C0363E" w:rsidRDefault="00AF7A1F" w:rsidP="00BC5B20">
      <w:pPr>
        <w:jc w:val="both"/>
      </w:pPr>
      <w:r>
        <w:t>Table 14 Base Case Costs……………………………………………………………….……………12</w:t>
      </w:r>
    </w:p>
    <w:p w14:paraId="2C76DB0B" w14:textId="7360F142" w:rsidR="00AF7A1F" w:rsidRPr="003F589E" w:rsidRDefault="00AF7A1F" w:rsidP="00BC5B20">
      <w:pPr>
        <w:jc w:val="both"/>
      </w:pPr>
      <w:r>
        <w:t>Table 15 Measure Case Costs………………………………………………………………………...12</w:t>
      </w:r>
    </w:p>
    <w:p w14:paraId="393A0A9D" w14:textId="77777777" w:rsidR="005A1F9D" w:rsidRDefault="00ED21EE" w:rsidP="00BC5B20">
      <w:pPr>
        <w:jc w:val="both"/>
      </w:pPr>
      <w:r>
        <w:fldChar w:fldCharType="end"/>
      </w:r>
      <w:r w:rsidR="005A1F9D" w:rsidRPr="005A1F9D">
        <w:t xml:space="preserve"> </w:t>
      </w:r>
    </w:p>
    <w:p w14:paraId="393A0A9E" w14:textId="77777777" w:rsidR="005A1F9D" w:rsidRDefault="005A1F9D" w:rsidP="005A1F9D">
      <w:pPr>
        <w:pStyle w:val="Heading1"/>
      </w:pPr>
      <w:bookmarkStart w:id="26" w:name="_Toc174179832"/>
      <w:bookmarkStart w:id="27" w:name="_Toc174181292"/>
      <w:bookmarkStart w:id="28" w:name="_Toc304800200"/>
      <w:bookmarkStart w:id="29" w:name="_Toc324318336"/>
      <w:bookmarkStart w:id="30" w:name="_Toc324340480"/>
      <w:bookmarkStart w:id="31" w:name="_Toc385935853"/>
      <w:r>
        <w:t>List of Figures</w:t>
      </w:r>
      <w:bookmarkEnd w:id="26"/>
      <w:bookmarkEnd w:id="27"/>
      <w:bookmarkEnd w:id="28"/>
      <w:bookmarkEnd w:id="29"/>
      <w:bookmarkEnd w:id="30"/>
      <w:bookmarkEnd w:id="31"/>
    </w:p>
    <w:p w14:paraId="393A0A9F" w14:textId="77777777" w:rsidR="005A1F9D" w:rsidRDefault="00C65541" w:rsidP="005A1F9D">
      <w:r>
        <w:fldChar w:fldCharType="begin"/>
      </w:r>
      <w:r>
        <w:instrText xml:space="preserve"> TOC \h \z \c "Figure" </w:instrText>
      </w:r>
      <w:r>
        <w:fldChar w:fldCharType="separate"/>
      </w:r>
      <w:r w:rsidR="00056348">
        <w:rPr>
          <w:b/>
          <w:bCs/>
          <w:noProof/>
        </w:rPr>
        <w:t>No table of figures entries found.</w:t>
      </w:r>
      <w:r>
        <w:rPr>
          <w:b/>
          <w:bCs/>
          <w:noProof/>
        </w:rPr>
        <w:fldChar w:fldCharType="end"/>
      </w:r>
    </w:p>
    <w:p w14:paraId="393A0AA0" w14:textId="77777777" w:rsidR="00056348" w:rsidRDefault="00056348" w:rsidP="00ED21EE">
      <w:pPr>
        <w:pStyle w:val="Heading1"/>
        <w:sectPr w:rsidR="00056348" w:rsidSect="00481F63">
          <w:endnotePr>
            <w:numFmt w:val="decimal"/>
          </w:endnotePr>
          <w:pgSz w:w="12240" w:h="15840"/>
          <w:pgMar w:top="1440" w:right="1440" w:bottom="1440" w:left="1440" w:header="720" w:footer="720" w:gutter="0"/>
          <w:pgNumType w:fmt="lowerRoman"/>
          <w:cols w:space="720"/>
          <w:docGrid w:linePitch="360"/>
        </w:sectPr>
      </w:pPr>
      <w:bookmarkStart w:id="32" w:name="_Toc304800201"/>
      <w:bookmarkStart w:id="33" w:name="_Toc324318337"/>
      <w:bookmarkStart w:id="34" w:name="_Toc324340481"/>
      <w:bookmarkStart w:id="35" w:name="_Toc172205732"/>
    </w:p>
    <w:p w14:paraId="393A0AA1" w14:textId="77777777" w:rsidR="00ED21EE" w:rsidRPr="008512F3" w:rsidRDefault="00ED21EE" w:rsidP="00ED21EE">
      <w:pPr>
        <w:pStyle w:val="Heading1"/>
      </w:pPr>
      <w:bookmarkStart w:id="36" w:name="_Toc385935854"/>
      <w:proofErr w:type="gramStart"/>
      <w:r w:rsidRPr="008512F3">
        <w:lastRenderedPageBreak/>
        <w:t>Section 1.</w:t>
      </w:r>
      <w:proofErr w:type="gramEnd"/>
      <w:r w:rsidRPr="008512F3">
        <w:t xml:space="preserve"> General Measure &amp; Baseline Data</w:t>
      </w:r>
      <w:bookmarkEnd w:id="32"/>
      <w:bookmarkEnd w:id="33"/>
      <w:bookmarkEnd w:id="34"/>
      <w:bookmarkEnd w:id="36"/>
    </w:p>
    <w:p w14:paraId="393A0AA2" w14:textId="77777777" w:rsidR="00E71EF1" w:rsidRPr="008512F3" w:rsidRDefault="001248A3" w:rsidP="001248A3">
      <w:pPr>
        <w:pStyle w:val="Heading2"/>
      </w:pPr>
      <w:bookmarkStart w:id="37" w:name="_Toc304800202"/>
      <w:bookmarkStart w:id="38" w:name="_Toc324318338"/>
      <w:bookmarkStart w:id="39" w:name="_Toc324340482"/>
      <w:bookmarkStart w:id="40" w:name="_Toc385935855"/>
      <w:bookmarkEnd w:id="35"/>
      <w:r w:rsidRPr="008512F3">
        <w:t xml:space="preserve">1.1 </w:t>
      </w:r>
      <w:r w:rsidR="008C6AD1" w:rsidRPr="008512F3">
        <w:t xml:space="preserve">Product </w:t>
      </w:r>
      <w:r w:rsidR="00E71EF1" w:rsidRPr="008512F3">
        <w:t>Measure Description &amp; Background</w:t>
      </w:r>
      <w:bookmarkEnd w:id="37"/>
      <w:bookmarkEnd w:id="38"/>
      <w:bookmarkEnd w:id="39"/>
      <w:bookmarkEnd w:id="40"/>
    </w:p>
    <w:p w14:paraId="5A53AC26" w14:textId="77777777" w:rsidR="00C9363F" w:rsidRPr="008512F3" w:rsidRDefault="00C9363F" w:rsidP="00C9363F">
      <w:pPr>
        <w:rPr>
          <w:rFonts w:cs="Arial"/>
          <w:sz w:val="24"/>
        </w:rPr>
      </w:pPr>
      <w:r w:rsidRPr="008512F3">
        <w:rPr>
          <w:rFonts w:cs="Arial"/>
          <w:sz w:val="24"/>
        </w:rPr>
        <w:t xml:space="preserve">This work paper documents the rationale for the Energy Efficient Commercial Griddle (Electric and Gas) measures as listed in the Commercial Food Service Catalog. The Commercial Food Service Catalog is part of Pacific Gas and Electric Company’s Customer Energy Efficiency Program. PG&amp;E offers incentives to non-residential customers for installing qualifying lighting, refrigeration, air-conditioning, food service, and agricultural equipment. </w:t>
      </w:r>
    </w:p>
    <w:p w14:paraId="57000159" w14:textId="77777777" w:rsidR="00C9363F" w:rsidRPr="008512F3" w:rsidRDefault="00C9363F" w:rsidP="00C9363F">
      <w:pPr>
        <w:rPr>
          <w:rFonts w:cs="Arial"/>
          <w:sz w:val="24"/>
        </w:rPr>
      </w:pPr>
    </w:p>
    <w:p w14:paraId="3640A17A" w14:textId="77777777" w:rsidR="00C9363F" w:rsidRDefault="00C9363F" w:rsidP="00C9363F">
      <w:pPr>
        <w:rPr>
          <w:rFonts w:cs="Arial"/>
          <w:b/>
          <w:i/>
          <w:sz w:val="24"/>
        </w:rPr>
      </w:pPr>
      <w:r w:rsidRPr="008512F3">
        <w:rPr>
          <w:rFonts w:cs="Arial"/>
          <w:b/>
          <w:i/>
          <w:sz w:val="24"/>
        </w:rPr>
        <w:t xml:space="preserve">Catalog Description – </w:t>
      </w:r>
    </w:p>
    <w:p w14:paraId="0D083440" w14:textId="77777777" w:rsidR="008512F3" w:rsidRPr="008512F3" w:rsidRDefault="008512F3" w:rsidP="00C9363F">
      <w:pPr>
        <w:rPr>
          <w:rFonts w:cs="Arial"/>
          <w:b/>
          <w:i/>
          <w:sz w:val="24"/>
        </w:rPr>
      </w:pPr>
    </w:p>
    <w:p w14:paraId="687F9F9B" w14:textId="16A57B81" w:rsidR="00C9363F" w:rsidRPr="008512F3" w:rsidRDefault="00C9363F" w:rsidP="00C9363F">
      <w:pPr>
        <w:rPr>
          <w:rFonts w:cs="Arial"/>
          <w:sz w:val="24"/>
        </w:rPr>
      </w:pPr>
      <w:r w:rsidRPr="008512F3">
        <w:rPr>
          <w:rFonts w:cs="Arial"/>
          <w:b/>
          <w:bCs/>
          <w:sz w:val="24"/>
        </w:rPr>
        <w:t>F</w:t>
      </w:r>
      <w:r w:rsidR="00940B39">
        <w:rPr>
          <w:rFonts w:cs="Arial"/>
          <w:b/>
          <w:bCs/>
          <w:sz w:val="24"/>
        </w:rPr>
        <w:t>S002</w:t>
      </w:r>
      <w:r w:rsidRPr="008512F3">
        <w:rPr>
          <w:rFonts w:cs="Arial"/>
          <w:b/>
          <w:bCs/>
          <w:sz w:val="24"/>
        </w:rPr>
        <w:t>:</w:t>
      </w:r>
      <w:r w:rsidRPr="008512F3">
        <w:rPr>
          <w:rFonts w:cs="Arial"/>
          <w:sz w:val="24"/>
        </w:rPr>
        <w:t xml:space="preserve"> The electric griddle must meet ENERGY STAR® specifications or have a tested heavy load cooking energy efficiency of ≥70% and an idle energy rate ≤ 355 watts per ft² of cooking surface utilizing ASTM Standard F1275</w:t>
      </w:r>
      <w:r w:rsidRPr="008512F3">
        <w:rPr>
          <w:rFonts w:cs="Arial"/>
          <w:sz w:val="24"/>
          <w:vertAlign w:val="superscript"/>
        </w:rPr>
        <w:t>1</w:t>
      </w:r>
      <w:r w:rsidRPr="008512F3">
        <w:rPr>
          <w:rFonts w:cs="Arial"/>
          <w:sz w:val="24"/>
        </w:rPr>
        <w:t xml:space="preserve">. </w:t>
      </w:r>
    </w:p>
    <w:p w14:paraId="031AF8CB" w14:textId="77777777" w:rsidR="00C9363F" w:rsidRPr="008512F3" w:rsidRDefault="00C9363F" w:rsidP="00C9363F">
      <w:pPr>
        <w:tabs>
          <w:tab w:val="right" w:leader="dot" w:pos="9350"/>
        </w:tabs>
        <w:rPr>
          <w:rFonts w:cs="Arial"/>
          <w:b/>
          <w:noProof/>
          <w:sz w:val="28"/>
          <w:szCs w:val="28"/>
        </w:rPr>
      </w:pPr>
    </w:p>
    <w:p w14:paraId="3CC74469" w14:textId="718F206B" w:rsidR="00C9363F" w:rsidRPr="008512F3" w:rsidRDefault="00C9363F" w:rsidP="00C9363F">
      <w:pPr>
        <w:rPr>
          <w:rFonts w:cs="Arial"/>
          <w:sz w:val="24"/>
        </w:rPr>
      </w:pPr>
      <w:r w:rsidRPr="008512F3">
        <w:rPr>
          <w:rFonts w:cs="Arial"/>
          <w:b/>
          <w:bCs/>
          <w:sz w:val="24"/>
        </w:rPr>
        <w:t>F</w:t>
      </w:r>
      <w:r w:rsidR="00940B39">
        <w:rPr>
          <w:rFonts w:cs="Arial"/>
          <w:b/>
          <w:bCs/>
          <w:sz w:val="24"/>
        </w:rPr>
        <w:t>S003</w:t>
      </w:r>
      <w:r w:rsidRPr="008512F3">
        <w:rPr>
          <w:rFonts w:cs="Arial"/>
          <w:b/>
          <w:bCs/>
          <w:sz w:val="24"/>
        </w:rPr>
        <w:t xml:space="preserve">: </w:t>
      </w:r>
      <w:r w:rsidRPr="008512F3">
        <w:rPr>
          <w:rFonts w:cs="Arial"/>
          <w:sz w:val="24"/>
        </w:rPr>
        <w:t>The tested griddle must meet ENERGY STAR® specifications or have a tested heavy load cooking energy efficiency of ≥38% and an idle energy rate ≤ 2,650 Btu/h per ft² of cooking surface utilizing ASTM Standard F1275</w:t>
      </w:r>
      <w:r w:rsidRPr="008512F3">
        <w:rPr>
          <w:rFonts w:cs="Arial"/>
          <w:sz w:val="24"/>
          <w:vertAlign w:val="superscript"/>
        </w:rPr>
        <w:t>1</w:t>
      </w:r>
      <w:r w:rsidRPr="008512F3">
        <w:rPr>
          <w:rFonts w:cs="Arial"/>
          <w:sz w:val="24"/>
        </w:rPr>
        <w:t>.</w:t>
      </w:r>
    </w:p>
    <w:p w14:paraId="4398409F" w14:textId="77777777" w:rsidR="00C9363F" w:rsidRPr="008512F3" w:rsidRDefault="00C9363F" w:rsidP="00C9363F">
      <w:pPr>
        <w:rPr>
          <w:rFonts w:cs="Arial"/>
          <w:sz w:val="24"/>
        </w:rPr>
      </w:pPr>
    </w:p>
    <w:p w14:paraId="393A0AA5" w14:textId="77777777" w:rsidR="00521920" w:rsidRPr="008512F3" w:rsidRDefault="00521920" w:rsidP="00872913">
      <w:pPr>
        <w:rPr>
          <w:rFonts w:cs="Arial"/>
          <w:b/>
          <w:i/>
          <w:sz w:val="24"/>
        </w:rPr>
      </w:pPr>
      <w:r w:rsidRPr="008512F3">
        <w:rPr>
          <w:rFonts w:cs="Arial"/>
          <w:b/>
          <w:i/>
          <w:sz w:val="24"/>
        </w:rPr>
        <w:t>Program Restrictions and Guidelines</w:t>
      </w:r>
    </w:p>
    <w:p w14:paraId="393A0AA6" w14:textId="6B712B2A" w:rsidR="00521920" w:rsidRPr="008512F3" w:rsidRDefault="00521920" w:rsidP="00872913">
      <w:pPr>
        <w:rPr>
          <w:rFonts w:cs="Arial"/>
          <w:b/>
          <w:i/>
          <w:sz w:val="20"/>
          <w:szCs w:val="20"/>
        </w:rPr>
      </w:pPr>
    </w:p>
    <w:p w14:paraId="504E6A53" w14:textId="77777777" w:rsidR="00A32AE2" w:rsidRPr="008512F3" w:rsidRDefault="00A32AE2" w:rsidP="00480BAD">
      <w:pPr>
        <w:ind w:left="360"/>
        <w:rPr>
          <w:rFonts w:cs="Arial"/>
          <w:b/>
          <w:i/>
          <w:sz w:val="20"/>
          <w:szCs w:val="20"/>
        </w:rPr>
      </w:pPr>
    </w:p>
    <w:p w14:paraId="7C50E429" w14:textId="77777777" w:rsidR="006B5FEB" w:rsidRPr="008512F3" w:rsidRDefault="006B5FEB" w:rsidP="006B5FEB">
      <w:pPr>
        <w:rPr>
          <w:rFonts w:cs="Arial"/>
          <w:b/>
          <w:i/>
          <w:sz w:val="24"/>
        </w:rPr>
      </w:pPr>
      <w:r w:rsidRPr="008512F3">
        <w:rPr>
          <w:rFonts w:cs="Arial"/>
          <w:b/>
          <w:i/>
          <w:sz w:val="24"/>
        </w:rPr>
        <w:t>Terms and Conditions</w:t>
      </w:r>
    </w:p>
    <w:p w14:paraId="393A0AA7" w14:textId="73F84FEC" w:rsidR="00521920" w:rsidRPr="008512F3" w:rsidRDefault="006B5FEB" w:rsidP="006B5FEB">
      <w:pPr>
        <w:ind w:left="360"/>
        <w:rPr>
          <w:rFonts w:cs="Arial"/>
          <w:sz w:val="24"/>
        </w:rPr>
      </w:pPr>
      <w:proofErr w:type="gramStart"/>
      <w:r w:rsidRPr="008512F3">
        <w:rPr>
          <w:rFonts w:cs="Arial"/>
          <w:sz w:val="24"/>
        </w:rPr>
        <w:t>This measure includes new commercial electric or gas griddles that are ENERGY STAR® qualified</w:t>
      </w:r>
      <w:r w:rsidRPr="008512F3">
        <w:rPr>
          <w:rFonts w:cs="Arial"/>
          <w:sz w:val="24"/>
          <w:vertAlign w:val="superscript"/>
        </w:rPr>
        <w:t xml:space="preserve"> </w:t>
      </w:r>
      <w:r w:rsidRPr="008512F3">
        <w:rPr>
          <w:rFonts w:cs="Arial"/>
          <w:sz w:val="24"/>
        </w:rPr>
        <w:t>or meet</w:t>
      </w:r>
      <w:proofErr w:type="gramEnd"/>
      <w:r w:rsidRPr="008512F3">
        <w:rPr>
          <w:rFonts w:cs="Arial"/>
          <w:sz w:val="24"/>
        </w:rPr>
        <w:t xml:space="preserve"> the qualifications listed in Table 1. ENERGY STAR® maintains an updated list of qualifying products and specifications at www.energystar.gov. Consult with the manufacturer or manufacturer’s representative to determine if </w:t>
      </w:r>
      <w:proofErr w:type="gramStart"/>
      <w:r w:rsidRPr="008512F3">
        <w:rPr>
          <w:rFonts w:cs="Arial"/>
          <w:sz w:val="24"/>
        </w:rPr>
        <w:t>a non</w:t>
      </w:r>
      <w:proofErr w:type="gramEnd"/>
      <w:r w:rsidRPr="008512F3">
        <w:rPr>
          <w:rFonts w:cs="Arial"/>
          <w:sz w:val="24"/>
        </w:rPr>
        <w:t xml:space="preserve">-ENERGY STAR® qualified model meets the efficiency requirements in Table 1.Used or rebuilt equipment is not eligible. Customers must provide proof that the appliance has a cooking-energy efficiency that meets the requirements. </w:t>
      </w:r>
      <w:r w:rsidR="00A32AE2" w:rsidRPr="008512F3">
        <w:rPr>
          <w:rFonts w:cs="Arial"/>
          <w:sz w:val="24"/>
        </w:rPr>
        <w:t xml:space="preserve">The rebate is </w:t>
      </w:r>
      <w:r w:rsidRPr="008512F3">
        <w:rPr>
          <w:rFonts w:cs="Arial"/>
          <w:sz w:val="24"/>
        </w:rPr>
        <w:t>downstream</w:t>
      </w:r>
      <w:r w:rsidR="00A32AE2" w:rsidRPr="008512F3">
        <w:rPr>
          <w:rFonts w:cs="Arial"/>
          <w:sz w:val="24"/>
        </w:rPr>
        <w:t xml:space="preserve"> provided to the </w:t>
      </w:r>
      <w:proofErr w:type="gramStart"/>
      <w:r w:rsidRPr="008512F3">
        <w:rPr>
          <w:rFonts w:cs="Arial"/>
          <w:sz w:val="24"/>
        </w:rPr>
        <w:t>customer</w:t>
      </w:r>
      <w:r w:rsidR="00A32AE2" w:rsidRPr="008512F3">
        <w:rPr>
          <w:rFonts w:cs="Arial"/>
          <w:sz w:val="24"/>
        </w:rPr>
        <w:t xml:space="preserve">  at</w:t>
      </w:r>
      <w:proofErr w:type="gramEnd"/>
      <w:r w:rsidR="00A32AE2" w:rsidRPr="008512F3">
        <w:rPr>
          <w:rFonts w:cs="Arial"/>
          <w:sz w:val="24"/>
        </w:rPr>
        <w:t xml:space="preserve"> the time of </w:t>
      </w:r>
      <w:r w:rsidRPr="008512F3">
        <w:rPr>
          <w:rFonts w:cs="Arial"/>
          <w:sz w:val="24"/>
        </w:rPr>
        <w:t xml:space="preserve">sale </w:t>
      </w:r>
      <w:r w:rsidR="00A32AE2" w:rsidRPr="008512F3">
        <w:rPr>
          <w:rFonts w:cs="Arial"/>
          <w:sz w:val="24"/>
        </w:rPr>
        <w:t xml:space="preserve">upon receipt of  </w:t>
      </w:r>
      <w:r w:rsidRPr="008512F3">
        <w:rPr>
          <w:rFonts w:cs="Arial"/>
          <w:sz w:val="24"/>
        </w:rPr>
        <w:t>application and invoice</w:t>
      </w:r>
      <w:r w:rsidR="00A32AE2" w:rsidRPr="008512F3">
        <w:rPr>
          <w:rFonts w:cs="Arial"/>
          <w:sz w:val="24"/>
        </w:rPr>
        <w:t xml:space="preserve">.  This </w:t>
      </w:r>
      <w:r w:rsidRPr="008512F3">
        <w:rPr>
          <w:rFonts w:cs="Arial"/>
          <w:sz w:val="24"/>
        </w:rPr>
        <w:t xml:space="preserve">is not </w:t>
      </w:r>
      <w:r w:rsidR="00A32AE2" w:rsidRPr="008512F3">
        <w:rPr>
          <w:rFonts w:cs="Arial"/>
          <w:sz w:val="24"/>
        </w:rPr>
        <w:t xml:space="preserve">a </w:t>
      </w:r>
      <w:proofErr w:type="gramStart"/>
      <w:r w:rsidR="00A32AE2" w:rsidRPr="008512F3">
        <w:rPr>
          <w:rFonts w:cs="Arial"/>
          <w:sz w:val="24"/>
        </w:rPr>
        <w:t>Direct</w:t>
      </w:r>
      <w:proofErr w:type="gramEnd"/>
      <w:r w:rsidR="00A32AE2" w:rsidRPr="008512F3">
        <w:rPr>
          <w:rFonts w:cs="Arial"/>
          <w:sz w:val="24"/>
        </w:rPr>
        <w:t xml:space="preserve"> install program.</w:t>
      </w:r>
    </w:p>
    <w:p w14:paraId="2956F4C7" w14:textId="77777777" w:rsidR="00D80069" w:rsidRPr="008512F3" w:rsidRDefault="00D80069" w:rsidP="006B5FEB">
      <w:pPr>
        <w:ind w:left="360"/>
        <w:rPr>
          <w:rFonts w:cs="Arial"/>
          <w:sz w:val="24"/>
        </w:rPr>
      </w:pPr>
    </w:p>
    <w:p w14:paraId="6B132FFC" w14:textId="77777777" w:rsidR="00D80069" w:rsidRPr="00D80069" w:rsidRDefault="00D80069" w:rsidP="00D80069">
      <w:pPr>
        <w:tabs>
          <w:tab w:val="center" w:pos="4320"/>
          <w:tab w:val="right" w:pos="8640"/>
        </w:tabs>
        <w:rPr>
          <w:rFonts w:cs="Arial"/>
          <w:b/>
          <w:bCs/>
        </w:rPr>
      </w:pPr>
      <w:r w:rsidRPr="00D80069">
        <w:rPr>
          <w:rFonts w:cs="Arial"/>
          <w:b/>
          <w:bCs/>
        </w:rPr>
        <w:fldChar w:fldCharType="begin"/>
      </w:r>
      <w:r w:rsidRPr="00D80069">
        <w:rPr>
          <w:rFonts w:cs="Arial"/>
          <w:b/>
          <w:bCs/>
        </w:rPr>
        <w:instrText xml:space="preserve"> TC /f “Table”</w:instrText>
      </w:r>
      <w:r w:rsidRPr="00D80069">
        <w:rPr>
          <w:rFonts w:cs="Arial"/>
          <w:b/>
          <w:bCs/>
        </w:rPr>
        <w:fldChar w:fldCharType="end"/>
      </w:r>
      <w:bookmarkStart w:id="41" w:name="_Toc253575449"/>
      <w:r w:rsidRPr="00D80069">
        <w:rPr>
          <w:rFonts w:cs="Arial"/>
          <w:b/>
          <w:bCs/>
        </w:rPr>
        <w:t>Table 1 Energy Efficiency Requirements for Commercial Griddles.</w:t>
      </w:r>
      <w:bookmarkEnd w:id="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2"/>
        <w:gridCol w:w="1634"/>
        <w:gridCol w:w="3105"/>
        <w:gridCol w:w="3105"/>
      </w:tblGrid>
      <w:tr w:rsidR="00D80069" w:rsidRPr="00D80069" w14:paraId="30D86A50" w14:textId="77777777" w:rsidTr="001A0E28">
        <w:trPr>
          <w:trHeight w:val="432"/>
        </w:trPr>
        <w:tc>
          <w:tcPr>
            <w:tcW w:w="904" w:type="pct"/>
            <w:vAlign w:val="center"/>
          </w:tcPr>
          <w:p w14:paraId="5A24BDF2" w14:textId="77777777" w:rsidR="00D80069" w:rsidRPr="00D80069" w:rsidRDefault="00D80069" w:rsidP="00D80069">
            <w:pPr>
              <w:rPr>
                <w:rFonts w:cs="Arial"/>
                <w:b/>
                <w:bCs/>
                <w:color w:val="000000"/>
                <w:sz w:val="20"/>
                <w:szCs w:val="20"/>
              </w:rPr>
            </w:pPr>
            <w:r w:rsidRPr="00D80069">
              <w:rPr>
                <w:rFonts w:cs="Arial"/>
                <w:b/>
                <w:bCs/>
                <w:color w:val="000000"/>
                <w:sz w:val="20"/>
                <w:szCs w:val="20"/>
              </w:rPr>
              <w:t>Measure Code</w:t>
            </w:r>
          </w:p>
        </w:tc>
        <w:tc>
          <w:tcPr>
            <w:tcW w:w="853" w:type="pct"/>
            <w:vAlign w:val="center"/>
          </w:tcPr>
          <w:p w14:paraId="4E97E03A" w14:textId="77777777" w:rsidR="00D80069" w:rsidRPr="00D80069" w:rsidRDefault="00D80069" w:rsidP="00D80069">
            <w:pPr>
              <w:rPr>
                <w:rFonts w:cs="Arial"/>
                <w:b/>
                <w:bCs/>
                <w:color w:val="000000"/>
                <w:sz w:val="20"/>
                <w:szCs w:val="20"/>
              </w:rPr>
            </w:pPr>
            <w:r w:rsidRPr="00D80069">
              <w:rPr>
                <w:rFonts w:cs="Arial"/>
                <w:b/>
                <w:bCs/>
                <w:color w:val="000000"/>
                <w:sz w:val="20"/>
                <w:szCs w:val="20"/>
              </w:rPr>
              <w:t>Griddle Type</w:t>
            </w:r>
          </w:p>
        </w:tc>
        <w:tc>
          <w:tcPr>
            <w:tcW w:w="1621" w:type="pct"/>
            <w:vAlign w:val="center"/>
          </w:tcPr>
          <w:p w14:paraId="3381FFD1" w14:textId="77777777" w:rsidR="00D80069" w:rsidRPr="00D80069" w:rsidRDefault="00D80069" w:rsidP="00D80069">
            <w:pPr>
              <w:rPr>
                <w:rFonts w:cs="Arial"/>
                <w:b/>
                <w:bCs/>
                <w:color w:val="000000"/>
                <w:sz w:val="20"/>
                <w:szCs w:val="20"/>
              </w:rPr>
            </w:pPr>
            <w:r w:rsidRPr="00D80069">
              <w:rPr>
                <w:rFonts w:cs="Arial"/>
                <w:b/>
                <w:bCs/>
                <w:color w:val="000000"/>
                <w:sz w:val="20"/>
                <w:szCs w:val="20"/>
              </w:rPr>
              <w:t>Cooking-Energy Efficiency*</w:t>
            </w:r>
          </w:p>
        </w:tc>
        <w:tc>
          <w:tcPr>
            <w:tcW w:w="1621" w:type="pct"/>
          </w:tcPr>
          <w:p w14:paraId="1D3FBA3D" w14:textId="77777777" w:rsidR="00D80069" w:rsidRPr="00D80069" w:rsidRDefault="00D80069" w:rsidP="00D80069">
            <w:pPr>
              <w:rPr>
                <w:rFonts w:cs="Arial"/>
                <w:b/>
                <w:bCs/>
                <w:color w:val="000000"/>
                <w:sz w:val="20"/>
                <w:szCs w:val="20"/>
              </w:rPr>
            </w:pPr>
            <w:r w:rsidRPr="00D80069">
              <w:rPr>
                <w:rFonts w:cs="Arial"/>
                <w:b/>
                <w:bCs/>
                <w:color w:val="000000"/>
                <w:sz w:val="20"/>
                <w:szCs w:val="20"/>
              </w:rPr>
              <w:t>Idle Energy Rate</w:t>
            </w:r>
          </w:p>
        </w:tc>
      </w:tr>
      <w:tr w:rsidR="00D80069" w:rsidRPr="00D80069" w14:paraId="1B38A2D9" w14:textId="77777777" w:rsidTr="001A0E28">
        <w:trPr>
          <w:trHeight w:val="288"/>
        </w:trPr>
        <w:tc>
          <w:tcPr>
            <w:tcW w:w="904" w:type="pct"/>
          </w:tcPr>
          <w:p w14:paraId="797342B8" w14:textId="76FDBAB7" w:rsidR="00D80069" w:rsidRPr="00D80069" w:rsidRDefault="00D80069" w:rsidP="00940B39">
            <w:pPr>
              <w:rPr>
                <w:rFonts w:cs="Arial"/>
                <w:color w:val="000000"/>
                <w:sz w:val="20"/>
                <w:szCs w:val="20"/>
              </w:rPr>
            </w:pPr>
            <w:r w:rsidRPr="00D80069">
              <w:rPr>
                <w:rFonts w:cs="Arial"/>
                <w:color w:val="000000"/>
                <w:sz w:val="20"/>
                <w:szCs w:val="20"/>
              </w:rPr>
              <w:t>F</w:t>
            </w:r>
            <w:r w:rsidR="00940B39">
              <w:rPr>
                <w:rFonts w:cs="Arial"/>
                <w:color w:val="000000"/>
                <w:sz w:val="20"/>
                <w:szCs w:val="20"/>
              </w:rPr>
              <w:t>S002</w:t>
            </w:r>
          </w:p>
        </w:tc>
        <w:tc>
          <w:tcPr>
            <w:tcW w:w="853" w:type="pct"/>
            <w:vAlign w:val="center"/>
          </w:tcPr>
          <w:p w14:paraId="55D38DDF" w14:textId="77777777" w:rsidR="00D80069" w:rsidRPr="00D80069" w:rsidRDefault="00D80069" w:rsidP="00D80069">
            <w:pPr>
              <w:rPr>
                <w:rFonts w:cs="Arial"/>
                <w:color w:val="000000"/>
                <w:sz w:val="20"/>
                <w:szCs w:val="20"/>
              </w:rPr>
            </w:pPr>
            <w:r w:rsidRPr="00D80069">
              <w:rPr>
                <w:rFonts w:cs="Arial"/>
                <w:color w:val="000000"/>
                <w:sz w:val="20"/>
                <w:szCs w:val="20"/>
              </w:rPr>
              <w:t>Electric Griddles</w:t>
            </w:r>
          </w:p>
        </w:tc>
        <w:tc>
          <w:tcPr>
            <w:tcW w:w="1621" w:type="pct"/>
            <w:vAlign w:val="center"/>
          </w:tcPr>
          <w:p w14:paraId="2FF675C3" w14:textId="77777777" w:rsidR="00D80069" w:rsidRPr="00D80069" w:rsidRDefault="00D80069" w:rsidP="00D80069">
            <w:pPr>
              <w:rPr>
                <w:rFonts w:cs="Arial"/>
                <w:color w:val="000000"/>
                <w:sz w:val="20"/>
                <w:szCs w:val="20"/>
              </w:rPr>
            </w:pPr>
            <w:r w:rsidRPr="00D80069">
              <w:rPr>
                <w:rFonts w:cs="Arial"/>
                <w:color w:val="000000"/>
                <w:sz w:val="20"/>
                <w:szCs w:val="20"/>
              </w:rPr>
              <w:t>≥ 70%</w:t>
            </w:r>
          </w:p>
        </w:tc>
        <w:tc>
          <w:tcPr>
            <w:tcW w:w="1621" w:type="pct"/>
          </w:tcPr>
          <w:p w14:paraId="1D1073D6" w14:textId="77777777" w:rsidR="00D80069" w:rsidRPr="00D80069" w:rsidRDefault="00D80069" w:rsidP="00D80069">
            <w:pPr>
              <w:rPr>
                <w:rFonts w:cs="Arial"/>
                <w:color w:val="000000"/>
                <w:sz w:val="20"/>
                <w:szCs w:val="20"/>
              </w:rPr>
            </w:pPr>
            <w:r w:rsidRPr="00D80069">
              <w:rPr>
                <w:rFonts w:cs="Arial"/>
                <w:sz w:val="24"/>
              </w:rPr>
              <w:t>≤ 355 watts per ft²</w:t>
            </w:r>
          </w:p>
        </w:tc>
      </w:tr>
      <w:tr w:rsidR="00D80069" w:rsidRPr="00D80069" w14:paraId="0661D299" w14:textId="77777777" w:rsidTr="001A0E28">
        <w:trPr>
          <w:trHeight w:val="288"/>
        </w:trPr>
        <w:tc>
          <w:tcPr>
            <w:tcW w:w="904" w:type="pct"/>
          </w:tcPr>
          <w:p w14:paraId="66CC2AF5" w14:textId="7B6D93AA" w:rsidR="00D80069" w:rsidRPr="00D80069" w:rsidRDefault="00D80069" w:rsidP="00940B39">
            <w:pPr>
              <w:rPr>
                <w:rFonts w:cs="Arial"/>
                <w:color w:val="000000"/>
                <w:sz w:val="20"/>
                <w:szCs w:val="20"/>
              </w:rPr>
            </w:pPr>
            <w:r w:rsidRPr="00D80069">
              <w:rPr>
                <w:rFonts w:cs="Arial"/>
                <w:color w:val="000000"/>
                <w:sz w:val="20"/>
                <w:szCs w:val="20"/>
              </w:rPr>
              <w:t>F</w:t>
            </w:r>
            <w:r w:rsidR="00940B39">
              <w:rPr>
                <w:rFonts w:cs="Arial"/>
                <w:color w:val="000000"/>
                <w:sz w:val="20"/>
                <w:szCs w:val="20"/>
              </w:rPr>
              <w:t>S003</w:t>
            </w:r>
          </w:p>
        </w:tc>
        <w:tc>
          <w:tcPr>
            <w:tcW w:w="853" w:type="pct"/>
            <w:vAlign w:val="center"/>
          </w:tcPr>
          <w:p w14:paraId="4198E7D3" w14:textId="77777777" w:rsidR="00D80069" w:rsidRPr="00D80069" w:rsidRDefault="00D80069" w:rsidP="00D80069">
            <w:pPr>
              <w:rPr>
                <w:rFonts w:cs="Arial"/>
                <w:color w:val="000000"/>
                <w:sz w:val="20"/>
                <w:szCs w:val="20"/>
              </w:rPr>
            </w:pPr>
            <w:r w:rsidRPr="00D80069">
              <w:rPr>
                <w:rFonts w:cs="Arial"/>
                <w:color w:val="000000"/>
                <w:sz w:val="20"/>
                <w:szCs w:val="20"/>
              </w:rPr>
              <w:t>Gas Griddles</w:t>
            </w:r>
          </w:p>
        </w:tc>
        <w:tc>
          <w:tcPr>
            <w:tcW w:w="1621" w:type="pct"/>
            <w:vAlign w:val="center"/>
          </w:tcPr>
          <w:p w14:paraId="220255EE" w14:textId="77777777" w:rsidR="00D80069" w:rsidRPr="00D80069" w:rsidRDefault="00D80069" w:rsidP="00D80069">
            <w:pPr>
              <w:rPr>
                <w:rFonts w:cs="Arial"/>
                <w:color w:val="000000"/>
                <w:sz w:val="20"/>
                <w:szCs w:val="20"/>
              </w:rPr>
            </w:pPr>
            <w:r w:rsidRPr="00D80069">
              <w:rPr>
                <w:rFonts w:cs="Arial"/>
                <w:color w:val="000000"/>
                <w:sz w:val="20"/>
                <w:szCs w:val="20"/>
              </w:rPr>
              <w:t>≥ 38%</w:t>
            </w:r>
          </w:p>
        </w:tc>
        <w:tc>
          <w:tcPr>
            <w:tcW w:w="1621" w:type="pct"/>
          </w:tcPr>
          <w:p w14:paraId="4EA761DA" w14:textId="77777777" w:rsidR="00D80069" w:rsidRPr="00D80069" w:rsidRDefault="00D80069" w:rsidP="00D80069">
            <w:pPr>
              <w:rPr>
                <w:rFonts w:cs="Arial"/>
                <w:color w:val="000000"/>
                <w:sz w:val="20"/>
                <w:szCs w:val="20"/>
              </w:rPr>
            </w:pPr>
            <w:r w:rsidRPr="00D80069">
              <w:rPr>
                <w:rFonts w:cs="Arial"/>
                <w:sz w:val="24"/>
              </w:rPr>
              <w:t>≤ 2,650 Btu/h per ft²</w:t>
            </w:r>
          </w:p>
        </w:tc>
      </w:tr>
    </w:tbl>
    <w:p w14:paraId="71D8E85C" w14:textId="77777777" w:rsidR="00D80069" w:rsidRPr="00D80069" w:rsidRDefault="00D80069" w:rsidP="00D80069">
      <w:pPr>
        <w:rPr>
          <w:rFonts w:cs="Arial"/>
          <w:sz w:val="18"/>
        </w:rPr>
      </w:pPr>
      <w:r w:rsidRPr="00D80069">
        <w:rPr>
          <w:rFonts w:cs="Arial"/>
          <w:sz w:val="18"/>
        </w:rPr>
        <w:t>*Based on the heavy-load test in ASTM F1275.</w:t>
      </w:r>
      <w:r w:rsidRPr="00D80069">
        <w:rPr>
          <w:rFonts w:cs="Arial"/>
          <w:sz w:val="18"/>
          <w:szCs w:val="18"/>
        </w:rPr>
        <w:fldChar w:fldCharType="begin"/>
      </w:r>
      <w:r w:rsidRPr="00D80069">
        <w:rPr>
          <w:rFonts w:cs="Arial"/>
          <w:sz w:val="18"/>
          <w:szCs w:val="18"/>
        </w:rPr>
        <w:instrText xml:space="preserve"> REF _Ref182113002 \r \h  \* MERGEFORMAT </w:instrText>
      </w:r>
      <w:r w:rsidRPr="00D80069">
        <w:rPr>
          <w:rFonts w:cs="Arial"/>
          <w:sz w:val="18"/>
          <w:szCs w:val="18"/>
        </w:rPr>
      </w:r>
      <w:r w:rsidRPr="00D80069">
        <w:rPr>
          <w:rFonts w:cs="Arial"/>
          <w:sz w:val="18"/>
          <w:szCs w:val="18"/>
        </w:rPr>
        <w:fldChar w:fldCharType="separate"/>
      </w:r>
      <w:r w:rsidR="00CD1471" w:rsidRPr="00CD1471">
        <w:rPr>
          <w:rFonts w:cs="Arial"/>
          <w:sz w:val="18"/>
          <w:vertAlign w:val="superscript"/>
        </w:rPr>
        <w:t>1</w:t>
      </w:r>
      <w:r w:rsidRPr="00D80069">
        <w:rPr>
          <w:rFonts w:cs="Arial"/>
          <w:sz w:val="18"/>
          <w:szCs w:val="18"/>
        </w:rPr>
        <w:fldChar w:fldCharType="end"/>
      </w:r>
    </w:p>
    <w:p w14:paraId="6F91DCF9" w14:textId="77777777" w:rsidR="00D80069" w:rsidRPr="008512F3" w:rsidRDefault="00D80069" w:rsidP="006B5FEB">
      <w:pPr>
        <w:ind w:left="360"/>
        <w:rPr>
          <w:rFonts w:cs="Arial"/>
          <w:sz w:val="24"/>
        </w:rPr>
      </w:pPr>
    </w:p>
    <w:p w14:paraId="49D72847" w14:textId="77777777" w:rsidR="00D80069" w:rsidRPr="008512F3" w:rsidRDefault="00D80069" w:rsidP="006B5FEB">
      <w:pPr>
        <w:ind w:left="360"/>
        <w:rPr>
          <w:rFonts w:cs="Arial"/>
          <w:b/>
          <w:i/>
          <w:sz w:val="24"/>
        </w:rPr>
      </w:pPr>
    </w:p>
    <w:p w14:paraId="393A0AA8" w14:textId="77777777" w:rsidR="003E7422" w:rsidRPr="008512F3" w:rsidRDefault="003E7422" w:rsidP="00480BAD">
      <w:pPr>
        <w:ind w:left="360"/>
        <w:rPr>
          <w:rFonts w:cs="Arial"/>
          <w:b/>
          <w:i/>
          <w:sz w:val="20"/>
          <w:szCs w:val="20"/>
        </w:rPr>
      </w:pPr>
    </w:p>
    <w:p w14:paraId="0EC937B8" w14:textId="77777777" w:rsidR="008512F3" w:rsidRDefault="008512F3" w:rsidP="006B5FEB">
      <w:pPr>
        <w:rPr>
          <w:rFonts w:cs="Arial"/>
          <w:b/>
          <w:i/>
          <w:sz w:val="20"/>
          <w:szCs w:val="20"/>
        </w:rPr>
      </w:pPr>
    </w:p>
    <w:p w14:paraId="1461CF2F" w14:textId="77777777" w:rsidR="006B5FEB" w:rsidRPr="008512F3" w:rsidRDefault="006B5FEB" w:rsidP="006B5FEB">
      <w:pPr>
        <w:rPr>
          <w:rFonts w:cs="Arial"/>
          <w:b/>
          <w:i/>
          <w:sz w:val="24"/>
        </w:rPr>
      </w:pPr>
      <w:r w:rsidRPr="008512F3">
        <w:rPr>
          <w:rFonts w:cs="Arial"/>
          <w:b/>
          <w:i/>
          <w:sz w:val="24"/>
        </w:rPr>
        <w:lastRenderedPageBreak/>
        <w:t xml:space="preserve">Market Applicability </w:t>
      </w:r>
    </w:p>
    <w:p w14:paraId="33497175" w14:textId="48A4419E" w:rsidR="00503A6A" w:rsidRPr="008512F3" w:rsidRDefault="006B5FEB" w:rsidP="006B5FEB">
      <w:pPr>
        <w:autoSpaceDE w:val="0"/>
        <w:autoSpaceDN w:val="0"/>
        <w:adjustRightInd w:val="0"/>
        <w:rPr>
          <w:rFonts w:eastAsiaTheme="minorHAnsi" w:cs="Arial"/>
          <w:sz w:val="20"/>
          <w:szCs w:val="20"/>
        </w:rPr>
      </w:pPr>
      <w:r w:rsidRPr="008512F3">
        <w:rPr>
          <w:rFonts w:cs="Arial"/>
          <w:sz w:val="24"/>
        </w:rPr>
        <w:t>This measure is applicable to any commercial cooking application, including (but not limited to) casual dining and quick service restaurants, hotels, motels, schools, colleges and recreational facilities.</w:t>
      </w:r>
    </w:p>
    <w:p w14:paraId="357E9E5F" w14:textId="77777777" w:rsidR="00503A6A" w:rsidRDefault="00503A6A" w:rsidP="00A32AE2">
      <w:pPr>
        <w:ind w:left="360"/>
        <w:rPr>
          <w:rFonts w:cs="Arial"/>
          <w:b/>
          <w:i/>
          <w:sz w:val="20"/>
          <w:szCs w:val="20"/>
          <w:highlight w:val="cyan"/>
        </w:rPr>
      </w:pPr>
    </w:p>
    <w:p w14:paraId="393A0AAC" w14:textId="77777777" w:rsidR="00521920" w:rsidRDefault="00806070" w:rsidP="004B3924">
      <w:pPr>
        <w:pStyle w:val="Heading2"/>
      </w:pPr>
      <w:bookmarkStart w:id="42" w:name="_Toc385935856"/>
      <w:r w:rsidRPr="008512F3">
        <w:t xml:space="preserve">1.2 Product </w:t>
      </w:r>
      <w:r w:rsidR="00521920" w:rsidRPr="008512F3">
        <w:t>Technical Description</w:t>
      </w:r>
      <w:bookmarkEnd w:id="42"/>
    </w:p>
    <w:p w14:paraId="209E6E9F" w14:textId="77777777" w:rsidR="008512F3" w:rsidRPr="008512F3" w:rsidRDefault="008512F3" w:rsidP="008512F3"/>
    <w:p w14:paraId="74C0C279" w14:textId="77777777" w:rsidR="00CE5839" w:rsidRPr="008512F3" w:rsidRDefault="00CE5839" w:rsidP="00CE5839">
      <w:pPr>
        <w:rPr>
          <w:rFonts w:cs="Arial"/>
          <w:sz w:val="24"/>
        </w:rPr>
      </w:pPr>
      <w:r w:rsidRPr="008512F3">
        <w:rPr>
          <w:rFonts w:cs="Arial"/>
          <w:sz w:val="24"/>
        </w:rPr>
        <w:t xml:space="preserve">Commercial griddles are used throughout the hospitality industry, typically occupying a central position on the short order line. Its versatility ranges from crisping and browning, to searing, and to warming or toasting. For a high production kitchen, the temperature uniformity of the griddle surface is important to assure that the food is evenly cooked. Recent advances in griddle design have produced equipment that exhibits greater uniformity, are better controlled, and provide higher production rates. Energy-efficient commercial electric griddles reduce energy consumption primarily through application of advanced controls and improved temperature uniformity. Energy efficient commercial gas griddles reduce energy consumption primarily through advanced burner design and controls. This measure is focused on electric and gas “flat” (single sided) griddles. Griddle performance is determined by applying the ASTM Standard Test Method for the Performance of Griddles (F1275) </w:t>
      </w:r>
      <w:r w:rsidRPr="008512F3">
        <w:rPr>
          <w:rFonts w:cs="Arial"/>
          <w:sz w:val="24"/>
        </w:rPr>
        <w:fldChar w:fldCharType="begin"/>
      </w:r>
      <w:r w:rsidRPr="008512F3">
        <w:rPr>
          <w:rFonts w:cs="Arial"/>
          <w:sz w:val="24"/>
        </w:rPr>
        <w:instrText xml:space="preserve"> REF _Ref182109263 \w \h  \* MERGEFORMAT </w:instrText>
      </w:r>
      <w:r w:rsidRPr="008512F3">
        <w:rPr>
          <w:rFonts w:cs="Arial"/>
          <w:sz w:val="24"/>
        </w:rPr>
      </w:r>
      <w:r w:rsidRPr="008512F3">
        <w:rPr>
          <w:rFonts w:cs="Arial"/>
          <w:sz w:val="24"/>
        </w:rPr>
        <w:fldChar w:fldCharType="separate"/>
      </w:r>
      <w:r w:rsidR="00CD1471" w:rsidRPr="00CD1471">
        <w:rPr>
          <w:rFonts w:cs="Arial"/>
          <w:sz w:val="24"/>
          <w:vertAlign w:val="superscript"/>
        </w:rPr>
        <w:t>1</w:t>
      </w:r>
      <w:r w:rsidRPr="008512F3">
        <w:rPr>
          <w:rFonts w:cs="Arial"/>
          <w:sz w:val="24"/>
        </w:rPr>
        <w:fldChar w:fldCharType="end"/>
      </w:r>
      <w:r w:rsidRPr="008512F3">
        <w:rPr>
          <w:rFonts w:cs="Arial"/>
          <w:sz w:val="24"/>
        </w:rPr>
        <w:t>.  The ASTM standard test method is considered to be the industry standard for quantifying the efficiency and performance of griddles.</w:t>
      </w:r>
    </w:p>
    <w:p w14:paraId="393A0AAD" w14:textId="592ED57B" w:rsidR="00872913" w:rsidRPr="008512F3" w:rsidRDefault="00872913" w:rsidP="00872913">
      <w:pPr>
        <w:rPr>
          <w:rFonts w:cs="Arial"/>
          <w:b/>
          <w:i/>
          <w:sz w:val="20"/>
          <w:szCs w:val="20"/>
        </w:rPr>
      </w:pPr>
    </w:p>
    <w:p w14:paraId="393A0AAE" w14:textId="77777777" w:rsidR="009C5CA7" w:rsidRPr="008512F3" w:rsidRDefault="009C5CA7" w:rsidP="009C5CA7">
      <w:pPr>
        <w:pStyle w:val="Heading2"/>
        <w:keepNext w:val="0"/>
      </w:pPr>
      <w:bookmarkStart w:id="43" w:name="_Toc304800203"/>
      <w:bookmarkStart w:id="44" w:name="_Toc324318339"/>
      <w:bookmarkStart w:id="45" w:name="_Toc324340483"/>
      <w:bookmarkStart w:id="46" w:name="_Toc385935857"/>
      <w:r w:rsidRPr="008512F3">
        <w:t>1.</w:t>
      </w:r>
      <w:r w:rsidR="00806070" w:rsidRPr="008512F3">
        <w:t>3</w:t>
      </w:r>
      <w:r w:rsidRPr="008512F3">
        <w:t xml:space="preserve"> </w:t>
      </w:r>
      <w:r w:rsidR="002E6162" w:rsidRPr="008512F3">
        <w:t xml:space="preserve">Measure Application </w:t>
      </w:r>
      <w:bookmarkEnd w:id="43"/>
      <w:r w:rsidR="002E6162" w:rsidRPr="008512F3">
        <w:t>Type</w:t>
      </w:r>
      <w:bookmarkEnd w:id="44"/>
      <w:bookmarkEnd w:id="45"/>
      <w:bookmarkEnd w:id="46"/>
      <w:r w:rsidR="00FA595F" w:rsidRPr="008512F3">
        <w:t xml:space="preserve"> </w:t>
      </w:r>
    </w:p>
    <w:p w14:paraId="393A0AAF" w14:textId="482E247E" w:rsidR="00784500" w:rsidRPr="008512F3" w:rsidRDefault="00784500" w:rsidP="009C5CA7">
      <w:pPr>
        <w:rPr>
          <w:rFonts w:cs="Arial"/>
          <w:i/>
          <w:sz w:val="24"/>
        </w:rPr>
      </w:pPr>
    </w:p>
    <w:p w14:paraId="393A0AB0" w14:textId="77777777" w:rsidR="00784500" w:rsidRPr="008512F3" w:rsidRDefault="00784500" w:rsidP="009C5CA7">
      <w:pPr>
        <w:rPr>
          <w:rFonts w:cs="Arial"/>
          <w:sz w:val="24"/>
        </w:rPr>
      </w:pPr>
    </w:p>
    <w:p w14:paraId="393A0AB1" w14:textId="363A0396" w:rsidR="009C5CA7" w:rsidRPr="008512F3" w:rsidRDefault="009C5CA7" w:rsidP="009C5CA7">
      <w:pPr>
        <w:rPr>
          <w:rFonts w:cs="Arial"/>
          <w:sz w:val="24"/>
        </w:rPr>
      </w:pPr>
      <w:r w:rsidRPr="008512F3">
        <w:rPr>
          <w:rFonts w:cs="Arial"/>
          <w:sz w:val="24"/>
        </w:rPr>
        <w:t>The DEER Measure Cost Data Users Guide</w:t>
      </w:r>
      <w:r w:rsidR="00AF1807" w:rsidRPr="008512F3">
        <w:rPr>
          <w:rFonts w:cs="Arial"/>
          <w:sz w:val="24"/>
        </w:rPr>
        <w:t xml:space="preserve"> </w:t>
      </w:r>
      <w:r w:rsidR="007B2E26" w:rsidRPr="008512F3">
        <w:rPr>
          <w:rFonts w:cs="Arial"/>
          <w:sz w:val="24"/>
        </w:rPr>
        <w:t xml:space="preserve">found on </w:t>
      </w:r>
      <w:hyperlink r:id="rId25" w:history="1">
        <w:r w:rsidR="007B2E26" w:rsidRPr="008512F3">
          <w:rPr>
            <w:rStyle w:val="Hyperlink"/>
            <w:rFonts w:cs="Arial"/>
            <w:sz w:val="24"/>
          </w:rPr>
          <w:t>www.deeresources.com</w:t>
        </w:r>
      </w:hyperlink>
      <w:r w:rsidR="007B2E26" w:rsidRPr="008512F3">
        <w:rPr>
          <w:rFonts w:cs="Arial"/>
          <w:sz w:val="24"/>
        </w:rPr>
        <w:t xml:space="preserve"> under</w:t>
      </w:r>
      <w:r w:rsidR="003541A6" w:rsidRPr="008512F3">
        <w:rPr>
          <w:rFonts w:cs="Arial"/>
          <w:sz w:val="24"/>
        </w:rPr>
        <w:t xml:space="preserve"> </w:t>
      </w:r>
      <w:r w:rsidR="007B2E26" w:rsidRPr="008512F3">
        <w:rPr>
          <w:rFonts w:cs="Arial"/>
          <w:i/>
          <w:sz w:val="24"/>
        </w:rPr>
        <w:t>DEER201</w:t>
      </w:r>
      <w:r w:rsidR="002B4002" w:rsidRPr="008512F3">
        <w:rPr>
          <w:rFonts w:cs="Arial"/>
          <w:i/>
          <w:sz w:val="24"/>
        </w:rPr>
        <w:t>4</w:t>
      </w:r>
      <w:r w:rsidR="007B2E26" w:rsidRPr="008512F3">
        <w:rPr>
          <w:rFonts w:cs="Arial"/>
          <w:i/>
          <w:sz w:val="24"/>
        </w:rPr>
        <w:t xml:space="preserve"> Database Format</w:t>
      </w:r>
      <w:r w:rsidR="007B2E26" w:rsidRPr="008512F3">
        <w:rPr>
          <w:rFonts w:cs="Arial"/>
          <w:sz w:val="24"/>
        </w:rPr>
        <w:t xml:space="preserve"> hyperlink, </w:t>
      </w:r>
      <w:r w:rsidR="007B2E26" w:rsidRPr="008512F3">
        <w:rPr>
          <w:rStyle w:val="breadcrumbs"/>
          <w:rFonts w:cs="Arial"/>
          <w:color w:val="333333"/>
          <w:sz w:val="24"/>
          <w:lang w:val="en-GB"/>
        </w:rPr>
        <w:t>DEER201</w:t>
      </w:r>
      <w:r w:rsidR="002B4002" w:rsidRPr="008512F3">
        <w:rPr>
          <w:rStyle w:val="breadcrumbs"/>
          <w:rFonts w:cs="Arial"/>
          <w:color w:val="333333"/>
          <w:sz w:val="24"/>
          <w:lang w:val="en-GB"/>
        </w:rPr>
        <w:t>4,</w:t>
      </w:r>
      <w:r w:rsidRPr="008512F3">
        <w:rPr>
          <w:rFonts w:cs="Arial"/>
          <w:sz w:val="24"/>
        </w:rPr>
        <w:t xml:space="preserve"> </w:t>
      </w:r>
      <w:r w:rsidR="007B2E26" w:rsidRPr="008512F3">
        <w:rPr>
          <w:rFonts w:cs="Arial"/>
          <w:sz w:val="24"/>
        </w:rPr>
        <w:t xml:space="preserve">spreadsheet </w:t>
      </w:r>
      <w:r w:rsidR="007B2E26" w:rsidRPr="008512F3">
        <w:rPr>
          <w:rFonts w:cs="Arial"/>
          <w:i/>
          <w:sz w:val="24"/>
        </w:rPr>
        <w:t>SPTdata_format-V0.97.xls</w:t>
      </w:r>
      <w:r w:rsidRPr="008512F3">
        <w:rPr>
          <w:rFonts w:cs="Arial"/>
          <w:sz w:val="24"/>
        </w:rPr>
        <w:t>, defines the terms as follows:</w:t>
      </w:r>
    </w:p>
    <w:p w14:paraId="393A0AB2" w14:textId="77777777" w:rsidR="009C5CA7" w:rsidRPr="008512F3" w:rsidRDefault="009C5CA7" w:rsidP="009C5CA7">
      <w:pPr>
        <w:rPr>
          <w:rFonts w:cs="Arial"/>
          <w:i/>
        </w:rPr>
      </w:pPr>
    </w:p>
    <w:p w14:paraId="393A0AB3" w14:textId="0DB878F0" w:rsidR="00BD02D0" w:rsidRPr="008512F3" w:rsidRDefault="00BD02D0" w:rsidP="00BD02D0">
      <w:pPr>
        <w:pStyle w:val="Caption"/>
        <w:keepNext/>
        <w:rPr>
          <w:rFonts w:cs="Arial"/>
          <w:sz w:val="24"/>
          <w:szCs w:val="24"/>
        </w:rPr>
      </w:pPr>
      <w:bookmarkStart w:id="47" w:name="_Toc324427642"/>
      <w:r w:rsidRPr="008512F3">
        <w:rPr>
          <w:rFonts w:cs="Arial"/>
          <w:sz w:val="24"/>
          <w:szCs w:val="24"/>
        </w:rPr>
        <w:t xml:space="preserve">Table </w:t>
      </w:r>
      <w:bookmarkStart w:id="48" w:name="RANGE!B222"/>
      <w:r w:rsidR="00D80069" w:rsidRPr="008512F3">
        <w:rPr>
          <w:rFonts w:cs="Arial"/>
          <w:sz w:val="24"/>
          <w:szCs w:val="24"/>
        </w:rPr>
        <w:t>2</w:t>
      </w:r>
      <w:r w:rsidRPr="008512F3">
        <w:rPr>
          <w:rFonts w:cs="Arial"/>
          <w:sz w:val="24"/>
          <w:szCs w:val="24"/>
        </w:rPr>
        <w:t xml:space="preserve"> Measure</w:t>
      </w:r>
      <w:r w:rsidR="003541A6" w:rsidRPr="008512F3">
        <w:rPr>
          <w:rFonts w:cs="Arial"/>
          <w:sz w:val="24"/>
          <w:szCs w:val="24"/>
        </w:rPr>
        <w:t xml:space="preserve"> </w:t>
      </w:r>
      <w:r w:rsidRPr="008512F3">
        <w:rPr>
          <w:rFonts w:cs="Arial"/>
          <w:sz w:val="24"/>
          <w:szCs w:val="24"/>
        </w:rPr>
        <w:t>Application</w:t>
      </w:r>
      <w:r w:rsidR="003541A6" w:rsidRPr="008512F3">
        <w:rPr>
          <w:rFonts w:cs="Arial"/>
          <w:sz w:val="24"/>
          <w:szCs w:val="24"/>
        </w:rPr>
        <w:t xml:space="preserve"> </w:t>
      </w:r>
      <w:r w:rsidRPr="008512F3">
        <w:rPr>
          <w:rFonts w:cs="Arial"/>
          <w:sz w:val="24"/>
          <w:szCs w:val="24"/>
        </w:rPr>
        <w:t>Type</w:t>
      </w:r>
      <w:bookmarkEnd w:id="47"/>
      <w:bookmarkEnd w:id="48"/>
      <w:r w:rsidR="00C87539" w:rsidRPr="008512F3">
        <w:rPr>
          <w:rStyle w:val="EndnoteReference"/>
          <w:rFonts w:cs="Arial"/>
          <w:sz w:val="24"/>
          <w:szCs w:val="24"/>
        </w:rPr>
        <w:endnoteReference w:id="1"/>
      </w:r>
    </w:p>
    <w:p w14:paraId="393A0AB4" w14:textId="3A9BBF26" w:rsidR="00BD02D0" w:rsidRPr="008512F3" w:rsidRDefault="00BD02D0" w:rsidP="00BD02D0">
      <w:pPr>
        <w:keepNext/>
        <w:rPr>
          <w:rFonts w:cs="Arial"/>
        </w:rPr>
      </w:pPr>
      <w:proofErr w:type="gramStart"/>
      <w:r w:rsidRPr="008512F3">
        <w:rPr>
          <w:rFonts w:cs="Arial"/>
          <w:i/>
          <w:iCs/>
          <w:szCs w:val="22"/>
        </w:rPr>
        <w:t>Identifies the measure application type in the Measure Implemen</w:t>
      </w:r>
      <w:r w:rsidR="00D80069" w:rsidRPr="008512F3">
        <w:rPr>
          <w:rFonts w:cs="Arial"/>
          <w:i/>
          <w:iCs/>
          <w:szCs w:val="22"/>
        </w:rPr>
        <w:t>t</w:t>
      </w:r>
      <w:r w:rsidRPr="008512F3">
        <w:rPr>
          <w:rFonts w:cs="Arial"/>
          <w:i/>
          <w:iCs/>
          <w:szCs w:val="22"/>
        </w:rPr>
        <w:t>ation table</w:t>
      </w:r>
      <w:r w:rsidR="003541A6" w:rsidRPr="008512F3">
        <w:rPr>
          <w:rFonts w:cs="Arial"/>
          <w:i/>
          <w:iCs/>
          <w:szCs w:val="22"/>
        </w:rPr>
        <w:t xml:space="preserve"> in DEER201</w:t>
      </w:r>
      <w:r w:rsidR="008512F3">
        <w:rPr>
          <w:rFonts w:cs="Arial"/>
          <w:i/>
          <w:iCs/>
          <w:szCs w:val="22"/>
        </w:rPr>
        <w:t>4</w:t>
      </w:r>
      <w:r w:rsidR="003541A6" w:rsidRPr="008512F3">
        <w:rPr>
          <w:rFonts w:cs="Arial"/>
          <w:i/>
          <w:iCs/>
          <w:szCs w:val="22"/>
        </w:rPr>
        <w:t>.</w:t>
      </w:r>
      <w:proofErr w:type="gramEnd"/>
    </w:p>
    <w:tbl>
      <w:tblPr>
        <w:tblW w:w="9090" w:type="dxa"/>
        <w:tblInd w:w="108" w:type="dxa"/>
        <w:tblLook w:val="04A0" w:firstRow="1" w:lastRow="0" w:firstColumn="1" w:lastColumn="0" w:noHBand="0" w:noVBand="1"/>
      </w:tblPr>
      <w:tblGrid>
        <w:gridCol w:w="900"/>
        <w:gridCol w:w="2610"/>
        <w:gridCol w:w="5580"/>
      </w:tblGrid>
      <w:tr w:rsidR="00DC4019" w:rsidRPr="008512F3" w14:paraId="393A0AB8" w14:textId="77777777" w:rsidTr="003541A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393A0AB5" w14:textId="77777777" w:rsidR="00544873" w:rsidRPr="008512F3" w:rsidRDefault="00544873" w:rsidP="00BD02D0">
            <w:pPr>
              <w:keepNext/>
              <w:rPr>
                <w:rFonts w:cs="Arial"/>
                <w:b/>
                <w:color w:val="000000"/>
                <w:szCs w:val="22"/>
              </w:rPr>
            </w:pPr>
            <w:r w:rsidRPr="008512F3">
              <w:rPr>
                <w:rFonts w:cs="Arial"/>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393A0AB6" w14:textId="77777777" w:rsidR="00544873" w:rsidRPr="008512F3" w:rsidRDefault="00544873" w:rsidP="00BD02D0">
            <w:pPr>
              <w:keepNext/>
              <w:rPr>
                <w:rFonts w:cs="Arial"/>
                <w:b/>
                <w:color w:val="000000"/>
                <w:szCs w:val="22"/>
              </w:rPr>
            </w:pPr>
            <w:r w:rsidRPr="008512F3">
              <w:rPr>
                <w:rFonts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393A0AB7" w14:textId="77777777" w:rsidR="00544873" w:rsidRPr="008512F3" w:rsidRDefault="00544873" w:rsidP="00BD02D0">
            <w:pPr>
              <w:keepNext/>
              <w:rPr>
                <w:rFonts w:cs="Arial"/>
                <w:b/>
                <w:color w:val="000000"/>
                <w:szCs w:val="22"/>
              </w:rPr>
            </w:pPr>
            <w:r w:rsidRPr="008512F3">
              <w:rPr>
                <w:rFonts w:cs="Arial"/>
                <w:b/>
                <w:color w:val="000000"/>
                <w:szCs w:val="22"/>
              </w:rPr>
              <w:t>Comment</w:t>
            </w:r>
          </w:p>
        </w:tc>
      </w:tr>
      <w:tr w:rsidR="00BD02D0" w:rsidRPr="008512F3" w14:paraId="393A0ABC"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9" w14:textId="77777777" w:rsidR="00544873" w:rsidRPr="008512F3" w:rsidRDefault="00544873" w:rsidP="00BD02D0">
            <w:pPr>
              <w:keepNext/>
              <w:rPr>
                <w:rFonts w:cs="Arial"/>
                <w:szCs w:val="22"/>
              </w:rPr>
            </w:pPr>
            <w:r w:rsidRPr="008512F3">
              <w:rPr>
                <w:rFonts w:cs="Arial"/>
                <w:szCs w:val="22"/>
              </w:rPr>
              <w:t>ER</w:t>
            </w:r>
          </w:p>
        </w:tc>
        <w:tc>
          <w:tcPr>
            <w:tcW w:w="2610" w:type="dxa"/>
            <w:tcBorders>
              <w:top w:val="nil"/>
              <w:left w:val="nil"/>
              <w:bottom w:val="nil"/>
              <w:right w:val="nil"/>
            </w:tcBorders>
            <w:shd w:val="clear" w:color="auto" w:fill="auto"/>
            <w:noWrap/>
            <w:vAlign w:val="center"/>
            <w:hideMark/>
          </w:tcPr>
          <w:p w14:paraId="393A0ABA" w14:textId="77777777" w:rsidR="00544873" w:rsidRPr="008512F3" w:rsidRDefault="00544873" w:rsidP="00BD02D0">
            <w:pPr>
              <w:keepNext/>
              <w:rPr>
                <w:rFonts w:cs="Arial"/>
                <w:szCs w:val="22"/>
              </w:rPr>
            </w:pPr>
            <w:r w:rsidRPr="008512F3">
              <w:rPr>
                <w:rFonts w:cs="Arial"/>
                <w:szCs w:val="22"/>
              </w:rPr>
              <w:t>Early retirement</w:t>
            </w:r>
          </w:p>
        </w:tc>
        <w:tc>
          <w:tcPr>
            <w:tcW w:w="5580" w:type="dxa"/>
            <w:tcBorders>
              <w:top w:val="nil"/>
              <w:left w:val="nil"/>
              <w:bottom w:val="nil"/>
              <w:right w:val="single" w:sz="4" w:space="0" w:color="auto"/>
            </w:tcBorders>
            <w:shd w:val="clear" w:color="auto" w:fill="auto"/>
            <w:vAlign w:val="center"/>
            <w:hideMark/>
          </w:tcPr>
          <w:p w14:paraId="393A0ABB" w14:textId="77777777" w:rsidR="00544873" w:rsidRPr="008512F3" w:rsidRDefault="00544873" w:rsidP="00BD02D0">
            <w:pPr>
              <w:keepNext/>
              <w:rPr>
                <w:rFonts w:cs="Arial"/>
                <w:i/>
                <w:iCs/>
                <w:szCs w:val="22"/>
              </w:rPr>
            </w:pPr>
            <w:r w:rsidRPr="008512F3">
              <w:rPr>
                <w:rFonts w:cs="Arial"/>
                <w:i/>
                <w:iCs/>
                <w:szCs w:val="22"/>
              </w:rPr>
              <w:t>measure applied while existing equipment still viable, or retrofit of existing equipment</w:t>
            </w:r>
          </w:p>
        </w:tc>
      </w:tr>
      <w:tr w:rsidR="00BD02D0" w:rsidRPr="008512F3" w14:paraId="393A0AC0"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D" w14:textId="77777777" w:rsidR="00544873" w:rsidRPr="008512F3" w:rsidRDefault="00544873" w:rsidP="00BD02D0">
            <w:pPr>
              <w:keepNext/>
              <w:rPr>
                <w:rFonts w:cs="Arial"/>
                <w:szCs w:val="22"/>
              </w:rPr>
            </w:pPr>
            <w:r w:rsidRPr="008512F3">
              <w:rPr>
                <w:rFonts w:cs="Arial"/>
                <w:szCs w:val="22"/>
              </w:rPr>
              <w:t>ROB</w:t>
            </w:r>
          </w:p>
        </w:tc>
        <w:tc>
          <w:tcPr>
            <w:tcW w:w="2610" w:type="dxa"/>
            <w:tcBorders>
              <w:top w:val="nil"/>
              <w:left w:val="nil"/>
              <w:bottom w:val="nil"/>
              <w:right w:val="nil"/>
            </w:tcBorders>
            <w:shd w:val="clear" w:color="auto" w:fill="auto"/>
            <w:noWrap/>
            <w:vAlign w:val="center"/>
            <w:hideMark/>
          </w:tcPr>
          <w:p w14:paraId="393A0ABE" w14:textId="77777777" w:rsidR="00544873" w:rsidRPr="008512F3" w:rsidRDefault="00544873" w:rsidP="00BD02D0">
            <w:pPr>
              <w:keepNext/>
              <w:rPr>
                <w:rFonts w:cs="Arial"/>
                <w:szCs w:val="22"/>
              </w:rPr>
            </w:pPr>
            <w:r w:rsidRPr="008512F3">
              <w:rPr>
                <w:rFonts w:cs="Arial"/>
                <w:szCs w:val="22"/>
              </w:rPr>
              <w:t>Replace on Burnout</w:t>
            </w:r>
          </w:p>
        </w:tc>
        <w:tc>
          <w:tcPr>
            <w:tcW w:w="5580" w:type="dxa"/>
            <w:tcBorders>
              <w:top w:val="nil"/>
              <w:left w:val="nil"/>
              <w:bottom w:val="nil"/>
              <w:right w:val="single" w:sz="4" w:space="0" w:color="auto"/>
            </w:tcBorders>
            <w:shd w:val="clear" w:color="auto" w:fill="auto"/>
            <w:vAlign w:val="center"/>
            <w:hideMark/>
          </w:tcPr>
          <w:p w14:paraId="393A0ABF" w14:textId="77777777" w:rsidR="00544873" w:rsidRPr="008512F3" w:rsidRDefault="00544873" w:rsidP="00BD02D0">
            <w:pPr>
              <w:keepNext/>
              <w:rPr>
                <w:rFonts w:cs="Arial"/>
                <w:i/>
                <w:iCs/>
                <w:szCs w:val="22"/>
              </w:rPr>
            </w:pPr>
            <w:r w:rsidRPr="008512F3">
              <w:rPr>
                <w:rFonts w:cs="Arial"/>
                <w:i/>
                <w:iCs/>
                <w:szCs w:val="22"/>
              </w:rPr>
              <w:t>measure applied when existing equipment fails or maintenance requires replacement</w:t>
            </w:r>
          </w:p>
        </w:tc>
      </w:tr>
      <w:tr w:rsidR="00BD02D0" w:rsidRPr="008512F3" w14:paraId="393A0AC4" w14:textId="77777777" w:rsidTr="003541A6">
        <w:trPr>
          <w:trHeight w:val="600"/>
        </w:trPr>
        <w:tc>
          <w:tcPr>
            <w:tcW w:w="900" w:type="dxa"/>
            <w:tcBorders>
              <w:top w:val="nil"/>
              <w:left w:val="single" w:sz="4" w:space="0" w:color="auto"/>
              <w:bottom w:val="single" w:sz="4" w:space="0" w:color="auto"/>
              <w:right w:val="nil"/>
            </w:tcBorders>
            <w:shd w:val="clear" w:color="auto" w:fill="auto"/>
            <w:noWrap/>
            <w:vAlign w:val="center"/>
            <w:hideMark/>
          </w:tcPr>
          <w:p w14:paraId="393A0AC1" w14:textId="77777777" w:rsidR="00544873" w:rsidRPr="008512F3" w:rsidRDefault="00544873" w:rsidP="00F52572">
            <w:pPr>
              <w:rPr>
                <w:rFonts w:cs="Arial"/>
                <w:szCs w:val="22"/>
              </w:rPr>
            </w:pPr>
            <w:r w:rsidRPr="008512F3">
              <w:rPr>
                <w:rFonts w:cs="Arial"/>
                <w:szCs w:val="22"/>
              </w:rPr>
              <w:t>NC</w:t>
            </w:r>
          </w:p>
        </w:tc>
        <w:tc>
          <w:tcPr>
            <w:tcW w:w="2610" w:type="dxa"/>
            <w:tcBorders>
              <w:top w:val="nil"/>
              <w:left w:val="nil"/>
              <w:bottom w:val="single" w:sz="4" w:space="0" w:color="auto"/>
              <w:right w:val="nil"/>
            </w:tcBorders>
            <w:shd w:val="clear" w:color="auto" w:fill="auto"/>
            <w:noWrap/>
            <w:vAlign w:val="center"/>
            <w:hideMark/>
          </w:tcPr>
          <w:p w14:paraId="393A0AC2" w14:textId="77777777" w:rsidR="00544873" w:rsidRPr="008512F3" w:rsidRDefault="00544873" w:rsidP="00F52572">
            <w:pPr>
              <w:rPr>
                <w:rFonts w:cs="Arial"/>
                <w:szCs w:val="22"/>
              </w:rPr>
            </w:pPr>
            <w:r w:rsidRPr="008512F3">
              <w:rPr>
                <w:rFonts w:cs="Arial"/>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14:paraId="393A0AC3" w14:textId="77777777" w:rsidR="00544873" w:rsidRPr="008512F3" w:rsidRDefault="00544873" w:rsidP="00F52572">
            <w:pPr>
              <w:rPr>
                <w:rFonts w:cs="Arial"/>
                <w:i/>
                <w:iCs/>
                <w:szCs w:val="22"/>
              </w:rPr>
            </w:pPr>
            <w:r w:rsidRPr="008512F3">
              <w:rPr>
                <w:rFonts w:cs="Arial"/>
                <w:i/>
                <w:iCs/>
                <w:szCs w:val="22"/>
              </w:rPr>
              <w:t>measure applied during construction design phase as an alternative to a code-compliant standard design</w:t>
            </w:r>
          </w:p>
        </w:tc>
      </w:tr>
    </w:tbl>
    <w:p w14:paraId="393A0AC7" w14:textId="36DC68CF" w:rsidR="00806070" w:rsidRPr="008512F3" w:rsidRDefault="002B4002" w:rsidP="001248A3">
      <w:pPr>
        <w:pStyle w:val="Heading2"/>
        <w:rPr>
          <w:b w:val="0"/>
          <w:i w:val="0"/>
        </w:rPr>
      </w:pPr>
      <w:bookmarkStart w:id="49" w:name="_Toc385935858"/>
      <w:r w:rsidRPr="008512F3">
        <w:rPr>
          <w:b w:val="0"/>
          <w:i w:val="0"/>
          <w:sz w:val="24"/>
          <w:szCs w:val="24"/>
        </w:rPr>
        <w:lastRenderedPageBreak/>
        <w:t>Since there are no EM&amp;V studies on the useful life of griddles and it is standard practice in the commercial foodservice industry to purchase equipment only when it is needed (e.g., replacement or additional capacity), this measure is focused on ROB and NC applications only.</w:t>
      </w:r>
      <w:bookmarkEnd w:id="49"/>
    </w:p>
    <w:p w14:paraId="643E2C91" w14:textId="77777777" w:rsidR="00D25F81" w:rsidRPr="00D25F81" w:rsidRDefault="00D25F81" w:rsidP="00D25F81">
      <w:pPr>
        <w:keepNext/>
        <w:spacing w:before="240" w:after="60"/>
        <w:outlineLvl w:val="1"/>
        <w:rPr>
          <w:rFonts w:cs="Arial"/>
          <w:b/>
          <w:bCs/>
          <w:i/>
          <w:iCs/>
          <w:sz w:val="28"/>
          <w:szCs w:val="28"/>
        </w:rPr>
      </w:pPr>
      <w:bookmarkStart w:id="50" w:name="_Toc385935859"/>
      <w:bookmarkStart w:id="51" w:name="_Toc304800205"/>
      <w:bookmarkStart w:id="52" w:name="_Toc324318341"/>
      <w:bookmarkStart w:id="53" w:name="_Toc324340485"/>
      <w:r w:rsidRPr="00D25F81">
        <w:rPr>
          <w:rFonts w:cs="Arial"/>
          <w:b/>
          <w:bCs/>
          <w:i/>
          <w:iCs/>
          <w:sz w:val="28"/>
          <w:szCs w:val="28"/>
        </w:rPr>
        <w:t>1.4 Product Base Case and Measure Case Data</w:t>
      </w:r>
      <w:bookmarkEnd w:id="50"/>
    </w:p>
    <w:p w14:paraId="393A0AC9" w14:textId="77777777" w:rsidR="00E71EF1" w:rsidRPr="008512F3" w:rsidRDefault="001248A3" w:rsidP="001248A3">
      <w:pPr>
        <w:pStyle w:val="Heading2"/>
      </w:pPr>
      <w:bookmarkStart w:id="54" w:name="_Toc385935860"/>
      <w:r w:rsidRPr="008512F3">
        <w:t>1.</w:t>
      </w:r>
      <w:r w:rsidR="00806070" w:rsidRPr="008512F3">
        <w:t>4.1</w:t>
      </w:r>
      <w:r w:rsidR="00FA595F" w:rsidRPr="008512F3">
        <w:t xml:space="preserve"> </w:t>
      </w:r>
      <w:r w:rsidR="00C069A2" w:rsidRPr="008512F3">
        <w:t xml:space="preserve">DEER </w:t>
      </w:r>
      <w:r w:rsidR="008C6AD1" w:rsidRPr="008512F3">
        <w:t>Base Case and Measure Case Information</w:t>
      </w:r>
      <w:bookmarkEnd w:id="51"/>
      <w:bookmarkEnd w:id="52"/>
      <w:bookmarkEnd w:id="53"/>
      <w:bookmarkEnd w:id="54"/>
      <w:r w:rsidR="008C6AD1" w:rsidRPr="008512F3">
        <w:t xml:space="preserve"> </w:t>
      </w:r>
    </w:p>
    <w:p w14:paraId="32A43621" w14:textId="031F6913" w:rsidR="00D25F81" w:rsidRPr="00D25F81" w:rsidRDefault="00D25F81" w:rsidP="00D25F81">
      <w:pPr>
        <w:rPr>
          <w:rFonts w:cs="Arial"/>
          <w:sz w:val="24"/>
        </w:rPr>
      </w:pPr>
      <w:r w:rsidRPr="00D25F81">
        <w:rPr>
          <w:rFonts w:cs="Arial"/>
          <w:sz w:val="24"/>
        </w:rPr>
        <w:t>The 201</w:t>
      </w:r>
      <w:r w:rsidRPr="008512F3">
        <w:rPr>
          <w:rFonts w:cs="Arial"/>
          <w:sz w:val="24"/>
        </w:rPr>
        <w:t>4</w:t>
      </w:r>
      <w:r w:rsidRPr="00D25F81">
        <w:rPr>
          <w:rFonts w:cs="Arial"/>
          <w:sz w:val="24"/>
        </w:rPr>
        <w:t xml:space="preserve"> DEER database does not contain information on energy use or savings or equipment costs for an energy-efficient electric or gas griddle measure. The only reference in DEER for Commercial cooking equipment is for Estimated Useful Life.  </w:t>
      </w:r>
    </w:p>
    <w:p w14:paraId="60BD6495" w14:textId="77777777" w:rsidR="00D25F81" w:rsidRPr="00D25F81" w:rsidRDefault="00D25F81" w:rsidP="00D25F81">
      <w:pPr>
        <w:rPr>
          <w:rFonts w:cs="Arial"/>
          <w:sz w:val="24"/>
        </w:rPr>
      </w:pPr>
    </w:p>
    <w:p w14:paraId="4F1F2D79" w14:textId="77777777" w:rsidR="00A77CF2" w:rsidRPr="008512F3" w:rsidRDefault="00A77CF2" w:rsidP="00A77CF2">
      <w:pPr>
        <w:ind w:left="360"/>
        <w:rPr>
          <w:rFonts w:cs="Arial"/>
          <w:highlight w:val="yellow"/>
        </w:rPr>
      </w:pPr>
    </w:p>
    <w:p w14:paraId="2049F7EE" w14:textId="41C3CDF8" w:rsidR="002B4002" w:rsidRPr="008512F3" w:rsidRDefault="002B4002" w:rsidP="002B4002">
      <w:pPr>
        <w:rPr>
          <w:rFonts w:cs="Arial"/>
          <w:b/>
          <w:highlight w:val="yellow"/>
        </w:rPr>
      </w:pPr>
      <w:r w:rsidRPr="008512F3">
        <w:rPr>
          <w:rFonts w:cs="Arial"/>
          <w:b/>
        </w:rPr>
        <w:t xml:space="preserve">Table </w:t>
      </w:r>
      <w:r w:rsidR="00C07B96" w:rsidRPr="008512F3">
        <w:rPr>
          <w:rFonts w:cs="Arial"/>
          <w:b/>
        </w:rPr>
        <w:t>3</w:t>
      </w:r>
      <w:r w:rsidR="007E7B15" w:rsidRPr="008512F3">
        <w:rPr>
          <w:rFonts w:cs="Arial"/>
          <w:b/>
        </w:rPr>
        <w:t xml:space="preserve"> Deer Use</w:t>
      </w:r>
      <w:r w:rsidRPr="008512F3">
        <w:rPr>
          <w:rFonts w:cs="Arial"/>
          <w:b/>
        </w:rPr>
        <w:t xml:space="preserve"> and Technology Table</w:t>
      </w:r>
    </w:p>
    <w:p w14:paraId="3C26FF77" w14:textId="61B81684" w:rsidR="00BE5E74" w:rsidRPr="008512F3" w:rsidRDefault="002B4002" w:rsidP="00A77CF2">
      <w:pPr>
        <w:ind w:left="360"/>
        <w:rPr>
          <w:rFonts w:cs="Arial"/>
          <w:highlight w:val="yellow"/>
        </w:rPr>
      </w:pPr>
      <w:r w:rsidRPr="008512F3">
        <w:rPr>
          <w:rFonts w:cs="Arial"/>
          <w:noProof/>
        </w:rPr>
        <w:drawing>
          <wp:inline distT="0" distB="0" distL="0" distR="0" wp14:anchorId="132C03EF" wp14:editId="353EE84F">
            <wp:extent cx="5943600" cy="812875"/>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812875"/>
                    </a:xfrm>
                    <a:prstGeom prst="rect">
                      <a:avLst/>
                    </a:prstGeom>
                    <a:noFill/>
                    <a:ln>
                      <a:noFill/>
                    </a:ln>
                  </pic:spPr>
                </pic:pic>
              </a:graphicData>
            </a:graphic>
          </wp:inline>
        </w:drawing>
      </w:r>
    </w:p>
    <w:p w14:paraId="5E92CC8D" w14:textId="419D5C9A" w:rsidR="00853B76" w:rsidRPr="008512F3" w:rsidRDefault="00853B76" w:rsidP="00853B76">
      <w:pPr>
        <w:rPr>
          <w:rFonts w:cs="Arial"/>
          <w:highlight w:val="yellow"/>
        </w:rPr>
      </w:pPr>
    </w:p>
    <w:p w14:paraId="393A0ACD" w14:textId="77777777" w:rsidR="00AF5B52" w:rsidRPr="008512F3" w:rsidRDefault="00AF5B52" w:rsidP="009C5CA7">
      <w:pPr>
        <w:rPr>
          <w:rFonts w:cs="Arial"/>
          <w:highlight w:val="yellow"/>
        </w:rPr>
      </w:pPr>
    </w:p>
    <w:p w14:paraId="393A0BA9" w14:textId="77777777" w:rsidR="00765936" w:rsidRPr="008512F3" w:rsidRDefault="00765936" w:rsidP="00765936">
      <w:pPr>
        <w:rPr>
          <w:rFonts w:cs="Arial"/>
          <w:sz w:val="20"/>
          <w:szCs w:val="20"/>
        </w:rPr>
      </w:pPr>
    </w:p>
    <w:p w14:paraId="393A0BAA" w14:textId="3C6144B4" w:rsidR="00765936" w:rsidRPr="008512F3" w:rsidRDefault="00765936" w:rsidP="00765936">
      <w:pPr>
        <w:rPr>
          <w:rFonts w:cs="Arial"/>
          <w:b/>
          <w:sz w:val="24"/>
        </w:rPr>
      </w:pPr>
      <w:r w:rsidRPr="008512F3">
        <w:rPr>
          <w:rFonts w:cs="Arial"/>
          <w:b/>
          <w:sz w:val="24"/>
        </w:rPr>
        <w:t xml:space="preserve">Hours of Operation:  </w:t>
      </w:r>
      <w:r w:rsidRPr="008512F3">
        <w:rPr>
          <w:rFonts w:cs="Arial"/>
          <w:b/>
          <w:sz w:val="24"/>
        </w:rPr>
        <w:tab/>
      </w:r>
      <w:r w:rsidRPr="008512F3">
        <w:rPr>
          <w:rFonts w:cs="Arial"/>
          <w:b/>
          <w:sz w:val="24"/>
        </w:rPr>
        <w:tab/>
      </w:r>
      <w:r w:rsidRPr="008512F3">
        <w:rPr>
          <w:rFonts w:cs="Arial"/>
          <w:b/>
          <w:sz w:val="24"/>
        </w:rPr>
        <w:tab/>
      </w:r>
      <w:r w:rsidRPr="008512F3">
        <w:rPr>
          <w:rFonts w:cs="Arial"/>
          <w:b/>
          <w:sz w:val="24"/>
        </w:rPr>
        <w:tab/>
        <w:t xml:space="preserve">         </w:t>
      </w:r>
    </w:p>
    <w:p w14:paraId="2F687159" w14:textId="77777777" w:rsidR="001B2CB4" w:rsidRPr="008512F3" w:rsidRDefault="001B2CB4" w:rsidP="001B2CB4">
      <w:pPr>
        <w:rPr>
          <w:rFonts w:cs="Arial"/>
          <w:sz w:val="20"/>
          <w:szCs w:val="20"/>
          <w:highlight w:val="yellow"/>
        </w:rPr>
      </w:pPr>
    </w:p>
    <w:p w14:paraId="393A0BAF" w14:textId="6F860AD7" w:rsidR="00765936" w:rsidRPr="008512F3" w:rsidRDefault="001B2CB4" w:rsidP="001B2CB4">
      <w:pPr>
        <w:rPr>
          <w:rFonts w:cs="Arial"/>
          <w:sz w:val="24"/>
        </w:rPr>
      </w:pPr>
      <w:r w:rsidRPr="008512F3">
        <w:rPr>
          <w:rFonts w:cs="Arial"/>
          <w:sz w:val="24"/>
        </w:rPr>
        <w:t>This measure would follow the hours of operation for quick serve and full serve restaurants as noted in the ASTM standards. For this measure the annual hours of operation are considered 4380.</w:t>
      </w:r>
    </w:p>
    <w:p w14:paraId="644EC17A" w14:textId="77777777" w:rsidR="001B2CB4" w:rsidRPr="008512F3" w:rsidRDefault="001B2CB4" w:rsidP="001B2CB4">
      <w:pPr>
        <w:rPr>
          <w:rFonts w:cs="Arial"/>
          <w:sz w:val="24"/>
        </w:rPr>
      </w:pPr>
    </w:p>
    <w:p w14:paraId="5CFF3B32" w14:textId="701EAFE4" w:rsidR="001B2CB4" w:rsidRPr="008512F3" w:rsidRDefault="001B2CB4" w:rsidP="001B2CB4">
      <w:pPr>
        <w:rPr>
          <w:rFonts w:cs="Arial"/>
          <w:sz w:val="20"/>
          <w:szCs w:val="20"/>
          <w:highlight w:val="yellow"/>
        </w:rPr>
      </w:pPr>
      <w:r w:rsidRPr="008512F3">
        <w:rPr>
          <w:rFonts w:cs="Arial"/>
          <w:sz w:val="24"/>
        </w:rPr>
        <w:t xml:space="preserve">12 </w:t>
      </w:r>
      <w:proofErr w:type="spellStart"/>
      <w:r w:rsidRPr="008512F3">
        <w:rPr>
          <w:rFonts w:cs="Arial"/>
          <w:sz w:val="24"/>
        </w:rPr>
        <w:t>hrs</w:t>
      </w:r>
      <w:proofErr w:type="spellEnd"/>
      <w:r w:rsidRPr="008512F3">
        <w:rPr>
          <w:rFonts w:cs="Arial"/>
          <w:sz w:val="24"/>
        </w:rPr>
        <w:t>/day * 365 day/</w:t>
      </w:r>
      <w:proofErr w:type="spellStart"/>
      <w:r w:rsidRPr="008512F3">
        <w:rPr>
          <w:rFonts w:cs="Arial"/>
          <w:sz w:val="24"/>
        </w:rPr>
        <w:t>yr</w:t>
      </w:r>
      <w:proofErr w:type="spellEnd"/>
      <w:r w:rsidRPr="008512F3">
        <w:rPr>
          <w:rFonts w:cs="Arial"/>
          <w:sz w:val="24"/>
        </w:rPr>
        <w:t xml:space="preserve"> = 4380</w:t>
      </w:r>
    </w:p>
    <w:p w14:paraId="393A0BB0" w14:textId="77777777" w:rsidR="00175673" w:rsidRPr="008512F3" w:rsidRDefault="00175673" w:rsidP="009C5CA7">
      <w:pPr>
        <w:rPr>
          <w:rFonts w:cs="Arial"/>
          <w:b/>
        </w:rPr>
      </w:pPr>
    </w:p>
    <w:p w14:paraId="393A0BD4" w14:textId="77777777" w:rsidR="007931BC" w:rsidRPr="008512F3" w:rsidRDefault="007931BC" w:rsidP="009C5CA7">
      <w:pPr>
        <w:rPr>
          <w:rFonts w:cs="Arial"/>
          <w:b/>
          <w:sz w:val="20"/>
          <w:szCs w:val="20"/>
        </w:rPr>
      </w:pPr>
    </w:p>
    <w:p w14:paraId="393A0BD5" w14:textId="77777777" w:rsidR="007931BC" w:rsidRPr="008512F3" w:rsidRDefault="000E132D" w:rsidP="009C5CA7">
      <w:pPr>
        <w:rPr>
          <w:rFonts w:cs="Arial"/>
          <w:b/>
          <w:sz w:val="24"/>
        </w:rPr>
      </w:pPr>
      <w:r w:rsidRPr="008512F3">
        <w:rPr>
          <w:rFonts w:cs="Arial"/>
          <w:b/>
          <w:sz w:val="24"/>
        </w:rPr>
        <w:t>Base Case Costs and Measure Case Costs</w:t>
      </w:r>
    </w:p>
    <w:p w14:paraId="393A0BD6" w14:textId="77777777" w:rsidR="000E132D" w:rsidRPr="008512F3" w:rsidRDefault="000E132D" w:rsidP="009C5CA7">
      <w:pPr>
        <w:rPr>
          <w:rFonts w:cs="Arial"/>
          <w:b/>
          <w:sz w:val="20"/>
          <w:szCs w:val="20"/>
        </w:rPr>
      </w:pPr>
    </w:p>
    <w:p w14:paraId="422C16C8" w14:textId="7B883BA6" w:rsidR="001B2CB4" w:rsidRPr="008512F3" w:rsidRDefault="001B2CB4" w:rsidP="009C5CA7">
      <w:pPr>
        <w:rPr>
          <w:rFonts w:cs="Arial"/>
          <w:sz w:val="24"/>
        </w:rPr>
      </w:pPr>
      <w:bookmarkStart w:id="55" w:name="Net_to_Gross"/>
      <w:r w:rsidRPr="008512F3">
        <w:rPr>
          <w:rFonts w:cs="Arial"/>
          <w:sz w:val="24"/>
        </w:rPr>
        <w:t>The base case and measure case costs are calculated and found in section 1.4.4.</w:t>
      </w:r>
    </w:p>
    <w:p w14:paraId="7960396E" w14:textId="77777777" w:rsidR="001B2CB4" w:rsidRPr="008512F3" w:rsidRDefault="001B2CB4" w:rsidP="009C5CA7">
      <w:pPr>
        <w:rPr>
          <w:rFonts w:cs="Arial"/>
          <w:sz w:val="24"/>
        </w:rPr>
      </w:pPr>
    </w:p>
    <w:p w14:paraId="393A0C12" w14:textId="712EA7E5" w:rsidR="001B2CB4" w:rsidRPr="008512F3" w:rsidRDefault="009C5CA7" w:rsidP="001B2CB4">
      <w:pPr>
        <w:rPr>
          <w:rFonts w:eastAsiaTheme="minorHAnsi" w:cs="Arial"/>
          <w:sz w:val="24"/>
        </w:rPr>
      </w:pPr>
      <w:r w:rsidRPr="008512F3">
        <w:rPr>
          <w:rFonts w:cs="Arial"/>
          <w:b/>
          <w:sz w:val="24"/>
        </w:rPr>
        <w:t>Net-to-Gross</w:t>
      </w:r>
      <w:bookmarkEnd w:id="55"/>
      <w:r w:rsidRPr="008512F3">
        <w:rPr>
          <w:rFonts w:cs="Arial"/>
          <w:b/>
          <w:sz w:val="24"/>
        </w:rPr>
        <w:t xml:space="preserve"> Assumption:</w:t>
      </w:r>
      <w:r w:rsidR="00437BE1" w:rsidRPr="008512F3">
        <w:rPr>
          <w:rFonts w:cs="Arial"/>
          <w:sz w:val="24"/>
        </w:rPr>
        <w:t xml:space="preserve"> </w:t>
      </w:r>
    </w:p>
    <w:p w14:paraId="5009332B" w14:textId="2255D727" w:rsidR="006B3774" w:rsidRPr="008512F3" w:rsidRDefault="006B3774" w:rsidP="006B3774">
      <w:pPr>
        <w:rPr>
          <w:rFonts w:eastAsiaTheme="minorHAnsi" w:cs="Arial"/>
          <w:szCs w:val="22"/>
        </w:rPr>
      </w:pPr>
    </w:p>
    <w:p w14:paraId="4FAB714B" w14:textId="1FB2FAD9" w:rsidR="001B2CB4" w:rsidRPr="008512F3" w:rsidRDefault="007E7B15" w:rsidP="001B2CB4">
      <w:pPr>
        <w:rPr>
          <w:rFonts w:cs="Arial"/>
          <w:sz w:val="24"/>
        </w:rPr>
      </w:pPr>
      <w:r w:rsidRPr="008512F3">
        <w:rPr>
          <w:rFonts w:cs="Arial"/>
          <w:sz w:val="24"/>
        </w:rPr>
        <w:t>As noted in Section 1.1, t</w:t>
      </w:r>
      <w:r w:rsidR="001B2CB4" w:rsidRPr="008512F3">
        <w:rPr>
          <w:rFonts w:cs="Arial"/>
          <w:sz w:val="24"/>
        </w:rPr>
        <w:t xml:space="preserve">he rebate is downstream provided to the </w:t>
      </w:r>
      <w:proofErr w:type="gramStart"/>
      <w:r w:rsidR="001B2CB4" w:rsidRPr="008512F3">
        <w:rPr>
          <w:rFonts w:cs="Arial"/>
          <w:sz w:val="24"/>
        </w:rPr>
        <w:t>customer  at</w:t>
      </w:r>
      <w:proofErr w:type="gramEnd"/>
      <w:r w:rsidR="001B2CB4" w:rsidRPr="008512F3">
        <w:rPr>
          <w:rFonts w:cs="Arial"/>
          <w:sz w:val="24"/>
        </w:rPr>
        <w:t xml:space="preserve"> the time of sale upon receipt of  application and invoice.  This is not </w:t>
      </w:r>
      <w:r w:rsidRPr="008512F3">
        <w:rPr>
          <w:rFonts w:cs="Arial"/>
          <w:sz w:val="24"/>
        </w:rPr>
        <w:t>a Direct I</w:t>
      </w:r>
      <w:r w:rsidR="001B2CB4" w:rsidRPr="008512F3">
        <w:rPr>
          <w:rFonts w:cs="Arial"/>
          <w:sz w:val="24"/>
        </w:rPr>
        <w:t>nstall program.</w:t>
      </w:r>
    </w:p>
    <w:p w14:paraId="393A0C13" w14:textId="297678B5" w:rsidR="009C5CA7" w:rsidRPr="008512F3" w:rsidRDefault="009C5CA7" w:rsidP="009C5CA7">
      <w:pPr>
        <w:rPr>
          <w:rFonts w:cs="Arial"/>
          <w:sz w:val="20"/>
          <w:szCs w:val="20"/>
        </w:rPr>
      </w:pPr>
      <w:r w:rsidRPr="008512F3">
        <w:rPr>
          <w:rFonts w:cs="Arial"/>
          <w:i/>
          <w:sz w:val="20"/>
          <w:szCs w:val="20"/>
        </w:rPr>
        <w:t xml:space="preserve"> </w:t>
      </w:r>
    </w:p>
    <w:p w14:paraId="393A0C14" w14:textId="304E1699" w:rsidR="00D719E9" w:rsidRPr="008512F3" w:rsidRDefault="007E7B15" w:rsidP="00D719E9">
      <w:pPr>
        <w:rPr>
          <w:rFonts w:cs="Arial"/>
          <w:sz w:val="24"/>
        </w:rPr>
      </w:pPr>
      <w:r w:rsidRPr="008512F3">
        <w:rPr>
          <w:rFonts w:cs="Arial"/>
          <w:sz w:val="24"/>
        </w:rPr>
        <w:t xml:space="preserve">DEER 2014 does not specifically list commercial food service </w:t>
      </w:r>
      <w:proofErr w:type="gramStart"/>
      <w:r w:rsidRPr="008512F3">
        <w:rPr>
          <w:rFonts w:cs="Arial"/>
          <w:sz w:val="24"/>
        </w:rPr>
        <w:t>appliances,</w:t>
      </w:r>
      <w:proofErr w:type="gramEnd"/>
      <w:r w:rsidRPr="008512F3">
        <w:rPr>
          <w:rFonts w:cs="Arial"/>
          <w:sz w:val="24"/>
        </w:rPr>
        <w:t xml:space="preserve"> the default used for </w:t>
      </w:r>
      <w:proofErr w:type="spellStart"/>
      <w:r w:rsidRPr="008512F3">
        <w:rPr>
          <w:rFonts w:cs="Arial"/>
          <w:sz w:val="24"/>
        </w:rPr>
        <w:t>non residential</w:t>
      </w:r>
      <w:proofErr w:type="spellEnd"/>
      <w:r w:rsidRPr="008512F3">
        <w:rPr>
          <w:rFonts w:cs="Arial"/>
          <w:sz w:val="24"/>
        </w:rPr>
        <w:t xml:space="preserve"> measures is 0.6. </w:t>
      </w:r>
      <w:r w:rsidR="00D719E9" w:rsidRPr="008512F3">
        <w:rPr>
          <w:rFonts w:cs="Arial"/>
          <w:sz w:val="24"/>
        </w:rPr>
        <w:t xml:space="preserve">Table </w:t>
      </w:r>
      <w:r w:rsidR="001B2CB4" w:rsidRPr="008512F3">
        <w:rPr>
          <w:rFonts w:cs="Arial"/>
          <w:sz w:val="24"/>
        </w:rPr>
        <w:t>4</w:t>
      </w:r>
      <w:r w:rsidR="008F48E1" w:rsidRPr="008512F3">
        <w:rPr>
          <w:rFonts w:cs="Arial"/>
          <w:sz w:val="24"/>
        </w:rPr>
        <w:t xml:space="preserve"> </w:t>
      </w:r>
      <w:r w:rsidR="00D719E9" w:rsidRPr="008512F3">
        <w:rPr>
          <w:rFonts w:cs="Arial"/>
          <w:sz w:val="24"/>
        </w:rPr>
        <w:t>below summarizes all applicable DEER based Net-to-Gross ratios for programs that may be used by this measure.</w:t>
      </w:r>
    </w:p>
    <w:p w14:paraId="393A0C15" w14:textId="77777777" w:rsidR="008F48E1" w:rsidRPr="008512F3" w:rsidRDefault="008F48E1" w:rsidP="00D719E9">
      <w:pPr>
        <w:pStyle w:val="Caption"/>
        <w:keepNext/>
        <w:jc w:val="center"/>
        <w:rPr>
          <w:rFonts w:cs="Arial"/>
        </w:rPr>
      </w:pPr>
    </w:p>
    <w:p w14:paraId="393A0C16" w14:textId="0214D9BE" w:rsidR="00D719E9" w:rsidRPr="008512F3" w:rsidRDefault="00D719E9" w:rsidP="001B2CB4">
      <w:pPr>
        <w:pStyle w:val="Caption"/>
        <w:keepNext/>
        <w:rPr>
          <w:rFonts w:cs="Arial"/>
          <w:sz w:val="24"/>
          <w:szCs w:val="24"/>
        </w:rPr>
      </w:pPr>
      <w:bookmarkStart w:id="56" w:name="_Toc324427643"/>
      <w:r w:rsidRPr="008512F3">
        <w:rPr>
          <w:rFonts w:cs="Arial"/>
          <w:sz w:val="24"/>
          <w:szCs w:val="24"/>
        </w:rPr>
        <w:t xml:space="preserve">Table </w:t>
      </w:r>
      <w:r w:rsidR="001B2CB4" w:rsidRPr="008512F3">
        <w:rPr>
          <w:rFonts w:cs="Arial"/>
          <w:sz w:val="24"/>
          <w:szCs w:val="24"/>
        </w:rPr>
        <w:t>4</w:t>
      </w:r>
      <w:r w:rsidR="00437BE1" w:rsidRPr="008512F3">
        <w:rPr>
          <w:rFonts w:cs="Arial"/>
          <w:sz w:val="24"/>
          <w:szCs w:val="24"/>
        </w:rPr>
        <w:t xml:space="preserve"> </w:t>
      </w:r>
      <w:r w:rsidR="001B2CB4" w:rsidRPr="008512F3">
        <w:rPr>
          <w:rFonts w:cs="Arial"/>
          <w:sz w:val="24"/>
          <w:szCs w:val="24"/>
        </w:rPr>
        <w:t xml:space="preserve">2014 </w:t>
      </w:r>
      <w:r w:rsidR="00B74917" w:rsidRPr="008512F3">
        <w:rPr>
          <w:rFonts w:cs="Arial"/>
          <w:sz w:val="24"/>
          <w:szCs w:val="24"/>
        </w:rPr>
        <w:t xml:space="preserve">DEER </w:t>
      </w:r>
      <w:r w:rsidRPr="008512F3">
        <w:rPr>
          <w:rFonts w:cs="Arial"/>
          <w:sz w:val="24"/>
          <w:szCs w:val="24"/>
        </w:rPr>
        <w:t>Net-to-Gross Ratios</w:t>
      </w:r>
      <w:bookmarkEnd w:id="56"/>
    </w:p>
    <w:tbl>
      <w:tblPr>
        <w:tblW w:w="245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168"/>
        <w:gridCol w:w="1530"/>
      </w:tblGrid>
      <w:tr w:rsidR="007E7B15" w:rsidRPr="008512F3" w14:paraId="393A0C1A" w14:textId="77777777" w:rsidTr="007E7B15">
        <w:tc>
          <w:tcPr>
            <w:tcW w:w="3372" w:type="pct"/>
            <w:shd w:val="clear" w:color="auto" w:fill="262626"/>
            <w:vAlign w:val="bottom"/>
          </w:tcPr>
          <w:p w14:paraId="393A0C17" w14:textId="77777777" w:rsidR="007E7B15" w:rsidRPr="008512F3" w:rsidRDefault="007E7B15" w:rsidP="00587DDD">
            <w:pPr>
              <w:keepNext/>
              <w:keepLines/>
              <w:jc w:val="center"/>
              <w:rPr>
                <w:rFonts w:cs="Arial"/>
                <w:b/>
                <w:bCs/>
                <w:color w:val="F2F2F2"/>
                <w:sz w:val="20"/>
                <w:szCs w:val="20"/>
              </w:rPr>
            </w:pPr>
          </w:p>
        </w:tc>
        <w:tc>
          <w:tcPr>
            <w:tcW w:w="1628" w:type="pct"/>
            <w:shd w:val="clear" w:color="auto" w:fill="262626"/>
            <w:vAlign w:val="bottom"/>
          </w:tcPr>
          <w:p w14:paraId="393A0C18" w14:textId="77777777" w:rsidR="007E7B15" w:rsidRPr="008512F3" w:rsidRDefault="007E7B15" w:rsidP="00587DDD">
            <w:pPr>
              <w:keepNext/>
              <w:keepLines/>
              <w:jc w:val="center"/>
              <w:rPr>
                <w:rFonts w:cs="Arial"/>
                <w:b/>
                <w:bCs/>
                <w:color w:val="F2F2F2"/>
                <w:sz w:val="20"/>
                <w:szCs w:val="20"/>
              </w:rPr>
            </w:pPr>
          </w:p>
        </w:tc>
      </w:tr>
      <w:tr w:rsidR="007E7B15" w:rsidRPr="008512F3" w14:paraId="393A0C1F" w14:textId="77777777" w:rsidTr="007E7B15">
        <w:tc>
          <w:tcPr>
            <w:tcW w:w="3372" w:type="pct"/>
            <w:shd w:val="pct5" w:color="000000" w:fill="FFFFFF"/>
            <w:vAlign w:val="bottom"/>
          </w:tcPr>
          <w:p w14:paraId="393A0C1B" w14:textId="77777777" w:rsidR="007E7B15" w:rsidRPr="008512F3" w:rsidRDefault="007E7B15" w:rsidP="00587DDD">
            <w:pPr>
              <w:keepNext/>
              <w:jc w:val="center"/>
              <w:rPr>
                <w:rFonts w:cs="Arial"/>
                <w:sz w:val="20"/>
                <w:szCs w:val="20"/>
              </w:rPr>
            </w:pPr>
            <w:r w:rsidRPr="008512F3">
              <w:rPr>
                <w:rFonts w:cs="Arial"/>
                <w:sz w:val="20"/>
                <w:szCs w:val="20"/>
              </w:rPr>
              <w:t>Program Approach</w:t>
            </w:r>
          </w:p>
        </w:tc>
        <w:tc>
          <w:tcPr>
            <w:tcW w:w="1628" w:type="pct"/>
            <w:shd w:val="pct5" w:color="000000" w:fill="FFFFFF"/>
            <w:vAlign w:val="bottom"/>
          </w:tcPr>
          <w:p w14:paraId="393A0C1C" w14:textId="77777777" w:rsidR="007E7B15" w:rsidRPr="008512F3" w:rsidRDefault="007E7B15" w:rsidP="00587DDD">
            <w:pPr>
              <w:keepNext/>
              <w:jc w:val="center"/>
              <w:rPr>
                <w:rFonts w:cs="Arial"/>
                <w:sz w:val="20"/>
                <w:szCs w:val="20"/>
              </w:rPr>
            </w:pPr>
            <w:r w:rsidRPr="008512F3">
              <w:rPr>
                <w:rFonts w:cs="Arial"/>
                <w:sz w:val="20"/>
                <w:szCs w:val="20"/>
              </w:rPr>
              <w:t>NTG</w:t>
            </w:r>
          </w:p>
        </w:tc>
      </w:tr>
      <w:tr w:rsidR="007E7B15" w:rsidRPr="008512F3" w14:paraId="393A0C24" w14:textId="77777777" w:rsidTr="007E7B15">
        <w:tc>
          <w:tcPr>
            <w:tcW w:w="3372" w:type="pct"/>
            <w:shd w:val="pct20" w:color="000000" w:fill="FFFFFF"/>
            <w:vAlign w:val="bottom"/>
          </w:tcPr>
          <w:p w14:paraId="393A0C20" w14:textId="7DDE71FF" w:rsidR="007E7B15" w:rsidRPr="008512F3" w:rsidRDefault="007E7B15" w:rsidP="001E4C31">
            <w:pPr>
              <w:jc w:val="center"/>
              <w:rPr>
                <w:rFonts w:cs="Arial"/>
                <w:sz w:val="20"/>
                <w:szCs w:val="20"/>
              </w:rPr>
            </w:pPr>
            <w:r w:rsidRPr="008512F3">
              <w:rPr>
                <w:rFonts w:cs="Arial"/>
                <w:sz w:val="20"/>
                <w:szCs w:val="20"/>
              </w:rPr>
              <w:t>All Com-Default&gt;=2yrs</w:t>
            </w:r>
          </w:p>
        </w:tc>
        <w:tc>
          <w:tcPr>
            <w:tcW w:w="1628" w:type="pct"/>
            <w:shd w:val="pct20" w:color="000000" w:fill="FFFFFF"/>
            <w:vAlign w:val="bottom"/>
          </w:tcPr>
          <w:p w14:paraId="393A0C21" w14:textId="59C83DB2" w:rsidR="007E7B15" w:rsidRPr="008512F3" w:rsidRDefault="007E7B15" w:rsidP="001E4C31">
            <w:pPr>
              <w:jc w:val="center"/>
              <w:rPr>
                <w:rFonts w:cs="Arial"/>
                <w:sz w:val="20"/>
                <w:szCs w:val="20"/>
              </w:rPr>
            </w:pPr>
            <w:r w:rsidRPr="008512F3">
              <w:rPr>
                <w:rFonts w:cs="Arial"/>
                <w:sz w:val="20"/>
                <w:szCs w:val="20"/>
              </w:rPr>
              <w:t>0.6</w:t>
            </w:r>
          </w:p>
        </w:tc>
      </w:tr>
    </w:tbl>
    <w:p w14:paraId="0400E62E" w14:textId="77777777" w:rsidR="008512F3" w:rsidRDefault="008512F3" w:rsidP="007E7B15">
      <w:pPr>
        <w:rPr>
          <w:rFonts w:cs="Arial"/>
          <w:b/>
          <w:sz w:val="24"/>
        </w:rPr>
      </w:pPr>
    </w:p>
    <w:p w14:paraId="6B62287A" w14:textId="77777777" w:rsidR="007E7B15" w:rsidRPr="008512F3" w:rsidRDefault="004D7301" w:rsidP="007E7B15">
      <w:pPr>
        <w:rPr>
          <w:rFonts w:cs="Arial"/>
          <w:b/>
          <w:sz w:val="24"/>
        </w:rPr>
      </w:pPr>
      <w:r w:rsidRPr="008512F3">
        <w:rPr>
          <w:rFonts w:cs="Arial"/>
          <w:b/>
          <w:sz w:val="24"/>
        </w:rPr>
        <w:t>Effective Useful Life:</w:t>
      </w:r>
      <w:r w:rsidR="00437BE1" w:rsidRPr="008512F3">
        <w:rPr>
          <w:rFonts w:cs="Arial"/>
          <w:b/>
          <w:sz w:val="24"/>
        </w:rPr>
        <w:t xml:space="preserve"> </w:t>
      </w:r>
      <w:r w:rsidRPr="008512F3">
        <w:rPr>
          <w:rFonts w:cs="Arial"/>
          <w:b/>
          <w:sz w:val="24"/>
        </w:rPr>
        <w:tab/>
      </w:r>
      <w:r w:rsidRPr="008512F3">
        <w:rPr>
          <w:rFonts w:cs="Arial"/>
          <w:b/>
          <w:sz w:val="24"/>
        </w:rPr>
        <w:tab/>
      </w:r>
      <w:r w:rsidRPr="008512F3">
        <w:rPr>
          <w:rFonts w:cs="Arial"/>
          <w:b/>
          <w:sz w:val="24"/>
        </w:rPr>
        <w:tab/>
      </w:r>
      <w:r w:rsidRPr="008512F3">
        <w:rPr>
          <w:rFonts w:cs="Arial"/>
          <w:b/>
          <w:sz w:val="24"/>
        </w:rPr>
        <w:tab/>
        <w:t xml:space="preserve">         </w:t>
      </w:r>
    </w:p>
    <w:p w14:paraId="3518E35C" w14:textId="77777777" w:rsidR="007E7B15" w:rsidRPr="008512F3" w:rsidRDefault="007E7B15" w:rsidP="007E7B15">
      <w:pPr>
        <w:rPr>
          <w:rFonts w:cs="Arial"/>
          <w:b/>
          <w:sz w:val="24"/>
        </w:rPr>
      </w:pPr>
    </w:p>
    <w:p w14:paraId="393A0C2E" w14:textId="2FB7B148" w:rsidR="00FC2999" w:rsidRPr="008512F3" w:rsidRDefault="00FC2999" w:rsidP="007E7B15">
      <w:pPr>
        <w:rPr>
          <w:rFonts w:cs="Arial"/>
          <w:sz w:val="20"/>
          <w:szCs w:val="20"/>
          <w:highlight w:val="yellow"/>
        </w:rPr>
      </w:pPr>
      <w:r w:rsidRPr="008512F3">
        <w:rPr>
          <w:rFonts w:cs="Arial"/>
          <w:sz w:val="24"/>
        </w:rPr>
        <w:t xml:space="preserve">The Effective Useful Life estimates were downloaded </w:t>
      </w:r>
      <w:r w:rsidR="002F2D19" w:rsidRPr="008512F3">
        <w:rPr>
          <w:rFonts w:cs="Arial"/>
          <w:sz w:val="24"/>
        </w:rPr>
        <w:t xml:space="preserve">directly </w:t>
      </w:r>
      <w:r w:rsidRPr="008512F3">
        <w:rPr>
          <w:rFonts w:cs="Arial"/>
          <w:sz w:val="24"/>
        </w:rPr>
        <w:t xml:space="preserve">from </w:t>
      </w:r>
      <w:proofErr w:type="gramStart"/>
      <w:r w:rsidRPr="008512F3">
        <w:rPr>
          <w:rFonts w:cs="Arial"/>
          <w:sz w:val="24"/>
        </w:rPr>
        <w:t>DEER,</w:t>
      </w:r>
      <w:proofErr w:type="gramEnd"/>
      <w:r w:rsidRPr="008512F3">
        <w:rPr>
          <w:rFonts w:cs="Arial"/>
          <w:sz w:val="24"/>
        </w:rPr>
        <w:t xml:space="preserve"> they match the intended measures for climate zones and building types and</w:t>
      </w:r>
      <w:r w:rsidR="00020042" w:rsidRPr="008512F3">
        <w:rPr>
          <w:rFonts w:cs="Arial"/>
          <w:sz w:val="24"/>
        </w:rPr>
        <w:t xml:space="preserve"> vintages</w:t>
      </w:r>
      <w:r w:rsidRPr="008512F3">
        <w:rPr>
          <w:rFonts w:cs="Arial"/>
          <w:sz w:val="24"/>
        </w:rPr>
        <w:t>.</w:t>
      </w:r>
    </w:p>
    <w:p w14:paraId="393A0C33" w14:textId="77777777" w:rsidR="004D7301" w:rsidRDefault="004D7301" w:rsidP="00FA595F">
      <w:pPr>
        <w:rPr>
          <w:rFonts w:cs="Arial"/>
          <w:i/>
        </w:rPr>
      </w:pPr>
    </w:p>
    <w:p w14:paraId="318B303A" w14:textId="1DF265EA" w:rsidR="008512F3" w:rsidRPr="008512F3" w:rsidRDefault="008512F3" w:rsidP="00FA595F">
      <w:pPr>
        <w:rPr>
          <w:rFonts w:cs="Arial"/>
          <w:b/>
          <w:sz w:val="24"/>
        </w:rPr>
      </w:pPr>
      <w:r w:rsidRPr="008512F3">
        <w:rPr>
          <w:rFonts w:cs="Arial"/>
          <w:b/>
          <w:sz w:val="24"/>
        </w:rPr>
        <w:t>Table 5 DEER 2014 Effective Useful Life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92"/>
        <w:gridCol w:w="1341"/>
        <w:gridCol w:w="1368"/>
        <w:gridCol w:w="1017"/>
        <w:gridCol w:w="1026"/>
        <w:gridCol w:w="1494"/>
        <w:gridCol w:w="1938"/>
      </w:tblGrid>
      <w:tr w:rsidR="004D7301" w:rsidRPr="008512F3" w14:paraId="393A0C3B" w14:textId="77777777" w:rsidTr="004D7301">
        <w:tc>
          <w:tcPr>
            <w:tcW w:w="0" w:type="auto"/>
            <w:shd w:val="clear" w:color="auto" w:fill="auto"/>
          </w:tcPr>
          <w:p w14:paraId="393A0C34" w14:textId="77777777" w:rsidR="004D7301" w:rsidRPr="008512F3" w:rsidRDefault="004D7301" w:rsidP="00FC2999">
            <w:pPr>
              <w:rPr>
                <w:rFonts w:cs="Arial"/>
                <w:b/>
                <w:sz w:val="20"/>
                <w:szCs w:val="20"/>
              </w:rPr>
            </w:pPr>
            <w:r w:rsidRPr="008512F3">
              <w:rPr>
                <w:rFonts w:cs="Arial"/>
                <w:b/>
                <w:sz w:val="20"/>
                <w:szCs w:val="20"/>
              </w:rPr>
              <w:t>Building type</w:t>
            </w:r>
            <w:r w:rsidR="00437BE1" w:rsidRPr="008512F3">
              <w:rPr>
                <w:rFonts w:cs="Arial"/>
                <w:b/>
                <w:sz w:val="20"/>
                <w:szCs w:val="20"/>
              </w:rPr>
              <w:t xml:space="preserve"> </w:t>
            </w:r>
          </w:p>
        </w:tc>
        <w:tc>
          <w:tcPr>
            <w:tcW w:w="0" w:type="auto"/>
            <w:shd w:val="clear" w:color="auto" w:fill="auto"/>
          </w:tcPr>
          <w:p w14:paraId="393A0C35" w14:textId="77777777" w:rsidR="004D7301" w:rsidRPr="008512F3" w:rsidRDefault="004D7301" w:rsidP="00FC2999">
            <w:pPr>
              <w:rPr>
                <w:rFonts w:cs="Arial"/>
                <w:b/>
                <w:sz w:val="20"/>
                <w:szCs w:val="20"/>
              </w:rPr>
            </w:pPr>
            <w:proofErr w:type="spellStart"/>
            <w:r w:rsidRPr="008512F3">
              <w:rPr>
                <w:rFonts w:cs="Arial"/>
                <w:b/>
                <w:sz w:val="20"/>
                <w:szCs w:val="20"/>
              </w:rPr>
              <w:t>Bldg</w:t>
            </w:r>
            <w:proofErr w:type="spellEnd"/>
            <w:r w:rsidRPr="008512F3">
              <w:rPr>
                <w:rFonts w:cs="Arial"/>
                <w:b/>
                <w:sz w:val="20"/>
                <w:szCs w:val="20"/>
              </w:rPr>
              <w:t xml:space="preserve"> Vintage</w:t>
            </w:r>
            <w:r w:rsidR="00437BE1" w:rsidRPr="008512F3">
              <w:rPr>
                <w:rFonts w:cs="Arial"/>
                <w:b/>
                <w:sz w:val="20"/>
                <w:szCs w:val="20"/>
              </w:rPr>
              <w:t xml:space="preserve"> </w:t>
            </w:r>
          </w:p>
        </w:tc>
        <w:tc>
          <w:tcPr>
            <w:tcW w:w="0" w:type="auto"/>
            <w:shd w:val="clear" w:color="auto" w:fill="auto"/>
          </w:tcPr>
          <w:p w14:paraId="393A0C36" w14:textId="77777777" w:rsidR="004D7301" w:rsidRPr="008512F3" w:rsidRDefault="004D7301" w:rsidP="00FC2999">
            <w:pPr>
              <w:rPr>
                <w:rFonts w:cs="Arial"/>
                <w:b/>
                <w:sz w:val="20"/>
                <w:szCs w:val="20"/>
              </w:rPr>
            </w:pPr>
            <w:r w:rsidRPr="008512F3">
              <w:rPr>
                <w:rFonts w:cs="Arial"/>
                <w:b/>
                <w:sz w:val="20"/>
                <w:szCs w:val="20"/>
              </w:rPr>
              <w:t>Climate Zone</w:t>
            </w:r>
            <w:r w:rsidR="00437BE1" w:rsidRPr="008512F3">
              <w:rPr>
                <w:rFonts w:cs="Arial"/>
                <w:b/>
                <w:sz w:val="20"/>
                <w:szCs w:val="20"/>
              </w:rPr>
              <w:t xml:space="preserve"> </w:t>
            </w:r>
          </w:p>
        </w:tc>
        <w:tc>
          <w:tcPr>
            <w:tcW w:w="0" w:type="auto"/>
            <w:shd w:val="clear" w:color="auto" w:fill="auto"/>
          </w:tcPr>
          <w:p w14:paraId="393A0C37" w14:textId="77777777" w:rsidR="004D7301" w:rsidRPr="008512F3" w:rsidRDefault="004D7301" w:rsidP="00FC2999">
            <w:pPr>
              <w:rPr>
                <w:rFonts w:cs="Arial"/>
                <w:b/>
                <w:sz w:val="20"/>
                <w:szCs w:val="20"/>
              </w:rPr>
            </w:pPr>
            <w:r w:rsidRPr="008512F3">
              <w:rPr>
                <w:rFonts w:cs="Arial"/>
                <w:b/>
                <w:sz w:val="20"/>
                <w:szCs w:val="20"/>
              </w:rPr>
              <w:t>EUL (</w:t>
            </w:r>
            <w:proofErr w:type="spellStart"/>
            <w:r w:rsidRPr="008512F3">
              <w:rPr>
                <w:rFonts w:cs="Arial"/>
                <w:b/>
                <w:sz w:val="20"/>
                <w:szCs w:val="20"/>
              </w:rPr>
              <w:t>yrs</w:t>
            </w:r>
            <w:proofErr w:type="spellEnd"/>
            <w:r w:rsidRPr="008512F3">
              <w:rPr>
                <w:rFonts w:cs="Arial"/>
                <w:b/>
                <w:sz w:val="20"/>
                <w:szCs w:val="20"/>
              </w:rPr>
              <w:t>)</w:t>
            </w:r>
          </w:p>
        </w:tc>
        <w:tc>
          <w:tcPr>
            <w:tcW w:w="0" w:type="auto"/>
          </w:tcPr>
          <w:p w14:paraId="393A0C38" w14:textId="77777777" w:rsidR="004D7301" w:rsidRPr="008512F3" w:rsidRDefault="004D7301" w:rsidP="00FC2999">
            <w:pPr>
              <w:rPr>
                <w:rFonts w:cs="Arial"/>
                <w:b/>
                <w:sz w:val="20"/>
                <w:szCs w:val="20"/>
              </w:rPr>
            </w:pPr>
            <w:r w:rsidRPr="008512F3">
              <w:rPr>
                <w:rFonts w:cs="Arial"/>
                <w:b/>
                <w:sz w:val="20"/>
                <w:szCs w:val="20"/>
              </w:rPr>
              <w:t>RUL (</w:t>
            </w:r>
            <w:proofErr w:type="spellStart"/>
            <w:r w:rsidRPr="008512F3">
              <w:rPr>
                <w:rFonts w:cs="Arial"/>
                <w:b/>
                <w:sz w:val="20"/>
                <w:szCs w:val="20"/>
              </w:rPr>
              <w:t>yrs</w:t>
            </w:r>
            <w:proofErr w:type="spellEnd"/>
            <w:r w:rsidRPr="008512F3">
              <w:rPr>
                <w:rFonts w:cs="Arial"/>
                <w:b/>
                <w:sz w:val="20"/>
                <w:szCs w:val="20"/>
              </w:rPr>
              <w:t>)</w:t>
            </w:r>
          </w:p>
        </w:tc>
        <w:tc>
          <w:tcPr>
            <w:tcW w:w="0" w:type="auto"/>
            <w:shd w:val="clear" w:color="auto" w:fill="auto"/>
          </w:tcPr>
          <w:p w14:paraId="393A0C39" w14:textId="77777777" w:rsidR="004D7301" w:rsidRPr="008512F3" w:rsidRDefault="004D7301" w:rsidP="00FC2999">
            <w:pPr>
              <w:rPr>
                <w:rFonts w:cs="Arial"/>
                <w:b/>
                <w:sz w:val="20"/>
                <w:szCs w:val="20"/>
              </w:rPr>
            </w:pPr>
            <w:r w:rsidRPr="008512F3">
              <w:rPr>
                <w:rFonts w:cs="Arial"/>
                <w:b/>
                <w:sz w:val="20"/>
                <w:szCs w:val="20"/>
              </w:rPr>
              <w:t>DEER Version</w:t>
            </w:r>
          </w:p>
        </w:tc>
        <w:tc>
          <w:tcPr>
            <w:tcW w:w="0" w:type="auto"/>
            <w:shd w:val="clear" w:color="auto" w:fill="auto"/>
          </w:tcPr>
          <w:p w14:paraId="393A0C3A" w14:textId="77777777" w:rsidR="004D7301" w:rsidRPr="008512F3" w:rsidRDefault="004D7301" w:rsidP="00FC2999">
            <w:pPr>
              <w:rPr>
                <w:rFonts w:cs="Arial"/>
                <w:b/>
                <w:sz w:val="20"/>
                <w:szCs w:val="20"/>
              </w:rPr>
            </w:pPr>
            <w:r w:rsidRPr="008512F3">
              <w:rPr>
                <w:rFonts w:cs="Arial"/>
                <w:b/>
                <w:sz w:val="20"/>
                <w:szCs w:val="20"/>
              </w:rPr>
              <w:t>Impact IDs</w:t>
            </w:r>
          </w:p>
        </w:tc>
      </w:tr>
      <w:tr w:rsidR="004D7301" w:rsidRPr="008512F3" w14:paraId="393A0C43" w14:textId="77777777" w:rsidTr="004D7301">
        <w:tc>
          <w:tcPr>
            <w:tcW w:w="0" w:type="auto"/>
            <w:shd w:val="clear" w:color="auto" w:fill="auto"/>
          </w:tcPr>
          <w:p w14:paraId="393A0C3C" w14:textId="4624D2FE" w:rsidR="004D7301" w:rsidRPr="008512F3" w:rsidRDefault="007E7B15" w:rsidP="00FC2999">
            <w:pPr>
              <w:rPr>
                <w:rFonts w:cs="Arial"/>
                <w:b/>
                <w:sz w:val="20"/>
                <w:szCs w:val="20"/>
              </w:rPr>
            </w:pPr>
            <w:r w:rsidRPr="008512F3">
              <w:rPr>
                <w:rFonts w:cs="Arial"/>
                <w:b/>
                <w:sz w:val="20"/>
                <w:szCs w:val="20"/>
              </w:rPr>
              <w:t>ANY</w:t>
            </w:r>
          </w:p>
        </w:tc>
        <w:tc>
          <w:tcPr>
            <w:tcW w:w="0" w:type="auto"/>
            <w:shd w:val="clear" w:color="auto" w:fill="auto"/>
          </w:tcPr>
          <w:p w14:paraId="393A0C3D" w14:textId="5EE72E55" w:rsidR="004D7301" w:rsidRPr="008512F3" w:rsidRDefault="007E7B15" w:rsidP="00FC2999">
            <w:pPr>
              <w:rPr>
                <w:rFonts w:cs="Arial"/>
                <w:b/>
                <w:sz w:val="20"/>
                <w:szCs w:val="20"/>
              </w:rPr>
            </w:pPr>
            <w:r w:rsidRPr="008512F3">
              <w:rPr>
                <w:rFonts w:cs="Arial"/>
                <w:b/>
                <w:sz w:val="20"/>
                <w:szCs w:val="20"/>
              </w:rPr>
              <w:t>ANY</w:t>
            </w:r>
          </w:p>
        </w:tc>
        <w:tc>
          <w:tcPr>
            <w:tcW w:w="0" w:type="auto"/>
            <w:shd w:val="clear" w:color="auto" w:fill="auto"/>
          </w:tcPr>
          <w:p w14:paraId="393A0C3E" w14:textId="1CB15577" w:rsidR="004D7301" w:rsidRPr="008512F3" w:rsidRDefault="007E7B15" w:rsidP="00FC2999">
            <w:pPr>
              <w:rPr>
                <w:rFonts w:cs="Arial"/>
                <w:b/>
                <w:sz w:val="20"/>
                <w:szCs w:val="20"/>
              </w:rPr>
            </w:pPr>
            <w:r w:rsidRPr="008512F3">
              <w:rPr>
                <w:rFonts w:cs="Arial"/>
                <w:b/>
                <w:sz w:val="20"/>
                <w:szCs w:val="20"/>
              </w:rPr>
              <w:t>PG&amp;E</w:t>
            </w:r>
          </w:p>
        </w:tc>
        <w:tc>
          <w:tcPr>
            <w:tcW w:w="0" w:type="auto"/>
            <w:shd w:val="clear" w:color="auto" w:fill="auto"/>
          </w:tcPr>
          <w:p w14:paraId="393A0C3F" w14:textId="4D550AAA" w:rsidR="004D7301" w:rsidRPr="008512F3" w:rsidRDefault="007E7B15" w:rsidP="00FC2999">
            <w:pPr>
              <w:rPr>
                <w:rFonts w:cs="Arial"/>
                <w:b/>
                <w:sz w:val="20"/>
                <w:szCs w:val="20"/>
              </w:rPr>
            </w:pPr>
            <w:r w:rsidRPr="008512F3">
              <w:rPr>
                <w:rFonts w:cs="Arial"/>
                <w:b/>
                <w:sz w:val="20"/>
                <w:szCs w:val="20"/>
              </w:rPr>
              <w:t>12</w:t>
            </w:r>
          </w:p>
        </w:tc>
        <w:tc>
          <w:tcPr>
            <w:tcW w:w="0" w:type="auto"/>
          </w:tcPr>
          <w:p w14:paraId="393A0C40" w14:textId="60B5B351" w:rsidR="004D7301" w:rsidRPr="008512F3" w:rsidRDefault="007E7B15" w:rsidP="00FC2999">
            <w:pPr>
              <w:rPr>
                <w:rFonts w:cs="Arial"/>
                <w:b/>
                <w:sz w:val="20"/>
                <w:szCs w:val="20"/>
              </w:rPr>
            </w:pPr>
            <w:r w:rsidRPr="008512F3">
              <w:rPr>
                <w:rFonts w:cs="Arial"/>
                <w:b/>
                <w:sz w:val="20"/>
                <w:szCs w:val="20"/>
              </w:rPr>
              <w:t>N/A</w:t>
            </w:r>
          </w:p>
        </w:tc>
        <w:tc>
          <w:tcPr>
            <w:tcW w:w="0" w:type="auto"/>
            <w:shd w:val="clear" w:color="auto" w:fill="auto"/>
          </w:tcPr>
          <w:p w14:paraId="393A0C41" w14:textId="6A0CC41B" w:rsidR="004D7301" w:rsidRPr="008512F3" w:rsidRDefault="007E7B15" w:rsidP="00FC2999">
            <w:pPr>
              <w:rPr>
                <w:rFonts w:cs="Arial"/>
                <w:b/>
                <w:sz w:val="20"/>
                <w:szCs w:val="20"/>
              </w:rPr>
            </w:pPr>
            <w:r w:rsidRPr="008512F3">
              <w:rPr>
                <w:rFonts w:cs="Arial"/>
                <w:b/>
                <w:sz w:val="20"/>
                <w:szCs w:val="20"/>
              </w:rPr>
              <w:t>DEER2014</w:t>
            </w:r>
          </w:p>
        </w:tc>
        <w:tc>
          <w:tcPr>
            <w:tcW w:w="0" w:type="auto"/>
            <w:shd w:val="clear" w:color="auto" w:fill="auto"/>
          </w:tcPr>
          <w:p w14:paraId="393A0C42" w14:textId="16D70FD9" w:rsidR="004D7301" w:rsidRPr="008512F3" w:rsidRDefault="007E7B15" w:rsidP="00FC2999">
            <w:pPr>
              <w:rPr>
                <w:rFonts w:cs="Arial"/>
                <w:b/>
                <w:sz w:val="20"/>
                <w:szCs w:val="20"/>
              </w:rPr>
            </w:pPr>
            <w:r w:rsidRPr="008512F3">
              <w:rPr>
                <w:rFonts w:cs="Arial"/>
                <w:b/>
                <w:sz w:val="20"/>
                <w:szCs w:val="20"/>
              </w:rPr>
              <w:t>Cooking Equipment</w:t>
            </w:r>
          </w:p>
        </w:tc>
      </w:tr>
      <w:tr w:rsidR="004D7301" w:rsidRPr="008512F3" w14:paraId="393A0C4B" w14:textId="77777777" w:rsidTr="004D7301">
        <w:tc>
          <w:tcPr>
            <w:tcW w:w="0" w:type="auto"/>
            <w:shd w:val="clear" w:color="auto" w:fill="auto"/>
          </w:tcPr>
          <w:p w14:paraId="393A0C44" w14:textId="0DBF3ADC" w:rsidR="004D7301" w:rsidRPr="008512F3" w:rsidRDefault="007E7B15" w:rsidP="00FC2999">
            <w:pPr>
              <w:rPr>
                <w:rFonts w:cs="Arial"/>
                <w:b/>
                <w:sz w:val="20"/>
                <w:szCs w:val="20"/>
              </w:rPr>
            </w:pPr>
            <w:r w:rsidRPr="008512F3">
              <w:rPr>
                <w:rFonts w:cs="Arial"/>
                <w:b/>
                <w:sz w:val="20"/>
                <w:szCs w:val="20"/>
              </w:rPr>
              <w:t>ANY</w:t>
            </w:r>
          </w:p>
        </w:tc>
        <w:tc>
          <w:tcPr>
            <w:tcW w:w="0" w:type="auto"/>
            <w:shd w:val="clear" w:color="auto" w:fill="auto"/>
          </w:tcPr>
          <w:p w14:paraId="393A0C45" w14:textId="65E96717" w:rsidR="004D7301" w:rsidRPr="008512F3" w:rsidRDefault="007E7B15" w:rsidP="00FC2999">
            <w:pPr>
              <w:rPr>
                <w:rFonts w:cs="Arial"/>
                <w:b/>
                <w:sz w:val="20"/>
                <w:szCs w:val="20"/>
              </w:rPr>
            </w:pPr>
            <w:r w:rsidRPr="008512F3">
              <w:rPr>
                <w:rFonts w:cs="Arial"/>
                <w:b/>
                <w:sz w:val="20"/>
                <w:szCs w:val="20"/>
              </w:rPr>
              <w:t>ANY</w:t>
            </w:r>
          </w:p>
        </w:tc>
        <w:tc>
          <w:tcPr>
            <w:tcW w:w="0" w:type="auto"/>
            <w:shd w:val="clear" w:color="auto" w:fill="auto"/>
          </w:tcPr>
          <w:p w14:paraId="393A0C46" w14:textId="5A2880EF" w:rsidR="004D7301" w:rsidRPr="008512F3" w:rsidRDefault="007E7B15" w:rsidP="00FC2999">
            <w:pPr>
              <w:rPr>
                <w:rFonts w:cs="Arial"/>
                <w:b/>
                <w:sz w:val="20"/>
                <w:szCs w:val="20"/>
              </w:rPr>
            </w:pPr>
            <w:r w:rsidRPr="008512F3">
              <w:rPr>
                <w:rFonts w:cs="Arial"/>
                <w:b/>
                <w:sz w:val="20"/>
                <w:szCs w:val="20"/>
              </w:rPr>
              <w:t>PG&amp;E</w:t>
            </w:r>
          </w:p>
        </w:tc>
        <w:tc>
          <w:tcPr>
            <w:tcW w:w="0" w:type="auto"/>
            <w:shd w:val="clear" w:color="auto" w:fill="auto"/>
          </w:tcPr>
          <w:p w14:paraId="393A0C47" w14:textId="5286E94F" w:rsidR="004D7301" w:rsidRPr="008512F3" w:rsidRDefault="007E7B15" w:rsidP="00FC2999">
            <w:pPr>
              <w:rPr>
                <w:rFonts w:cs="Arial"/>
                <w:b/>
                <w:sz w:val="20"/>
                <w:szCs w:val="20"/>
              </w:rPr>
            </w:pPr>
            <w:r w:rsidRPr="008512F3">
              <w:rPr>
                <w:rFonts w:cs="Arial"/>
                <w:b/>
                <w:sz w:val="20"/>
                <w:szCs w:val="20"/>
              </w:rPr>
              <w:t>12</w:t>
            </w:r>
          </w:p>
        </w:tc>
        <w:tc>
          <w:tcPr>
            <w:tcW w:w="0" w:type="auto"/>
          </w:tcPr>
          <w:p w14:paraId="393A0C48" w14:textId="35AD1D97" w:rsidR="004D7301" w:rsidRPr="008512F3" w:rsidRDefault="007E7B15" w:rsidP="00FC2999">
            <w:pPr>
              <w:rPr>
                <w:rFonts w:cs="Arial"/>
                <w:b/>
                <w:sz w:val="20"/>
                <w:szCs w:val="20"/>
              </w:rPr>
            </w:pPr>
            <w:r w:rsidRPr="008512F3">
              <w:rPr>
                <w:rFonts w:cs="Arial"/>
                <w:b/>
                <w:sz w:val="20"/>
                <w:szCs w:val="20"/>
              </w:rPr>
              <w:t>N/A</w:t>
            </w:r>
          </w:p>
        </w:tc>
        <w:tc>
          <w:tcPr>
            <w:tcW w:w="0" w:type="auto"/>
            <w:shd w:val="clear" w:color="auto" w:fill="auto"/>
          </w:tcPr>
          <w:p w14:paraId="393A0C49" w14:textId="06CC250A" w:rsidR="004D7301" w:rsidRPr="008512F3" w:rsidRDefault="007E7B15" w:rsidP="00FC2999">
            <w:pPr>
              <w:rPr>
                <w:rFonts w:cs="Arial"/>
                <w:b/>
                <w:sz w:val="20"/>
                <w:szCs w:val="20"/>
              </w:rPr>
            </w:pPr>
            <w:r w:rsidRPr="008512F3">
              <w:rPr>
                <w:rFonts w:cs="Arial"/>
                <w:b/>
                <w:sz w:val="20"/>
                <w:szCs w:val="20"/>
              </w:rPr>
              <w:t>DEER2014</w:t>
            </w:r>
          </w:p>
        </w:tc>
        <w:tc>
          <w:tcPr>
            <w:tcW w:w="0" w:type="auto"/>
            <w:shd w:val="clear" w:color="auto" w:fill="auto"/>
          </w:tcPr>
          <w:p w14:paraId="393A0C4A" w14:textId="5387BFFD" w:rsidR="004D7301" w:rsidRPr="008512F3" w:rsidRDefault="007E7B15" w:rsidP="00FC2999">
            <w:pPr>
              <w:rPr>
                <w:rFonts w:cs="Arial"/>
                <w:b/>
                <w:sz w:val="20"/>
                <w:szCs w:val="20"/>
              </w:rPr>
            </w:pPr>
            <w:r w:rsidRPr="008512F3">
              <w:rPr>
                <w:rFonts w:cs="Arial"/>
                <w:b/>
                <w:sz w:val="20"/>
                <w:szCs w:val="20"/>
              </w:rPr>
              <w:t>Cooking Equipment</w:t>
            </w:r>
          </w:p>
        </w:tc>
      </w:tr>
    </w:tbl>
    <w:p w14:paraId="393A0C5C" w14:textId="77777777" w:rsidR="008F48E1" w:rsidRPr="008512F3" w:rsidRDefault="008F48E1" w:rsidP="00806070">
      <w:pPr>
        <w:rPr>
          <w:rFonts w:cs="Arial"/>
          <w:b/>
          <w:i/>
          <w:color w:val="FF0000"/>
        </w:rPr>
      </w:pPr>
    </w:p>
    <w:p w14:paraId="7085DCEE" w14:textId="7C41C290" w:rsidR="006B3774" w:rsidRPr="008512F3" w:rsidRDefault="00020042" w:rsidP="006B3774">
      <w:pPr>
        <w:rPr>
          <w:rFonts w:cs="Arial"/>
          <w:i/>
          <w:sz w:val="24"/>
        </w:rPr>
      </w:pPr>
      <w:r w:rsidRPr="008512F3">
        <w:rPr>
          <w:rFonts w:cs="Arial"/>
          <w:b/>
          <w:sz w:val="24"/>
        </w:rPr>
        <w:t>In-service rate</w:t>
      </w:r>
      <w:r w:rsidR="00806070" w:rsidRPr="008512F3">
        <w:rPr>
          <w:rFonts w:cs="Arial"/>
          <w:b/>
          <w:sz w:val="24"/>
        </w:rPr>
        <w:t>/first year installation rate</w:t>
      </w:r>
      <w:r w:rsidR="00806070" w:rsidRPr="008512F3">
        <w:rPr>
          <w:rFonts w:cs="Arial"/>
          <w:sz w:val="24"/>
        </w:rPr>
        <w:t>:</w:t>
      </w:r>
      <w:r w:rsidR="00437BE1" w:rsidRPr="008512F3">
        <w:rPr>
          <w:rFonts w:cs="Arial"/>
          <w:sz w:val="24"/>
        </w:rPr>
        <w:t xml:space="preserve"> </w:t>
      </w:r>
    </w:p>
    <w:p w14:paraId="01D21ACF" w14:textId="77777777" w:rsidR="007E7B15" w:rsidRPr="008512F3" w:rsidRDefault="007E7B15" w:rsidP="006B3774">
      <w:pPr>
        <w:rPr>
          <w:rFonts w:cs="Arial"/>
          <w:i/>
          <w:sz w:val="24"/>
        </w:rPr>
      </w:pPr>
    </w:p>
    <w:p w14:paraId="745B1A7D" w14:textId="33F2BF4F" w:rsidR="007E7B15" w:rsidRPr="008512F3" w:rsidRDefault="008512F3" w:rsidP="006B3774">
      <w:pPr>
        <w:rPr>
          <w:rFonts w:cs="Arial"/>
          <w:sz w:val="24"/>
        </w:rPr>
      </w:pPr>
      <w:r>
        <w:rPr>
          <w:rFonts w:cs="Arial"/>
          <w:sz w:val="24"/>
        </w:rPr>
        <w:t>The in</w:t>
      </w:r>
      <w:r w:rsidR="007E7B15" w:rsidRPr="008512F3">
        <w:rPr>
          <w:rFonts w:cs="Arial"/>
          <w:sz w:val="24"/>
        </w:rPr>
        <w:t>–service rate was not found in DEER or any supporting documentation.  We have therefore assumed the ISR is 1.0 for all measures based on engineering judgment.</w:t>
      </w:r>
    </w:p>
    <w:p w14:paraId="098F68C7" w14:textId="77777777" w:rsidR="007E7B15" w:rsidRPr="008512F3" w:rsidRDefault="007E7B15" w:rsidP="006B3774">
      <w:pPr>
        <w:rPr>
          <w:rFonts w:eastAsiaTheme="minorHAnsi" w:cs="Arial"/>
          <w:sz w:val="24"/>
        </w:rPr>
      </w:pPr>
    </w:p>
    <w:p w14:paraId="60BD0D43" w14:textId="09BB4655" w:rsidR="006B3774" w:rsidRPr="008512F3" w:rsidRDefault="006B3774" w:rsidP="006B3774">
      <w:pPr>
        <w:rPr>
          <w:rFonts w:cs="Arial"/>
          <w:sz w:val="20"/>
          <w:szCs w:val="20"/>
          <w:highlight w:val="cyan"/>
        </w:rPr>
      </w:pPr>
      <w:r w:rsidRPr="008512F3">
        <w:rPr>
          <w:rFonts w:cs="Arial"/>
          <w:sz w:val="24"/>
        </w:rPr>
        <w:t>See Section 1.1 Terms and Conditions and Market Applicability to reference the type of program delivery mechanism and customer status used to determine this entry.</w:t>
      </w:r>
    </w:p>
    <w:p w14:paraId="393A0C5D" w14:textId="785E9D14" w:rsidR="009C5CA7" w:rsidRPr="008512F3" w:rsidRDefault="009C5CA7" w:rsidP="009C5CA7">
      <w:pPr>
        <w:rPr>
          <w:rFonts w:cs="Arial"/>
        </w:rPr>
      </w:pPr>
    </w:p>
    <w:p w14:paraId="393A0C8A" w14:textId="77777777" w:rsidR="002E0043" w:rsidRPr="002E0043" w:rsidRDefault="001248A3" w:rsidP="002E0043">
      <w:pPr>
        <w:pStyle w:val="Heading2"/>
      </w:pPr>
      <w:bookmarkStart w:id="57" w:name="_Toc304800206"/>
      <w:bookmarkStart w:id="58" w:name="_Toc324318342"/>
      <w:bookmarkStart w:id="59" w:name="_Toc324340486"/>
      <w:bookmarkStart w:id="60" w:name="_Toc385935861"/>
      <w:r>
        <w:t>1.</w:t>
      </w:r>
      <w:r w:rsidR="00FA595F">
        <w:t>4</w:t>
      </w:r>
      <w:r w:rsidR="00793646">
        <w:t>.2</w:t>
      </w:r>
      <w:r w:rsidR="00FA595F">
        <w:t xml:space="preserve"> </w:t>
      </w:r>
      <w:r w:rsidR="00E71EF1" w:rsidRPr="001248A3">
        <w:t xml:space="preserve">Codes &amp; Standards Requirements </w:t>
      </w:r>
      <w:r w:rsidR="009C5CA7">
        <w:t>Base Case and Measure Information</w:t>
      </w:r>
      <w:bookmarkEnd w:id="57"/>
      <w:bookmarkEnd w:id="58"/>
      <w:bookmarkEnd w:id="59"/>
      <w:bookmarkEnd w:id="60"/>
    </w:p>
    <w:p w14:paraId="115C23EC" w14:textId="77777777" w:rsidR="008512F3" w:rsidRPr="008512F3" w:rsidRDefault="008512F3" w:rsidP="008512F3">
      <w:pPr>
        <w:rPr>
          <w:rFonts w:ascii="Times New Roman" w:hAnsi="Times New Roman"/>
          <w:sz w:val="24"/>
        </w:rPr>
      </w:pPr>
      <w:r w:rsidRPr="008512F3">
        <w:rPr>
          <w:rFonts w:ascii="Times New Roman" w:hAnsi="Times New Roman"/>
          <w:sz w:val="24"/>
        </w:rPr>
        <w:t xml:space="preserve">This measure is not governed by either state or federal codes and standards.  </w:t>
      </w:r>
    </w:p>
    <w:p w14:paraId="16DACF8E" w14:textId="77777777" w:rsidR="008512F3" w:rsidRPr="008512F3" w:rsidRDefault="008512F3" w:rsidP="008512F3">
      <w:pPr>
        <w:rPr>
          <w:rFonts w:ascii="Times New Roman" w:hAnsi="Times New Roman"/>
          <w:sz w:val="24"/>
        </w:rPr>
      </w:pPr>
    </w:p>
    <w:p w14:paraId="6359449D" w14:textId="77777777" w:rsidR="008512F3" w:rsidRPr="008512F3" w:rsidRDefault="008512F3" w:rsidP="008512F3">
      <w:pPr>
        <w:rPr>
          <w:rFonts w:ascii="Times New Roman" w:hAnsi="Times New Roman"/>
          <w:sz w:val="24"/>
        </w:rPr>
      </w:pPr>
      <w:r w:rsidRPr="008512F3">
        <w:rPr>
          <w:rFonts w:ascii="Times New Roman" w:hAnsi="Times New Roman"/>
          <w:sz w:val="24"/>
        </w:rPr>
        <w:t>ASTM Standard Test Method for the</w:t>
      </w:r>
      <w:r w:rsidRPr="008512F3">
        <w:rPr>
          <w:rFonts w:cs="Arial"/>
          <w:i/>
          <w:iCs/>
          <w:sz w:val="24"/>
        </w:rPr>
        <w:t xml:space="preserve"> </w:t>
      </w:r>
      <w:r w:rsidRPr="008512F3">
        <w:rPr>
          <w:rFonts w:ascii="Times New Roman" w:hAnsi="Times New Roman"/>
          <w:sz w:val="24"/>
        </w:rPr>
        <w:t>Performance of Griddles (F1275) is applicable for estimating energy use and cooking performance. It was used to estimate the energy consumption of the base case and measure equipment.</w:t>
      </w:r>
    </w:p>
    <w:p w14:paraId="72AA268E" w14:textId="77777777" w:rsidR="008512F3" w:rsidRDefault="008512F3" w:rsidP="002E0043">
      <w:pPr>
        <w:rPr>
          <w:rFonts w:cs="Arial"/>
          <w:b/>
          <w:i/>
          <w:highlight w:val="yellow"/>
        </w:rPr>
      </w:pPr>
    </w:p>
    <w:p w14:paraId="393A0CA0" w14:textId="32CE5392" w:rsidR="00640BB6" w:rsidRPr="0082027C" w:rsidRDefault="00EE53FF" w:rsidP="008512F3">
      <w:pPr>
        <w:rPr>
          <w:rFonts w:cs="Arial"/>
          <w:i/>
          <w:sz w:val="20"/>
          <w:szCs w:val="20"/>
        </w:rPr>
      </w:pPr>
      <w:r w:rsidRPr="0082027C">
        <w:rPr>
          <w:rFonts w:cs="Arial"/>
          <w:b/>
          <w:i/>
        </w:rPr>
        <w:t>Title 20:</w:t>
      </w:r>
      <w:r w:rsidRPr="0082027C">
        <w:rPr>
          <w:rFonts w:cs="Arial"/>
        </w:rPr>
        <w:t xml:space="preserve"> </w:t>
      </w:r>
      <w:r w:rsidR="008512F3" w:rsidRPr="0082027C">
        <w:rPr>
          <w:rFonts w:cs="Arial"/>
          <w:sz w:val="20"/>
          <w:szCs w:val="20"/>
        </w:rPr>
        <w:t>This measure does not</w:t>
      </w:r>
      <w:r w:rsidRPr="0082027C">
        <w:rPr>
          <w:rFonts w:cs="Arial"/>
          <w:sz w:val="20"/>
          <w:szCs w:val="20"/>
        </w:rPr>
        <w:t xml:space="preserve"> fall under Title 20 of the California Energy Regulations.</w:t>
      </w:r>
      <w:r w:rsidR="00437BE1" w:rsidRPr="0082027C">
        <w:rPr>
          <w:rFonts w:cs="Arial"/>
          <w:sz w:val="20"/>
          <w:szCs w:val="20"/>
        </w:rPr>
        <w:t xml:space="preserve"> </w:t>
      </w:r>
    </w:p>
    <w:p w14:paraId="393A0CB5" w14:textId="74A20AD4" w:rsidR="00EE53FF" w:rsidRPr="00EE53FF" w:rsidRDefault="00EE53FF" w:rsidP="008512F3">
      <w:pPr>
        <w:rPr>
          <w:i/>
        </w:rPr>
      </w:pPr>
      <w:r w:rsidRPr="0082027C">
        <w:rPr>
          <w:rFonts w:cs="Arial"/>
          <w:b/>
          <w:i/>
        </w:rPr>
        <w:t>Title 24:</w:t>
      </w:r>
      <w:r w:rsidRPr="0082027C">
        <w:t xml:space="preserve"> </w:t>
      </w:r>
      <w:r w:rsidR="008512F3" w:rsidRPr="0082027C">
        <w:rPr>
          <w:rFonts w:cs="Arial"/>
          <w:sz w:val="20"/>
          <w:szCs w:val="20"/>
        </w:rPr>
        <w:t xml:space="preserve">This measure does not </w:t>
      </w:r>
      <w:r w:rsidRPr="0082027C">
        <w:rPr>
          <w:rFonts w:cs="Arial"/>
          <w:sz w:val="20"/>
          <w:szCs w:val="20"/>
        </w:rPr>
        <w:t>fall under Title 24 of the California Energy Regulations.</w:t>
      </w:r>
      <w:r w:rsidR="00437BE1" w:rsidRPr="0082027C">
        <w:rPr>
          <w:rFonts w:cs="Arial"/>
          <w:sz w:val="20"/>
          <w:szCs w:val="20"/>
        </w:rPr>
        <w:t xml:space="preserve"> </w:t>
      </w:r>
    </w:p>
    <w:p w14:paraId="393A0DAE" w14:textId="2B783468" w:rsidR="00FA595F" w:rsidRDefault="00EE53FF" w:rsidP="000E73CA">
      <w:r w:rsidRPr="000E73CA">
        <w:rPr>
          <w:rFonts w:cs="Arial"/>
          <w:b/>
          <w:i/>
        </w:rPr>
        <w:t>Federal Standards:</w:t>
      </w:r>
      <w:r w:rsidRPr="000E73CA">
        <w:t xml:space="preserve"> </w:t>
      </w:r>
      <w:r w:rsidR="000E73CA" w:rsidRPr="000E73CA">
        <w:rPr>
          <w:rFonts w:cs="Arial"/>
          <w:sz w:val="20"/>
          <w:szCs w:val="20"/>
        </w:rPr>
        <w:t xml:space="preserve">These measures do not </w:t>
      </w:r>
      <w:r w:rsidRPr="000E73CA">
        <w:rPr>
          <w:rFonts w:cs="Arial"/>
          <w:sz w:val="20"/>
          <w:szCs w:val="20"/>
        </w:rPr>
        <w:t>fall under Federal DOE or EPA Energy Regulations.</w:t>
      </w:r>
      <w:r w:rsidR="00437BE1" w:rsidRPr="000E73CA">
        <w:rPr>
          <w:rFonts w:cs="Arial"/>
          <w:sz w:val="20"/>
          <w:szCs w:val="20"/>
        </w:rPr>
        <w:t xml:space="preserve"> </w:t>
      </w:r>
    </w:p>
    <w:p w14:paraId="393A0DAF" w14:textId="77777777" w:rsidR="002E0043" w:rsidRDefault="001248A3" w:rsidP="002E0043">
      <w:pPr>
        <w:pStyle w:val="Heading2"/>
        <w:keepNext w:val="0"/>
      </w:pPr>
      <w:bookmarkStart w:id="61" w:name="_Toc304800207"/>
      <w:bookmarkStart w:id="62" w:name="_Toc324318343"/>
      <w:bookmarkStart w:id="63" w:name="_Toc324340487"/>
      <w:bookmarkStart w:id="64" w:name="_Toc385935862"/>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1"/>
      <w:bookmarkEnd w:id="62"/>
      <w:bookmarkEnd w:id="63"/>
      <w:bookmarkEnd w:id="64"/>
    </w:p>
    <w:p w14:paraId="3D7F4F33" w14:textId="2D1EDCA3" w:rsidR="000E73CA" w:rsidRPr="000E73CA" w:rsidRDefault="000E73CA" w:rsidP="002E0043">
      <w:pPr>
        <w:pStyle w:val="Heading2"/>
        <w:keepNext w:val="0"/>
        <w:rPr>
          <w:b w:val="0"/>
          <w:i w:val="0"/>
          <w:sz w:val="24"/>
          <w:szCs w:val="24"/>
        </w:rPr>
      </w:pPr>
      <w:bookmarkStart w:id="65" w:name="_Toc385935863"/>
      <w:bookmarkStart w:id="66" w:name="_Toc304800208"/>
      <w:bookmarkStart w:id="67" w:name="_Toc324318344"/>
      <w:bookmarkStart w:id="68" w:name="_Toc324340488"/>
      <w:r>
        <w:rPr>
          <w:b w:val="0"/>
          <w:i w:val="0"/>
          <w:sz w:val="24"/>
          <w:szCs w:val="24"/>
        </w:rPr>
        <w:t>There are no specific EM&amp;V studies identified that addressed the cooking measures in the commercial sector.</w:t>
      </w:r>
      <w:bookmarkEnd w:id="65"/>
    </w:p>
    <w:p w14:paraId="393A0EBA" w14:textId="77777777" w:rsidR="009C5CA7" w:rsidRDefault="001248A3" w:rsidP="002E0043">
      <w:pPr>
        <w:pStyle w:val="Heading2"/>
        <w:keepNext w:val="0"/>
      </w:pPr>
      <w:bookmarkStart w:id="69" w:name="_Toc385935864"/>
      <w:r>
        <w:lastRenderedPageBreak/>
        <w:t>1.</w:t>
      </w:r>
      <w:r w:rsidR="00264B03">
        <w:t xml:space="preserve">4.4 </w:t>
      </w:r>
      <w:r w:rsidR="009C5CA7">
        <w:t xml:space="preserve">Assumptions and </w:t>
      </w:r>
      <w:r w:rsidR="00264B03">
        <w:t>Calculations from other sources—Base and Measure Cases</w:t>
      </w:r>
      <w:bookmarkEnd w:id="66"/>
      <w:bookmarkEnd w:id="67"/>
      <w:bookmarkEnd w:id="68"/>
      <w:bookmarkEnd w:id="69"/>
    </w:p>
    <w:p w14:paraId="34B455EC" w14:textId="77777777" w:rsidR="00C07B96" w:rsidRDefault="00C07B96" w:rsidP="00C07B96">
      <w:pPr>
        <w:rPr>
          <w:rFonts w:ascii="Times New Roman" w:hAnsi="Times New Roman"/>
          <w:sz w:val="24"/>
        </w:rPr>
      </w:pPr>
    </w:p>
    <w:p w14:paraId="54CCF271" w14:textId="77777777" w:rsidR="000E73CA" w:rsidRPr="00D25F81" w:rsidRDefault="000E73CA" w:rsidP="000E73CA">
      <w:pPr>
        <w:rPr>
          <w:rFonts w:ascii="Times New Roman" w:hAnsi="Times New Roman"/>
          <w:sz w:val="24"/>
        </w:rPr>
      </w:pPr>
      <w:r w:rsidRPr="00D25F81">
        <w:rPr>
          <w:rFonts w:ascii="Times New Roman" w:hAnsi="Times New Roman"/>
          <w:sz w:val="24"/>
        </w:rPr>
        <w:t>This Work Paper uses ASTM Standard Test Method for the</w:t>
      </w:r>
      <w:r w:rsidRPr="00D25F81">
        <w:rPr>
          <w:rFonts w:cs="Arial"/>
          <w:i/>
          <w:iCs/>
          <w:sz w:val="24"/>
        </w:rPr>
        <w:t xml:space="preserve"> </w:t>
      </w:r>
      <w:r w:rsidRPr="00D25F81">
        <w:rPr>
          <w:rFonts w:ascii="Times New Roman" w:hAnsi="Times New Roman"/>
          <w:sz w:val="24"/>
        </w:rPr>
        <w:t xml:space="preserve">Performance of Griddles (F1275) for calculation of energy use and demand, based on testing in an approved and qualified laboratory. In the absence of mandatory regulations for testing commercial griddles, there is little incentive on the part of equipment manufacturers to have their baseline equipment tested. Therefore, the ASTM performance parameters for baseline equipment were drawn from a sample of economy grade equipment tested by the Food Service Technology Center and is summarized in Table </w:t>
      </w:r>
      <w:r>
        <w:rPr>
          <w:rFonts w:ascii="Times New Roman" w:hAnsi="Times New Roman"/>
          <w:sz w:val="24"/>
        </w:rPr>
        <w:t>6</w:t>
      </w:r>
      <w:r w:rsidRPr="00D25F81">
        <w:rPr>
          <w:rFonts w:ascii="Times New Roman" w:hAnsi="Times New Roman"/>
          <w:sz w:val="24"/>
        </w:rPr>
        <w:t xml:space="preserve">.  </w:t>
      </w:r>
    </w:p>
    <w:p w14:paraId="557DB716" w14:textId="77777777" w:rsidR="000E73CA" w:rsidRDefault="000E73CA" w:rsidP="00C07B96">
      <w:pPr>
        <w:rPr>
          <w:rFonts w:ascii="Times New Roman" w:hAnsi="Times New Roman"/>
          <w:sz w:val="24"/>
        </w:rPr>
      </w:pPr>
    </w:p>
    <w:p w14:paraId="2E131344" w14:textId="06CB50EC" w:rsidR="00C07B96" w:rsidRPr="00D25F81" w:rsidRDefault="00C07B96" w:rsidP="00C07B96">
      <w:pPr>
        <w:rPr>
          <w:rFonts w:ascii="Times New Roman" w:hAnsi="Times New Roman"/>
          <w:sz w:val="24"/>
        </w:rPr>
      </w:pPr>
      <w:r w:rsidRPr="00D25F81">
        <w:rPr>
          <w:rFonts w:ascii="Times New Roman" w:hAnsi="Times New Roman"/>
          <w:sz w:val="24"/>
        </w:rPr>
        <w:t>The previous version</w:t>
      </w:r>
      <w:r>
        <w:rPr>
          <w:rFonts w:ascii="Times New Roman" w:hAnsi="Times New Roman"/>
          <w:sz w:val="24"/>
        </w:rPr>
        <w:t>s</w:t>
      </w:r>
      <w:r w:rsidRPr="00D25F81">
        <w:rPr>
          <w:rFonts w:ascii="Times New Roman" w:hAnsi="Times New Roman"/>
          <w:sz w:val="24"/>
        </w:rPr>
        <w:t xml:space="preserve"> of the DEER database from </w:t>
      </w:r>
      <w:r>
        <w:rPr>
          <w:rFonts w:ascii="Times New Roman" w:hAnsi="Times New Roman"/>
          <w:sz w:val="24"/>
        </w:rPr>
        <w:t xml:space="preserve">2011 and </w:t>
      </w:r>
      <w:r w:rsidRPr="00D25F81">
        <w:rPr>
          <w:rFonts w:ascii="Times New Roman" w:hAnsi="Times New Roman"/>
          <w:sz w:val="24"/>
        </w:rPr>
        <w:t xml:space="preserve">2008 did not contain information on energy use or savings or equipment costs for an energy-efficient electric or gas griddle measure, with the exception of Estimated Useful Life.  </w:t>
      </w:r>
    </w:p>
    <w:p w14:paraId="49C1586A" w14:textId="77777777" w:rsidR="00C07B96" w:rsidRPr="00D25F81" w:rsidRDefault="00C07B96" w:rsidP="00C07B96">
      <w:pPr>
        <w:autoSpaceDE w:val="0"/>
        <w:autoSpaceDN w:val="0"/>
        <w:adjustRightInd w:val="0"/>
        <w:rPr>
          <w:rFonts w:ascii="Times New Roman" w:hAnsi="Times New Roman"/>
          <w:sz w:val="24"/>
          <w:highlight w:val="yellow"/>
        </w:rPr>
      </w:pPr>
    </w:p>
    <w:p w14:paraId="1969B181" w14:textId="56AB55B6" w:rsidR="00C07B96" w:rsidRPr="00D25F81" w:rsidRDefault="00C07B96" w:rsidP="00C07B96">
      <w:pPr>
        <w:autoSpaceDE w:val="0"/>
        <w:autoSpaceDN w:val="0"/>
        <w:adjustRightInd w:val="0"/>
        <w:rPr>
          <w:rFonts w:ascii="Times New Roman" w:hAnsi="Times New Roman"/>
          <w:sz w:val="24"/>
        </w:rPr>
      </w:pPr>
      <w:r w:rsidRPr="00D25F81">
        <w:rPr>
          <w:rFonts w:ascii="Times New Roman" w:hAnsi="Times New Roman"/>
          <w:sz w:val="24"/>
        </w:rPr>
        <w:t xml:space="preserve">The </w:t>
      </w:r>
      <w:r w:rsidR="000E73CA">
        <w:rPr>
          <w:rFonts w:ascii="Times New Roman" w:hAnsi="Times New Roman"/>
          <w:sz w:val="24"/>
        </w:rPr>
        <w:t>original</w:t>
      </w:r>
      <w:r w:rsidRPr="00D25F81">
        <w:rPr>
          <w:rFonts w:ascii="Times New Roman" w:hAnsi="Times New Roman"/>
          <w:sz w:val="24"/>
        </w:rPr>
        <w:t xml:space="preserve"> version of this workpaper was developed with independent cost data for this measure rather than using the available 2005 DEER data. The DEER calculations used a linear savings estimate based on the average production kW and Btu/h inputs of a standard and energy efficient griddles over a </w:t>
      </w:r>
      <w:r w:rsidRPr="00D25F81">
        <w:rPr>
          <w:rFonts w:ascii="Times New Roman" w:hAnsi="Times New Roman"/>
          <w:sz w:val="24"/>
          <w:u w:val="single"/>
        </w:rPr>
        <w:t>12-hour day</w:t>
      </w:r>
      <w:r w:rsidRPr="00D25F81">
        <w:rPr>
          <w:rFonts w:ascii="Times New Roman" w:hAnsi="Times New Roman"/>
          <w:sz w:val="24"/>
        </w:rPr>
        <w:t>. 365 days per year as the bases of their savings calculations.  This Work Paper is based on the calculation methods in ASTM Standard Test Method for the</w:t>
      </w:r>
      <w:r w:rsidRPr="00D25F81">
        <w:rPr>
          <w:rFonts w:cs="Arial"/>
          <w:i/>
          <w:iCs/>
          <w:sz w:val="24"/>
        </w:rPr>
        <w:t xml:space="preserve"> </w:t>
      </w:r>
      <w:r w:rsidRPr="00D25F81">
        <w:rPr>
          <w:rFonts w:ascii="Times New Roman" w:hAnsi="Times New Roman"/>
          <w:sz w:val="24"/>
        </w:rPr>
        <w:t>Performance of Griddles (F1275), which uses measured data under preheat, idle, and heavy-load cooking conditions. Savings calculations using this test method is detailed in Section 2 of this work paper.</w:t>
      </w:r>
    </w:p>
    <w:p w14:paraId="055102B3" w14:textId="77777777" w:rsidR="00C07B96" w:rsidRDefault="00C07B96" w:rsidP="00C07B96">
      <w:pPr>
        <w:rPr>
          <w:rFonts w:ascii="Times New Roman" w:hAnsi="Times New Roman"/>
          <w:sz w:val="24"/>
        </w:rPr>
      </w:pPr>
    </w:p>
    <w:p w14:paraId="456B0B39" w14:textId="77777777" w:rsidR="00C07B96" w:rsidRPr="00D25F81" w:rsidRDefault="00C07B96" w:rsidP="00C07B96">
      <w:pPr>
        <w:rPr>
          <w:rFonts w:ascii="Times New Roman" w:hAnsi="Times New Roman"/>
          <w:sz w:val="24"/>
        </w:rPr>
      </w:pPr>
    </w:p>
    <w:p w14:paraId="369A675E" w14:textId="10016569" w:rsidR="00C07B96" w:rsidRPr="00D25F81" w:rsidRDefault="00C07B96" w:rsidP="00C07B96">
      <w:pPr>
        <w:tabs>
          <w:tab w:val="center" w:pos="4320"/>
          <w:tab w:val="right" w:pos="8640"/>
        </w:tabs>
        <w:rPr>
          <w:rFonts w:cs="Arial"/>
          <w:b/>
          <w:bCs/>
        </w:rPr>
      </w:pPr>
      <w:r w:rsidRPr="00D25F81">
        <w:rPr>
          <w:rFonts w:cs="Arial"/>
          <w:b/>
          <w:bCs/>
        </w:rPr>
        <w:fldChar w:fldCharType="begin"/>
      </w:r>
      <w:r w:rsidRPr="00D25F81">
        <w:rPr>
          <w:rFonts w:cs="Arial"/>
          <w:b/>
          <w:bCs/>
        </w:rPr>
        <w:instrText xml:space="preserve"> TC /f “Table”</w:instrText>
      </w:r>
      <w:r w:rsidRPr="00D25F81">
        <w:rPr>
          <w:rFonts w:cs="Arial"/>
          <w:b/>
          <w:bCs/>
        </w:rPr>
        <w:fldChar w:fldCharType="end"/>
      </w:r>
      <w:r w:rsidRPr="00D25F81">
        <w:rPr>
          <w:rFonts w:cs="Arial"/>
          <w:b/>
          <w:bCs/>
        </w:rPr>
        <w:t xml:space="preserve">Table </w:t>
      </w:r>
      <w:r w:rsidR="000E73CA">
        <w:rPr>
          <w:rFonts w:cs="Arial"/>
          <w:b/>
          <w:bCs/>
        </w:rPr>
        <w:t>6 Baseline ASTM T</w:t>
      </w:r>
      <w:r w:rsidRPr="00D25F81">
        <w:rPr>
          <w:rFonts w:cs="Arial"/>
          <w:b/>
          <w:bCs/>
        </w:rPr>
        <w:t xml:space="preserve">est </w:t>
      </w:r>
      <w:r w:rsidR="000E73CA">
        <w:rPr>
          <w:rFonts w:cs="Arial"/>
          <w:b/>
          <w:bCs/>
        </w:rPr>
        <w:t>R</w:t>
      </w:r>
      <w:r w:rsidRPr="00D25F81">
        <w:rPr>
          <w:rFonts w:cs="Arial"/>
          <w:b/>
          <w:bCs/>
        </w:rPr>
        <w:t>esults for Commercial Griddles.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5"/>
        <w:gridCol w:w="2061"/>
        <w:gridCol w:w="3281"/>
        <w:gridCol w:w="2509"/>
      </w:tblGrid>
      <w:tr w:rsidR="00C07B96" w:rsidRPr="00D25F81" w14:paraId="6CEC41D7" w14:textId="77777777" w:rsidTr="001A0E28">
        <w:trPr>
          <w:trHeight w:val="432"/>
        </w:trPr>
        <w:tc>
          <w:tcPr>
            <w:tcW w:w="901" w:type="pct"/>
            <w:vAlign w:val="center"/>
          </w:tcPr>
          <w:p w14:paraId="5C7C5CEF" w14:textId="77777777" w:rsidR="00C07B96" w:rsidRPr="00D25F81" w:rsidRDefault="00C07B96" w:rsidP="001A0E28">
            <w:pPr>
              <w:jc w:val="center"/>
              <w:rPr>
                <w:rFonts w:cs="Arial"/>
                <w:b/>
                <w:bCs/>
                <w:color w:val="000000"/>
                <w:sz w:val="20"/>
                <w:szCs w:val="20"/>
              </w:rPr>
            </w:pPr>
            <w:r w:rsidRPr="00D25F81">
              <w:rPr>
                <w:rFonts w:cs="Arial"/>
                <w:b/>
                <w:bCs/>
                <w:color w:val="000000"/>
                <w:sz w:val="20"/>
                <w:szCs w:val="20"/>
              </w:rPr>
              <w:t>Griddle Type</w:t>
            </w:r>
          </w:p>
        </w:tc>
        <w:tc>
          <w:tcPr>
            <w:tcW w:w="1076" w:type="pct"/>
            <w:vAlign w:val="center"/>
          </w:tcPr>
          <w:p w14:paraId="2A062A39" w14:textId="77777777" w:rsidR="00C07B96" w:rsidRPr="00D25F81" w:rsidRDefault="00C07B96" w:rsidP="001A0E28">
            <w:pPr>
              <w:jc w:val="center"/>
              <w:rPr>
                <w:rFonts w:cs="Arial"/>
                <w:b/>
                <w:bCs/>
                <w:color w:val="000000"/>
                <w:sz w:val="20"/>
                <w:szCs w:val="20"/>
              </w:rPr>
            </w:pPr>
            <w:r w:rsidRPr="00D25F81">
              <w:rPr>
                <w:rFonts w:cs="Arial"/>
                <w:b/>
                <w:bCs/>
                <w:color w:val="000000"/>
                <w:sz w:val="20"/>
                <w:szCs w:val="20"/>
              </w:rPr>
              <w:t>Idle Energy Rate</w:t>
            </w:r>
          </w:p>
        </w:tc>
        <w:tc>
          <w:tcPr>
            <w:tcW w:w="1713" w:type="pct"/>
            <w:vAlign w:val="center"/>
          </w:tcPr>
          <w:p w14:paraId="498E87AD" w14:textId="77777777" w:rsidR="00C07B96" w:rsidRPr="00D25F81" w:rsidRDefault="00C07B96" w:rsidP="001A0E28">
            <w:pPr>
              <w:jc w:val="center"/>
              <w:rPr>
                <w:rFonts w:cs="Arial"/>
                <w:b/>
                <w:bCs/>
                <w:color w:val="000000"/>
                <w:sz w:val="20"/>
                <w:szCs w:val="20"/>
              </w:rPr>
            </w:pPr>
            <w:r w:rsidRPr="00D25F81">
              <w:rPr>
                <w:rFonts w:cs="Arial"/>
                <w:b/>
                <w:bCs/>
                <w:color w:val="000000"/>
                <w:sz w:val="20"/>
                <w:szCs w:val="20"/>
              </w:rPr>
              <w:t>Cooking-Energy Efficiency*</w:t>
            </w:r>
          </w:p>
        </w:tc>
        <w:tc>
          <w:tcPr>
            <w:tcW w:w="1310" w:type="pct"/>
            <w:vAlign w:val="center"/>
          </w:tcPr>
          <w:p w14:paraId="7BF7CFCF" w14:textId="77777777" w:rsidR="00C07B96" w:rsidRPr="00D25F81" w:rsidRDefault="00C07B96" w:rsidP="001A0E28">
            <w:pPr>
              <w:jc w:val="center"/>
              <w:rPr>
                <w:rFonts w:cs="Arial"/>
                <w:b/>
                <w:bCs/>
                <w:color w:val="000000"/>
                <w:sz w:val="20"/>
                <w:szCs w:val="20"/>
              </w:rPr>
            </w:pPr>
            <w:r w:rsidRPr="00D25F81">
              <w:rPr>
                <w:rFonts w:cs="Arial"/>
                <w:b/>
                <w:bCs/>
                <w:color w:val="000000"/>
                <w:sz w:val="20"/>
                <w:szCs w:val="20"/>
              </w:rPr>
              <w:t>Production Capacity*</w:t>
            </w:r>
          </w:p>
        </w:tc>
      </w:tr>
      <w:tr w:rsidR="00C07B96" w:rsidRPr="00D25F81" w14:paraId="56BBE624" w14:textId="77777777" w:rsidTr="001A0E28">
        <w:trPr>
          <w:trHeight w:val="288"/>
        </w:trPr>
        <w:tc>
          <w:tcPr>
            <w:tcW w:w="901" w:type="pct"/>
            <w:vAlign w:val="center"/>
          </w:tcPr>
          <w:p w14:paraId="3EA6C8DF" w14:textId="77777777" w:rsidR="00C07B96" w:rsidRPr="00D25F81" w:rsidRDefault="00C07B96" w:rsidP="001A0E28">
            <w:pPr>
              <w:jc w:val="center"/>
              <w:rPr>
                <w:rFonts w:cs="Arial"/>
                <w:color w:val="000000"/>
                <w:sz w:val="20"/>
                <w:szCs w:val="20"/>
              </w:rPr>
            </w:pPr>
            <w:r w:rsidRPr="00D25F81">
              <w:rPr>
                <w:rFonts w:cs="Arial"/>
                <w:color w:val="000000"/>
                <w:sz w:val="20"/>
                <w:szCs w:val="20"/>
              </w:rPr>
              <w:t>Electric Griddles</w:t>
            </w:r>
          </w:p>
        </w:tc>
        <w:tc>
          <w:tcPr>
            <w:tcW w:w="1076" w:type="pct"/>
            <w:vAlign w:val="center"/>
          </w:tcPr>
          <w:p w14:paraId="1F74DEEB" w14:textId="77777777" w:rsidR="00C07B96" w:rsidRPr="00D25F81" w:rsidRDefault="00C07B96" w:rsidP="001A0E28">
            <w:pPr>
              <w:jc w:val="center"/>
              <w:rPr>
                <w:rFonts w:cs="Arial"/>
                <w:color w:val="000000"/>
                <w:sz w:val="20"/>
                <w:szCs w:val="20"/>
              </w:rPr>
            </w:pPr>
            <w:r w:rsidRPr="00D25F81">
              <w:rPr>
                <w:rFonts w:cs="Arial"/>
                <w:color w:val="000000"/>
                <w:sz w:val="20"/>
                <w:szCs w:val="20"/>
              </w:rPr>
              <w:t>400 W/</w:t>
            </w:r>
            <w:proofErr w:type="spellStart"/>
            <w:r w:rsidRPr="00D25F81">
              <w:rPr>
                <w:rFonts w:cs="Arial"/>
                <w:color w:val="000000"/>
                <w:sz w:val="20"/>
                <w:szCs w:val="20"/>
              </w:rPr>
              <w:t>sqft</w:t>
            </w:r>
            <w:proofErr w:type="spellEnd"/>
            <w:r w:rsidRPr="00D25F81">
              <w:rPr>
                <w:rFonts w:cs="Arial"/>
                <w:color w:val="000000"/>
                <w:sz w:val="20"/>
                <w:szCs w:val="20"/>
              </w:rPr>
              <w:t>/h</w:t>
            </w:r>
          </w:p>
        </w:tc>
        <w:tc>
          <w:tcPr>
            <w:tcW w:w="1713" w:type="pct"/>
            <w:vAlign w:val="center"/>
          </w:tcPr>
          <w:p w14:paraId="619890EC" w14:textId="77777777" w:rsidR="00C07B96" w:rsidRPr="00D25F81" w:rsidRDefault="00C07B96" w:rsidP="001A0E28">
            <w:pPr>
              <w:jc w:val="center"/>
              <w:rPr>
                <w:rFonts w:cs="Arial"/>
                <w:color w:val="000000"/>
                <w:sz w:val="20"/>
                <w:szCs w:val="20"/>
              </w:rPr>
            </w:pPr>
            <w:r w:rsidRPr="00D25F81">
              <w:rPr>
                <w:rFonts w:cs="Arial"/>
                <w:color w:val="000000"/>
                <w:sz w:val="20"/>
                <w:szCs w:val="20"/>
              </w:rPr>
              <w:t>60%</w:t>
            </w:r>
          </w:p>
        </w:tc>
        <w:tc>
          <w:tcPr>
            <w:tcW w:w="1310" w:type="pct"/>
            <w:vAlign w:val="center"/>
          </w:tcPr>
          <w:p w14:paraId="34FC8660" w14:textId="77777777" w:rsidR="00C07B96" w:rsidRPr="00D25F81" w:rsidRDefault="00C07B96" w:rsidP="001A0E28">
            <w:pPr>
              <w:jc w:val="center"/>
              <w:rPr>
                <w:rFonts w:cs="Arial"/>
                <w:color w:val="000000"/>
                <w:sz w:val="20"/>
                <w:szCs w:val="20"/>
              </w:rPr>
            </w:pPr>
            <w:r w:rsidRPr="00D25F81">
              <w:rPr>
                <w:rFonts w:cs="Arial"/>
                <w:color w:val="000000"/>
                <w:sz w:val="20"/>
                <w:szCs w:val="20"/>
              </w:rPr>
              <w:t xml:space="preserve">35 </w:t>
            </w:r>
            <w:proofErr w:type="spellStart"/>
            <w:r w:rsidRPr="00D25F81">
              <w:rPr>
                <w:rFonts w:cs="Arial"/>
                <w:color w:val="000000"/>
                <w:sz w:val="20"/>
                <w:szCs w:val="20"/>
              </w:rPr>
              <w:t>lb</w:t>
            </w:r>
            <w:proofErr w:type="spellEnd"/>
            <w:r w:rsidRPr="00D25F81">
              <w:rPr>
                <w:rFonts w:cs="Arial"/>
                <w:color w:val="000000"/>
                <w:sz w:val="20"/>
                <w:szCs w:val="20"/>
              </w:rPr>
              <w:t>/h</w:t>
            </w:r>
          </w:p>
        </w:tc>
      </w:tr>
      <w:tr w:rsidR="00C07B96" w:rsidRPr="00D25F81" w14:paraId="6A6FEF47" w14:textId="77777777" w:rsidTr="001A0E28">
        <w:trPr>
          <w:trHeight w:val="288"/>
        </w:trPr>
        <w:tc>
          <w:tcPr>
            <w:tcW w:w="901" w:type="pct"/>
            <w:vAlign w:val="center"/>
          </w:tcPr>
          <w:p w14:paraId="0178E80C" w14:textId="77777777" w:rsidR="00C07B96" w:rsidRPr="00D25F81" w:rsidRDefault="00C07B96" w:rsidP="001A0E28">
            <w:pPr>
              <w:jc w:val="center"/>
              <w:rPr>
                <w:rFonts w:cs="Arial"/>
                <w:color w:val="000000"/>
                <w:sz w:val="20"/>
                <w:szCs w:val="20"/>
              </w:rPr>
            </w:pPr>
            <w:r w:rsidRPr="00D25F81">
              <w:rPr>
                <w:rFonts w:cs="Arial"/>
                <w:color w:val="000000"/>
                <w:sz w:val="20"/>
                <w:szCs w:val="20"/>
              </w:rPr>
              <w:t>Gas Griddles</w:t>
            </w:r>
          </w:p>
        </w:tc>
        <w:tc>
          <w:tcPr>
            <w:tcW w:w="1076" w:type="pct"/>
            <w:vAlign w:val="center"/>
          </w:tcPr>
          <w:p w14:paraId="166AB63B" w14:textId="77777777" w:rsidR="00C07B96" w:rsidRPr="00D25F81" w:rsidRDefault="00C07B96" w:rsidP="001A0E28">
            <w:pPr>
              <w:jc w:val="center"/>
              <w:rPr>
                <w:rFonts w:cs="Arial"/>
                <w:color w:val="000000"/>
                <w:sz w:val="20"/>
                <w:szCs w:val="20"/>
              </w:rPr>
            </w:pPr>
            <w:r w:rsidRPr="00D25F81">
              <w:rPr>
                <w:rFonts w:cs="Arial"/>
                <w:color w:val="000000"/>
                <w:sz w:val="20"/>
                <w:szCs w:val="20"/>
              </w:rPr>
              <w:t>3,500 Btu/</w:t>
            </w:r>
            <w:proofErr w:type="spellStart"/>
            <w:r w:rsidRPr="00D25F81">
              <w:rPr>
                <w:rFonts w:cs="Arial"/>
                <w:color w:val="000000"/>
                <w:sz w:val="20"/>
                <w:szCs w:val="20"/>
              </w:rPr>
              <w:t>sqft</w:t>
            </w:r>
            <w:proofErr w:type="spellEnd"/>
            <w:r w:rsidRPr="00D25F81">
              <w:rPr>
                <w:rFonts w:cs="Arial"/>
                <w:color w:val="000000"/>
                <w:sz w:val="20"/>
                <w:szCs w:val="20"/>
              </w:rPr>
              <w:t>/h</w:t>
            </w:r>
          </w:p>
        </w:tc>
        <w:tc>
          <w:tcPr>
            <w:tcW w:w="1713" w:type="pct"/>
            <w:vAlign w:val="center"/>
          </w:tcPr>
          <w:p w14:paraId="16DDACCF" w14:textId="77777777" w:rsidR="00C07B96" w:rsidRPr="00D25F81" w:rsidRDefault="00C07B96" w:rsidP="001A0E28">
            <w:pPr>
              <w:jc w:val="center"/>
              <w:rPr>
                <w:rFonts w:cs="Arial"/>
                <w:color w:val="000000"/>
                <w:sz w:val="20"/>
                <w:szCs w:val="20"/>
              </w:rPr>
            </w:pPr>
            <w:r w:rsidRPr="00D25F81">
              <w:rPr>
                <w:rFonts w:cs="Arial"/>
                <w:color w:val="000000"/>
                <w:sz w:val="20"/>
                <w:szCs w:val="20"/>
              </w:rPr>
              <w:t>30%</w:t>
            </w:r>
          </w:p>
        </w:tc>
        <w:tc>
          <w:tcPr>
            <w:tcW w:w="1310" w:type="pct"/>
            <w:vAlign w:val="center"/>
          </w:tcPr>
          <w:p w14:paraId="513B4918" w14:textId="77777777" w:rsidR="00C07B96" w:rsidRPr="00D25F81" w:rsidRDefault="00C07B96" w:rsidP="001A0E28">
            <w:pPr>
              <w:jc w:val="center"/>
              <w:rPr>
                <w:rFonts w:cs="Arial"/>
                <w:color w:val="000000"/>
                <w:sz w:val="20"/>
                <w:szCs w:val="20"/>
              </w:rPr>
            </w:pPr>
            <w:r w:rsidRPr="00D25F81">
              <w:rPr>
                <w:rFonts w:cs="Arial"/>
                <w:color w:val="000000"/>
                <w:sz w:val="20"/>
                <w:szCs w:val="20"/>
              </w:rPr>
              <w:t xml:space="preserve">25 </w:t>
            </w:r>
            <w:proofErr w:type="spellStart"/>
            <w:r w:rsidRPr="00D25F81">
              <w:rPr>
                <w:rFonts w:cs="Arial"/>
                <w:color w:val="000000"/>
                <w:sz w:val="20"/>
                <w:szCs w:val="20"/>
              </w:rPr>
              <w:t>lb</w:t>
            </w:r>
            <w:proofErr w:type="spellEnd"/>
            <w:r w:rsidRPr="00D25F81">
              <w:rPr>
                <w:rFonts w:cs="Arial"/>
                <w:color w:val="000000"/>
                <w:sz w:val="20"/>
                <w:szCs w:val="20"/>
              </w:rPr>
              <w:t>/h</w:t>
            </w:r>
          </w:p>
        </w:tc>
      </w:tr>
    </w:tbl>
    <w:p w14:paraId="633B58F2" w14:textId="77777777" w:rsidR="00C07B96" w:rsidRPr="00D25F81" w:rsidRDefault="00C07B96" w:rsidP="00C07B96">
      <w:pPr>
        <w:rPr>
          <w:rFonts w:ascii="Times New Roman" w:hAnsi="Times New Roman"/>
          <w:sz w:val="18"/>
        </w:rPr>
      </w:pPr>
      <w:r w:rsidRPr="00D25F81">
        <w:rPr>
          <w:rFonts w:ascii="Times New Roman" w:hAnsi="Times New Roman"/>
          <w:sz w:val="18"/>
        </w:rPr>
        <w:t>*Based on the Heavy-load Hamburger Patties test in ASTM F1275.</w:t>
      </w:r>
      <w:r w:rsidRPr="00D25F81">
        <w:rPr>
          <w:rFonts w:ascii="Times New Roman" w:hAnsi="Times New Roman"/>
          <w:sz w:val="18"/>
          <w:vertAlign w:val="superscript"/>
        </w:rPr>
        <w:t>1</w:t>
      </w:r>
      <w:r w:rsidRPr="00D25F81">
        <w:rPr>
          <w:rFonts w:ascii="Times New Roman" w:hAnsi="Times New Roman"/>
          <w:sz w:val="18"/>
        </w:rPr>
        <w:t xml:space="preserve"> </w:t>
      </w:r>
    </w:p>
    <w:p w14:paraId="76D03A2A" w14:textId="77777777" w:rsidR="00C07B96" w:rsidRPr="00D25F81" w:rsidRDefault="00C07B96" w:rsidP="00C07B96">
      <w:pPr>
        <w:rPr>
          <w:rFonts w:ascii="Times New Roman" w:hAnsi="Times New Roman"/>
          <w:sz w:val="24"/>
        </w:rPr>
      </w:pPr>
    </w:p>
    <w:p w14:paraId="2D545FEF" w14:textId="0368865A" w:rsidR="00C07B96" w:rsidRPr="00D25F81" w:rsidRDefault="00C07B96" w:rsidP="00C07B96">
      <w:pPr>
        <w:rPr>
          <w:rFonts w:ascii="Times New Roman" w:hAnsi="Times New Roman"/>
          <w:sz w:val="24"/>
        </w:rPr>
      </w:pPr>
      <w:r w:rsidRPr="00D25F81">
        <w:rPr>
          <w:rFonts w:ascii="Times New Roman" w:hAnsi="Times New Roman"/>
          <w:sz w:val="24"/>
        </w:rPr>
        <w:t xml:space="preserve">The measure case data was drawn from the list of commercial griddles that have been tested by IOU testing laboratories as of April 20, 2012. The complete list is in Appendix A and the averages are summarized in Table </w:t>
      </w:r>
      <w:r w:rsidR="000E73CA">
        <w:rPr>
          <w:rFonts w:ascii="Times New Roman" w:hAnsi="Times New Roman"/>
          <w:sz w:val="24"/>
        </w:rPr>
        <w:t>7</w:t>
      </w:r>
      <w:r w:rsidRPr="00D25F81">
        <w:rPr>
          <w:rFonts w:ascii="Times New Roman" w:hAnsi="Times New Roman"/>
          <w:sz w:val="24"/>
        </w:rPr>
        <w:t>.</w:t>
      </w:r>
    </w:p>
    <w:p w14:paraId="18F12546" w14:textId="77777777" w:rsidR="00C07B96" w:rsidRDefault="00C07B96" w:rsidP="00C07B96">
      <w:pPr>
        <w:tabs>
          <w:tab w:val="center" w:pos="4320"/>
          <w:tab w:val="right" w:pos="8640"/>
        </w:tabs>
        <w:rPr>
          <w:rFonts w:cs="Arial"/>
          <w:b/>
          <w:bCs/>
        </w:rPr>
      </w:pPr>
    </w:p>
    <w:p w14:paraId="762FB2E9" w14:textId="1CCAF9B1" w:rsidR="00C07B96" w:rsidRPr="00D25F81" w:rsidRDefault="00C07B96" w:rsidP="00C07B96">
      <w:pPr>
        <w:tabs>
          <w:tab w:val="center" w:pos="4320"/>
          <w:tab w:val="right" w:pos="8640"/>
        </w:tabs>
        <w:rPr>
          <w:rFonts w:cs="Arial"/>
          <w:b/>
          <w:bCs/>
        </w:rPr>
      </w:pPr>
      <w:r w:rsidRPr="00D25F81">
        <w:rPr>
          <w:rFonts w:cs="Arial"/>
          <w:b/>
          <w:bCs/>
        </w:rPr>
        <w:fldChar w:fldCharType="begin"/>
      </w:r>
      <w:r w:rsidRPr="00D25F81">
        <w:rPr>
          <w:rFonts w:cs="Arial"/>
          <w:b/>
          <w:bCs/>
        </w:rPr>
        <w:instrText xml:space="preserve"> TC /f “Table”</w:instrText>
      </w:r>
      <w:r w:rsidRPr="00D25F81">
        <w:rPr>
          <w:rFonts w:cs="Arial"/>
          <w:b/>
          <w:bCs/>
        </w:rPr>
        <w:fldChar w:fldCharType="end"/>
      </w:r>
      <w:r w:rsidRPr="00D25F81">
        <w:rPr>
          <w:rFonts w:cs="Arial"/>
          <w:b/>
          <w:bCs/>
        </w:rPr>
        <w:fldChar w:fldCharType="begin"/>
      </w:r>
      <w:r w:rsidRPr="00D25F81">
        <w:rPr>
          <w:rFonts w:cs="Arial"/>
          <w:b/>
          <w:bCs/>
        </w:rPr>
        <w:instrText xml:space="preserve"> TC /f “Table”</w:instrText>
      </w:r>
      <w:r w:rsidRPr="00D25F81">
        <w:rPr>
          <w:rFonts w:cs="Arial"/>
          <w:b/>
          <w:bCs/>
        </w:rPr>
        <w:fldChar w:fldCharType="end"/>
      </w:r>
      <w:r w:rsidRPr="00D25F81">
        <w:rPr>
          <w:rFonts w:cs="Arial"/>
          <w:b/>
          <w:bCs/>
        </w:rPr>
        <w:t>Table</w:t>
      </w:r>
      <w:r w:rsidR="000E73CA">
        <w:rPr>
          <w:rFonts w:cs="Arial"/>
          <w:b/>
          <w:bCs/>
        </w:rPr>
        <w:t xml:space="preserve"> 7</w:t>
      </w:r>
      <w:r w:rsidRPr="00D25F81">
        <w:rPr>
          <w:rFonts w:cs="Arial"/>
          <w:b/>
          <w:bCs/>
        </w:rPr>
        <w:t xml:space="preserve"> Measure Case ASTM </w:t>
      </w:r>
      <w:r w:rsidR="000E73CA">
        <w:rPr>
          <w:rFonts w:cs="Arial"/>
          <w:b/>
          <w:bCs/>
        </w:rPr>
        <w:t>T</w:t>
      </w:r>
      <w:r w:rsidRPr="00D25F81">
        <w:rPr>
          <w:rFonts w:cs="Arial"/>
          <w:b/>
          <w:bCs/>
        </w:rPr>
        <w:t xml:space="preserve">est </w:t>
      </w:r>
      <w:r w:rsidR="000E73CA">
        <w:rPr>
          <w:rFonts w:cs="Arial"/>
          <w:b/>
          <w:bCs/>
        </w:rPr>
        <w:t>R</w:t>
      </w:r>
      <w:r w:rsidRPr="00D25F81">
        <w:rPr>
          <w:rFonts w:cs="Arial"/>
          <w:b/>
          <w:bCs/>
        </w:rPr>
        <w:t>esults for Commercial Griddles.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5"/>
        <w:gridCol w:w="2061"/>
        <w:gridCol w:w="3281"/>
        <w:gridCol w:w="2509"/>
      </w:tblGrid>
      <w:tr w:rsidR="00C07B96" w:rsidRPr="00D25F81" w14:paraId="6C04DCC0" w14:textId="77777777" w:rsidTr="001A0E28">
        <w:trPr>
          <w:trHeight w:val="432"/>
        </w:trPr>
        <w:tc>
          <w:tcPr>
            <w:tcW w:w="901" w:type="pct"/>
            <w:vAlign w:val="center"/>
          </w:tcPr>
          <w:p w14:paraId="1EEF9599" w14:textId="77777777" w:rsidR="00C07B96" w:rsidRPr="00D25F81" w:rsidRDefault="00C07B96" w:rsidP="001A0E28">
            <w:pPr>
              <w:jc w:val="center"/>
              <w:rPr>
                <w:rFonts w:cs="Arial"/>
                <w:b/>
                <w:bCs/>
                <w:color w:val="000000"/>
                <w:sz w:val="20"/>
                <w:szCs w:val="20"/>
              </w:rPr>
            </w:pPr>
            <w:r w:rsidRPr="00D25F81">
              <w:rPr>
                <w:rFonts w:cs="Arial"/>
                <w:b/>
                <w:bCs/>
                <w:color w:val="000000"/>
                <w:sz w:val="20"/>
                <w:szCs w:val="20"/>
              </w:rPr>
              <w:t>Griddle Type</w:t>
            </w:r>
          </w:p>
        </w:tc>
        <w:tc>
          <w:tcPr>
            <w:tcW w:w="1076" w:type="pct"/>
            <w:vAlign w:val="center"/>
          </w:tcPr>
          <w:p w14:paraId="684AD949" w14:textId="77777777" w:rsidR="00C07B96" w:rsidRPr="00D25F81" w:rsidRDefault="00C07B96" w:rsidP="001A0E28">
            <w:pPr>
              <w:jc w:val="center"/>
              <w:rPr>
                <w:rFonts w:cs="Arial"/>
                <w:b/>
                <w:bCs/>
                <w:color w:val="000000"/>
                <w:sz w:val="20"/>
                <w:szCs w:val="20"/>
              </w:rPr>
            </w:pPr>
            <w:r w:rsidRPr="00D25F81">
              <w:rPr>
                <w:rFonts w:cs="Arial"/>
                <w:b/>
                <w:bCs/>
                <w:color w:val="000000"/>
                <w:sz w:val="20"/>
                <w:szCs w:val="20"/>
              </w:rPr>
              <w:t>Idle Energy Rate</w:t>
            </w:r>
          </w:p>
        </w:tc>
        <w:tc>
          <w:tcPr>
            <w:tcW w:w="1713" w:type="pct"/>
            <w:vAlign w:val="center"/>
          </w:tcPr>
          <w:p w14:paraId="1A7EA308" w14:textId="77777777" w:rsidR="00C07B96" w:rsidRPr="00D25F81" w:rsidRDefault="00C07B96" w:rsidP="001A0E28">
            <w:pPr>
              <w:jc w:val="center"/>
              <w:rPr>
                <w:rFonts w:cs="Arial"/>
                <w:b/>
                <w:bCs/>
                <w:color w:val="000000"/>
                <w:sz w:val="20"/>
                <w:szCs w:val="20"/>
              </w:rPr>
            </w:pPr>
            <w:r w:rsidRPr="00D25F81">
              <w:rPr>
                <w:rFonts w:cs="Arial"/>
                <w:b/>
                <w:bCs/>
                <w:color w:val="000000"/>
                <w:sz w:val="20"/>
                <w:szCs w:val="20"/>
              </w:rPr>
              <w:t>Cooking-Energy Efficiency*</w:t>
            </w:r>
          </w:p>
        </w:tc>
        <w:tc>
          <w:tcPr>
            <w:tcW w:w="1310" w:type="pct"/>
            <w:vAlign w:val="center"/>
          </w:tcPr>
          <w:p w14:paraId="074137C3" w14:textId="77777777" w:rsidR="00C07B96" w:rsidRPr="00D25F81" w:rsidRDefault="00C07B96" w:rsidP="001A0E28">
            <w:pPr>
              <w:jc w:val="center"/>
              <w:rPr>
                <w:rFonts w:cs="Arial"/>
                <w:b/>
                <w:bCs/>
                <w:color w:val="000000"/>
                <w:sz w:val="20"/>
                <w:szCs w:val="20"/>
              </w:rPr>
            </w:pPr>
            <w:r w:rsidRPr="00D25F81">
              <w:rPr>
                <w:rFonts w:cs="Arial"/>
                <w:b/>
                <w:bCs/>
                <w:color w:val="000000"/>
                <w:sz w:val="20"/>
                <w:szCs w:val="20"/>
              </w:rPr>
              <w:t>Production Capacity*</w:t>
            </w:r>
          </w:p>
        </w:tc>
      </w:tr>
      <w:tr w:rsidR="00C07B96" w:rsidRPr="00D25F81" w14:paraId="64CD0D63" w14:textId="77777777" w:rsidTr="001A0E28">
        <w:trPr>
          <w:trHeight w:val="288"/>
        </w:trPr>
        <w:tc>
          <w:tcPr>
            <w:tcW w:w="901" w:type="pct"/>
            <w:vAlign w:val="center"/>
          </w:tcPr>
          <w:p w14:paraId="11959256" w14:textId="77777777" w:rsidR="00C07B96" w:rsidRPr="00D25F81" w:rsidRDefault="00C07B96" w:rsidP="001A0E28">
            <w:pPr>
              <w:jc w:val="center"/>
              <w:rPr>
                <w:rFonts w:cs="Arial"/>
                <w:color w:val="000000"/>
                <w:sz w:val="20"/>
                <w:szCs w:val="20"/>
              </w:rPr>
            </w:pPr>
            <w:r w:rsidRPr="00D25F81">
              <w:rPr>
                <w:rFonts w:cs="Arial"/>
                <w:color w:val="000000"/>
                <w:sz w:val="20"/>
                <w:szCs w:val="20"/>
              </w:rPr>
              <w:t>Electric Griddles</w:t>
            </w:r>
          </w:p>
        </w:tc>
        <w:tc>
          <w:tcPr>
            <w:tcW w:w="1076" w:type="pct"/>
            <w:vAlign w:val="center"/>
          </w:tcPr>
          <w:p w14:paraId="321BA5F7" w14:textId="77777777" w:rsidR="00C07B96" w:rsidRPr="00D25F81" w:rsidRDefault="00C07B96" w:rsidP="001A0E28">
            <w:pPr>
              <w:jc w:val="center"/>
              <w:rPr>
                <w:rFonts w:cs="Arial"/>
                <w:color w:val="000000"/>
                <w:sz w:val="20"/>
                <w:szCs w:val="20"/>
              </w:rPr>
            </w:pPr>
            <w:r w:rsidRPr="00D25F81">
              <w:rPr>
                <w:rFonts w:cs="Arial"/>
                <w:color w:val="000000"/>
                <w:sz w:val="20"/>
                <w:szCs w:val="20"/>
              </w:rPr>
              <w:t>294 W/</w:t>
            </w:r>
            <w:proofErr w:type="spellStart"/>
            <w:r w:rsidRPr="00D25F81">
              <w:rPr>
                <w:rFonts w:cs="Arial"/>
                <w:color w:val="000000"/>
                <w:sz w:val="20"/>
                <w:szCs w:val="20"/>
              </w:rPr>
              <w:t>sqft</w:t>
            </w:r>
            <w:proofErr w:type="spellEnd"/>
            <w:r w:rsidRPr="00D25F81">
              <w:rPr>
                <w:rFonts w:cs="Arial"/>
                <w:color w:val="000000"/>
                <w:sz w:val="20"/>
                <w:szCs w:val="20"/>
              </w:rPr>
              <w:t>/h</w:t>
            </w:r>
          </w:p>
        </w:tc>
        <w:tc>
          <w:tcPr>
            <w:tcW w:w="1713" w:type="pct"/>
            <w:vAlign w:val="center"/>
          </w:tcPr>
          <w:p w14:paraId="69BABB76" w14:textId="77777777" w:rsidR="00C07B96" w:rsidRPr="00D25F81" w:rsidRDefault="00C07B96" w:rsidP="001A0E28">
            <w:pPr>
              <w:jc w:val="center"/>
              <w:rPr>
                <w:rFonts w:cs="Arial"/>
                <w:color w:val="000000"/>
                <w:sz w:val="20"/>
                <w:szCs w:val="20"/>
              </w:rPr>
            </w:pPr>
            <w:r w:rsidRPr="00D25F81">
              <w:rPr>
                <w:rFonts w:cs="Arial"/>
                <w:color w:val="000000"/>
                <w:sz w:val="20"/>
                <w:szCs w:val="20"/>
              </w:rPr>
              <w:t>75%</w:t>
            </w:r>
          </w:p>
        </w:tc>
        <w:tc>
          <w:tcPr>
            <w:tcW w:w="1310" w:type="pct"/>
            <w:vAlign w:val="center"/>
          </w:tcPr>
          <w:p w14:paraId="3BB689B1" w14:textId="77777777" w:rsidR="00C07B96" w:rsidRPr="00D25F81" w:rsidRDefault="00C07B96" w:rsidP="001A0E28">
            <w:pPr>
              <w:jc w:val="center"/>
              <w:rPr>
                <w:rFonts w:cs="Arial"/>
                <w:color w:val="000000"/>
                <w:sz w:val="20"/>
                <w:szCs w:val="20"/>
              </w:rPr>
            </w:pPr>
            <w:r w:rsidRPr="00D25F81">
              <w:rPr>
                <w:rFonts w:cs="Arial"/>
                <w:color w:val="000000"/>
                <w:sz w:val="20"/>
                <w:szCs w:val="20"/>
              </w:rPr>
              <w:t xml:space="preserve">49 </w:t>
            </w:r>
            <w:proofErr w:type="spellStart"/>
            <w:r w:rsidRPr="00D25F81">
              <w:rPr>
                <w:rFonts w:cs="Arial"/>
                <w:color w:val="000000"/>
                <w:sz w:val="20"/>
                <w:szCs w:val="20"/>
              </w:rPr>
              <w:t>lb</w:t>
            </w:r>
            <w:proofErr w:type="spellEnd"/>
            <w:r w:rsidRPr="00D25F81">
              <w:rPr>
                <w:rFonts w:cs="Arial"/>
                <w:color w:val="000000"/>
                <w:sz w:val="20"/>
                <w:szCs w:val="20"/>
              </w:rPr>
              <w:t>/h</w:t>
            </w:r>
          </w:p>
        </w:tc>
      </w:tr>
      <w:tr w:rsidR="00C07B96" w:rsidRPr="00D25F81" w14:paraId="1264EDFF" w14:textId="77777777" w:rsidTr="001A0E28">
        <w:trPr>
          <w:trHeight w:val="288"/>
        </w:trPr>
        <w:tc>
          <w:tcPr>
            <w:tcW w:w="901" w:type="pct"/>
            <w:vAlign w:val="center"/>
          </w:tcPr>
          <w:p w14:paraId="298770BF" w14:textId="77777777" w:rsidR="00C07B96" w:rsidRPr="00D25F81" w:rsidRDefault="00C07B96" w:rsidP="001A0E28">
            <w:pPr>
              <w:jc w:val="center"/>
              <w:rPr>
                <w:rFonts w:cs="Arial"/>
                <w:color w:val="000000"/>
                <w:sz w:val="20"/>
                <w:szCs w:val="20"/>
              </w:rPr>
            </w:pPr>
            <w:r w:rsidRPr="00D25F81">
              <w:rPr>
                <w:rFonts w:cs="Arial"/>
                <w:color w:val="000000"/>
                <w:sz w:val="20"/>
                <w:szCs w:val="20"/>
              </w:rPr>
              <w:t>Gas Griddles</w:t>
            </w:r>
          </w:p>
        </w:tc>
        <w:tc>
          <w:tcPr>
            <w:tcW w:w="1076" w:type="pct"/>
            <w:vAlign w:val="center"/>
          </w:tcPr>
          <w:p w14:paraId="4BFD2ACD" w14:textId="77777777" w:rsidR="00C07B96" w:rsidRPr="00D25F81" w:rsidRDefault="00C07B96" w:rsidP="001A0E28">
            <w:pPr>
              <w:jc w:val="center"/>
              <w:rPr>
                <w:rFonts w:cs="Arial"/>
                <w:color w:val="000000"/>
                <w:sz w:val="20"/>
                <w:szCs w:val="20"/>
              </w:rPr>
            </w:pPr>
            <w:r w:rsidRPr="00D25F81">
              <w:rPr>
                <w:rFonts w:cs="Arial"/>
                <w:color w:val="000000"/>
                <w:sz w:val="20"/>
                <w:szCs w:val="20"/>
              </w:rPr>
              <w:t>2,068 Btu/</w:t>
            </w:r>
            <w:proofErr w:type="spellStart"/>
            <w:r w:rsidRPr="00D25F81">
              <w:rPr>
                <w:rFonts w:cs="Arial"/>
                <w:color w:val="000000"/>
                <w:sz w:val="20"/>
                <w:szCs w:val="20"/>
              </w:rPr>
              <w:t>sqft</w:t>
            </w:r>
            <w:proofErr w:type="spellEnd"/>
            <w:r w:rsidRPr="00D25F81">
              <w:rPr>
                <w:rFonts w:cs="Arial"/>
                <w:color w:val="000000"/>
                <w:sz w:val="20"/>
                <w:szCs w:val="20"/>
              </w:rPr>
              <w:t>/h</w:t>
            </w:r>
          </w:p>
        </w:tc>
        <w:tc>
          <w:tcPr>
            <w:tcW w:w="1713" w:type="pct"/>
            <w:vAlign w:val="center"/>
          </w:tcPr>
          <w:p w14:paraId="4A5FC507" w14:textId="77777777" w:rsidR="00C07B96" w:rsidRPr="00D25F81" w:rsidRDefault="00C07B96" w:rsidP="001A0E28">
            <w:pPr>
              <w:jc w:val="center"/>
              <w:rPr>
                <w:rFonts w:cs="Arial"/>
                <w:color w:val="000000"/>
                <w:sz w:val="20"/>
                <w:szCs w:val="20"/>
              </w:rPr>
            </w:pPr>
            <w:r w:rsidRPr="00D25F81">
              <w:rPr>
                <w:rFonts w:cs="Arial"/>
                <w:color w:val="000000"/>
                <w:sz w:val="20"/>
                <w:szCs w:val="20"/>
              </w:rPr>
              <w:t>46%</w:t>
            </w:r>
          </w:p>
        </w:tc>
        <w:tc>
          <w:tcPr>
            <w:tcW w:w="1310" w:type="pct"/>
            <w:vAlign w:val="center"/>
          </w:tcPr>
          <w:p w14:paraId="57166D1E" w14:textId="77777777" w:rsidR="00C07B96" w:rsidRPr="00D25F81" w:rsidRDefault="00C07B96" w:rsidP="001A0E28">
            <w:pPr>
              <w:jc w:val="center"/>
              <w:rPr>
                <w:rFonts w:cs="Arial"/>
                <w:color w:val="000000"/>
                <w:sz w:val="20"/>
                <w:szCs w:val="20"/>
              </w:rPr>
            </w:pPr>
            <w:r w:rsidRPr="00D25F81">
              <w:rPr>
                <w:rFonts w:cs="Arial"/>
                <w:color w:val="000000"/>
                <w:sz w:val="20"/>
                <w:szCs w:val="20"/>
              </w:rPr>
              <w:t xml:space="preserve">49 </w:t>
            </w:r>
            <w:proofErr w:type="spellStart"/>
            <w:r w:rsidRPr="00D25F81">
              <w:rPr>
                <w:rFonts w:cs="Arial"/>
                <w:color w:val="000000"/>
                <w:sz w:val="20"/>
                <w:szCs w:val="20"/>
              </w:rPr>
              <w:t>lb</w:t>
            </w:r>
            <w:proofErr w:type="spellEnd"/>
            <w:r w:rsidRPr="00D25F81">
              <w:rPr>
                <w:rFonts w:cs="Arial"/>
                <w:color w:val="000000"/>
                <w:sz w:val="20"/>
                <w:szCs w:val="20"/>
              </w:rPr>
              <w:t>/h</w:t>
            </w:r>
          </w:p>
        </w:tc>
      </w:tr>
    </w:tbl>
    <w:p w14:paraId="393A0EBC" w14:textId="450AF7CC" w:rsidR="00A172E6" w:rsidRPr="00A172E6" w:rsidRDefault="00C07B96" w:rsidP="00A172E6">
      <w:pPr>
        <w:rPr>
          <w:rFonts w:cs="Arial"/>
          <w:sz w:val="20"/>
          <w:szCs w:val="20"/>
        </w:rPr>
      </w:pPr>
      <w:r w:rsidRPr="00D25F81">
        <w:rPr>
          <w:rFonts w:ascii="Times New Roman" w:hAnsi="Times New Roman"/>
          <w:sz w:val="18"/>
        </w:rPr>
        <w:t>*Based on the Heavy-load Hamburger Patties test in ASTM F1275.</w:t>
      </w:r>
      <w:r w:rsidRPr="00D25F81">
        <w:rPr>
          <w:rFonts w:ascii="Times New Roman" w:hAnsi="Times New Roman"/>
          <w:sz w:val="18"/>
          <w:vertAlign w:val="superscript"/>
        </w:rPr>
        <w:t>1</w:t>
      </w:r>
    </w:p>
    <w:p w14:paraId="50D134BC" w14:textId="77777777" w:rsidR="00C07B96" w:rsidRDefault="00C07B96" w:rsidP="000701EB">
      <w:pPr>
        <w:rPr>
          <w:rFonts w:cs="Arial"/>
          <w:b/>
          <w:sz w:val="20"/>
          <w:szCs w:val="20"/>
        </w:rPr>
      </w:pPr>
    </w:p>
    <w:p w14:paraId="393A0FCB" w14:textId="77777777" w:rsidR="00EC4357" w:rsidRDefault="00EC4357" w:rsidP="00A02F0A"/>
    <w:p w14:paraId="393A0FCC" w14:textId="77777777" w:rsidR="001C2942" w:rsidRPr="00836F9B" w:rsidRDefault="00EC4357" w:rsidP="00063FA7">
      <w:pPr>
        <w:rPr>
          <w:rFonts w:cs="Arial"/>
          <w:b/>
          <w:i/>
          <w:sz w:val="28"/>
          <w:szCs w:val="28"/>
        </w:rPr>
      </w:pPr>
      <w:r>
        <w:br w:type="page"/>
      </w:r>
      <w:r w:rsidR="001C2942" w:rsidRPr="00836F9B">
        <w:rPr>
          <w:rFonts w:cs="Arial"/>
          <w:b/>
          <w:i/>
          <w:sz w:val="28"/>
          <w:szCs w:val="28"/>
        </w:rPr>
        <w:lastRenderedPageBreak/>
        <w:t>1.</w:t>
      </w:r>
      <w:r w:rsidR="00063FA7" w:rsidRPr="00836F9B">
        <w:rPr>
          <w:rFonts w:cs="Arial"/>
          <w:b/>
          <w:i/>
          <w:sz w:val="28"/>
          <w:szCs w:val="28"/>
        </w:rPr>
        <w:t>4.5</w:t>
      </w:r>
      <w:r w:rsidR="001178BE">
        <w:rPr>
          <w:rFonts w:cs="Arial"/>
          <w:b/>
          <w:i/>
          <w:sz w:val="28"/>
          <w:szCs w:val="28"/>
        </w:rPr>
        <w:t xml:space="preserve"> </w:t>
      </w:r>
      <w:r w:rsidR="001C2942" w:rsidRPr="00836F9B">
        <w:rPr>
          <w:rFonts w:cs="Arial"/>
          <w:b/>
          <w:i/>
          <w:sz w:val="28"/>
          <w:szCs w:val="28"/>
        </w:rPr>
        <w:t>Time-of-Use Adjustment Factor</w:t>
      </w:r>
    </w:p>
    <w:p w14:paraId="393A0FCD" w14:textId="0B5B4C26" w:rsidR="001C2942" w:rsidRPr="00063FA7" w:rsidRDefault="001C2942" w:rsidP="001C2942">
      <w:pPr>
        <w:pStyle w:val="Reminder"/>
        <w:rPr>
          <w:rFonts w:ascii="Arial" w:hAnsi="Arial" w:cs="Arial"/>
          <w:color w:val="auto"/>
          <w:sz w:val="20"/>
          <w:szCs w:val="20"/>
        </w:rPr>
      </w:pPr>
    </w:p>
    <w:p w14:paraId="393A0FCE" w14:textId="77777777" w:rsidR="001178BE" w:rsidRDefault="00FF4E87" w:rsidP="001C2942">
      <w:pPr>
        <w:pStyle w:val="Reminders"/>
        <w:rPr>
          <w:rFonts w:ascii="Arial" w:hAnsi="Arial" w:cs="Arial"/>
          <w:i w:val="0"/>
          <w:color w:val="auto"/>
          <w:sz w:val="20"/>
          <w:szCs w:val="20"/>
          <w:highlight w:val="yellow"/>
        </w:rPr>
      </w:pPr>
      <w:r w:rsidRPr="00B20BB2">
        <w:rPr>
          <w:rFonts w:ascii="Arial" w:hAnsi="Arial" w:cs="Arial"/>
          <w:i w:val="0"/>
          <w:color w:val="auto"/>
          <w:sz w:val="20"/>
          <w:szCs w:val="20"/>
        </w:rPr>
        <w:t xml:space="preserve">We are required </w:t>
      </w:r>
      <w:r w:rsidR="001C2942" w:rsidRPr="00B20BB2">
        <w:rPr>
          <w:rFonts w:ascii="Arial" w:hAnsi="Arial" w:cs="Arial"/>
          <w:i w:val="0"/>
          <w:color w:val="auto"/>
          <w:sz w:val="20"/>
          <w:szCs w:val="20"/>
        </w:rPr>
        <w:t>by CPUC decision 06-06-063 dated June 29, 2006</w:t>
      </w:r>
      <w:r w:rsidRPr="00B20BB2">
        <w:rPr>
          <w:rFonts w:ascii="Arial" w:hAnsi="Arial" w:cs="Arial"/>
          <w:i w:val="0"/>
          <w:color w:val="auto"/>
          <w:sz w:val="20"/>
          <w:szCs w:val="20"/>
        </w:rPr>
        <w:t xml:space="preserve"> to apply </w:t>
      </w:r>
      <w:r w:rsidR="001C2942" w:rsidRPr="00B20BB2">
        <w:rPr>
          <w:rFonts w:ascii="Arial" w:hAnsi="Arial" w:cs="Arial"/>
          <w:i w:val="0"/>
          <w:color w:val="auto"/>
          <w:sz w:val="20"/>
          <w:szCs w:val="20"/>
        </w:rPr>
        <w:t xml:space="preserve">time-of-use (TOU) adjustment factors </w:t>
      </w:r>
      <w:r w:rsidRPr="00B20BB2">
        <w:rPr>
          <w:rFonts w:ascii="Arial" w:hAnsi="Arial" w:cs="Arial"/>
          <w:i w:val="0"/>
          <w:color w:val="auto"/>
          <w:sz w:val="20"/>
          <w:szCs w:val="20"/>
        </w:rPr>
        <w:t>on</w:t>
      </w:r>
      <w:r w:rsidR="001C2942" w:rsidRPr="00B20BB2">
        <w:rPr>
          <w:rFonts w:ascii="Arial" w:hAnsi="Arial" w:cs="Arial"/>
          <w:i w:val="0"/>
          <w:color w:val="auto"/>
          <w:sz w:val="20"/>
          <w:szCs w:val="20"/>
        </w:rPr>
        <w:t xml:space="preserve"> residential A/C and commercial A/C (packaged and split-system direct-expansion cooling) measures only.</w:t>
      </w:r>
      <w:r w:rsidR="00437BE1" w:rsidRPr="00B20BB2">
        <w:rPr>
          <w:rFonts w:ascii="Arial" w:hAnsi="Arial" w:cs="Arial"/>
          <w:i w:val="0"/>
          <w:color w:val="auto"/>
          <w:sz w:val="20"/>
          <w:szCs w:val="20"/>
        </w:rPr>
        <w:t xml:space="preserve"> </w:t>
      </w:r>
      <w:r w:rsidR="001C2942" w:rsidRPr="00B20BB2">
        <w:rPr>
          <w:rFonts w:ascii="Arial" w:hAnsi="Arial" w:cs="Arial"/>
          <w:i w:val="0"/>
          <w:color w:val="auto"/>
          <w:sz w:val="20"/>
          <w:szCs w:val="20"/>
        </w:rPr>
        <w:t xml:space="preserve"> Since this is not an A/C measure, the TOU adjustment factor is 0.</w:t>
      </w:r>
      <w:r w:rsidR="00437BE1" w:rsidRPr="00B20BB2">
        <w:rPr>
          <w:rFonts w:ascii="Arial" w:hAnsi="Arial" w:cs="Arial"/>
          <w:i w:val="0"/>
          <w:color w:val="auto"/>
          <w:sz w:val="20"/>
          <w:szCs w:val="20"/>
        </w:rPr>
        <w:t xml:space="preserve"> </w:t>
      </w:r>
    </w:p>
    <w:p w14:paraId="393A0FDA" w14:textId="48850B78" w:rsidR="00EB43BA" w:rsidRPr="00EB43BA" w:rsidRDefault="00437BE1" w:rsidP="00EB43BA">
      <w:pPr>
        <w:pStyle w:val="Caption"/>
        <w:keepNext/>
        <w:ind w:left="1440"/>
        <w:rPr>
          <w:rFonts w:cs="Arial"/>
          <w:b w:val="0"/>
          <w:highlight w:val="yellow"/>
        </w:rPr>
      </w:pPr>
      <w:r>
        <w:rPr>
          <w:rFonts w:cs="Arial"/>
          <w:b w:val="0"/>
          <w:highlight w:val="yellow"/>
        </w:rPr>
        <w:t xml:space="preserve"> </w:t>
      </w:r>
    </w:p>
    <w:p w14:paraId="393A0FDB" w14:textId="77777777" w:rsidR="00EB43BA" w:rsidRPr="00EB43BA" w:rsidRDefault="00EB43BA" w:rsidP="001C2942">
      <w:pPr>
        <w:pStyle w:val="Caption"/>
        <w:keepNext/>
        <w:rPr>
          <w:rFonts w:cs="Arial"/>
          <w:b w:val="0"/>
          <w:highlight w:val="yellow"/>
        </w:rPr>
      </w:pPr>
    </w:p>
    <w:p w14:paraId="6FB942C3" w14:textId="77777777" w:rsidR="00CD1471" w:rsidRPr="00CD1471" w:rsidRDefault="001C2942" w:rsidP="00CD1471">
      <w:pPr>
        <w:pStyle w:val="Caption"/>
        <w:keepNext/>
        <w:rPr>
          <w:rFonts w:cs="Arial"/>
          <w:b w:val="0"/>
        </w:rPr>
      </w:pPr>
      <w:r w:rsidRPr="00B20BB2">
        <w:rPr>
          <w:rFonts w:cs="Arial"/>
          <w:b w:val="0"/>
        </w:rPr>
        <w:t xml:space="preserve">The specific values and results are summarized in </w:t>
      </w:r>
      <w:r w:rsidRPr="00B20BB2">
        <w:rPr>
          <w:rFonts w:cs="Arial"/>
          <w:b w:val="0"/>
        </w:rPr>
        <w:fldChar w:fldCharType="begin"/>
      </w:r>
      <w:r w:rsidRPr="00B20BB2">
        <w:rPr>
          <w:rFonts w:cs="Arial"/>
          <w:b w:val="0"/>
        </w:rPr>
        <w:instrText xml:space="preserve"> REF _Ref242757962 \h  \* MERGEFORMAT </w:instrText>
      </w:r>
      <w:r w:rsidRPr="00B20BB2">
        <w:rPr>
          <w:rFonts w:cs="Arial"/>
          <w:b w:val="0"/>
        </w:rPr>
      </w:r>
      <w:r w:rsidRPr="00B20BB2">
        <w:rPr>
          <w:rFonts w:cs="Arial"/>
          <w:b w:val="0"/>
        </w:rPr>
        <w:fldChar w:fldCharType="separate"/>
      </w:r>
    </w:p>
    <w:p w14:paraId="393A0FDD" w14:textId="4AB28FF0" w:rsidR="001C2942" w:rsidRPr="00EB43BA" w:rsidRDefault="00CD1471" w:rsidP="001C2942">
      <w:pPr>
        <w:pStyle w:val="Caption"/>
        <w:keepNext/>
        <w:rPr>
          <w:rFonts w:cs="Arial"/>
          <w:b w:val="0"/>
        </w:rPr>
      </w:pPr>
      <w:r w:rsidRPr="00CD1471">
        <w:rPr>
          <w:rFonts w:cs="Arial"/>
          <w:b w:val="0"/>
          <w:noProof/>
        </w:rPr>
        <w:t xml:space="preserve">Table </w:t>
      </w:r>
      <w:r w:rsidR="001C2942" w:rsidRPr="00B20BB2">
        <w:rPr>
          <w:rFonts w:cs="Arial"/>
          <w:b w:val="0"/>
        </w:rPr>
        <w:fldChar w:fldCharType="end"/>
      </w:r>
    </w:p>
    <w:p w14:paraId="393A0FDE" w14:textId="77777777" w:rsidR="001C2942" w:rsidRPr="00EB43BA" w:rsidRDefault="001C2942" w:rsidP="001C2942">
      <w:pPr>
        <w:pStyle w:val="Caption"/>
        <w:keepNext/>
        <w:jc w:val="center"/>
        <w:rPr>
          <w:rFonts w:cs="Arial"/>
        </w:rPr>
      </w:pPr>
      <w:bookmarkStart w:id="70" w:name="_Ref242757962"/>
    </w:p>
    <w:p w14:paraId="393A0FDF" w14:textId="2F47F5E5" w:rsidR="001C2942" w:rsidRPr="00B365BD" w:rsidRDefault="00B20BB2" w:rsidP="00B20BB2">
      <w:pPr>
        <w:pStyle w:val="Caption"/>
        <w:keepNext/>
        <w:rPr>
          <w:rFonts w:cs="Arial"/>
          <w:sz w:val="24"/>
          <w:szCs w:val="24"/>
        </w:rPr>
      </w:pPr>
      <w:bookmarkStart w:id="71" w:name="_Toc324427647"/>
      <w:r w:rsidRPr="00B365BD">
        <w:rPr>
          <w:rFonts w:cs="Arial"/>
          <w:sz w:val="24"/>
          <w:szCs w:val="24"/>
        </w:rPr>
        <w:t>T</w:t>
      </w:r>
      <w:r w:rsidR="001C2942" w:rsidRPr="00B365BD">
        <w:rPr>
          <w:rFonts w:cs="Arial"/>
          <w:sz w:val="24"/>
          <w:szCs w:val="24"/>
        </w:rPr>
        <w:t xml:space="preserve">able </w:t>
      </w:r>
      <w:bookmarkEnd w:id="70"/>
      <w:r w:rsidRPr="00B365BD">
        <w:rPr>
          <w:rFonts w:cs="Arial"/>
          <w:sz w:val="24"/>
          <w:szCs w:val="24"/>
        </w:rPr>
        <w:t>8</w:t>
      </w:r>
      <w:r w:rsidR="00437BE1" w:rsidRPr="00B365BD">
        <w:rPr>
          <w:rFonts w:cs="Arial"/>
          <w:sz w:val="24"/>
          <w:szCs w:val="24"/>
        </w:rPr>
        <w:t xml:space="preserve"> </w:t>
      </w:r>
      <w:r w:rsidR="001C2942" w:rsidRPr="00B365BD">
        <w:rPr>
          <w:rFonts w:cs="Arial"/>
          <w:sz w:val="24"/>
          <w:szCs w:val="24"/>
        </w:rPr>
        <w:t>TOU Adjustment Factors</w:t>
      </w:r>
      <w:bookmarkEnd w:id="71"/>
    </w:p>
    <w:tbl>
      <w:tblPr>
        <w:tblW w:w="4944"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9"/>
        <w:gridCol w:w="1348"/>
        <w:gridCol w:w="2566"/>
        <w:gridCol w:w="2566"/>
      </w:tblGrid>
      <w:tr w:rsidR="009B1863" w:rsidRPr="001E4C31" w14:paraId="393A0FE4" w14:textId="77777777" w:rsidTr="001E4C31">
        <w:tc>
          <w:tcPr>
            <w:tcW w:w="1578" w:type="pct"/>
            <w:shd w:val="clear" w:color="auto" w:fill="262626"/>
            <w:vAlign w:val="bottom"/>
          </w:tcPr>
          <w:p w14:paraId="393A0FE0" w14:textId="77777777" w:rsidR="001C2942" w:rsidRPr="001E4C31" w:rsidRDefault="001C2942" w:rsidP="001E4C31">
            <w:pPr>
              <w:keepLines/>
              <w:jc w:val="center"/>
              <w:rPr>
                <w:rFonts w:cs="Arial"/>
                <w:b/>
                <w:bCs/>
                <w:color w:val="F2F2F2"/>
                <w:sz w:val="20"/>
                <w:szCs w:val="20"/>
                <w:highlight w:val="yellow"/>
              </w:rPr>
            </w:pPr>
            <w:r w:rsidRPr="001E4C31">
              <w:rPr>
                <w:rFonts w:cs="Arial"/>
                <w:b/>
                <w:bCs/>
                <w:color w:val="F2F2F2"/>
                <w:sz w:val="20"/>
                <w:szCs w:val="20"/>
              </w:rPr>
              <w:t>Measure</w:t>
            </w:r>
          </w:p>
        </w:tc>
        <w:tc>
          <w:tcPr>
            <w:tcW w:w="712" w:type="pct"/>
            <w:shd w:val="clear" w:color="auto" w:fill="262626"/>
            <w:vAlign w:val="bottom"/>
          </w:tcPr>
          <w:p w14:paraId="393A0FE1" w14:textId="77777777" w:rsidR="001C2942" w:rsidRPr="001E4C31" w:rsidRDefault="001C2942" w:rsidP="001E4C31">
            <w:pPr>
              <w:keepLines/>
              <w:jc w:val="center"/>
              <w:rPr>
                <w:rFonts w:cs="Arial"/>
                <w:b/>
                <w:bCs/>
                <w:color w:val="F2F2F2"/>
                <w:sz w:val="20"/>
                <w:szCs w:val="20"/>
                <w:highlight w:val="yellow"/>
              </w:rPr>
            </w:pPr>
            <w:proofErr w:type="spellStart"/>
            <w:r w:rsidRPr="001E4C31">
              <w:rPr>
                <w:rFonts w:cs="Arial"/>
                <w:b/>
                <w:bCs/>
                <w:i/>
                <w:color w:val="F2F2F2"/>
                <w:sz w:val="20"/>
                <w:szCs w:val="20"/>
              </w:rPr>
              <w:t>kW</w:t>
            </w:r>
            <w:r w:rsidRPr="001E4C31">
              <w:rPr>
                <w:rFonts w:cs="Arial"/>
                <w:b/>
                <w:bCs/>
                <w:i/>
                <w:color w:val="F2F2F2"/>
                <w:sz w:val="20"/>
                <w:szCs w:val="20"/>
                <w:vertAlign w:val="subscript"/>
              </w:rPr>
              <w:t>AC</w:t>
            </w:r>
            <w:proofErr w:type="spellEnd"/>
          </w:p>
        </w:tc>
        <w:tc>
          <w:tcPr>
            <w:tcW w:w="1355" w:type="pct"/>
            <w:shd w:val="clear" w:color="auto" w:fill="262626"/>
            <w:vAlign w:val="bottom"/>
          </w:tcPr>
          <w:p w14:paraId="393A0FE2" w14:textId="77777777" w:rsidR="001C2942" w:rsidRPr="001E4C31" w:rsidRDefault="001C2942" w:rsidP="001E4C31">
            <w:pPr>
              <w:keepLines/>
              <w:jc w:val="center"/>
              <w:rPr>
                <w:rFonts w:cs="Arial"/>
                <w:b/>
                <w:bCs/>
                <w:color w:val="F2F2F2"/>
                <w:sz w:val="20"/>
                <w:szCs w:val="20"/>
                <w:highlight w:val="yellow"/>
              </w:rPr>
            </w:pPr>
            <w:proofErr w:type="spellStart"/>
            <w:r w:rsidRPr="001E4C31">
              <w:rPr>
                <w:rFonts w:cs="Arial"/>
                <w:b/>
                <w:bCs/>
                <w:i/>
                <w:color w:val="F2F2F2"/>
                <w:sz w:val="20"/>
                <w:szCs w:val="20"/>
              </w:rPr>
              <w:t>kW</w:t>
            </w:r>
            <w:r w:rsidRPr="001E4C31">
              <w:rPr>
                <w:rFonts w:cs="Arial"/>
                <w:b/>
                <w:bCs/>
                <w:i/>
                <w:color w:val="F2F2F2"/>
                <w:sz w:val="20"/>
                <w:szCs w:val="20"/>
                <w:vertAlign w:val="subscript"/>
              </w:rPr>
              <w:t>Total</w:t>
            </w:r>
            <w:proofErr w:type="spellEnd"/>
          </w:p>
        </w:tc>
        <w:tc>
          <w:tcPr>
            <w:tcW w:w="1355" w:type="pct"/>
            <w:shd w:val="clear" w:color="auto" w:fill="262626"/>
            <w:vAlign w:val="bottom"/>
          </w:tcPr>
          <w:p w14:paraId="393A0FE3" w14:textId="77777777" w:rsidR="001C2942" w:rsidRPr="001E4C31" w:rsidRDefault="001C2942" w:rsidP="001E4C31">
            <w:pPr>
              <w:keepLines/>
              <w:jc w:val="center"/>
              <w:rPr>
                <w:rFonts w:cs="Arial"/>
                <w:b/>
                <w:bCs/>
                <w:color w:val="F2F2F2"/>
                <w:sz w:val="20"/>
                <w:szCs w:val="20"/>
                <w:highlight w:val="yellow"/>
              </w:rPr>
            </w:pPr>
            <w:r w:rsidRPr="001E4C31">
              <w:rPr>
                <w:rFonts w:cs="Arial"/>
                <w:b/>
                <w:bCs/>
                <w:color w:val="F2F2F2"/>
                <w:sz w:val="20"/>
                <w:szCs w:val="20"/>
              </w:rPr>
              <w:t>%</w:t>
            </w:r>
          </w:p>
        </w:tc>
      </w:tr>
      <w:tr w:rsidR="001C2942" w:rsidRPr="00EB43BA" w14:paraId="393A0FE9" w14:textId="77777777" w:rsidTr="001E4C31">
        <w:tc>
          <w:tcPr>
            <w:tcW w:w="1578" w:type="pct"/>
            <w:shd w:val="pct5" w:color="000000" w:fill="FFFFFF"/>
            <w:vAlign w:val="bottom"/>
          </w:tcPr>
          <w:p w14:paraId="393A0FE5" w14:textId="6A54F788" w:rsidR="001C2942" w:rsidRPr="00B20BB2" w:rsidRDefault="00B20BB2" w:rsidP="001E4C31">
            <w:pPr>
              <w:jc w:val="center"/>
              <w:rPr>
                <w:rFonts w:cs="Arial"/>
                <w:sz w:val="20"/>
                <w:szCs w:val="20"/>
              </w:rPr>
            </w:pPr>
            <w:r w:rsidRPr="00B20BB2">
              <w:rPr>
                <w:rFonts w:cs="Arial"/>
                <w:sz w:val="20"/>
                <w:szCs w:val="20"/>
              </w:rPr>
              <w:t>Commercial Cooking Equipment</w:t>
            </w:r>
          </w:p>
        </w:tc>
        <w:tc>
          <w:tcPr>
            <w:tcW w:w="712" w:type="pct"/>
            <w:shd w:val="pct5" w:color="000000" w:fill="FFFFFF"/>
            <w:vAlign w:val="bottom"/>
          </w:tcPr>
          <w:p w14:paraId="393A0FE6" w14:textId="77777777" w:rsidR="001C2942" w:rsidRPr="00B20BB2" w:rsidRDefault="001C2942" w:rsidP="001E4C31">
            <w:pPr>
              <w:jc w:val="center"/>
              <w:rPr>
                <w:rFonts w:cs="Arial"/>
                <w:sz w:val="20"/>
                <w:szCs w:val="20"/>
              </w:rPr>
            </w:pPr>
            <w:r w:rsidRPr="00B20BB2">
              <w:rPr>
                <w:rFonts w:cs="Arial"/>
                <w:sz w:val="20"/>
                <w:szCs w:val="20"/>
              </w:rPr>
              <w:t>0</w:t>
            </w:r>
          </w:p>
        </w:tc>
        <w:tc>
          <w:tcPr>
            <w:tcW w:w="1355" w:type="pct"/>
            <w:shd w:val="pct5" w:color="000000" w:fill="FFFFFF"/>
            <w:vAlign w:val="bottom"/>
          </w:tcPr>
          <w:p w14:paraId="393A0FE7" w14:textId="77777777" w:rsidR="001C2942" w:rsidRPr="00B20BB2" w:rsidRDefault="001C2942" w:rsidP="001E4C31">
            <w:pPr>
              <w:jc w:val="center"/>
              <w:rPr>
                <w:rFonts w:cs="Arial"/>
                <w:sz w:val="20"/>
                <w:szCs w:val="20"/>
              </w:rPr>
            </w:pPr>
            <w:r w:rsidRPr="00B20BB2">
              <w:rPr>
                <w:rFonts w:cs="Arial"/>
                <w:sz w:val="20"/>
                <w:szCs w:val="20"/>
              </w:rPr>
              <w:t>0</w:t>
            </w:r>
          </w:p>
        </w:tc>
        <w:tc>
          <w:tcPr>
            <w:tcW w:w="1355" w:type="pct"/>
            <w:shd w:val="pct5" w:color="000000" w:fill="FFFFFF"/>
            <w:vAlign w:val="bottom"/>
          </w:tcPr>
          <w:p w14:paraId="393A0FE8" w14:textId="77777777" w:rsidR="001C2942" w:rsidRPr="00B20BB2" w:rsidRDefault="001C2942" w:rsidP="001E4C31">
            <w:pPr>
              <w:jc w:val="center"/>
              <w:rPr>
                <w:rFonts w:cs="Arial"/>
                <w:sz w:val="20"/>
                <w:szCs w:val="20"/>
              </w:rPr>
            </w:pPr>
            <w:r w:rsidRPr="00B20BB2">
              <w:rPr>
                <w:rFonts w:cs="Arial"/>
                <w:sz w:val="20"/>
                <w:szCs w:val="20"/>
              </w:rPr>
              <w:t>0</w:t>
            </w:r>
          </w:p>
        </w:tc>
      </w:tr>
    </w:tbl>
    <w:p w14:paraId="76B120F0" w14:textId="77777777" w:rsidR="00B20BB2" w:rsidRDefault="00B20BB2" w:rsidP="001178BE">
      <w:pPr>
        <w:keepNext/>
        <w:rPr>
          <w:rFonts w:cs="Arial"/>
          <w:b/>
          <w:i/>
          <w:sz w:val="28"/>
          <w:szCs w:val="28"/>
        </w:rPr>
      </w:pPr>
      <w:bookmarkStart w:id="72" w:name="_Toc304800209"/>
    </w:p>
    <w:p w14:paraId="393A0FEE" w14:textId="77777777" w:rsidR="00C069A2" w:rsidRPr="00EA38B4" w:rsidRDefault="001248A3" w:rsidP="001178BE">
      <w:pPr>
        <w:keepNext/>
        <w:rPr>
          <w:rFonts w:cs="Arial"/>
          <w:b/>
          <w:i/>
          <w:sz w:val="28"/>
          <w:szCs w:val="28"/>
        </w:rPr>
      </w:pPr>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72"/>
      <w:r w:rsidR="00814500" w:rsidRPr="00EA38B4">
        <w:rPr>
          <w:rFonts w:cs="Arial"/>
          <w:b/>
          <w:i/>
          <w:sz w:val="28"/>
          <w:szCs w:val="28"/>
        </w:rPr>
        <w:t xml:space="preserve"> </w:t>
      </w:r>
    </w:p>
    <w:p w14:paraId="393A0FEF" w14:textId="77777777"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40C8EE9C" w14:textId="77777777" w:rsidR="00B365BD" w:rsidRPr="00B365BD" w:rsidRDefault="00B365BD" w:rsidP="001178BE">
      <w:pPr>
        <w:keepNext/>
        <w:rPr>
          <w:rFonts w:cs="Arial"/>
          <w:sz w:val="24"/>
        </w:rPr>
      </w:pPr>
    </w:p>
    <w:p w14:paraId="393A0FF0" w14:textId="77769F80" w:rsidR="001A3026" w:rsidRPr="00ED4EC4" w:rsidRDefault="00B365BD" w:rsidP="001178BE">
      <w:pPr>
        <w:keepNext/>
        <w:rPr>
          <w:rFonts w:cs="Arial"/>
          <w:b/>
          <w:sz w:val="20"/>
          <w:szCs w:val="20"/>
        </w:rPr>
      </w:pPr>
      <w:r w:rsidRPr="00B365BD">
        <w:rPr>
          <w:rFonts w:cs="Arial"/>
          <w:b/>
          <w:sz w:val="24"/>
        </w:rPr>
        <w:t>Table 9 Summary of Inputs for Savings Calculations</w:t>
      </w: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600"/>
        <w:gridCol w:w="1514"/>
        <w:gridCol w:w="1279"/>
        <w:gridCol w:w="1242"/>
        <w:gridCol w:w="1295"/>
        <w:gridCol w:w="1131"/>
        <w:gridCol w:w="1515"/>
      </w:tblGrid>
      <w:tr w:rsidR="00B365BD" w:rsidRPr="001E4C31" w14:paraId="393A0FF7" w14:textId="77777777" w:rsidTr="00B365BD">
        <w:tc>
          <w:tcPr>
            <w:tcW w:w="1600" w:type="dxa"/>
            <w:shd w:val="clear" w:color="auto" w:fill="262626"/>
            <w:vAlign w:val="bottom"/>
          </w:tcPr>
          <w:p w14:paraId="393A0FF1" w14:textId="77777777" w:rsidR="00B365BD" w:rsidRPr="001E4C31" w:rsidRDefault="00B365BD"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514" w:type="dxa"/>
            <w:shd w:val="clear" w:color="auto" w:fill="262626"/>
            <w:vAlign w:val="bottom"/>
          </w:tcPr>
          <w:p w14:paraId="393A0FF2" w14:textId="77777777" w:rsidR="00B365BD" w:rsidRPr="001E4C31" w:rsidRDefault="00B365BD" w:rsidP="001E4C31">
            <w:pPr>
              <w:keepNext/>
              <w:keepLines/>
              <w:jc w:val="center"/>
              <w:rPr>
                <w:rFonts w:cs="Arial"/>
                <w:b/>
                <w:bCs/>
                <w:color w:val="F2F2F2"/>
                <w:sz w:val="20"/>
                <w:szCs w:val="20"/>
              </w:rPr>
            </w:pPr>
            <w:r w:rsidRPr="001E4C31">
              <w:rPr>
                <w:rFonts w:cs="Arial"/>
                <w:b/>
                <w:bCs/>
                <w:color w:val="F2F2F2"/>
                <w:sz w:val="20"/>
                <w:szCs w:val="20"/>
              </w:rPr>
              <w:t>Variations</w:t>
            </w:r>
          </w:p>
        </w:tc>
        <w:tc>
          <w:tcPr>
            <w:tcW w:w="1279" w:type="dxa"/>
            <w:shd w:val="clear" w:color="auto" w:fill="262626"/>
            <w:vAlign w:val="bottom"/>
          </w:tcPr>
          <w:p w14:paraId="393A0FF3" w14:textId="0689451D" w:rsidR="00B365BD" w:rsidRPr="001E4C31" w:rsidRDefault="00B365BD" w:rsidP="00B365BD">
            <w:pPr>
              <w:keepNext/>
              <w:keepLines/>
              <w:jc w:val="center"/>
              <w:rPr>
                <w:rFonts w:cs="Arial"/>
                <w:b/>
                <w:bCs/>
                <w:color w:val="F2F2F2"/>
                <w:sz w:val="20"/>
                <w:szCs w:val="20"/>
              </w:rPr>
            </w:pPr>
            <w:r w:rsidRPr="001E4C31">
              <w:rPr>
                <w:rFonts w:cs="Arial"/>
                <w:b/>
                <w:bCs/>
                <w:color w:val="F2F2F2"/>
                <w:sz w:val="20"/>
                <w:szCs w:val="20"/>
              </w:rPr>
              <w:t xml:space="preserve">Base Case </w:t>
            </w:r>
            <w:r>
              <w:rPr>
                <w:rFonts w:cs="Arial"/>
                <w:b/>
                <w:bCs/>
                <w:color w:val="F2F2F2"/>
                <w:sz w:val="20"/>
                <w:szCs w:val="20"/>
              </w:rPr>
              <w:t xml:space="preserve">Electric </w:t>
            </w:r>
            <w:r w:rsidRPr="001E4C31">
              <w:rPr>
                <w:rFonts w:cs="Arial"/>
                <w:b/>
                <w:bCs/>
                <w:color w:val="F2F2F2"/>
                <w:sz w:val="20"/>
                <w:szCs w:val="20"/>
              </w:rPr>
              <w:t>Average Value</w:t>
            </w:r>
          </w:p>
        </w:tc>
        <w:tc>
          <w:tcPr>
            <w:tcW w:w="1242" w:type="dxa"/>
            <w:shd w:val="clear" w:color="auto" w:fill="262626"/>
            <w:vAlign w:val="bottom"/>
          </w:tcPr>
          <w:p w14:paraId="393A0FF4" w14:textId="60F6D6E5" w:rsidR="00B365BD" w:rsidRPr="001E4C31" w:rsidRDefault="00B365BD" w:rsidP="00B365BD">
            <w:pPr>
              <w:keepNext/>
              <w:keepLines/>
              <w:jc w:val="center"/>
              <w:rPr>
                <w:rFonts w:cs="Arial"/>
                <w:b/>
                <w:bCs/>
                <w:color w:val="F2F2F2"/>
                <w:sz w:val="20"/>
                <w:szCs w:val="20"/>
              </w:rPr>
            </w:pPr>
            <w:r>
              <w:rPr>
                <w:rFonts w:cs="Arial"/>
                <w:b/>
                <w:bCs/>
                <w:color w:val="F2F2F2"/>
                <w:sz w:val="20"/>
                <w:szCs w:val="20"/>
              </w:rPr>
              <w:t xml:space="preserve">Base Case Gas </w:t>
            </w:r>
            <w:r w:rsidRPr="001E4C31">
              <w:rPr>
                <w:rFonts w:cs="Arial"/>
                <w:b/>
                <w:bCs/>
                <w:color w:val="F2F2F2"/>
                <w:sz w:val="20"/>
                <w:szCs w:val="20"/>
              </w:rPr>
              <w:t>Average Value</w:t>
            </w:r>
          </w:p>
        </w:tc>
        <w:tc>
          <w:tcPr>
            <w:tcW w:w="1295" w:type="dxa"/>
            <w:shd w:val="clear" w:color="auto" w:fill="262626"/>
            <w:vAlign w:val="bottom"/>
          </w:tcPr>
          <w:p w14:paraId="393A0FF5" w14:textId="28A89B04" w:rsidR="00B365BD" w:rsidRPr="001E4C31" w:rsidRDefault="00B365BD" w:rsidP="00940B39">
            <w:pPr>
              <w:keepNext/>
              <w:keepLines/>
              <w:jc w:val="center"/>
              <w:rPr>
                <w:rFonts w:cs="Arial"/>
                <w:b/>
                <w:bCs/>
                <w:color w:val="F2F2F2"/>
                <w:sz w:val="20"/>
                <w:szCs w:val="20"/>
              </w:rPr>
            </w:pPr>
            <w:r w:rsidRPr="001E4C31">
              <w:rPr>
                <w:rFonts w:cs="Arial"/>
                <w:b/>
                <w:bCs/>
                <w:color w:val="F2F2F2"/>
                <w:sz w:val="20"/>
                <w:szCs w:val="20"/>
              </w:rPr>
              <w:t xml:space="preserve">Measure Case </w:t>
            </w:r>
            <w:proofErr w:type="spellStart"/>
            <w:r>
              <w:rPr>
                <w:rFonts w:cs="Arial"/>
                <w:b/>
                <w:bCs/>
                <w:color w:val="F2F2F2"/>
                <w:sz w:val="20"/>
                <w:szCs w:val="20"/>
              </w:rPr>
              <w:t>Elec</w:t>
            </w:r>
            <w:proofErr w:type="spellEnd"/>
            <w:r>
              <w:rPr>
                <w:rFonts w:cs="Arial"/>
                <w:b/>
                <w:bCs/>
                <w:color w:val="F2F2F2"/>
                <w:sz w:val="20"/>
                <w:szCs w:val="20"/>
              </w:rPr>
              <w:t xml:space="preserve"> F</w:t>
            </w:r>
            <w:r w:rsidR="00940B39">
              <w:rPr>
                <w:rFonts w:cs="Arial"/>
                <w:b/>
                <w:bCs/>
                <w:color w:val="F2F2F2"/>
                <w:sz w:val="20"/>
                <w:szCs w:val="20"/>
              </w:rPr>
              <w:t>S002</w:t>
            </w:r>
            <w:r>
              <w:rPr>
                <w:rFonts w:cs="Arial"/>
                <w:b/>
                <w:bCs/>
                <w:color w:val="F2F2F2"/>
                <w:sz w:val="20"/>
                <w:szCs w:val="20"/>
              </w:rPr>
              <w:t xml:space="preserve"> </w:t>
            </w:r>
            <w:r w:rsidRPr="001E4C31">
              <w:rPr>
                <w:rFonts w:cs="Arial"/>
                <w:b/>
                <w:bCs/>
                <w:color w:val="F2F2F2"/>
                <w:sz w:val="20"/>
                <w:szCs w:val="20"/>
              </w:rPr>
              <w:t>Average Value</w:t>
            </w:r>
          </w:p>
        </w:tc>
        <w:tc>
          <w:tcPr>
            <w:tcW w:w="1131" w:type="dxa"/>
            <w:shd w:val="clear" w:color="auto" w:fill="262626"/>
          </w:tcPr>
          <w:p w14:paraId="32F89CF6" w14:textId="746B67A3" w:rsidR="00B365BD" w:rsidRPr="001E4C31" w:rsidRDefault="00B365BD" w:rsidP="00940B39">
            <w:pPr>
              <w:keepNext/>
              <w:keepLines/>
              <w:jc w:val="center"/>
              <w:rPr>
                <w:rFonts w:cs="Arial"/>
                <w:b/>
                <w:bCs/>
                <w:color w:val="F2F2F2"/>
                <w:sz w:val="20"/>
                <w:szCs w:val="20"/>
              </w:rPr>
            </w:pPr>
            <w:r>
              <w:rPr>
                <w:rFonts w:cs="Arial"/>
                <w:b/>
                <w:bCs/>
                <w:color w:val="F2F2F2"/>
                <w:sz w:val="20"/>
                <w:szCs w:val="20"/>
              </w:rPr>
              <w:t>Measure Case Gas F</w:t>
            </w:r>
            <w:r w:rsidR="00940B39">
              <w:rPr>
                <w:rFonts w:cs="Arial"/>
                <w:b/>
                <w:bCs/>
                <w:color w:val="F2F2F2"/>
                <w:sz w:val="20"/>
                <w:szCs w:val="20"/>
              </w:rPr>
              <w:t>S003</w:t>
            </w:r>
            <w:r>
              <w:rPr>
                <w:rFonts w:cs="Arial"/>
                <w:b/>
                <w:bCs/>
                <w:color w:val="F2F2F2"/>
                <w:sz w:val="20"/>
                <w:szCs w:val="20"/>
              </w:rPr>
              <w:t xml:space="preserve"> Average Value</w:t>
            </w:r>
          </w:p>
        </w:tc>
        <w:tc>
          <w:tcPr>
            <w:tcW w:w="1515" w:type="dxa"/>
            <w:shd w:val="clear" w:color="auto" w:fill="262626"/>
            <w:vAlign w:val="bottom"/>
          </w:tcPr>
          <w:p w14:paraId="393A0FF6" w14:textId="1C1D815D" w:rsidR="00B365BD" w:rsidRPr="001E4C31" w:rsidRDefault="00B365BD"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B365BD" w:rsidRPr="00783DAC" w14:paraId="393A0FFE" w14:textId="77777777" w:rsidTr="00B365BD">
        <w:tc>
          <w:tcPr>
            <w:tcW w:w="1600" w:type="dxa"/>
            <w:shd w:val="pct5" w:color="000000" w:fill="FFFFFF"/>
            <w:vAlign w:val="bottom"/>
          </w:tcPr>
          <w:p w14:paraId="393A0FF8" w14:textId="77777777" w:rsidR="00B365BD" w:rsidRPr="001E4C31" w:rsidRDefault="00B365BD" w:rsidP="001E4C31">
            <w:pPr>
              <w:keepNext/>
              <w:jc w:val="center"/>
              <w:rPr>
                <w:rFonts w:cs="Arial"/>
                <w:b/>
                <w:sz w:val="20"/>
                <w:szCs w:val="20"/>
              </w:rPr>
            </w:pPr>
            <w:r w:rsidRPr="001E4C31">
              <w:rPr>
                <w:rFonts w:cs="Arial"/>
                <w:b/>
                <w:sz w:val="20"/>
                <w:szCs w:val="20"/>
              </w:rPr>
              <w:t>Electric Savings</w:t>
            </w:r>
          </w:p>
        </w:tc>
        <w:tc>
          <w:tcPr>
            <w:tcW w:w="1514" w:type="dxa"/>
            <w:shd w:val="pct5" w:color="000000" w:fill="FFFFFF"/>
            <w:vAlign w:val="bottom"/>
          </w:tcPr>
          <w:p w14:paraId="393A0FF9" w14:textId="6F444C29" w:rsidR="00B365BD" w:rsidRPr="00067F6B" w:rsidRDefault="00B365BD" w:rsidP="001E4C31">
            <w:pPr>
              <w:keepNext/>
              <w:jc w:val="center"/>
              <w:rPr>
                <w:rFonts w:cs="Arial"/>
                <w:sz w:val="20"/>
                <w:szCs w:val="20"/>
              </w:rPr>
            </w:pPr>
            <w:r w:rsidRPr="00067F6B">
              <w:rPr>
                <w:rFonts w:cs="Arial"/>
                <w:sz w:val="20"/>
                <w:szCs w:val="20"/>
              </w:rPr>
              <w:t>None</w:t>
            </w:r>
          </w:p>
        </w:tc>
        <w:tc>
          <w:tcPr>
            <w:tcW w:w="1279" w:type="dxa"/>
            <w:shd w:val="pct5" w:color="000000" w:fill="FFFFFF"/>
            <w:vAlign w:val="bottom"/>
          </w:tcPr>
          <w:p w14:paraId="393A0FFA" w14:textId="53463BD3" w:rsidR="00B365BD" w:rsidRPr="00067F6B" w:rsidRDefault="00067F6B" w:rsidP="001E4C31">
            <w:pPr>
              <w:keepNext/>
              <w:jc w:val="center"/>
              <w:rPr>
                <w:rFonts w:cs="Arial"/>
                <w:sz w:val="20"/>
                <w:szCs w:val="20"/>
              </w:rPr>
            </w:pPr>
            <w:r w:rsidRPr="00067F6B">
              <w:rPr>
                <w:rFonts w:cs="Arial"/>
                <w:sz w:val="20"/>
                <w:szCs w:val="20"/>
              </w:rPr>
              <w:t>N/A</w:t>
            </w:r>
          </w:p>
        </w:tc>
        <w:tc>
          <w:tcPr>
            <w:tcW w:w="1242" w:type="dxa"/>
            <w:shd w:val="pct5" w:color="000000" w:fill="FFFFFF"/>
            <w:vAlign w:val="bottom"/>
          </w:tcPr>
          <w:p w14:paraId="393A0FFB" w14:textId="4871F1D5" w:rsidR="00B365BD" w:rsidRPr="00067F6B" w:rsidRDefault="00067F6B" w:rsidP="001E4C31">
            <w:pPr>
              <w:keepNext/>
              <w:jc w:val="center"/>
              <w:rPr>
                <w:rFonts w:cs="Arial"/>
                <w:sz w:val="20"/>
                <w:szCs w:val="20"/>
              </w:rPr>
            </w:pPr>
            <w:r w:rsidRPr="00067F6B">
              <w:rPr>
                <w:rFonts w:cs="Arial"/>
                <w:sz w:val="20"/>
                <w:szCs w:val="20"/>
              </w:rPr>
              <w:t>N/A</w:t>
            </w:r>
          </w:p>
        </w:tc>
        <w:tc>
          <w:tcPr>
            <w:tcW w:w="1295" w:type="dxa"/>
            <w:shd w:val="pct5" w:color="000000" w:fill="FFFFFF"/>
            <w:vAlign w:val="bottom"/>
          </w:tcPr>
          <w:p w14:paraId="393A0FFC" w14:textId="3E9FD1A7" w:rsidR="00B365BD" w:rsidRPr="00067F6B" w:rsidRDefault="00B365BD" w:rsidP="001E4C31">
            <w:pPr>
              <w:keepNext/>
              <w:jc w:val="center"/>
              <w:rPr>
                <w:rFonts w:cs="Arial"/>
                <w:sz w:val="20"/>
                <w:szCs w:val="20"/>
              </w:rPr>
            </w:pPr>
          </w:p>
        </w:tc>
        <w:tc>
          <w:tcPr>
            <w:tcW w:w="1131" w:type="dxa"/>
            <w:shd w:val="pct5" w:color="000000" w:fill="FFFFFF"/>
          </w:tcPr>
          <w:p w14:paraId="20F2B975" w14:textId="77777777" w:rsidR="00067F6B" w:rsidRPr="00067F6B" w:rsidRDefault="00067F6B" w:rsidP="001E4C31">
            <w:pPr>
              <w:keepNext/>
              <w:jc w:val="center"/>
              <w:rPr>
                <w:rFonts w:cs="Arial"/>
                <w:sz w:val="20"/>
                <w:szCs w:val="20"/>
              </w:rPr>
            </w:pPr>
          </w:p>
          <w:p w14:paraId="4DF8249A" w14:textId="754AD7D0" w:rsidR="00B365BD" w:rsidRPr="00067F6B" w:rsidRDefault="00067F6B" w:rsidP="001E4C31">
            <w:pPr>
              <w:keepNext/>
              <w:jc w:val="center"/>
              <w:rPr>
                <w:rFonts w:cs="Arial"/>
                <w:sz w:val="20"/>
                <w:szCs w:val="20"/>
              </w:rPr>
            </w:pPr>
            <w:r w:rsidRPr="00067F6B">
              <w:rPr>
                <w:rFonts w:cs="Arial"/>
                <w:sz w:val="20"/>
                <w:szCs w:val="20"/>
              </w:rPr>
              <w:t>N/A</w:t>
            </w:r>
          </w:p>
        </w:tc>
        <w:tc>
          <w:tcPr>
            <w:tcW w:w="1515" w:type="dxa"/>
            <w:shd w:val="pct5" w:color="000000" w:fill="FFFFFF"/>
            <w:vAlign w:val="bottom"/>
          </w:tcPr>
          <w:p w14:paraId="393A0FFD" w14:textId="06AA4A7C" w:rsidR="00B365BD" w:rsidRPr="00067F6B" w:rsidRDefault="00B365BD" w:rsidP="001E4C31">
            <w:pPr>
              <w:keepNext/>
              <w:jc w:val="center"/>
              <w:rPr>
                <w:rFonts w:cs="Arial"/>
                <w:sz w:val="20"/>
                <w:szCs w:val="20"/>
              </w:rPr>
            </w:pPr>
            <w:r w:rsidRPr="00067F6B">
              <w:rPr>
                <w:rFonts w:cs="Arial"/>
                <w:sz w:val="20"/>
                <w:szCs w:val="20"/>
              </w:rPr>
              <w:t>Section 1.4.1</w:t>
            </w:r>
          </w:p>
        </w:tc>
      </w:tr>
      <w:tr w:rsidR="00B365BD" w:rsidRPr="00783DAC" w14:paraId="393A1005" w14:textId="77777777" w:rsidTr="00B365BD">
        <w:tc>
          <w:tcPr>
            <w:tcW w:w="1600" w:type="dxa"/>
            <w:shd w:val="pct20" w:color="000000" w:fill="FFFFFF"/>
            <w:vAlign w:val="bottom"/>
          </w:tcPr>
          <w:p w14:paraId="393A0FFF" w14:textId="77777777" w:rsidR="00B365BD" w:rsidRPr="001E4C31" w:rsidRDefault="00B365BD" w:rsidP="001E4C31">
            <w:pPr>
              <w:keepNext/>
              <w:jc w:val="center"/>
              <w:rPr>
                <w:rFonts w:cs="Arial"/>
                <w:b/>
                <w:sz w:val="20"/>
                <w:szCs w:val="20"/>
              </w:rPr>
            </w:pPr>
            <w:r w:rsidRPr="001E4C31">
              <w:rPr>
                <w:rFonts w:cs="Arial"/>
                <w:b/>
                <w:sz w:val="20"/>
                <w:szCs w:val="20"/>
              </w:rPr>
              <w:t>Gas Savings</w:t>
            </w:r>
          </w:p>
        </w:tc>
        <w:tc>
          <w:tcPr>
            <w:tcW w:w="1514" w:type="dxa"/>
            <w:shd w:val="pct20" w:color="000000" w:fill="FFFFFF"/>
            <w:vAlign w:val="bottom"/>
          </w:tcPr>
          <w:p w14:paraId="393A1000" w14:textId="42E5E8EF" w:rsidR="00B365BD" w:rsidRPr="00067F6B" w:rsidRDefault="00B365BD" w:rsidP="001E4C31">
            <w:pPr>
              <w:keepNext/>
              <w:jc w:val="center"/>
              <w:rPr>
                <w:rFonts w:cs="Arial"/>
                <w:sz w:val="20"/>
                <w:szCs w:val="20"/>
              </w:rPr>
            </w:pPr>
            <w:r w:rsidRPr="00067F6B">
              <w:rPr>
                <w:rFonts w:cs="Arial"/>
                <w:sz w:val="20"/>
                <w:szCs w:val="20"/>
              </w:rPr>
              <w:t>None</w:t>
            </w:r>
          </w:p>
        </w:tc>
        <w:tc>
          <w:tcPr>
            <w:tcW w:w="1279" w:type="dxa"/>
            <w:shd w:val="pct20" w:color="000000" w:fill="FFFFFF"/>
            <w:vAlign w:val="bottom"/>
          </w:tcPr>
          <w:p w14:paraId="393A1001" w14:textId="67B1451A" w:rsidR="00B365BD" w:rsidRPr="001E4C31" w:rsidRDefault="00B365BD" w:rsidP="001E4C31">
            <w:pPr>
              <w:keepNext/>
              <w:jc w:val="center"/>
              <w:rPr>
                <w:rFonts w:cs="Arial"/>
                <w:sz w:val="20"/>
                <w:szCs w:val="20"/>
              </w:rPr>
            </w:pPr>
            <w:r>
              <w:rPr>
                <w:rFonts w:cs="Arial"/>
                <w:sz w:val="20"/>
                <w:szCs w:val="20"/>
              </w:rPr>
              <w:t>N/A</w:t>
            </w:r>
          </w:p>
        </w:tc>
        <w:tc>
          <w:tcPr>
            <w:tcW w:w="1242" w:type="dxa"/>
            <w:shd w:val="pct20" w:color="000000" w:fill="FFFFFF"/>
            <w:vAlign w:val="bottom"/>
          </w:tcPr>
          <w:p w14:paraId="393A1002" w14:textId="16B4D575" w:rsidR="00B365BD" w:rsidRPr="00067F6B" w:rsidRDefault="00B365BD" w:rsidP="001E4C31">
            <w:pPr>
              <w:keepNext/>
              <w:jc w:val="center"/>
              <w:rPr>
                <w:rFonts w:cs="Arial"/>
                <w:sz w:val="20"/>
                <w:szCs w:val="20"/>
              </w:rPr>
            </w:pPr>
            <w:r w:rsidRPr="00067F6B">
              <w:rPr>
                <w:rFonts w:cs="Arial"/>
                <w:sz w:val="20"/>
                <w:szCs w:val="20"/>
              </w:rPr>
              <w:t>N/A</w:t>
            </w:r>
          </w:p>
        </w:tc>
        <w:tc>
          <w:tcPr>
            <w:tcW w:w="1295" w:type="dxa"/>
            <w:shd w:val="pct20" w:color="000000" w:fill="FFFFFF"/>
            <w:vAlign w:val="bottom"/>
          </w:tcPr>
          <w:p w14:paraId="393A1003" w14:textId="70151EC8" w:rsidR="00B365BD" w:rsidRPr="00067F6B" w:rsidRDefault="00067F6B" w:rsidP="001E4C31">
            <w:pPr>
              <w:keepNext/>
              <w:jc w:val="center"/>
              <w:rPr>
                <w:rFonts w:cs="Arial"/>
                <w:sz w:val="20"/>
                <w:szCs w:val="20"/>
              </w:rPr>
            </w:pPr>
            <w:r w:rsidRPr="00067F6B">
              <w:rPr>
                <w:rFonts w:cs="Arial"/>
                <w:sz w:val="20"/>
                <w:szCs w:val="20"/>
              </w:rPr>
              <w:t>N/A</w:t>
            </w:r>
          </w:p>
        </w:tc>
        <w:tc>
          <w:tcPr>
            <w:tcW w:w="1131" w:type="dxa"/>
            <w:shd w:val="pct20" w:color="000000" w:fill="FFFFFF"/>
          </w:tcPr>
          <w:p w14:paraId="155230BA" w14:textId="77777777" w:rsidR="00B365BD" w:rsidRPr="00067F6B" w:rsidRDefault="00B365BD" w:rsidP="001E4C31">
            <w:pPr>
              <w:keepNext/>
              <w:jc w:val="center"/>
              <w:rPr>
                <w:rFonts w:cs="Arial"/>
                <w:sz w:val="20"/>
                <w:szCs w:val="20"/>
              </w:rPr>
            </w:pPr>
          </w:p>
        </w:tc>
        <w:tc>
          <w:tcPr>
            <w:tcW w:w="1515" w:type="dxa"/>
            <w:shd w:val="pct20" w:color="000000" w:fill="FFFFFF"/>
            <w:vAlign w:val="bottom"/>
          </w:tcPr>
          <w:p w14:paraId="393A1004" w14:textId="137D5DBE" w:rsidR="00B365BD" w:rsidRPr="00067F6B" w:rsidRDefault="00067F6B" w:rsidP="00067F6B">
            <w:pPr>
              <w:keepNext/>
              <w:jc w:val="center"/>
              <w:rPr>
                <w:rFonts w:cs="Arial"/>
                <w:sz w:val="20"/>
                <w:szCs w:val="20"/>
              </w:rPr>
            </w:pPr>
            <w:r>
              <w:rPr>
                <w:rFonts w:cs="Arial"/>
                <w:sz w:val="20"/>
                <w:szCs w:val="20"/>
              </w:rPr>
              <w:t>Section 1.4.4</w:t>
            </w:r>
          </w:p>
        </w:tc>
      </w:tr>
      <w:tr w:rsidR="00B365BD" w:rsidRPr="00783DAC" w14:paraId="393A100C" w14:textId="77777777" w:rsidTr="00B365BD">
        <w:tc>
          <w:tcPr>
            <w:tcW w:w="1600" w:type="dxa"/>
            <w:shd w:val="pct5" w:color="000000" w:fill="FFFFFF"/>
            <w:vAlign w:val="bottom"/>
          </w:tcPr>
          <w:p w14:paraId="393A1006" w14:textId="77777777" w:rsidR="00B365BD" w:rsidRPr="001E4C31" w:rsidRDefault="00B365BD" w:rsidP="001E4C31">
            <w:pPr>
              <w:keepNext/>
              <w:jc w:val="center"/>
              <w:rPr>
                <w:rFonts w:cs="Arial"/>
                <w:b/>
                <w:sz w:val="20"/>
                <w:szCs w:val="20"/>
              </w:rPr>
            </w:pPr>
            <w:r w:rsidRPr="001E4C31">
              <w:rPr>
                <w:rFonts w:cs="Arial"/>
                <w:b/>
                <w:sz w:val="20"/>
                <w:szCs w:val="20"/>
              </w:rPr>
              <w:t>Hours of operation</w:t>
            </w:r>
          </w:p>
        </w:tc>
        <w:tc>
          <w:tcPr>
            <w:tcW w:w="1514" w:type="dxa"/>
            <w:shd w:val="pct5" w:color="000000" w:fill="FFFFFF"/>
            <w:vAlign w:val="bottom"/>
          </w:tcPr>
          <w:p w14:paraId="393A1007" w14:textId="0EB8E27F" w:rsidR="00B365BD" w:rsidRPr="00067F6B" w:rsidRDefault="00B365BD" w:rsidP="001E4C31">
            <w:pPr>
              <w:keepNext/>
              <w:jc w:val="center"/>
              <w:rPr>
                <w:rFonts w:cs="Arial"/>
                <w:sz w:val="20"/>
                <w:szCs w:val="20"/>
              </w:rPr>
            </w:pPr>
            <w:r w:rsidRPr="00067F6B">
              <w:rPr>
                <w:rFonts w:cs="Arial"/>
                <w:sz w:val="20"/>
                <w:szCs w:val="20"/>
              </w:rPr>
              <w:t>None</w:t>
            </w:r>
          </w:p>
        </w:tc>
        <w:tc>
          <w:tcPr>
            <w:tcW w:w="1279" w:type="dxa"/>
            <w:shd w:val="pct5" w:color="000000" w:fill="FFFFFF"/>
            <w:vAlign w:val="bottom"/>
          </w:tcPr>
          <w:p w14:paraId="393A1008" w14:textId="52A21A92" w:rsidR="00B365BD" w:rsidRPr="001E4C31" w:rsidRDefault="00B365BD" w:rsidP="001E4C31">
            <w:pPr>
              <w:keepNext/>
              <w:jc w:val="center"/>
              <w:rPr>
                <w:rFonts w:cs="Arial"/>
                <w:sz w:val="20"/>
                <w:szCs w:val="20"/>
              </w:rPr>
            </w:pPr>
            <w:r>
              <w:rPr>
                <w:rFonts w:cs="Arial"/>
                <w:sz w:val="20"/>
                <w:szCs w:val="20"/>
              </w:rPr>
              <w:t>4380</w:t>
            </w:r>
          </w:p>
        </w:tc>
        <w:tc>
          <w:tcPr>
            <w:tcW w:w="1242" w:type="dxa"/>
            <w:shd w:val="pct5" w:color="000000" w:fill="FFFFFF"/>
            <w:vAlign w:val="bottom"/>
          </w:tcPr>
          <w:p w14:paraId="393A1009" w14:textId="2FE23C04" w:rsidR="00B365BD" w:rsidRPr="00067F6B" w:rsidRDefault="00B365BD" w:rsidP="001E4C31">
            <w:pPr>
              <w:keepNext/>
              <w:jc w:val="center"/>
              <w:rPr>
                <w:rFonts w:cs="Arial"/>
                <w:sz w:val="20"/>
                <w:szCs w:val="20"/>
              </w:rPr>
            </w:pPr>
            <w:r w:rsidRPr="00067F6B">
              <w:rPr>
                <w:rFonts w:cs="Arial"/>
                <w:sz w:val="20"/>
                <w:szCs w:val="20"/>
              </w:rPr>
              <w:t>4380</w:t>
            </w:r>
          </w:p>
        </w:tc>
        <w:tc>
          <w:tcPr>
            <w:tcW w:w="1295" w:type="dxa"/>
            <w:shd w:val="pct5" w:color="000000" w:fill="FFFFFF"/>
            <w:vAlign w:val="bottom"/>
          </w:tcPr>
          <w:p w14:paraId="393A100A" w14:textId="15252B4A" w:rsidR="00B365BD" w:rsidRPr="00067F6B" w:rsidRDefault="00B365BD" w:rsidP="001E4C31">
            <w:pPr>
              <w:keepNext/>
              <w:jc w:val="center"/>
              <w:rPr>
                <w:rFonts w:cs="Arial"/>
                <w:sz w:val="20"/>
                <w:szCs w:val="20"/>
              </w:rPr>
            </w:pPr>
            <w:r w:rsidRPr="00067F6B">
              <w:rPr>
                <w:rFonts w:cs="Arial"/>
                <w:sz w:val="20"/>
                <w:szCs w:val="20"/>
              </w:rPr>
              <w:t>4380</w:t>
            </w:r>
          </w:p>
        </w:tc>
        <w:tc>
          <w:tcPr>
            <w:tcW w:w="1131" w:type="dxa"/>
            <w:shd w:val="pct5" w:color="000000" w:fill="FFFFFF"/>
          </w:tcPr>
          <w:p w14:paraId="3C000449" w14:textId="77777777" w:rsidR="00B365BD" w:rsidRPr="00067F6B" w:rsidRDefault="00B365BD" w:rsidP="001E4C31">
            <w:pPr>
              <w:keepNext/>
              <w:jc w:val="center"/>
              <w:rPr>
                <w:rFonts w:cs="Arial"/>
                <w:sz w:val="20"/>
                <w:szCs w:val="20"/>
              </w:rPr>
            </w:pPr>
          </w:p>
          <w:p w14:paraId="392879F2" w14:textId="6AFE61EF" w:rsidR="00B365BD" w:rsidRPr="00067F6B" w:rsidRDefault="00B365BD" w:rsidP="001E4C31">
            <w:pPr>
              <w:keepNext/>
              <w:jc w:val="center"/>
              <w:rPr>
                <w:rFonts w:cs="Arial"/>
                <w:sz w:val="20"/>
                <w:szCs w:val="20"/>
              </w:rPr>
            </w:pPr>
            <w:r w:rsidRPr="00067F6B">
              <w:rPr>
                <w:rFonts w:cs="Arial"/>
                <w:sz w:val="20"/>
                <w:szCs w:val="20"/>
              </w:rPr>
              <w:t>4380</w:t>
            </w:r>
          </w:p>
        </w:tc>
        <w:tc>
          <w:tcPr>
            <w:tcW w:w="1515" w:type="dxa"/>
            <w:shd w:val="pct5" w:color="000000" w:fill="FFFFFF"/>
            <w:vAlign w:val="bottom"/>
          </w:tcPr>
          <w:p w14:paraId="393A100B" w14:textId="0D240034" w:rsidR="00B365BD" w:rsidRPr="00067F6B" w:rsidRDefault="00B365BD" w:rsidP="001E4C31">
            <w:pPr>
              <w:keepNext/>
              <w:jc w:val="center"/>
              <w:rPr>
                <w:rFonts w:cs="Arial"/>
                <w:sz w:val="20"/>
                <w:szCs w:val="20"/>
              </w:rPr>
            </w:pPr>
            <w:r w:rsidRPr="00067F6B">
              <w:rPr>
                <w:rFonts w:cs="Arial"/>
                <w:sz w:val="20"/>
                <w:szCs w:val="20"/>
              </w:rPr>
              <w:t>Section 1.4.1</w:t>
            </w:r>
          </w:p>
        </w:tc>
      </w:tr>
      <w:tr w:rsidR="00B365BD" w:rsidRPr="00783DAC" w14:paraId="393A1013" w14:textId="77777777" w:rsidTr="00B365BD">
        <w:tc>
          <w:tcPr>
            <w:tcW w:w="1600" w:type="dxa"/>
            <w:shd w:val="pct20" w:color="000000" w:fill="FFFFFF"/>
            <w:vAlign w:val="bottom"/>
          </w:tcPr>
          <w:p w14:paraId="393A100D" w14:textId="77777777" w:rsidR="00B365BD" w:rsidRPr="001E4C31" w:rsidRDefault="00B365BD" w:rsidP="001E4C31">
            <w:pPr>
              <w:keepNext/>
              <w:jc w:val="center"/>
              <w:rPr>
                <w:rFonts w:cs="Arial"/>
                <w:b/>
                <w:sz w:val="20"/>
                <w:szCs w:val="20"/>
              </w:rPr>
            </w:pPr>
            <w:r w:rsidRPr="001E4C31">
              <w:rPr>
                <w:rFonts w:cs="Arial"/>
                <w:b/>
                <w:sz w:val="20"/>
                <w:szCs w:val="20"/>
              </w:rPr>
              <w:t xml:space="preserve">Full Cost </w:t>
            </w:r>
          </w:p>
        </w:tc>
        <w:tc>
          <w:tcPr>
            <w:tcW w:w="1514" w:type="dxa"/>
            <w:shd w:val="pct20" w:color="000000" w:fill="FFFFFF"/>
            <w:vAlign w:val="bottom"/>
          </w:tcPr>
          <w:p w14:paraId="393A100E" w14:textId="56822471" w:rsidR="00B365BD" w:rsidRPr="00067F6B" w:rsidRDefault="00B365BD" w:rsidP="001E4C31">
            <w:pPr>
              <w:keepNext/>
              <w:jc w:val="center"/>
              <w:rPr>
                <w:rFonts w:cs="Arial"/>
                <w:sz w:val="20"/>
                <w:szCs w:val="20"/>
              </w:rPr>
            </w:pPr>
            <w:r w:rsidRPr="00067F6B">
              <w:rPr>
                <w:rFonts w:cs="Arial"/>
                <w:sz w:val="20"/>
                <w:szCs w:val="20"/>
              </w:rPr>
              <w:t>None</w:t>
            </w:r>
          </w:p>
        </w:tc>
        <w:tc>
          <w:tcPr>
            <w:tcW w:w="1279" w:type="dxa"/>
            <w:shd w:val="pct20" w:color="000000" w:fill="FFFFFF"/>
            <w:vAlign w:val="bottom"/>
          </w:tcPr>
          <w:p w14:paraId="393A100F" w14:textId="53C7A8ED" w:rsidR="00B365BD" w:rsidRPr="001E4C31" w:rsidRDefault="00B365BD" w:rsidP="00940B39">
            <w:pPr>
              <w:keepNext/>
              <w:jc w:val="center"/>
              <w:rPr>
                <w:rFonts w:cs="Arial"/>
                <w:sz w:val="20"/>
                <w:szCs w:val="20"/>
              </w:rPr>
            </w:pPr>
            <w:r>
              <w:rPr>
                <w:rFonts w:cs="Arial"/>
                <w:sz w:val="20"/>
                <w:szCs w:val="20"/>
              </w:rPr>
              <w:t>$</w:t>
            </w:r>
            <w:r w:rsidR="00940B39">
              <w:rPr>
                <w:rFonts w:cs="Arial"/>
                <w:sz w:val="20"/>
                <w:szCs w:val="20"/>
              </w:rPr>
              <w:t>750</w:t>
            </w:r>
          </w:p>
        </w:tc>
        <w:tc>
          <w:tcPr>
            <w:tcW w:w="1242" w:type="dxa"/>
            <w:shd w:val="pct20" w:color="000000" w:fill="FFFFFF"/>
            <w:vAlign w:val="bottom"/>
          </w:tcPr>
          <w:p w14:paraId="393A1010" w14:textId="644086B9" w:rsidR="00B365BD" w:rsidRPr="00067F6B" w:rsidRDefault="00B365BD" w:rsidP="00940B39">
            <w:pPr>
              <w:keepNext/>
              <w:jc w:val="center"/>
              <w:rPr>
                <w:rFonts w:cs="Arial"/>
                <w:sz w:val="20"/>
                <w:szCs w:val="20"/>
              </w:rPr>
            </w:pPr>
            <w:r w:rsidRPr="00067F6B">
              <w:rPr>
                <w:rFonts w:cs="Arial"/>
                <w:sz w:val="20"/>
                <w:szCs w:val="20"/>
              </w:rPr>
              <w:t>$</w:t>
            </w:r>
            <w:r w:rsidR="00940B39">
              <w:rPr>
                <w:rFonts w:cs="Arial"/>
                <w:sz w:val="20"/>
                <w:szCs w:val="20"/>
              </w:rPr>
              <w:t>1,026</w:t>
            </w:r>
          </w:p>
        </w:tc>
        <w:tc>
          <w:tcPr>
            <w:tcW w:w="1295" w:type="dxa"/>
            <w:shd w:val="pct20" w:color="000000" w:fill="FFFFFF"/>
            <w:vAlign w:val="bottom"/>
          </w:tcPr>
          <w:p w14:paraId="393A1011" w14:textId="12C3ACBA" w:rsidR="00B365BD" w:rsidRPr="00067F6B" w:rsidRDefault="00067F6B" w:rsidP="00940B39">
            <w:pPr>
              <w:keepNext/>
              <w:jc w:val="center"/>
              <w:rPr>
                <w:rFonts w:cs="Arial"/>
                <w:sz w:val="20"/>
                <w:szCs w:val="20"/>
              </w:rPr>
            </w:pPr>
            <w:r>
              <w:rPr>
                <w:rFonts w:cs="Arial"/>
                <w:sz w:val="20"/>
                <w:szCs w:val="20"/>
              </w:rPr>
              <w:t>$</w:t>
            </w:r>
            <w:r w:rsidR="00940B39">
              <w:rPr>
                <w:rFonts w:cs="Arial"/>
                <w:sz w:val="20"/>
                <w:szCs w:val="20"/>
              </w:rPr>
              <w:t>1,008</w:t>
            </w:r>
          </w:p>
        </w:tc>
        <w:tc>
          <w:tcPr>
            <w:tcW w:w="1131" w:type="dxa"/>
            <w:shd w:val="pct20" w:color="000000" w:fill="FFFFFF"/>
          </w:tcPr>
          <w:p w14:paraId="4FD2C321" w14:textId="051F26D2" w:rsidR="00B365BD" w:rsidRPr="00067F6B" w:rsidRDefault="00067F6B" w:rsidP="00940B39">
            <w:pPr>
              <w:keepNext/>
              <w:jc w:val="center"/>
              <w:rPr>
                <w:rFonts w:cs="Arial"/>
                <w:sz w:val="20"/>
                <w:szCs w:val="20"/>
              </w:rPr>
            </w:pPr>
            <w:r>
              <w:rPr>
                <w:rFonts w:cs="Arial"/>
                <w:sz w:val="20"/>
                <w:szCs w:val="20"/>
              </w:rPr>
              <w:t>$</w:t>
            </w:r>
            <w:r w:rsidR="00940B39">
              <w:rPr>
                <w:rFonts w:cs="Arial"/>
                <w:sz w:val="20"/>
                <w:szCs w:val="20"/>
              </w:rPr>
              <w:t>1,312</w:t>
            </w:r>
          </w:p>
        </w:tc>
        <w:tc>
          <w:tcPr>
            <w:tcW w:w="1515" w:type="dxa"/>
            <w:shd w:val="pct20" w:color="000000" w:fill="FFFFFF"/>
            <w:vAlign w:val="bottom"/>
          </w:tcPr>
          <w:p w14:paraId="393A1012" w14:textId="4B81F666" w:rsidR="00B365BD" w:rsidRPr="00067F6B" w:rsidRDefault="00067F6B" w:rsidP="001E4C31">
            <w:pPr>
              <w:keepNext/>
              <w:jc w:val="center"/>
              <w:rPr>
                <w:rFonts w:cs="Arial"/>
                <w:sz w:val="20"/>
                <w:szCs w:val="20"/>
              </w:rPr>
            </w:pPr>
            <w:r>
              <w:rPr>
                <w:rFonts w:cs="Arial"/>
                <w:sz w:val="20"/>
                <w:szCs w:val="20"/>
              </w:rPr>
              <w:t>Section 1.4.4</w:t>
            </w:r>
          </w:p>
        </w:tc>
      </w:tr>
      <w:tr w:rsidR="00B365BD" w:rsidRPr="00783DAC" w14:paraId="393A101A" w14:textId="77777777" w:rsidTr="00B365BD">
        <w:tc>
          <w:tcPr>
            <w:tcW w:w="1600" w:type="dxa"/>
            <w:shd w:val="pct5" w:color="000000" w:fill="FFFFFF"/>
            <w:vAlign w:val="bottom"/>
          </w:tcPr>
          <w:p w14:paraId="393A1014" w14:textId="77777777" w:rsidR="00B365BD" w:rsidRPr="001E4C31" w:rsidRDefault="00B365BD" w:rsidP="001E4C31">
            <w:pPr>
              <w:keepNext/>
              <w:jc w:val="center"/>
              <w:rPr>
                <w:rFonts w:cs="Arial"/>
                <w:b/>
                <w:sz w:val="20"/>
                <w:szCs w:val="20"/>
              </w:rPr>
            </w:pPr>
            <w:r w:rsidRPr="001E4C31">
              <w:rPr>
                <w:rFonts w:cs="Arial"/>
                <w:b/>
                <w:sz w:val="20"/>
                <w:szCs w:val="20"/>
              </w:rPr>
              <w:t>Incremental Cost</w:t>
            </w:r>
          </w:p>
        </w:tc>
        <w:tc>
          <w:tcPr>
            <w:tcW w:w="1514" w:type="dxa"/>
            <w:shd w:val="pct5" w:color="000000" w:fill="FFFFFF"/>
            <w:vAlign w:val="bottom"/>
          </w:tcPr>
          <w:p w14:paraId="393A1015" w14:textId="3CE60ED6" w:rsidR="00B365BD" w:rsidRPr="00067F6B" w:rsidRDefault="00B365BD" w:rsidP="001E4C31">
            <w:pPr>
              <w:keepNext/>
              <w:jc w:val="center"/>
              <w:rPr>
                <w:rFonts w:cs="Arial"/>
                <w:sz w:val="20"/>
                <w:szCs w:val="20"/>
              </w:rPr>
            </w:pPr>
            <w:r w:rsidRPr="00067F6B">
              <w:rPr>
                <w:rFonts w:cs="Arial"/>
                <w:sz w:val="20"/>
                <w:szCs w:val="20"/>
              </w:rPr>
              <w:t>None</w:t>
            </w:r>
          </w:p>
        </w:tc>
        <w:tc>
          <w:tcPr>
            <w:tcW w:w="1279" w:type="dxa"/>
            <w:shd w:val="pct5" w:color="000000" w:fill="FFFFFF"/>
            <w:vAlign w:val="bottom"/>
          </w:tcPr>
          <w:p w14:paraId="393A1016" w14:textId="4EBE54A0" w:rsidR="00B365BD" w:rsidRPr="001E4C31" w:rsidRDefault="00067F6B" w:rsidP="001E4C31">
            <w:pPr>
              <w:keepNext/>
              <w:jc w:val="center"/>
              <w:rPr>
                <w:rFonts w:cs="Arial"/>
                <w:sz w:val="20"/>
                <w:szCs w:val="20"/>
              </w:rPr>
            </w:pPr>
            <w:r>
              <w:rPr>
                <w:rFonts w:cs="Arial"/>
                <w:sz w:val="20"/>
                <w:szCs w:val="20"/>
              </w:rPr>
              <w:t>N/A</w:t>
            </w:r>
          </w:p>
        </w:tc>
        <w:tc>
          <w:tcPr>
            <w:tcW w:w="1242" w:type="dxa"/>
            <w:shd w:val="pct5" w:color="000000" w:fill="FFFFFF"/>
            <w:vAlign w:val="bottom"/>
          </w:tcPr>
          <w:p w14:paraId="393A1017" w14:textId="76C15F61" w:rsidR="00B365BD" w:rsidRPr="00067F6B" w:rsidRDefault="00067F6B" w:rsidP="001E4C31">
            <w:pPr>
              <w:keepNext/>
              <w:jc w:val="center"/>
              <w:rPr>
                <w:rFonts w:cs="Arial"/>
                <w:sz w:val="20"/>
                <w:szCs w:val="20"/>
              </w:rPr>
            </w:pPr>
            <w:r>
              <w:rPr>
                <w:rFonts w:cs="Arial"/>
                <w:sz w:val="20"/>
                <w:szCs w:val="20"/>
              </w:rPr>
              <w:t>N/A</w:t>
            </w:r>
          </w:p>
        </w:tc>
        <w:tc>
          <w:tcPr>
            <w:tcW w:w="1295" w:type="dxa"/>
            <w:shd w:val="pct5" w:color="000000" w:fill="FFFFFF"/>
            <w:vAlign w:val="bottom"/>
          </w:tcPr>
          <w:p w14:paraId="393A1018" w14:textId="3010BD39" w:rsidR="00B365BD" w:rsidRPr="00067F6B" w:rsidRDefault="00067F6B" w:rsidP="00940B39">
            <w:pPr>
              <w:keepNext/>
              <w:jc w:val="center"/>
              <w:rPr>
                <w:rFonts w:cs="Arial"/>
                <w:sz w:val="20"/>
                <w:szCs w:val="20"/>
              </w:rPr>
            </w:pPr>
            <w:r>
              <w:rPr>
                <w:rFonts w:cs="Arial"/>
                <w:sz w:val="20"/>
                <w:szCs w:val="20"/>
              </w:rPr>
              <w:t>$</w:t>
            </w:r>
            <w:r w:rsidR="00940B39">
              <w:rPr>
                <w:rFonts w:cs="Arial"/>
                <w:sz w:val="20"/>
                <w:szCs w:val="20"/>
              </w:rPr>
              <w:t>258</w:t>
            </w:r>
          </w:p>
        </w:tc>
        <w:tc>
          <w:tcPr>
            <w:tcW w:w="1131" w:type="dxa"/>
            <w:shd w:val="pct5" w:color="000000" w:fill="FFFFFF"/>
          </w:tcPr>
          <w:p w14:paraId="5796C988" w14:textId="77777777" w:rsidR="00067F6B" w:rsidRDefault="00067F6B" w:rsidP="001E4C31">
            <w:pPr>
              <w:keepNext/>
              <w:jc w:val="center"/>
              <w:rPr>
                <w:rFonts w:cs="Arial"/>
                <w:sz w:val="20"/>
                <w:szCs w:val="20"/>
              </w:rPr>
            </w:pPr>
          </w:p>
          <w:p w14:paraId="58E9A8AB" w14:textId="392A9404" w:rsidR="00B365BD" w:rsidRPr="00067F6B" w:rsidRDefault="00067F6B" w:rsidP="00940B39">
            <w:pPr>
              <w:keepNext/>
              <w:jc w:val="center"/>
              <w:rPr>
                <w:rFonts w:cs="Arial"/>
                <w:sz w:val="20"/>
                <w:szCs w:val="20"/>
              </w:rPr>
            </w:pPr>
            <w:r>
              <w:rPr>
                <w:rFonts w:cs="Arial"/>
                <w:sz w:val="20"/>
                <w:szCs w:val="20"/>
              </w:rPr>
              <w:t>$</w:t>
            </w:r>
            <w:r w:rsidR="00940B39">
              <w:rPr>
                <w:rFonts w:cs="Arial"/>
                <w:sz w:val="20"/>
                <w:szCs w:val="20"/>
              </w:rPr>
              <w:t>286</w:t>
            </w:r>
          </w:p>
        </w:tc>
        <w:tc>
          <w:tcPr>
            <w:tcW w:w="1515" w:type="dxa"/>
            <w:shd w:val="pct5" w:color="000000" w:fill="FFFFFF"/>
            <w:vAlign w:val="bottom"/>
          </w:tcPr>
          <w:p w14:paraId="393A1019" w14:textId="73750399" w:rsidR="00B365BD" w:rsidRPr="00067F6B" w:rsidRDefault="00067F6B" w:rsidP="001E4C31">
            <w:pPr>
              <w:keepNext/>
              <w:jc w:val="center"/>
              <w:rPr>
                <w:rFonts w:cs="Arial"/>
                <w:sz w:val="20"/>
                <w:szCs w:val="20"/>
              </w:rPr>
            </w:pPr>
            <w:r>
              <w:rPr>
                <w:rFonts w:cs="Arial"/>
                <w:sz w:val="20"/>
                <w:szCs w:val="20"/>
              </w:rPr>
              <w:t>Section 1.4.4</w:t>
            </w:r>
          </w:p>
        </w:tc>
      </w:tr>
      <w:tr w:rsidR="00B365BD" w:rsidRPr="00783DAC" w14:paraId="393A1021" w14:textId="77777777" w:rsidTr="00B365BD">
        <w:tc>
          <w:tcPr>
            <w:tcW w:w="1600" w:type="dxa"/>
            <w:shd w:val="pct20" w:color="000000" w:fill="FFFFFF"/>
            <w:vAlign w:val="bottom"/>
          </w:tcPr>
          <w:p w14:paraId="393A101B" w14:textId="77777777" w:rsidR="00B365BD" w:rsidRPr="001E4C31" w:rsidRDefault="00B365BD" w:rsidP="001E4C31">
            <w:pPr>
              <w:keepNext/>
              <w:jc w:val="center"/>
              <w:rPr>
                <w:rFonts w:cs="Arial"/>
                <w:b/>
                <w:sz w:val="20"/>
                <w:szCs w:val="20"/>
              </w:rPr>
            </w:pPr>
            <w:r w:rsidRPr="001E4C31">
              <w:rPr>
                <w:rFonts w:cs="Arial"/>
                <w:b/>
                <w:sz w:val="20"/>
                <w:szCs w:val="20"/>
              </w:rPr>
              <w:t>EUL /RUL</w:t>
            </w:r>
          </w:p>
        </w:tc>
        <w:tc>
          <w:tcPr>
            <w:tcW w:w="1514" w:type="dxa"/>
            <w:shd w:val="pct20" w:color="000000" w:fill="FFFFFF"/>
            <w:vAlign w:val="bottom"/>
          </w:tcPr>
          <w:p w14:paraId="393A101C" w14:textId="41C0521E" w:rsidR="00B365BD" w:rsidRPr="00067F6B" w:rsidRDefault="00B365BD" w:rsidP="001E4C31">
            <w:pPr>
              <w:keepNext/>
              <w:jc w:val="center"/>
              <w:rPr>
                <w:rFonts w:cs="Arial"/>
                <w:sz w:val="20"/>
                <w:szCs w:val="20"/>
              </w:rPr>
            </w:pPr>
            <w:r w:rsidRPr="00067F6B">
              <w:rPr>
                <w:rFonts w:cs="Arial"/>
                <w:sz w:val="20"/>
                <w:szCs w:val="20"/>
              </w:rPr>
              <w:t>None</w:t>
            </w:r>
          </w:p>
        </w:tc>
        <w:tc>
          <w:tcPr>
            <w:tcW w:w="1279" w:type="dxa"/>
            <w:shd w:val="pct20" w:color="000000" w:fill="FFFFFF"/>
            <w:vAlign w:val="bottom"/>
          </w:tcPr>
          <w:p w14:paraId="393A101D" w14:textId="6B17EC0E" w:rsidR="00B365BD" w:rsidRPr="001E4C31" w:rsidRDefault="00067F6B" w:rsidP="001E4C31">
            <w:pPr>
              <w:keepNext/>
              <w:jc w:val="center"/>
              <w:rPr>
                <w:rFonts w:cs="Arial"/>
                <w:sz w:val="20"/>
                <w:szCs w:val="20"/>
              </w:rPr>
            </w:pPr>
            <w:r>
              <w:rPr>
                <w:rFonts w:cs="Arial"/>
                <w:sz w:val="20"/>
                <w:szCs w:val="20"/>
              </w:rPr>
              <w:t>12</w:t>
            </w:r>
          </w:p>
        </w:tc>
        <w:tc>
          <w:tcPr>
            <w:tcW w:w="1242" w:type="dxa"/>
            <w:shd w:val="pct20" w:color="000000" w:fill="FFFFFF"/>
            <w:vAlign w:val="bottom"/>
          </w:tcPr>
          <w:p w14:paraId="393A101E" w14:textId="0FC7CF72" w:rsidR="00B365BD" w:rsidRPr="00067F6B" w:rsidRDefault="00067F6B" w:rsidP="001E4C31">
            <w:pPr>
              <w:keepNext/>
              <w:jc w:val="center"/>
              <w:rPr>
                <w:rFonts w:cs="Arial"/>
                <w:sz w:val="20"/>
                <w:szCs w:val="20"/>
              </w:rPr>
            </w:pPr>
            <w:r>
              <w:rPr>
                <w:rFonts w:cs="Arial"/>
                <w:sz w:val="20"/>
                <w:szCs w:val="20"/>
              </w:rPr>
              <w:t>12</w:t>
            </w:r>
          </w:p>
        </w:tc>
        <w:tc>
          <w:tcPr>
            <w:tcW w:w="1295" w:type="dxa"/>
            <w:shd w:val="pct20" w:color="000000" w:fill="FFFFFF"/>
            <w:vAlign w:val="bottom"/>
          </w:tcPr>
          <w:p w14:paraId="393A101F" w14:textId="7F6E13B7" w:rsidR="00B365BD" w:rsidRPr="00067F6B" w:rsidRDefault="00067F6B" w:rsidP="001E4C31">
            <w:pPr>
              <w:keepNext/>
              <w:jc w:val="center"/>
              <w:rPr>
                <w:rFonts w:cs="Arial"/>
                <w:sz w:val="20"/>
                <w:szCs w:val="20"/>
              </w:rPr>
            </w:pPr>
            <w:r>
              <w:rPr>
                <w:rFonts w:cs="Arial"/>
                <w:sz w:val="20"/>
                <w:szCs w:val="20"/>
              </w:rPr>
              <w:t>12</w:t>
            </w:r>
          </w:p>
        </w:tc>
        <w:tc>
          <w:tcPr>
            <w:tcW w:w="1131" w:type="dxa"/>
            <w:shd w:val="pct20" w:color="000000" w:fill="FFFFFF"/>
          </w:tcPr>
          <w:p w14:paraId="58817650" w14:textId="3CF74260" w:rsidR="00B365BD" w:rsidRPr="00067F6B" w:rsidRDefault="00067F6B" w:rsidP="001E4C31">
            <w:pPr>
              <w:keepNext/>
              <w:jc w:val="center"/>
              <w:rPr>
                <w:rFonts w:cs="Arial"/>
                <w:sz w:val="20"/>
                <w:szCs w:val="20"/>
              </w:rPr>
            </w:pPr>
            <w:r>
              <w:rPr>
                <w:rFonts w:cs="Arial"/>
                <w:sz w:val="20"/>
                <w:szCs w:val="20"/>
              </w:rPr>
              <w:t>12</w:t>
            </w:r>
          </w:p>
        </w:tc>
        <w:tc>
          <w:tcPr>
            <w:tcW w:w="1515" w:type="dxa"/>
            <w:shd w:val="pct20" w:color="000000" w:fill="FFFFFF"/>
            <w:vAlign w:val="bottom"/>
          </w:tcPr>
          <w:p w14:paraId="393A1020" w14:textId="74BA301E" w:rsidR="00B365BD" w:rsidRPr="00067F6B" w:rsidRDefault="00067F6B" w:rsidP="001E4C31">
            <w:pPr>
              <w:keepNext/>
              <w:jc w:val="center"/>
              <w:rPr>
                <w:rFonts w:cs="Arial"/>
                <w:sz w:val="20"/>
                <w:szCs w:val="20"/>
              </w:rPr>
            </w:pPr>
            <w:r>
              <w:rPr>
                <w:rFonts w:cs="Arial"/>
                <w:sz w:val="20"/>
                <w:szCs w:val="20"/>
              </w:rPr>
              <w:t>Section 1.4.1</w:t>
            </w:r>
          </w:p>
        </w:tc>
      </w:tr>
      <w:tr w:rsidR="00B365BD" w:rsidRPr="00783DAC" w14:paraId="393A1028" w14:textId="77777777" w:rsidTr="00B365BD">
        <w:tc>
          <w:tcPr>
            <w:tcW w:w="1600" w:type="dxa"/>
            <w:shd w:val="pct5" w:color="000000" w:fill="FFFFFF"/>
            <w:vAlign w:val="bottom"/>
          </w:tcPr>
          <w:p w14:paraId="393A1022" w14:textId="77777777" w:rsidR="00B365BD" w:rsidRPr="001E4C31" w:rsidRDefault="00B365BD" w:rsidP="001E4C31">
            <w:pPr>
              <w:keepNext/>
              <w:jc w:val="center"/>
              <w:rPr>
                <w:rFonts w:cs="Arial"/>
                <w:b/>
                <w:sz w:val="20"/>
                <w:szCs w:val="20"/>
              </w:rPr>
            </w:pPr>
            <w:r w:rsidRPr="001E4C31">
              <w:rPr>
                <w:rFonts w:cs="Arial"/>
                <w:b/>
                <w:sz w:val="20"/>
                <w:szCs w:val="20"/>
              </w:rPr>
              <w:t>NTG</w:t>
            </w:r>
          </w:p>
        </w:tc>
        <w:tc>
          <w:tcPr>
            <w:tcW w:w="1514" w:type="dxa"/>
            <w:shd w:val="pct5" w:color="000000" w:fill="FFFFFF"/>
            <w:vAlign w:val="bottom"/>
          </w:tcPr>
          <w:p w14:paraId="393A1023" w14:textId="4ED115AB" w:rsidR="00B365BD" w:rsidRPr="00067F6B" w:rsidRDefault="00B365BD" w:rsidP="001E4C31">
            <w:pPr>
              <w:keepNext/>
              <w:jc w:val="center"/>
              <w:rPr>
                <w:rFonts w:cs="Arial"/>
                <w:sz w:val="20"/>
                <w:szCs w:val="20"/>
              </w:rPr>
            </w:pPr>
            <w:r w:rsidRPr="00067F6B">
              <w:rPr>
                <w:rFonts w:cs="Arial"/>
                <w:sz w:val="20"/>
                <w:szCs w:val="20"/>
              </w:rPr>
              <w:t>None</w:t>
            </w:r>
          </w:p>
        </w:tc>
        <w:tc>
          <w:tcPr>
            <w:tcW w:w="1279" w:type="dxa"/>
            <w:shd w:val="pct5" w:color="000000" w:fill="FFFFFF"/>
            <w:vAlign w:val="bottom"/>
          </w:tcPr>
          <w:p w14:paraId="393A1024" w14:textId="476FA639" w:rsidR="00B365BD" w:rsidRPr="001E4C31" w:rsidRDefault="00067F6B" w:rsidP="001E4C31">
            <w:pPr>
              <w:keepNext/>
              <w:jc w:val="center"/>
              <w:rPr>
                <w:rFonts w:cs="Arial"/>
                <w:sz w:val="20"/>
                <w:szCs w:val="20"/>
              </w:rPr>
            </w:pPr>
            <w:r>
              <w:rPr>
                <w:rFonts w:cs="Arial"/>
                <w:sz w:val="20"/>
                <w:szCs w:val="20"/>
              </w:rPr>
              <w:t>N/A</w:t>
            </w:r>
          </w:p>
        </w:tc>
        <w:tc>
          <w:tcPr>
            <w:tcW w:w="1242" w:type="dxa"/>
            <w:shd w:val="pct5" w:color="000000" w:fill="FFFFFF"/>
            <w:vAlign w:val="bottom"/>
          </w:tcPr>
          <w:p w14:paraId="393A1025" w14:textId="3A36850B" w:rsidR="00B365BD" w:rsidRPr="00067F6B" w:rsidRDefault="00067F6B" w:rsidP="001E4C31">
            <w:pPr>
              <w:keepNext/>
              <w:jc w:val="center"/>
              <w:rPr>
                <w:rFonts w:cs="Arial"/>
                <w:sz w:val="20"/>
                <w:szCs w:val="20"/>
              </w:rPr>
            </w:pPr>
            <w:r>
              <w:rPr>
                <w:rFonts w:cs="Arial"/>
                <w:sz w:val="20"/>
                <w:szCs w:val="20"/>
              </w:rPr>
              <w:t>N/A</w:t>
            </w:r>
          </w:p>
        </w:tc>
        <w:tc>
          <w:tcPr>
            <w:tcW w:w="1295" w:type="dxa"/>
            <w:shd w:val="pct5" w:color="000000" w:fill="FFFFFF"/>
            <w:vAlign w:val="bottom"/>
          </w:tcPr>
          <w:p w14:paraId="393A1026" w14:textId="232E7313" w:rsidR="00B365BD" w:rsidRPr="00067F6B" w:rsidRDefault="00067F6B" w:rsidP="001E4C31">
            <w:pPr>
              <w:keepNext/>
              <w:jc w:val="center"/>
              <w:rPr>
                <w:rFonts w:cs="Arial"/>
                <w:sz w:val="20"/>
                <w:szCs w:val="20"/>
              </w:rPr>
            </w:pPr>
            <w:r>
              <w:rPr>
                <w:rFonts w:cs="Arial"/>
                <w:sz w:val="20"/>
                <w:szCs w:val="20"/>
              </w:rPr>
              <w:t>0.6</w:t>
            </w:r>
          </w:p>
        </w:tc>
        <w:tc>
          <w:tcPr>
            <w:tcW w:w="1131" w:type="dxa"/>
            <w:shd w:val="pct5" w:color="000000" w:fill="FFFFFF"/>
          </w:tcPr>
          <w:p w14:paraId="3E669778" w14:textId="4801668F" w:rsidR="00B365BD" w:rsidRPr="00067F6B" w:rsidRDefault="00067F6B" w:rsidP="001E4C31">
            <w:pPr>
              <w:keepNext/>
              <w:jc w:val="center"/>
              <w:rPr>
                <w:rFonts w:cs="Arial"/>
                <w:sz w:val="20"/>
                <w:szCs w:val="20"/>
              </w:rPr>
            </w:pPr>
            <w:r>
              <w:rPr>
                <w:rFonts w:cs="Arial"/>
                <w:sz w:val="20"/>
                <w:szCs w:val="20"/>
              </w:rPr>
              <w:t>0.6</w:t>
            </w:r>
          </w:p>
        </w:tc>
        <w:tc>
          <w:tcPr>
            <w:tcW w:w="1515" w:type="dxa"/>
            <w:shd w:val="pct5" w:color="000000" w:fill="FFFFFF"/>
            <w:vAlign w:val="bottom"/>
          </w:tcPr>
          <w:p w14:paraId="393A1027" w14:textId="2148B3BF" w:rsidR="00B365BD" w:rsidRPr="00067F6B" w:rsidRDefault="00067F6B" w:rsidP="001E4C31">
            <w:pPr>
              <w:keepNext/>
              <w:jc w:val="center"/>
              <w:rPr>
                <w:rFonts w:cs="Arial"/>
                <w:sz w:val="20"/>
                <w:szCs w:val="20"/>
              </w:rPr>
            </w:pPr>
            <w:r>
              <w:rPr>
                <w:rFonts w:cs="Arial"/>
                <w:sz w:val="20"/>
                <w:szCs w:val="20"/>
              </w:rPr>
              <w:t>Section 1.4.1</w:t>
            </w:r>
          </w:p>
        </w:tc>
      </w:tr>
      <w:tr w:rsidR="00B365BD" w:rsidRPr="00783DAC" w14:paraId="393A102F" w14:textId="77777777" w:rsidTr="00B365BD">
        <w:tc>
          <w:tcPr>
            <w:tcW w:w="1600" w:type="dxa"/>
            <w:shd w:val="pct20" w:color="000000" w:fill="FFFFFF"/>
            <w:vAlign w:val="bottom"/>
          </w:tcPr>
          <w:p w14:paraId="393A1029" w14:textId="77777777" w:rsidR="00B365BD" w:rsidRPr="001E4C31" w:rsidRDefault="00B365BD" w:rsidP="001E4C31">
            <w:pPr>
              <w:keepNext/>
              <w:jc w:val="center"/>
              <w:rPr>
                <w:rFonts w:cs="Arial"/>
                <w:b/>
                <w:sz w:val="20"/>
                <w:szCs w:val="20"/>
              </w:rPr>
            </w:pPr>
            <w:r w:rsidRPr="001E4C31">
              <w:rPr>
                <w:rFonts w:cs="Arial"/>
                <w:b/>
                <w:sz w:val="20"/>
                <w:szCs w:val="20"/>
              </w:rPr>
              <w:t>ISR</w:t>
            </w:r>
          </w:p>
        </w:tc>
        <w:tc>
          <w:tcPr>
            <w:tcW w:w="1514" w:type="dxa"/>
            <w:shd w:val="pct20" w:color="000000" w:fill="FFFFFF"/>
            <w:vAlign w:val="bottom"/>
          </w:tcPr>
          <w:p w14:paraId="393A102A" w14:textId="7A94B70B" w:rsidR="00B365BD" w:rsidRPr="00067F6B" w:rsidRDefault="00067F6B" w:rsidP="001E4C31">
            <w:pPr>
              <w:keepNext/>
              <w:jc w:val="center"/>
              <w:rPr>
                <w:rFonts w:cs="Arial"/>
                <w:sz w:val="20"/>
                <w:szCs w:val="20"/>
              </w:rPr>
            </w:pPr>
            <w:r>
              <w:rPr>
                <w:rFonts w:cs="Arial"/>
                <w:sz w:val="20"/>
                <w:szCs w:val="20"/>
              </w:rPr>
              <w:t>No</w:t>
            </w:r>
          </w:p>
        </w:tc>
        <w:tc>
          <w:tcPr>
            <w:tcW w:w="1279" w:type="dxa"/>
            <w:shd w:val="pct20" w:color="000000" w:fill="FFFFFF"/>
            <w:vAlign w:val="bottom"/>
          </w:tcPr>
          <w:p w14:paraId="393A102B" w14:textId="2E14BCD8" w:rsidR="00B365BD" w:rsidRPr="001E4C31" w:rsidRDefault="00067F6B" w:rsidP="001E4C31">
            <w:pPr>
              <w:keepNext/>
              <w:jc w:val="center"/>
              <w:rPr>
                <w:rFonts w:cs="Arial"/>
                <w:sz w:val="20"/>
                <w:szCs w:val="20"/>
              </w:rPr>
            </w:pPr>
            <w:r>
              <w:rPr>
                <w:rFonts w:cs="Arial"/>
                <w:sz w:val="20"/>
                <w:szCs w:val="20"/>
              </w:rPr>
              <w:t>1</w:t>
            </w:r>
          </w:p>
        </w:tc>
        <w:tc>
          <w:tcPr>
            <w:tcW w:w="1242" w:type="dxa"/>
            <w:shd w:val="pct20" w:color="000000" w:fill="FFFFFF"/>
            <w:vAlign w:val="bottom"/>
          </w:tcPr>
          <w:p w14:paraId="393A102C" w14:textId="6C9D88E0" w:rsidR="00B365BD" w:rsidRPr="00067F6B" w:rsidRDefault="00067F6B" w:rsidP="001E4C31">
            <w:pPr>
              <w:keepNext/>
              <w:jc w:val="center"/>
              <w:rPr>
                <w:rFonts w:cs="Arial"/>
                <w:sz w:val="20"/>
                <w:szCs w:val="20"/>
              </w:rPr>
            </w:pPr>
            <w:r>
              <w:rPr>
                <w:rFonts w:cs="Arial"/>
                <w:sz w:val="20"/>
                <w:szCs w:val="20"/>
              </w:rPr>
              <w:t>1</w:t>
            </w:r>
          </w:p>
        </w:tc>
        <w:tc>
          <w:tcPr>
            <w:tcW w:w="1295" w:type="dxa"/>
            <w:shd w:val="pct20" w:color="000000" w:fill="FFFFFF"/>
            <w:vAlign w:val="bottom"/>
          </w:tcPr>
          <w:p w14:paraId="393A102D" w14:textId="7298F47B" w:rsidR="00B365BD" w:rsidRPr="00067F6B" w:rsidRDefault="00067F6B" w:rsidP="001E4C31">
            <w:pPr>
              <w:keepNext/>
              <w:jc w:val="center"/>
              <w:rPr>
                <w:rFonts w:cs="Arial"/>
                <w:sz w:val="20"/>
                <w:szCs w:val="20"/>
              </w:rPr>
            </w:pPr>
            <w:r>
              <w:rPr>
                <w:rFonts w:cs="Arial"/>
                <w:sz w:val="20"/>
                <w:szCs w:val="20"/>
              </w:rPr>
              <w:t>1</w:t>
            </w:r>
          </w:p>
        </w:tc>
        <w:tc>
          <w:tcPr>
            <w:tcW w:w="1131" w:type="dxa"/>
            <w:shd w:val="pct20" w:color="000000" w:fill="FFFFFF"/>
          </w:tcPr>
          <w:p w14:paraId="6F2CD607" w14:textId="70E7FD4E" w:rsidR="00B365BD" w:rsidRPr="00067F6B" w:rsidRDefault="00067F6B" w:rsidP="001E4C31">
            <w:pPr>
              <w:keepNext/>
              <w:jc w:val="center"/>
              <w:rPr>
                <w:rFonts w:cs="Arial"/>
                <w:sz w:val="20"/>
                <w:szCs w:val="20"/>
              </w:rPr>
            </w:pPr>
            <w:r>
              <w:rPr>
                <w:rFonts w:cs="Arial"/>
                <w:sz w:val="20"/>
                <w:szCs w:val="20"/>
              </w:rPr>
              <w:t>1</w:t>
            </w:r>
          </w:p>
        </w:tc>
        <w:tc>
          <w:tcPr>
            <w:tcW w:w="1515" w:type="dxa"/>
            <w:shd w:val="pct20" w:color="000000" w:fill="FFFFFF"/>
            <w:vAlign w:val="bottom"/>
          </w:tcPr>
          <w:p w14:paraId="393A102E" w14:textId="363F1BA8" w:rsidR="00B365BD" w:rsidRPr="00067F6B" w:rsidRDefault="00067F6B" w:rsidP="001E4C31">
            <w:pPr>
              <w:keepNext/>
              <w:jc w:val="center"/>
              <w:rPr>
                <w:rFonts w:cs="Arial"/>
                <w:sz w:val="20"/>
                <w:szCs w:val="20"/>
              </w:rPr>
            </w:pPr>
            <w:r>
              <w:rPr>
                <w:rFonts w:cs="Arial"/>
                <w:sz w:val="20"/>
                <w:szCs w:val="20"/>
              </w:rPr>
              <w:t>Section 1.4.1</w:t>
            </w:r>
          </w:p>
        </w:tc>
      </w:tr>
      <w:tr w:rsidR="00B365BD" w:rsidRPr="00783DAC" w14:paraId="393A1036" w14:textId="77777777" w:rsidTr="00B365BD">
        <w:tc>
          <w:tcPr>
            <w:tcW w:w="1600" w:type="dxa"/>
            <w:shd w:val="pct5" w:color="000000" w:fill="FFFFFF"/>
            <w:vAlign w:val="bottom"/>
          </w:tcPr>
          <w:p w14:paraId="393A1030" w14:textId="77777777" w:rsidR="00B365BD" w:rsidRPr="001E4C31" w:rsidRDefault="00B365BD" w:rsidP="001E4C31">
            <w:pPr>
              <w:jc w:val="center"/>
              <w:rPr>
                <w:rFonts w:cs="Arial"/>
                <w:b/>
                <w:sz w:val="20"/>
                <w:szCs w:val="20"/>
              </w:rPr>
            </w:pPr>
            <w:r w:rsidRPr="001E4C31">
              <w:rPr>
                <w:rFonts w:cs="Arial"/>
                <w:b/>
                <w:sz w:val="20"/>
                <w:szCs w:val="20"/>
              </w:rPr>
              <w:t>TOU Factor</w:t>
            </w:r>
          </w:p>
        </w:tc>
        <w:tc>
          <w:tcPr>
            <w:tcW w:w="1514" w:type="dxa"/>
            <w:shd w:val="pct5" w:color="000000" w:fill="FFFFFF"/>
            <w:vAlign w:val="bottom"/>
          </w:tcPr>
          <w:p w14:paraId="393A1031" w14:textId="77777777" w:rsidR="00B365BD" w:rsidRPr="00067F6B" w:rsidRDefault="00B365BD" w:rsidP="001E4C31">
            <w:pPr>
              <w:jc w:val="center"/>
              <w:rPr>
                <w:rFonts w:cs="Arial"/>
                <w:i/>
                <w:sz w:val="20"/>
                <w:szCs w:val="20"/>
              </w:rPr>
            </w:pPr>
            <w:r w:rsidRPr="00067F6B">
              <w:rPr>
                <w:rFonts w:cs="Arial"/>
                <w:i/>
                <w:sz w:val="20"/>
                <w:szCs w:val="20"/>
              </w:rPr>
              <w:t>A/C projects only</w:t>
            </w:r>
          </w:p>
        </w:tc>
        <w:tc>
          <w:tcPr>
            <w:tcW w:w="1279" w:type="dxa"/>
            <w:shd w:val="pct5" w:color="000000" w:fill="FFFFFF"/>
            <w:vAlign w:val="bottom"/>
          </w:tcPr>
          <w:p w14:paraId="393A1032" w14:textId="3FE57ED8" w:rsidR="00B365BD" w:rsidRPr="001E4C31" w:rsidRDefault="00067F6B" w:rsidP="001E4C31">
            <w:pPr>
              <w:jc w:val="center"/>
              <w:rPr>
                <w:rFonts w:cs="Arial"/>
                <w:i/>
                <w:sz w:val="20"/>
                <w:szCs w:val="20"/>
              </w:rPr>
            </w:pPr>
            <w:r>
              <w:rPr>
                <w:rFonts w:cs="Arial"/>
                <w:i/>
                <w:sz w:val="20"/>
                <w:szCs w:val="20"/>
              </w:rPr>
              <w:t>0</w:t>
            </w:r>
          </w:p>
        </w:tc>
        <w:tc>
          <w:tcPr>
            <w:tcW w:w="1242" w:type="dxa"/>
            <w:shd w:val="pct5" w:color="000000" w:fill="FFFFFF"/>
            <w:vAlign w:val="bottom"/>
          </w:tcPr>
          <w:p w14:paraId="393A1033" w14:textId="46FF0166" w:rsidR="00B365BD" w:rsidRPr="00067F6B" w:rsidRDefault="00067F6B" w:rsidP="001E4C31">
            <w:pPr>
              <w:jc w:val="center"/>
              <w:rPr>
                <w:rFonts w:cs="Arial"/>
                <w:i/>
                <w:sz w:val="20"/>
                <w:szCs w:val="20"/>
              </w:rPr>
            </w:pPr>
            <w:r>
              <w:rPr>
                <w:rFonts w:cs="Arial"/>
                <w:i/>
                <w:sz w:val="20"/>
                <w:szCs w:val="20"/>
              </w:rPr>
              <w:t>0</w:t>
            </w:r>
          </w:p>
        </w:tc>
        <w:tc>
          <w:tcPr>
            <w:tcW w:w="1295" w:type="dxa"/>
            <w:shd w:val="pct5" w:color="000000" w:fill="FFFFFF"/>
            <w:vAlign w:val="bottom"/>
          </w:tcPr>
          <w:p w14:paraId="393A1034" w14:textId="4925B78A" w:rsidR="00B365BD" w:rsidRPr="00067F6B" w:rsidRDefault="00067F6B" w:rsidP="001E4C31">
            <w:pPr>
              <w:jc w:val="center"/>
              <w:rPr>
                <w:rFonts w:cs="Arial"/>
                <w:i/>
                <w:sz w:val="20"/>
                <w:szCs w:val="20"/>
              </w:rPr>
            </w:pPr>
            <w:r>
              <w:rPr>
                <w:rFonts w:cs="Arial"/>
                <w:i/>
                <w:sz w:val="20"/>
                <w:szCs w:val="20"/>
              </w:rPr>
              <w:t>0</w:t>
            </w:r>
          </w:p>
        </w:tc>
        <w:tc>
          <w:tcPr>
            <w:tcW w:w="1131" w:type="dxa"/>
            <w:shd w:val="pct5" w:color="000000" w:fill="FFFFFF"/>
          </w:tcPr>
          <w:p w14:paraId="624007AC" w14:textId="77777777" w:rsidR="00067F6B" w:rsidRDefault="00067F6B" w:rsidP="001E4C31">
            <w:pPr>
              <w:jc w:val="center"/>
              <w:rPr>
                <w:rFonts w:cs="Arial"/>
                <w:i/>
                <w:sz w:val="20"/>
                <w:szCs w:val="20"/>
              </w:rPr>
            </w:pPr>
          </w:p>
          <w:p w14:paraId="0FB74749" w14:textId="0EED8576" w:rsidR="00B365BD" w:rsidRPr="00067F6B" w:rsidRDefault="00067F6B" w:rsidP="001E4C31">
            <w:pPr>
              <w:jc w:val="center"/>
              <w:rPr>
                <w:rFonts w:cs="Arial"/>
                <w:i/>
                <w:sz w:val="20"/>
                <w:szCs w:val="20"/>
              </w:rPr>
            </w:pPr>
            <w:r>
              <w:rPr>
                <w:rFonts w:cs="Arial"/>
                <w:i/>
                <w:sz w:val="20"/>
                <w:szCs w:val="20"/>
              </w:rPr>
              <w:t>0</w:t>
            </w:r>
          </w:p>
        </w:tc>
        <w:tc>
          <w:tcPr>
            <w:tcW w:w="1515" w:type="dxa"/>
            <w:shd w:val="pct5" w:color="000000" w:fill="FFFFFF"/>
            <w:vAlign w:val="bottom"/>
          </w:tcPr>
          <w:p w14:paraId="393A1035" w14:textId="261BB339" w:rsidR="00B365BD" w:rsidRPr="00067F6B" w:rsidRDefault="00B365BD" w:rsidP="001E4C31">
            <w:pPr>
              <w:jc w:val="center"/>
              <w:rPr>
                <w:rFonts w:cs="Arial"/>
                <w:i/>
                <w:sz w:val="20"/>
                <w:szCs w:val="20"/>
              </w:rPr>
            </w:pPr>
            <w:r w:rsidRPr="00067F6B">
              <w:rPr>
                <w:rFonts w:cs="Arial"/>
                <w:i/>
                <w:sz w:val="20"/>
                <w:szCs w:val="20"/>
              </w:rPr>
              <w:t>Section 1.4.5</w:t>
            </w:r>
          </w:p>
        </w:tc>
      </w:tr>
    </w:tbl>
    <w:p w14:paraId="393A1037" w14:textId="77777777" w:rsidR="00C069A2" w:rsidRPr="001A0E28" w:rsidRDefault="001A3026" w:rsidP="00C41E61">
      <w:pPr>
        <w:pStyle w:val="Heading1"/>
      </w:pPr>
      <w:r>
        <w:rPr>
          <w:sz w:val="20"/>
          <w:szCs w:val="20"/>
        </w:rPr>
        <w:br w:type="page"/>
      </w:r>
      <w:bookmarkStart w:id="73" w:name="_Toc304800210"/>
      <w:bookmarkStart w:id="74" w:name="_Toc324340489"/>
      <w:bookmarkStart w:id="75" w:name="_Toc385935865"/>
      <w:proofErr w:type="gramStart"/>
      <w:r w:rsidR="00CF3FF0" w:rsidRPr="00CF3FF0">
        <w:lastRenderedPageBreak/>
        <w:t>Sectio</w:t>
      </w:r>
      <w:r w:rsidR="00CF3FF0" w:rsidRPr="001A0E28">
        <w:t xml:space="preserve">n </w:t>
      </w:r>
      <w:r w:rsidR="00C069A2" w:rsidRPr="001A0E28">
        <w:t>2</w:t>
      </w:r>
      <w:r w:rsidR="003129E8" w:rsidRPr="001A0E28">
        <w:t>.</w:t>
      </w:r>
      <w:proofErr w:type="gramEnd"/>
      <w:r w:rsidR="00C069A2" w:rsidRPr="001A0E28">
        <w:t xml:space="preserve"> Calculation Methods</w:t>
      </w:r>
      <w:bookmarkEnd w:id="73"/>
      <w:bookmarkEnd w:id="74"/>
      <w:bookmarkEnd w:id="75"/>
    </w:p>
    <w:p w14:paraId="393A1038" w14:textId="482C51E7" w:rsidR="00BC2A83" w:rsidRPr="001A0E28" w:rsidRDefault="00ED7D3D" w:rsidP="00067F6B">
      <w:pPr>
        <w:pStyle w:val="Caption"/>
        <w:rPr>
          <w:rFonts w:cs="Arial"/>
          <w:b w:val="0"/>
          <w:sz w:val="24"/>
          <w:szCs w:val="24"/>
        </w:rPr>
      </w:pPr>
      <w:bookmarkStart w:id="76" w:name="_Toc324427648"/>
      <w:r w:rsidRPr="001A0E28">
        <w:rPr>
          <w:rFonts w:cs="Arial"/>
          <w:sz w:val="24"/>
          <w:szCs w:val="24"/>
        </w:rPr>
        <w:t xml:space="preserve">Table </w:t>
      </w:r>
      <w:r w:rsidR="00067F6B" w:rsidRPr="001A0E28">
        <w:rPr>
          <w:rFonts w:cs="Arial"/>
          <w:sz w:val="24"/>
          <w:szCs w:val="24"/>
        </w:rPr>
        <w:t>10</w:t>
      </w:r>
      <w:r w:rsidR="0007589E" w:rsidRPr="001A0E28">
        <w:rPr>
          <w:rFonts w:cs="Arial"/>
          <w:sz w:val="24"/>
          <w:szCs w:val="24"/>
        </w:rPr>
        <w:t xml:space="preserve"> Baseline </w:t>
      </w:r>
      <w:r w:rsidRPr="001A0E28">
        <w:rPr>
          <w:rFonts w:cs="Arial"/>
          <w:sz w:val="24"/>
          <w:szCs w:val="24"/>
        </w:rPr>
        <w:t>by Measure Application Type</w:t>
      </w:r>
      <w:bookmarkEnd w:id="76"/>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A0E28" w14:paraId="393A103D" w14:textId="77777777" w:rsidTr="00ED7D3D">
        <w:trPr>
          <w:trHeight w:val="927"/>
        </w:trPr>
        <w:tc>
          <w:tcPr>
            <w:tcW w:w="2808" w:type="dxa"/>
            <w:shd w:val="clear" w:color="auto" w:fill="262626"/>
            <w:vAlign w:val="bottom"/>
          </w:tcPr>
          <w:p w14:paraId="393A1039" w14:textId="77777777" w:rsidR="00673682" w:rsidRPr="001A0E28" w:rsidRDefault="003541A6" w:rsidP="001E4C31">
            <w:pPr>
              <w:pStyle w:val="Heading2"/>
              <w:keepLines/>
              <w:jc w:val="center"/>
              <w:rPr>
                <w:rStyle w:val="Strong"/>
                <w:b/>
                <w:bCs/>
                <w:i w:val="0"/>
                <w:color w:val="F2F2F2"/>
              </w:rPr>
            </w:pPr>
            <w:bookmarkStart w:id="77" w:name="_Toc324340490"/>
            <w:bookmarkStart w:id="78" w:name="_Toc385935866"/>
            <w:r w:rsidRPr="001A0E28">
              <w:rPr>
                <w:rStyle w:val="Strong"/>
                <w:b/>
                <w:bCs/>
                <w:i w:val="0"/>
                <w:color w:val="F2F2F2"/>
              </w:rPr>
              <w:t xml:space="preserve">Measure Application </w:t>
            </w:r>
            <w:r w:rsidR="00673682" w:rsidRPr="001A0E28">
              <w:rPr>
                <w:rStyle w:val="Strong"/>
                <w:b/>
                <w:bCs/>
                <w:i w:val="0"/>
                <w:color w:val="F2F2F2"/>
              </w:rPr>
              <w:t>Type</w:t>
            </w:r>
            <w:bookmarkEnd w:id="77"/>
            <w:bookmarkEnd w:id="78"/>
          </w:p>
        </w:tc>
        <w:tc>
          <w:tcPr>
            <w:tcW w:w="1710" w:type="dxa"/>
            <w:shd w:val="clear" w:color="auto" w:fill="262626"/>
            <w:vAlign w:val="bottom"/>
          </w:tcPr>
          <w:p w14:paraId="393A103A" w14:textId="77777777" w:rsidR="00673682" w:rsidRPr="001A0E28" w:rsidRDefault="00673682" w:rsidP="001E4C31">
            <w:pPr>
              <w:pStyle w:val="Heading2"/>
              <w:keepLines/>
              <w:jc w:val="center"/>
              <w:rPr>
                <w:rStyle w:val="Strong"/>
                <w:b/>
                <w:bCs/>
                <w:i w:val="0"/>
                <w:color w:val="F2F2F2"/>
              </w:rPr>
            </w:pPr>
            <w:bookmarkStart w:id="79" w:name="_Toc324340491"/>
            <w:bookmarkStart w:id="80" w:name="_Toc385935867"/>
            <w:r w:rsidRPr="001A0E28">
              <w:rPr>
                <w:rStyle w:val="Strong"/>
                <w:b/>
                <w:bCs/>
                <w:i w:val="0"/>
                <w:color w:val="F2F2F2"/>
              </w:rPr>
              <w:t>Measure Life Basis</w:t>
            </w:r>
            <w:bookmarkEnd w:id="79"/>
            <w:bookmarkEnd w:id="80"/>
          </w:p>
        </w:tc>
        <w:tc>
          <w:tcPr>
            <w:tcW w:w="2790" w:type="dxa"/>
            <w:shd w:val="clear" w:color="auto" w:fill="262626"/>
            <w:vAlign w:val="bottom"/>
          </w:tcPr>
          <w:p w14:paraId="393A103B" w14:textId="77777777" w:rsidR="00673682" w:rsidRPr="001A0E28" w:rsidRDefault="00673682" w:rsidP="001E4C31">
            <w:pPr>
              <w:pStyle w:val="Heading2"/>
              <w:keepLines/>
              <w:jc w:val="center"/>
              <w:rPr>
                <w:rStyle w:val="Strong"/>
                <w:b/>
                <w:bCs/>
                <w:i w:val="0"/>
                <w:color w:val="F2F2F2"/>
              </w:rPr>
            </w:pPr>
            <w:bookmarkStart w:id="81" w:name="_Toc324340492"/>
            <w:bookmarkStart w:id="82" w:name="_Toc385935868"/>
            <w:r w:rsidRPr="001A0E28">
              <w:rPr>
                <w:rStyle w:val="Strong"/>
                <w:b/>
                <w:bCs/>
                <w:i w:val="0"/>
                <w:color w:val="F2F2F2"/>
              </w:rPr>
              <w:t>First Baseline Period: Energy Savings Baseline</w:t>
            </w:r>
            <w:bookmarkEnd w:id="81"/>
            <w:bookmarkEnd w:id="82"/>
          </w:p>
        </w:tc>
        <w:tc>
          <w:tcPr>
            <w:tcW w:w="2268" w:type="dxa"/>
            <w:shd w:val="clear" w:color="auto" w:fill="262626"/>
            <w:vAlign w:val="bottom"/>
          </w:tcPr>
          <w:p w14:paraId="393A103C" w14:textId="77777777" w:rsidR="00673682" w:rsidRPr="001A0E28" w:rsidRDefault="00673682" w:rsidP="001E4C31">
            <w:pPr>
              <w:pStyle w:val="Heading2"/>
              <w:keepLines/>
              <w:jc w:val="center"/>
              <w:rPr>
                <w:rStyle w:val="Strong"/>
                <w:b/>
                <w:bCs/>
                <w:i w:val="0"/>
                <w:color w:val="F2F2F2"/>
              </w:rPr>
            </w:pPr>
            <w:bookmarkStart w:id="83" w:name="_Toc324340493"/>
            <w:bookmarkStart w:id="84" w:name="_Toc385935869"/>
            <w:r w:rsidRPr="001A0E28">
              <w:rPr>
                <w:rStyle w:val="Strong"/>
                <w:b/>
                <w:bCs/>
                <w:i w:val="0"/>
                <w:color w:val="F2F2F2"/>
              </w:rPr>
              <w:t>Second Baseline Period: Energy Savings Baseline</w:t>
            </w:r>
            <w:bookmarkEnd w:id="83"/>
            <w:bookmarkEnd w:id="84"/>
          </w:p>
        </w:tc>
      </w:tr>
      <w:tr w:rsidR="009B1863" w:rsidRPr="001A0E28" w14:paraId="393A1042" w14:textId="77777777" w:rsidTr="00C74F44">
        <w:tc>
          <w:tcPr>
            <w:tcW w:w="2808" w:type="dxa"/>
            <w:shd w:val="pct5" w:color="000000" w:fill="FFFFFF"/>
            <w:vAlign w:val="bottom"/>
          </w:tcPr>
          <w:p w14:paraId="393A103E" w14:textId="77777777" w:rsidR="00645027" w:rsidRPr="001A0E28" w:rsidRDefault="00EA38B4" w:rsidP="00EA38B4">
            <w:pPr>
              <w:spacing w:before="120" w:after="120"/>
              <w:jc w:val="center"/>
              <w:rPr>
                <w:rStyle w:val="Strong"/>
                <w:rFonts w:cs="Arial"/>
                <w:b w:val="0"/>
              </w:rPr>
            </w:pPr>
            <w:bookmarkStart w:id="85" w:name="_Toc324318349"/>
            <w:r w:rsidRPr="001A0E28">
              <w:rPr>
                <w:rStyle w:val="Strong"/>
                <w:rFonts w:cs="Arial"/>
                <w:i/>
              </w:rPr>
              <w:t>ER</w:t>
            </w:r>
            <w:r w:rsidR="00645027" w:rsidRPr="001A0E28">
              <w:rPr>
                <w:rStyle w:val="Strong"/>
                <w:rFonts w:cs="Arial"/>
                <w:b w:val="0"/>
              </w:rPr>
              <w:t xml:space="preserve"> (</w:t>
            </w:r>
            <w:r w:rsidRPr="001A0E28">
              <w:rPr>
                <w:rStyle w:val="Strong"/>
                <w:rFonts w:cs="Arial"/>
                <w:b w:val="0"/>
              </w:rPr>
              <w:t>early retirement</w:t>
            </w:r>
            <w:r w:rsidR="00645027" w:rsidRPr="001A0E28">
              <w:rPr>
                <w:rStyle w:val="Strong"/>
                <w:rFonts w:cs="Arial"/>
                <w:b w:val="0"/>
              </w:rPr>
              <w:t>)</w:t>
            </w:r>
            <w:bookmarkEnd w:id="85"/>
          </w:p>
        </w:tc>
        <w:tc>
          <w:tcPr>
            <w:tcW w:w="1710" w:type="dxa"/>
            <w:shd w:val="pct5" w:color="000000" w:fill="FFFFFF"/>
            <w:vAlign w:val="bottom"/>
          </w:tcPr>
          <w:p w14:paraId="393A103F" w14:textId="77777777" w:rsidR="00645027" w:rsidRPr="001A0E28" w:rsidRDefault="00645027" w:rsidP="001E4C31">
            <w:pPr>
              <w:spacing w:before="120" w:after="120"/>
              <w:jc w:val="center"/>
              <w:rPr>
                <w:rStyle w:val="Strong"/>
                <w:rFonts w:cs="Arial"/>
                <w:b w:val="0"/>
              </w:rPr>
            </w:pPr>
            <w:bookmarkStart w:id="86" w:name="_Toc324318350"/>
            <w:r w:rsidRPr="001A0E28">
              <w:rPr>
                <w:rStyle w:val="Strong"/>
                <w:rFonts w:cs="Arial"/>
                <w:b w:val="0"/>
              </w:rPr>
              <w:t>EUL</w:t>
            </w:r>
            <w:bookmarkEnd w:id="86"/>
          </w:p>
        </w:tc>
        <w:tc>
          <w:tcPr>
            <w:tcW w:w="2790" w:type="dxa"/>
            <w:shd w:val="pct5" w:color="000000" w:fill="FFFFFF"/>
            <w:vAlign w:val="bottom"/>
          </w:tcPr>
          <w:p w14:paraId="393A1040" w14:textId="77777777" w:rsidR="00645027" w:rsidRPr="001A0E28" w:rsidRDefault="00EA38B4" w:rsidP="001E4C31">
            <w:pPr>
              <w:spacing w:before="120" w:after="120"/>
              <w:jc w:val="center"/>
              <w:rPr>
                <w:rFonts w:cs="Arial"/>
                <w:sz w:val="20"/>
                <w:szCs w:val="20"/>
              </w:rPr>
            </w:pPr>
            <w:r w:rsidRPr="001A0E28">
              <w:rPr>
                <w:rFonts w:cs="Arial"/>
                <w:sz w:val="20"/>
                <w:szCs w:val="20"/>
              </w:rPr>
              <w:t>Customer Average Baseline</w:t>
            </w:r>
          </w:p>
        </w:tc>
        <w:tc>
          <w:tcPr>
            <w:tcW w:w="2268" w:type="dxa"/>
            <w:shd w:val="pct5" w:color="000000" w:fill="FFFFFF"/>
            <w:vAlign w:val="bottom"/>
          </w:tcPr>
          <w:p w14:paraId="393A1041" w14:textId="77777777" w:rsidR="00645027" w:rsidRPr="001A0E28" w:rsidRDefault="00EA38B4" w:rsidP="001E4C31">
            <w:pPr>
              <w:spacing w:before="120" w:after="120"/>
              <w:jc w:val="center"/>
              <w:rPr>
                <w:rFonts w:cs="Arial"/>
                <w:sz w:val="20"/>
                <w:szCs w:val="20"/>
              </w:rPr>
            </w:pPr>
            <w:r w:rsidRPr="001A0E28">
              <w:rPr>
                <w:rFonts w:cs="Arial"/>
                <w:sz w:val="20"/>
                <w:szCs w:val="20"/>
              </w:rPr>
              <w:t>Code Baseline</w:t>
            </w:r>
          </w:p>
        </w:tc>
      </w:tr>
      <w:tr w:rsidR="009B1863" w:rsidRPr="001A0E28" w14:paraId="393A1047" w14:textId="77777777" w:rsidTr="00C74F44">
        <w:tc>
          <w:tcPr>
            <w:tcW w:w="2808" w:type="dxa"/>
            <w:shd w:val="pct20" w:color="000000" w:fill="FFFFFF"/>
            <w:vAlign w:val="bottom"/>
          </w:tcPr>
          <w:p w14:paraId="393A1043" w14:textId="77777777" w:rsidR="00645027" w:rsidRPr="001A0E28" w:rsidRDefault="00645027" w:rsidP="001E4C31">
            <w:pPr>
              <w:spacing w:before="120" w:after="120"/>
              <w:jc w:val="center"/>
              <w:rPr>
                <w:rStyle w:val="Strong"/>
                <w:rFonts w:cs="Arial"/>
                <w:b w:val="0"/>
              </w:rPr>
            </w:pPr>
            <w:bookmarkStart w:id="87" w:name="_Toc324318353"/>
            <w:r w:rsidRPr="001A0E28">
              <w:rPr>
                <w:rStyle w:val="Strong"/>
                <w:rFonts w:cs="Arial"/>
                <w:i/>
              </w:rPr>
              <w:t>ROB</w:t>
            </w:r>
            <w:r w:rsidRPr="001A0E28">
              <w:rPr>
                <w:rStyle w:val="Strong"/>
                <w:rFonts w:cs="Arial"/>
                <w:b w:val="0"/>
              </w:rPr>
              <w:t xml:space="preserve"> (replace-on-burnout)</w:t>
            </w:r>
            <w:bookmarkEnd w:id="87"/>
          </w:p>
        </w:tc>
        <w:tc>
          <w:tcPr>
            <w:tcW w:w="1710" w:type="dxa"/>
            <w:shd w:val="pct20" w:color="000000" w:fill="FFFFFF"/>
            <w:vAlign w:val="bottom"/>
          </w:tcPr>
          <w:p w14:paraId="393A1044" w14:textId="77777777" w:rsidR="00645027" w:rsidRPr="001A0E28" w:rsidRDefault="00645027" w:rsidP="001E4C31">
            <w:pPr>
              <w:spacing w:before="120" w:after="120"/>
              <w:jc w:val="center"/>
              <w:rPr>
                <w:rStyle w:val="Strong"/>
                <w:rFonts w:cs="Arial"/>
                <w:b w:val="0"/>
              </w:rPr>
            </w:pPr>
            <w:bookmarkStart w:id="88" w:name="_Toc324318354"/>
            <w:r w:rsidRPr="001A0E28">
              <w:rPr>
                <w:rStyle w:val="Strong"/>
                <w:rFonts w:cs="Arial"/>
                <w:b w:val="0"/>
              </w:rPr>
              <w:t>EUL</w:t>
            </w:r>
            <w:bookmarkEnd w:id="88"/>
          </w:p>
        </w:tc>
        <w:tc>
          <w:tcPr>
            <w:tcW w:w="2790" w:type="dxa"/>
            <w:shd w:val="pct20" w:color="000000" w:fill="FFFFFF"/>
            <w:vAlign w:val="bottom"/>
          </w:tcPr>
          <w:p w14:paraId="393A1045" w14:textId="77777777" w:rsidR="00645027" w:rsidRPr="001A0E28" w:rsidRDefault="00645027" w:rsidP="001E4C31">
            <w:pPr>
              <w:spacing w:before="120" w:after="120"/>
              <w:jc w:val="center"/>
              <w:rPr>
                <w:rFonts w:cs="Arial"/>
                <w:sz w:val="20"/>
                <w:szCs w:val="20"/>
              </w:rPr>
            </w:pPr>
            <w:bookmarkStart w:id="89" w:name="_Toc324318355"/>
            <w:r w:rsidRPr="001A0E28">
              <w:rPr>
                <w:rFonts w:cs="Arial"/>
                <w:sz w:val="20"/>
                <w:szCs w:val="20"/>
              </w:rPr>
              <w:t>Code Baseline</w:t>
            </w:r>
            <w:bookmarkEnd w:id="89"/>
          </w:p>
        </w:tc>
        <w:tc>
          <w:tcPr>
            <w:tcW w:w="2268" w:type="dxa"/>
            <w:shd w:val="pct20" w:color="000000" w:fill="FFFFFF"/>
            <w:vAlign w:val="bottom"/>
          </w:tcPr>
          <w:p w14:paraId="393A1046" w14:textId="77777777" w:rsidR="00645027" w:rsidRPr="001A0E28" w:rsidRDefault="00645027" w:rsidP="001E4C31">
            <w:pPr>
              <w:spacing w:before="120" w:after="120"/>
              <w:jc w:val="center"/>
              <w:rPr>
                <w:rFonts w:cs="Arial"/>
                <w:sz w:val="20"/>
                <w:szCs w:val="20"/>
              </w:rPr>
            </w:pPr>
            <w:bookmarkStart w:id="90" w:name="_Toc324318356"/>
            <w:r w:rsidRPr="001A0E28">
              <w:rPr>
                <w:rFonts w:cs="Arial"/>
                <w:sz w:val="20"/>
                <w:szCs w:val="20"/>
              </w:rPr>
              <w:t>N/A</w:t>
            </w:r>
            <w:bookmarkEnd w:id="90"/>
          </w:p>
        </w:tc>
      </w:tr>
      <w:tr w:rsidR="009B1863" w:rsidRPr="001A0E28" w14:paraId="393A104C" w14:textId="77777777" w:rsidTr="00C74F44">
        <w:tc>
          <w:tcPr>
            <w:tcW w:w="2808" w:type="dxa"/>
            <w:shd w:val="pct5" w:color="000000" w:fill="FFFFFF"/>
            <w:vAlign w:val="bottom"/>
          </w:tcPr>
          <w:p w14:paraId="393A1048" w14:textId="77777777" w:rsidR="00645027" w:rsidRPr="001A0E28" w:rsidRDefault="00EA38B4" w:rsidP="00EA38B4">
            <w:pPr>
              <w:spacing w:before="120" w:after="120"/>
              <w:jc w:val="center"/>
              <w:rPr>
                <w:rStyle w:val="Strong"/>
                <w:rFonts w:cs="Arial"/>
                <w:b w:val="0"/>
              </w:rPr>
            </w:pPr>
            <w:bookmarkStart w:id="91" w:name="_Toc324318357"/>
            <w:r w:rsidRPr="001A0E28">
              <w:rPr>
                <w:rStyle w:val="Strong"/>
                <w:rFonts w:cs="Arial"/>
                <w:i/>
              </w:rPr>
              <w:t>NC</w:t>
            </w:r>
            <w:r w:rsidR="00645027" w:rsidRPr="001A0E28">
              <w:rPr>
                <w:rStyle w:val="Strong"/>
                <w:rFonts w:cs="Arial"/>
                <w:b w:val="0"/>
              </w:rPr>
              <w:t xml:space="preserve"> (</w:t>
            </w:r>
            <w:r w:rsidRPr="001A0E28">
              <w:rPr>
                <w:rStyle w:val="Strong"/>
                <w:rFonts w:cs="Arial"/>
                <w:b w:val="0"/>
              </w:rPr>
              <w:t>new construction</w:t>
            </w:r>
            <w:r w:rsidR="00645027" w:rsidRPr="001A0E28">
              <w:rPr>
                <w:rStyle w:val="Strong"/>
                <w:rFonts w:cs="Arial"/>
                <w:b w:val="0"/>
              </w:rPr>
              <w:t>)</w:t>
            </w:r>
            <w:bookmarkEnd w:id="91"/>
          </w:p>
        </w:tc>
        <w:tc>
          <w:tcPr>
            <w:tcW w:w="1710" w:type="dxa"/>
            <w:shd w:val="pct5" w:color="000000" w:fill="FFFFFF"/>
            <w:vAlign w:val="bottom"/>
          </w:tcPr>
          <w:p w14:paraId="393A1049" w14:textId="77777777" w:rsidR="00645027" w:rsidRPr="001A0E28" w:rsidRDefault="00645027" w:rsidP="001E4C31">
            <w:pPr>
              <w:spacing w:before="120" w:after="120"/>
              <w:jc w:val="center"/>
              <w:rPr>
                <w:rStyle w:val="Strong"/>
                <w:rFonts w:cs="Arial"/>
                <w:b w:val="0"/>
              </w:rPr>
            </w:pPr>
            <w:bookmarkStart w:id="92" w:name="_Toc324318358"/>
            <w:r w:rsidRPr="001A0E28">
              <w:rPr>
                <w:rStyle w:val="Strong"/>
                <w:rFonts w:cs="Arial"/>
                <w:b w:val="0"/>
              </w:rPr>
              <w:t>RUL/EUL-RUL</w:t>
            </w:r>
            <w:bookmarkEnd w:id="92"/>
          </w:p>
        </w:tc>
        <w:tc>
          <w:tcPr>
            <w:tcW w:w="2790" w:type="dxa"/>
            <w:shd w:val="pct5" w:color="000000" w:fill="FFFFFF"/>
            <w:vAlign w:val="bottom"/>
          </w:tcPr>
          <w:p w14:paraId="393A104A" w14:textId="77777777" w:rsidR="00645027" w:rsidRPr="001A0E28" w:rsidRDefault="00EA38B4" w:rsidP="001E4C31">
            <w:pPr>
              <w:spacing w:before="120" w:after="120"/>
              <w:jc w:val="center"/>
              <w:rPr>
                <w:rFonts w:cs="Arial"/>
                <w:sz w:val="20"/>
                <w:szCs w:val="20"/>
              </w:rPr>
            </w:pPr>
            <w:bookmarkStart w:id="93" w:name="_Toc324318359"/>
            <w:r w:rsidRPr="001A0E28">
              <w:rPr>
                <w:rFonts w:cs="Arial"/>
                <w:sz w:val="20"/>
                <w:szCs w:val="20"/>
              </w:rPr>
              <w:t>Code</w:t>
            </w:r>
            <w:r w:rsidR="00645027" w:rsidRPr="001A0E28">
              <w:rPr>
                <w:rFonts w:cs="Arial"/>
                <w:sz w:val="20"/>
                <w:szCs w:val="20"/>
              </w:rPr>
              <w:t xml:space="preserve"> Baseline</w:t>
            </w:r>
            <w:bookmarkEnd w:id="93"/>
          </w:p>
        </w:tc>
        <w:tc>
          <w:tcPr>
            <w:tcW w:w="2268" w:type="dxa"/>
            <w:shd w:val="pct5" w:color="000000" w:fill="FFFFFF"/>
            <w:vAlign w:val="bottom"/>
          </w:tcPr>
          <w:p w14:paraId="393A104B" w14:textId="77777777" w:rsidR="00645027" w:rsidRPr="001A0E28" w:rsidRDefault="00EA38B4" w:rsidP="001E4C31">
            <w:pPr>
              <w:spacing w:before="120" w:after="120"/>
              <w:jc w:val="center"/>
              <w:rPr>
                <w:rFonts w:cs="Arial"/>
                <w:sz w:val="20"/>
                <w:szCs w:val="20"/>
              </w:rPr>
            </w:pPr>
            <w:r w:rsidRPr="001A0E28">
              <w:rPr>
                <w:rFonts w:cs="Arial"/>
                <w:sz w:val="20"/>
                <w:szCs w:val="20"/>
              </w:rPr>
              <w:t>N/A</w:t>
            </w:r>
          </w:p>
        </w:tc>
      </w:tr>
    </w:tbl>
    <w:p w14:paraId="393A104D" w14:textId="77777777" w:rsidR="007F2147" w:rsidRPr="001A0E28" w:rsidRDefault="007F2147" w:rsidP="009B1863">
      <w:pPr>
        <w:rPr>
          <w:rFonts w:cs="Arial"/>
          <w:sz w:val="20"/>
          <w:szCs w:val="20"/>
        </w:rPr>
      </w:pPr>
      <w:bookmarkStart w:id="94" w:name="_Toc304800211"/>
      <w:bookmarkStart w:id="95" w:name="_Toc324318365"/>
      <w:bookmarkStart w:id="96" w:name="_Toc324340494"/>
      <w:r w:rsidRPr="001A0E28">
        <w:rPr>
          <w:rFonts w:cs="Arial"/>
          <w:sz w:val="20"/>
          <w:szCs w:val="20"/>
        </w:rPr>
        <w:t xml:space="preserve">Notes: </w:t>
      </w:r>
    </w:p>
    <w:p w14:paraId="393A104E" w14:textId="77777777" w:rsidR="009B1863" w:rsidRPr="001A0E28" w:rsidRDefault="00916468" w:rsidP="007F2147">
      <w:pPr>
        <w:numPr>
          <w:ilvl w:val="0"/>
          <w:numId w:val="19"/>
        </w:numPr>
        <w:rPr>
          <w:rFonts w:cs="Arial"/>
          <w:sz w:val="20"/>
          <w:szCs w:val="20"/>
        </w:rPr>
      </w:pPr>
      <w:r w:rsidRPr="001A0E28">
        <w:rPr>
          <w:rFonts w:cs="Arial"/>
          <w:sz w:val="20"/>
          <w:szCs w:val="20"/>
        </w:rPr>
        <w:t>For ROB measures, First Baseline is the baseline for the full EUL.</w:t>
      </w:r>
      <w:r w:rsidR="007F2147" w:rsidRPr="001A0E28">
        <w:rPr>
          <w:rFonts w:cs="Arial"/>
          <w:sz w:val="20"/>
          <w:szCs w:val="20"/>
        </w:rPr>
        <w:t xml:space="preserve"> There is no second baseline.</w:t>
      </w:r>
    </w:p>
    <w:p w14:paraId="393A104F" w14:textId="77777777" w:rsidR="00916468" w:rsidRPr="001A0E28" w:rsidRDefault="00916468" w:rsidP="007F2147">
      <w:pPr>
        <w:numPr>
          <w:ilvl w:val="0"/>
          <w:numId w:val="19"/>
        </w:numPr>
        <w:rPr>
          <w:rFonts w:cs="Arial"/>
          <w:sz w:val="20"/>
          <w:szCs w:val="20"/>
        </w:rPr>
      </w:pPr>
      <w:r w:rsidRPr="001A0E28">
        <w:rPr>
          <w:rFonts w:cs="Arial"/>
          <w:sz w:val="20"/>
          <w:szCs w:val="20"/>
        </w:rPr>
        <w:t xml:space="preserve">For ER measures, First Baseline </w:t>
      </w:r>
      <w:r w:rsidR="00EA38B4" w:rsidRPr="001A0E28">
        <w:rPr>
          <w:rFonts w:cs="Arial"/>
          <w:sz w:val="20"/>
          <w:szCs w:val="20"/>
        </w:rPr>
        <w:t>Period is the period</w:t>
      </w:r>
      <w:r w:rsidRPr="001A0E28">
        <w:rPr>
          <w:rFonts w:cs="Arial"/>
          <w:sz w:val="20"/>
          <w:szCs w:val="20"/>
        </w:rPr>
        <w:t xml:space="preserve"> for the </w:t>
      </w:r>
      <w:proofErr w:type="gramStart"/>
      <w:r w:rsidRPr="001A0E28">
        <w:rPr>
          <w:rFonts w:cs="Arial"/>
          <w:sz w:val="20"/>
          <w:szCs w:val="20"/>
        </w:rPr>
        <w:t>RUL</w:t>
      </w:r>
      <w:r w:rsidR="007F2147" w:rsidRPr="001A0E28">
        <w:rPr>
          <w:rFonts w:cs="Arial"/>
          <w:sz w:val="20"/>
          <w:szCs w:val="20"/>
        </w:rPr>
        <w:t>(</w:t>
      </w:r>
      <w:proofErr w:type="gramEnd"/>
      <w:r w:rsidR="007F2147" w:rsidRPr="001A0E28">
        <w:rPr>
          <w:rFonts w:cs="Arial"/>
          <w:sz w:val="20"/>
          <w:szCs w:val="20"/>
        </w:rPr>
        <w:t>remaining useful life)</w:t>
      </w:r>
      <w:r w:rsidRPr="001A0E28">
        <w:rPr>
          <w:rFonts w:cs="Arial"/>
          <w:sz w:val="20"/>
          <w:szCs w:val="20"/>
        </w:rPr>
        <w:t>,</w:t>
      </w:r>
      <w:r w:rsidR="007F2147" w:rsidRPr="001A0E28">
        <w:rPr>
          <w:rFonts w:cs="Arial"/>
          <w:sz w:val="20"/>
          <w:szCs w:val="20"/>
        </w:rPr>
        <w:t xml:space="preserve">defined by </w:t>
      </w:r>
      <w:r w:rsidR="00EA38B4" w:rsidRPr="001A0E28">
        <w:rPr>
          <w:rFonts w:cs="Arial"/>
          <w:sz w:val="20"/>
          <w:szCs w:val="20"/>
        </w:rPr>
        <w:t xml:space="preserve">the </w:t>
      </w:r>
      <w:r w:rsidR="007F2147" w:rsidRPr="001A0E28">
        <w:rPr>
          <w:rFonts w:cs="Arial"/>
          <w:sz w:val="20"/>
          <w:szCs w:val="20"/>
        </w:rPr>
        <w:t>CPUC as</w:t>
      </w:r>
      <w:r w:rsidR="00437BE1" w:rsidRPr="001A0E28">
        <w:rPr>
          <w:rFonts w:cs="Arial"/>
          <w:sz w:val="20"/>
          <w:szCs w:val="20"/>
        </w:rPr>
        <w:t xml:space="preserve"> </w:t>
      </w:r>
      <w:r w:rsidRPr="001A0E28">
        <w:rPr>
          <w:rFonts w:cs="Arial"/>
          <w:sz w:val="20"/>
          <w:szCs w:val="20"/>
        </w:rPr>
        <w:t>RUL=1/3</w:t>
      </w:r>
      <w:r w:rsidR="007F2147" w:rsidRPr="001A0E28">
        <w:rPr>
          <w:rFonts w:cs="Arial"/>
          <w:sz w:val="20"/>
          <w:szCs w:val="20"/>
        </w:rPr>
        <w:t xml:space="preserve"> </w:t>
      </w:r>
      <w:r w:rsidRPr="001A0E28">
        <w:rPr>
          <w:rFonts w:cs="Arial"/>
          <w:sz w:val="20"/>
          <w:szCs w:val="20"/>
        </w:rPr>
        <w:t>EUL.</w:t>
      </w:r>
      <w:r w:rsidR="005F3E96" w:rsidRPr="001A0E28">
        <w:rPr>
          <w:rFonts w:cs="Arial"/>
          <w:sz w:val="20"/>
          <w:szCs w:val="20"/>
        </w:rPr>
        <w:t xml:space="preserve"> </w:t>
      </w:r>
      <w:r w:rsidRPr="001A0E28">
        <w:rPr>
          <w:rFonts w:cs="Arial"/>
          <w:sz w:val="20"/>
          <w:szCs w:val="20"/>
        </w:rPr>
        <w:t>Second baseline</w:t>
      </w:r>
      <w:r w:rsidR="00EA38B4" w:rsidRPr="001A0E28">
        <w:rPr>
          <w:rFonts w:cs="Arial"/>
          <w:sz w:val="20"/>
          <w:szCs w:val="20"/>
        </w:rPr>
        <w:t xml:space="preserve"> period</w:t>
      </w:r>
      <w:r w:rsidRPr="001A0E28">
        <w:rPr>
          <w:rFonts w:cs="Arial"/>
          <w:sz w:val="20"/>
          <w:szCs w:val="20"/>
        </w:rPr>
        <w:t xml:space="preserve"> for ER i</w:t>
      </w:r>
      <w:r w:rsidR="005F3E96" w:rsidRPr="001A0E28">
        <w:rPr>
          <w:rFonts w:cs="Arial"/>
          <w:sz w:val="20"/>
          <w:szCs w:val="20"/>
        </w:rPr>
        <w:t>s Code baseline for the period EUL-RUL.</w:t>
      </w:r>
    </w:p>
    <w:p w14:paraId="393A1050" w14:textId="77777777" w:rsidR="00121A22" w:rsidRPr="001A0E28" w:rsidRDefault="00121A22" w:rsidP="00D20486">
      <w:pPr>
        <w:pStyle w:val="Heading2"/>
      </w:pPr>
    </w:p>
    <w:p w14:paraId="393A1051" w14:textId="77777777" w:rsidR="00C069A2" w:rsidRPr="001A0E28" w:rsidRDefault="00C069A2" w:rsidP="00D20486">
      <w:pPr>
        <w:pStyle w:val="Heading2"/>
      </w:pPr>
      <w:bookmarkStart w:id="97" w:name="_Toc385935870"/>
      <w:r w:rsidRPr="001A0E28">
        <w:t xml:space="preserve">2.1 </w:t>
      </w:r>
      <w:r w:rsidR="007878B9" w:rsidRPr="001A0E28">
        <w:t xml:space="preserve">Electric </w:t>
      </w:r>
      <w:r w:rsidRPr="001A0E28">
        <w:t>Energy Savings Estimation Methodologies</w:t>
      </w:r>
      <w:bookmarkEnd w:id="94"/>
      <w:bookmarkEnd w:id="95"/>
      <w:bookmarkEnd w:id="96"/>
      <w:bookmarkEnd w:id="97"/>
    </w:p>
    <w:p w14:paraId="7FBF490D" w14:textId="0A7D3AF4" w:rsidR="003F589E" w:rsidRPr="003F589E" w:rsidRDefault="003F589E" w:rsidP="003F589E">
      <w:pPr>
        <w:rPr>
          <w:rFonts w:cs="Arial"/>
          <w:sz w:val="24"/>
          <w:highlight w:val="green"/>
        </w:rPr>
      </w:pPr>
      <w:bookmarkStart w:id="98" w:name="_Toc304800212"/>
      <w:bookmarkStart w:id="99" w:name="_Toc324318366"/>
      <w:bookmarkStart w:id="100" w:name="_Toc324340495"/>
      <w:r w:rsidRPr="003F589E">
        <w:rPr>
          <w:rFonts w:cs="Arial"/>
          <w:sz w:val="24"/>
        </w:rPr>
        <w:t>The industry standard for energy use and cooking performance of griddles is ASTM Standard Test Method for the</w:t>
      </w:r>
      <w:r w:rsidRPr="003F589E">
        <w:rPr>
          <w:rFonts w:cs="Arial"/>
          <w:i/>
          <w:iCs/>
          <w:sz w:val="24"/>
        </w:rPr>
        <w:t xml:space="preserve"> </w:t>
      </w:r>
      <w:r w:rsidRPr="003F589E">
        <w:rPr>
          <w:rFonts w:cs="Arial"/>
          <w:sz w:val="24"/>
        </w:rPr>
        <w:t xml:space="preserve">Performance of Griddles (F1275). Table </w:t>
      </w:r>
      <w:r w:rsidRPr="001A0E28">
        <w:rPr>
          <w:rFonts w:cs="Arial"/>
          <w:sz w:val="24"/>
        </w:rPr>
        <w:t>11</w:t>
      </w:r>
      <w:r w:rsidRPr="003F589E">
        <w:rPr>
          <w:rFonts w:cs="Arial"/>
          <w:sz w:val="24"/>
        </w:rPr>
        <w:t xml:space="preserve"> shows an example of the calculation results for electric griddles under ASTM F1275.</w:t>
      </w:r>
    </w:p>
    <w:p w14:paraId="68626FAE" w14:textId="77777777" w:rsidR="003F589E" w:rsidRPr="003F589E" w:rsidRDefault="003F589E" w:rsidP="003F589E">
      <w:pPr>
        <w:rPr>
          <w:rFonts w:cs="Arial"/>
          <w:sz w:val="24"/>
        </w:rPr>
      </w:pPr>
    </w:p>
    <w:bookmarkStart w:id="101" w:name="_Toc174327975"/>
    <w:p w14:paraId="23635F13" w14:textId="415078CA" w:rsidR="003F589E" w:rsidRPr="003F589E" w:rsidRDefault="003F589E" w:rsidP="003F589E">
      <w:pPr>
        <w:tabs>
          <w:tab w:val="center" w:pos="4320"/>
          <w:tab w:val="right" w:pos="8640"/>
        </w:tabs>
        <w:rPr>
          <w:rFonts w:cs="Arial"/>
          <w:b/>
          <w:bCs/>
        </w:rPr>
      </w:pPr>
      <w:r w:rsidRPr="003F589E">
        <w:rPr>
          <w:rFonts w:cs="Arial"/>
          <w:b/>
          <w:bCs/>
        </w:rPr>
        <w:fldChar w:fldCharType="begin"/>
      </w:r>
      <w:r w:rsidRPr="003F589E">
        <w:rPr>
          <w:rFonts w:cs="Arial"/>
          <w:b/>
          <w:bCs/>
        </w:rPr>
        <w:instrText xml:space="preserve"> TC /f “Table”</w:instrText>
      </w:r>
      <w:r w:rsidRPr="003F589E">
        <w:rPr>
          <w:rFonts w:cs="Arial"/>
          <w:b/>
          <w:bCs/>
        </w:rPr>
        <w:fldChar w:fldCharType="end"/>
      </w:r>
      <w:bookmarkStart w:id="102" w:name="_Toc253575450"/>
      <w:r w:rsidRPr="003F589E">
        <w:rPr>
          <w:rFonts w:cs="Arial"/>
          <w:b/>
          <w:bCs/>
        </w:rPr>
        <w:t xml:space="preserve">Table </w:t>
      </w:r>
      <w:r w:rsidRPr="001A0E28">
        <w:rPr>
          <w:rFonts w:cs="Arial"/>
          <w:b/>
          <w:bCs/>
        </w:rPr>
        <w:t>11</w:t>
      </w:r>
      <w:r w:rsidRPr="003F589E">
        <w:rPr>
          <w:rFonts w:cs="Arial"/>
          <w:b/>
          <w:bCs/>
        </w:rPr>
        <w:t>. Commercial Electric Griddle Cost Effectiveness Example.</w:t>
      </w:r>
      <w:bookmarkEnd w:id="102"/>
    </w:p>
    <w:p w14:paraId="36430EDB" w14:textId="77777777" w:rsidR="003F589E" w:rsidRPr="003F589E" w:rsidRDefault="003F589E" w:rsidP="003F589E">
      <w:pPr>
        <w:tabs>
          <w:tab w:val="center" w:pos="4320"/>
          <w:tab w:val="right" w:pos="8640"/>
        </w:tabs>
        <w:rPr>
          <w:rFonts w:cs="Arial"/>
          <w:b/>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7"/>
        <w:gridCol w:w="2103"/>
        <w:gridCol w:w="2306"/>
      </w:tblGrid>
      <w:tr w:rsidR="003F589E" w:rsidRPr="003F589E" w14:paraId="6E7E004E" w14:textId="77777777" w:rsidTr="001A0E28">
        <w:trPr>
          <w:trHeight w:val="432"/>
          <w:jc w:val="center"/>
        </w:trPr>
        <w:tc>
          <w:tcPr>
            <w:tcW w:w="2698" w:type="pct"/>
            <w:tcBorders>
              <w:top w:val="single" w:sz="4" w:space="0" w:color="auto"/>
              <w:left w:val="single" w:sz="4" w:space="0" w:color="auto"/>
              <w:bottom w:val="single" w:sz="4" w:space="0" w:color="auto"/>
              <w:right w:val="single" w:sz="4" w:space="0" w:color="auto"/>
            </w:tcBorders>
            <w:vAlign w:val="center"/>
          </w:tcPr>
          <w:bookmarkEnd w:id="101"/>
          <w:p w14:paraId="459DAED1" w14:textId="77777777" w:rsidR="003F589E" w:rsidRPr="003F589E" w:rsidRDefault="003F589E" w:rsidP="003F589E">
            <w:pPr>
              <w:rPr>
                <w:rFonts w:cs="Arial"/>
                <w:b/>
                <w:bCs/>
                <w:sz w:val="24"/>
              </w:rPr>
            </w:pPr>
            <w:r w:rsidRPr="003F589E">
              <w:rPr>
                <w:rFonts w:cs="Arial"/>
                <w:b/>
                <w:bCs/>
                <w:sz w:val="24"/>
              </w:rPr>
              <w:t>Performance</w:t>
            </w:r>
          </w:p>
        </w:tc>
        <w:tc>
          <w:tcPr>
            <w:tcW w:w="1098" w:type="pct"/>
            <w:tcBorders>
              <w:top w:val="single" w:sz="4" w:space="0" w:color="auto"/>
              <w:left w:val="single" w:sz="4" w:space="0" w:color="auto"/>
              <w:bottom w:val="single" w:sz="4" w:space="0" w:color="auto"/>
              <w:right w:val="single" w:sz="4" w:space="0" w:color="auto"/>
            </w:tcBorders>
            <w:vAlign w:val="center"/>
          </w:tcPr>
          <w:p w14:paraId="4D4857CD" w14:textId="77777777" w:rsidR="003F589E" w:rsidRPr="003F589E" w:rsidRDefault="003F589E" w:rsidP="003F589E">
            <w:pPr>
              <w:jc w:val="center"/>
              <w:rPr>
                <w:rFonts w:cs="Arial"/>
                <w:b/>
                <w:bCs/>
                <w:sz w:val="24"/>
              </w:rPr>
            </w:pPr>
            <w:r w:rsidRPr="003F589E">
              <w:rPr>
                <w:rFonts w:cs="Arial"/>
                <w:b/>
                <w:bCs/>
                <w:sz w:val="24"/>
              </w:rPr>
              <w:t>Baseline Model</w:t>
            </w:r>
          </w:p>
        </w:tc>
        <w:tc>
          <w:tcPr>
            <w:tcW w:w="1204" w:type="pct"/>
            <w:tcBorders>
              <w:top w:val="single" w:sz="4" w:space="0" w:color="auto"/>
              <w:left w:val="single" w:sz="4" w:space="0" w:color="auto"/>
              <w:bottom w:val="single" w:sz="4" w:space="0" w:color="auto"/>
              <w:right w:val="single" w:sz="4" w:space="0" w:color="auto"/>
            </w:tcBorders>
            <w:vAlign w:val="center"/>
          </w:tcPr>
          <w:p w14:paraId="6B5D1F13" w14:textId="77777777" w:rsidR="003F589E" w:rsidRPr="003F589E" w:rsidRDefault="003F589E" w:rsidP="003F589E">
            <w:pPr>
              <w:jc w:val="center"/>
              <w:rPr>
                <w:rFonts w:cs="Arial"/>
                <w:b/>
                <w:bCs/>
                <w:sz w:val="24"/>
              </w:rPr>
            </w:pPr>
            <w:r w:rsidRPr="003F589E">
              <w:rPr>
                <w:rFonts w:cs="Arial"/>
                <w:b/>
                <w:bCs/>
                <w:sz w:val="24"/>
              </w:rPr>
              <w:t>Energy Efficient Model</w:t>
            </w:r>
          </w:p>
        </w:tc>
      </w:tr>
      <w:tr w:rsidR="003F589E" w:rsidRPr="003F589E" w14:paraId="7EA9499A"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72DE9975" w14:textId="77777777" w:rsidR="003F589E" w:rsidRPr="003F589E" w:rsidRDefault="003F589E" w:rsidP="003F589E">
            <w:pPr>
              <w:rPr>
                <w:rFonts w:cs="Arial"/>
                <w:sz w:val="20"/>
                <w:szCs w:val="20"/>
              </w:rPr>
            </w:pPr>
            <w:r w:rsidRPr="003F589E">
              <w:rPr>
                <w:rFonts w:cs="Arial"/>
                <w:sz w:val="20"/>
                <w:szCs w:val="20"/>
              </w:rPr>
              <w:t>Preheat Time (min)</w:t>
            </w:r>
          </w:p>
        </w:tc>
        <w:tc>
          <w:tcPr>
            <w:tcW w:w="1098" w:type="pct"/>
            <w:tcBorders>
              <w:top w:val="single" w:sz="4" w:space="0" w:color="auto"/>
              <w:left w:val="single" w:sz="4" w:space="0" w:color="auto"/>
              <w:bottom w:val="single" w:sz="4" w:space="0" w:color="auto"/>
              <w:right w:val="single" w:sz="4" w:space="0" w:color="auto"/>
            </w:tcBorders>
            <w:vAlign w:val="center"/>
          </w:tcPr>
          <w:p w14:paraId="60B217B6" w14:textId="77777777" w:rsidR="003F589E" w:rsidRPr="003F589E" w:rsidRDefault="003F589E" w:rsidP="003F589E">
            <w:pPr>
              <w:jc w:val="center"/>
              <w:rPr>
                <w:rFonts w:cs="Arial"/>
                <w:sz w:val="20"/>
                <w:szCs w:val="20"/>
              </w:rPr>
            </w:pPr>
            <w:r w:rsidRPr="003F589E">
              <w:rPr>
                <w:rFonts w:cs="Arial"/>
                <w:sz w:val="20"/>
                <w:szCs w:val="20"/>
              </w:rPr>
              <w:t>15</w:t>
            </w:r>
          </w:p>
        </w:tc>
        <w:tc>
          <w:tcPr>
            <w:tcW w:w="1204" w:type="pct"/>
            <w:tcBorders>
              <w:top w:val="single" w:sz="4" w:space="0" w:color="auto"/>
              <w:left w:val="single" w:sz="4" w:space="0" w:color="auto"/>
              <w:bottom w:val="single" w:sz="4" w:space="0" w:color="auto"/>
              <w:right w:val="single" w:sz="4" w:space="0" w:color="auto"/>
            </w:tcBorders>
            <w:vAlign w:val="center"/>
          </w:tcPr>
          <w:p w14:paraId="2B4484D9" w14:textId="77777777" w:rsidR="003F589E" w:rsidRPr="003F589E" w:rsidRDefault="003F589E" w:rsidP="003F589E">
            <w:pPr>
              <w:jc w:val="center"/>
              <w:rPr>
                <w:rFonts w:cs="Arial"/>
                <w:sz w:val="20"/>
                <w:szCs w:val="20"/>
              </w:rPr>
            </w:pPr>
            <w:r w:rsidRPr="003F589E">
              <w:rPr>
                <w:rFonts w:cs="Arial"/>
                <w:sz w:val="20"/>
                <w:szCs w:val="20"/>
              </w:rPr>
              <w:t>15</w:t>
            </w:r>
          </w:p>
        </w:tc>
      </w:tr>
      <w:tr w:rsidR="003F589E" w:rsidRPr="003F589E" w14:paraId="40949F5D"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3F7991CE" w14:textId="77777777" w:rsidR="003F589E" w:rsidRPr="003F589E" w:rsidRDefault="003F589E" w:rsidP="003F589E">
            <w:pPr>
              <w:rPr>
                <w:rFonts w:cs="Arial"/>
                <w:sz w:val="20"/>
                <w:szCs w:val="20"/>
              </w:rPr>
            </w:pPr>
            <w:r w:rsidRPr="003F589E">
              <w:rPr>
                <w:rFonts w:cs="Arial"/>
                <w:sz w:val="20"/>
                <w:szCs w:val="20"/>
              </w:rPr>
              <w:t>Preheat Energy (kWh)</w:t>
            </w:r>
          </w:p>
        </w:tc>
        <w:tc>
          <w:tcPr>
            <w:tcW w:w="1098" w:type="pct"/>
            <w:tcBorders>
              <w:top w:val="single" w:sz="4" w:space="0" w:color="auto"/>
              <w:left w:val="single" w:sz="4" w:space="0" w:color="auto"/>
              <w:bottom w:val="single" w:sz="4" w:space="0" w:color="auto"/>
              <w:right w:val="single" w:sz="4" w:space="0" w:color="auto"/>
            </w:tcBorders>
            <w:vAlign w:val="center"/>
          </w:tcPr>
          <w:p w14:paraId="35DB653A" w14:textId="77777777" w:rsidR="003F589E" w:rsidRPr="003F589E" w:rsidRDefault="003F589E" w:rsidP="003F589E">
            <w:pPr>
              <w:jc w:val="center"/>
              <w:rPr>
                <w:rFonts w:cs="Arial"/>
                <w:sz w:val="20"/>
                <w:szCs w:val="20"/>
              </w:rPr>
            </w:pPr>
            <w:r w:rsidRPr="003F589E">
              <w:rPr>
                <w:rFonts w:cs="Arial"/>
                <w:sz w:val="20"/>
                <w:szCs w:val="20"/>
              </w:rPr>
              <w:t>4.00</w:t>
            </w:r>
          </w:p>
        </w:tc>
        <w:tc>
          <w:tcPr>
            <w:tcW w:w="1204" w:type="pct"/>
            <w:tcBorders>
              <w:top w:val="single" w:sz="4" w:space="0" w:color="auto"/>
              <w:left w:val="single" w:sz="4" w:space="0" w:color="auto"/>
              <w:bottom w:val="single" w:sz="4" w:space="0" w:color="auto"/>
              <w:right w:val="single" w:sz="4" w:space="0" w:color="auto"/>
            </w:tcBorders>
            <w:vAlign w:val="center"/>
          </w:tcPr>
          <w:p w14:paraId="3CC7304C" w14:textId="77777777" w:rsidR="003F589E" w:rsidRPr="003F589E" w:rsidRDefault="003F589E" w:rsidP="003F589E">
            <w:pPr>
              <w:jc w:val="center"/>
              <w:rPr>
                <w:rFonts w:cs="Arial"/>
                <w:sz w:val="20"/>
                <w:szCs w:val="20"/>
              </w:rPr>
            </w:pPr>
            <w:r w:rsidRPr="003F589E">
              <w:rPr>
                <w:rFonts w:cs="Arial"/>
                <w:sz w:val="20"/>
                <w:szCs w:val="20"/>
              </w:rPr>
              <w:t>2.00</w:t>
            </w:r>
          </w:p>
        </w:tc>
      </w:tr>
      <w:tr w:rsidR="003F589E" w:rsidRPr="003F589E" w14:paraId="7D410536"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20B27EC4" w14:textId="77777777" w:rsidR="003F589E" w:rsidRPr="003F589E" w:rsidRDefault="003F589E" w:rsidP="003F589E">
            <w:pPr>
              <w:rPr>
                <w:rFonts w:cs="Arial"/>
                <w:sz w:val="20"/>
                <w:szCs w:val="20"/>
              </w:rPr>
            </w:pPr>
            <w:r w:rsidRPr="003F589E">
              <w:rPr>
                <w:rFonts w:cs="Arial"/>
                <w:sz w:val="20"/>
                <w:szCs w:val="20"/>
              </w:rPr>
              <w:t>Normalized Idle Energy Rate (watts per ft²)</w:t>
            </w:r>
          </w:p>
        </w:tc>
        <w:tc>
          <w:tcPr>
            <w:tcW w:w="1098" w:type="pct"/>
            <w:tcBorders>
              <w:top w:val="single" w:sz="4" w:space="0" w:color="auto"/>
              <w:left w:val="single" w:sz="4" w:space="0" w:color="auto"/>
              <w:bottom w:val="single" w:sz="4" w:space="0" w:color="auto"/>
              <w:right w:val="single" w:sz="4" w:space="0" w:color="auto"/>
            </w:tcBorders>
            <w:vAlign w:val="center"/>
          </w:tcPr>
          <w:p w14:paraId="7AB5DFB8" w14:textId="77777777" w:rsidR="003F589E" w:rsidRPr="003F589E" w:rsidRDefault="003F589E" w:rsidP="003F589E">
            <w:pPr>
              <w:jc w:val="center"/>
              <w:rPr>
                <w:rFonts w:cs="Arial"/>
                <w:sz w:val="20"/>
                <w:szCs w:val="20"/>
              </w:rPr>
            </w:pPr>
            <w:r w:rsidRPr="003F589E">
              <w:rPr>
                <w:rFonts w:cs="Arial"/>
                <w:sz w:val="20"/>
                <w:szCs w:val="20"/>
              </w:rPr>
              <w:t>400</w:t>
            </w:r>
          </w:p>
        </w:tc>
        <w:tc>
          <w:tcPr>
            <w:tcW w:w="1204" w:type="pct"/>
            <w:tcBorders>
              <w:top w:val="single" w:sz="4" w:space="0" w:color="auto"/>
              <w:left w:val="single" w:sz="4" w:space="0" w:color="auto"/>
              <w:bottom w:val="single" w:sz="4" w:space="0" w:color="auto"/>
              <w:right w:val="single" w:sz="4" w:space="0" w:color="auto"/>
            </w:tcBorders>
            <w:vAlign w:val="center"/>
          </w:tcPr>
          <w:p w14:paraId="2E5490BA" w14:textId="77777777" w:rsidR="003F589E" w:rsidRPr="003F589E" w:rsidRDefault="003F589E" w:rsidP="003F589E">
            <w:pPr>
              <w:jc w:val="center"/>
              <w:rPr>
                <w:rFonts w:cs="Arial"/>
                <w:sz w:val="20"/>
                <w:szCs w:val="20"/>
              </w:rPr>
            </w:pPr>
            <w:r w:rsidRPr="003F589E">
              <w:rPr>
                <w:rFonts w:cs="Arial"/>
                <w:sz w:val="20"/>
                <w:szCs w:val="20"/>
              </w:rPr>
              <w:t>355</w:t>
            </w:r>
          </w:p>
        </w:tc>
      </w:tr>
      <w:tr w:rsidR="003F589E" w:rsidRPr="003F589E" w14:paraId="3033F38A"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4271DA0F" w14:textId="77777777" w:rsidR="003F589E" w:rsidRPr="003F589E" w:rsidRDefault="003F589E" w:rsidP="003F589E">
            <w:pPr>
              <w:rPr>
                <w:rFonts w:cs="Arial"/>
                <w:sz w:val="20"/>
                <w:szCs w:val="20"/>
              </w:rPr>
            </w:pPr>
            <w:r w:rsidRPr="003F589E">
              <w:rPr>
                <w:rFonts w:cs="Arial"/>
                <w:sz w:val="20"/>
                <w:szCs w:val="20"/>
              </w:rPr>
              <w:t>Idle Energy Rate (kW)</w:t>
            </w:r>
          </w:p>
        </w:tc>
        <w:tc>
          <w:tcPr>
            <w:tcW w:w="1098" w:type="pct"/>
            <w:tcBorders>
              <w:top w:val="single" w:sz="4" w:space="0" w:color="auto"/>
              <w:left w:val="single" w:sz="4" w:space="0" w:color="auto"/>
              <w:bottom w:val="single" w:sz="4" w:space="0" w:color="auto"/>
              <w:right w:val="single" w:sz="4" w:space="0" w:color="auto"/>
            </w:tcBorders>
            <w:vAlign w:val="center"/>
          </w:tcPr>
          <w:p w14:paraId="24C74B97" w14:textId="77777777" w:rsidR="003F589E" w:rsidRPr="003F589E" w:rsidRDefault="003F589E" w:rsidP="003F589E">
            <w:pPr>
              <w:jc w:val="center"/>
              <w:rPr>
                <w:rFonts w:cs="Arial"/>
                <w:sz w:val="20"/>
                <w:szCs w:val="20"/>
              </w:rPr>
            </w:pPr>
            <w:r w:rsidRPr="003F589E">
              <w:rPr>
                <w:rFonts w:cs="Arial"/>
                <w:sz w:val="20"/>
                <w:szCs w:val="20"/>
              </w:rPr>
              <w:t>2.40</w:t>
            </w:r>
          </w:p>
        </w:tc>
        <w:tc>
          <w:tcPr>
            <w:tcW w:w="1204" w:type="pct"/>
            <w:tcBorders>
              <w:top w:val="single" w:sz="4" w:space="0" w:color="auto"/>
              <w:left w:val="single" w:sz="4" w:space="0" w:color="auto"/>
              <w:bottom w:val="single" w:sz="4" w:space="0" w:color="auto"/>
              <w:right w:val="single" w:sz="4" w:space="0" w:color="auto"/>
            </w:tcBorders>
            <w:vAlign w:val="center"/>
          </w:tcPr>
          <w:p w14:paraId="0CABA70A" w14:textId="77777777" w:rsidR="003F589E" w:rsidRPr="003F589E" w:rsidRDefault="003F589E" w:rsidP="003F589E">
            <w:pPr>
              <w:jc w:val="center"/>
              <w:rPr>
                <w:rFonts w:cs="Arial"/>
                <w:sz w:val="20"/>
                <w:szCs w:val="20"/>
              </w:rPr>
            </w:pPr>
            <w:r w:rsidRPr="003F589E">
              <w:rPr>
                <w:rFonts w:cs="Arial"/>
                <w:sz w:val="20"/>
                <w:szCs w:val="20"/>
              </w:rPr>
              <w:t>2.13</w:t>
            </w:r>
          </w:p>
        </w:tc>
      </w:tr>
      <w:tr w:rsidR="003F589E" w:rsidRPr="003F589E" w14:paraId="323A833E"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5412C4DB" w14:textId="77777777" w:rsidR="003F589E" w:rsidRPr="003F589E" w:rsidRDefault="003F589E" w:rsidP="003F589E">
            <w:pPr>
              <w:rPr>
                <w:rFonts w:cs="Arial"/>
                <w:sz w:val="20"/>
                <w:szCs w:val="20"/>
              </w:rPr>
            </w:pPr>
            <w:r w:rsidRPr="003F589E">
              <w:rPr>
                <w:rFonts w:cs="Arial"/>
                <w:sz w:val="20"/>
                <w:szCs w:val="20"/>
              </w:rPr>
              <w:t>Heavy Load Cooking Energy Efficiency (%)</w:t>
            </w:r>
          </w:p>
        </w:tc>
        <w:tc>
          <w:tcPr>
            <w:tcW w:w="1098" w:type="pct"/>
            <w:tcBorders>
              <w:top w:val="single" w:sz="4" w:space="0" w:color="auto"/>
              <w:left w:val="single" w:sz="4" w:space="0" w:color="auto"/>
              <w:bottom w:val="single" w:sz="4" w:space="0" w:color="auto"/>
              <w:right w:val="single" w:sz="4" w:space="0" w:color="auto"/>
            </w:tcBorders>
            <w:vAlign w:val="center"/>
          </w:tcPr>
          <w:p w14:paraId="6F16E996" w14:textId="77777777" w:rsidR="003F589E" w:rsidRPr="003F589E" w:rsidRDefault="003F589E" w:rsidP="003F589E">
            <w:pPr>
              <w:jc w:val="center"/>
              <w:rPr>
                <w:rFonts w:cs="Arial"/>
                <w:sz w:val="20"/>
                <w:szCs w:val="20"/>
              </w:rPr>
            </w:pPr>
            <w:r w:rsidRPr="003F589E">
              <w:rPr>
                <w:rFonts w:cs="Arial"/>
                <w:sz w:val="20"/>
                <w:szCs w:val="20"/>
              </w:rPr>
              <w:t>60%</w:t>
            </w:r>
          </w:p>
        </w:tc>
        <w:tc>
          <w:tcPr>
            <w:tcW w:w="1204" w:type="pct"/>
            <w:tcBorders>
              <w:top w:val="single" w:sz="4" w:space="0" w:color="auto"/>
              <w:left w:val="single" w:sz="4" w:space="0" w:color="auto"/>
              <w:bottom w:val="single" w:sz="4" w:space="0" w:color="auto"/>
              <w:right w:val="single" w:sz="4" w:space="0" w:color="auto"/>
            </w:tcBorders>
            <w:vAlign w:val="center"/>
          </w:tcPr>
          <w:p w14:paraId="5D0C0C23" w14:textId="77777777" w:rsidR="003F589E" w:rsidRPr="003F589E" w:rsidRDefault="003F589E" w:rsidP="003F589E">
            <w:pPr>
              <w:jc w:val="center"/>
              <w:rPr>
                <w:rFonts w:cs="Arial"/>
                <w:sz w:val="20"/>
                <w:szCs w:val="20"/>
              </w:rPr>
            </w:pPr>
            <w:r w:rsidRPr="003F589E">
              <w:rPr>
                <w:rFonts w:cs="Arial"/>
                <w:sz w:val="20"/>
                <w:szCs w:val="20"/>
              </w:rPr>
              <w:t>75%</w:t>
            </w:r>
          </w:p>
        </w:tc>
      </w:tr>
      <w:tr w:rsidR="003F589E" w:rsidRPr="003F589E" w14:paraId="62D77CF3"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09C9A3EA" w14:textId="77777777" w:rsidR="003F589E" w:rsidRPr="003F589E" w:rsidRDefault="003F589E" w:rsidP="003F589E">
            <w:pPr>
              <w:rPr>
                <w:rFonts w:cs="Arial"/>
                <w:sz w:val="20"/>
                <w:szCs w:val="20"/>
              </w:rPr>
            </w:pPr>
            <w:r w:rsidRPr="003F589E">
              <w:rPr>
                <w:rFonts w:cs="Arial"/>
                <w:sz w:val="20"/>
                <w:szCs w:val="20"/>
              </w:rPr>
              <w:t>Production Capacity (</w:t>
            </w:r>
            <w:proofErr w:type="spellStart"/>
            <w:r w:rsidRPr="003F589E">
              <w:rPr>
                <w:rFonts w:cs="Arial"/>
                <w:sz w:val="20"/>
                <w:szCs w:val="20"/>
              </w:rPr>
              <w:t>lbs</w:t>
            </w:r>
            <w:proofErr w:type="spellEnd"/>
            <w:r w:rsidRPr="003F589E">
              <w:rPr>
                <w:rFonts w:cs="Arial"/>
                <w:sz w:val="20"/>
                <w:szCs w:val="20"/>
              </w:rPr>
              <w:t>/</w:t>
            </w:r>
            <w:proofErr w:type="spellStart"/>
            <w:r w:rsidRPr="003F589E">
              <w:rPr>
                <w:rFonts w:cs="Arial"/>
                <w:sz w:val="20"/>
                <w:szCs w:val="20"/>
              </w:rPr>
              <w:t>hr</w:t>
            </w:r>
            <w:proofErr w:type="spellEnd"/>
            <w:r w:rsidRPr="003F589E">
              <w:rPr>
                <w:rFonts w:cs="Arial"/>
                <w:sz w:val="20"/>
                <w:szCs w:val="20"/>
              </w:rPr>
              <w:t>)</w:t>
            </w:r>
          </w:p>
        </w:tc>
        <w:tc>
          <w:tcPr>
            <w:tcW w:w="1098" w:type="pct"/>
            <w:tcBorders>
              <w:top w:val="single" w:sz="4" w:space="0" w:color="auto"/>
              <w:left w:val="single" w:sz="4" w:space="0" w:color="auto"/>
              <w:bottom w:val="single" w:sz="4" w:space="0" w:color="auto"/>
              <w:right w:val="single" w:sz="4" w:space="0" w:color="auto"/>
            </w:tcBorders>
            <w:vAlign w:val="center"/>
          </w:tcPr>
          <w:p w14:paraId="17A1F8F0" w14:textId="77777777" w:rsidR="003F589E" w:rsidRPr="003F589E" w:rsidRDefault="003F589E" w:rsidP="003F589E">
            <w:pPr>
              <w:jc w:val="center"/>
              <w:rPr>
                <w:rFonts w:cs="Arial"/>
                <w:sz w:val="20"/>
                <w:szCs w:val="20"/>
              </w:rPr>
            </w:pPr>
            <w:r w:rsidRPr="003F589E">
              <w:rPr>
                <w:rFonts w:cs="Arial"/>
                <w:sz w:val="20"/>
                <w:szCs w:val="20"/>
              </w:rPr>
              <w:t>35</w:t>
            </w:r>
          </w:p>
        </w:tc>
        <w:tc>
          <w:tcPr>
            <w:tcW w:w="1204" w:type="pct"/>
            <w:tcBorders>
              <w:top w:val="single" w:sz="4" w:space="0" w:color="auto"/>
              <w:left w:val="single" w:sz="4" w:space="0" w:color="auto"/>
              <w:bottom w:val="single" w:sz="4" w:space="0" w:color="auto"/>
              <w:right w:val="single" w:sz="4" w:space="0" w:color="auto"/>
            </w:tcBorders>
            <w:vAlign w:val="center"/>
          </w:tcPr>
          <w:p w14:paraId="3BD7DA1E" w14:textId="77777777" w:rsidR="003F589E" w:rsidRPr="003F589E" w:rsidRDefault="003F589E" w:rsidP="003F589E">
            <w:pPr>
              <w:jc w:val="center"/>
              <w:rPr>
                <w:rFonts w:cs="Arial"/>
                <w:sz w:val="20"/>
                <w:szCs w:val="20"/>
              </w:rPr>
            </w:pPr>
            <w:r w:rsidRPr="003F589E">
              <w:rPr>
                <w:rFonts w:cs="Arial"/>
                <w:sz w:val="20"/>
                <w:szCs w:val="20"/>
              </w:rPr>
              <w:t>49</w:t>
            </w:r>
          </w:p>
        </w:tc>
      </w:tr>
      <w:tr w:rsidR="003F589E" w:rsidRPr="003F589E" w14:paraId="35A6B1FA"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7FE15E20" w14:textId="77777777" w:rsidR="003F589E" w:rsidRPr="003F589E" w:rsidRDefault="003F589E" w:rsidP="003F589E">
            <w:pPr>
              <w:rPr>
                <w:rFonts w:cs="Arial"/>
                <w:sz w:val="20"/>
                <w:szCs w:val="20"/>
              </w:rPr>
            </w:pPr>
            <w:r w:rsidRPr="003F589E">
              <w:rPr>
                <w:rFonts w:cs="Arial"/>
                <w:sz w:val="20"/>
                <w:szCs w:val="20"/>
              </w:rPr>
              <w:t>Operating Hours/Day</w:t>
            </w:r>
          </w:p>
        </w:tc>
        <w:tc>
          <w:tcPr>
            <w:tcW w:w="1098" w:type="pct"/>
            <w:tcBorders>
              <w:top w:val="single" w:sz="4" w:space="0" w:color="auto"/>
              <w:left w:val="single" w:sz="4" w:space="0" w:color="auto"/>
              <w:bottom w:val="single" w:sz="4" w:space="0" w:color="auto"/>
              <w:right w:val="single" w:sz="4" w:space="0" w:color="auto"/>
            </w:tcBorders>
            <w:vAlign w:val="center"/>
          </w:tcPr>
          <w:p w14:paraId="03E4E864" w14:textId="77777777" w:rsidR="003F589E" w:rsidRPr="003F589E" w:rsidRDefault="003F589E" w:rsidP="003F589E">
            <w:pPr>
              <w:jc w:val="center"/>
              <w:rPr>
                <w:rFonts w:cs="Arial"/>
                <w:sz w:val="20"/>
                <w:szCs w:val="20"/>
              </w:rPr>
            </w:pPr>
            <w:r w:rsidRPr="003F589E">
              <w:rPr>
                <w:rFonts w:cs="Arial"/>
                <w:sz w:val="20"/>
                <w:szCs w:val="20"/>
              </w:rPr>
              <w:t>12</w:t>
            </w:r>
          </w:p>
        </w:tc>
        <w:tc>
          <w:tcPr>
            <w:tcW w:w="1204" w:type="pct"/>
            <w:tcBorders>
              <w:top w:val="single" w:sz="4" w:space="0" w:color="auto"/>
              <w:left w:val="single" w:sz="4" w:space="0" w:color="auto"/>
              <w:bottom w:val="single" w:sz="4" w:space="0" w:color="auto"/>
              <w:right w:val="single" w:sz="4" w:space="0" w:color="auto"/>
            </w:tcBorders>
            <w:vAlign w:val="center"/>
          </w:tcPr>
          <w:p w14:paraId="7FB3F40E" w14:textId="77777777" w:rsidR="003F589E" w:rsidRPr="003F589E" w:rsidRDefault="003F589E" w:rsidP="003F589E">
            <w:pPr>
              <w:jc w:val="center"/>
              <w:rPr>
                <w:rFonts w:cs="Arial"/>
                <w:sz w:val="20"/>
                <w:szCs w:val="20"/>
              </w:rPr>
            </w:pPr>
            <w:r w:rsidRPr="003F589E">
              <w:rPr>
                <w:rFonts w:cs="Arial"/>
                <w:sz w:val="20"/>
                <w:szCs w:val="20"/>
              </w:rPr>
              <w:t>12</w:t>
            </w:r>
          </w:p>
        </w:tc>
      </w:tr>
      <w:tr w:rsidR="003F589E" w:rsidRPr="003F589E" w14:paraId="58FE9564"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57068515" w14:textId="77777777" w:rsidR="003F589E" w:rsidRPr="003F589E" w:rsidRDefault="003F589E" w:rsidP="003F589E">
            <w:pPr>
              <w:rPr>
                <w:rFonts w:cs="Arial"/>
                <w:sz w:val="20"/>
                <w:szCs w:val="20"/>
              </w:rPr>
            </w:pPr>
            <w:r w:rsidRPr="003F589E">
              <w:rPr>
                <w:rFonts w:cs="Arial"/>
                <w:sz w:val="20"/>
                <w:szCs w:val="20"/>
              </w:rPr>
              <w:t>Operating Days/Year</w:t>
            </w:r>
          </w:p>
        </w:tc>
        <w:tc>
          <w:tcPr>
            <w:tcW w:w="1098" w:type="pct"/>
            <w:tcBorders>
              <w:top w:val="single" w:sz="4" w:space="0" w:color="auto"/>
              <w:left w:val="single" w:sz="4" w:space="0" w:color="auto"/>
              <w:bottom w:val="single" w:sz="4" w:space="0" w:color="auto"/>
              <w:right w:val="single" w:sz="4" w:space="0" w:color="auto"/>
            </w:tcBorders>
            <w:vAlign w:val="center"/>
          </w:tcPr>
          <w:p w14:paraId="302C587D" w14:textId="77777777" w:rsidR="003F589E" w:rsidRPr="003F589E" w:rsidRDefault="003F589E" w:rsidP="003F589E">
            <w:pPr>
              <w:jc w:val="center"/>
              <w:rPr>
                <w:rFonts w:cs="Arial"/>
                <w:sz w:val="20"/>
                <w:szCs w:val="20"/>
              </w:rPr>
            </w:pPr>
            <w:r w:rsidRPr="003F589E">
              <w:rPr>
                <w:rFonts w:cs="Arial"/>
                <w:sz w:val="20"/>
                <w:szCs w:val="20"/>
              </w:rPr>
              <w:t>365</w:t>
            </w:r>
          </w:p>
        </w:tc>
        <w:tc>
          <w:tcPr>
            <w:tcW w:w="1204" w:type="pct"/>
            <w:tcBorders>
              <w:top w:val="single" w:sz="4" w:space="0" w:color="auto"/>
              <w:left w:val="single" w:sz="4" w:space="0" w:color="auto"/>
              <w:bottom w:val="single" w:sz="4" w:space="0" w:color="auto"/>
              <w:right w:val="single" w:sz="4" w:space="0" w:color="auto"/>
            </w:tcBorders>
            <w:vAlign w:val="center"/>
          </w:tcPr>
          <w:p w14:paraId="304B6F6E" w14:textId="77777777" w:rsidR="003F589E" w:rsidRPr="003F589E" w:rsidRDefault="003F589E" w:rsidP="003F589E">
            <w:pPr>
              <w:jc w:val="center"/>
              <w:rPr>
                <w:rFonts w:cs="Arial"/>
                <w:sz w:val="20"/>
                <w:szCs w:val="20"/>
              </w:rPr>
            </w:pPr>
            <w:r w:rsidRPr="003F589E">
              <w:rPr>
                <w:rFonts w:cs="Arial"/>
                <w:sz w:val="20"/>
                <w:szCs w:val="20"/>
              </w:rPr>
              <w:t>365</w:t>
            </w:r>
          </w:p>
        </w:tc>
      </w:tr>
      <w:tr w:rsidR="003F589E" w:rsidRPr="003F589E" w14:paraId="418CB47E"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39B613A4" w14:textId="77777777" w:rsidR="003F589E" w:rsidRPr="003F589E" w:rsidRDefault="003F589E" w:rsidP="003F589E">
            <w:pPr>
              <w:rPr>
                <w:rFonts w:cs="Arial"/>
                <w:sz w:val="20"/>
                <w:szCs w:val="20"/>
              </w:rPr>
            </w:pPr>
            <w:r w:rsidRPr="003F589E">
              <w:rPr>
                <w:rFonts w:cs="Arial"/>
                <w:sz w:val="20"/>
                <w:szCs w:val="20"/>
              </w:rPr>
              <w:t>Pounds of Food Cooked per Day</w:t>
            </w:r>
          </w:p>
        </w:tc>
        <w:tc>
          <w:tcPr>
            <w:tcW w:w="1098" w:type="pct"/>
            <w:tcBorders>
              <w:top w:val="single" w:sz="4" w:space="0" w:color="auto"/>
              <w:left w:val="single" w:sz="4" w:space="0" w:color="auto"/>
              <w:bottom w:val="single" w:sz="4" w:space="0" w:color="auto"/>
              <w:right w:val="single" w:sz="4" w:space="0" w:color="auto"/>
            </w:tcBorders>
            <w:vAlign w:val="center"/>
          </w:tcPr>
          <w:p w14:paraId="191C4D27" w14:textId="77777777" w:rsidR="003F589E" w:rsidRPr="003F589E" w:rsidRDefault="003F589E" w:rsidP="003F589E">
            <w:pPr>
              <w:jc w:val="center"/>
              <w:rPr>
                <w:rFonts w:cs="Arial"/>
                <w:sz w:val="20"/>
                <w:szCs w:val="20"/>
              </w:rPr>
            </w:pPr>
            <w:r w:rsidRPr="003F589E">
              <w:rPr>
                <w:rFonts w:cs="Arial"/>
                <w:sz w:val="20"/>
                <w:szCs w:val="20"/>
              </w:rPr>
              <w:t>100</w:t>
            </w:r>
          </w:p>
        </w:tc>
        <w:tc>
          <w:tcPr>
            <w:tcW w:w="1204" w:type="pct"/>
            <w:tcBorders>
              <w:top w:val="single" w:sz="4" w:space="0" w:color="auto"/>
              <w:left w:val="single" w:sz="4" w:space="0" w:color="auto"/>
              <w:bottom w:val="single" w:sz="4" w:space="0" w:color="auto"/>
              <w:right w:val="single" w:sz="4" w:space="0" w:color="auto"/>
            </w:tcBorders>
            <w:vAlign w:val="center"/>
          </w:tcPr>
          <w:p w14:paraId="6DC88B16" w14:textId="77777777" w:rsidR="003F589E" w:rsidRPr="003F589E" w:rsidRDefault="003F589E" w:rsidP="003F589E">
            <w:pPr>
              <w:jc w:val="center"/>
              <w:rPr>
                <w:rFonts w:cs="Arial"/>
                <w:sz w:val="20"/>
                <w:szCs w:val="20"/>
              </w:rPr>
            </w:pPr>
            <w:r w:rsidRPr="003F589E">
              <w:rPr>
                <w:rFonts w:cs="Arial"/>
                <w:sz w:val="20"/>
                <w:szCs w:val="20"/>
              </w:rPr>
              <w:t>100</w:t>
            </w:r>
          </w:p>
        </w:tc>
      </w:tr>
      <w:tr w:rsidR="003F589E" w:rsidRPr="003F589E" w14:paraId="20E867B7"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4DF51605" w14:textId="77777777" w:rsidR="003F589E" w:rsidRPr="003F589E" w:rsidRDefault="003F589E" w:rsidP="003F589E">
            <w:pPr>
              <w:rPr>
                <w:rFonts w:cs="Arial"/>
                <w:sz w:val="20"/>
                <w:szCs w:val="20"/>
              </w:rPr>
            </w:pPr>
            <w:r w:rsidRPr="003F589E">
              <w:rPr>
                <w:rFonts w:cs="Arial"/>
                <w:sz w:val="20"/>
                <w:szCs w:val="20"/>
              </w:rPr>
              <w:t>Electric Cost ($/kWh)</w:t>
            </w:r>
          </w:p>
        </w:tc>
        <w:tc>
          <w:tcPr>
            <w:tcW w:w="1098" w:type="pct"/>
            <w:tcBorders>
              <w:top w:val="single" w:sz="4" w:space="0" w:color="auto"/>
              <w:left w:val="single" w:sz="4" w:space="0" w:color="auto"/>
              <w:bottom w:val="single" w:sz="4" w:space="0" w:color="auto"/>
              <w:right w:val="single" w:sz="4" w:space="0" w:color="auto"/>
            </w:tcBorders>
            <w:vAlign w:val="center"/>
          </w:tcPr>
          <w:p w14:paraId="4E5AAC43" w14:textId="77777777" w:rsidR="003F589E" w:rsidRPr="003F589E" w:rsidRDefault="003F589E" w:rsidP="003F589E">
            <w:pPr>
              <w:jc w:val="center"/>
              <w:rPr>
                <w:rFonts w:cs="Arial"/>
                <w:sz w:val="20"/>
                <w:szCs w:val="20"/>
              </w:rPr>
            </w:pPr>
            <w:r w:rsidRPr="003F589E">
              <w:rPr>
                <w:rFonts w:cs="Arial"/>
                <w:sz w:val="20"/>
                <w:szCs w:val="20"/>
              </w:rPr>
              <w:t>$0.13</w:t>
            </w:r>
          </w:p>
        </w:tc>
        <w:tc>
          <w:tcPr>
            <w:tcW w:w="1204" w:type="pct"/>
            <w:tcBorders>
              <w:top w:val="single" w:sz="4" w:space="0" w:color="auto"/>
              <w:left w:val="single" w:sz="4" w:space="0" w:color="auto"/>
              <w:bottom w:val="single" w:sz="4" w:space="0" w:color="auto"/>
              <w:right w:val="single" w:sz="4" w:space="0" w:color="auto"/>
            </w:tcBorders>
            <w:vAlign w:val="center"/>
          </w:tcPr>
          <w:p w14:paraId="078F5624" w14:textId="77777777" w:rsidR="003F589E" w:rsidRPr="003F589E" w:rsidRDefault="003F589E" w:rsidP="003F589E">
            <w:pPr>
              <w:jc w:val="center"/>
              <w:rPr>
                <w:rFonts w:cs="Arial"/>
                <w:sz w:val="20"/>
                <w:szCs w:val="20"/>
              </w:rPr>
            </w:pPr>
            <w:r w:rsidRPr="003F589E">
              <w:rPr>
                <w:rFonts w:cs="Arial"/>
                <w:sz w:val="20"/>
                <w:szCs w:val="20"/>
              </w:rPr>
              <w:t>$0.13</w:t>
            </w:r>
          </w:p>
        </w:tc>
      </w:tr>
      <w:tr w:rsidR="003F589E" w:rsidRPr="003F589E" w14:paraId="4F76C220"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0EDF99A5" w14:textId="77777777" w:rsidR="003F589E" w:rsidRPr="003F589E" w:rsidRDefault="003F589E" w:rsidP="003F589E">
            <w:pPr>
              <w:rPr>
                <w:rFonts w:cs="Arial"/>
                <w:sz w:val="20"/>
                <w:szCs w:val="20"/>
              </w:rPr>
            </w:pPr>
            <w:r w:rsidRPr="003F589E">
              <w:rPr>
                <w:rFonts w:cs="Arial"/>
                <w:sz w:val="20"/>
                <w:szCs w:val="20"/>
              </w:rPr>
              <w:t>ASTM Energy to Food (kWh/</w:t>
            </w:r>
            <w:proofErr w:type="spellStart"/>
            <w:r w:rsidRPr="003F589E">
              <w:rPr>
                <w:rFonts w:cs="Arial"/>
                <w:sz w:val="20"/>
                <w:szCs w:val="20"/>
              </w:rPr>
              <w:t>lb</w:t>
            </w:r>
            <w:proofErr w:type="spellEnd"/>
            <w:r w:rsidRPr="003F589E">
              <w:rPr>
                <w:rFonts w:cs="Arial"/>
                <w:sz w:val="20"/>
                <w:szCs w:val="20"/>
              </w:rPr>
              <w:t>)</w:t>
            </w:r>
          </w:p>
        </w:tc>
        <w:tc>
          <w:tcPr>
            <w:tcW w:w="1098" w:type="pct"/>
            <w:tcBorders>
              <w:top w:val="single" w:sz="4" w:space="0" w:color="auto"/>
              <w:left w:val="single" w:sz="4" w:space="0" w:color="auto"/>
              <w:bottom w:val="single" w:sz="4" w:space="0" w:color="auto"/>
              <w:right w:val="single" w:sz="4" w:space="0" w:color="auto"/>
            </w:tcBorders>
            <w:vAlign w:val="center"/>
          </w:tcPr>
          <w:p w14:paraId="33161154" w14:textId="77777777" w:rsidR="003F589E" w:rsidRPr="003F589E" w:rsidRDefault="003F589E" w:rsidP="003F589E">
            <w:pPr>
              <w:jc w:val="center"/>
              <w:rPr>
                <w:rFonts w:cs="Arial"/>
                <w:sz w:val="20"/>
                <w:szCs w:val="20"/>
              </w:rPr>
            </w:pPr>
            <w:r w:rsidRPr="003F589E">
              <w:rPr>
                <w:rFonts w:cs="Arial"/>
                <w:sz w:val="20"/>
                <w:szCs w:val="20"/>
              </w:rPr>
              <w:t>0.139</w:t>
            </w:r>
          </w:p>
        </w:tc>
        <w:tc>
          <w:tcPr>
            <w:tcW w:w="1204" w:type="pct"/>
            <w:tcBorders>
              <w:top w:val="single" w:sz="4" w:space="0" w:color="auto"/>
              <w:left w:val="single" w:sz="4" w:space="0" w:color="auto"/>
              <w:bottom w:val="single" w:sz="4" w:space="0" w:color="auto"/>
              <w:right w:val="single" w:sz="4" w:space="0" w:color="auto"/>
            </w:tcBorders>
            <w:vAlign w:val="center"/>
          </w:tcPr>
          <w:p w14:paraId="70A39ACE" w14:textId="77777777" w:rsidR="003F589E" w:rsidRPr="003F589E" w:rsidRDefault="003F589E" w:rsidP="003F589E">
            <w:pPr>
              <w:jc w:val="center"/>
              <w:rPr>
                <w:rFonts w:cs="Arial"/>
                <w:sz w:val="20"/>
                <w:szCs w:val="20"/>
              </w:rPr>
            </w:pPr>
            <w:r w:rsidRPr="003F589E">
              <w:rPr>
                <w:rFonts w:cs="Arial"/>
                <w:sz w:val="20"/>
                <w:szCs w:val="20"/>
              </w:rPr>
              <w:t>0.139</w:t>
            </w:r>
          </w:p>
        </w:tc>
      </w:tr>
      <w:tr w:rsidR="003F589E" w:rsidRPr="003F589E" w14:paraId="3DA8936F"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1A02380B" w14:textId="77777777" w:rsidR="003F589E" w:rsidRPr="003F589E" w:rsidRDefault="003F589E" w:rsidP="003F589E">
            <w:pPr>
              <w:rPr>
                <w:rFonts w:cs="Arial"/>
                <w:sz w:val="20"/>
                <w:szCs w:val="20"/>
              </w:rPr>
            </w:pPr>
            <w:r w:rsidRPr="003F589E">
              <w:rPr>
                <w:rFonts w:cs="Arial"/>
                <w:sz w:val="20"/>
                <w:szCs w:val="20"/>
              </w:rPr>
              <w:t>Daily Energy Consumption (kWh)</w:t>
            </w:r>
          </w:p>
        </w:tc>
        <w:tc>
          <w:tcPr>
            <w:tcW w:w="1098" w:type="pct"/>
            <w:tcBorders>
              <w:top w:val="single" w:sz="4" w:space="0" w:color="auto"/>
              <w:left w:val="single" w:sz="4" w:space="0" w:color="auto"/>
              <w:bottom w:val="single" w:sz="4" w:space="0" w:color="auto"/>
              <w:right w:val="single" w:sz="4" w:space="0" w:color="auto"/>
            </w:tcBorders>
            <w:vAlign w:val="center"/>
          </w:tcPr>
          <w:p w14:paraId="622CBF7B" w14:textId="77777777" w:rsidR="003F589E" w:rsidRPr="003F589E" w:rsidRDefault="003F589E" w:rsidP="003F589E">
            <w:pPr>
              <w:jc w:val="center"/>
              <w:rPr>
                <w:rFonts w:cs="Arial"/>
                <w:sz w:val="20"/>
                <w:szCs w:val="20"/>
              </w:rPr>
            </w:pPr>
            <w:r w:rsidRPr="003F589E">
              <w:rPr>
                <w:rFonts w:cs="Arial"/>
                <w:sz w:val="20"/>
                <w:szCs w:val="20"/>
              </w:rPr>
              <w:t>48.5</w:t>
            </w:r>
          </w:p>
        </w:tc>
        <w:tc>
          <w:tcPr>
            <w:tcW w:w="1204" w:type="pct"/>
            <w:tcBorders>
              <w:top w:val="single" w:sz="4" w:space="0" w:color="auto"/>
              <w:left w:val="single" w:sz="4" w:space="0" w:color="auto"/>
              <w:bottom w:val="single" w:sz="4" w:space="0" w:color="auto"/>
              <w:right w:val="single" w:sz="4" w:space="0" w:color="auto"/>
            </w:tcBorders>
            <w:vAlign w:val="center"/>
          </w:tcPr>
          <w:p w14:paraId="69BAC871" w14:textId="77777777" w:rsidR="003F589E" w:rsidRPr="003F589E" w:rsidRDefault="003F589E" w:rsidP="003F589E">
            <w:pPr>
              <w:jc w:val="center"/>
              <w:rPr>
                <w:rFonts w:cs="Arial"/>
                <w:sz w:val="20"/>
                <w:szCs w:val="20"/>
              </w:rPr>
            </w:pPr>
            <w:r w:rsidRPr="003F589E">
              <w:rPr>
                <w:rFonts w:cs="Arial"/>
                <w:sz w:val="20"/>
                <w:szCs w:val="20"/>
              </w:rPr>
              <w:t>37.6</w:t>
            </w:r>
          </w:p>
        </w:tc>
      </w:tr>
      <w:tr w:rsidR="003F589E" w:rsidRPr="003F589E" w14:paraId="1A6809F3"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072CD0E2" w14:textId="77777777" w:rsidR="003F589E" w:rsidRPr="003F589E" w:rsidRDefault="003F589E" w:rsidP="003F589E">
            <w:pPr>
              <w:rPr>
                <w:rFonts w:cs="Arial"/>
                <w:sz w:val="20"/>
                <w:szCs w:val="20"/>
              </w:rPr>
            </w:pPr>
            <w:r w:rsidRPr="003F589E">
              <w:rPr>
                <w:rFonts w:cs="Arial"/>
                <w:sz w:val="20"/>
                <w:szCs w:val="20"/>
              </w:rPr>
              <w:t>Average Demand (kW)</w:t>
            </w:r>
          </w:p>
        </w:tc>
        <w:tc>
          <w:tcPr>
            <w:tcW w:w="1098" w:type="pct"/>
            <w:tcBorders>
              <w:top w:val="single" w:sz="4" w:space="0" w:color="auto"/>
              <w:left w:val="single" w:sz="4" w:space="0" w:color="auto"/>
              <w:bottom w:val="single" w:sz="4" w:space="0" w:color="auto"/>
              <w:right w:val="single" w:sz="4" w:space="0" w:color="auto"/>
            </w:tcBorders>
            <w:vAlign w:val="center"/>
          </w:tcPr>
          <w:p w14:paraId="5D56337C" w14:textId="77777777" w:rsidR="003F589E" w:rsidRPr="003F589E" w:rsidRDefault="003F589E" w:rsidP="003F589E">
            <w:pPr>
              <w:jc w:val="center"/>
              <w:rPr>
                <w:rFonts w:cs="Arial"/>
                <w:sz w:val="20"/>
                <w:szCs w:val="20"/>
              </w:rPr>
            </w:pPr>
            <w:r w:rsidRPr="003F589E">
              <w:rPr>
                <w:rFonts w:cs="Arial"/>
                <w:sz w:val="20"/>
                <w:szCs w:val="20"/>
              </w:rPr>
              <w:t>4.0</w:t>
            </w:r>
          </w:p>
        </w:tc>
        <w:tc>
          <w:tcPr>
            <w:tcW w:w="1204" w:type="pct"/>
            <w:tcBorders>
              <w:top w:val="single" w:sz="4" w:space="0" w:color="auto"/>
              <w:left w:val="single" w:sz="4" w:space="0" w:color="auto"/>
              <w:bottom w:val="single" w:sz="4" w:space="0" w:color="auto"/>
              <w:right w:val="single" w:sz="4" w:space="0" w:color="auto"/>
            </w:tcBorders>
            <w:vAlign w:val="center"/>
          </w:tcPr>
          <w:p w14:paraId="4F01FD87" w14:textId="77777777" w:rsidR="003F589E" w:rsidRPr="003F589E" w:rsidRDefault="003F589E" w:rsidP="003F589E">
            <w:pPr>
              <w:jc w:val="center"/>
              <w:rPr>
                <w:rFonts w:cs="Arial"/>
                <w:sz w:val="20"/>
                <w:szCs w:val="20"/>
              </w:rPr>
            </w:pPr>
            <w:r w:rsidRPr="003F589E">
              <w:rPr>
                <w:rFonts w:cs="Arial"/>
                <w:sz w:val="20"/>
                <w:szCs w:val="20"/>
              </w:rPr>
              <w:t>3.1</w:t>
            </w:r>
          </w:p>
        </w:tc>
      </w:tr>
      <w:tr w:rsidR="003F589E" w:rsidRPr="003F589E" w14:paraId="0EC7F49E"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245263F4" w14:textId="19F1C923" w:rsidR="003F589E" w:rsidRPr="003F589E" w:rsidRDefault="003F589E" w:rsidP="003F589E">
            <w:pPr>
              <w:rPr>
                <w:rFonts w:cs="Arial"/>
                <w:sz w:val="20"/>
                <w:szCs w:val="20"/>
              </w:rPr>
            </w:pPr>
            <w:r w:rsidRPr="003F589E">
              <w:rPr>
                <w:rFonts w:cs="Arial"/>
                <w:sz w:val="20"/>
                <w:szCs w:val="20"/>
              </w:rPr>
              <w:t>Estimated Demand Reduction (kW)</w:t>
            </w:r>
            <w:r w:rsidR="00E03180">
              <w:rPr>
                <w:rFonts w:cs="Arial"/>
                <w:sz w:val="20"/>
                <w:szCs w:val="20"/>
              </w:rPr>
              <w:t xml:space="preserve"> per foot</w:t>
            </w:r>
          </w:p>
        </w:tc>
        <w:tc>
          <w:tcPr>
            <w:tcW w:w="1098" w:type="pct"/>
            <w:tcBorders>
              <w:top w:val="single" w:sz="4" w:space="0" w:color="auto"/>
              <w:left w:val="single" w:sz="4" w:space="0" w:color="auto"/>
              <w:bottom w:val="single" w:sz="4" w:space="0" w:color="auto"/>
              <w:right w:val="single" w:sz="4" w:space="0" w:color="auto"/>
            </w:tcBorders>
            <w:vAlign w:val="center"/>
          </w:tcPr>
          <w:p w14:paraId="07D155B8" w14:textId="77777777" w:rsidR="003F589E" w:rsidRPr="003F589E" w:rsidRDefault="003F589E" w:rsidP="003F589E">
            <w:pPr>
              <w:jc w:val="center"/>
              <w:rPr>
                <w:rFonts w:cs="Arial"/>
                <w:sz w:val="20"/>
                <w:szCs w:val="20"/>
              </w:rPr>
            </w:pPr>
            <w:r w:rsidRPr="003F589E">
              <w:rPr>
                <w:rFonts w:cs="Arial"/>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14:paraId="04D231AA" w14:textId="73A0EEDF" w:rsidR="003F589E" w:rsidRPr="003F589E" w:rsidRDefault="003F589E" w:rsidP="00E03180">
            <w:pPr>
              <w:jc w:val="center"/>
              <w:rPr>
                <w:rFonts w:cs="Arial"/>
                <w:sz w:val="20"/>
                <w:szCs w:val="20"/>
              </w:rPr>
            </w:pPr>
            <w:r w:rsidRPr="003F589E">
              <w:rPr>
                <w:rFonts w:cs="Arial"/>
                <w:sz w:val="20"/>
                <w:szCs w:val="20"/>
              </w:rPr>
              <w:t>0.</w:t>
            </w:r>
            <w:r w:rsidR="00E03180">
              <w:rPr>
                <w:rFonts w:cs="Arial"/>
                <w:sz w:val="20"/>
                <w:szCs w:val="20"/>
              </w:rPr>
              <w:t>3</w:t>
            </w:r>
          </w:p>
        </w:tc>
      </w:tr>
      <w:tr w:rsidR="003F589E" w:rsidRPr="003F589E" w14:paraId="3BA6A502"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28000B2C" w14:textId="77777777" w:rsidR="003F589E" w:rsidRPr="003F589E" w:rsidRDefault="003F589E" w:rsidP="003F589E">
            <w:pPr>
              <w:rPr>
                <w:rFonts w:cs="Arial"/>
                <w:sz w:val="20"/>
                <w:szCs w:val="20"/>
              </w:rPr>
            </w:pPr>
            <w:r w:rsidRPr="003F589E">
              <w:rPr>
                <w:rFonts w:cs="Arial"/>
                <w:sz w:val="20"/>
                <w:szCs w:val="20"/>
              </w:rPr>
              <w:t>Annual Energy Consumption (kWh)</w:t>
            </w:r>
          </w:p>
        </w:tc>
        <w:tc>
          <w:tcPr>
            <w:tcW w:w="1098" w:type="pct"/>
            <w:tcBorders>
              <w:top w:val="single" w:sz="4" w:space="0" w:color="auto"/>
              <w:left w:val="single" w:sz="4" w:space="0" w:color="auto"/>
              <w:bottom w:val="single" w:sz="4" w:space="0" w:color="auto"/>
              <w:right w:val="single" w:sz="4" w:space="0" w:color="auto"/>
            </w:tcBorders>
            <w:vAlign w:val="center"/>
          </w:tcPr>
          <w:p w14:paraId="24B94C2F" w14:textId="77777777" w:rsidR="003F589E" w:rsidRPr="003F589E" w:rsidRDefault="003F589E" w:rsidP="003F589E">
            <w:pPr>
              <w:jc w:val="center"/>
              <w:rPr>
                <w:rFonts w:cs="Arial"/>
                <w:sz w:val="20"/>
                <w:szCs w:val="20"/>
              </w:rPr>
            </w:pPr>
            <w:r w:rsidRPr="003F589E">
              <w:rPr>
                <w:rFonts w:cs="Arial"/>
                <w:sz w:val="20"/>
                <w:szCs w:val="20"/>
              </w:rPr>
              <w:t>17,713</w:t>
            </w:r>
          </w:p>
        </w:tc>
        <w:tc>
          <w:tcPr>
            <w:tcW w:w="1204" w:type="pct"/>
            <w:tcBorders>
              <w:top w:val="single" w:sz="4" w:space="0" w:color="auto"/>
              <w:left w:val="single" w:sz="4" w:space="0" w:color="auto"/>
              <w:bottom w:val="single" w:sz="4" w:space="0" w:color="auto"/>
              <w:right w:val="single" w:sz="4" w:space="0" w:color="auto"/>
            </w:tcBorders>
            <w:vAlign w:val="center"/>
          </w:tcPr>
          <w:p w14:paraId="73AC7F90" w14:textId="77777777" w:rsidR="003F589E" w:rsidRPr="003F589E" w:rsidRDefault="003F589E" w:rsidP="003F589E">
            <w:pPr>
              <w:jc w:val="center"/>
              <w:rPr>
                <w:rFonts w:cs="Arial"/>
                <w:sz w:val="20"/>
                <w:szCs w:val="20"/>
              </w:rPr>
            </w:pPr>
            <w:r w:rsidRPr="003F589E">
              <w:rPr>
                <w:rFonts w:cs="Arial"/>
                <w:sz w:val="20"/>
                <w:szCs w:val="20"/>
              </w:rPr>
              <w:t>13,735</w:t>
            </w:r>
          </w:p>
        </w:tc>
      </w:tr>
      <w:tr w:rsidR="003F589E" w:rsidRPr="003F589E" w14:paraId="14968854"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03151493" w14:textId="77777777" w:rsidR="003F589E" w:rsidRPr="003F589E" w:rsidRDefault="003F589E" w:rsidP="003F589E">
            <w:pPr>
              <w:rPr>
                <w:rFonts w:cs="Arial"/>
                <w:sz w:val="20"/>
                <w:szCs w:val="20"/>
              </w:rPr>
            </w:pPr>
            <w:r w:rsidRPr="003F589E">
              <w:rPr>
                <w:rFonts w:cs="Arial"/>
                <w:sz w:val="20"/>
                <w:szCs w:val="20"/>
              </w:rPr>
              <w:lastRenderedPageBreak/>
              <w:t>Estimated Energy Savings (kWh/</w:t>
            </w:r>
            <w:proofErr w:type="spellStart"/>
            <w:r w:rsidRPr="003F589E">
              <w:rPr>
                <w:rFonts w:cs="Arial"/>
                <w:sz w:val="20"/>
                <w:szCs w:val="20"/>
              </w:rPr>
              <w:t>yr</w:t>
            </w:r>
            <w:proofErr w:type="spellEnd"/>
            <w:r w:rsidRPr="003F589E">
              <w:rPr>
                <w:rFonts w:cs="Arial"/>
                <w:sz w:val="20"/>
                <w:szCs w:val="20"/>
              </w:rPr>
              <w:t>)</w:t>
            </w:r>
          </w:p>
        </w:tc>
        <w:tc>
          <w:tcPr>
            <w:tcW w:w="1098" w:type="pct"/>
            <w:tcBorders>
              <w:top w:val="single" w:sz="4" w:space="0" w:color="auto"/>
              <w:left w:val="single" w:sz="4" w:space="0" w:color="auto"/>
              <w:bottom w:val="single" w:sz="4" w:space="0" w:color="auto"/>
              <w:right w:val="single" w:sz="4" w:space="0" w:color="auto"/>
            </w:tcBorders>
            <w:vAlign w:val="center"/>
          </w:tcPr>
          <w:p w14:paraId="5AC2EC85" w14:textId="77777777" w:rsidR="003F589E" w:rsidRPr="003F589E" w:rsidRDefault="003F589E" w:rsidP="003F589E">
            <w:pPr>
              <w:jc w:val="center"/>
              <w:rPr>
                <w:rFonts w:cs="Arial"/>
                <w:sz w:val="20"/>
                <w:szCs w:val="20"/>
              </w:rPr>
            </w:pPr>
            <w:r w:rsidRPr="003F589E">
              <w:rPr>
                <w:rFonts w:cs="Arial"/>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14:paraId="02F88F1A" w14:textId="77777777" w:rsidR="003F589E" w:rsidRPr="003F589E" w:rsidRDefault="003F589E" w:rsidP="003F589E">
            <w:pPr>
              <w:jc w:val="center"/>
              <w:rPr>
                <w:rFonts w:cs="Arial"/>
                <w:sz w:val="20"/>
                <w:szCs w:val="20"/>
              </w:rPr>
            </w:pPr>
            <w:r w:rsidRPr="003F589E">
              <w:rPr>
                <w:rFonts w:cs="Arial"/>
                <w:sz w:val="20"/>
                <w:szCs w:val="20"/>
              </w:rPr>
              <w:t>3,978</w:t>
            </w:r>
          </w:p>
        </w:tc>
      </w:tr>
      <w:tr w:rsidR="00E03180" w:rsidRPr="003F589E" w14:paraId="06D354E9"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3E5B08B5" w14:textId="746D32FA" w:rsidR="00E03180" w:rsidRPr="003F589E" w:rsidRDefault="00E03180" w:rsidP="003F589E">
            <w:pPr>
              <w:rPr>
                <w:rFonts w:cs="Arial"/>
                <w:sz w:val="20"/>
                <w:szCs w:val="20"/>
              </w:rPr>
            </w:pPr>
            <w:r>
              <w:rPr>
                <w:rFonts w:cs="Arial"/>
                <w:sz w:val="20"/>
                <w:szCs w:val="20"/>
              </w:rPr>
              <w:t>Estimated Energy Savings (kWh/</w:t>
            </w:r>
            <w:proofErr w:type="spellStart"/>
            <w:r>
              <w:rPr>
                <w:rFonts w:cs="Arial"/>
                <w:sz w:val="20"/>
                <w:szCs w:val="20"/>
              </w:rPr>
              <w:t>yr</w:t>
            </w:r>
            <w:proofErr w:type="spellEnd"/>
            <w:r>
              <w:rPr>
                <w:rFonts w:cs="Arial"/>
                <w:sz w:val="20"/>
                <w:szCs w:val="20"/>
              </w:rPr>
              <w:t>) per foot</w:t>
            </w:r>
          </w:p>
        </w:tc>
        <w:tc>
          <w:tcPr>
            <w:tcW w:w="1098" w:type="pct"/>
            <w:tcBorders>
              <w:top w:val="single" w:sz="4" w:space="0" w:color="auto"/>
              <w:left w:val="single" w:sz="4" w:space="0" w:color="auto"/>
              <w:bottom w:val="single" w:sz="4" w:space="0" w:color="auto"/>
              <w:right w:val="single" w:sz="4" w:space="0" w:color="auto"/>
            </w:tcBorders>
            <w:vAlign w:val="center"/>
          </w:tcPr>
          <w:p w14:paraId="4569E74A" w14:textId="77777777" w:rsidR="00E03180" w:rsidRPr="003F589E" w:rsidRDefault="00E03180" w:rsidP="003F589E">
            <w:pPr>
              <w:jc w:val="center"/>
              <w:rPr>
                <w:rFonts w:cs="Arial"/>
                <w:sz w:val="20"/>
                <w:szCs w:val="20"/>
              </w:rPr>
            </w:pPr>
          </w:p>
        </w:tc>
        <w:tc>
          <w:tcPr>
            <w:tcW w:w="1204" w:type="pct"/>
            <w:tcBorders>
              <w:top w:val="single" w:sz="4" w:space="0" w:color="auto"/>
              <w:left w:val="single" w:sz="4" w:space="0" w:color="auto"/>
              <w:bottom w:val="single" w:sz="4" w:space="0" w:color="auto"/>
              <w:right w:val="single" w:sz="4" w:space="0" w:color="auto"/>
            </w:tcBorders>
            <w:vAlign w:val="center"/>
          </w:tcPr>
          <w:p w14:paraId="0ADACC11" w14:textId="1C4993D6" w:rsidR="00E03180" w:rsidRPr="003F589E" w:rsidRDefault="00E03180" w:rsidP="003F589E">
            <w:pPr>
              <w:jc w:val="center"/>
              <w:rPr>
                <w:rFonts w:cs="Arial"/>
                <w:sz w:val="20"/>
                <w:szCs w:val="20"/>
              </w:rPr>
            </w:pPr>
            <w:r>
              <w:rPr>
                <w:rFonts w:cs="Arial"/>
                <w:sz w:val="20"/>
                <w:szCs w:val="20"/>
              </w:rPr>
              <w:t>1,326</w:t>
            </w:r>
          </w:p>
        </w:tc>
      </w:tr>
      <w:tr w:rsidR="003F589E" w:rsidRPr="003F589E" w14:paraId="1551192B"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6DF8B49D" w14:textId="77777777" w:rsidR="003F589E" w:rsidRPr="003F589E" w:rsidRDefault="003F589E" w:rsidP="003F589E">
            <w:pPr>
              <w:rPr>
                <w:rFonts w:cs="Arial"/>
                <w:sz w:val="20"/>
                <w:szCs w:val="20"/>
              </w:rPr>
            </w:pPr>
            <w:r w:rsidRPr="003F589E">
              <w:rPr>
                <w:rFonts w:cs="Arial"/>
                <w:sz w:val="20"/>
                <w:szCs w:val="20"/>
              </w:rPr>
              <w:t>Annual Energy Cost ($)</w:t>
            </w:r>
          </w:p>
        </w:tc>
        <w:tc>
          <w:tcPr>
            <w:tcW w:w="1098" w:type="pct"/>
            <w:tcBorders>
              <w:top w:val="single" w:sz="4" w:space="0" w:color="auto"/>
              <w:left w:val="single" w:sz="4" w:space="0" w:color="auto"/>
              <w:bottom w:val="single" w:sz="4" w:space="0" w:color="auto"/>
              <w:right w:val="single" w:sz="4" w:space="0" w:color="auto"/>
            </w:tcBorders>
            <w:vAlign w:val="center"/>
          </w:tcPr>
          <w:p w14:paraId="7935E16B" w14:textId="77777777" w:rsidR="003F589E" w:rsidRPr="003F589E" w:rsidRDefault="003F589E" w:rsidP="003F589E">
            <w:pPr>
              <w:jc w:val="center"/>
              <w:rPr>
                <w:rFonts w:cs="Arial"/>
                <w:sz w:val="20"/>
                <w:szCs w:val="20"/>
              </w:rPr>
            </w:pPr>
            <w:r w:rsidRPr="003F589E">
              <w:rPr>
                <w:rFonts w:cs="Arial"/>
                <w:sz w:val="20"/>
                <w:szCs w:val="20"/>
              </w:rPr>
              <w:t>$2,303</w:t>
            </w:r>
          </w:p>
        </w:tc>
        <w:tc>
          <w:tcPr>
            <w:tcW w:w="1204" w:type="pct"/>
            <w:tcBorders>
              <w:top w:val="single" w:sz="4" w:space="0" w:color="auto"/>
              <w:left w:val="single" w:sz="4" w:space="0" w:color="auto"/>
              <w:bottom w:val="single" w:sz="4" w:space="0" w:color="auto"/>
              <w:right w:val="single" w:sz="4" w:space="0" w:color="auto"/>
            </w:tcBorders>
            <w:vAlign w:val="center"/>
          </w:tcPr>
          <w:p w14:paraId="2315C5C7" w14:textId="77777777" w:rsidR="003F589E" w:rsidRPr="003F589E" w:rsidRDefault="003F589E" w:rsidP="003F589E">
            <w:pPr>
              <w:jc w:val="center"/>
              <w:rPr>
                <w:rFonts w:cs="Arial"/>
                <w:sz w:val="20"/>
                <w:szCs w:val="20"/>
              </w:rPr>
            </w:pPr>
            <w:r w:rsidRPr="003F589E">
              <w:rPr>
                <w:rFonts w:cs="Arial"/>
                <w:sz w:val="20"/>
                <w:szCs w:val="20"/>
              </w:rPr>
              <w:t>$1,786</w:t>
            </w:r>
          </w:p>
        </w:tc>
      </w:tr>
      <w:tr w:rsidR="003F589E" w:rsidRPr="003F589E" w14:paraId="2EEC1457"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633F5119" w14:textId="77777777" w:rsidR="003F589E" w:rsidRPr="003F589E" w:rsidRDefault="003F589E" w:rsidP="003F589E">
            <w:pPr>
              <w:rPr>
                <w:rFonts w:cs="Arial"/>
                <w:sz w:val="20"/>
                <w:szCs w:val="20"/>
              </w:rPr>
            </w:pPr>
            <w:r w:rsidRPr="003F589E">
              <w:rPr>
                <w:rFonts w:cs="Arial"/>
                <w:sz w:val="20"/>
                <w:szCs w:val="20"/>
              </w:rPr>
              <w:t>Estimated Cost Savings ($/</w:t>
            </w:r>
            <w:proofErr w:type="spellStart"/>
            <w:r w:rsidRPr="003F589E">
              <w:rPr>
                <w:rFonts w:cs="Arial"/>
                <w:sz w:val="20"/>
                <w:szCs w:val="20"/>
              </w:rPr>
              <w:t>yr</w:t>
            </w:r>
            <w:proofErr w:type="spellEnd"/>
            <w:r w:rsidRPr="003F589E">
              <w:rPr>
                <w:rFonts w:cs="Arial"/>
                <w:sz w:val="20"/>
                <w:szCs w:val="20"/>
              </w:rPr>
              <w:t>)</w:t>
            </w:r>
          </w:p>
        </w:tc>
        <w:tc>
          <w:tcPr>
            <w:tcW w:w="1098" w:type="pct"/>
            <w:tcBorders>
              <w:top w:val="single" w:sz="4" w:space="0" w:color="auto"/>
              <w:left w:val="single" w:sz="4" w:space="0" w:color="auto"/>
              <w:bottom w:val="single" w:sz="4" w:space="0" w:color="auto"/>
              <w:right w:val="single" w:sz="4" w:space="0" w:color="auto"/>
            </w:tcBorders>
            <w:vAlign w:val="center"/>
          </w:tcPr>
          <w:p w14:paraId="0F171B0E" w14:textId="77777777" w:rsidR="003F589E" w:rsidRPr="003F589E" w:rsidRDefault="003F589E" w:rsidP="003F589E">
            <w:pPr>
              <w:jc w:val="center"/>
              <w:rPr>
                <w:rFonts w:cs="Arial"/>
                <w:sz w:val="20"/>
                <w:szCs w:val="20"/>
              </w:rPr>
            </w:pPr>
            <w:r w:rsidRPr="003F589E">
              <w:rPr>
                <w:rFonts w:cs="Arial"/>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14:paraId="04759BF1" w14:textId="77777777" w:rsidR="003F589E" w:rsidRPr="003F589E" w:rsidRDefault="003F589E" w:rsidP="003F589E">
            <w:pPr>
              <w:jc w:val="center"/>
              <w:rPr>
                <w:rFonts w:cs="Arial"/>
                <w:sz w:val="20"/>
                <w:szCs w:val="20"/>
              </w:rPr>
            </w:pPr>
            <w:r w:rsidRPr="003F589E">
              <w:rPr>
                <w:rFonts w:cs="Arial"/>
                <w:sz w:val="20"/>
                <w:szCs w:val="20"/>
              </w:rPr>
              <w:t>$517</w:t>
            </w:r>
          </w:p>
        </w:tc>
      </w:tr>
      <w:tr w:rsidR="003F589E" w:rsidRPr="003F589E" w14:paraId="125A07DA"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31D51264" w14:textId="77777777" w:rsidR="003F589E" w:rsidRPr="003F589E" w:rsidRDefault="003F589E" w:rsidP="003F589E">
            <w:pPr>
              <w:rPr>
                <w:rFonts w:cs="Arial"/>
                <w:sz w:val="20"/>
                <w:szCs w:val="20"/>
              </w:rPr>
            </w:pPr>
            <w:r w:rsidRPr="003F589E">
              <w:rPr>
                <w:rFonts w:cs="Arial"/>
                <w:sz w:val="20"/>
                <w:szCs w:val="20"/>
              </w:rPr>
              <w:t>Incremental Measure Cost</w:t>
            </w:r>
            <w:r w:rsidRPr="003F589E">
              <w:rPr>
                <w:rFonts w:cs="Arial"/>
                <w:sz w:val="20"/>
                <w:szCs w:val="20"/>
                <w:vertAlign w:val="superscript"/>
              </w:rPr>
              <w:t>a</w:t>
            </w:r>
          </w:p>
        </w:tc>
        <w:tc>
          <w:tcPr>
            <w:tcW w:w="1098" w:type="pct"/>
            <w:tcBorders>
              <w:top w:val="single" w:sz="4" w:space="0" w:color="auto"/>
              <w:left w:val="single" w:sz="4" w:space="0" w:color="auto"/>
              <w:bottom w:val="single" w:sz="4" w:space="0" w:color="auto"/>
              <w:right w:val="single" w:sz="4" w:space="0" w:color="auto"/>
            </w:tcBorders>
            <w:vAlign w:val="center"/>
          </w:tcPr>
          <w:p w14:paraId="562F566D" w14:textId="77777777" w:rsidR="003F589E" w:rsidRPr="003F589E" w:rsidRDefault="003F589E" w:rsidP="003F589E">
            <w:pPr>
              <w:jc w:val="center"/>
              <w:rPr>
                <w:rFonts w:cs="Arial"/>
                <w:sz w:val="20"/>
                <w:szCs w:val="20"/>
              </w:rPr>
            </w:pPr>
            <w:r w:rsidRPr="003F589E">
              <w:rPr>
                <w:rFonts w:cs="Arial"/>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14:paraId="7113741A" w14:textId="77777777" w:rsidR="003F589E" w:rsidRPr="003F589E" w:rsidRDefault="003F589E" w:rsidP="003F589E">
            <w:pPr>
              <w:jc w:val="center"/>
              <w:rPr>
                <w:rFonts w:cs="Arial"/>
                <w:sz w:val="20"/>
                <w:szCs w:val="20"/>
              </w:rPr>
            </w:pPr>
            <w:r w:rsidRPr="003F589E">
              <w:rPr>
                <w:rFonts w:cs="Arial"/>
                <w:sz w:val="20"/>
                <w:szCs w:val="20"/>
              </w:rPr>
              <w:t>SEE APPENDIX A</w:t>
            </w:r>
          </w:p>
        </w:tc>
      </w:tr>
      <w:tr w:rsidR="003F589E" w:rsidRPr="003F589E" w14:paraId="51B01891"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22EBFA28" w14:textId="77777777" w:rsidR="003F589E" w:rsidRPr="003F589E" w:rsidRDefault="003F589E" w:rsidP="003F589E">
            <w:pPr>
              <w:rPr>
                <w:rFonts w:cs="Arial"/>
                <w:sz w:val="20"/>
                <w:szCs w:val="20"/>
              </w:rPr>
            </w:pPr>
            <w:r w:rsidRPr="003F589E">
              <w:rPr>
                <w:rFonts w:cs="Arial"/>
                <w:sz w:val="20"/>
                <w:szCs w:val="20"/>
              </w:rPr>
              <w:t>Estimated Useful Life (EUL)</w:t>
            </w:r>
            <w:r w:rsidRPr="003F589E">
              <w:rPr>
                <w:rFonts w:cs="Arial"/>
                <w:sz w:val="20"/>
                <w:szCs w:val="20"/>
                <w:vertAlign w:val="superscript"/>
              </w:rPr>
              <w:t>b</w:t>
            </w:r>
          </w:p>
        </w:tc>
        <w:tc>
          <w:tcPr>
            <w:tcW w:w="1098" w:type="pct"/>
            <w:tcBorders>
              <w:top w:val="single" w:sz="4" w:space="0" w:color="auto"/>
              <w:left w:val="single" w:sz="4" w:space="0" w:color="auto"/>
              <w:bottom w:val="single" w:sz="4" w:space="0" w:color="auto"/>
              <w:right w:val="single" w:sz="4" w:space="0" w:color="auto"/>
            </w:tcBorders>
            <w:vAlign w:val="center"/>
          </w:tcPr>
          <w:p w14:paraId="51E8A0B4" w14:textId="77777777" w:rsidR="003F589E" w:rsidRPr="003F589E" w:rsidRDefault="003F589E" w:rsidP="003F589E">
            <w:pPr>
              <w:jc w:val="center"/>
              <w:rPr>
                <w:rFonts w:cs="Arial"/>
                <w:sz w:val="20"/>
                <w:szCs w:val="20"/>
              </w:rPr>
            </w:pPr>
            <w:r w:rsidRPr="003F589E">
              <w:rPr>
                <w:rFonts w:cs="Arial"/>
                <w:sz w:val="20"/>
                <w:szCs w:val="20"/>
              </w:rPr>
              <w:t>12 years</w:t>
            </w:r>
          </w:p>
        </w:tc>
        <w:tc>
          <w:tcPr>
            <w:tcW w:w="1204" w:type="pct"/>
            <w:tcBorders>
              <w:top w:val="single" w:sz="4" w:space="0" w:color="auto"/>
              <w:left w:val="single" w:sz="4" w:space="0" w:color="auto"/>
              <w:bottom w:val="single" w:sz="4" w:space="0" w:color="auto"/>
              <w:right w:val="single" w:sz="4" w:space="0" w:color="auto"/>
            </w:tcBorders>
            <w:vAlign w:val="center"/>
          </w:tcPr>
          <w:p w14:paraId="646A00DD" w14:textId="77777777" w:rsidR="003F589E" w:rsidRPr="003F589E" w:rsidRDefault="003F589E" w:rsidP="003F589E">
            <w:pPr>
              <w:jc w:val="center"/>
              <w:rPr>
                <w:rFonts w:cs="Arial"/>
                <w:sz w:val="20"/>
                <w:szCs w:val="20"/>
              </w:rPr>
            </w:pPr>
            <w:r w:rsidRPr="003F589E">
              <w:rPr>
                <w:rFonts w:cs="Arial"/>
                <w:sz w:val="20"/>
                <w:szCs w:val="20"/>
              </w:rPr>
              <w:t>12 years</w:t>
            </w:r>
          </w:p>
        </w:tc>
      </w:tr>
      <w:tr w:rsidR="003F589E" w:rsidRPr="003F589E" w14:paraId="67E4C756" w14:textId="77777777" w:rsidTr="001A0E28">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14:paraId="6BAB5D4C" w14:textId="77777777" w:rsidR="003F589E" w:rsidRPr="003F589E" w:rsidRDefault="003F589E" w:rsidP="003F589E">
            <w:pPr>
              <w:rPr>
                <w:rFonts w:cs="Arial"/>
                <w:sz w:val="20"/>
                <w:szCs w:val="20"/>
              </w:rPr>
            </w:pPr>
            <w:r w:rsidRPr="003F589E">
              <w:rPr>
                <w:rFonts w:cs="Arial"/>
                <w:sz w:val="20"/>
                <w:szCs w:val="20"/>
              </w:rPr>
              <w:t>Number of Preheats per Day</w:t>
            </w:r>
          </w:p>
        </w:tc>
        <w:tc>
          <w:tcPr>
            <w:tcW w:w="1098" w:type="pct"/>
            <w:tcBorders>
              <w:top w:val="single" w:sz="4" w:space="0" w:color="auto"/>
              <w:left w:val="single" w:sz="4" w:space="0" w:color="auto"/>
              <w:bottom w:val="single" w:sz="4" w:space="0" w:color="auto"/>
              <w:right w:val="single" w:sz="4" w:space="0" w:color="auto"/>
            </w:tcBorders>
            <w:vAlign w:val="center"/>
          </w:tcPr>
          <w:p w14:paraId="282718A8" w14:textId="77777777" w:rsidR="003F589E" w:rsidRPr="003F589E" w:rsidRDefault="003F589E" w:rsidP="003F589E">
            <w:pPr>
              <w:jc w:val="center"/>
              <w:rPr>
                <w:rFonts w:cs="Arial"/>
                <w:sz w:val="20"/>
                <w:szCs w:val="20"/>
              </w:rPr>
            </w:pPr>
            <w:r w:rsidRPr="003F589E">
              <w:rPr>
                <w:rFonts w:cs="Arial"/>
                <w:sz w:val="20"/>
                <w:szCs w:val="20"/>
              </w:rPr>
              <w:t>1</w:t>
            </w:r>
          </w:p>
        </w:tc>
        <w:tc>
          <w:tcPr>
            <w:tcW w:w="1204" w:type="pct"/>
            <w:tcBorders>
              <w:top w:val="single" w:sz="4" w:space="0" w:color="auto"/>
              <w:left w:val="single" w:sz="4" w:space="0" w:color="auto"/>
              <w:bottom w:val="single" w:sz="4" w:space="0" w:color="auto"/>
              <w:right w:val="single" w:sz="4" w:space="0" w:color="auto"/>
            </w:tcBorders>
            <w:vAlign w:val="center"/>
          </w:tcPr>
          <w:p w14:paraId="7EE9BC2B" w14:textId="77777777" w:rsidR="003F589E" w:rsidRPr="003F589E" w:rsidRDefault="003F589E" w:rsidP="003F589E">
            <w:pPr>
              <w:jc w:val="center"/>
              <w:rPr>
                <w:rFonts w:cs="Arial"/>
                <w:sz w:val="20"/>
                <w:szCs w:val="20"/>
              </w:rPr>
            </w:pPr>
            <w:r w:rsidRPr="003F589E">
              <w:rPr>
                <w:rFonts w:cs="Arial"/>
                <w:sz w:val="20"/>
                <w:szCs w:val="20"/>
              </w:rPr>
              <w:t>1</w:t>
            </w:r>
          </w:p>
        </w:tc>
      </w:tr>
    </w:tbl>
    <w:p w14:paraId="4EC0290D" w14:textId="77777777" w:rsidR="003F589E" w:rsidRPr="003F589E" w:rsidRDefault="003F589E" w:rsidP="003F589E">
      <w:pPr>
        <w:rPr>
          <w:rFonts w:cs="Arial"/>
          <w:sz w:val="18"/>
          <w:szCs w:val="18"/>
        </w:rPr>
      </w:pPr>
      <w:proofErr w:type="spellStart"/>
      <w:proofErr w:type="gramStart"/>
      <w:r w:rsidRPr="003F589E">
        <w:rPr>
          <w:rFonts w:cs="Arial"/>
          <w:sz w:val="18"/>
          <w:szCs w:val="18"/>
          <w:vertAlign w:val="superscript"/>
        </w:rPr>
        <w:t>a</w:t>
      </w:r>
      <w:proofErr w:type="spellEnd"/>
      <w:proofErr w:type="gramEnd"/>
      <w:r w:rsidRPr="003F589E">
        <w:rPr>
          <w:rFonts w:cs="Arial"/>
          <w:sz w:val="18"/>
          <w:szCs w:val="18"/>
        </w:rPr>
        <w:t xml:space="preserve"> Incremental measure cost was determined through communications with local manufacturers and distributors to determine the retail cost to purchase a qualifying model over the baseline standard.</w:t>
      </w:r>
    </w:p>
    <w:p w14:paraId="3CF3A666" w14:textId="77777777" w:rsidR="003F589E" w:rsidRPr="003F589E" w:rsidRDefault="003F589E" w:rsidP="003F589E">
      <w:pPr>
        <w:rPr>
          <w:rFonts w:cs="Arial"/>
          <w:sz w:val="18"/>
          <w:szCs w:val="18"/>
        </w:rPr>
      </w:pPr>
      <w:proofErr w:type="gramStart"/>
      <w:r w:rsidRPr="003F589E">
        <w:rPr>
          <w:rFonts w:cs="Arial"/>
          <w:sz w:val="18"/>
          <w:szCs w:val="18"/>
          <w:vertAlign w:val="superscript"/>
        </w:rPr>
        <w:t>b</w:t>
      </w:r>
      <w:proofErr w:type="gramEnd"/>
      <w:r w:rsidRPr="003F589E">
        <w:rPr>
          <w:rFonts w:cs="Arial"/>
          <w:sz w:val="18"/>
          <w:szCs w:val="18"/>
        </w:rPr>
        <w:t xml:space="preserve"> </w:t>
      </w:r>
      <w:r w:rsidRPr="003F589E">
        <w:rPr>
          <w:rFonts w:cs="Arial"/>
          <w:sz w:val="18"/>
          <w:szCs w:val="20"/>
        </w:rPr>
        <w:t>The estimated useful life is based on the 2008 DEER EUL estimates.</w:t>
      </w:r>
    </w:p>
    <w:p w14:paraId="6A436640" w14:textId="77777777" w:rsidR="003F589E" w:rsidRPr="003F589E" w:rsidRDefault="003F589E" w:rsidP="003F589E">
      <w:pPr>
        <w:rPr>
          <w:rFonts w:cs="Arial"/>
          <w:sz w:val="24"/>
          <w:vertAlign w:val="superscript"/>
        </w:rPr>
      </w:pPr>
    </w:p>
    <w:p w14:paraId="36B6A53A" w14:textId="77777777" w:rsidR="003F589E" w:rsidRPr="003F589E" w:rsidRDefault="003F589E" w:rsidP="003F589E">
      <w:pPr>
        <w:rPr>
          <w:rFonts w:cs="Arial"/>
          <w:b/>
          <w:sz w:val="20"/>
          <w:szCs w:val="20"/>
        </w:rPr>
      </w:pPr>
      <w:r w:rsidRPr="003F589E">
        <w:rPr>
          <w:rFonts w:cs="Arial"/>
          <w:b/>
          <w:sz w:val="20"/>
          <w:szCs w:val="20"/>
        </w:rPr>
        <w:t>Daily Energy Consumption Calculation and Definitions</w:t>
      </w:r>
    </w:p>
    <w:p w14:paraId="17ED8534" w14:textId="77777777" w:rsidR="003F589E" w:rsidRPr="003F589E" w:rsidRDefault="003F589E" w:rsidP="003F589E">
      <w:pPr>
        <w:rPr>
          <w:rFonts w:cs="Arial"/>
          <w:b/>
          <w:sz w:val="16"/>
          <w:szCs w:val="16"/>
        </w:rPr>
      </w:pPr>
    </w:p>
    <w:p w14:paraId="0E1BDB49" w14:textId="77777777" w:rsidR="003F589E" w:rsidRPr="003F589E" w:rsidRDefault="003F589E" w:rsidP="003F589E">
      <w:pPr>
        <w:rPr>
          <w:rFonts w:cs="Arial"/>
          <w:sz w:val="20"/>
          <w:szCs w:val="20"/>
          <w:u w:val="single"/>
        </w:rPr>
      </w:pPr>
      <w:r w:rsidRPr="003F589E">
        <w:rPr>
          <w:rFonts w:cs="Arial"/>
          <w:sz w:val="20"/>
          <w:szCs w:val="20"/>
          <w:u w:val="single"/>
        </w:rPr>
        <w:t xml:space="preserve">EDAY = (LBFOOD x EFOOD) ÷ EFFICIENCY + [IDLERATE x (TON - LBFOOD/PC – </w:t>
      </w:r>
      <w:proofErr w:type="spellStart"/>
      <w:r w:rsidRPr="003F589E">
        <w:rPr>
          <w:rFonts w:cs="Arial"/>
          <w:sz w:val="20"/>
          <w:szCs w:val="20"/>
          <w:u w:val="single"/>
        </w:rPr>
        <w:t>nP</w:t>
      </w:r>
      <w:proofErr w:type="spellEnd"/>
      <w:r w:rsidRPr="003F589E">
        <w:rPr>
          <w:rFonts w:cs="Arial"/>
          <w:sz w:val="20"/>
          <w:szCs w:val="20"/>
          <w:u w:val="single"/>
        </w:rPr>
        <w:t xml:space="preserve"> x TP/60)] </w:t>
      </w:r>
      <w:r w:rsidRPr="003F589E">
        <w:rPr>
          <w:rFonts w:cs="Arial"/>
          <w:sz w:val="20"/>
          <w:szCs w:val="20"/>
          <w:u w:val="single"/>
        </w:rPr>
        <w:br/>
        <w:t xml:space="preserve">+ </w:t>
      </w:r>
      <w:proofErr w:type="spellStart"/>
      <w:r w:rsidRPr="003F589E">
        <w:rPr>
          <w:rFonts w:cs="Arial"/>
          <w:sz w:val="20"/>
          <w:szCs w:val="20"/>
          <w:u w:val="single"/>
        </w:rPr>
        <w:t>nP</w:t>
      </w:r>
      <w:proofErr w:type="spellEnd"/>
      <w:r w:rsidRPr="003F589E">
        <w:rPr>
          <w:rFonts w:cs="Arial"/>
          <w:sz w:val="20"/>
          <w:szCs w:val="20"/>
          <w:u w:val="single"/>
        </w:rPr>
        <w:t xml:space="preserve"> x EP</w:t>
      </w:r>
    </w:p>
    <w:p w14:paraId="5DB82642" w14:textId="77777777" w:rsidR="003F589E" w:rsidRPr="003F589E" w:rsidRDefault="003F589E" w:rsidP="003F589E">
      <w:pPr>
        <w:rPr>
          <w:rFonts w:cs="Arial"/>
          <w:sz w:val="16"/>
          <w:szCs w:val="16"/>
        </w:rPr>
      </w:pPr>
    </w:p>
    <w:p w14:paraId="7CA0884A" w14:textId="77777777" w:rsidR="003F589E" w:rsidRPr="003F589E" w:rsidRDefault="003F589E" w:rsidP="003F589E">
      <w:pPr>
        <w:rPr>
          <w:rFonts w:cs="Arial"/>
          <w:sz w:val="20"/>
          <w:szCs w:val="20"/>
        </w:rPr>
      </w:pPr>
      <w:r w:rsidRPr="003F589E">
        <w:rPr>
          <w:rFonts w:cs="Arial"/>
          <w:sz w:val="20"/>
          <w:szCs w:val="20"/>
        </w:rPr>
        <w:t>Where:</w:t>
      </w:r>
    </w:p>
    <w:p w14:paraId="359988AD" w14:textId="77777777" w:rsidR="003F589E" w:rsidRPr="003F589E" w:rsidRDefault="003F589E" w:rsidP="003F589E">
      <w:pPr>
        <w:rPr>
          <w:rFonts w:cs="Arial"/>
          <w:sz w:val="16"/>
          <w:szCs w:val="16"/>
        </w:rPr>
      </w:pPr>
    </w:p>
    <w:tbl>
      <w:tblPr>
        <w:tblW w:w="5000" w:type="pct"/>
        <w:jc w:val="center"/>
        <w:tblLook w:val="01E0" w:firstRow="1" w:lastRow="1" w:firstColumn="1" w:lastColumn="1" w:noHBand="0" w:noVBand="0"/>
      </w:tblPr>
      <w:tblGrid>
        <w:gridCol w:w="1980"/>
        <w:gridCol w:w="7596"/>
      </w:tblGrid>
      <w:tr w:rsidR="003F589E" w:rsidRPr="003F589E" w14:paraId="29066AE0" w14:textId="77777777" w:rsidTr="001A0E28">
        <w:trPr>
          <w:trHeight w:val="288"/>
          <w:jc w:val="center"/>
        </w:trPr>
        <w:tc>
          <w:tcPr>
            <w:tcW w:w="1034" w:type="pct"/>
            <w:vAlign w:val="center"/>
          </w:tcPr>
          <w:p w14:paraId="5E1D302F" w14:textId="77777777" w:rsidR="003F589E" w:rsidRPr="003F589E" w:rsidRDefault="003F589E" w:rsidP="003F589E">
            <w:pPr>
              <w:rPr>
                <w:rFonts w:cs="Arial"/>
                <w:sz w:val="20"/>
                <w:szCs w:val="20"/>
              </w:rPr>
            </w:pPr>
            <w:r w:rsidRPr="003F589E">
              <w:rPr>
                <w:rFonts w:cs="Arial"/>
                <w:sz w:val="20"/>
                <w:szCs w:val="20"/>
              </w:rPr>
              <w:t>EDAY =</w:t>
            </w:r>
          </w:p>
        </w:tc>
        <w:tc>
          <w:tcPr>
            <w:tcW w:w="3966" w:type="pct"/>
            <w:vAlign w:val="center"/>
          </w:tcPr>
          <w:p w14:paraId="20CE6506" w14:textId="77777777" w:rsidR="003F589E" w:rsidRPr="003F589E" w:rsidRDefault="003F589E" w:rsidP="003F589E">
            <w:pPr>
              <w:rPr>
                <w:rFonts w:cs="Arial"/>
                <w:sz w:val="20"/>
                <w:szCs w:val="20"/>
              </w:rPr>
            </w:pPr>
            <w:r w:rsidRPr="003F589E">
              <w:rPr>
                <w:rFonts w:cs="Arial"/>
                <w:sz w:val="20"/>
                <w:szCs w:val="20"/>
              </w:rPr>
              <w:t>Daily Energy Consumption (kWh/day)</w:t>
            </w:r>
          </w:p>
        </w:tc>
      </w:tr>
      <w:tr w:rsidR="003F589E" w:rsidRPr="003F589E" w14:paraId="0046A826" w14:textId="77777777" w:rsidTr="001A0E28">
        <w:trPr>
          <w:trHeight w:val="288"/>
          <w:jc w:val="center"/>
        </w:trPr>
        <w:tc>
          <w:tcPr>
            <w:tcW w:w="1034" w:type="pct"/>
            <w:vAlign w:val="center"/>
          </w:tcPr>
          <w:p w14:paraId="763EE917" w14:textId="77777777" w:rsidR="003F589E" w:rsidRPr="003F589E" w:rsidRDefault="003F589E" w:rsidP="003F589E">
            <w:pPr>
              <w:rPr>
                <w:rFonts w:cs="Arial"/>
                <w:sz w:val="20"/>
                <w:szCs w:val="20"/>
              </w:rPr>
            </w:pPr>
            <w:r w:rsidRPr="003F589E">
              <w:rPr>
                <w:rFonts w:cs="Arial"/>
                <w:sz w:val="20"/>
                <w:szCs w:val="20"/>
              </w:rPr>
              <w:t>LBFOOD =</w:t>
            </w:r>
          </w:p>
        </w:tc>
        <w:tc>
          <w:tcPr>
            <w:tcW w:w="3966" w:type="pct"/>
            <w:vAlign w:val="center"/>
          </w:tcPr>
          <w:p w14:paraId="66810FC3" w14:textId="77777777" w:rsidR="003F589E" w:rsidRPr="003F589E" w:rsidRDefault="003F589E" w:rsidP="003F589E">
            <w:pPr>
              <w:rPr>
                <w:rFonts w:cs="Arial"/>
                <w:sz w:val="20"/>
                <w:szCs w:val="20"/>
              </w:rPr>
            </w:pPr>
            <w:r w:rsidRPr="003F589E">
              <w:rPr>
                <w:rFonts w:cs="Arial"/>
                <w:sz w:val="20"/>
                <w:szCs w:val="20"/>
              </w:rPr>
              <w:t>Pounds of Food Cooked per Day</w:t>
            </w:r>
          </w:p>
        </w:tc>
      </w:tr>
      <w:tr w:rsidR="003F589E" w:rsidRPr="003F589E" w14:paraId="3387F3A9" w14:textId="77777777" w:rsidTr="001A0E28">
        <w:trPr>
          <w:trHeight w:val="288"/>
          <w:jc w:val="center"/>
        </w:trPr>
        <w:tc>
          <w:tcPr>
            <w:tcW w:w="1034" w:type="pct"/>
            <w:vAlign w:val="center"/>
          </w:tcPr>
          <w:p w14:paraId="31AD7A65" w14:textId="77777777" w:rsidR="003F589E" w:rsidRPr="003F589E" w:rsidRDefault="003F589E" w:rsidP="003F589E">
            <w:pPr>
              <w:rPr>
                <w:rFonts w:cs="Arial"/>
                <w:sz w:val="20"/>
                <w:szCs w:val="20"/>
              </w:rPr>
            </w:pPr>
            <w:r w:rsidRPr="003F589E">
              <w:rPr>
                <w:rFonts w:cs="Arial"/>
                <w:sz w:val="20"/>
                <w:szCs w:val="20"/>
              </w:rPr>
              <w:t>EFOOD =</w:t>
            </w:r>
          </w:p>
        </w:tc>
        <w:tc>
          <w:tcPr>
            <w:tcW w:w="3966" w:type="pct"/>
            <w:vAlign w:val="center"/>
          </w:tcPr>
          <w:p w14:paraId="673D3E32" w14:textId="77777777" w:rsidR="003F589E" w:rsidRPr="003F589E" w:rsidRDefault="003F589E" w:rsidP="003F589E">
            <w:pPr>
              <w:rPr>
                <w:rFonts w:cs="Arial"/>
                <w:sz w:val="20"/>
                <w:szCs w:val="20"/>
              </w:rPr>
            </w:pPr>
            <w:r w:rsidRPr="003F589E">
              <w:rPr>
                <w:rFonts w:cs="Arial"/>
                <w:sz w:val="20"/>
                <w:szCs w:val="20"/>
              </w:rPr>
              <w:t>ASTM Energy to Food (kWh/</w:t>
            </w:r>
            <w:proofErr w:type="spellStart"/>
            <w:r w:rsidRPr="003F589E">
              <w:rPr>
                <w:rFonts w:cs="Arial"/>
                <w:sz w:val="20"/>
                <w:szCs w:val="20"/>
              </w:rPr>
              <w:t>lb</w:t>
            </w:r>
            <w:proofErr w:type="spellEnd"/>
            <w:r w:rsidRPr="003F589E">
              <w:rPr>
                <w:rFonts w:cs="Arial"/>
                <w:sz w:val="20"/>
                <w:szCs w:val="20"/>
              </w:rPr>
              <w:t>) = kWh/pound of energy absorbed by food product during cooking</w:t>
            </w:r>
          </w:p>
        </w:tc>
      </w:tr>
      <w:tr w:rsidR="003F589E" w:rsidRPr="003F589E" w14:paraId="3D3EE439" w14:textId="77777777" w:rsidTr="001A0E28">
        <w:trPr>
          <w:trHeight w:val="288"/>
          <w:jc w:val="center"/>
        </w:trPr>
        <w:tc>
          <w:tcPr>
            <w:tcW w:w="1034" w:type="pct"/>
            <w:vAlign w:val="center"/>
          </w:tcPr>
          <w:p w14:paraId="019B58AA" w14:textId="77777777" w:rsidR="003F589E" w:rsidRPr="003F589E" w:rsidRDefault="003F589E" w:rsidP="003F589E">
            <w:pPr>
              <w:rPr>
                <w:rFonts w:cs="Arial"/>
                <w:sz w:val="20"/>
                <w:szCs w:val="20"/>
              </w:rPr>
            </w:pPr>
            <w:r w:rsidRPr="003F589E">
              <w:rPr>
                <w:rFonts w:cs="Arial"/>
                <w:sz w:val="20"/>
                <w:szCs w:val="20"/>
              </w:rPr>
              <w:t xml:space="preserve">EFFICIENCY = </w:t>
            </w:r>
          </w:p>
        </w:tc>
        <w:tc>
          <w:tcPr>
            <w:tcW w:w="3966" w:type="pct"/>
            <w:vAlign w:val="center"/>
          </w:tcPr>
          <w:p w14:paraId="3FA52310" w14:textId="77777777" w:rsidR="003F589E" w:rsidRPr="003F589E" w:rsidRDefault="003F589E" w:rsidP="003F589E">
            <w:pPr>
              <w:rPr>
                <w:rFonts w:cs="Arial"/>
                <w:sz w:val="20"/>
                <w:szCs w:val="20"/>
              </w:rPr>
            </w:pPr>
            <w:r w:rsidRPr="003F589E">
              <w:rPr>
                <w:rFonts w:cs="Arial"/>
                <w:sz w:val="20"/>
                <w:szCs w:val="20"/>
              </w:rPr>
              <w:t>Heavy Load Cooking Energy Efficiency %</w:t>
            </w:r>
          </w:p>
        </w:tc>
      </w:tr>
      <w:tr w:rsidR="003F589E" w:rsidRPr="003F589E" w14:paraId="157FBC41" w14:textId="77777777" w:rsidTr="001A0E28">
        <w:trPr>
          <w:trHeight w:val="288"/>
          <w:jc w:val="center"/>
        </w:trPr>
        <w:tc>
          <w:tcPr>
            <w:tcW w:w="1034" w:type="pct"/>
            <w:vAlign w:val="center"/>
          </w:tcPr>
          <w:p w14:paraId="30C6219F" w14:textId="77777777" w:rsidR="003F589E" w:rsidRPr="003F589E" w:rsidRDefault="003F589E" w:rsidP="003F589E">
            <w:pPr>
              <w:rPr>
                <w:rFonts w:cs="Arial"/>
                <w:sz w:val="20"/>
                <w:szCs w:val="20"/>
              </w:rPr>
            </w:pPr>
            <w:r w:rsidRPr="003F589E">
              <w:rPr>
                <w:rFonts w:cs="Arial"/>
                <w:sz w:val="20"/>
                <w:szCs w:val="20"/>
              </w:rPr>
              <w:t>IDLE RATE =</w:t>
            </w:r>
          </w:p>
        </w:tc>
        <w:tc>
          <w:tcPr>
            <w:tcW w:w="3966" w:type="pct"/>
            <w:vAlign w:val="center"/>
          </w:tcPr>
          <w:p w14:paraId="3C048C1B" w14:textId="77777777" w:rsidR="003F589E" w:rsidRPr="003F589E" w:rsidRDefault="003F589E" w:rsidP="003F589E">
            <w:pPr>
              <w:rPr>
                <w:rFonts w:cs="Arial"/>
                <w:sz w:val="20"/>
                <w:szCs w:val="20"/>
              </w:rPr>
            </w:pPr>
            <w:r w:rsidRPr="003F589E">
              <w:rPr>
                <w:rFonts w:cs="Arial"/>
                <w:sz w:val="20"/>
                <w:szCs w:val="20"/>
              </w:rPr>
              <w:t>Idle Energy Rate (kW)</w:t>
            </w:r>
          </w:p>
        </w:tc>
      </w:tr>
      <w:tr w:rsidR="003F589E" w:rsidRPr="003F589E" w14:paraId="0751253F" w14:textId="77777777" w:rsidTr="001A0E28">
        <w:trPr>
          <w:trHeight w:val="288"/>
          <w:jc w:val="center"/>
        </w:trPr>
        <w:tc>
          <w:tcPr>
            <w:tcW w:w="1034" w:type="pct"/>
            <w:vAlign w:val="center"/>
          </w:tcPr>
          <w:p w14:paraId="6065D849" w14:textId="77777777" w:rsidR="003F589E" w:rsidRPr="003F589E" w:rsidRDefault="003F589E" w:rsidP="003F589E">
            <w:pPr>
              <w:rPr>
                <w:rFonts w:cs="Arial"/>
                <w:sz w:val="20"/>
                <w:szCs w:val="20"/>
              </w:rPr>
            </w:pPr>
            <w:r w:rsidRPr="003F589E">
              <w:rPr>
                <w:rFonts w:cs="Arial"/>
                <w:sz w:val="20"/>
                <w:szCs w:val="20"/>
              </w:rPr>
              <w:t>TON =</w:t>
            </w:r>
          </w:p>
        </w:tc>
        <w:tc>
          <w:tcPr>
            <w:tcW w:w="3966" w:type="pct"/>
            <w:vAlign w:val="center"/>
          </w:tcPr>
          <w:p w14:paraId="3E275E15" w14:textId="77777777" w:rsidR="003F589E" w:rsidRPr="003F589E" w:rsidRDefault="003F589E" w:rsidP="003F589E">
            <w:pPr>
              <w:rPr>
                <w:rFonts w:cs="Arial"/>
                <w:sz w:val="20"/>
                <w:szCs w:val="20"/>
              </w:rPr>
            </w:pPr>
            <w:r w:rsidRPr="003F589E">
              <w:rPr>
                <w:rFonts w:cs="Arial"/>
                <w:sz w:val="20"/>
                <w:szCs w:val="20"/>
              </w:rPr>
              <w:t>Operating Hours/Day</w:t>
            </w:r>
          </w:p>
        </w:tc>
      </w:tr>
      <w:tr w:rsidR="003F589E" w:rsidRPr="003F589E" w14:paraId="580BC656" w14:textId="77777777" w:rsidTr="001A0E28">
        <w:trPr>
          <w:trHeight w:val="288"/>
          <w:jc w:val="center"/>
        </w:trPr>
        <w:tc>
          <w:tcPr>
            <w:tcW w:w="1034" w:type="pct"/>
            <w:vAlign w:val="center"/>
          </w:tcPr>
          <w:p w14:paraId="4F0E9EA7" w14:textId="77777777" w:rsidR="003F589E" w:rsidRPr="003F589E" w:rsidRDefault="003F589E" w:rsidP="003F589E">
            <w:pPr>
              <w:rPr>
                <w:rFonts w:cs="Arial"/>
                <w:sz w:val="20"/>
                <w:szCs w:val="20"/>
              </w:rPr>
            </w:pPr>
            <w:r w:rsidRPr="003F589E">
              <w:rPr>
                <w:rFonts w:cs="Arial"/>
                <w:sz w:val="20"/>
                <w:szCs w:val="20"/>
              </w:rPr>
              <w:t>PC =</w:t>
            </w:r>
          </w:p>
        </w:tc>
        <w:tc>
          <w:tcPr>
            <w:tcW w:w="3966" w:type="pct"/>
            <w:vAlign w:val="center"/>
          </w:tcPr>
          <w:p w14:paraId="7EE9526B" w14:textId="77777777" w:rsidR="003F589E" w:rsidRPr="003F589E" w:rsidRDefault="003F589E" w:rsidP="003F589E">
            <w:pPr>
              <w:rPr>
                <w:rFonts w:cs="Arial"/>
                <w:sz w:val="20"/>
                <w:szCs w:val="20"/>
              </w:rPr>
            </w:pPr>
            <w:r w:rsidRPr="003F589E">
              <w:rPr>
                <w:rFonts w:cs="Arial"/>
                <w:sz w:val="20"/>
                <w:szCs w:val="20"/>
              </w:rPr>
              <w:t>Production Capacity (</w:t>
            </w:r>
            <w:proofErr w:type="spellStart"/>
            <w:r w:rsidRPr="003F589E">
              <w:rPr>
                <w:rFonts w:cs="Arial"/>
                <w:sz w:val="20"/>
                <w:szCs w:val="20"/>
              </w:rPr>
              <w:t>lbs</w:t>
            </w:r>
            <w:proofErr w:type="spellEnd"/>
            <w:r w:rsidRPr="003F589E">
              <w:rPr>
                <w:rFonts w:cs="Arial"/>
                <w:sz w:val="20"/>
                <w:szCs w:val="20"/>
              </w:rPr>
              <w:t>/</w:t>
            </w:r>
            <w:proofErr w:type="spellStart"/>
            <w:r w:rsidRPr="003F589E">
              <w:rPr>
                <w:rFonts w:cs="Arial"/>
                <w:sz w:val="20"/>
                <w:szCs w:val="20"/>
              </w:rPr>
              <w:t>hr</w:t>
            </w:r>
            <w:proofErr w:type="spellEnd"/>
            <w:r w:rsidRPr="003F589E">
              <w:rPr>
                <w:rFonts w:cs="Arial"/>
                <w:sz w:val="20"/>
                <w:szCs w:val="20"/>
              </w:rPr>
              <w:t>)</w:t>
            </w:r>
          </w:p>
        </w:tc>
      </w:tr>
      <w:tr w:rsidR="003F589E" w:rsidRPr="003F589E" w14:paraId="65915A64" w14:textId="77777777" w:rsidTr="001A0E28">
        <w:trPr>
          <w:trHeight w:val="288"/>
          <w:jc w:val="center"/>
        </w:trPr>
        <w:tc>
          <w:tcPr>
            <w:tcW w:w="1034" w:type="pct"/>
            <w:vAlign w:val="center"/>
          </w:tcPr>
          <w:p w14:paraId="56C4A7A2" w14:textId="77777777" w:rsidR="003F589E" w:rsidRPr="003F589E" w:rsidRDefault="003F589E" w:rsidP="003F589E">
            <w:pPr>
              <w:rPr>
                <w:rFonts w:cs="Arial"/>
                <w:sz w:val="20"/>
                <w:szCs w:val="20"/>
              </w:rPr>
            </w:pPr>
            <w:r w:rsidRPr="003F589E">
              <w:rPr>
                <w:rFonts w:cs="Arial"/>
                <w:sz w:val="20"/>
                <w:szCs w:val="20"/>
              </w:rPr>
              <w:t>TP =</w:t>
            </w:r>
          </w:p>
        </w:tc>
        <w:tc>
          <w:tcPr>
            <w:tcW w:w="3966" w:type="pct"/>
            <w:vAlign w:val="center"/>
          </w:tcPr>
          <w:p w14:paraId="515FDC40" w14:textId="77777777" w:rsidR="003F589E" w:rsidRPr="003F589E" w:rsidRDefault="003F589E" w:rsidP="003F589E">
            <w:pPr>
              <w:rPr>
                <w:rFonts w:cs="Arial"/>
                <w:sz w:val="20"/>
                <w:szCs w:val="20"/>
              </w:rPr>
            </w:pPr>
            <w:r w:rsidRPr="003F589E">
              <w:rPr>
                <w:rFonts w:cs="Arial"/>
                <w:sz w:val="20"/>
                <w:szCs w:val="20"/>
              </w:rPr>
              <w:t>Preheat Time (min)</w:t>
            </w:r>
          </w:p>
        </w:tc>
      </w:tr>
      <w:tr w:rsidR="003F589E" w:rsidRPr="003F589E" w14:paraId="39F7BDC0" w14:textId="77777777" w:rsidTr="001A0E28">
        <w:trPr>
          <w:trHeight w:val="288"/>
          <w:jc w:val="center"/>
        </w:trPr>
        <w:tc>
          <w:tcPr>
            <w:tcW w:w="1034" w:type="pct"/>
            <w:vAlign w:val="center"/>
          </w:tcPr>
          <w:p w14:paraId="144591B0" w14:textId="77777777" w:rsidR="003F589E" w:rsidRPr="003F589E" w:rsidRDefault="003F589E" w:rsidP="003F589E">
            <w:pPr>
              <w:rPr>
                <w:rFonts w:cs="Arial"/>
                <w:sz w:val="20"/>
                <w:szCs w:val="20"/>
              </w:rPr>
            </w:pPr>
            <w:proofErr w:type="spellStart"/>
            <w:r w:rsidRPr="003F589E">
              <w:rPr>
                <w:rFonts w:cs="Arial"/>
                <w:sz w:val="20"/>
                <w:szCs w:val="20"/>
              </w:rPr>
              <w:t>nP</w:t>
            </w:r>
            <w:proofErr w:type="spellEnd"/>
            <w:r w:rsidRPr="003F589E">
              <w:rPr>
                <w:rFonts w:cs="Arial"/>
                <w:sz w:val="20"/>
                <w:szCs w:val="20"/>
              </w:rPr>
              <w:t xml:space="preserve"> =</w:t>
            </w:r>
          </w:p>
        </w:tc>
        <w:tc>
          <w:tcPr>
            <w:tcW w:w="3966" w:type="pct"/>
            <w:vAlign w:val="center"/>
          </w:tcPr>
          <w:p w14:paraId="4BF2BADE" w14:textId="77777777" w:rsidR="003F589E" w:rsidRPr="003F589E" w:rsidRDefault="003F589E" w:rsidP="003F589E">
            <w:pPr>
              <w:rPr>
                <w:rFonts w:cs="Arial"/>
                <w:sz w:val="20"/>
                <w:szCs w:val="20"/>
              </w:rPr>
            </w:pPr>
            <w:r w:rsidRPr="003F589E">
              <w:rPr>
                <w:rFonts w:cs="Arial"/>
                <w:sz w:val="20"/>
                <w:szCs w:val="20"/>
              </w:rPr>
              <w:t>Number of preheats/Day</w:t>
            </w:r>
          </w:p>
        </w:tc>
      </w:tr>
      <w:tr w:rsidR="003F589E" w:rsidRPr="003F589E" w14:paraId="14AFCA16" w14:textId="77777777" w:rsidTr="001A0E28">
        <w:trPr>
          <w:trHeight w:val="288"/>
          <w:jc w:val="center"/>
        </w:trPr>
        <w:tc>
          <w:tcPr>
            <w:tcW w:w="1034" w:type="pct"/>
            <w:vAlign w:val="center"/>
          </w:tcPr>
          <w:p w14:paraId="70374630" w14:textId="77777777" w:rsidR="003F589E" w:rsidRPr="003F589E" w:rsidRDefault="003F589E" w:rsidP="003F589E">
            <w:pPr>
              <w:rPr>
                <w:rFonts w:cs="Arial"/>
                <w:sz w:val="20"/>
                <w:szCs w:val="20"/>
              </w:rPr>
            </w:pPr>
            <w:r w:rsidRPr="003F589E">
              <w:rPr>
                <w:rFonts w:cs="Arial"/>
                <w:sz w:val="20"/>
                <w:szCs w:val="20"/>
              </w:rPr>
              <w:t>EP =</w:t>
            </w:r>
          </w:p>
        </w:tc>
        <w:tc>
          <w:tcPr>
            <w:tcW w:w="3966" w:type="pct"/>
            <w:vAlign w:val="center"/>
          </w:tcPr>
          <w:p w14:paraId="138C9EAB" w14:textId="77777777" w:rsidR="003F589E" w:rsidRPr="003F589E" w:rsidRDefault="003F589E" w:rsidP="003F589E">
            <w:pPr>
              <w:rPr>
                <w:rFonts w:cs="Arial"/>
                <w:sz w:val="20"/>
                <w:szCs w:val="20"/>
              </w:rPr>
            </w:pPr>
            <w:r w:rsidRPr="003F589E">
              <w:rPr>
                <w:rFonts w:cs="Arial"/>
                <w:sz w:val="20"/>
                <w:szCs w:val="20"/>
              </w:rPr>
              <w:t>Preheat Energy (kWh)</w:t>
            </w:r>
          </w:p>
        </w:tc>
      </w:tr>
    </w:tbl>
    <w:p w14:paraId="393A106F" w14:textId="77777777" w:rsidR="00C069A2" w:rsidRPr="001A0E28" w:rsidRDefault="0030550A" w:rsidP="002E0043">
      <w:pPr>
        <w:pStyle w:val="Heading2"/>
        <w:keepNext w:val="0"/>
      </w:pPr>
      <w:bookmarkStart w:id="103" w:name="_Toc385935871"/>
      <w:r w:rsidRPr="001A0E28">
        <w:t>2.2. Demand R</w:t>
      </w:r>
      <w:r w:rsidR="00C069A2" w:rsidRPr="001A0E28">
        <w:t>eduction Estimation Methodologies</w:t>
      </w:r>
      <w:bookmarkEnd w:id="98"/>
      <w:bookmarkEnd w:id="99"/>
      <w:bookmarkEnd w:id="100"/>
      <w:bookmarkEnd w:id="103"/>
    </w:p>
    <w:p w14:paraId="7A4A94E0" w14:textId="77777777" w:rsidR="003F589E" w:rsidRPr="003F589E" w:rsidRDefault="003F589E" w:rsidP="003F589E">
      <w:pPr>
        <w:rPr>
          <w:rFonts w:cs="Arial"/>
          <w:sz w:val="24"/>
        </w:rPr>
      </w:pPr>
      <w:r w:rsidRPr="003F589E">
        <w:rPr>
          <w:rFonts w:cs="Arial"/>
          <w:sz w:val="24"/>
        </w:rPr>
        <w:t>A griddle’s actual contribution to a building’s peak demand may vary significantly depending on its usage pattern in relation to that of other electric equipment in the facility (operating schedule, appliance on time, etc.). The probability of an appliance drawing its average rate during the period that the building peak is set is significantly higher than for any other input rate for that appliance. Therefore, it has been assumed that the probable contribution to the building’s peak demand is equal to the appliance’s average demand.</w:t>
      </w:r>
    </w:p>
    <w:p w14:paraId="1A3E5A00" w14:textId="77777777" w:rsidR="003F589E" w:rsidRPr="003F589E" w:rsidRDefault="003F589E" w:rsidP="003F589E">
      <w:pPr>
        <w:rPr>
          <w:rFonts w:cs="Arial"/>
          <w:sz w:val="24"/>
        </w:rPr>
      </w:pPr>
    </w:p>
    <w:p w14:paraId="650F78F5" w14:textId="77777777" w:rsidR="003F589E" w:rsidRPr="003F589E" w:rsidRDefault="003F589E" w:rsidP="003F589E">
      <w:pPr>
        <w:rPr>
          <w:rFonts w:cs="Arial"/>
          <w:sz w:val="24"/>
        </w:rPr>
      </w:pPr>
      <w:r w:rsidRPr="003F589E">
        <w:rPr>
          <w:rFonts w:cs="Arial"/>
          <w:sz w:val="24"/>
        </w:rPr>
        <w:t>The demand reduction estimation is based on measured data for standard efficiency electric griddles and for high-efficiency griddles (≥ 70% cooking efficiency). The measured data are derived from tests conducted under ASTM Standard Test Method for the</w:t>
      </w:r>
      <w:r w:rsidRPr="003F589E">
        <w:rPr>
          <w:rFonts w:cs="Arial"/>
          <w:i/>
          <w:iCs/>
          <w:sz w:val="24"/>
        </w:rPr>
        <w:t xml:space="preserve"> </w:t>
      </w:r>
      <w:r w:rsidRPr="003F589E">
        <w:rPr>
          <w:rFonts w:cs="Arial"/>
          <w:sz w:val="24"/>
        </w:rPr>
        <w:t>Performance of Griddles (F1275).</w:t>
      </w:r>
    </w:p>
    <w:p w14:paraId="1DA0295F" w14:textId="77777777" w:rsidR="003F589E" w:rsidRPr="003F589E" w:rsidRDefault="003F589E" w:rsidP="003F589E">
      <w:pPr>
        <w:rPr>
          <w:rFonts w:cs="Arial"/>
          <w:sz w:val="24"/>
        </w:rPr>
      </w:pPr>
    </w:p>
    <w:p w14:paraId="245FD73D" w14:textId="77777777" w:rsidR="003F589E" w:rsidRPr="003F589E" w:rsidRDefault="003F589E" w:rsidP="003F589E">
      <w:pPr>
        <w:rPr>
          <w:rFonts w:cs="Arial"/>
          <w:sz w:val="24"/>
        </w:rPr>
      </w:pPr>
      <w:r w:rsidRPr="003F589E">
        <w:rPr>
          <w:rFonts w:cs="Arial"/>
          <w:sz w:val="24"/>
        </w:rPr>
        <w:t xml:space="preserve">ASTM F1275 provides standard conditions under which griddle energy use is measured. The estimated demand reduction of 900 Watts is based on data from tests of </w:t>
      </w:r>
      <w:r w:rsidRPr="003F589E">
        <w:rPr>
          <w:rFonts w:cs="Arial"/>
          <w:sz w:val="24"/>
        </w:rPr>
        <w:lastRenderedPageBreak/>
        <w:t>standard efficiency and high efficiency griddles. Applying a Coincidence Factor of 0.9 per the DEER methodology</w:t>
      </w:r>
      <w:r w:rsidRPr="001A0E28">
        <w:rPr>
          <w:rFonts w:cs="Arial"/>
          <w:sz w:val="24"/>
          <w:vertAlign w:val="superscript"/>
        </w:rPr>
        <w:endnoteReference w:id="2"/>
      </w:r>
      <w:proofErr w:type="gramStart"/>
      <w:r w:rsidRPr="003F589E">
        <w:rPr>
          <w:rFonts w:cs="Arial"/>
          <w:sz w:val="24"/>
        </w:rPr>
        <w:t>,</w:t>
      </w:r>
      <w:proofErr w:type="gramEnd"/>
      <w:r w:rsidRPr="003F589E">
        <w:rPr>
          <w:rFonts w:cs="Arial"/>
          <w:sz w:val="24"/>
        </w:rPr>
        <w:t xml:space="preserve"> yields a Demand Savings of 810 Watts.</w:t>
      </w:r>
    </w:p>
    <w:p w14:paraId="393A1079" w14:textId="77777777" w:rsidR="00CF3FF0" w:rsidRPr="001A0E28" w:rsidRDefault="00CF3FF0" w:rsidP="00EB46D0">
      <w:pPr>
        <w:rPr>
          <w:rFonts w:cs="Arial"/>
          <w:i/>
          <w:sz w:val="20"/>
          <w:szCs w:val="20"/>
        </w:rPr>
      </w:pPr>
    </w:p>
    <w:p w14:paraId="393A108F" w14:textId="77777777" w:rsidR="007878B9" w:rsidRPr="001A0E28" w:rsidRDefault="00276ED1" w:rsidP="00BF0332">
      <w:pPr>
        <w:pStyle w:val="Heading2"/>
      </w:pPr>
      <w:bookmarkStart w:id="104" w:name="_Toc304800213"/>
      <w:bookmarkStart w:id="105" w:name="_Toc324318367"/>
      <w:bookmarkStart w:id="106" w:name="_Toc324340496"/>
      <w:bookmarkStart w:id="107" w:name="_Toc385935872"/>
      <w:r w:rsidRPr="001A0E28">
        <w:t xml:space="preserve">2.3. </w:t>
      </w:r>
      <w:r w:rsidR="007878B9" w:rsidRPr="001A0E28">
        <w:t>Gas Energy Savings Estimation Methodologies</w:t>
      </w:r>
      <w:bookmarkEnd w:id="104"/>
      <w:bookmarkEnd w:id="105"/>
      <w:bookmarkEnd w:id="106"/>
      <w:bookmarkEnd w:id="107"/>
    </w:p>
    <w:p w14:paraId="56306712" w14:textId="5529CDA8" w:rsidR="003F589E" w:rsidRPr="003F589E" w:rsidRDefault="003F589E" w:rsidP="003F589E">
      <w:pPr>
        <w:rPr>
          <w:rFonts w:ascii="Times New Roman" w:hAnsi="Times New Roman"/>
          <w:sz w:val="24"/>
          <w:highlight w:val="green"/>
        </w:rPr>
      </w:pPr>
      <w:bookmarkStart w:id="108" w:name="_Toc304800214"/>
      <w:bookmarkStart w:id="109" w:name="_Toc324318368"/>
      <w:bookmarkStart w:id="110" w:name="_Toc324340497"/>
      <w:r w:rsidRPr="003F589E">
        <w:rPr>
          <w:rFonts w:cs="Arial"/>
          <w:sz w:val="24"/>
        </w:rPr>
        <w:t>The industry standard for energy use and cooking performance of griddles is ASTM Standard Test Method for the</w:t>
      </w:r>
      <w:r w:rsidRPr="003F589E">
        <w:rPr>
          <w:rFonts w:cs="Arial"/>
          <w:i/>
          <w:iCs/>
          <w:sz w:val="24"/>
        </w:rPr>
        <w:t xml:space="preserve"> </w:t>
      </w:r>
      <w:r w:rsidRPr="003F589E">
        <w:rPr>
          <w:rFonts w:cs="Arial"/>
          <w:sz w:val="24"/>
        </w:rPr>
        <w:t>Performance of Griddles (F1275). The Federal Energy Management Program for their energy efficient griddle purchasing recommendation also uses the ASTM calculation method.</w:t>
      </w:r>
      <w:r w:rsidRPr="003F589E">
        <w:rPr>
          <w:rFonts w:cs="Arial"/>
          <w:sz w:val="24"/>
          <w:vertAlign w:val="superscript"/>
        </w:rPr>
        <w:t>8</w:t>
      </w:r>
      <w:r w:rsidRPr="003F589E">
        <w:rPr>
          <w:rFonts w:cs="Arial"/>
          <w:sz w:val="24"/>
        </w:rPr>
        <w:t xml:space="preserve"> Table </w:t>
      </w:r>
      <w:r w:rsidRPr="001A0E28">
        <w:rPr>
          <w:rFonts w:cs="Arial"/>
          <w:sz w:val="24"/>
        </w:rPr>
        <w:t>12</w:t>
      </w:r>
      <w:r w:rsidRPr="003F589E">
        <w:rPr>
          <w:rFonts w:cs="Arial"/>
          <w:sz w:val="24"/>
        </w:rPr>
        <w:t xml:space="preserve"> shows an example of the calculation results under ASTM F1275.</w:t>
      </w:r>
    </w:p>
    <w:p w14:paraId="19EF10DB" w14:textId="77777777" w:rsidR="003F589E" w:rsidRPr="003F589E" w:rsidRDefault="003F589E" w:rsidP="003F589E">
      <w:pPr>
        <w:rPr>
          <w:rFonts w:ascii="Times New Roman" w:hAnsi="Times New Roman"/>
          <w:sz w:val="24"/>
        </w:rPr>
      </w:pPr>
    </w:p>
    <w:p w14:paraId="036669F1" w14:textId="3FC38F15" w:rsidR="003F589E" w:rsidRPr="003F589E" w:rsidRDefault="003F589E" w:rsidP="003F589E">
      <w:pPr>
        <w:tabs>
          <w:tab w:val="center" w:pos="4320"/>
          <w:tab w:val="right" w:pos="8640"/>
        </w:tabs>
        <w:rPr>
          <w:rFonts w:cs="Arial"/>
          <w:b/>
          <w:bCs/>
        </w:rPr>
      </w:pPr>
      <w:r w:rsidRPr="003F589E">
        <w:rPr>
          <w:rFonts w:cs="Arial"/>
          <w:b/>
          <w:bCs/>
        </w:rPr>
        <w:fldChar w:fldCharType="begin"/>
      </w:r>
      <w:r w:rsidRPr="003F589E">
        <w:rPr>
          <w:rFonts w:cs="Arial"/>
          <w:b/>
          <w:bCs/>
        </w:rPr>
        <w:instrText xml:space="preserve"> TC /f “Table”</w:instrText>
      </w:r>
      <w:r w:rsidRPr="003F589E">
        <w:rPr>
          <w:rFonts w:cs="Arial"/>
          <w:b/>
          <w:bCs/>
        </w:rPr>
        <w:fldChar w:fldCharType="end"/>
      </w:r>
      <w:bookmarkStart w:id="111" w:name="_Toc182113831"/>
      <w:bookmarkStart w:id="112" w:name="_Toc253575451"/>
      <w:r w:rsidRPr="003F589E">
        <w:rPr>
          <w:rFonts w:cs="Arial"/>
          <w:b/>
          <w:bCs/>
        </w:rPr>
        <w:t xml:space="preserve">Table </w:t>
      </w:r>
      <w:r>
        <w:rPr>
          <w:rFonts w:cs="Arial"/>
          <w:b/>
          <w:bCs/>
        </w:rPr>
        <w:t>12</w:t>
      </w:r>
      <w:r w:rsidRPr="003F589E">
        <w:rPr>
          <w:rFonts w:cs="Arial"/>
          <w:b/>
          <w:bCs/>
        </w:rPr>
        <w:t>. Commercial Gas Griddle Cost Effectiveness Example.</w:t>
      </w:r>
      <w:bookmarkEnd w:id="111"/>
      <w:bookmarkEnd w:id="112"/>
    </w:p>
    <w:tbl>
      <w:tblPr>
        <w:tblW w:w="9012" w:type="dxa"/>
        <w:tblLook w:val="0000" w:firstRow="0" w:lastRow="0" w:firstColumn="0" w:lastColumn="0" w:noHBand="0" w:noVBand="0"/>
      </w:tblPr>
      <w:tblGrid>
        <w:gridCol w:w="4391"/>
        <w:gridCol w:w="1684"/>
        <w:gridCol w:w="2937"/>
      </w:tblGrid>
      <w:tr w:rsidR="003F589E" w:rsidRPr="003F589E" w14:paraId="4A0111FF" w14:textId="77777777" w:rsidTr="001A0E28">
        <w:trPr>
          <w:trHeight w:val="432"/>
        </w:trPr>
        <w:tc>
          <w:tcPr>
            <w:tcW w:w="439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AFB07DD" w14:textId="77777777" w:rsidR="003F589E" w:rsidRPr="003F589E" w:rsidRDefault="003F589E" w:rsidP="003F589E">
            <w:pPr>
              <w:rPr>
                <w:rFonts w:cs="Arial"/>
                <w:b/>
                <w:bCs/>
                <w:sz w:val="24"/>
              </w:rPr>
            </w:pPr>
            <w:r w:rsidRPr="003F589E">
              <w:rPr>
                <w:rFonts w:cs="Arial"/>
                <w:b/>
                <w:bCs/>
                <w:sz w:val="24"/>
              </w:rPr>
              <w:t>Performance</w:t>
            </w:r>
          </w:p>
        </w:tc>
        <w:tc>
          <w:tcPr>
            <w:tcW w:w="1684" w:type="dxa"/>
            <w:tcBorders>
              <w:top w:val="single" w:sz="4" w:space="0" w:color="auto"/>
              <w:left w:val="nil"/>
              <w:bottom w:val="single" w:sz="4" w:space="0" w:color="auto"/>
              <w:right w:val="single" w:sz="4" w:space="0" w:color="auto"/>
            </w:tcBorders>
            <w:shd w:val="clear" w:color="auto" w:fill="FFFFFF"/>
            <w:noWrap/>
            <w:vAlign w:val="center"/>
          </w:tcPr>
          <w:p w14:paraId="5B695D6F" w14:textId="77777777" w:rsidR="003F589E" w:rsidRPr="003F589E" w:rsidRDefault="003F589E" w:rsidP="003F589E">
            <w:pPr>
              <w:jc w:val="center"/>
              <w:rPr>
                <w:rFonts w:cs="Arial"/>
                <w:b/>
                <w:bCs/>
                <w:sz w:val="24"/>
              </w:rPr>
            </w:pPr>
            <w:r w:rsidRPr="003F589E">
              <w:rPr>
                <w:rFonts w:cs="Arial"/>
                <w:b/>
                <w:bCs/>
                <w:sz w:val="24"/>
              </w:rPr>
              <w:t>Base Model</w:t>
            </w:r>
          </w:p>
        </w:tc>
        <w:tc>
          <w:tcPr>
            <w:tcW w:w="2937" w:type="dxa"/>
            <w:tcBorders>
              <w:top w:val="single" w:sz="4" w:space="0" w:color="auto"/>
              <w:left w:val="nil"/>
              <w:bottom w:val="single" w:sz="4" w:space="0" w:color="auto"/>
              <w:right w:val="single" w:sz="4" w:space="0" w:color="auto"/>
            </w:tcBorders>
            <w:shd w:val="clear" w:color="auto" w:fill="FFFFFF"/>
            <w:noWrap/>
            <w:vAlign w:val="center"/>
          </w:tcPr>
          <w:p w14:paraId="74325558" w14:textId="77777777" w:rsidR="003F589E" w:rsidRPr="003F589E" w:rsidRDefault="003F589E" w:rsidP="003F589E">
            <w:pPr>
              <w:jc w:val="center"/>
              <w:rPr>
                <w:rFonts w:cs="Arial"/>
                <w:b/>
                <w:bCs/>
                <w:sz w:val="24"/>
              </w:rPr>
            </w:pPr>
            <w:r w:rsidRPr="003F589E">
              <w:rPr>
                <w:rFonts w:cs="Arial"/>
                <w:b/>
                <w:bCs/>
                <w:sz w:val="24"/>
              </w:rPr>
              <w:t>Energy Efficient Model</w:t>
            </w:r>
          </w:p>
        </w:tc>
      </w:tr>
      <w:tr w:rsidR="003F589E" w:rsidRPr="003F589E" w14:paraId="241DE916"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261C3563" w14:textId="77777777" w:rsidR="003F589E" w:rsidRPr="003F589E" w:rsidRDefault="003F589E" w:rsidP="003F589E">
            <w:pPr>
              <w:rPr>
                <w:rFonts w:cs="Arial"/>
                <w:sz w:val="20"/>
                <w:szCs w:val="20"/>
              </w:rPr>
            </w:pPr>
            <w:r w:rsidRPr="003F589E">
              <w:rPr>
                <w:rFonts w:cs="Arial"/>
                <w:sz w:val="20"/>
                <w:szCs w:val="20"/>
              </w:rPr>
              <w:t>Preheat Time (min)</w:t>
            </w:r>
          </w:p>
        </w:tc>
        <w:tc>
          <w:tcPr>
            <w:tcW w:w="1684" w:type="dxa"/>
            <w:tcBorders>
              <w:top w:val="nil"/>
              <w:left w:val="nil"/>
              <w:bottom w:val="single" w:sz="4" w:space="0" w:color="auto"/>
              <w:right w:val="single" w:sz="4" w:space="0" w:color="auto"/>
            </w:tcBorders>
            <w:shd w:val="clear" w:color="auto" w:fill="FFFFFF"/>
            <w:noWrap/>
            <w:vAlign w:val="center"/>
          </w:tcPr>
          <w:p w14:paraId="2338D0F6" w14:textId="77777777" w:rsidR="003F589E" w:rsidRPr="003F589E" w:rsidRDefault="003F589E" w:rsidP="003F589E">
            <w:pPr>
              <w:jc w:val="center"/>
              <w:rPr>
                <w:rFonts w:cs="Arial"/>
                <w:sz w:val="20"/>
                <w:szCs w:val="20"/>
              </w:rPr>
            </w:pPr>
            <w:r w:rsidRPr="003F589E">
              <w:rPr>
                <w:rFonts w:cs="Arial"/>
                <w:sz w:val="20"/>
                <w:szCs w:val="20"/>
              </w:rPr>
              <w:t>15</w:t>
            </w:r>
          </w:p>
        </w:tc>
        <w:tc>
          <w:tcPr>
            <w:tcW w:w="2937" w:type="dxa"/>
            <w:tcBorders>
              <w:top w:val="nil"/>
              <w:left w:val="nil"/>
              <w:bottom w:val="single" w:sz="4" w:space="0" w:color="auto"/>
              <w:right w:val="single" w:sz="4" w:space="0" w:color="auto"/>
            </w:tcBorders>
            <w:shd w:val="clear" w:color="auto" w:fill="FFFFFF"/>
            <w:noWrap/>
            <w:vAlign w:val="center"/>
          </w:tcPr>
          <w:p w14:paraId="55B53778" w14:textId="77777777" w:rsidR="003F589E" w:rsidRPr="003F589E" w:rsidRDefault="003F589E" w:rsidP="003F589E">
            <w:pPr>
              <w:jc w:val="center"/>
              <w:rPr>
                <w:rFonts w:cs="Arial"/>
                <w:sz w:val="20"/>
                <w:szCs w:val="20"/>
              </w:rPr>
            </w:pPr>
            <w:r w:rsidRPr="003F589E">
              <w:rPr>
                <w:rFonts w:cs="Arial"/>
                <w:sz w:val="20"/>
                <w:szCs w:val="20"/>
              </w:rPr>
              <w:t>15</w:t>
            </w:r>
          </w:p>
        </w:tc>
      </w:tr>
      <w:tr w:rsidR="003F589E" w:rsidRPr="003F589E" w14:paraId="4D9CEAB8"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2A83B973" w14:textId="77777777" w:rsidR="003F589E" w:rsidRPr="003F589E" w:rsidRDefault="003F589E" w:rsidP="003F589E">
            <w:pPr>
              <w:rPr>
                <w:rFonts w:cs="Arial"/>
                <w:sz w:val="20"/>
                <w:szCs w:val="20"/>
              </w:rPr>
            </w:pPr>
            <w:r w:rsidRPr="003F589E">
              <w:rPr>
                <w:rFonts w:cs="Arial"/>
                <w:sz w:val="20"/>
                <w:szCs w:val="20"/>
              </w:rPr>
              <w:t>Preheat Energy (Btu)</w:t>
            </w:r>
          </w:p>
        </w:tc>
        <w:tc>
          <w:tcPr>
            <w:tcW w:w="1684" w:type="dxa"/>
            <w:tcBorders>
              <w:top w:val="nil"/>
              <w:left w:val="nil"/>
              <w:bottom w:val="single" w:sz="4" w:space="0" w:color="auto"/>
              <w:right w:val="single" w:sz="4" w:space="0" w:color="auto"/>
            </w:tcBorders>
            <w:shd w:val="clear" w:color="auto" w:fill="FFFFFF"/>
            <w:noWrap/>
            <w:vAlign w:val="center"/>
          </w:tcPr>
          <w:p w14:paraId="1A6E3D0F" w14:textId="77777777" w:rsidR="003F589E" w:rsidRPr="003F589E" w:rsidRDefault="003F589E" w:rsidP="003F589E">
            <w:pPr>
              <w:jc w:val="center"/>
              <w:rPr>
                <w:rFonts w:cs="Arial"/>
                <w:sz w:val="20"/>
                <w:szCs w:val="20"/>
              </w:rPr>
            </w:pPr>
            <w:r w:rsidRPr="003F589E">
              <w:rPr>
                <w:rFonts w:cs="Arial"/>
                <w:sz w:val="20"/>
                <w:szCs w:val="20"/>
              </w:rPr>
              <w:t>21,000</w:t>
            </w:r>
          </w:p>
        </w:tc>
        <w:tc>
          <w:tcPr>
            <w:tcW w:w="2937" w:type="dxa"/>
            <w:tcBorders>
              <w:top w:val="nil"/>
              <w:left w:val="nil"/>
              <w:bottom w:val="single" w:sz="4" w:space="0" w:color="auto"/>
              <w:right w:val="single" w:sz="4" w:space="0" w:color="auto"/>
            </w:tcBorders>
            <w:shd w:val="clear" w:color="auto" w:fill="FFFFFF"/>
            <w:noWrap/>
            <w:vAlign w:val="center"/>
          </w:tcPr>
          <w:p w14:paraId="1229187B" w14:textId="77777777" w:rsidR="003F589E" w:rsidRPr="003F589E" w:rsidRDefault="003F589E" w:rsidP="003F589E">
            <w:pPr>
              <w:jc w:val="center"/>
              <w:rPr>
                <w:rFonts w:cs="Arial"/>
                <w:sz w:val="20"/>
                <w:szCs w:val="20"/>
              </w:rPr>
            </w:pPr>
            <w:r w:rsidRPr="003F589E">
              <w:rPr>
                <w:rFonts w:cs="Arial"/>
                <w:sz w:val="20"/>
                <w:szCs w:val="20"/>
              </w:rPr>
              <w:t>15,000</w:t>
            </w:r>
          </w:p>
        </w:tc>
      </w:tr>
      <w:tr w:rsidR="003F589E" w:rsidRPr="003F589E" w14:paraId="03A2D5B9"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17E56BFD" w14:textId="77777777" w:rsidR="003F589E" w:rsidRPr="003F589E" w:rsidRDefault="003F589E" w:rsidP="003F589E">
            <w:pPr>
              <w:rPr>
                <w:rFonts w:cs="Arial"/>
                <w:sz w:val="20"/>
                <w:szCs w:val="20"/>
              </w:rPr>
            </w:pPr>
            <w:r w:rsidRPr="003F589E">
              <w:rPr>
                <w:rFonts w:cs="Arial"/>
                <w:sz w:val="20"/>
                <w:szCs w:val="20"/>
              </w:rPr>
              <w:t>Normalized Idle Energy Rate (Btu/h per ft²)</w:t>
            </w:r>
          </w:p>
        </w:tc>
        <w:tc>
          <w:tcPr>
            <w:tcW w:w="1684" w:type="dxa"/>
            <w:tcBorders>
              <w:top w:val="nil"/>
              <w:left w:val="nil"/>
              <w:bottom w:val="single" w:sz="4" w:space="0" w:color="auto"/>
              <w:right w:val="single" w:sz="4" w:space="0" w:color="auto"/>
            </w:tcBorders>
            <w:shd w:val="clear" w:color="auto" w:fill="FFFFFF"/>
            <w:noWrap/>
            <w:vAlign w:val="center"/>
          </w:tcPr>
          <w:p w14:paraId="576C85E7" w14:textId="77777777" w:rsidR="003F589E" w:rsidRPr="003F589E" w:rsidRDefault="003F589E" w:rsidP="003F589E">
            <w:pPr>
              <w:jc w:val="center"/>
              <w:rPr>
                <w:rFonts w:cs="Arial"/>
                <w:sz w:val="20"/>
                <w:szCs w:val="20"/>
              </w:rPr>
            </w:pPr>
            <w:r w:rsidRPr="003F589E">
              <w:rPr>
                <w:rFonts w:cs="Arial"/>
                <w:sz w:val="20"/>
                <w:szCs w:val="20"/>
              </w:rPr>
              <w:t>3,500</w:t>
            </w:r>
          </w:p>
        </w:tc>
        <w:tc>
          <w:tcPr>
            <w:tcW w:w="2937" w:type="dxa"/>
            <w:tcBorders>
              <w:top w:val="nil"/>
              <w:left w:val="nil"/>
              <w:bottom w:val="single" w:sz="4" w:space="0" w:color="auto"/>
              <w:right w:val="single" w:sz="4" w:space="0" w:color="auto"/>
            </w:tcBorders>
            <w:shd w:val="clear" w:color="auto" w:fill="FFFFFF"/>
            <w:noWrap/>
            <w:vAlign w:val="center"/>
          </w:tcPr>
          <w:p w14:paraId="7959C336" w14:textId="77777777" w:rsidR="003F589E" w:rsidRPr="003F589E" w:rsidRDefault="003F589E" w:rsidP="003F589E">
            <w:pPr>
              <w:jc w:val="center"/>
              <w:rPr>
                <w:rFonts w:cs="Arial"/>
                <w:sz w:val="20"/>
                <w:szCs w:val="20"/>
              </w:rPr>
            </w:pPr>
            <w:r w:rsidRPr="003F589E">
              <w:rPr>
                <w:rFonts w:cs="Arial"/>
                <w:sz w:val="20"/>
                <w:szCs w:val="20"/>
              </w:rPr>
              <w:t>2,650</w:t>
            </w:r>
          </w:p>
        </w:tc>
      </w:tr>
      <w:tr w:rsidR="003F589E" w:rsidRPr="003F589E" w14:paraId="6D35F19A"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18EDCB4A" w14:textId="77777777" w:rsidR="003F589E" w:rsidRPr="003F589E" w:rsidRDefault="003F589E" w:rsidP="003F589E">
            <w:pPr>
              <w:rPr>
                <w:rFonts w:cs="Arial"/>
                <w:sz w:val="20"/>
                <w:szCs w:val="20"/>
              </w:rPr>
            </w:pPr>
            <w:r w:rsidRPr="003F589E">
              <w:rPr>
                <w:rFonts w:cs="Arial"/>
                <w:sz w:val="20"/>
                <w:szCs w:val="20"/>
              </w:rPr>
              <w:t>Idle Energy Rate (Btu/</w:t>
            </w:r>
            <w:proofErr w:type="spellStart"/>
            <w:r w:rsidRPr="003F589E">
              <w:rPr>
                <w:rFonts w:cs="Arial"/>
                <w:sz w:val="20"/>
                <w:szCs w:val="20"/>
              </w:rPr>
              <w:t>hr</w:t>
            </w:r>
            <w:proofErr w:type="spellEnd"/>
            <w:r w:rsidRPr="003F589E">
              <w:rPr>
                <w:rFonts w:cs="Arial"/>
                <w:sz w:val="20"/>
                <w:szCs w:val="20"/>
              </w:rPr>
              <w:t>)</w:t>
            </w:r>
          </w:p>
        </w:tc>
        <w:tc>
          <w:tcPr>
            <w:tcW w:w="1684" w:type="dxa"/>
            <w:tcBorders>
              <w:top w:val="nil"/>
              <w:left w:val="nil"/>
              <w:bottom w:val="single" w:sz="4" w:space="0" w:color="auto"/>
              <w:right w:val="single" w:sz="4" w:space="0" w:color="auto"/>
            </w:tcBorders>
            <w:shd w:val="clear" w:color="auto" w:fill="FFFFFF"/>
            <w:noWrap/>
            <w:vAlign w:val="center"/>
          </w:tcPr>
          <w:p w14:paraId="759C8862" w14:textId="77777777" w:rsidR="003F589E" w:rsidRPr="003F589E" w:rsidRDefault="003F589E" w:rsidP="003F589E">
            <w:pPr>
              <w:jc w:val="center"/>
              <w:rPr>
                <w:rFonts w:cs="Arial"/>
                <w:sz w:val="20"/>
                <w:szCs w:val="20"/>
              </w:rPr>
            </w:pPr>
            <w:r w:rsidRPr="003F589E">
              <w:rPr>
                <w:rFonts w:cs="Arial"/>
                <w:sz w:val="20"/>
                <w:szCs w:val="20"/>
              </w:rPr>
              <w:t>21,000</w:t>
            </w:r>
          </w:p>
        </w:tc>
        <w:tc>
          <w:tcPr>
            <w:tcW w:w="2937" w:type="dxa"/>
            <w:tcBorders>
              <w:top w:val="nil"/>
              <w:left w:val="nil"/>
              <w:bottom w:val="single" w:sz="4" w:space="0" w:color="auto"/>
              <w:right w:val="single" w:sz="4" w:space="0" w:color="auto"/>
            </w:tcBorders>
            <w:shd w:val="clear" w:color="auto" w:fill="FFFFFF"/>
            <w:noWrap/>
            <w:vAlign w:val="center"/>
          </w:tcPr>
          <w:p w14:paraId="112901C7" w14:textId="77777777" w:rsidR="003F589E" w:rsidRPr="003F589E" w:rsidRDefault="003F589E" w:rsidP="003F589E">
            <w:pPr>
              <w:jc w:val="center"/>
              <w:rPr>
                <w:rFonts w:cs="Arial"/>
                <w:sz w:val="20"/>
                <w:szCs w:val="20"/>
              </w:rPr>
            </w:pPr>
            <w:r w:rsidRPr="003F589E">
              <w:rPr>
                <w:rFonts w:cs="Arial"/>
                <w:sz w:val="20"/>
                <w:szCs w:val="20"/>
              </w:rPr>
              <w:t>12,408</w:t>
            </w:r>
          </w:p>
        </w:tc>
      </w:tr>
      <w:tr w:rsidR="003F589E" w:rsidRPr="003F589E" w14:paraId="4B164797"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498297A2" w14:textId="77777777" w:rsidR="003F589E" w:rsidRPr="003F589E" w:rsidRDefault="003F589E" w:rsidP="003F589E">
            <w:pPr>
              <w:rPr>
                <w:rFonts w:cs="Arial"/>
                <w:sz w:val="20"/>
                <w:szCs w:val="20"/>
              </w:rPr>
            </w:pPr>
            <w:r w:rsidRPr="003F589E">
              <w:rPr>
                <w:rFonts w:cs="Arial"/>
                <w:sz w:val="20"/>
                <w:szCs w:val="20"/>
              </w:rPr>
              <w:t>Cooking-Energy Efficiency (%)</w:t>
            </w:r>
          </w:p>
        </w:tc>
        <w:tc>
          <w:tcPr>
            <w:tcW w:w="1684" w:type="dxa"/>
            <w:tcBorders>
              <w:top w:val="nil"/>
              <w:left w:val="nil"/>
              <w:bottom w:val="single" w:sz="4" w:space="0" w:color="auto"/>
              <w:right w:val="single" w:sz="4" w:space="0" w:color="auto"/>
            </w:tcBorders>
            <w:shd w:val="clear" w:color="auto" w:fill="FFFFFF"/>
            <w:noWrap/>
            <w:vAlign w:val="center"/>
          </w:tcPr>
          <w:p w14:paraId="31FFF0E7" w14:textId="77777777" w:rsidR="003F589E" w:rsidRPr="003F589E" w:rsidRDefault="003F589E" w:rsidP="003F589E">
            <w:pPr>
              <w:jc w:val="center"/>
              <w:rPr>
                <w:rFonts w:cs="Arial"/>
                <w:sz w:val="20"/>
                <w:szCs w:val="20"/>
              </w:rPr>
            </w:pPr>
            <w:r w:rsidRPr="003F589E">
              <w:rPr>
                <w:rFonts w:cs="Arial"/>
                <w:sz w:val="20"/>
                <w:szCs w:val="20"/>
              </w:rPr>
              <w:t>32%</w:t>
            </w:r>
          </w:p>
        </w:tc>
        <w:tc>
          <w:tcPr>
            <w:tcW w:w="2937" w:type="dxa"/>
            <w:tcBorders>
              <w:top w:val="nil"/>
              <w:left w:val="nil"/>
              <w:bottom w:val="single" w:sz="4" w:space="0" w:color="auto"/>
              <w:right w:val="single" w:sz="4" w:space="0" w:color="auto"/>
            </w:tcBorders>
            <w:shd w:val="clear" w:color="auto" w:fill="FFFFFF"/>
            <w:noWrap/>
            <w:vAlign w:val="center"/>
          </w:tcPr>
          <w:p w14:paraId="42C99998" w14:textId="77777777" w:rsidR="003F589E" w:rsidRPr="003F589E" w:rsidRDefault="003F589E" w:rsidP="003F589E">
            <w:pPr>
              <w:jc w:val="center"/>
              <w:rPr>
                <w:rFonts w:cs="Arial"/>
                <w:sz w:val="20"/>
                <w:szCs w:val="20"/>
              </w:rPr>
            </w:pPr>
            <w:r w:rsidRPr="003F589E">
              <w:rPr>
                <w:rFonts w:cs="Arial"/>
                <w:sz w:val="20"/>
                <w:szCs w:val="20"/>
              </w:rPr>
              <w:t>46%</w:t>
            </w:r>
          </w:p>
        </w:tc>
      </w:tr>
      <w:tr w:rsidR="003F589E" w:rsidRPr="003F589E" w14:paraId="1D9B564B"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30C550DC" w14:textId="77777777" w:rsidR="003F589E" w:rsidRPr="003F589E" w:rsidRDefault="003F589E" w:rsidP="003F589E">
            <w:pPr>
              <w:rPr>
                <w:rFonts w:cs="Arial"/>
                <w:sz w:val="20"/>
                <w:szCs w:val="20"/>
              </w:rPr>
            </w:pPr>
            <w:r w:rsidRPr="003F589E">
              <w:rPr>
                <w:rFonts w:cs="Arial"/>
                <w:sz w:val="20"/>
                <w:szCs w:val="20"/>
              </w:rPr>
              <w:t>Production Capacity (</w:t>
            </w:r>
            <w:proofErr w:type="spellStart"/>
            <w:r w:rsidRPr="003F589E">
              <w:rPr>
                <w:rFonts w:cs="Arial"/>
                <w:sz w:val="20"/>
                <w:szCs w:val="20"/>
              </w:rPr>
              <w:t>lb</w:t>
            </w:r>
            <w:proofErr w:type="spellEnd"/>
            <w:r w:rsidRPr="003F589E">
              <w:rPr>
                <w:rFonts w:cs="Arial"/>
                <w:sz w:val="20"/>
                <w:szCs w:val="20"/>
              </w:rPr>
              <w:t>/</w:t>
            </w:r>
            <w:proofErr w:type="spellStart"/>
            <w:r w:rsidRPr="003F589E">
              <w:rPr>
                <w:rFonts w:cs="Arial"/>
                <w:sz w:val="20"/>
                <w:szCs w:val="20"/>
              </w:rPr>
              <w:t>hr</w:t>
            </w:r>
            <w:proofErr w:type="spellEnd"/>
            <w:r w:rsidRPr="003F589E">
              <w:rPr>
                <w:rFonts w:cs="Arial"/>
                <w:sz w:val="20"/>
                <w:szCs w:val="20"/>
              </w:rPr>
              <w:t>)</w:t>
            </w:r>
          </w:p>
        </w:tc>
        <w:tc>
          <w:tcPr>
            <w:tcW w:w="1684" w:type="dxa"/>
            <w:tcBorders>
              <w:top w:val="nil"/>
              <w:left w:val="nil"/>
              <w:bottom w:val="single" w:sz="4" w:space="0" w:color="auto"/>
              <w:right w:val="single" w:sz="4" w:space="0" w:color="auto"/>
            </w:tcBorders>
            <w:shd w:val="clear" w:color="auto" w:fill="FFFFFF"/>
            <w:noWrap/>
            <w:vAlign w:val="center"/>
          </w:tcPr>
          <w:p w14:paraId="1CBBDC12" w14:textId="77777777" w:rsidR="003F589E" w:rsidRPr="003F589E" w:rsidRDefault="003F589E" w:rsidP="003F589E">
            <w:pPr>
              <w:jc w:val="center"/>
              <w:rPr>
                <w:rFonts w:cs="Arial"/>
                <w:sz w:val="20"/>
                <w:szCs w:val="20"/>
              </w:rPr>
            </w:pPr>
            <w:r w:rsidRPr="003F589E">
              <w:rPr>
                <w:rFonts w:cs="Arial"/>
                <w:sz w:val="20"/>
                <w:szCs w:val="20"/>
              </w:rPr>
              <w:t>25</w:t>
            </w:r>
          </w:p>
        </w:tc>
        <w:tc>
          <w:tcPr>
            <w:tcW w:w="2937" w:type="dxa"/>
            <w:tcBorders>
              <w:top w:val="nil"/>
              <w:left w:val="nil"/>
              <w:bottom w:val="single" w:sz="4" w:space="0" w:color="auto"/>
              <w:right w:val="single" w:sz="4" w:space="0" w:color="auto"/>
            </w:tcBorders>
            <w:shd w:val="clear" w:color="auto" w:fill="FFFFFF"/>
            <w:noWrap/>
            <w:vAlign w:val="center"/>
          </w:tcPr>
          <w:p w14:paraId="6DF65157" w14:textId="77777777" w:rsidR="003F589E" w:rsidRPr="003F589E" w:rsidRDefault="003F589E" w:rsidP="003F589E">
            <w:pPr>
              <w:jc w:val="center"/>
              <w:rPr>
                <w:rFonts w:cs="Arial"/>
                <w:sz w:val="20"/>
                <w:szCs w:val="20"/>
              </w:rPr>
            </w:pPr>
            <w:r w:rsidRPr="003F589E">
              <w:rPr>
                <w:rFonts w:cs="Arial"/>
                <w:sz w:val="20"/>
                <w:szCs w:val="20"/>
              </w:rPr>
              <w:t>49</w:t>
            </w:r>
          </w:p>
        </w:tc>
      </w:tr>
      <w:tr w:rsidR="003F589E" w:rsidRPr="003F589E" w14:paraId="490CC8C1"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6B4A2D12" w14:textId="77777777" w:rsidR="003F589E" w:rsidRPr="003F589E" w:rsidRDefault="003F589E" w:rsidP="003F589E">
            <w:pPr>
              <w:rPr>
                <w:rFonts w:cs="Arial"/>
                <w:sz w:val="20"/>
                <w:szCs w:val="20"/>
              </w:rPr>
            </w:pPr>
            <w:r w:rsidRPr="003F589E">
              <w:rPr>
                <w:rFonts w:cs="Arial"/>
                <w:sz w:val="20"/>
                <w:szCs w:val="20"/>
              </w:rPr>
              <w:t>Operating Hours/Day</w:t>
            </w:r>
          </w:p>
        </w:tc>
        <w:tc>
          <w:tcPr>
            <w:tcW w:w="1684" w:type="dxa"/>
            <w:tcBorders>
              <w:top w:val="nil"/>
              <w:left w:val="nil"/>
              <w:bottom w:val="single" w:sz="4" w:space="0" w:color="auto"/>
              <w:right w:val="single" w:sz="4" w:space="0" w:color="auto"/>
            </w:tcBorders>
            <w:shd w:val="clear" w:color="auto" w:fill="FFFFFF"/>
            <w:noWrap/>
            <w:vAlign w:val="center"/>
          </w:tcPr>
          <w:p w14:paraId="17B003BA" w14:textId="77777777" w:rsidR="003F589E" w:rsidRPr="003F589E" w:rsidRDefault="003F589E" w:rsidP="003F589E">
            <w:pPr>
              <w:jc w:val="center"/>
              <w:rPr>
                <w:rFonts w:cs="Arial"/>
                <w:sz w:val="20"/>
                <w:szCs w:val="20"/>
              </w:rPr>
            </w:pPr>
            <w:r w:rsidRPr="003F589E">
              <w:rPr>
                <w:rFonts w:cs="Arial"/>
                <w:sz w:val="20"/>
                <w:szCs w:val="20"/>
              </w:rPr>
              <w:t>12</w:t>
            </w:r>
          </w:p>
        </w:tc>
        <w:tc>
          <w:tcPr>
            <w:tcW w:w="2937" w:type="dxa"/>
            <w:tcBorders>
              <w:top w:val="nil"/>
              <w:left w:val="nil"/>
              <w:bottom w:val="single" w:sz="4" w:space="0" w:color="auto"/>
              <w:right w:val="single" w:sz="4" w:space="0" w:color="auto"/>
            </w:tcBorders>
            <w:shd w:val="clear" w:color="auto" w:fill="FFFFFF"/>
            <w:noWrap/>
            <w:vAlign w:val="center"/>
          </w:tcPr>
          <w:p w14:paraId="568BB788" w14:textId="77777777" w:rsidR="003F589E" w:rsidRPr="003F589E" w:rsidRDefault="003F589E" w:rsidP="003F589E">
            <w:pPr>
              <w:jc w:val="center"/>
              <w:rPr>
                <w:rFonts w:cs="Arial"/>
                <w:sz w:val="20"/>
                <w:szCs w:val="20"/>
              </w:rPr>
            </w:pPr>
            <w:r w:rsidRPr="003F589E">
              <w:rPr>
                <w:rFonts w:cs="Arial"/>
                <w:sz w:val="20"/>
                <w:szCs w:val="20"/>
              </w:rPr>
              <w:t>12</w:t>
            </w:r>
          </w:p>
        </w:tc>
      </w:tr>
      <w:tr w:rsidR="003F589E" w:rsidRPr="003F589E" w14:paraId="15983D47"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0A7E609E" w14:textId="77777777" w:rsidR="003F589E" w:rsidRPr="003F589E" w:rsidRDefault="003F589E" w:rsidP="003F589E">
            <w:pPr>
              <w:rPr>
                <w:rFonts w:cs="Arial"/>
                <w:sz w:val="20"/>
                <w:szCs w:val="20"/>
              </w:rPr>
            </w:pPr>
            <w:r w:rsidRPr="003F589E">
              <w:rPr>
                <w:rFonts w:cs="Arial"/>
                <w:sz w:val="20"/>
                <w:szCs w:val="20"/>
              </w:rPr>
              <w:t>Operating Days/Year</w:t>
            </w:r>
          </w:p>
        </w:tc>
        <w:tc>
          <w:tcPr>
            <w:tcW w:w="1684" w:type="dxa"/>
            <w:tcBorders>
              <w:top w:val="nil"/>
              <w:left w:val="nil"/>
              <w:bottom w:val="single" w:sz="4" w:space="0" w:color="auto"/>
              <w:right w:val="single" w:sz="4" w:space="0" w:color="auto"/>
            </w:tcBorders>
            <w:shd w:val="clear" w:color="auto" w:fill="FFFFFF"/>
            <w:noWrap/>
            <w:vAlign w:val="center"/>
          </w:tcPr>
          <w:p w14:paraId="2D4D5255" w14:textId="77777777" w:rsidR="003F589E" w:rsidRPr="003F589E" w:rsidRDefault="003F589E" w:rsidP="003F589E">
            <w:pPr>
              <w:jc w:val="center"/>
              <w:rPr>
                <w:rFonts w:cs="Arial"/>
                <w:sz w:val="20"/>
                <w:szCs w:val="20"/>
              </w:rPr>
            </w:pPr>
            <w:r w:rsidRPr="003F589E">
              <w:rPr>
                <w:rFonts w:cs="Arial"/>
                <w:sz w:val="20"/>
                <w:szCs w:val="20"/>
              </w:rPr>
              <w:t>365</w:t>
            </w:r>
          </w:p>
        </w:tc>
        <w:tc>
          <w:tcPr>
            <w:tcW w:w="2937" w:type="dxa"/>
            <w:tcBorders>
              <w:top w:val="nil"/>
              <w:left w:val="nil"/>
              <w:bottom w:val="single" w:sz="4" w:space="0" w:color="auto"/>
              <w:right w:val="single" w:sz="4" w:space="0" w:color="auto"/>
            </w:tcBorders>
            <w:shd w:val="clear" w:color="auto" w:fill="FFFFFF"/>
            <w:noWrap/>
            <w:vAlign w:val="center"/>
          </w:tcPr>
          <w:p w14:paraId="0A5C64EB" w14:textId="77777777" w:rsidR="003F589E" w:rsidRPr="003F589E" w:rsidRDefault="003F589E" w:rsidP="003F589E">
            <w:pPr>
              <w:jc w:val="center"/>
              <w:rPr>
                <w:rFonts w:cs="Arial"/>
                <w:sz w:val="20"/>
                <w:szCs w:val="20"/>
              </w:rPr>
            </w:pPr>
            <w:r w:rsidRPr="003F589E">
              <w:rPr>
                <w:rFonts w:cs="Arial"/>
                <w:sz w:val="20"/>
                <w:szCs w:val="20"/>
              </w:rPr>
              <w:t>365</w:t>
            </w:r>
          </w:p>
        </w:tc>
      </w:tr>
      <w:tr w:rsidR="003F589E" w:rsidRPr="003F589E" w14:paraId="1757421D"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0C737F39" w14:textId="77777777" w:rsidR="003F589E" w:rsidRPr="003F589E" w:rsidRDefault="003F589E" w:rsidP="003F589E">
            <w:pPr>
              <w:rPr>
                <w:rFonts w:cs="Arial"/>
                <w:sz w:val="20"/>
                <w:szCs w:val="20"/>
              </w:rPr>
            </w:pPr>
            <w:r w:rsidRPr="003F589E">
              <w:rPr>
                <w:rFonts w:cs="Arial"/>
                <w:sz w:val="20"/>
                <w:szCs w:val="20"/>
              </w:rPr>
              <w:t>Pounds of Food Cooked per Day</w:t>
            </w:r>
          </w:p>
        </w:tc>
        <w:tc>
          <w:tcPr>
            <w:tcW w:w="1684" w:type="dxa"/>
            <w:tcBorders>
              <w:top w:val="nil"/>
              <w:left w:val="nil"/>
              <w:bottom w:val="single" w:sz="4" w:space="0" w:color="auto"/>
              <w:right w:val="single" w:sz="4" w:space="0" w:color="auto"/>
            </w:tcBorders>
            <w:shd w:val="clear" w:color="auto" w:fill="FFFFFF"/>
            <w:noWrap/>
            <w:vAlign w:val="center"/>
          </w:tcPr>
          <w:p w14:paraId="45E46A8C" w14:textId="77777777" w:rsidR="003F589E" w:rsidRPr="003F589E" w:rsidRDefault="003F589E" w:rsidP="003F589E">
            <w:pPr>
              <w:jc w:val="center"/>
              <w:rPr>
                <w:rFonts w:cs="Arial"/>
                <w:sz w:val="20"/>
                <w:szCs w:val="20"/>
              </w:rPr>
            </w:pPr>
            <w:r w:rsidRPr="003F589E">
              <w:rPr>
                <w:rFonts w:cs="Arial"/>
                <w:sz w:val="20"/>
                <w:szCs w:val="20"/>
              </w:rPr>
              <w:t>100</w:t>
            </w:r>
          </w:p>
        </w:tc>
        <w:tc>
          <w:tcPr>
            <w:tcW w:w="2937" w:type="dxa"/>
            <w:tcBorders>
              <w:top w:val="nil"/>
              <w:left w:val="nil"/>
              <w:bottom w:val="single" w:sz="4" w:space="0" w:color="auto"/>
              <w:right w:val="single" w:sz="4" w:space="0" w:color="auto"/>
            </w:tcBorders>
            <w:shd w:val="clear" w:color="auto" w:fill="FFFFFF"/>
            <w:noWrap/>
            <w:vAlign w:val="center"/>
          </w:tcPr>
          <w:p w14:paraId="66D86994" w14:textId="77777777" w:rsidR="003F589E" w:rsidRPr="003F589E" w:rsidRDefault="003F589E" w:rsidP="003F589E">
            <w:pPr>
              <w:jc w:val="center"/>
              <w:rPr>
                <w:rFonts w:cs="Arial"/>
                <w:sz w:val="20"/>
                <w:szCs w:val="20"/>
              </w:rPr>
            </w:pPr>
            <w:r w:rsidRPr="003F589E">
              <w:rPr>
                <w:rFonts w:cs="Arial"/>
                <w:sz w:val="20"/>
                <w:szCs w:val="20"/>
              </w:rPr>
              <w:t>100</w:t>
            </w:r>
          </w:p>
        </w:tc>
      </w:tr>
      <w:tr w:rsidR="003F589E" w:rsidRPr="003F589E" w14:paraId="18A38938"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099002DE" w14:textId="77777777" w:rsidR="003F589E" w:rsidRPr="003F589E" w:rsidRDefault="003F589E" w:rsidP="003F589E">
            <w:pPr>
              <w:rPr>
                <w:rFonts w:cs="Arial"/>
                <w:sz w:val="20"/>
                <w:szCs w:val="20"/>
              </w:rPr>
            </w:pPr>
            <w:r w:rsidRPr="003F589E">
              <w:rPr>
                <w:rFonts w:cs="Arial"/>
                <w:sz w:val="20"/>
                <w:szCs w:val="20"/>
              </w:rPr>
              <w:t>Gas Cost ($/therm)</w:t>
            </w:r>
          </w:p>
        </w:tc>
        <w:tc>
          <w:tcPr>
            <w:tcW w:w="1684" w:type="dxa"/>
            <w:tcBorders>
              <w:top w:val="nil"/>
              <w:left w:val="nil"/>
              <w:bottom w:val="single" w:sz="4" w:space="0" w:color="auto"/>
              <w:right w:val="single" w:sz="4" w:space="0" w:color="auto"/>
            </w:tcBorders>
            <w:shd w:val="clear" w:color="auto" w:fill="FFFFFF"/>
            <w:noWrap/>
            <w:vAlign w:val="center"/>
          </w:tcPr>
          <w:p w14:paraId="74CAB831" w14:textId="77777777" w:rsidR="003F589E" w:rsidRPr="003F589E" w:rsidRDefault="003F589E" w:rsidP="003F589E">
            <w:pPr>
              <w:jc w:val="center"/>
              <w:rPr>
                <w:rFonts w:cs="Arial"/>
                <w:sz w:val="20"/>
                <w:szCs w:val="20"/>
              </w:rPr>
            </w:pPr>
            <w:r w:rsidRPr="003F589E">
              <w:rPr>
                <w:rFonts w:cs="Arial"/>
                <w:sz w:val="20"/>
                <w:szCs w:val="20"/>
              </w:rPr>
              <w:t>$1.00</w:t>
            </w:r>
          </w:p>
        </w:tc>
        <w:tc>
          <w:tcPr>
            <w:tcW w:w="2937" w:type="dxa"/>
            <w:tcBorders>
              <w:top w:val="nil"/>
              <w:left w:val="nil"/>
              <w:bottom w:val="single" w:sz="4" w:space="0" w:color="auto"/>
              <w:right w:val="single" w:sz="4" w:space="0" w:color="auto"/>
            </w:tcBorders>
            <w:shd w:val="clear" w:color="auto" w:fill="FFFFFF"/>
            <w:noWrap/>
            <w:vAlign w:val="center"/>
          </w:tcPr>
          <w:p w14:paraId="20091CD3" w14:textId="77777777" w:rsidR="003F589E" w:rsidRPr="003F589E" w:rsidRDefault="003F589E" w:rsidP="003F589E">
            <w:pPr>
              <w:jc w:val="center"/>
              <w:rPr>
                <w:rFonts w:cs="Arial"/>
                <w:sz w:val="20"/>
                <w:szCs w:val="20"/>
              </w:rPr>
            </w:pPr>
            <w:r w:rsidRPr="003F589E">
              <w:rPr>
                <w:rFonts w:cs="Arial"/>
                <w:sz w:val="20"/>
                <w:szCs w:val="20"/>
              </w:rPr>
              <w:t>$1.00</w:t>
            </w:r>
          </w:p>
        </w:tc>
      </w:tr>
      <w:tr w:rsidR="003F589E" w:rsidRPr="003F589E" w14:paraId="472A1140"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54D3F685" w14:textId="77777777" w:rsidR="003F589E" w:rsidRPr="003F589E" w:rsidRDefault="003F589E" w:rsidP="003F589E">
            <w:pPr>
              <w:rPr>
                <w:rFonts w:cs="Arial"/>
                <w:sz w:val="20"/>
                <w:szCs w:val="20"/>
              </w:rPr>
            </w:pPr>
            <w:r w:rsidRPr="003F589E">
              <w:rPr>
                <w:rFonts w:cs="Arial"/>
                <w:sz w:val="20"/>
                <w:szCs w:val="20"/>
              </w:rPr>
              <w:t>ASTM Energy to Food (Btu/</w:t>
            </w:r>
            <w:proofErr w:type="spellStart"/>
            <w:r w:rsidRPr="003F589E">
              <w:rPr>
                <w:rFonts w:cs="Arial"/>
                <w:sz w:val="20"/>
                <w:szCs w:val="20"/>
              </w:rPr>
              <w:t>lb</w:t>
            </w:r>
            <w:proofErr w:type="spellEnd"/>
            <w:r w:rsidRPr="003F589E">
              <w:rPr>
                <w:rFonts w:cs="Arial"/>
                <w:sz w:val="20"/>
                <w:szCs w:val="20"/>
              </w:rPr>
              <w:t>)</w:t>
            </w:r>
          </w:p>
        </w:tc>
        <w:tc>
          <w:tcPr>
            <w:tcW w:w="1684" w:type="dxa"/>
            <w:tcBorders>
              <w:top w:val="nil"/>
              <w:left w:val="nil"/>
              <w:bottom w:val="single" w:sz="4" w:space="0" w:color="auto"/>
              <w:right w:val="single" w:sz="4" w:space="0" w:color="auto"/>
            </w:tcBorders>
            <w:shd w:val="clear" w:color="auto" w:fill="FFFFFF"/>
            <w:noWrap/>
            <w:vAlign w:val="center"/>
          </w:tcPr>
          <w:p w14:paraId="62A5299A" w14:textId="77777777" w:rsidR="003F589E" w:rsidRPr="003F589E" w:rsidRDefault="003F589E" w:rsidP="003F589E">
            <w:pPr>
              <w:jc w:val="center"/>
              <w:rPr>
                <w:rFonts w:cs="Arial"/>
                <w:sz w:val="20"/>
                <w:szCs w:val="20"/>
              </w:rPr>
            </w:pPr>
            <w:r w:rsidRPr="003F589E">
              <w:rPr>
                <w:rFonts w:cs="Arial"/>
                <w:sz w:val="20"/>
                <w:szCs w:val="20"/>
              </w:rPr>
              <w:t>475</w:t>
            </w:r>
          </w:p>
        </w:tc>
        <w:tc>
          <w:tcPr>
            <w:tcW w:w="2937" w:type="dxa"/>
            <w:tcBorders>
              <w:top w:val="nil"/>
              <w:left w:val="nil"/>
              <w:bottom w:val="single" w:sz="4" w:space="0" w:color="auto"/>
              <w:right w:val="single" w:sz="4" w:space="0" w:color="auto"/>
            </w:tcBorders>
            <w:shd w:val="clear" w:color="auto" w:fill="FFFFFF"/>
            <w:noWrap/>
            <w:vAlign w:val="center"/>
          </w:tcPr>
          <w:p w14:paraId="7539D840" w14:textId="77777777" w:rsidR="003F589E" w:rsidRPr="003F589E" w:rsidRDefault="003F589E" w:rsidP="003F589E">
            <w:pPr>
              <w:jc w:val="center"/>
              <w:rPr>
                <w:rFonts w:cs="Arial"/>
                <w:sz w:val="20"/>
                <w:szCs w:val="20"/>
              </w:rPr>
            </w:pPr>
            <w:r w:rsidRPr="003F589E">
              <w:rPr>
                <w:rFonts w:cs="Arial"/>
                <w:sz w:val="20"/>
                <w:szCs w:val="20"/>
              </w:rPr>
              <w:t>475</w:t>
            </w:r>
          </w:p>
        </w:tc>
      </w:tr>
      <w:tr w:rsidR="003F589E" w:rsidRPr="003F589E" w14:paraId="50C31975"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33E4A3C9" w14:textId="77777777" w:rsidR="003F589E" w:rsidRPr="003F589E" w:rsidRDefault="003F589E" w:rsidP="003F589E">
            <w:pPr>
              <w:rPr>
                <w:rFonts w:cs="Arial"/>
                <w:sz w:val="20"/>
                <w:szCs w:val="20"/>
              </w:rPr>
            </w:pPr>
            <w:r w:rsidRPr="003F589E">
              <w:rPr>
                <w:rFonts w:cs="Arial"/>
                <w:sz w:val="20"/>
                <w:szCs w:val="20"/>
              </w:rPr>
              <w:t>Daily Energy Consumption (Btu)</w:t>
            </w:r>
          </w:p>
        </w:tc>
        <w:tc>
          <w:tcPr>
            <w:tcW w:w="1684" w:type="dxa"/>
            <w:tcBorders>
              <w:top w:val="nil"/>
              <w:left w:val="nil"/>
              <w:bottom w:val="single" w:sz="4" w:space="0" w:color="auto"/>
              <w:right w:val="single" w:sz="4" w:space="0" w:color="auto"/>
            </w:tcBorders>
            <w:shd w:val="clear" w:color="auto" w:fill="FFFFFF"/>
            <w:noWrap/>
            <w:vAlign w:val="center"/>
          </w:tcPr>
          <w:p w14:paraId="656C2032" w14:textId="77777777" w:rsidR="003F589E" w:rsidRPr="003F589E" w:rsidRDefault="003F589E" w:rsidP="003F589E">
            <w:pPr>
              <w:jc w:val="center"/>
              <w:rPr>
                <w:rFonts w:cs="Arial"/>
                <w:sz w:val="20"/>
                <w:szCs w:val="20"/>
              </w:rPr>
            </w:pPr>
            <w:r w:rsidRPr="003F589E">
              <w:rPr>
                <w:rFonts w:cs="Arial"/>
                <w:sz w:val="20"/>
                <w:szCs w:val="20"/>
              </w:rPr>
              <w:t>341,746</w:t>
            </w:r>
          </w:p>
        </w:tc>
        <w:tc>
          <w:tcPr>
            <w:tcW w:w="2937" w:type="dxa"/>
            <w:tcBorders>
              <w:top w:val="nil"/>
              <w:left w:val="nil"/>
              <w:bottom w:val="single" w:sz="4" w:space="0" w:color="auto"/>
              <w:right w:val="single" w:sz="4" w:space="0" w:color="auto"/>
            </w:tcBorders>
            <w:shd w:val="clear" w:color="auto" w:fill="FFFFFF"/>
            <w:noWrap/>
            <w:vAlign w:val="center"/>
          </w:tcPr>
          <w:p w14:paraId="001C17A1" w14:textId="77777777" w:rsidR="003F589E" w:rsidRPr="003F589E" w:rsidRDefault="003F589E" w:rsidP="003F589E">
            <w:pPr>
              <w:jc w:val="center"/>
              <w:rPr>
                <w:rFonts w:cs="Arial"/>
                <w:sz w:val="20"/>
                <w:szCs w:val="20"/>
              </w:rPr>
            </w:pPr>
            <w:r w:rsidRPr="003F589E">
              <w:rPr>
                <w:rFonts w:cs="Arial"/>
                <w:sz w:val="20"/>
                <w:szCs w:val="20"/>
              </w:rPr>
              <w:t>238,835</w:t>
            </w:r>
          </w:p>
        </w:tc>
      </w:tr>
      <w:tr w:rsidR="003F589E" w:rsidRPr="003F589E" w14:paraId="6070FF74"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67B49085" w14:textId="77777777" w:rsidR="003F589E" w:rsidRPr="003F589E" w:rsidRDefault="003F589E" w:rsidP="003F589E">
            <w:pPr>
              <w:rPr>
                <w:rFonts w:cs="Arial"/>
                <w:sz w:val="20"/>
                <w:szCs w:val="20"/>
              </w:rPr>
            </w:pPr>
            <w:r w:rsidRPr="003F589E">
              <w:rPr>
                <w:rFonts w:cs="Arial"/>
                <w:sz w:val="20"/>
                <w:szCs w:val="20"/>
              </w:rPr>
              <w:t>Annual Energy Consumption (therms)</w:t>
            </w:r>
            <w:r w:rsidRPr="003F589E">
              <w:rPr>
                <w:rFonts w:cs="Arial"/>
                <w:sz w:val="20"/>
                <w:szCs w:val="20"/>
                <w:vertAlign w:val="superscript"/>
              </w:rPr>
              <w:t>a</w:t>
            </w:r>
          </w:p>
        </w:tc>
        <w:tc>
          <w:tcPr>
            <w:tcW w:w="1684" w:type="dxa"/>
            <w:tcBorders>
              <w:top w:val="nil"/>
              <w:left w:val="nil"/>
              <w:bottom w:val="single" w:sz="4" w:space="0" w:color="auto"/>
              <w:right w:val="single" w:sz="4" w:space="0" w:color="auto"/>
            </w:tcBorders>
            <w:shd w:val="clear" w:color="auto" w:fill="FFFFFF"/>
            <w:noWrap/>
            <w:vAlign w:val="center"/>
          </w:tcPr>
          <w:p w14:paraId="15191F94" w14:textId="77777777" w:rsidR="003F589E" w:rsidRPr="003F589E" w:rsidRDefault="003F589E" w:rsidP="003F589E">
            <w:pPr>
              <w:jc w:val="center"/>
              <w:rPr>
                <w:rFonts w:cs="Arial"/>
                <w:sz w:val="20"/>
                <w:szCs w:val="20"/>
              </w:rPr>
            </w:pPr>
            <w:r w:rsidRPr="003F589E">
              <w:rPr>
                <w:rFonts w:cs="Arial"/>
                <w:sz w:val="20"/>
                <w:szCs w:val="20"/>
              </w:rPr>
              <w:t>1,247</w:t>
            </w:r>
          </w:p>
        </w:tc>
        <w:tc>
          <w:tcPr>
            <w:tcW w:w="2937" w:type="dxa"/>
            <w:tcBorders>
              <w:top w:val="nil"/>
              <w:left w:val="nil"/>
              <w:bottom w:val="single" w:sz="4" w:space="0" w:color="auto"/>
              <w:right w:val="single" w:sz="4" w:space="0" w:color="auto"/>
            </w:tcBorders>
            <w:shd w:val="clear" w:color="auto" w:fill="FFFFFF"/>
            <w:noWrap/>
            <w:vAlign w:val="center"/>
          </w:tcPr>
          <w:p w14:paraId="7FDD1B65" w14:textId="77777777" w:rsidR="003F589E" w:rsidRPr="003F589E" w:rsidRDefault="003F589E" w:rsidP="003F589E">
            <w:pPr>
              <w:jc w:val="center"/>
              <w:rPr>
                <w:rFonts w:cs="Arial"/>
                <w:sz w:val="20"/>
                <w:szCs w:val="20"/>
              </w:rPr>
            </w:pPr>
            <w:r w:rsidRPr="003F589E">
              <w:rPr>
                <w:rFonts w:cs="Arial"/>
                <w:sz w:val="20"/>
                <w:szCs w:val="20"/>
              </w:rPr>
              <w:t>872</w:t>
            </w:r>
          </w:p>
        </w:tc>
      </w:tr>
      <w:tr w:rsidR="003F589E" w:rsidRPr="003F589E" w14:paraId="24B53372"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6A04F874" w14:textId="77777777" w:rsidR="003F589E" w:rsidRPr="003F589E" w:rsidRDefault="003F589E" w:rsidP="003F589E">
            <w:pPr>
              <w:rPr>
                <w:rFonts w:cs="Arial"/>
                <w:sz w:val="20"/>
                <w:szCs w:val="20"/>
              </w:rPr>
            </w:pPr>
            <w:r w:rsidRPr="003F589E">
              <w:rPr>
                <w:rFonts w:cs="Arial"/>
                <w:sz w:val="20"/>
                <w:szCs w:val="20"/>
              </w:rPr>
              <w:t>Estimated Energy Savings (</w:t>
            </w:r>
            <w:proofErr w:type="spellStart"/>
            <w:r w:rsidRPr="003F589E">
              <w:rPr>
                <w:rFonts w:cs="Arial"/>
                <w:sz w:val="20"/>
                <w:szCs w:val="20"/>
              </w:rPr>
              <w:t>therms</w:t>
            </w:r>
            <w:proofErr w:type="spellEnd"/>
            <w:r w:rsidRPr="003F589E">
              <w:rPr>
                <w:rFonts w:cs="Arial"/>
                <w:sz w:val="20"/>
                <w:szCs w:val="20"/>
              </w:rPr>
              <w:t>/</w:t>
            </w:r>
            <w:proofErr w:type="spellStart"/>
            <w:r w:rsidRPr="003F589E">
              <w:rPr>
                <w:rFonts w:cs="Arial"/>
                <w:sz w:val="20"/>
                <w:szCs w:val="20"/>
              </w:rPr>
              <w:t>yr</w:t>
            </w:r>
            <w:proofErr w:type="spellEnd"/>
            <w:r w:rsidRPr="003F589E">
              <w:rPr>
                <w:rFonts w:cs="Arial"/>
                <w:sz w:val="20"/>
                <w:szCs w:val="20"/>
              </w:rPr>
              <w:t>)</w:t>
            </w:r>
          </w:p>
        </w:tc>
        <w:tc>
          <w:tcPr>
            <w:tcW w:w="1684" w:type="dxa"/>
            <w:tcBorders>
              <w:top w:val="nil"/>
              <w:left w:val="nil"/>
              <w:bottom w:val="single" w:sz="4" w:space="0" w:color="auto"/>
              <w:right w:val="single" w:sz="4" w:space="0" w:color="auto"/>
            </w:tcBorders>
            <w:shd w:val="clear" w:color="auto" w:fill="FFFFFF"/>
            <w:noWrap/>
            <w:vAlign w:val="center"/>
          </w:tcPr>
          <w:p w14:paraId="5BBC68E2" w14:textId="77777777" w:rsidR="003F589E" w:rsidRPr="003F589E" w:rsidRDefault="003F589E" w:rsidP="003F589E">
            <w:pPr>
              <w:jc w:val="center"/>
              <w:rPr>
                <w:rFonts w:cs="Arial"/>
                <w:sz w:val="20"/>
                <w:szCs w:val="20"/>
              </w:rPr>
            </w:pPr>
            <w:r w:rsidRPr="003F589E">
              <w:rPr>
                <w:rFonts w:cs="Arial"/>
                <w:sz w:val="20"/>
                <w:szCs w:val="20"/>
              </w:rPr>
              <w:t>-</w:t>
            </w:r>
          </w:p>
        </w:tc>
        <w:tc>
          <w:tcPr>
            <w:tcW w:w="2937" w:type="dxa"/>
            <w:tcBorders>
              <w:top w:val="nil"/>
              <w:left w:val="nil"/>
              <w:bottom w:val="single" w:sz="4" w:space="0" w:color="auto"/>
              <w:right w:val="single" w:sz="4" w:space="0" w:color="auto"/>
            </w:tcBorders>
            <w:shd w:val="clear" w:color="auto" w:fill="FFFFFF"/>
            <w:noWrap/>
            <w:vAlign w:val="center"/>
          </w:tcPr>
          <w:p w14:paraId="661091C6" w14:textId="77777777" w:rsidR="003F589E" w:rsidRPr="003F589E" w:rsidRDefault="003F589E" w:rsidP="003F589E">
            <w:pPr>
              <w:jc w:val="center"/>
              <w:rPr>
                <w:rFonts w:cs="Arial"/>
                <w:sz w:val="20"/>
                <w:szCs w:val="20"/>
              </w:rPr>
            </w:pPr>
            <w:r w:rsidRPr="003F589E">
              <w:rPr>
                <w:rFonts w:cs="Arial"/>
                <w:sz w:val="20"/>
                <w:szCs w:val="20"/>
              </w:rPr>
              <w:t>376</w:t>
            </w:r>
          </w:p>
        </w:tc>
      </w:tr>
      <w:tr w:rsidR="003F589E" w:rsidRPr="003F589E" w14:paraId="6E7796D9"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56836013" w14:textId="77777777" w:rsidR="003F589E" w:rsidRPr="003F589E" w:rsidRDefault="003F589E" w:rsidP="003F589E">
            <w:pPr>
              <w:rPr>
                <w:rFonts w:cs="Arial"/>
                <w:sz w:val="20"/>
                <w:szCs w:val="20"/>
              </w:rPr>
            </w:pPr>
            <w:r w:rsidRPr="003F589E">
              <w:rPr>
                <w:rFonts w:cs="Arial"/>
                <w:sz w:val="20"/>
                <w:szCs w:val="20"/>
              </w:rPr>
              <w:t>Annual Energy Cost ($)</w:t>
            </w:r>
          </w:p>
        </w:tc>
        <w:tc>
          <w:tcPr>
            <w:tcW w:w="1684" w:type="dxa"/>
            <w:tcBorders>
              <w:top w:val="nil"/>
              <w:left w:val="nil"/>
              <w:bottom w:val="single" w:sz="4" w:space="0" w:color="auto"/>
              <w:right w:val="single" w:sz="4" w:space="0" w:color="auto"/>
            </w:tcBorders>
            <w:shd w:val="clear" w:color="auto" w:fill="FFFFFF"/>
            <w:noWrap/>
            <w:vAlign w:val="center"/>
          </w:tcPr>
          <w:p w14:paraId="09099392" w14:textId="77777777" w:rsidR="003F589E" w:rsidRPr="003F589E" w:rsidRDefault="003F589E" w:rsidP="003F589E">
            <w:pPr>
              <w:jc w:val="center"/>
              <w:rPr>
                <w:rFonts w:cs="Arial"/>
                <w:sz w:val="20"/>
                <w:szCs w:val="20"/>
              </w:rPr>
            </w:pPr>
            <w:r w:rsidRPr="003F589E">
              <w:rPr>
                <w:rFonts w:cs="Arial"/>
                <w:sz w:val="20"/>
                <w:szCs w:val="20"/>
              </w:rPr>
              <w:t>$1,247</w:t>
            </w:r>
          </w:p>
        </w:tc>
        <w:tc>
          <w:tcPr>
            <w:tcW w:w="2937" w:type="dxa"/>
            <w:tcBorders>
              <w:top w:val="nil"/>
              <w:left w:val="nil"/>
              <w:bottom w:val="single" w:sz="4" w:space="0" w:color="auto"/>
              <w:right w:val="single" w:sz="4" w:space="0" w:color="auto"/>
            </w:tcBorders>
            <w:shd w:val="clear" w:color="auto" w:fill="FFFFFF"/>
            <w:noWrap/>
            <w:vAlign w:val="center"/>
          </w:tcPr>
          <w:p w14:paraId="4F6EF346" w14:textId="77777777" w:rsidR="003F589E" w:rsidRPr="003F589E" w:rsidRDefault="003F589E" w:rsidP="003F589E">
            <w:pPr>
              <w:jc w:val="center"/>
              <w:rPr>
                <w:rFonts w:cs="Arial"/>
                <w:sz w:val="20"/>
                <w:szCs w:val="20"/>
              </w:rPr>
            </w:pPr>
            <w:r w:rsidRPr="003F589E">
              <w:rPr>
                <w:rFonts w:cs="Arial"/>
                <w:sz w:val="20"/>
                <w:szCs w:val="20"/>
              </w:rPr>
              <w:t>$872</w:t>
            </w:r>
          </w:p>
        </w:tc>
      </w:tr>
      <w:tr w:rsidR="003F589E" w:rsidRPr="003F589E" w14:paraId="31E04843"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7CE2FB8A" w14:textId="77777777" w:rsidR="003F589E" w:rsidRPr="003F589E" w:rsidRDefault="003F589E" w:rsidP="003F589E">
            <w:pPr>
              <w:rPr>
                <w:rFonts w:cs="Arial"/>
                <w:sz w:val="20"/>
                <w:szCs w:val="20"/>
              </w:rPr>
            </w:pPr>
            <w:r w:rsidRPr="003F589E">
              <w:rPr>
                <w:rFonts w:cs="Arial"/>
                <w:sz w:val="20"/>
                <w:szCs w:val="20"/>
              </w:rPr>
              <w:t>Estimated Cost Savings ($/</w:t>
            </w:r>
            <w:proofErr w:type="spellStart"/>
            <w:r w:rsidRPr="003F589E">
              <w:rPr>
                <w:rFonts w:cs="Arial"/>
                <w:sz w:val="20"/>
                <w:szCs w:val="20"/>
              </w:rPr>
              <w:t>yr</w:t>
            </w:r>
            <w:proofErr w:type="spellEnd"/>
            <w:r w:rsidRPr="003F589E">
              <w:rPr>
                <w:rFonts w:cs="Arial"/>
                <w:sz w:val="20"/>
                <w:szCs w:val="20"/>
              </w:rPr>
              <w:t>)</w:t>
            </w:r>
          </w:p>
        </w:tc>
        <w:tc>
          <w:tcPr>
            <w:tcW w:w="1684" w:type="dxa"/>
            <w:tcBorders>
              <w:top w:val="nil"/>
              <w:left w:val="nil"/>
              <w:bottom w:val="single" w:sz="4" w:space="0" w:color="auto"/>
              <w:right w:val="single" w:sz="4" w:space="0" w:color="auto"/>
            </w:tcBorders>
            <w:shd w:val="clear" w:color="auto" w:fill="FFFFFF"/>
            <w:noWrap/>
            <w:vAlign w:val="center"/>
          </w:tcPr>
          <w:p w14:paraId="2AD8CEF3" w14:textId="77777777" w:rsidR="003F589E" w:rsidRPr="003F589E" w:rsidRDefault="003F589E" w:rsidP="003F589E">
            <w:pPr>
              <w:jc w:val="center"/>
              <w:rPr>
                <w:rFonts w:cs="Arial"/>
                <w:sz w:val="20"/>
                <w:szCs w:val="20"/>
              </w:rPr>
            </w:pPr>
            <w:r w:rsidRPr="003F589E">
              <w:rPr>
                <w:rFonts w:cs="Arial"/>
                <w:sz w:val="20"/>
                <w:szCs w:val="20"/>
              </w:rPr>
              <w:t>-</w:t>
            </w:r>
          </w:p>
        </w:tc>
        <w:tc>
          <w:tcPr>
            <w:tcW w:w="2937" w:type="dxa"/>
            <w:tcBorders>
              <w:top w:val="nil"/>
              <w:left w:val="nil"/>
              <w:bottom w:val="single" w:sz="4" w:space="0" w:color="auto"/>
              <w:right w:val="single" w:sz="4" w:space="0" w:color="auto"/>
            </w:tcBorders>
            <w:shd w:val="clear" w:color="auto" w:fill="FFFFFF"/>
            <w:noWrap/>
            <w:vAlign w:val="center"/>
          </w:tcPr>
          <w:p w14:paraId="5A8816D1" w14:textId="77777777" w:rsidR="003F589E" w:rsidRPr="003F589E" w:rsidRDefault="003F589E" w:rsidP="003F589E">
            <w:pPr>
              <w:jc w:val="center"/>
              <w:rPr>
                <w:rFonts w:cs="Arial"/>
                <w:sz w:val="20"/>
                <w:szCs w:val="20"/>
              </w:rPr>
            </w:pPr>
            <w:r w:rsidRPr="003F589E">
              <w:rPr>
                <w:rFonts w:cs="Arial"/>
                <w:sz w:val="20"/>
                <w:szCs w:val="20"/>
              </w:rPr>
              <w:t>$376</w:t>
            </w:r>
          </w:p>
        </w:tc>
      </w:tr>
      <w:tr w:rsidR="003F589E" w:rsidRPr="003F589E" w14:paraId="0D5AAAE6"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0441013E" w14:textId="77777777" w:rsidR="003F589E" w:rsidRPr="003F589E" w:rsidRDefault="003F589E" w:rsidP="003F589E">
            <w:pPr>
              <w:rPr>
                <w:rFonts w:cs="Arial"/>
                <w:sz w:val="20"/>
                <w:szCs w:val="20"/>
              </w:rPr>
            </w:pPr>
            <w:r w:rsidRPr="003F589E">
              <w:rPr>
                <w:rFonts w:cs="Arial"/>
                <w:sz w:val="20"/>
                <w:szCs w:val="20"/>
              </w:rPr>
              <w:t xml:space="preserve">Incremental Measure </w:t>
            </w:r>
            <w:proofErr w:type="spellStart"/>
            <w:r w:rsidRPr="003F589E">
              <w:rPr>
                <w:rFonts w:cs="Arial"/>
                <w:sz w:val="20"/>
                <w:szCs w:val="20"/>
              </w:rPr>
              <w:t>Cost</w:t>
            </w:r>
            <w:r w:rsidRPr="003F589E">
              <w:rPr>
                <w:rFonts w:cs="Arial"/>
                <w:sz w:val="20"/>
                <w:szCs w:val="20"/>
                <w:vertAlign w:val="superscript"/>
              </w:rPr>
              <w:t>b</w:t>
            </w:r>
            <w:proofErr w:type="spellEnd"/>
          </w:p>
        </w:tc>
        <w:tc>
          <w:tcPr>
            <w:tcW w:w="1684" w:type="dxa"/>
            <w:tcBorders>
              <w:top w:val="nil"/>
              <w:left w:val="nil"/>
              <w:bottom w:val="single" w:sz="4" w:space="0" w:color="auto"/>
              <w:right w:val="single" w:sz="4" w:space="0" w:color="auto"/>
            </w:tcBorders>
            <w:shd w:val="clear" w:color="auto" w:fill="FFFFFF"/>
            <w:noWrap/>
            <w:vAlign w:val="center"/>
          </w:tcPr>
          <w:p w14:paraId="4CD96544" w14:textId="77777777" w:rsidR="003F589E" w:rsidRPr="003F589E" w:rsidRDefault="003F589E" w:rsidP="003F589E">
            <w:pPr>
              <w:jc w:val="center"/>
              <w:rPr>
                <w:rFonts w:cs="Arial"/>
                <w:sz w:val="20"/>
                <w:szCs w:val="20"/>
              </w:rPr>
            </w:pPr>
            <w:r w:rsidRPr="003F589E">
              <w:rPr>
                <w:rFonts w:cs="Arial"/>
                <w:sz w:val="20"/>
                <w:szCs w:val="20"/>
              </w:rPr>
              <w:t>-</w:t>
            </w:r>
          </w:p>
        </w:tc>
        <w:tc>
          <w:tcPr>
            <w:tcW w:w="2937" w:type="dxa"/>
            <w:tcBorders>
              <w:top w:val="nil"/>
              <w:left w:val="nil"/>
              <w:bottom w:val="single" w:sz="4" w:space="0" w:color="auto"/>
              <w:right w:val="single" w:sz="4" w:space="0" w:color="auto"/>
            </w:tcBorders>
            <w:shd w:val="clear" w:color="auto" w:fill="FFFFFF"/>
            <w:noWrap/>
            <w:vAlign w:val="center"/>
          </w:tcPr>
          <w:p w14:paraId="4B0EAEF4" w14:textId="77777777" w:rsidR="003F589E" w:rsidRPr="003F589E" w:rsidRDefault="003F589E" w:rsidP="003F589E">
            <w:pPr>
              <w:jc w:val="center"/>
              <w:rPr>
                <w:rFonts w:cs="Arial"/>
                <w:sz w:val="20"/>
                <w:szCs w:val="20"/>
              </w:rPr>
            </w:pPr>
            <w:r w:rsidRPr="003F589E">
              <w:rPr>
                <w:rFonts w:cs="Arial"/>
                <w:sz w:val="20"/>
                <w:szCs w:val="20"/>
              </w:rPr>
              <w:t>SEE APPENDIX A</w:t>
            </w:r>
          </w:p>
        </w:tc>
      </w:tr>
      <w:tr w:rsidR="003F589E" w:rsidRPr="003F589E" w14:paraId="6C17C067" w14:textId="77777777" w:rsidTr="001A0E28">
        <w:trPr>
          <w:trHeight w:val="288"/>
        </w:trPr>
        <w:tc>
          <w:tcPr>
            <w:tcW w:w="4391" w:type="dxa"/>
            <w:tcBorders>
              <w:top w:val="nil"/>
              <w:left w:val="single" w:sz="4" w:space="0" w:color="auto"/>
              <w:bottom w:val="single" w:sz="4" w:space="0" w:color="auto"/>
              <w:right w:val="single" w:sz="4" w:space="0" w:color="auto"/>
            </w:tcBorders>
            <w:shd w:val="clear" w:color="auto" w:fill="FFFFFF"/>
            <w:noWrap/>
            <w:vAlign w:val="center"/>
          </w:tcPr>
          <w:p w14:paraId="6A5AEE60" w14:textId="77777777" w:rsidR="003F589E" w:rsidRPr="003F589E" w:rsidRDefault="003F589E" w:rsidP="003F589E">
            <w:pPr>
              <w:rPr>
                <w:rFonts w:cs="Arial"/>
                <w:sz w:val="20"/>
                <w:szCs w:val="20"/>
              </w:rPr>
            </w:pPr>
            <w:r w:rsidRPr="003F589E">
              <w:rPr>
                <w:rFonts w:cs="Arial"/>
                <w:sz w:val="20"/>
                <w:szCs w:val="20"/>
              </w:rPr>
              <w:t>Estimated Useful Life (EUL)</w:t>
            </w:r>
            <w:r w:rsidRPr="003F589E">
              <w:rPr>
                <w:rFonts w:cs="Arial"/>
                <w:sz w:val="20"/>
                <w:szCs w:val="20"/>
                <w:vertAlign w:val="superscript"/>
              </w:rPr>
              <w:t>c</w:t>
            </w:r>
          </w:p>
        </w:tc>
        <w:tc>
          <w:tcPr>
            <w:tcW w:w="1684" w:type="dxa"/>
            <w:tcBorders>
              <w:top w:val="nil"/>
              <w:left w:val="nil"/>
              <w:bottom w:val="single" w:sz="4" w:space="0" w:color="auto"/>
              <w:right w:val="single" w:sz="4" w:space="0" w:color="auto"/>
            </w:tcBorders>
            <w:shd w:val="clear" w:color="auto" w:fill="FFFFFF"/>
            <w:noWrap/>
            <w:vAlign w:val="center"/>
          </w:tcPr>
          <w:p w14:paraId="3D77DB40" w14:textId="77777777" w:rsidR="003F589E" w:rsidRPr="003F589E" w:rsidRDefault="003F589E" w:rsidP="003F589E">
            <w:pPr>
              <w:jc w:val="center"/>
              <w:rPr>
                <w:rFonts w:cs="Arial"/>
                <w:sz w:val="20"/>
                <w:szCs w:val="20"/>
              </w:rPr>
            </w:pPr>
            <w:r w:rsidRPr="003F589E">
              <w:rPr>
                <w:rFonts w:cs="Arial"/>
                <w:sz w:val="20"/>
                <w:szCs w:val="20"/>
              </w:rPr>
              <w:t>12 years</w:t>
            </w:r>
          </w:p>
        </w:tc>
        <w:tc>
          <w:tcPr>
            <w:tcW w:w="2937" w:type="dxa"/>
            <w:tcBorders>
              <w:top w:val="nil"/>
              <w:left w:val="nil"/>
              <w:bottom w:val="single" w:sz="4" w:space="0" w:color="auto"/>
              <w:right w:val="single" w:sz="4" w:space="0" w:color="auto"/>
            </w:tcBorders>
            <w:shd w:val="clear" w:color="auto" w:fill="FFFFFF"/>
            <w:noWrap/>
            <w:vAlign w:val="center"/>
          </w:tcPr>
          <w:p w14:paraId="3A230230" w14:textId="77777777" w:rsidR="003F589E" w:rsidRPr="003F589E" w:rsidRDefault="003F589E" w:rsidP="003F589E">
            <w:pPr>
              <w:jc w:val="center"/>
              <w:rPr>
                <w:rFonts w:cs="Arial"/>
                <w:sz w:val="20"/>
                <w:szCs w:val="20"/>
              </w:rPr>
            </w:pPr>
            <w:r w:rsidRPr="003F589E">
              <w:rPr>
                <w:rFonts w:cs="Arial"/>
                <w:sz w:val="20"/>
                <w:szCs w:val="20"/>
              </w:rPr>
              <w:t>12 years</w:t>
            </w:r>
          </w:p>
        </w:tc>
      </w:tr>
      <w:tr w:rsidR="003F589E" w:rsidRPr="003F589E" w14:paraId="23EBA992" w14:textId="77777777" w:rsidTr="001A0E28">
        <w:trPr>
          <w:trHeight w:val="288"/>
        </w:trPr>
        <w:tc>
          <w:tcPr>
            <w:tcW w:w="439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63D2EDE" w14:textId="77777777" w:rsidR="003F589E" w:rsidRPr="003F589E" w:rsidRDefault="003F589E" w:rsidP="003F589E">
            <w:pPr>
              <w:rPr>
                <w:rFonts w:cs="Arial"/>
                <w:sz w:val="20"/>
                <w:szCs w:val="20"/>
              </w:rPr>
            </w:pPr>
            <w:r w:rsidRPr="003F589E">
              <w:rPr>
                <w:rFonts w:cs="Arial"/>
                <w:sz w:val="20"/>
                <w:szCs w:val="20"/>
              </w:rPr>
              <w:t>Number of Preheats/Day</w:t>
            </w:r>
          </w:p>
        </w:tc>
        <w:tc>
          <w:tcPr>
            <w:tcW w:w="1684" w:type="dxa"/>
            <w:tcBorders>
              <w:top w:val="single" w:sz="4" w:space="0" w:color="auto"/>
              <w:left w:val="nil"/>
              <w:bottom w:val="single" w:sz="4" w:space="0" w:color="auto"/>
              <w:right w:val="single" w:sz="4" w:space="0" w:color="auto"/>
            </w:tcBorders>
            <w:shd w:val="clear" w:color="auto" w:fill="FFFFFF"/>
            <w:noWrap/>
            <w:vAlign w:val="center"/>
          </w:tcPr>
          <w:p w14:paraId="543BF9CD" w14:textId="77777777" w:rsidR="003F589E" w:rsidRPr="003F589E" w:rsidRDefault="003F589E" w:rsidP="003F589E">
            <w:pPr>
              <w:jc w:val="center"/>
              <w:rPr>
                <w:rFonts w:cs="Arial"/>
                <w:sz w:val="20"/>
                <w:szCs w:val="20"/>
              </w:rPr>
            </w:pPr>
            <w:r w:rsidRPr="003F589E">
              <w:rPr>
                <w:rFonts w:cs="Arial"/>
                <w:sz w:val="20"/>
                <w:szCs w:val="20"/>
              </w:rPr>
              <w:t>1</w:t>
            </w:r>
          </w:p>
        </w:tc>
        <w:tc>
          <w:tcPr>
            <w:tcW w:w="2937" w:type="dxa"/>
            <w:tcBorders>
              <w:top w:val="single" w:sz="4" w:space="0" w:color="auto"/>
              <w:left w:val="nil"/>
              <w:bottom w:val="single" w:sz="4" w:space="0" w:color="auto"/>
              <w:right w:val="single" w:sz="4" w:space="0" w:color="auto"/>
            </w:tcBorders>
            <w:shd w:val="clear" w:color="auto" w:fill="FFFFFF"/>
            <w:noWrap/>
            <w:vAlign w:val="center"/>
          </w:tcPr>
          <w:p w14:paraId="1BEB10AE" w14:textId="77777777" w:rsidR="003F589E" w:rsidRPr="003F589E" w:rsidRDefault="003F589E" w:rsidP="003F589E">
            <w:pPr>
              <w:jc w:val="center"/>
              <w:rPr>
                <w:rFonts w:cs="Arial"/>
                <w:sz w:val="20"/>
                <w:szCs w:val="20"/>
              </w:rPr>
            </w:pPr>
            <w:r w:rsidRPr="003F589E">
              <w:rPr>
                <w:rFonts w:cs="Arial"/>
                <w:sz w:val="20"/>
                <w:szCs w:val="20"/>
              </w:rPr>
              <w:t>1</w:t>
            </w:r>
          </w:p>
        </w:tc>
      </w:tr>
    </w:tbl>
    <w:p w14:paraId="22D50F05" w14:textId="77777777" w:rsidR="003F589E" w:rsidRPr="003F589E" w:rsidRDefault="003F589E" w:rsidP="003F589E">
      <w:pPr>
        <w:rPr>
          <w:rFonts w:ascii="Times New Roman" w:hAnsi="Times New Roman"/>
          <w:sz w:val="18"/>
          <w:szCs w:val="20"/>
        </w:rPr>
      </w:pPr>
      <w:proofErr w:type="gramStart"/>
      <w:r w:rsidRPr="003F589E">
        <w:rPr>
          <w:rFonts w:ascii="Times New Roman" w:hAnsi="Times New Roman"/>
          <w:sz w:val="18"/>
          <w:szCs w:val="20"/>
          <w:vertAlign w:val="superscript"/>
        </w:rPr>
        <w:t>a</w:t>
      </w:r>
      <w:proofErr w:type="gramEnd"/>
      <w:r w:rsidRPr="003F589E">
        <w:rPr>
          <w:rFonts w:ascii="Times New Roman" w:hAnsi="Times New Roman"/>
          <w:sz w:val="18"/>
          <w:szCs w:val="20"/>
          <w:vertAlign w:val="superscript"/>
        </w:rPr>
        <w:t xml:space="preserve"> </w:t>
      </w:r>
      <w:r w:rsidRPr="003F589E">
        <w:rPr>
          <w:rFonts w:ascii="Times New Roman" w:hAnsi="Times New Roman"/>
          <w:sz w:val="18"/>
          <w:szCs w:val="20"/>
        </w:rPr>
        <w:t>1 therm = 100,000 Btu.</w:t>
      </w:r>
    </w:p>
    <w:p w14:paraId="62AE0982" w14:textId="77777777" w:rsidR="003F589E" w:rsidRPr="003F589E" w:rsidRDefault="003F589E" w:rsidP="003F589E">
      <w:pPr>
        <w:rPr>
          <w:rFonts w:ascii="Times New Roman" w:hAnsi="Times New Roman"/>
          <w:sz w:val="18"/>
          <w:szCs w:val="20"/>
        </w:rPr>
      </w:pPr>
      <w:proofErr w:type="gramStart"/>
      <w:r w:rsidRPr="003F589E">
        <w:rPr>
          <w:rFonts w:ascii="Times New Roman" w:hAnsi="Times New Roman"/>
          <w:sz w:val="18"/>
          <w:szCs w:val="20"/>
          <w:vertAlign w:val="superscript"/>
        </w:rPr>
        <w:t>b</w:t>
      </w:r>
      <w:proofErr w:type="gramEnd"/>
      <w:r w:rsidRPr="003F589E">
        <w:rPr>
          <w:rFonts w:ascii="Times New Roman" w:hAnsi="Times New Roman"/>
          <w:sz w:val="18"/>
          <w:szCs w:val="20"/>
          <w:vertAlign w:val="superscript"/>
        </w:rPr>
        <w:t xml:space="preserve"> </w:t>
      </w:r>
      <w:r w:rsidRPr="003F589E">
        <w:rPr>
          <w:rFonts w:ascii="Times New Roman" w:hAnsi="Times New Roman"/>
          <w:sz w:val="18"/>
          <w:szCs w:val="20"/>
        </w:rPr>
        <w:t>Incremental measure cost was determined through comparison of an average of published pricing listed in APPENDIX A.</w:t>
      </w:r>
    </w:p>
    <w:p w14:paraId="49AFA022" w14:textId="77777777" w:rsidR="003F589E" w:rsidRPr="003F589E" w:rsidRDefault="003F589E" w:rsidP="003F589E">
      <w:pPr>
        <w:rPr>
          <w:rFonts w:ascii="Times New Roman" w:hAnsi="Times New Roman"/>
          <w:sz w:val="18"/>
          <w:szCs w:val="20"/>
        </w:rPr>
      </w:pPr>
      <w:proofErr w:type="gramStart"/>
      <w:r w:rsidRPr="003F589E">
        <w:rPr>
          <w:rFonts w:ascii="Times New Roman" w:hAnsi="Times New Roman"/>
          <w:sz w:val="18"/>
          <w:szCs w:val="20"/>
          <w:vertAlign w:val="superscript"/>
        </w:rPr>
        <w:t>c</w:t>
      </w:r>
      <w:proofErr w:type="gramEnd"/>
      <w:r w:rsidRPr="003F589E">
        <w:rPr>
          <w:rFonts w:ascii="Times New Roman" w:hAnsi="Times New Roman"/>
          <w:sz w:val="18"/>
          <w:szCs w:val="20"/>
        </w:rPr>
        <w:t xml:space="preserve"> </w:t>
      </w:r>
      <w:r w:rsidRPr="003F589E">
        <w:rPr>
          <w:rFonts w:ascii="Times New Roman" w:hAnsi="Times New Roman"/>
          <w:sz w:val="20"/>
          <w:szCs w:val="20"/>
        </w:rPr>
        <w:t>The estimated useful life is based on the 2008 DEER EUL estimates.</w:t>
      </w:r>
    </w:p>
    <w:p w14:paraId="719F255F" w14:textId="77777777" w:rsidR="003F589E" w:rsidRPr="003F589E" w:rsidRDefault="003F589E" w:rsidP="003F589E">
      <w:pPr>
        <w:rPr>
          <w:rFonts w:ascii="Times New Roman" w:hAnsi="Times New Roman"/>
          <w:sz w:val="18"/>
          <w:szCs w:val="16"/>
        </w:rPr>
      </w:pPr>
    </w:p>
    <w:p w14:paraId="0169925F" w14:textId="77777777" w:rsidR="003F589E" w:rsidRPr="003F589E" w:rsidRDefault="003F589E" w:rsidP="003F589E">
      <w:pPr>
        <w:rPr>
          <w:rFonts w:ascii="Times New Roman" w:hAnsi="Times New Roman"/>
          <w:sz w:val="18"/>
          <w:szCs w:val="16"/>
        </w:rPr>
      </w:pPr>
    </w:p>
    <w:p w14:paraId="4A20E681" w14:textId="77777777" w:rsidR="003F589E" w:rsidRPr="003F589E" w:rsidRDefault="003F589E" w:rsidP="003F589E">
      <w:pPr>
        <w:rPr>
          <w:rFonts w:ascii="Times New Roman" w:hAnsi="Times New Roman"/>
          <w:sz w:val="18"/>
          <w:vertAlign w:val="superscript"/>
        </w:rPr>
      </w:pPr>
    </w:p>
    <w:p w14:paraId="6B37D235" w14:textId="77777777" w:rsidR="003F589E" w:rsidRPr="003F589E" w:rsidRDefault="003F589E" w:rsidP="003F589E">
      <w:pPr>
        <w:keepNext/>
        <w:rPr>
          <w:rFonts w:cs="Arial"/>
          <w:b/>
          <w:sz w:val="20"/>
          <w:szCs w:val="20"/>
        </w:rPr>
      </w:pPr>
      <w:r w:rsidRPr="003F589E">
        <w:rPr>
          <w:rFonts w:cs="Arial"/>
          <w:b/>
          <w:sz w:val="20"/>
          <w:szCs w:val="20"/>
        </w:rPr>
        <w:t>Daily Energy Consumption Calculation and Definitions</w:t>
      </w:r>
    </w:p>
    <w:p w14:paraId="57881D69" w14:textId="77777777" w:rsidR="003F589E" w:rsidRPr="003F589E" w:rsidRDefault="003F589E" w:rsidP="003F589E">
      <w:pPr>
        <w:keepNext/>
        <w:rPr>
          <w:rFonts w:cs="Arial"/>
          <w:b/>
          <w:sz w:val="16"/>
          <w:szCs w:val="16"/>
        </w:rPr>
      </w:pPr>
    </w:p>
    <w:p w14:paraId="1BDD1D30" w14:textId="77777777" w:rsidR="003F589E" w:rsidRPr="003F589E" w:rsidRDefault="003F589E" w:rsidP="003F589E">
      <w:pPr>
        <w:rPr>
          <w:rFonts w:cs="Arial"/>
          <w:sz w:val="20"/>
          <w:szCs w:val="20"/>
          <w:u w:val="single"/>
        </w:rPr>
      </w:pPr>
      <w:r w:rsidRPr="003F589E">
        <w:rPr>
          <w:rFonts w:cs="Arial"/>
          <w:sz w:val="20"/>
          <w:szCs w:val="20"/>
          <w:u w:val="single"/>
        </w:rPr>
        <w:t xml:space="preserve">EDAY = (LBFOOD x EFOOD) ÷ EFFICIENCY + [IDLERATE x (TON - LBFOOD/PC – </w:t>
      </w:r>
      <w:proofErr w:type="spellStart"/>
      <w:r w:rsidRPr="003F589E">
        <w:rPr>
          <w:rFonts w:cs="Arial"/>
          <w:sz w:val="20"/>
          <w:szCs w:val="20"/>
          <w:u w:val="single"/>
        </w:rPr>
        <w:t>nP</w:t>
      </w:r>
      <w:proofErr w:type="spellEnd"/>
      <w:r w:rsidRPr="003F589E">
        <w:rPr>
          <w:rFonts w:cs="Arial"/>
          <w:sz w:val="20"/>
          <w:szCs w:val="20"/>
          <w:u w:val="single"/>
        </w:rPr>
        <w:t xml:space="preserve"> x TP/60)] </w:t>
      </w:r>
      <w:r w:rsidRPr="003F589E">
        <w:rPr>
          <w:rFonts w:cs="Arial"/>
          <w:sz w:val="20"/>
          <w:szCs w:val="20"/>
          <w:u w:val="single"/>
        </w:rPr>
        <w:br/>
        <w:t xml:space="preserve">+ </w:t>
      </w:r>
      <w:proofErr w:type="spellStart"/>
      <w:r w:rsidRPr="003F589E">
        <w:rPr>
          <w:rFonts w:cs="Arial"/>
          <w:sz w:val="20"/>
          <w:szCs w:val="20"/>
          <w:u w:val="single"/>
        </w:rPr>
        <w:t>nP</w:t>
      </w:r>
      <w:proofErr w:type="spellEnd"/>
      <w:r w:rsidRPr="003F589E">
        <w:rPr>
          <w:rFonts w:cs="Arial"/>
          <w:sz w:val="20"/>
          <w:szCs w:val="20"/>
          <w:u w:val="single"/>
        </w:rPr>
        <w:t xml:space="preserve"> x EP</w:t>
      </w:r>
    </w:p>
    <w:p w14:paraId="0CB57E53" w14:textId="77777777" w:rsidR="003F589E" w:rsidRPr="003F589E" w:rsidRDefault="003F589E" w:rsidP="003F589E">
      <w:pPr>
        <w:rPr>
          <w:rFonts w:cs="Arial"/>
          <w:sz w:val="16"/>
          <w:szCs w:val="16"/>
        </w:rPr>
      </w:pPr>
    </w:p>
    <w:p w14:paraId="29BBFF5C" w14:textId="77777777" w:rsidR="003F589E" w:rsidRPr="003F589E" w:rsidRDefault="003F589E" w:rsidP="003F589E">
      <w:pPr>
        <w:rPr>
          <w:rFonts w:cs="Arial"/>
          <w:sz w:val="20"/>
          <w:szCs w:val="20"/>
        </w:rPr>
      </w:pPr>
      <w:r w:rsidRPr="003F589E">
        <w:rPr>
          <w:rFonts w:cs="Arial"/>
          <w:sz w:val="20"/>
          <w:szCs w:val="20"/>
        </w:rPr>
        <w:t>Where:</w:t>
      </w:r>
    </w:p>
    <w:p w14:paraId="2C4031A8" w14:textId="77777777" w:rsidR="003F589E" w:rsidRPr="003F589E" w:rsidRDefault="003F589E" w:rsidP="003F589E">
      <w:pPr>
        <w:rPr>
          <w:rFonts w:cs="Arial"/>
          <w:sz w:val="16"/>
          <w:szCs w:val="16"/>
        </w:rPr>
      </w:pPr>
    </w:p>
    <w:tbl>
      <w:tblPr>
        <w:tblW w:w="5000" w:type="pct"/>
        <w:jc w:val="center"/>
        <w:tblLook w:val="01E0" w:firstRow="1" w:lastRow="1" w:firstColumn="1" w:lastColumn="1" w:noHBand="0" w:noVBand="0"/>
      </w:tblPr>
      <w:tblGrid>
        <w:gridCol w:w="1980"/>
        <w:gridCol w:w="7596"/>
      </w:tblGrid>
      <w:tr w:rsidR="003F589E" w:rsidRPr="003F589E" w14:paraId="6C91CB25" w14:textId="77777777" w:rsidTr="001A0E28">
        <w:trPr>
          <w:trHeight w:val="288"/>
          <w:jc w:val="center"/>
        </w:trPr>
        <w:tc>
          <w:tcPr>
            <w:tcW w:w="1034" w:type="pct"/>
            <w:vAlign w:val="center"/>
          </w:tcPr>
          <w:p w14:paraId="35BDCD94" w14:textId="77777777" w:rsidR="003F589E" w:rsidRPr="003F589E" w:rsidRDefault="003F589E" w:rsidP="003F589E">
            <w:pPr>
              <w:rPr>
                <w:rFonts w:cs="Arial"/>
                <w:sz w:val="20"/>
                <w:szCs w:val="20"/>
              </w:rPr>
            </w:pPr>
            <w:r w:rsidRPr="003F589E">
              <w:rPr>
                <w:rFonts w:cs="Arial"/>
                <w:sz w:val="20"/>
                <w:szCs w:val="20"/>
              </w:rPr>
              <w:t>EDAY =</w:t>
            </w:r>
          </w:p>
        </w:tc>
        <w:tc>
          <w:tcPr>
            <w:tcW w:w="3966" w:type="pct"/>
            <w:vAlign w:val="center"/>
          </w:tcPr>
          <w:p w14:paraId="4D846E8C" w14:textId="77777777" w:rsidR="003F589E" w:rsidRPr="003F589E" w:rsidRDefault="003F589E" w:rsidP="003F589E">
            <w:pPr>
              <w:rPr>
                <w:rFonts w:cs="Arial"/>
                <w:sz w:val="20"/>
                <w:szCs w:val="20"/>
              </w:rPr>
            </w:pPr>
            <w:r w:rsidRPr="003F589E">
              <w:rPr>
                <w:rFonts w:cs="Arial"/>
                <w:sz w:val="20"/>
                <w:szCs w:val="20"/>
              </w:rPr>
              <w:t>Daily Energy Consumption (Btu/day)</w:t>
            </w:r>
          </w:p>
        </w:tc>
      </w:tr>
      <w:tr w:rsidR="003F589E" w:rsidRPr="003F589E" w14:paraId="64B4EA50" w14:textId="77777777" w:rsidTr="001A0E28">
        <w:trPr>
          <w:trHeight w:val="288"/>
          <w:jc w:val="center"/>
        </w:trPr>
        <w:tc>
          <w:tcPr>
            <w:tcW w:w="1034" w:type="pct"/>
            <w:vAlign w:val="center"/>
          </w:tcPr>
          <w:p w14:paraId="302B45ED" w14:textId="77777777" w:rsidR="003F589E" w:rsidRPr="003F589E" w:rsidRDefault="003F589E" w:rsidP="003F589E">
            <w:pPr>
              <w:rPr>
                <w:rFonts w:cs="Arial"/>
                <w:sz w:val="20"/>
                <w:szCs w:val="20"/>
              </w:rPr>
            </w:pPr>
            <w:r w:rsidRPr="003F589E">
              <w:rPr>
                <w:rFonts w:cs="Arial"/>
                <w:sz w:val="20"/>
                <w:szCs w:val="20"/>
              </w:rPr>
              <w:lastRenderedPageBreak/>
              <w:t>LBFOOD =</w:t>
            </w:r>
          </w:p>
        </w:tc>
        <w:tc>
          <w:tcPr>
            <w:tcW w:w="3966" w:type="pct"/>
            <w:vAlign w:val="center"/>
          </w:tcPr>
          <w:p w14:paraId="072655C4" w14:textId="77777777" w:rsidR="003F589E" w:rsidRPr="003F589E" w:rsidRDefault="003F589E" w:rsidP="003F589E">
            <w:pPr>
              <w:rPr>
                <w:rFonts w:cs="Arial"/>
                <w:sz w:val="20"/>
                <w:szCs w:val="20"/>
              </w:rPr>
            </w:pPr>
            <w:r w:rsidRPr="003F589E">
              <w:rPr>
                <w:rFonts w:cs="Arial"/>
                <w:sz w:val="20"/>
                <w:szCs w:val="20"/>
              </w:rPr>
              <w:t>Pounds of Food Cooked per Day</w:t>
            </w:r>
          </w:p>
        </w:tc>
      </w:tr>
      <w:tr w:rsidR="003F589E" w:rsidRPr="003F589E" w14:paraId="103CC4A8" w14:textId="77777777" w:rsidTr="001A0E28">
        <w:trPr>
          <w:trHeight w:val="288"/>
          <w:jc w:val="center"/>
        </w:trPr>
        <w:tc>
          <w:tcPr>
            <w:tcW w:w="1034" w:type="pct"/>
            <w:vAlign w:val="center"/>
          </w:tcPr>
          <w:p w14:paraId="0B8DDC0D" w14:textId="77777777" w:rsidR="003F589E" w:rsidRPr="003F589E" w:rsidRDefault="003F589E" w:rsidP="003F589E">
            <w:pPr>
              <w:rPr>
                <w:rFonts w:cs="Arial"/>
                <w:sz w:val="20"/>
                <w:szCs w:val="20"/>
              </w:rPr>
            </w:pPr>
            <w:r w:rsidRPr="003F589E">
              <w:rPr>
                <w:rFonts w:cs="Arial"/>
                <w:sz w:val="20"/>
                <w:szCs w:val="20"/>
              </w:rPr>
              <w:t>EFOOD =</w:t>
            </w:r>
          </w:p>
        </w:tc>
        <w:tc>
          <w:tcPr>
            <w:tcW w:w="3966" w:type="pct"/>
            <w:vAlign w:val="center"/>
          </w:tcPr>
          <w:p w14:paraId="5C3FA228" w14:textId="77777777" w:rsidR="003F589E" w:rsidRPr="003F589E" w:rsidRDefault="003F589E" w:rsidP="003F589E">
            <w:pPr>
              <w:rPr>
                <w:rFonts w:cs="Arial"/>
                <w:sz w:val="20"/>
                <w:szCs w:val="20"/>
              </w:rPr>
            </w:pPr>
            <w:r w:rsidRPr="003F589E">
              <w:rPr>
                <w:rFonts w:cs="Arial"/>
                <w:sz w:val="20"/>
                <w:szCs w:val="20"/>
              </w:rPr>
              <w:t>ASTM Energy to Food (Btu/</w:t>
            </w:r>
            <w:proofErr w:type="spellStart"/>
            <w:r w:rsidRPr="003F589E">
              <w:rPr>
                <w:rFonts w:cs="Arial"/>
                <w:sz w:val="20"/>
                <w:szCs w:val="20"/>
              </w:rPr>
              <w:t>lb</w:t>
            </w:r>
            <w:proofErr w:type="spellEnd"/>
            <w:r w:rsidRPr="003F589E">
              <w:rPr>
                <w:rFonts w:cs="Arial"/>
                <w:sz w:val="20"/>
                <w:szCs w:val="20"/>
              </w:rPr>
              <w:t>) = Btu/pound of energy absorbed by food product during cooking</w:t>
            </w:r>
          </w:p>
        </w:tc>
      </w:tr>
      <w:tr w:rsidR="003F589E" w:rsidRPr="003F589E" w14:paraId="2FC060EF" w14:textId="77777777" w:rsidTr="001A0E28">
        <w:trPr>
          <w:trHeight w:val="288"/>
          <w:jc w:val="center"/>
        </w:trPr>
        <w:tc>
          <w:tcPr>
            <w:tcW w:w="1034" w:type="pct"/>
            <w:vAlign w:val="center"/>
          </w:tcPr>
          <w:p w14:paraId="065118A2" w14:textId="77777777" w:rsidR="003F589E" w:rsidRPr="003F589E" w:rsidRDefault="003F589E" w:rsidP="003F589E">
            <w:pPr>
              <w:rPr>
                <w:rFonts w:cs="Arial"/>
                <w:sz w:val="20"/>
                <w:szCs w:val="20"/>
              </w:rPr>
            </w:pPr>
            <w:r w:rsidRPr="003F589E">
              <w:rPr>
                <w:rFonts w:cs="Arial"/>
                <w:sz w:val="20"/>
                <w:szCs w:val="20"/>
              </w:rPr>
              <w:t xml:space="preserve">EFFICIENCY = </w:t>
            </w:r>
          </w:p>
        </w:tc>
        <w:tc>
          <w:tcPr>
            <w:tcW w:w="3966" w:type="pct"/>
            <w:vAlign w:val="center"/>
          </w:tcPr>
          <w:p w14:paraId="702AA9C8" w14:textId="77777777" w:rsidR="003F589E" w:rsidRPr="003F589E" w:rsidRDefault="003F589E" w:rsidP="003F589E">
            <w:pPr>
              <w:rPr>
                <w:rFonts w:cs="Arial"/>
                <w:sz w:val="20"/>
                <w:szCs w:val="20"/>
              </w:rPr>
            </w:pPr>
            <w:r w:rsidRPr="003F589E">
              <w:rPr>
                <w:rFonts w:cs="Arial"/>
                <w:sz w:val="20"/>
                <w:szCs w:val="20"/>
              </w:rPr>
              <w:t>Heavy Load Cooking Energy Efficiency %</w:t>
            </w:r>
          </w:p>
        </w:tc>
      </w:tr>
      <w:tr w:rsidR="003F589E" w:rsidRPr="003F589E" w14:paraId="41CFC937" w14:textId="77777777" w:rsidTr="001A0E28">
        <w:trPr>
          <w:trHeight w:val="288"/>
          <w:jc w:val="center"/>
        </w:trPr>
        <w:tc>
          <w:tcPr>
            <w:tcW w:w="1034" w:type="pct"/>
            <w:vAlign w:val="center"/>
          </w:tcPr>
          <w:p w14:paraId="02536D4C" w14:textId="77777777" w:rsidR="003F589E" w:rsidRPr="003F589E" w:rsidRDefault="003F589E" w:rsidP="003F589E">
            <w:pPr>
              <w:rPr>
                <w:rFonts w:cs="Arial"/>
                <w:sz w:val="20"/>
                <w:szCs w:val="20"/>
              </w:rPr>
            </w:pPr>
            <w:r w:rsidRPr="003F589E">
              <w:rPr>
                <w:rFonts w:cs="Arial"/>
                <w:sz w:val="20"/>
                <w:szCs w:val="20"/>
              </w:rPr>
              <w:t>IDLE RATE =</w:t>
            </w:r>
          </w:p>
        </w:tc>
        <w:tc>
          <w:tcPr>
            <w:tcW w:w="3966" w:type="pct"/>
            <w:vAlign w:val="center"/>
          </w:tcPr>
          <w:p w14:paraId="5594A020" w14:textId="77777777" w:rsidR="003F589E" w:rsidRPr="003F589E" w:rsidRDefault="003F589E" w:rsidP="003F589E">
            <w:pPr>
              <w:rPr>
                <w:rFonts w:cs="Arial"/>
                <w:sz w:val="20"/>
                <w:szCs w:val="20"/>
              </w:rPr>
            </w:pPr>
            <w:r w:rsidRPr="003F589E">
              <w:rPr>
                <w:rFonts w:cs="Arial"/>
                <w:sz w:val="20"/>
                <w:szCs w:val="20"/>
              </w:rPr>
              <w:t>Idle Energy Rate (Btu/h)</w:t>
            </w:r>
          </w:p>
        </w:tc>
      </w:tr>
      <w:tr w:rsidR="003F589E" w:rsidRPr="003F589E" w14:paraId="29EEB57F" w14:textId="77777777" w:rsidTr="001A0E28">
        <w:trPr>
          <w:trHeight w:val="288"/>
          <w:jc w:val="center"/>
        </w:trPr>
        <w:tc>
          <w:tcPr>
            <w:tcW w:w="1034" w:type="pct"/>
            <w:vAlign w:val="center"/>
          </w:tcPr>
          <w:p w14:paraId="5B670870" w14:textId="77777777" w:rsidR="003F589E" w:rsidRPr="003F589E" w:rsidRDefault="003F589E" w:rsidP="003F589E">
            <w:pPr>
              <w:rPr>
                <w:rFonts w:cs="Arial"/>
                <w:sz w:val="20"/>
                <w:szCs w:val="20"/>
              </w:rPr>
            </w:pPr>
            <w:r w:rsidRPr="003F589E">
              <w:rPr>
                <w:rFonts w:cs="Arial"/>
                <w:sz w:val="20"/>
                <w:szCs w:val="20"/>
              </w:rPr>
              <w:t>TON =</w:t>
            </w:r>
          </w:p>
        </w:tc>
        <w:tc>
          <w:tcPr>
            <w:tcW w:w="3966" w:type="pct"/>
            <w:vAlign w:val="center"/>
          </w:tcPr>
          <w:p w14:paraId="1ABB9924" w14:textId="77777777" w:rsidR="003F589E" w:rsidRPr="003F589E" w:rsidRDefault="003F589E" w:rsidP="003F589E">
            <w:pPr>
              <w:rPr>
                <w:rFonts w:cs="Arial"/>
                <w:sz w:val="20"/>
                <w:szCs w:val="20"/>
              </w:rPr>
            </w:pPr>
            <w:r w:rsidRPr="003F589E">
              <w:rPr>
                <w:rFonts w:cs="Arial"/>
                <w:sz w:val="20"/>
                <w:szCs w:val="20"/>
              </w:rPr>
              <w:t>Operating Hours/Day</w:t>
            </w:r>
          </w:p>
        </w:tc>
      </w:tr>
      <w:tr w:rsidR="003F589E" w:rsidRPr="003F589E" w14:paraId="3110C4DE" w14:textId="77777777" w:rsidTr="001A0E28">
        <w:trPr>
          <w:trHeight w:val="288"/>
          <w:jc w:val="center"/>
        </w:trPr>
        <w:tc>
          <w:tcPr>
            <w:tcW w:w="1034" w:type="pct"/>
            <w:vAlign w:val="center"/>
          </w:tcPr>
          <w:p w14:paraId="45B5A48D" w14:textId="77777777" w:rsidR="003F589E" w:rsidRPr="003F589E" w:rsidRDefault="003F589E" w:rsidP="003F589E">
            <w:pPr>
              <w:rPr>
                <w:rFonts w:cs="Arial"/>
                <w:sz w:val="20"/>
                <w:szCs w:val="20"/>
              </w:rPr>
            </w:pPr>
            <w:r w:rsidRPr="003F589E">
              <w:rPr>
                <w:rFonts w:cs="Arial"/>
                <w:sz w:val="20"/>
                <w:szCs w:val="20"/>
              </w:rPr>
              <w:t>PC =</w:t>
            </w:r>
          </w:p>
        </w:tc>
        <w:tc>
          <w:tcPr>
            <w:tcW w:w="3966" w:type="pct"/>
            <w:vAlign w:val="center"/>
          </w:tcPr>
          <w:p w14:paraId="64767FC6" w14:textId="77777777" w:rsidR="003F589E" w:rsidRPr="003F589E" w:rsidRDefault="003F589E" w:rsidP="003F589E">
            <w:pPr>
              <w:rPr>
                <w:rFonts w:cs="Arial"/>
                <w:sz w:val="20"/>
                <w:szCs w:val="20"/>
              </w:rPr>
            </w:pPr>
            <w:r w:rsidRPr="003F589E">
              <w:rPr>
                <w:rFonts w:cs="Arial"/>
                <w:sz w:val="20"/>
                <w:szCs w:val="20"/>
              </w:rPr>
              <w:t>Production Capacity (</w:t>
            </w:r>
            <w:proofErr w:type="spellStart"/>
            <w:r w:rsidRPr="003F589E">
              <w:rPr>
                <w:rFonts w:cs="Arial"/>
                <w:sz w:val="20"/>
                <w:szCs w:val="20"/>
              </w:rPr>
              <w:t>lbs</w:t>
            </w:r>
            <w:proofErr w:type="spellEnd"/>
            <w:r w:rsidRPr="003F589E">
              <w:rPr>
                <w:rFonts w:cs="Arial"/>
                <w:sz w:val="20"/>
                <w:szCs w:val="20"/>
              </w:rPr>
              <w:t>/</w:t>
            </w:r>
            <w:proofErr w:type="spellStart"/>
            <w:r w:rsidRPr="003F589E">
              <w:rPr>
                <w:rFonts w:cs="Arial"/>
                <w:sz w:val="20"/>
                <w:szCs w:val="20"/>
              </w:rPr>
              <w:t>hr</w:t>
            </w:r>
            <w:proofErr w:type="spellEnd"/>
            <w:r w:rsidRPr="003F589E">
              <w:rPr>
                <w:rFonts w:cs="Arial"/>
                <w:sz w:val="20"/>
                <w:szCs w:val="20"/>
              </w:rPr>
              <w:t>)</w:t>
            </w:r>
          </w:p>
        </w:tc>
      </w:tr>
      <w:tr w:rsidR="003F589E" w:rsidRPr="003F589E" w14:paraId="7A82EB7B" w14:textId="77777777" w:rsidTr="001A0E28">
        <w:trPr>
          <w:trHeight w:val="288"/>
          <w:jc w:val="center"/>
        </w:trPr>
        <w:tc>
          <w:tcPr>
            <w:tcW w:w="1034" w:type="pct"/>
            <w:vAlign w:val="center"/>
          </w:tcPr>
          <w:p w14:paraId="6B5D4EBD" w14:textId="77777777" w:rsidR="003F589E" w:rsidRPr="003F589E" w:rsidRDefault="003F589E" w:rsidP="003F589E">
            <w:pPr>
              <w:rPr>
                <w:rFonts w:cs="Arial"/>
                <w:sz w:val="20"/>
                <w:szCs w:val="20"/>
              </w:rPr>
            </w:pPr>
            <w:r w:rsidRPr="003F589E">
              <w:rPr>
                <w:rFonts w:cs="Arial"/>
                <w:sz w:val="20"/>
                <w:szCs w:val="20"/>
              </w:rPr>
              <w:t>TP =</w:t>
            </w:r>
          </w:p>
        </w:tc>
        <w:tc>
          <w:tcPr>
            <w:tcW w:w="3966" w:type="pct"/>
            <w:vAlign w:val="center"/>
          </w:tcPr>
          <w:p w14:paraId="75A29D8C" w14:textId="77777777" w:rsidR="003F589E" w:rsidRPr="003F589E" w:rsidRDefault="003F589E" w:rsidP="003F589E">
            <w:pPr>
              <w:rPr>
                <w:rFonts w:cs="Arial"/>
                <w:sz w:val="20"/>
                <w:szCs w:val="20"/>
              </w:rPr>
            </w:pPr>
            <w:r w:rsidRPr="003F589E">
              <w:rPr>
                <w:rFonts w:cs="Arial"/>
                <w:sz w:val="20"/>
                <w:szCs w:val="20"/>
              </w:rPr>
              <w:t>Preheat Time (min)</w:t>
            </w:r>
          </w:p>
        </w:tc>
      </w:tr>
      <w:tr w:rsidR="003F589E" w:rsidRPr="003F589E" w14:paraId="639B572A" w14:textId="77777777" w:rsidTr="001A0E28">
        <w:trPr>
          <w:trHeight w:val="288"/>
          <w:jc w:val="center"/>
        </w:trPr>
        <w:tc>
          <w:tcPr>
            <w:tcW w:w="1034" w:type="pct"/>
            <w:vAlign w:val="center"/>
          </w:tcPr>
          <w:p w14:paraId="0B90D5FB" w14:textId="77777777" w:rsidR="003F589E" w:rsidRPr="003F589E" w:rsidRDefault="003F589E" w:rsidP="003F589E">
            <w:pPr>
              <w:rPr>
                <w:rFonts w:cs="Arial"/>
                <w:sz w:val="20"/>
                <w:szCs w:val="20"/>
              </w:rPr>
            </w:pPr>
            <w:proofErr w:type="spellStart"/>
            <w:r w:rsidRPr="003F589E">
              <w:rPr>
                <w:rFonts w:cs="Arial"/>
                <w:sz w:val="20"/>
                <w:szCs w:val="20"/>
              </w:rPr>
              <w:t>nP</w:t>
            </w:r>
            <w:proofErr w:type="spellEnd"/>
            <w:r w:rsidRPr="003F589E">
              <w:rPr>
                <w:rFonts w:cs="Arial"/>
                <w:sz w:val="20"/>
                <w:szCs w:val="20"/>
              </w:rPr>
              <w:t xml:space="preserve"> =</w:t>
            </w:r>
          </w:p>
        </w:tc>
        <w:tc>
          <w:tcPr>
            <w:tcW w:w="3966" w:type="pct"/>
            <w:vAlign w:val="center"/>
          </w:tcPr>
          <w:p w14:paraId="4E6DC13E" w14:textId="77777777" w:rsidR="003F589E" w:rsidRPr="003F589E" w:rsidRDefault="003F589E" w:rsidP="003F589E">
            <w:pPr>
              <w:rPr>
                <w:rFonts w:cs="Arial"/>
                <w:sz w:val="20"/>
                <w:szCs w:val="20"/>
              </w:rPr>
            </w:pPr>
            <w:r w:rsidRPr="003F589E">
              <w:rPr>
                <w:rFonts w:cs="Arial"/>
                <w:sz w:val="20"/>
                <w:szCs w:val="20"/>
              </w:rPr>
              <w:t>Number of preheats/Day</w:t>
            </w:r>
          </w:p>
        </w:tc>
      </w:tr>
      <w:tr w:rsidR="003F589E" w:rsidRPr="003F589E" w14:paraId="0EAC556D" w14:textId="77777777" w:rsidTr="001A0E28">
        <w:trPr>
          <w:trHeight w:val="288"/>
          <w:jc w:val="center"/>
        </w:trPr>
        <w:tc>
          <w:tcPr>
            <w:tcW w:w="1034" w:type="pct"/>
            <w:vAlign w:val="center"/>
          </w:tcPr>
          <w:p w14:paraId="596BD8D2" w14:textId="77777777" w:rsidR="003F589E" w:rsidRPr="003F589E" w:rsidRDefault="003F589E" w:rsidP="003F589E">
            <w:pPr>
              <w:rPr>
                <w:rFonts w:cs="Arial"/>
                <w:sz w:val="20"/>
                <w:szCs w:val="20"/>
              </w:rPr>
            </w:pPr>
            <w:r w:rsidRPr="003F589E">
              <w:rPr>
                <w:rFonts w:cs="Arial"/>
                <w:sz w:val="20"/>
                <w:szCs w:val="20"/>
              </w:rPr>
              <w:t>EP =</w:t>
            </w:r>
          </w:p>
        </w:tc>
        <w:tc>
          <w:tcPr>
            <w:tcW w:w="3966" w:type="pct"/>
            <w:vAlign w:val="center"/>
          </w:tcPr>
          <w:p w14:paraId="1969E614" w14:textId="77777777" w:rsidR="003F589E" w:rsidRPr="003F589E" w:rsidRDefault="003F589E" w:rsidP="003F589E">
            <w:pPr>
              <w:rPr>
                <w:rFonts w:cs="Arial"/>
                <w:sz w:val="20"/>
                <w:szCs w:val="20"/>
              </w:rPr>
            </w:pPr>
            <w:r w:rsidRPr="003F589E">
              <w:rPr>
                <w:rFonts w:cs="Arial"/>
                <w:sz w:val="20"/>
                <w:szCs w:val="20"/>
              </w:rPr>
              <w:t>Preheat Energy (Btu)</w:t>
            </w:r>
          </w:p>
        </w:tc>
      </w:tr>
    </w:tbl>
    <w:p w14:paraId="393A10A5" w14:textId="77777777" w:rsidR="00B7164C" w:rsidRPr="007A4D97" w:rsidRDefault="00C069A2" w:rsidP="00D20486">
      <w:pPr>
        <w:pStyle w:val="Heading1"/>
        <w:rPr>
          <w:i/>
          <w:sz w:val="28"/>
          <w:szCs w:val="28"/>
        </w:rPr>
      </w:pPr>
      <w:bookmarkStart w:id="113" w:name="_Toc385935873"/>
      <w:proofErr w:type="gramStart"/>
      <w:r w:rsidRPr="007A4D97">
        <w:rPr>
          <w:i/>
          <w:sz w:val="28"/>
          <w:szCs w:val="28"/>
        </w:rPr>
        <w:t>Section 3</w:t>
      </w:r>
      <w:r w:rsidR="003129E8" w:rsidRPr="007A4D97">
        <w:rPr>
          <w:i/>
          <w:sz w:val="28"/>
          <w:szCs w:val="28"/>
        </w:rPr>
        <w:t>.</w:t>
      </w:r>
      <w:proofErr w:type="gramEnd"/>
      <w:r w:rsidRPr="007A4D97">
        <w:rPr>
          <w:i/>
          <w:sz w:val="28"/>
          <w:szCs w:val="28"/>
        </w:rPr>
        <w:t xml:space="preserve"> Load Shapes</w:t>
      </w:r>
      <w:bookmarkEnd w:id="108"/>
      <w:bookmarkEnd w:id="109"/>
      <w:bookmarkEnd w:id="110"/>
      <w:bookmarkEnd w:id="113"/>
      <w:r w:rsidR="00844B27" w:rsidRPr="007A4D97">
        <w:rPr>
          <w:i/>
          <w:sz w:val="28"/>
          <w:szCs w:val="28"/>
        </w:rPr>
        <w:t xml:space="preserve"> </w:t>
      </w:r>
    </w:p>
    <w:p w14:paraId="7A5CF7BC" w14:textId="77777777" w:rsidR="001A0E28" w:rsidRPr="001A0E28" w:rsidRDefault="001A0E28" w:rsidP="001A0E28">
      <w:pPr>
        <w:autoSpaceDE w:val="0"/>
        <w:autoSpaceDN w:val="0"/>
        <w:adjustRightInd w:val="0"/>
        <w:rPr>
          <w:rFonts w:cs="Arial"/>
          <w:sz w:val="24"/>
        </w:rPr>
      </w:pPr>
      <w:bookmarkStart w:id="114" w:name="_Toc173742996"/>
      <w:bookmarkStart w:id="115" w:name="_Toc304800215"/>
      <w:bookmarkStart w:id="116" w:name="_Toc324318369"/>
      <w:bookmarkStart w:id="117" w:name="_Toc324340498"/>
      <w:r w:rsidRPr="001A0E28">
        <w:rPr>
          <w:rFonts w:cs="Arial"/>
          <w:sz w:val="24"/>
        </w:rP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14:paraId="393A10AE" w14:textId="77777777" w:rsidR="00B7164C" w:rsidRPr="001A0E28" w:rsidRDefault="00BF0332" w:rsidP="0087599D">
      <w:pPr>
        <w:pStyle w:val="Heading2"/>
      </w:pPr>
      <w:bookmarkStart w:id="118" w:name="_Toc385935874"/>
      <w:r w:rsidRPr="001A0E28">
        <w:t>3.1 Base Case</w:t>
      </w:r>
      <w:r w:rsidR="00B7164C" w:rsidRPr="001A0E28">
        <w:t xml:space="preserve"> Load Shapes</w:t>
      </w:r>
      <w:bookmarkEnd w:id="114"/>
      <w:bookmarkEnd w:id="115"/>
      <w:bookmarkEnd w:id="116"/>
      <w:bookmarkEnd w:id="117"/>
      <w:bookmarkEnd w:id="118"/>
    </w:p>
    <w:p w14:paraId="393A10AF" w14:textId="250B70A2" w:rsidR="008840FA" w:rsidRPr="001A0E28" w:rsidRDefault="008840FA" w:rsidP="008840FA">
      <w:pPr>
        <w:rPr>
          <w:rFonts w:cs="Arial"/>
          <w:sz w:val="20"/>
          <w:szCs w:val="20"/>
        </w:rPr>
      </w:pPr>
      <w:bookmarkStart w:id="119" w:name="_Toc173742997"/>
      <w:r w:rsidRPr="001A0E28">
        <w:rPr>
          <w:rFonts w:cs="Arial"/>
          <w:sz w:val="20"/>
          <w:szCs w:val="20"/>
        </w:rPr>
        <w:t xml:space="preserve"> </w:t>
      </w:r>
      <w:r w:rsidRPr="001A0E28">
        <w:rPr>
          <w:rFonts w:cs="Arial"/>
          <w:sz w:val="20"/>
          <w:szCs w:val="20"/>
        </w:rPr>
        <w:fldChar w:fldCharType="begin"/>
      </w:r>
      <w:r w:rsidRPr="001A0E28">
        <w:rPr>
          <w:rFonts w:cs="Arial"/>
          <w:sz w:val="20"/>
          <w:szCs w:val="20"/>
        </w:rPr>
        <w:instrText xml:space="preserve"> XE "load shape" </w:instrText>
      </w:r>
      <w:r w:rsidRPr="001A0E28">
        <w:rPr>
          <w:rFonts w:cs="Arial"/>
          <w:sz w:val="20"/>
          <w:szCs w:val="20"/>
        </w:rPr>
        <w:fldChar w:fldCharType="end"/>
      </w:r>
      <w:r w:rsidR="00B66898" w:rsidRPr="001A0E28">
        <w:rPr>
          <w:rFonts w:cs="Arial"/>
          <w:sz w:val="20"/>
          <w:szCs w:val="20"/>
        </w:rPr>
        <w:t>T</w:t>
      </w:r>
      <w:r w:rsidRPr="001A0E28">
        <w:rPr>
          <w:rFonts w:cs="Arial"/>
          <w:sz w:val="20"/>
          <w:szCs w:val="20"/>
        </w:rPr>
        <w:t xml:space="preserve">he closest load shape chosen for this measure is the </w:t>
      </w:r>
      <w:proofErr w:type="spellStart"/>
      <w:r w:rsidRPr="001A0E28">
        <w:rPr>
          <w:rFonts w:cs="Arial"/>
          <w:sz w:val="20"/>
          <w:szCs w:val="20"/>
        </w:rPr>
        <w:t>DEER</w:t>
      </w:r>
      <w:proofErr w:type="gramStart"/>
      <w:r w:rsidRPr="001A0E28">
        <w:rPr>
          <w:rFonts w:cs="Arial"/>
          <w:sz w:val="20"/>
          <w:szCs w:val="20"/>
        </w:rPr>
        <w:t>:Indoor</w:t>
      </w:r>
      <w:proofErr w:type="gramEnd"/>
      <w:r w:rsidRPr="001A0E28">
        <w:rPr>
          <w:rFonts w:cs="Arial"/>
          <w:sz w:val="20"/>
          <w:szCs w:val="20"/>
        </w:rPr>
        <w:t>_Non-CFL_Ltg</w:t>
      </w:r>
      <w:proofErr w:type="spellEnd"/>
      <w:r w:rsidRPr="001A0E28">
        <w:rPr>
          <w:rFonts w:cs="Arial"/>
          <w:sz w:val="20"/>
          <w:szCs w:val="20"/>
        </w:rPr>
        <w:t xml:space="preserve"> load shape.</w:t>
      </w:r>
      <w:r w:rsidR="00437BE1" w:rsidRPr="001A0E28">
        <w:rPr>
          <w:rFonts w:cs="Arial"/>
          <w:sz w:val="20"/>
          <w:szCs w:val="20"/>
        </w:rPr>
        <w:t xml:space="preserve"> </w:t>
      </w:r>
      <w:r w:rsidRPr="001A0E28">
        <w:rPr>
          <w:rFonts w:cs="Arial"/>
          <w:sz w:val="20"/>
          <w:szCs w:val="20"/>
        </w:rPr>
        <w:t xml:space="preserve">See </w:t>
      </w:r>
      <w:r w:rsidR="001A0E28" w:rsidRPr="001A0E28">
        <w:rPr>
          <w:rFonts w:cs="Arial"/>
          <w:sz w:val="20"/>
          <w:szCs w:val="20"/>
        </w:rPr>
        <w:t>Table 13</w:t>
      </w:r>
      <w:r w:rsidRPr="001A0E28">
        <w:rPr>
          <w:rFonts w:cs="Arial"/>
          <w:sz w:val="20"/>
          <w:szCs w:val="20"/>
        </w:rPr>
        <w:t xml:space="preserve"> for a list of all Building Types and Load Shapes.</w:t>
      </w:r>
      <w:r w:rsidR="00437BE1" w:rsidRPr="001A0E28">
        <w:rPr>
          <w:rFonts w:cs="Arial"/>
          <w:sz w:val="20"/>
          <w:szCs w:val="20"/>
        </w:rPr>
        <w:t xml:space="preserve"> </w:t>
      </w:r>
      <w:r w:rsidRPr="001A0E28">
        <w:rPr>
          <w:rFonts w:cs="Arial"/>
          <w:sz w:val="20"/>
          <w:szCs w:val="20"/>
        </w:rPr>
        <w:t>See the KEMA report [31] for a more thorough discussion regarding the load shapes for this measure.</w:t>
      </w:r>
    </w:p>
    <w:p w14:paraId="393A10B0" w14:textId="77777777" w:rsidR="00B66898" w:rsidRPr="001A0E28" w:rsidRDefault="00B66898" w:rsidP="007F2147">
      <w:pPr>
        <w:pStyle w:val="Caption"/>
        <w:rPr>
          <w:rFonts w:cs="Arial"/>
        </w:rPr>
      </w:pPr>
    </w:p>
    <w:p w14:paraId="393A10B1" w14:textId="12803C10" w:rsidR="008840FA" w:rsidRPr="001A0E28" w:rsidRDefault="008840FA" w:rsidP="001A0E28">
      <w:pPr>
        <w:pStyle w:val="Caption"/>
        <w:rPr>
          <w:rFonts w:cs="Arial"/>
          <w:b w:val="0"/>
        </w:rPr>
      </w:pPr>
      <w:bookmarkStart w:id="120" w:name="_Toc324427649"/>
      <w:r w:rsidRPr="001A0E28">
        <w:rPr>
          <w:rFonts w:cs="Arial"/>
        </w:rPr>
        <w:t xml:space="preserve">Table </w:t>
      </w:r>
      <w:r w:rsidR="001A0E28" w:rsidRPr="001A0E28">
        <w:rPr>
          <w:rFonts w:cs="Arial"/>
        </w:rPr>
        <w:t>13</w:t>
      </w:r>
      <w:r w:rsidRPr="001A0E28">
        <w:rPr>
          <w:rFonts w:cs="Arial"/>
        </w:rPr>
        <w:t xml:space="preserve"> </w:t>
      </w:r>
      <w:r w:rsidR="00A95AB5" w:rsidRPr="001A0E28">
        <w:rPr>
          <w:rFonts w:cs="Arial"/>
        </w:rPr>
        <w:t xml:space="preserve">Base Case </w:t>
      </w:r>
      <w:r w:rsidRPr="001A0E28">
        <w:rPr>
          <w:rFonts w:cs="Arial"/>
        </w:rPr>
        <w:t>Building Types and Load Shapes</w:t>
      </w:r>
      <w:bookmarkEnd w:id="120"/>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9B1863" w:rsidRPr="001A0E28" w14:paraId="393A10B5" w14:textId="77777777" w:rsidTr="001E4C31">
        <w:tc>
          <w:tcPr>
            <w:tcW w:w="1760" w:type="pct"/>
            <w:shd w:val="clear" w:color="auto" w:fill="262626"/>
            <w:vAlign w:val="bottom"/>
          </w:tcPr>
          <w:p w14:paraId="393A10B2" w14:textId="77777777" w:rsidR="008840FA" w:rsidRPr="001A0E28" w:rsidRDefault="008840FA" w:rsidP="001E4C31">
            <w:pPr>
              <w:keepLines/>
              <w:jc w:val="center"/>
              <w:rPr>
                <w:rFonts w:cs="Arial"/>
                <w:b/>
                <w:bCs/>
                <w:color w:val="F2F2F2"/>
                <w:sz w:val="20"/>
                <w:szCs w:val="20"/>
                <w:highlight w:val="yellow"/>
              </w:rPr>
            </w:pPr>
            <w:r w:rsidRPr="001A0E28">
              <w:rPr>
                <w:rFonts w:cs="Arial"/>
                <w:b/>
                <w:bCs/>
                <w:color w:val="F2F2F2"/>
                <w:sz w:val="20"/>
                <w:szCs w:val="20"/>
              </w:rPr>
              <w:t>Building Type</w:t>
            </w:r>
          </w:p>
        </w:tc>
        <w:tc>
          <w:tcPr>
            <w:tcW w:w="1729" w:type="pct"/>
            <w:shd w:val="clear" w:color="auto" w:fill="262626"/>
            <w:vAlign w:val="bottom"/>
          </w:tcPr>
          <w:p w14:paraId="393A10B3" w14:textId="77777777" w:rsidR="008840FA" w:rsidRPr="001A0E28" w:rsidRDefault="008840FA" w:rsidP="001E4C31">
            <w:pPr>
              <w:keepLines/>
              <w:jc w:val="center"/>
              <w:rPr>
                <w:rFonts w:cs="Arial"/>
                <w:b/>
                <w:bCs/>
                <w:color w:val="F2F2F2"/>
                <w:sz w:val="20"/>
                <w:szCs w:val="20"/>
                <w:highlight w:val="yellow"/>
              </w:rPr>
            </w:pPr>
            <w:r w:rsidRPr="001A0E28">
              <w:rPr>
                <w:rFonts w:cs="Arial"/>
                <w:b/>
                <w:bCs/>
                <w:color w:val="F2F2F2"/>
                <w:sz w:val="20"/>
                <w:szCs w:val="20"/>
              </w:rPr>
              <w:t>E3 Alt. Building Type</w:t>
            </w:r>
          </w:p>
        </w:tc>
        <w:tc>
          <w:tcPr>
            <w:tcW w:w="1511" w:type="pct"/>
            <w:shd w:val="clear" w:color="auto" w:fill="262626"/>
            <w:vAlign w:val="bottom"/>
          </w:tcPr>
          <w:p w14:paraId="393A10B4" w14:textId="77777777" w:rsidR="008840FA" w:rsidRPr="001A0E28" w:rsidRDefault="008840FA" w:rsidP="001E4C31">
            <w:pPr>
              <w:keepLines/>
              <w:jc w:val="center"/>
              <w:rPr>
                <w:rFonts w:cs="Arial"/>
                <w:b/>
                <w:bCs/>
                <w:color w:val="F2F2F2"/>
                <w:sz w:val="20"/>
                <w:szCs w:val="20"/>
              </w:rPr>
            </w:pPr>
            <w:r w:rsidRPr="001A0E28">
              <w:rPr>
                <w:rFonts w:cs="Arial"/>
                <w:b/>
                <w:bCs/>
                <w:color w:val="F2F2F2"/>
                <w:sz w:val="20"/>
                <w:szCs w:val="20"/>
              </w:rPr>
              <w:t>Load Shape</w:t>
            </w:r>
          </w:p>
        </w:tc>
      </w:tr>
      <w:tr w:rsidR="009B1863" w:rsidRPr="001A0E28" w14:paraId="393A10B9" w14:textId="77777777" w:rsidTr="001E4C31">
        <w:tc>
          <w:tcPr>
            <w:tcW w:w="1760" w:type="pct"/>
            <w:shd w:val="pct5" w:color="000000" w:fill="FFFFFF"/>
            <w:vAlign w:val="bottom"/>
          </w:tcPr>
          <w:p w14:paraId="393A10B6" w14:textId="77777777" w:rsidR="008840FA" w:rsidRPr="001A0E28" w:rsidRDefault="008840FA" w:rsidP="001E4C31">
            <w:pPr>
              <w:jc w:val="center"/>
              <w:rPr>
                <w:rFonts w:cs="Arial"/>
                <w:sz w:val="20"/>
                <w:szCs w:val="20"/>
              </w:rPr>
            </w:pPr>
            <w:r w:rsidRPr="001A0E28">
              <w:rPr>
                <w:rFonts w:cs="Arial"/>
                <w:sz w:val="20"/>
                <w:szCs w:val="20"/>
              </w:rPr>
              <w:t>Restaurant – Fast Food</w:t>
            </w:r>
          </w:p>
        </w:tc>
        <w:tc>
          <w:tcPr>
            <w:tcW w:w="1729" w:type="pct"/>
            <w:shd w:val="pct5" w:color="000000" w:fill="FFFFFF"/>
            <w:vAlign w:val="bottom"/>
          </w:tcPr>
          <w:p w14:paraId="393A10B7" w14:textId="77777777" w:rsidR="008840FA" w:rsidRPr="001A0E28" w:rsidRDefault="008840FA" w:rsidP="001E4C31">
            <w:pPr>
              <w:jc w:val="center"/>
              <w:rPr>
                <w:rFonts w:cs="Arial"/>
                <w:sz w:val="20"/>
                <w:szCs w:val="20"/>
              </w:rPr>
            </w:pPr>
            <w:r w:rsidRPr="001A0E28">
              <w:rPr>
                <w:rFonts w:cs="Arial"/>
                <w:sz w:val="20"/>
                <w:szCs w:val="20"/>
              </w:rPr>
              <w:t>NON_RES</w:t>
            </w:r>
          </w:p>
        </w:tc>
        <w:tc>
          <w:tcPr>
            <w:tcW w:w="1511" w:type="pct"/>
            <w:shd w:val="pct5" w:color="000000" w:fill="FFFFFF"/>
            <w:vAlign w:val="bottom"/>
          </w:tcPr>
          <w:p w14:paraId="393A10B8" w14:textId="77777777" w:rsidR="008840FA" w:rsidRPr="001A0E28" w:rsidRDefault="008840FA" w:rsidP="001E4C31">
            <w:pPr>
              <w:jc w:val="center"/>
              <w:rPr>
                <w:rFonts w:cs="Arial"/>
                <w:sz w:val="20"/>
                <w:szCs w:val="20"/>
              </w:rPr>
            </w:pPr>
            <w:proofErr w:type="spellStart"/>
            <w:r w:rsidRPr="001A0E28">
              <w:rPr>
                <w:rFonts w:cs="Arial"/>
                <w:sz w:val="20"/>
                <w:szCs w:val="20"/>
              </w:rPr>
              <w:t>DEER:Indoor_Non-CFL_Ltg</w:t>
            </w:r>
            <w:proofErr w:type="spellEnd"/>
          </w:p>
        </w:tc>
      </w:tr>
    </w:tbl>
    <w:p w14:paraId="393A10BE" w14:textId="77777777" w:rsidR="008840FA" w:rsidRPr="001A0E28" w:rsidRDefault="008840FA" w:rsidP="00B7164C">
      <w:pPr>
        <w:rPr>
          <w:rFonts w:cs="Arial"/>
          <w:sz w:val="20"/>
          <w:szCs w:val="20"/>
        </w:rPr>
      </w:pPr>
    </w:p>
    <w:p w14:paraId="41E15817" w14:textId="77777777" w:rsidR="001A0E28" w:rsidRPr="001A0E28" w:rsidRDefault="001A0E28" w:rsidP="001A0E28">
      <w:pPr>
        <w:rPr>
          <w:rFonts w:cs="Arial"/>
          <w:sz w:val="24"/>
        </w:rPr>
      </w:pPr>
      <w:r w:rsidRPr="001A0E28">
        <w:rPr>
          <w:rFonts w:cs="Arial"/>
          <w:sz w:val="24"/>
        </w:rPr>
        <w:t>The base case load shape would be expected to follow a typical nonresidential foodservice end use load shape.</w:t>
      </w:r>
    </w:p>
    <w:p w14:paraId="7CFD367B" w14:textId="77777777" w:rsidR="001A0E28" w:rsidRPr="001A0E28" w:rsidRDefault="001A0E28" w:rsidP="001A0E28">
      <w:pPr>
        <w:rPr>
          <w:rFonts w:cs="Arial"/>
          <w:sz w:val="24"/>
        </w:rPr>
      </w:pPr>
    </w:p>
    <w:p w14:paraId="191FFB81" w14:textId="77777777" w:rsidR="001A0E28" w:rsidRPr="001A0E28" w:rsidRDefault="001A0E28" w:rsidP="001A0E28">
      <w:pPr>
        <w:rPr>
          <w:rFonts w:cs="Arial"/>
          <w:sz w:val="24"/>
        </w:rPr>
      </w:pPr>
      <w:r w:rsidRPr="001A0E28">
        <w:rPr>
          <w:rFonts w:cs="Arial"/>
          <w:sz w:val="24"/>
        </w:rPr>
        <w:t xml:space="preserve">Commercial griddle load shapes </w:t>
      </w:r>
      <w:r w:rsidRPr="001A0E28">
        <w:rPr>
          <w:rFonts w:cs="Arial"/>
          <w:sz w:val="24"/>
        </w:rPr>
        <w:fldChar w:fldCharType="begin"/>
      </w:r>
      <w:r w:rsidRPr="001A0E28">
        <w:rPr>
          <w:rFonts w:cs="Arial"/>
          <w:sz w:val="24"/>
        </w:rPr>
        <w:instrText xml:space="preserve"> XE "load shape" </w:instrText>
      </w:r>
      <w:r w:rsidRPr="001A0E28">
        <w:rPr>
          <w:rFonts w:cs="Arial"/>
          <w:sz w:val="24"/>
        </w:rPr>
        <w:fldChar w:fldCharType="end"/>
      </w:r>
      <w:r w:rsidRPr="001A0E28">
        <w:rPr>
          <w:rFonts w:cs="Arial"/>
          <w:i/>
          <w:sz w:val="24"/>
        </w:rPr>
        <w:t xml:space="preserve"> </w:t>
      </w:r>
      <w:r w:rsidRPr="001A0E28">
        <w:rPr>
          <w:rFonts w:cs="Arial"/>
          <w:sz w:val="24"/>
        </w:rPr>
        <w:t xml:space="preserve">differ among food service facilities (quick service, casual dining, hotels, college, schools, hospitals </w:t>
      </w:r>
      <w:proofErr w:type="spellStart"/>
      <w:r w:rsidRPr="001A0E28">
        <w:rPr>
          <w:rFonts w:cs="Arial"/>
          <w:sz w:val="24"/>
        </w:rPr>
        <w:t>etc</w:t>
      </w:r>
      <w:proofErr w:type="spellEnd"/>
      <w:r w:rsidRPr="001A0E28">
        <w:rPr>
          <w:rFonts w:cs="Arial"/>
          <w:sz w:val="24"/>
        </w:rPr>
        <w:t xml:space="preserve">) depending on daily menu variations, hours of operation, serving periods, day-of-week, and facility location (city downtown, suburban mall, access to interstate highways, etc.). Consequently, applicable average TOU and hourly load shapes for griddles are unavailable. The </w:t>
      </w:r>
      <w:r w:rsidRPr="001A0E28">
        <w:rPr>
          <w:rFonts w:cs="Arial"/>
          <w:sz w:val="24"/>
        </w:rPr>
        <w:lastRenderedPageBreak/>
        <w:t>ASTM Standard Test Method used to generate energy use data for evaluation against the Energy Star program is based on hours of use and food cooking condition (idle, light, and heavy). Generally, griddles are used to prepare food shortly before it is served, so loads tend to increase shortly before and during regular meal periods (breakfast, lunch, and dinner). Between meal periods griddle use tends to be either idle or light.</w:t>
      </w:r>
    </w:p>
    <w:p w14:paraId="42ECC06E" w14:textId="77777777" w:rsidR="001A0E28" w:rsidRPr="001A0E28" w:rsidRDefault="001A0E28" w:rsidP="00B7164C">
      <w:pPr>
        <w:rPr>
          <w:rFonts w:cs="Arial"/>
          <w:sz w:val="20"/>
          <w:szCs w:val="20"/>
        </w:rPr>
      </w:pPr>
    </w:p>
    <w:p w14:paraId="393A10BF" w14:textId="77777777" w:rsidR="00B7164C" w:rsidRDefault="00B7164C" w:rsidP="00D20486">
      <w:pPr>
        <w:pStyle w:val="Heading2"/>
        <w:keepNext w:val="0"/>
      </w:pPr>
      <w:bookmarkStart w:id="121" w:name="_Toc304800216"/>
      <w:bookmarkStart w:id="122" w:name="_Toc324318370"/>
      <w:bookmarkStart w:id="123" w:name="_Toc324340499"/>
      <w:bookmarkStart w:id="124" w:name="_Toc385935875"/>
      <w:r w:rsidRPr="007A4D97">
        <w:t>3.2 Measure Load Shapes</w:t>
      </w:r>
      <w:bookmarkEnd w:id="119"/>
      <w:bookmarkEnd w:id="121"/>
      <w:bookmarkEnd w:id="122"/>
      <w:bookmarkEnd w:id="123"/>
      <w:bookmarkEnd w:id="124"/>
    </w:p>
    <w:p w14:paraId="5C62656F" w14:textId="77777777" w:rsidR="00C0363E" w:rsidRPr="00C0363E" w:rsidRDefault="00C0363E" w:rsidP="00C0363E"/>
    <w:p w14:paraId="4B774331" w14:textId="77777777" w:rsidR="00C0363E" w:rsidRPr="00C0363E" w:rsidRDefault="00C0363E" w:rsidP="00C0363E">
      <w:pPr>
        <w:rPr>
          <w:rFonts w:cs="Arial"/>
          <w:sz w:val="24"/>
        </w:rPr>
      </w:pPr>
      <w:r w:rsidRPr="00C0363E">
        <w:rPr>
          <w:rFonts w:cs="Arial"/>
          <w:sz w:val="24"/>
        </w:rPr>
        <w:t>For purposes of the net benefits estimates in the E3 calculator, what is required is the load shape</w:t>
      </w:r>
      <w:r w:rsidRPr="00C0363E">
        <w:rPr>
          <w:rFonts w:cs="Arial"/>
          <w:sz w:val="24"/>
        </w:rPr>
        <w:fldChar w:fldCharType="begin"/>
      </w:r>
      <w:r w:rsidRPr="00C0363E">
        <w:rPr>
          <w:rFonts w:cs="Arial"/>
          <w:sz w:val="24"/>
        </w:rPr>
        <w:instrText xml:space="preserve"> XE "load shape" </w:instrText>
      </w:r>
      <w:r w:rsidRPr="00C0363E">
        <w:rPr>
          <w:rFonts w:cs="Arial"/>
          <w:sz w:val="24"/>
        </w:rPr>
        <w:fldChar w:fldCharType="end"/>
      </w:r>
      <w:r w:rsidRPr="00C0363E">
        <w:rPr>
          <w:rFonts w:cs="Arial"/>
          <w:sz w:val="24"/>
        </w:rPr>
        <w:t xml:space="preserve"> that ideally represents the </w:t>
      </w:r>
      <w:r w:rsidRPr="00C0363E">
        <w:rPr>
          <w:rFonts w:cs="Arial"/>
          <w:i/>
          <w:sz w:val="24"/>
        </w:rPr>
        <w:t>difference</w:t>
      </w:r>
      <w:r w:rsidRPr="00C0363E">
        <w:rPr>
          <w:rFonts w:cs="Arial"/>
          <w:sz w:val="24"/>
        </w:rPr>
        <w:t xml:space="preserve"> between the base equipment and the installed energy efficiency measure.  This </w:t>
      </w:r>
      <w:r w:rsidRPr="00C0363E">
        <w:rPr>
          <w:rFonts w:cs="Arial"/>
          <w:i/>
          <w:sz w:val="24"/>
        </w:rPr>
        <w:t>difference</w:t>
      </w:r>
      <w:r w:rsidRPr="00C0363E">
        <w:rPr>
          <w:rFonts w:cs="Arial"/>
          <w:sz w:val="24"/>
        </w:rPr>
        <w:t xml:space="preserve"> load profile is what is called the Measure Load Shape and would be the preferred load shape for use in the net benefits calculations.  </w:t>
      </w:r>
    </w:p>
    <w:p w14:paraId="39599E12" w14:textId="77777777" w:rsidR="00C0363E" w:rsidRPr="00C0363E" w:rsidRDefault="00C0363E" w:rsidP="00C0363E">
      <w:pPr>
        <w:rPr>
          <w:rFonts w:cs="Arial"/>
          <w:sz w:val="24"/>
        </w:rPr>
      </w:pPr>
    </w:p>
    <w:p w14:paraId="3E11E843" w14:textId="77777777" w:rsidR="00C0363E" w:rsidRPr="00C0363E" w:rsidRDefault="00C0363E" w:rsidP="00C0363E">
      <w:pPr>
        <w:rPr>
          <w:rFonts w:cs="Arial"/>
          <w:sz w:val="24"/>
        </w:rPr>
      </w:pPr>
      <w:r w:rsidRPr="00C0363E">
        <w:rPr>
          <w:rFonts w:cs="Arial"/>
          <w:sz w:val="24"/>
        </w:rPr>
        <w:t xml:space="preserve">The measure load shape for this measure is determined by the E3 calculator based on the applicable nonresidential market sector and the foodservice end-use. </w:t>
      </w:r>
    </w:p>
    <w:p w14:paraId="5008365E" w14:textId="77777777" w:rsidR="00C0363E" w:rsidRPr="00C0363E" w:rsidRDefault="00C0363E" w:rsidP="00C0363E">
      <w:pPr>
        <w:rPr>
          <w:rFonts w:cs="Arial"/>
          <w:sz w:val="24"/>
        </w:rPr>
      </w:pPr>
    </w:p>
    <w:p w14:paraId="661AA0CB" w14:textId="77777777" w:rsidR="00C0363E" w:rsidRPr="00C0363E" w:rsidRDefault="00C0363E" w:rsidP="00C0363E">
      <w:pPr>
        <w:rPr>
          <w:rFonts w:cs="Arial"/>
          <w:sz w:val="24"/>
        </w:rPr>
      </w:pPr>
      <w:r w:rsidRPr="00C0363E">
        <w:rPr>
          <w:rFonts w:cs="Arial"/>
          <w:sz w:val="24"/>
        </w:rPr>
        <w:t>The electric demand profile for the high-efficiency electric griddle is expected to be the same as the Base Case. The profile will vary as explained in Section 3.1. The Measure Load Shape</w:t>
      </w:r>
      <w:r w:rsidRPr="00C0363E">
        <w:rPr>
          <w:rFonts w:cs="Arial"/>
          <w:sz w:val="24"/>
        </w:rPr>
        <w:fldChar w:fldCharType="begin"/>
      </w:r>
      <w:r w:rsidRPr="00C0363E">
        <w:rPr>
          <w:rFonts w:cs="Arial"/>
          <w:sz w:val="24"/>
        </w:rPr>
        <w:instrText xml:space="preserve"> XE "Measure Load Shape" </w:instrText>
      </w:r>
      <w:r w:rsidRPr="00C0363E">
        <w:rPr>
          <w:rFonts w:cs="Arial"/>
          <w:sz w:val="24"/>
        </w:rPr>
        <w:fldChar w:fldCharType="end"/>
      </w:r>
      <w:r w:rsidRPr="00C0363E">
        <w:rPr>
          <w:rFonts w:cs="Arial"/>
          <w:sz w:val="24"/>
        </w:rPr>
        <w:t xml:space="preserve"> for the high-efficiency griddle will use less energy and have a slightly lower demand profile.</w:t>
      </w:r>
    </w:p>
    <w:p w14:paraId="26977420" w14:textId="77777777" w:rsidR="00C0363E" w:rsidRPr="00C0363E" w:rsidRDefault="00C0363E" w:rsidP="00C0363E">
      <w:pPr>
        <w:rPr>
          <w:rFonts w:cs="Arial"/>
          <w:sz w:val="24"/>
        </w:rPr>
      </w:pPr>
    </w:p>
    <w:p w14:paraId="1B4EA414" w14:textId="77777777" w:rsidR="00C0363E" w:rsidRDefault="00C0363E" w:rsidP="00C0363E">
      <w:pPr>
        <w:rPr>
          <w:rFonts w:cs="Arial"/>
          <w:sz w:val="24"/>
        </w:rPr>
      </w:pPr>
      <w:r w:rsidRPr="00C0363E">
        <w:rPr>
          <w:rFonts w:cs="Arial"/>
          <w:sz w:val="24"/>
        </w:rPr>
        <w:t>The gas load profile for the high efficiency gas griddle is expected to be the same as the Base Case. The profile will vary as explained in Section 3.1. The Measure Load Shape</w:t>
      </w:r>
      <w:r w:rsidRPr="00C0363E">
        <w:rPr>
          <w:rFonts w:cs="Arial"/>
          <w:sz w:val="24"/>
        </w:rPr>
        <w:fldChar w:fldCharType="begin"/>
      </w:r>
      <w:r w:rsidRPr="00C0363E">
        <w:rPr>
          <w:rFonts w:cs="Arial"/>
          <w:sz w:val="24"/>
        </w:rPr>
        <w:instrText xml:space="preserve"> XE "Measure Load Shape" </w:instrText>
      </w:r>
      <w:r w:rsidRPr="00C0363E">
        <w:rPr>
          <w:rFonts w:cs="Arial"/>
          <w:sz w:val="24"/>
        </w:rPr>
        <w:fldChar w:fldCharType="end"/>
      </w:r>
      <w:r w:rsidRPr="00C0363E">
        <w:rPr>
          <w:rFonts w:cs="Arial"/>
          <w:sz w:val="24"/>
        </w:rPr>
        <w:t xml:space="preserve"> for the high efficiency griddle will use less energy.</w:t>
      </w:r>
    </w:p>
    <w:p w14:paraId="07CD71DD" w14:textId="77777777" w:rsidR="00C0363E" w:rsidRPr="00C0363E" w:rsidRDefault="00C0363E" w:rsidP="00C0363E">
      <w:pPr>
        <w:rPr>
          <w:rFonts w:ascii="Times New Roman" w:hAnsi="Times New Roman"/>
          <w:sz w:val="24"/>
        </w:rPr>
      </w:pPr>
    </w:p>
    <w:p w14:paraId="393A10D5" w14:textId="77777777" w:rsidR="00D87EFF" w:rsidRPr="002E0043" w:rsidRDefault="00D87EFF" w:rsidP="002E0043"/>
    <w:p w14:paraId="393A10D6" w14:textId="77777777" w:rsidR="0091058D" w:rsidRDefault="00C069A2" w:rsidP="00663A00">
      <w:pPr>
        <w:pStyle w:val="Heading1"/>
        <w:keepNext w:val="0"/>
      </w:pPr>
      <w:bookmarkStart w:id="125" w:name="_Toc304800217"/>
      <w:bookmarkStart w:id="126" w:name="_Toc324318371"/>
      <w:bookmarkStart w:id="127" w:name="_Toc324340500"/>
      <w:bookmarkStart w:id="128" w:name="_Toc385935876"/>
      <w:proofErr w:type="gramStart"/>
      <w:r>
        <w:t>Section 4</w:t>
      </w:r>
      <w:r w:rsidR="003129E8">
        <w:t>.</w:t>
      </w:r>
      <w:proofErr w:type="gramEnd"/>
      <w:r>
        <w:t xml:space="preserve"> Base Case &amp; Measure Costs</w:t>
      </w:r>
      <w:bookmarkEnd w:id="125"/>
      <w:bookmarkEnd w:id="126"/>
      <w:bookmarkEnd w:id="127"/>
      <w:bookmarkEnd w:id="128"/>
    </w:p>
    <w:p w14:paraId="69E4FDB3" w14:textId="77777777" w:rsidR="00C0363E" w:rsidRPr="00C0363E" w:rsidRDefault="00C0363E" w:rsidP="00C0363E"/>
    <w:p w14:paraId="7A674699" w14:textId="77777777" w:rsidR="00C0363E" w:rsidRPr="00C0363E" w:rsidRDefault="00C0363E" w:rsidP="00C0363E">
      <w:pPr>
        <w:autoSpaceDE w:val="0"/>
        <w:autoSpaceDN w:val="0"/>
        <w:adjustRightInd w:val="0"/>
        <w:rPr>
          <w:rFonts w:cs="Arial"/>
          <w:sz w:val="24"/>
        </w:rPr>
      </w:pPr>
      <w:r w:rsidRPr="00C0363E">
        <w:rPr>
          <w:rFonts w:cs="Arial"/>
          <w:sz w:val="24"/>
        </w:rPr>
        <w:t>High-efficiency griddles typically have a higher list price than standard efficiency griddles. However, high-efficiency designs are often bundled with other features such as all stainless steel construction and high quality components and controls. In addition to lower operating costs, high-efficiency griddles exhibit better uniformity and higher production rates that increase their cost-effectiveness. For example, an energy efficient, 3-foot griddle can produce as much as a 4-foot Baseline model.</w:t>
      </w:r>
    </w:p>
    <w:p w14:paraId="670C520B" w14:textId="77777777" w:rsidR="00C0363E" w:rsidRPr="00C0363E" w:rsidRDefault="00C0363E" w:rsidP="00C0363E">
      <w:pPr>
        <w:autoSpaceDE w:val="0"/>
        <w:autoSpaceDN w:val="0"/>
        <w:adjustRightInd w:val="0"/>
        <w:rPr>
          <w:rFonts w:cs="Arial"/>
          <w:sz w:val="24"/>
        </w:rPr>
      </w:pPr>
    </w:p>
    <w:p w14:paraId="5EB45094" w14:textId="77777777" w:rsidR="00C0363E" w:rsidRDefault="00C0363E" w:rsidP="00C0363E">
      <w:pPr>
        <w:rPr>
          <w:rFonts w:cs="Arial"/>
          <w:sz w:val="24"/>
        </w:rPr>
      </w:pPr>
      <w:r w:rsidRPr="00C0363E">
        <w:rPr>
          <w:rFonts w:cs="Arial"/>
          <w:sz w:val="24"/>
        </w:rPr>
        <w:t xml:space="preserve">Equipment prices for these work papers were compiled from a number of sources including, </w:t>
      </w:r>
      <w:proofErr w:type="spellStart"/>
      <w:r w:rsidRPr="00C0363E">
        <w:rPr>
          <w:rFonts w:cs="Arial"/>
          <w:sz w:val="24"/>
        </w:rPr>
        <w:t>Autoquotes</w:t>
      </w:r>
      <w:proofErr w:type="spellEnd"/>
      <w:r w:rsidRPr="00C0363E">
        <w:rPr>
          <w:rFonts w:cs="Arial"/>
          <w:sz w:val="24"/>
        </w:rPr>
        <w:t>, equipment sales reps and manufacturer sources. Since equipment pricing in food service is closely held information and prices vary widely according to buying volume and other factors, we cannot list the sources for prices specifically.</w:t>
      </w:r>
    </w:p>
    <w:p w14:paraId="10E5AC0C" w14:textId="77777777" w:rsidR="00C0363E" w:rsidRDefault="00C0363E" w:rsidP="00C0363E">
      <w:pPr>
        <w:rPr>
          <w:rFonts w:cs="Arial"/>
          <w:sz w:val="24"/>
        </w:rPr>
      </w:pPr>
    </w:p>
    <w:p w14:paraId="5606110A" w14:textId="77777777" w:rsidR="00C0363E" w:rsidRDefault="00C0363E" w:rsidP="00C0363E">
      <w:pPr>
        <w:rPr>
          <w:rFonts w:cs="Arial"/>
          <w:sz w:val="24"/>
        </w:rPr>
      </w:pPr>
    </w:p>
    <w:p w14:paraId="41C88DD1" w14:textId="77777777" w:rsidR="00C0363E" w:rsidRPr="00C0363E" w:rsidRDefault="00C0363E" w:rsidP="00C0363E">
      <w:pPr>
        <w:rPr>
          <w:rFonts w:cs="Arial"/>
          <w:sz w:val="24"/>
        </w:rPr>
      </w:pPr>
    </w:p>
    <w:p w14:paraId="393A10D7" w14:textId="77777777" w:rsidR="00B16BE4" w:rsidRDefault="00B16BE4" w:rsidP="00B16BE4"/>
    <w:p w14:paraId="393A10D8" w14:textId="77777777" w:rsidR="00B16BE4" w:rsidRDefault="00B16BE4" w:rsidP="00B16BE4"/>
    <w:p w14:paraId="6D4D2461" w14:textId="3C702993" w:rsidR="00AF7A1F" w:rsidRPr="00B16BE4" w:rsidRDefault="00AF7A1F" w:rsidP="00B16BE4"/>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14:paraId="393A10DD" w14:textId="77777777" w:rsidTr="0064609B">
        <w:trPr>
          <w:trHeight w:val="255"/>
        </w:trPr>
        <w:tc>
          <w:tcPr>
            <w:tcW w:w="1964" w:type="dxa"/>
            <w:shd w:val="clear" w:color="auto" w:fill="262626"/>
            <w:noWrap/>
            <w:vAlign w:val="bottom"/>
          </w:tcPr>
          <w:p w14:paraId="393A10D9" w14:textId="77777777" w:rsidR="00B16BE4" w:rsidRPr="001E4C31" w:rsidRDefault="003541A6" w:rsidP="003541A6">
            <w:pPr>
              <w:jc w:val="center"/>
              <w:rPr>
                <w:rFonts w:cs="Arial"/>
                <w:b/>
              </w:rPr>
            </w:pPr>
            <w:bookmarkStart w:id="129" w:name="_Toc304800218"/>
            <w:r>
              <w:rPr>
                <w:rFonts w:cs="Arial"/>
                <w:b/>
              </w:rPr>
              <w:t>Measure Application</w:t>
            </w:r>
            <w:r w:rsidR="00B16BE4" w:rsidRPr="001E4C31">
              <w:rPr>
                <w:rFonts w:cs="Arial"/>
                <w:b/>
              </w:rPr>
              <w:t xml:space="preserve"> Type</w:t>
            </w:r>
          </w:p>
        </w:tc>
        <w:tc>
          <w:tcPr>
            <w:tcW w:w="1202" w:type="dxa"/>
            <w:shd w:val="clear" w:color="auto" w:fill="262626"/>
            <w:noWrap/>
            <w:vAlign w:val="bottom"/>
          </w:tcPr>
          <w:p w14:paraId="393A10DA" w14:textId="77777777" w:rsidR="00B16BE4" w:rsidRPr="001E4C31" w:rsidRDefault="00B16BE4" w:rsidP="001E4C31">
            <w:pPr>
              <w:jc w:val="center"/>
              <w:rPr>
                <w:rFonts w:cs="Arial"/>
                <w:b/>
              </w:rPr>
            </w:pPr>
            <w:r w:rsidRPr="001E4C31">
              <w:rPr>
                <w:rFonts w:cs="Arial"/>
                <w:b/>
              </w:rPr>
              <w:t>Measure Life Basis</w:t>
            </w:r>
          </w:p>
        </w:tc>
        <w:tc>
          <w:tcPr>
            <w:tcW w:w="2699" w:type="dxa"/>
            <w:shd w:val="clear" w:color="auto" w:fill="262626"/>
            <w:vAlign w:val="bottom"/>
          </w:tcPr>
          <w:p w14:paraId="393A10DB" w14:textId="0EB31A56" w:rsidR="00B16BE4" w:rsidRPr="001E4C31" w:rsidRDefault="00E564BA" w:rsidP="001E4C31">
            <w:pPr>
              <w:jc w:val="center"/>
              <w:rPr>
                <w:rFonts w:cs="Arial"/>
                <w:b/>
              </w:rPr>
            </w:pPr>
            <w:r>
              <w:rPr>
                <w:rFonts w:cs="Arial"/>
                <w:b/>
              </w:rPr>
              <w:t>First Baseline Period Full</w:t>
            </w:r>
            <w:r w:rsidR="00B16BE4" w:rsidRPr="001E4C31">
              <w:rPr>
                <w:rFonts w:cs="Arial"/>
                <w:b/>
              </w:rPr>
              <w:t xml:space="preserve"> Measure Cost (RUL)</w:t>
            </w:r>
          </w:p>
        </w:tc>
        <w:tc>
          <w:tcPr>
            <w:tcW w:w="2790" w:type="dxa"/>
            <w:shd w:val="clear" w:color="auto" w:fill="262626"/>
            <w:noWrap/>
            <w:vAlign w:val="bottom"/>
          </w:tcPr>
          <w:p w14:paraId="393A10DC" w14:textId="771602E7" w:rsidR="00B16BE4" w:rsidRPr="001E4C31" w:rsidRDefault="00E564BA" w:rsidP="001E4C31">
            <w:pPr>
              <w:jc w:val="center"/>
              <w:rPr>
                <w:rFonts w:cs="Arial"/>
                <w:b/>
              </w:rPr>
            </w:pPr>
            <w:r>
              <w:rPr>
                <w:rFonts w:cs="Arial"/>
                <w:b/>
              </w:rPr>
              <w:t>Second Baseline Period Full</w:t>
            </w:r>
            <w:r w:rsidR="00B16BE4" w:rsidRPr="001E4C31">
              <w:rPr>
                <w:rFonts w:cs="Arial"/>
                <w:b/>
              </w:rPr>
              <w:t xml:space="preserve"> Measure Cost (EUL – RUL)</w:t>
            </w:r>
          </w:p>
        </w:tc>
      </w:tr>
      <w:tr w:rsidR="009B1863" w:rsidRPr="00104A00" w14:paraId="393A10E2" w14:textId="77777777" w:rsidTr="001E4C31">
        <w:trPr>
          <w:trHeight w:val="170"/>
        </w:trPr>
        <w:tc>
          <w:tcPr>
            <w:tcW w:w="1964" w:type="dxa"/>
            <w:shd w:val="pct20" w:color="000000" w:fill="FFFFFF"/>
            <w:noWrap/>
            <w:vAlign w:val="bottom"/>
          </w:tcPr>
          <w:p w14:paraId="393A10DE" w14:textId="77777777" w:rsidR="00B16BE4" w:rsidRPr="001E4C31" w:rsidRDefault="00B16BE4" w:rsidP="001E4C31">
            <w:pPr>
              <w:jc w:val="center"/>
              <w:rPr>
                <w:rFonts w:cs="Arial"/>
                <w:b/>
                <w:i/>
              </w:rPr>
            </w:pPr>
            <w:r w:rsidRPr="00ED7D3D">
              <w:rPr>
                <w:rFonts w:cs="Arial"/>
                <w:b/>
                <w:i/>
              </w:rPr>
              <w:t>N</w:t>
            </w:r>
            <w:r w:rsidR="00ED7D3D">
              <w:rPr>
                <w:rFonts w:cs="Arial"/>
                <w:b/>
                <w:i/>
              </w:rPr>
              <w:t>C (new construction)</w:t>
            </w:r>
          </w:p>
        </w:tc>
        <w:tc>
          <w:tcPr>
            <w:tcW w:w="1202" w:type="dxa"/>
            <w:shd w:val="pct20" w:color="000000" w:fill="FFFFFF"/>
            <w:noWrap/>
            <w:vAlign w:val="bottom"/>
          </w:tcPr>
          <w:p w14:paraId="393A10DF"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20" w:color="000000" w:fill="FFFFFF"/>
            <w:vAlign w:val="bottom"/>
          </w:tcPr>
          <w:p w14:paraId="393A10E0"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14:paraId="393A10E1"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7" w14:textId="77777777" w:rsidTr="001E4C31">
        <w:trPr>
          <w:trHeight w:val="170"/>
        </w:trPr>
        <w:tc>
          <w:tcPr>
            <w:tcW w:w="1964" w:type="dxa"/>
            <w:shd w:val="pct5" w:color="000000" w:fill="FFFFFF"/>
            <w:noWrap/>
            <w:vAlign w:val="bottom"/>
          </w:tcPr>
          <w:p w14:paraId="393A10E3" w14:textId="77777777" w:rsidR="00B16BE4" w:rsidRPr="001E4C31" w:rsidRDefault="00B16BE4" w:rsidP="001E4C31">
            <w:pPr>
              <w:jc w:val="center"/>
              <w:rPr>
                <w:rFonts w:cs="Arial"/>
                <w:b/>
                <w:i/>
              </w:rPr>
            </w:pPr>
            <w:r w:rsidRPr="001E4C31">
              <w:rPr>
                <w:rFonts w:cs="Arial"/>
                <w:b/>
                <w:i/>
              </w:rPr>
              <w:t>ROB</w:t>
            </w:r>
            <w:r w:rsidR="00B44D59" w:rsidRPr="001E4C31">
              <w:rPr>
                <w:rFonts w:cs="Arial"/>
                <w:b/>
                <w:i/>
              </w:rPr>
              <w:t>(replace on burnout)</w:t>
            </w:r>
          </w:p>
        </w:tc>
        <w:tc>
          <w:tcPr>
            <w:tcW w:w="1202" w:type="dxa"/>
            <w:shd w:val="pct5" w:color="000000" w:fill="FFFFFF"/>
            <w:noWrap/>
            <w:vAlign w:val="bottom"/>
          </w:tcPr>
          <w:p w14:paraId="393A10E4"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5" w:color="000000" w:fill="FFFFFF"/>
            <w:vAlign w:val="bottom"/>
          </w:tcPr>
          <w:p w14:paraId="393A10E5"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14:paraId="393A10E6"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D" w14:textId="77777777" w:rsidTr="001E4C31">
        <w:trPr>
          <w:trHeight w:val="255"/>
        </w:trPr>
        <w:tc>
          <w:tcPr>
            <w:tcW w:w="1964" w:type="dxa"/>
            <w:shd w:val="pct20" w:color="000000" w:fill="FFFFFF"/>
            <w:noWrap/>
            <w:vAlign w:val="bottom"/>
          </w:tcPr>
          <w:p w14:paraId="393A10E8" w14:textId="77777777" w:rsidR="00B16BE4" w:rsidRPr="001E4C31" w:rsidRDefault="009B1863" w:rsidP="001E4C31">
            <w:pPr>
              <w:jc w:val="center"/>
              <w:rPr>
                <w:rFonts w:cs="Arial"/>
                <w:b/>
                <w:i/>
              </w:rPr>
            </w:pPr>
            <w:r>
              <w:rPr>
                <w:rFonts w:cs="Arial"/>
                <w:b/>
                <w:i/>
              </w:rPr>
              <w:t>ER (early retirement)</w:t>
            </w:r>
          </w:p>
        </w:tc>
        <w:tc>
          <w:tcPr>
            <w:tcW w:w="1202" w:type="dxa"/>
            <w:shd w:val="pct20" w:color="000000" w:fill="FFFFFF"/>
            <w:noWrap/>
            <w:vAlign w:val="bottom"/>
          </w:tcPr>
          <w:p w14:paraId="393A10E9" w14:textId="77777777" w:rsidR="00B16BE4" w:rsidRPr="001E4C31" w:rsidRDefault="00B16BE4" w:rsidP="001E4C31">
            <w:pPr>
              <w:jc w:val="center"/>
              <w:rPr>
                <w:rFonts w:cs="Arial"/>
                <w:sz w:val="20"/>
                <w:szCs w:val="20"/>
              </w:rPr>
            </w:pPr>
            <w:r w:rsidRPr="001E4C31">
              <w:rPr>
                <w:rFonts w:cs="Arial"/>
                <w:sz w:val="20"/>
                <w:szCs w:val="20"/>
              </w:rPr>
              <w:t>RUL/</w:t>
            </w:r>
          </w:p>
          <w:p w14:paraId="393A10EA" w14:textId="77777777" w:rsidR="00B16BE4" w:rsidRPr="001E4C31" w:rsidRDefault="00B16BE4" w:rsidP="001E4C31">
            <w:pPr>
              <w:jc w:val="center"/>
              <w:rPr>
                <w:rFonts w:cs="Arial"/>
                <w:sz w:val="20"/>
                <w:szCs w:val="20"/>
              </w:rPr>
            </w:pPr>
            <w:r w:rsidRPr="001E4C31">
              <w:rPr>
                <w:rFonts w:cs="Arial"/>
                <w:sz w:val="20"/>
                <w:szCs w:val="20"/>
              </w:rPr>
              <w:t>EUL-RUL</w:t>
            </w:r>
          </w:p>
        </w:tc>
        <w:tc>
          <w:tcPr>
            <w:tcW w:w="2699" w:type="dxa"/>
            <w:shd w:val="pct20" w:color="000000" w:fill="FFFFFF"/>
            <w:vAlign w:val="bottom"/>
          </w:tcPr>
          <w:p w14:paraId="393A10EB" w14:textId="77777777" w:rsidR="00B16BE4" w:rsidRPr="001E4C31" w:rsidRDefault="00B16BE4"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393A10EC" w14:textId="77777777" w:rsidR="00B16BE4" w:rsidRPr="001E4C31" w:rsidRDefault="00B16BE4" w:rsidP="001E4C31">
            <w:pPr>
              <w:jc w:val="center"/>
              <w:rPr>
                <w:rFonts w:cs="Arial"/>
                <w:sz w:val="20"/>
                <w:szCs w:val="20"/>
              </w:rPr>
            </w:pPr>
            <w:r w:rsidRPr="001E4C31">
              <w:rPr>
                <w:rFonts w:cs="Arial"/>
                <w:sz w:val="20"/>
                <w:szCs w:val="20"/>
              </w:rPr>
              <w:t>Calculated as Negative Full Gross Base Case Cost</w:t>
            </w:r>
          </w:p>
        </w:tc>
      </w:tr>
    </w:tbl>
    <w:p w14:paraId="393A10EE" w14:textId="77777777" w:rsidR="006D5AAB" w:rsidRDefault="006D5AAB" w:rsidP="00D20486">
      <w:pPr>
        <w:pStyle w:val="Heading2"/>
        <w:keepNext w:val="0"/>
      </w:pPr>
    </w:p>
    <w:p w14:paraId="393A10EF" w14:textId="77777777" w:rsidR="001B242B" w:rsidRPr="00F55847" w:rsidRDefault="00C069A2" w:rsidP="00D20486">
      <w:pPr>
        <w:pStyle w:val="Heading2"/>
        <w:keepNext w:val="0"/>
      </w:pPr>
      <w:bookmarkStart w:id="130" w:name="_Toc324318372"/>
      <w:bookmarkStart w:id="131" w:name="_Toc324340501"/>
      <w:bookmarkStart w:id="132" w:name="_Toc385935877"/>
      <w:r>
        <w:t>4.1 Base Case</w:t>
      </w:r>
      <w:r w:rsidR="00C221D5">
        <w:t>(</w:t>
      </w:r>
      <w:r>
        <w:t>s</w:t>
      </w:r>
      <w:r w:rsidR="00C221D5">
        <w:t>)</w:t>
      </w:r>
      <w:r>
        <w:t xml:space="preserve"> Costs</w:t>
      </w:r>
      <w:bookmarkEnd w:id="129"/>
      <w:bookmarkEnd w:id="130"/>
      <w:bookmarkEnd w:id="131"/>
      <w:bookmarkEnd w:id="132"/>
    </w:p>
    <w:p w14:paraId="0D1817D7" w14:textId="77777777" w:rsidR="00C0363E" w:rsidRPr="00C0363E" w:rsidRDefault="00C0363E" w:rsidP="00C0363E">
      <w:pPr>
        <w:rPr>
          <w:rFonts w:ascii="Times New Roman" w:hAnsi="Times New Roman"/>
          <w:sz w:val="24"/>
          <w:vertAlign w:val="superscript"/>
        </w:rPr>
      </w:pPr>
      <w:r w:rsidRPr="00C0363E">
        <w:rPr>
          <w:rFonts w:ascii="Times New Roman" w:hAnsi="Times New Roman"/>
          <w:sz w:val="24"/>
        </w:rPr>
        <w:t>The Base Case costs include only the equipment. High efficiency griddles require no additional labor or maintenance compared to base case griddles. Since this measure is applicable for ROB and NC installations, the installation and maintenance costs are expected to be the same for the customer. The estimated equipment cost is based on recent list cost data for electric and gas griddles and applying an industry-standard 50% discount to the manufacturer published list prices.</w:t>
      </w:r>
      <w:r w:rsidRPr="00C0363E">
        <w:rPr>
          <w:rFonts w:ascii="Times New Roman" w:hAnsi="Times New Roman"/>
          <w:sz w:val="24"/>
          <w:vertAlign w:val="superscript"/>
        </w:rPr>
        <w:t xml:space="preserve"> 9-11</w:t>
      </w:r>
    </w:p>
    <w:p w14:paraId="705738CB" w14:textId="77777777" w:rsidR="00C0363E" w:rsidRPr="00C0363E" w:rsidRDefault="00C0363E" w:rsidP="00C0363E">
      <w:pPr>
        <w:rPr>
          <w:rFonts w:ascii="Times New Roman" w:hAnsi="Times New Roman"/>
          <w:sz w:val="24"/>
        </w:rPr>
      </w:pPr>
    </w:p>
    <w:p w14:paraId="393A10F0" w14:textId="4F9900FE" w:rsidR="00BD0D15" w:rsidRPr="00DD1C47" w:rsidRDefault="00B16BE4" w:rsidP="00AB2D9E">
      <w:pPr>
        <w:rPr>
          <w:rFonts w:cs="Arial"/>
          <w:sz w:val="20"/>
          <w:szCs w:val="20"/>
        </w:rPr>
      </w:pPr>
      <w:r w:rsidRPr="00B16BE4">
        <w:rPr>
          <w:rFonts w:cs="Arial"/>
          <w:sz w:val="20"/>
          <w:szCs w:val="20"/>
        </w:rPr>
        <w:t xml:space="preserve">The following </w:t>
      </w:r>
      <w:r w:rsidR="002E6162">
        <w:rPr>
          <w:rFonts w:cs="Arial"/>
          <w:sz w:val="20"/>
          <w:szCs w:val="20"/>
        </w:rPr>
        <w:t>Measure Application Types</w:t>
      </w:r>
      <w:r w:rsidR="00AF7A1F">
        <w:rPr>
          <w:rFonts w:cs="Arial"/>
          <w:sz w:val="20"/>
          <w:szCs w:val="20"/>
        </w:rPr>
        <w:t xml:space="preserve"> are appropriate to these measures</w:t>
      </w:r>
      <w:r>
        <w:rPr>
          <w:rFonts w:cs="Arial"/>
          <w:sz w:val="20"/>
          <w:szCs w:val="20"/>
        </w:rPr>
        <w:t xml:space="preserve">. </w:t>
      </w:r>
      <w:r w:rsidR="00DD1C47" w:rsidRPr="00DD1C47">
        <w:rPr>
          <w:rFonts w:cs="Arial"/>
          <w:sz w:val="20"/>
          <w:szCs w:val="20"/>
        </w:rPr>
        <w:t>The</w:t>
      </w:r>
      <w:r w:rsidR="00BD0D15" w:rsidRPr="00DD1C47">
        <w:rPr>
          <w:rFonts w:cs="Arial"/>
          <w:sz w:val="20"/>
          <w:szCs w:val="20"/>
        </w:rPr>
        <w:t xml:space="preserve"> Base Case Costs are:</w:t>
      </w:r>
    </w:p>
    <w:p w14:paraId="393A10F1" w14:textId="35F7CA83" w:rsidR="00BD0D15" w:rsidRPr="00AF7A1F" w:rsidRDefault="00AF7A1F" w:rsidP="00AB2D9E">
      <w:pPr>
        <w:rPr>
          <w:b/>
          <w:sz w:val="24"/>
        </w:rPr>
      </w:pPr>
      <w:r w:rsidRPr="00AF7A1F">
        <w:rPr>
          <w:b/>
          <w:sz w:val="24"/>
        </w:rPr>
        <w:t>Table 14 Base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14:paraId="393A10F9" w14:textId="77777777" w:rsidTr="00A01631">
        <w:tc>
          <w:tcPr>
            <w:tcW w:w="1028" w:type="dxa"/>
            <w:shd w:val="clear" w:color="auto" w:fill="auto"/>
          </w:tcPr>
          <w:p w14:paraId="393A10F2" w14:textId="77777777" w:rsidR="00DD1C47" w:rsidRPr="00A01631" w:rsidRDefault="00DD1C47" w:rsidP="00AB2D9E">
            <w:pPr>
              <w:rPr>
                <w:rFonts w:cs="Arial"/>
                <w:b/>
                <w:i/>
                <w:sz w:val="20"/>
                <w:szCs w:val="20"/>
              </w:rPr>
            </w:pPr>
            <w:r w:rsidRPr="00A01631">
              <w:rPr>
                <w:rFonts w:cs="Arial"/>
                <w:b/>
                <w:i/>
                <w:sz w:val="20"/>
                <w:szCs w:val="20"/>
              </w:rPr>
              <w:t>Measure Code</w:t>
            </w:r>
          </w:p>
        </w:tc>
        <w:tc>
          <w:tcPr>
            <w:tcW w:w="1420" w:type="dxa"/>
            <w:shd w:val="clear" w:color="auto" w:fill="auto"/>
          </w:tcPr>
          <w:p w14:paraId="393A10F3" w14:textId="77777777" w:rsidR="00DD1C47" w:rsidRPr="00A01631" w:rsidRDefault="003541A6" w:rsidP="00AB2D9E">
            <w:pPr>
              <w:rPr>
                <w:rFonts w:cs="Arial"/>
                <w:b/>
                <w:sz w:val="20"/>
                <w:szCs w:val="20"/>
              </w:rPr>
            </w:pPr>
            <w:r>
              <w:rPr>
                <w:rFonts w:cs="Arial"/>
                <w:b/>
                <w:sz w:val="20"/>
                <w:szCs w:val="20"/>
              </w:rPr>
              <w:t>Measure Application Type</w:t>
            </w:r>
          </w:p>
        </w:tc>
        <w:tc>
          <w:tcPr>
            <w:tcW w:w="1620" w:type="dxa"/>
            <w:shd w:val="clear" w:color="auto" w:fill="auto"/>
          </w:tcPr>
          <w:p w14:paraId="393A10F4" w14:textId="77777777" w:rsidR="00DD1C47" w:rsidRPr="00A01631" w:rsidRDefault="00DD1C47" w:rsidP="00AB2D9E">
            <w:pPr>
              <w:rPr>
                <w:rFonts w:cs="Arial"/>
                <w:b/>
                <w:sz w:val="20"/>
                <w:szCs w:val="20"/>
              </w:rPr>
            </w:pPr>
            <w:r w:rsidRPr="00A01631">
              <w:rPr>
                <w:rFonts w:cs="Arial"/>
                <w:b/>
                <w:sz w:val="20"/>
                <w:szCs w:val="20"/>
              </w:rPr>
              <w:t>Baseline</w:t>
            </w:r>
          </w:p>
        </w:tc>
        <w:tc>
          <w:tcPr>
            <w:tcW w:w="1440" w:type="dxa"/>
            <w:shd w:val="clear" w:color="auto" w:fill="auto"/>
          </w:tcPr>
          <w:p w14:paraId="393A10F5" w14:textId="77777777" w:rsidR="00DD1C47" w:rsidRPr="00A01631" w:rsidRDefault="00DD1C47" w:rsidP="00AB2D9E">
            <w:pPr>
              <w:rPr>
                <w:rFonts w:cs="Arial"/>
                <w:b/>
                <w:sz w:val="20"/>
                <w:szCs w:val="20"/>
              </w:rPr>
            </w:pPr>
            <w:r w:rsidRPr="00A01631">
              <w:rPr>
                <w:rFonts w:cs="Arial"/>
                <w:b/>
                <w:sz w:val="20"/>
                <w:szCs w:val="20"/>
              </w:rPr>
              <w:t>Equipment Cost</w:t>
            </w:r>
          </w:p>
        </w:tc>
        <w:tc>
          <w:tcPr>
            <w:tcW w:w="1341" w:type="dxa"/>
            <w:shd w:val="clear" w:color="auto" w:fill="auto"/>
          </w:tcPr>
          <w:p w14:paraId="393A10F6" w14:textId="77777777" w:rsidR="00DD1C47" w:rsidRPr="00A01631" w:rsidRDefault="00DD1C47" w:rsidP="00AB2D9E">
            <w:pPr>
              <w:rPr>
                <w:rFonts w:cs="Arial"/>
                <w:b/>
                <w:sz w:val="20"/>
                <w:szCs w:val="20"/>
              </w:rPr>
            </w:pPr>
            <w:r w:rsidRPr="00A01631">
              <w:rPr>
                <w:rFonts w:cs="Arial"/>
                <w:b/>
                <w:sz w:val="20"/>
                <w:szCs w:val="20"/>
              </w:rPr>
              <w:t>Labor / Installation Cost</w:t>
            </w:r>
          </w:p>
        </w:tc>
        <w:tc>
          <w:tcPr>
            <w:tcW w:w="1513" w:type="dxa"/>
            <w:shd w:val="clear" w:color="auto" w:fill="auto"/>
          </w:tcPr>
          <w:p w14:paraId="393A10F7" w14:textId="77777777" w:rsidR="00DD1C47" w:rsidRPr="00A01631" w:rsidRDefault="00DD1C47" w:rsidP="00AB2D9E">
            <w:pPr>
              <w:rPr>
                <w:rFonts w:cs="Arial"/>
                <w:b/>
                <w:sz w:val="20"/>
                <w:szCs w:val="20"/>
              </w:rPr>
            </w:pPr>
            <w:r w:rsidRPr="00A01631">
              <w:rPr>
                <w:rFonts w:cs="Arial"/>
                <w:b/>
                <w:sz w:val="20"/>
                <w:szCs w:val="20"/>
              </w:rPr>
              <w:t>Maintenance / Other Cost</w:t>
            </w:r>
          </w:p>
        </w:tc>
        <w:tc>
          <w:tcPr>
            <w:tcW w:w="1214" w:type="dxa"/>
            <w:shd w:val="clear" w:color="auto" w:fill="auto"/>
          </w:tcPr>
          <w:p w14:paraId="393A10F8" w14:textId="77777777" w:rsidR="00DD1C47" w:rsidRPr="00A01631" w:rsidRDefault="00DD1C47" w:rsidP="00AB2D9E">
            <w:pPr>
              <w:rPr>
                <w:rFonts w:cs="Arial"/>
                <w:b/>
                <w:sz w:val="20"/>
                <w:szCs w:val="20"/>
              </w:rPr>
            </w:pPr>
            <w:r w:rsidRPr="00A01631">
              <w:rPr>
                <w:rFonts w:cs="Arial"/>
                <w:b/>
                <w:sz w:val="20"/>
                <w:szCs w:val="20"/>
              </w:rPr>
              <w:t>Total Base Case Cost</w:t>
            </w:r>
          </w:p>
        </w:tc>
      </w:tr>
      <w:tr w:rsidR="00DD1C47" w:rsidRPr="00A01631" w14:paraId="393A1101" w14:textId="77777777" w:rsidTr="00A01631">
        <w:tc>
          <w:tcPr>
            <w:tcW w:w="1028" w:type="dxa"/>
            <w:shd w:val="clear" w:color="auto" w:fill="auto"/>
          </w:tcPr>
          <w:p w14:paraId="393A10FA" w14:textId="2BDBC8A0" w:rsidR="00DD1C47" w:rsidRPr="00A01631" w:rsidRDefault="00AF7A1F" w:rsidP="00940B39">
            <w:pPr>
              <w:rPr>
                <w:rFonts w:cs="Arial"/>
                <w:sz w:val="20"/>
                <w:szCs w:val="20"/>
              </w:rPr>
            </w:pPr>
            <w:r>
              <w:rPr>
                <w:rFonts w:cs="Arial"/>
                <w:sz w:val="20"/>
                <w:szCs w:val="20"/>
              </w:rPr>
              <w:t>F</w:t>
            </w:r>
            <w:r w:rsidR="00940B39">
              <w:rPr>
                <w:rFonts w:cs="Arial"/>
                <w:sz w:val="20"/>
                <w:szCs w:val="20"/>
              </w:rPr>
              <w:t>S002</w:t>
            </w:r>
          </w:p>
        </w:tc>
        <w:tc>
          <w:tcPr>
            <w:tcW w:w="1420" w:type="dxa"/>
            <w:shd w:val="clear" w:color="auto" w:fill="auto"/>
          </w:tcPr>
          <w:p w14:paraId="393A10FB" w14:textId="7198786A" w:rsidR="00DD1C47" w:rsidRPr="00A01631" w:rsidRDefault="00AF7A1F" w:rsidP="00ED7D3D">
            <w:pPr>
              <w:rPr>
                <w:rFonts w:cs="Arial"/>
                <w:sz w:val="20"/>
                <w:szCs w:val="20"/>
              </w:rPr>
            </w:pPr>
            <w:r>
              <w:rPr>
                <w:rFonts w:cs="Arial"/>
                <w:sz w:val="20"/>
                <w:szCs w:val="20"/>
              </w:rPr>
              <w:t>ROB /NC</w:t>
            </w:r>
          </w:p>
        </w:tc>
        <w:tc>
          <w:tcPr>
            <w:tcW w:w="1620" w:type="dxa"/>
            <w:shd w:val="clear" w:color="auto" w:fill="auto"/>
          </w:tcPr>
          <w:p w14:paraId="393A10FC" w14:textId="117222D3" w:rsidR="00DD1C47" w:rsidRPr="00A01631" w:rsidRDefault="00AF7A1F" w:rsidP="00AB2D9E">
            <w:pPr>
              <w:rPr>
                <w:rFonts w:cs="Arial"/>
                <w:sz w:val="20"/>
                <w:szCs w:val="20"/>
              </w:rPr>
            </w:pPr>
            <w:r>
              <w:rPr>
                <w:rFonts w:cs="Arial"/>
                <w:sz w:val="20"/>
                <w:szCs w:val="20"/>
              </w:rPr>
              <w:t>Industry Practice</w:t>
            </w:r>
          </w:p>
        </w:tc>
        <w:tc>
          <w:tcPr>
            <w:tcW w:w="1440" w:type="dxa"/>
            <w:shd w:val="clear" w:color="auto" w:fill="auto"/>
          </w:tcPr>
          <w:p w14:paraId="393A10FD" w14:textId="16DBD681" w:rsidR="00DD1C47" w:rsidRPr="00A01631" w:rsidRDefault="00DD1C47" w:rsidP="00940B39">
            <w:pPr>
              <w:rPr>
                <w:rFonts w:cs="Arial"/>
                <w:sz w:val="20"/>
                <w:szCs w:val="20"/>
              </w:rPr>
            </w:pPr>
            <w:r w:rsidRPr="00A01631">
              <w:rPr>
                <w:rFonts w:cs="Arial"/>
                <w:sz w:val="20"/>
                <w:szCs w:val="20"/>
              </w:rPr>
              <w:t>$</w:t>
            </w:r>
            <w:r w:rsidR="00940B39">
              <w:rPr>
                <w:rFonts w:cs="Arial"/>
                <w:sz w:val="20"/>
                <w:szCs w:val="20"/>
              </w:rPr>
              <w:t>750</w:t>
            </w:r>
          </w:p>
        </w:tc>
        <w:tc>
          <w:tcPr>
            <w:tcW w:w="1341" w:type="dxa"/>
            <w:shd w:val="clear" w:color="auto" w:fill="auto"/>
          </w:tcPr>
          <w:p w14:paraId="393A10FE" w14:textId="4F833AF9" w:rsidR="00DD1C47" w:rsidRPr="00A01631" w:rsidRDefault="00DD1C47" w:rsidP="00AB2D9E">
            <w:pPr>
              <w:rPr>
                <w:rFonts w:cs="Arial"/>
                <w:sz w:val="20"/>
                <w:szCs w:val="20"/>
              </w:rPr>
            </w:pPr>
            <w:r w:rsidRPr="00A01631">
              <w:rPr>
                <w:rFonts w:cs="Arial"/>
                <w:sz w:val="20"/>
                <w:szCs w:val="20"/>
              </w:rPr>
              <w:t>$</w:t>
            </w:r>
            <w:r w:rsidR="00AF7A1F">
              <w:rPr>
                <w:rFonts w:cs="Arial"/>
                <w:sz w:val="20"/>
                <w:szCs w:val="20"/>
              </w:rPr>
              <w:t>0</w:t>
            </w:r>
          </w:p>
        </w:tc>
        <w:tc>
          <w:tcPr>
            <w:tcW w:w="1513" w:type="dxa"/>
            <w:shd w:val="clear" w:color="auto" w:fill="auto"/>
          </w:tcPr>
          <w:p w14:paraId="393A10FF" w14:textId="0484BFFE" w:rsidR="00DD1C47" w:rsidRPr="00A01631" w:rsidRDefault="00DD1C47" w:rsidP="00AB2D9E">
            <w:pPr>
              <w:rPr>
                <w:rFonts w:cs="Arial"/>
                <w:sz w:val="20"/>
                <w:szCs w:val="20"/>
              </w:rPr>
            </w:pPr>
            <w:r w:rsidRPr="00A01631">
              <w:rPr>
                <w:rFonts w:cs="Arial"/>
                <w:sz w:val="20"/>
                <w:szCs w:val="20"/>
              </w:rPr>
              <w:t>$</w:t>
            </w:r>
            <w:r w:rsidR="00AF7A1F">
              <w:rPr>
                <w:rFonts w:cs="Arial"/>
                <w:sz w:val="20"/>
                <w:szCs w:val="20"/>
              </w:rPr>
              <w:t>0</w:t>
            </w:r>
          </w:p>
        </w:tc>
        <w:tc>
          <w:tcPr>
            <w:tcW w:w="1214" w:type="dxa"/>
            <w:shd w:val="clear" w:color="auto" w:fill="auto"/>
          </w:tcPr>
          <w:p w14:paraId="393A1100" w14:textId="13075F5E" w:rsidR="00DD1C47" w:rsidRPr="00A01631" w:rsidRDefault="00DD1C47" w:rsidP="00940B39">
            <w:pPr>
              <w:rPr>
                <w:rFonts w:cs="Arial"/>
                <w:sz w:val="20"/>
                <w:szCs w:val="20"/>
              </w:rPr>
            </w:pPr>
            <w:r w:rsidRPr="00A01631">
              <w:rPr>
                <w:rFonts w:cs="Arial"/>
                <w:sz w:val="20"/>
                <w:szCs w:val="20"/>
              </w:rPr>
              <w:t>$</w:t>
            </w:r>
            <w:r w:rsidR="00940B39">
              <w:rPr>
                <w:rFonts w:cs="Arial"/>
                <w:sz w:val="20"/>
                <w:szCs w:val="20"/>
              </w:rPr>
              <w:t>750</w:t>
            </w:r>
          </w:p>
        </w:tc>
      </w:tr>
      <w:tr w:rsidR="00DD1C47" w:rsidRPr="00A01631" w14:paraId="393A1109" w14:textId="77777777" w:rsidTr="00A01631">
        <w:tc>
          <w:tcPr>
            <w:tcW w:w="1028" w:type="dxa"/>
            <w:shd w:val="clear" w:color="auto" w:fill="auto"/>
          </w:tcPr>
          <w:p w14:paraId="393A1102" w14:textId="589E0A17" w:rsidR="00DD1C47" w:rsidRPr="00A01631" w:rsidRDefault="00940B39" w:rsidP="00AB2D9E">
            <w:pPr>
              <w:rPr>
                <w:rFonts w:cs="Arial"/>
                <w:i/>
                <w:sz w:val="20"/>
                <w:szCs w:val="20"/>
              </w:rPr>
            </w:pPr>
            <w:r>
              <w:rPr>
                <w:rFonts w:cs="Arial"/>
                <w:i/>
                <w:sz w:val="20"/>
                <w:szCs w:val="20"/>
              </w:rPr>
              <w:t>FS003</w:t>
            </w:r>
          </w:p>
        </w:tc>
        <w:tc>
          <w:tcPr>
            <w:tcW w:w="1420" w:type="dxa"/>
            <w:shd w:val="clear" w:color="auto" w:fill="auto"/>
          </w:tcPr>
          <w:p w14:paraId="393A1103" w14:textId="07F364B2" w:rsidR="00DD1C47" w:rsidRPr="00A01631" w:rsidRDefault="00AF7A1F" w:rsidP="00AB2D9E">
            <w:pPr>
              <w:rPr>
                <w:rFonts w:cs="Arial"/>
                <w:i/>
                <w:sz w:val="20"/>
                <w:szCs w:val="20"/>
              </w:rPr>
            </w:pPr>
            <w:r>
              <w:rPr>
                <w:rFonts w:cs="Arial"/>
                <w:sz w:val="20"/>
                <w:szCs w:val="20"/>
              </w:rPr>
              <w:t>ROB / NC</w:t>
            </w:r>
          </w:p>
        </w:tc>
        <w:tc>
          <w:tcPr>
            <w:tcW w:w="1620" w:type="dxa"/>
            <w:shd w:val="clear" w:color="auto" w:fill="auto"/>
          </w:tcPr>
          <w:p w14:paraId="393A1104" w14:textId="62AEAA2E" w:rsidR="00DD1C47" w:rsidRPr="00A01631" w:rsidRDefault="00AF7A1F" w:rsidP="00AB2D9E">
            <w:pPr>
              <w:rPr>
                <w:rFonts w:cs="Arial"/>
                <w:i/>
                <w:sz w:val="20"/>
                <w:szCs w:val="20"/>
              </w:rPr>
            </w:pPr>
            <w:proofErr w:type="spellStart"/>
            <w:r>
              <w:rPr>
                <w:rFonts w:cs="Arial"/>
                <w:i/>
                <w:sz w:val="20"/>
                <w:szCs w:val="20"/>
              </w:rPr>
              <w:t>Inductry</w:t>
            </w:r>
            <w:proofErr w:type="spellEnd"/>
            <w:r>
              <w:rPr>
                <w:rFonts w:cs="Arial"/>
                <w:i/>
                <w:sz w:val="20"/>
                <w:szCs w:val="20"/>
              </w:rPr>
              <w:t xml:space="preserve"> Practice</w:t>
            </w:r>
          </w:p>
        </w:tc>
        <w:tc>
          <w:tcPr>
            <w:tcW w:w="1440" w:type="dxa"/>
            <w:shd w:val="clear" w:color="auto" w:fill="auto"/>
          </w:tcPr>
          <w:p w14:paraId="393A1105" w14:textId="24629CCB" w:rsidR="00DD1C47" w:rsidRPr="00A01631" w:rsidRDefault="00AF7A1F" w:rsidP="00940B39">
            <w:pPr>
              <w:rPr>
                <w:rFonts w:cs="Arial"/>
                <w:i/>
                <w:sz w:val="20"/>
                <w:szCs w:val="20"/>
              </w:rPr>
            </w:pPr>
            <w:r>
              <w:rPr>
                <w:rFonts w:cs="Arial"/>
                <w:i/>
                <w:sz w:val="20"/>
                <w:szCs w:val="20"/>
              </w:rPr>
              <w:t>$</w:t>
            </w:r>
            <w:r w:rsidR="00940B39">
              <w:rPr>
                <w:rFonts w:cs="Arial"/>
                <w:i/>
                <w:sz w:val="20"/>
                <w:szCs w:val="20"/>
              </w:rPr>
              <w:t>1026</w:t>
            </w:r>
          </w:p>
        </w:tc>
        <w:tc>
          <w:tcPr>
            <w:tcW w:w="1341" w:type="dxa"/>
            <w:shd w:val="clear" w:color="auto" w:fill="auto"/>
          </w:tcPr>
          <w:p w14:paraId="393A1106" w14:textId="787A3D0B" w:rsidR="00DD1C47" w:rsidRPr="00A01631" w:rsidRDefault="00AF7A1F" w:rsidP="00AB2D9E">
            <w:pPr>
              <w:rPr>
                <w:rFonts w:cs="Arial"/>
                <w:i/>
                <w:sz w:val="20"/>
                <w:szCs w:val="20"/>
              </w:rPr>
            </w:pPr>
            <w:r>
              <w:rPr>
                <w:rFonts w:cs="Arial"/>
                <w:i/>
                <w:sz w:val="20"/>
                <w:szCs w:val="20"/>
              </w:rPr>
              <w:t>$0</w:t>
            </w:r>
          </w:p>
        </w:tc>
        <w:tc>
          <w:tcPr>
            <w:tcW w:w="1513" w:type="dxa"/>
            <w:shd w:val="clear" w:color="auto" w:fill="auto"/>
          </w:tcPr>
          <w:p w14:paraId="393A1107" w14:textId="73C62373" w:rsidR="00DD1C47" w:rsidRPr="00A01631" w:rsidRDefault="00AF7A1F" w:rsidP="00AB2D9E">
            <w:pPr>
              <w:rPr>
                <w:rFonts w:cs="Arial"/>
                <w:i/>
                <w:sz w:val="20"/>
                <w:szCs w:val="20"/>
              </w:rPr>
            </w:pPr>
            <w:r>
              <w:rPr>
                <w:rFonts w:cs="Arial"/>
                <w:i/>
                <w:sz w:val="20"/>
                <w:szCs w:val="20"/>
              </w:rPr>
              <w:t>$0</w:t>
            </w:r>
          </w:p>
        </w:tc>
        <w:tc>
          <w:tcPr>
            <w:tcW w:w="1214" w:type="dxa"/>
            <w:shd w:val="clear" w:color="auto" w:fill="auto"/>
          </w:tcPr>
          <w:p w14:paraId="393A1108" w14:textId="2325D90E" w:rsidR="00DD1C47" w:rsidRPr="00A01631" w:rsidRDefault="00AF7A1F" w:rsidP="00940B39">
            <w:pPr>
              <w:rPr>
                <w:rFonts w:cs="Arial"/>
                <w:i/>
                <w:sz w:val="20"/>
                <w:szCs w:val="20"/>
              </w:rPr>
            </w:pPr>
            <w:r>
              <w:rPr>
                <w:rFonts w:cs="Arial"/>
                <w:i/>
                <w:sz w:val="20"/>
                <w:szCs w:val="20"/>
              </w:rPr>
              <w:t>$</w:t>
            </w:r>
            <w:r w:rsidR="00940B39">
              <w:rPr>
                <w:rFonts w:cs="Arial"/>
                <w:i/>
                <w:sz w:val="20"/>
                <w:szCs w:val="20"/>
              </w:rPr>
              <w:t>1026</w:t>
            </w:r>
          </w:p>
        </w:tc>
      </w:tr>
    </w:tbl>
    <w:p w14:paraId="393A1112" w14:textId="77777777" w:rsidR="00BD0D15" w:rsidRPr="00DD1C47" w:rsidRDefault="00DD1C47" w:rsidP="00AB2D9E">
      <w:pPr>
        <w:rPr>
          <w:rFonts w:cs="Arial"/>
          <w:i/>
          <w:sz w:val="20"/>
          <w:szCs w:val="20"/>
        </w:rPr>
      </w:pPr>
      <w:r w:rsidRPr="00DD1C47">
        <w:rPr>
          <w:rFonts w:cs="Arial"/>
          <w:i/>
          <w:sz w:val="20"/>
          <w:szCs w:val="20"/>
        </w:rPr>
        <w:t>All costs are noted as $ per measure unit</w:t>
      </w:r>
    </w:p>
    <w:p w14:paraId="393A1115" w14:textId="77777777" w:rsidR="00C069A2" w:rsidRDefault="00663A00" w:rsidP="002E0043">
      <w:pPr>
        <w:pStyle w:val="Heading2"/>
        <w:keepNext w:val="0"/>
      </w:pPr>
      <w:bookmarkStart w:id="133" w:name="_Toc304800219"/>
      <w:bookmarkStart w:id="134" w:name="_Toc324318373"/>
      <w:bookmarkStart w:id="135" w:name="_Toc324340502"/>
      <w:bookmarkStart w:id="136" w:name="_Toc385935878"/>
      <w:r>
        <w:t>4.2 Meas</w:t>
      </w:r>
      <w:r w:rsidR="00C069A2">
        <w:t xml:space="preserve">ure </w:t>
      </w:r>
      <w:r w:rsidR="00930877">
        <w:t xml:space="preserve">Case </w:t>
      </w:r>
      <w:r w:rsidR="00C069A2">
        <w:t>Costs</w:t>
      </w:r>
      <w:bookmarkEnd w:id="133"/>
      <w:bookmarkEnd w:id="134"/>
      <w:bookmarkEnd w:id="135"/>
      <w:bookmarkEnd w:id="136"/>
      <w:r w:rsidR="00930877">
        <w:t xml:space="preserve"> </w:t>
      </w:r>
    </w:p>
    <w:p w14:paraId="5D2AAB98" w14:textId="77777777" w:rsidR="00C0363E" w:rsidRDefault="00C0363E" w:rsidP="00DD1C47">
      <w:pPr>
        <w:rPr>
          <w:rFonts w:cs="Arial"/>
          <w:sz w:val="20"/>
          <w:szCs w:val="20"/>
        </w:rPr>
      </w:pPr>
    </w:p>
    <w:p w14:paraId="230CE93B" w14:textId="77777777" w:rsidR="00C0363E" w:rsidRPr="00C0363E" w:rsidRDefault="00C0363E" w:rsidP="00C0363E">
      <w:pPr>
        <w:rPr>
          <w:rFonts w:ascii="Times New Roman" w:hAnsi="Times New Roman"/>
          <w:sz w:val="24"/>
        </w:rPr>
      </w:pPr>
      <w:r w:rsidRPr="00C0363E">
        <w:rPr>
          <w:rFonts w:ascii="Times New Roman" w:hAnsi="Times New Roman"/>
          <w:sz w:val="24"/>
        </w:rPr>
        <w:t>The Measure costs include only the equipment, as explained in Section 4.1. The estimated equipment cost is based on recent list cost data and applying an industry-standard 50% discount to the manufacturer published list prices (see Appendix B).</w:t>
      </w:r>
      <w:r w:rsidRPr="00C0363E">
        <w:rPr>
          <w:rFonts w:ascii="Times New Roman" w:hAnsi="Times New Roman"/>
          <w:sz w:val="24"/>
          <w:vertAlign w:val="superscript"/>
        </w:rPr>
        <w:t xml:space="preserve"> 9-11</w:t>
      </w:r>
    </w:p>
    <w:p w14:paraId="4905DD21" w14:textId="77777777" w:rsidR="00C0363E" w:rsidRDefault="00C0363E" w:rsidP="00DD1C47">
      <w:pPr>
        <w:rPr>
          <w:rFonts w:cs="Arial"/>
          <w:sz w:val="20"/>
          <w:szCs w:val="20"/>
        </w:rPr>
      </w:pPr>
    </w:p>
    <w:p w14:paraId="393A1116" w14:textId="335562BB" w:rsidR="00DD1C47" w:rsidRPr="00DD1C47" w:rsidRDefault="00DD1C47" w:rsidP="00DD1C47">
      <w:pPr>
        <w:rPr>
          <w:rFonts w:cs="Arial"/>
          <w:sz w:val="20"/>
          <w:szCs w:val="20"/>
        </w:rPr>
      </w:pPr>
      <w:r w:rsidRPr="00793685">
        <w:rPr>
          <w:rFonts w:cs="Arial"/>
          <w:sz w:val="20"/>
          <w:szCs w:val="20"/>
        </w:rPr>
        <w:t xml:space="preserve">The following </w:t>
      </w:r>
      <w:r w:rsidR="002E6162" w:rsidRPr="00793685">
        <w:rPr>
          <w:rFonts w:cs="Arial"/>
          <w:sz w:val="20"/>
          <w:szCs w:val="20"/>
        </w:rPr>
        <w:t>Measure Application Types</w:t>
      </w:r>
      <w:r w:rsidR="00793685">
        <w:rPr>
          <w:rFonts w:cs="Arial"/>
          <w:sz w:val="20"/>
          <w:szCs w:val="20"/>
        </w:rPr>
        <w:t xml:space="preserve"> </w:t>
      </w:r>
      <w:r w:rsidRPr="00793685">
        <w:rPr>
          <w:rFonts w:cs="Arial"/>
          <w:sz w:val="20"/>
          <w:szCs w:val="20"/>
        </w:rPr>
        <w:t xml:space="preserve">are appropriate to </w:t>
      </w:r>
      <w:r w:rsidR="00793685">
        <w:rPr>
          <w:rFonts w:cs="Arial"/>
          <w:sz w:val="20"/>
          <w:szCs w:val="20"/>
        </w:rPr>
        <w:t>these measures</w:t>
      </w:r>
      <w:r w:rsidRPr="00793685">
        <w:rPr>
          <w:rFonts w:cs="Arial"/>
          <w:sz w:val="20"/>
          <w:szCs w:val="20"/>
        </w:rPr>
        <w:t>. The Measure Case Costs are:</w:t>
      </w:r>
    </w:p>
    <w:p w14:paraId="1D59A082" w14:textId="77777777" w:rsidR="00940B39" w:rsidRDefault="00940B39" w:rsidP="00DD1C47">
      <w:pPr>
        <w:rPr>
          <w:b/>
        </w:rPr>
      </w:pPr>
    </w:p>
    <w:p w14:paraId="126F6170" w14:textId="77777777" w:rsidR="00940B39" w:rsidRDefault="00940B39" w:rsidP="00DD1C47">
      <w:pPr>
        <w:rPr>
          <w:b/>
        </w:rPr>
      </w:pPr>
    </w:p>
    <w:p w14:paraId="55F9C0BB" w14:textId="77777777" w:rsidR="00940B39" w:rsidRDefault="00940B39" w:rsidP="00DD1C47">
      <w:pPr>
        <w:rPr>
          <w:b/>
        </w:rPr>
      </w:pPr>
    </w:p>
    <w:p w14:paraId="6963A4DE" w14:textId="77777777" w:rsidR="00940B39" w:rsidRDefault="00940B39" w:rsidP="00DD1C47">
      <w:pPr>
        <w:rPr>
          <w:b/>
        </w:rPr>
      </w:pPr>
    </w:p>
    <w:p w14:paraId="393A1117" w14:textId="40C9BE00" w:rsidR="00DD1C47" w:rsidRPr="00AF7A1F" w:rsidRDefault="00AF7A1F" w:rsidP="00DD1C47">
      <w:pPr>
        <w:rPr>
          <w:b/>
        </w:rPr>
      </w:pPr>
      <w:r w:rsidRPr="00AF7A1F">
        <w:rPr>
          <w:b/>
        </w:rPr>
        <w:lastRenderedPageBreak/>
        <w:t>Table 15 Measure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14:paraId="393A111F" w14:textId="77777777" w:rsidTr="00A01631">
        <w:tc>
          <w:tcPr>
            <w:tcW w:w="1028" w:type="dxa"/>
            <w:shd w:val="clear" w:color="auto" w:fill="auto"/>
          </w:tcPr>
          <w:p w14:paraId="393A1118" w14:textId="77777777" w:rsidR="00DD1C47" w:rsidRPr="00A01631" w:rsidRDefault="00DD1C47" w:rsidP="003F57BD">
            <w:pPr>
              <w:rPr>
                <w:rFonts w:cs="Arial"/>
                <w:b/>
                <w:i/>
                <w:sz w:val="20"/>
                <w:szCs w:val="20"/>
              </w:rPr>
            </w:pPr>
            <w:r w:rsidRPr="00A01631">
              <w:rPr>
                <w:rFonts w:cs="Arial"/>
                <w:b/>
                <w:i/>
                <w:sz w:val="20"/>
                <w:szCs w:val="20"/>
              </w:rPr>
              <w:t>Measure Code</w:t>
            </w:r>
          </w:p>
        </w:tc>
        <w:tc>
          <w:tcPr>
            <w:tcW w:w="1420" w:type="dxa"/>
            <w:shd w:val="clear" w:color="auto" w:fill="auto"/>
          </w:tcPr>
          <w:p w14:paraId="393A1119" w14:textId="77777777" w:rsidR="00DD1C47" w:rsidRPr="00A01631" w:rsidRDefault="003541A6" w:rsidP="003541A6">
            <w:pPr>
              <w:rPr>
                <w:rFonts w:cs="Arial"/>
                <w:b/>
                <w:sz w:val="20"/>
                <w:szCs w:val="20"/>
              </w:rPr>
            </w:pPr>
            <w:r>
              <w:rPr>
                <w:rFonts w:cs="Arial"/>
                <w:b/>
                <w:sz w:val="20"/>
                <w:szCs w:val="20"/>
              </w:rPr>
              <w:t>Measure Application Type</w:t>
            </w:r>
          </w:p>
        </w:tc>
        <w:tc>
          <w:tcPr>
            <w:tcW w:w="1620" w:type="dxa"/>
            <w:shd w:val="clear" w:color="auto" w:fill="auto"/>
          </w:tcPr>
          <w:p w14:paraId="393A111A" w14:textId="77777777" w:rsidR="00DD1C47" w:rsidRPr="00A01631" w:rsidRDefault="00DD1C47" w:rsidP="003F57BD">
            <w:pPr>
              <w:rPr>
                <w:rFonts w:cs="Arial"/>
                <w:b/>
                <w:sz w:val="20"/>
                <w:szCs w:val="20"/>
              </w:rPr>
            </w:pPr>
            <w:r w:rsidRPr="00A01631">
              <w:rPr>
                <w:rFonts w:cs="Arial"/>
                <w:b/>
                <w:sz w:val="20"/>
                <w:szCs w:val="20"/>
              </w:rPr>
              <w:t>Baseline</w:t>
            </w:r>
          </w:p>
        </w:tc>
        <w:tc>
          <w:tcPr>
            <w:tcW w:w="1440" w:type="dxa"/>
            <w:shd w:val="clear" w:color="auto" w:fill="auto"/>
          </w:tcPr>
          <w:p w14:paraId="393A111B" w14:textId="77777777" w:rsidR="00DD1C47" w:rsidRPr="00A01631" w:rsidRDefault="00DD1C47" w:rsidP="003F57BD">
            <w:pPr>
              <w:rPr>
                <w:rFonts w:cs="Arial"/>
                <w:b/>
                <w:sz w:val="20"/>
                <w:szCs w:val="20"/>
              </w:rPr>
            </w:pPr>
            <w:r w:rsidRPr="00A01631">
              <w:rPr>
                <w:rFonts w:cs="Arial"/>
                <w:b/>
                <w:sz w:val="20"/>
                <w:szCs w:val="20"/>
              </w:rPr>
              <w:t>Equipment Cost</w:t>
            </w:r>
          </w:p>
        </w:tc>
        <w:tc>
          <w:tcPr>
            <w:tcW w:w="1341" w:type="dxa"/>
            <w:shd w:val="clear" w:color="auto" w:fill="auto"/>
          </w:tcPr>
          <w:p w14:paraId="393A111C" w14:textId="77777777" w:rsidR="00DD1C47" w:rsidRPr="00A01631" w:rsidRDefault="00DD1C47" w:rsidP="003F57BD">
            <w:pPr>
              <w:rPr>
                <w:rFonts w:cs="Arial"/>
                <w:b/>
                <w:sz w:val="20"/>
                <w:szCs w:val="20"/>
              </w:rPr>
            </w:pPr>
            <w:r w:rsidRPr="00A01631">
              <w:rPr>
                <w:rFonts w:cs="Arial"/>
                <w:b/>
                <w:sz w:val="20"/>
                <w:szCs w:val="20"/>
              </w:rPr>
              <w:t>Labor / Installation Cost</w:t>
            </w:r>
          </w:p>
        </w:tc>
        <w:tc>
          <w:tcPr>
            <w:tcW w:w="1513" w:type="dxa"/>
            <w:shd w:val="clear" w:color="auto" w:fill="auto"/>
          </w:tcPr>
          <w:p w14:paraId="393A111D" w14:textId="77777777" w:rsidR="00DD1C47" w:rsidRPr="00A01631" w:rsidRDefault="00DD1C47" w:rsidP="003F57BD">
            <w:pPr>
              <w:rPr>
                <w:rFonts w:cs="Arial"/>
                <w:b/>
                <w:sz w:val="20"/>
                <w:szCs w:val="20"/>
              </w:rPr>
            </w:pPr>
            <w:r w:rsidRPr="00A01631">
              <w:rPr>
                <w:rFonts w:cs="Arial"/>
                <w:b/>
                <w:sz w:val="20"/>
                <w:szCs w:val="20"/>
              </w:rPr>
              <w:t>Maintenance / Other Cost</w:t>
            </w:r>
          </w:p>
        </w:tc>
        <w:tc>
          <w:tcPr>
            <w:tcW w:w="1214" w:type="dxa"/>
            <w:shd w:val="clear" w:color="auto" w:fill="auto"/>
          </w:tcPr>
          <w:p w14:paraId="393A111E" w14:textId="77777777" w:rsidR="00DD1C47" w:rsidRPr="00A01631" w:rsidRDefault="00DD1C47" w:rsidP="003F57BD">
            <w:pPr>
              <w:rPr>
                <w:rFonts w:cs="Arial"/>
                <w:b/>
                <w:sz w:val="20"/>
                <w:szCs w:val="20"/>
              </w:rPr>
            </w:pPr>
            <w:r w:rsidRPr="00A01631">
              <w:rPr>
                <w:rFonts w:cs="Arial"/>
                <w:b/>
                <w:sz w:val="20"/>
                <w:szCs w:val="20"/>
              </w:rPr>
              <w:t>Total Measure Case Cost</w:t>
            </w:r>
          </w:p>
        </w:tc>
      </w:tr>
      <w:tr w:rsidR="00DD1C47" w:rsidRPr="00A01631" w14:paraId="393A1127" w14:textId="77777777" w:rsidTr="00A01631">
        <w:tc>
          <w:tcPr>
            <w:tcW w:w="1028" w:type="dxa"/>
            <w:shd w:val="clear" w:color="auto" w:fill="auto"/>
          </w:tcPr>
          <w:p w14:paraId="393A1120" w14:textId="308B68D5" w:rsidR="00DD1C47" w:rsidRPr="00A01631" w:rsidRDefault="00793685" w:rsidP="00940B39">
            <w:pPr>
              <w:rPr>
                <w:rFonts w:cs="Arial"/>
                <w:sz w:val="20"/>
                <w:szCs w:val="20"/>
              </w:rPr>
            </w:pPr>
            <w:r>
              <w:rPr>
                <w:rFonts w:cs="Arial"/>
                <w:sz w:val="20"/>
                <w:szCs w:val="20"/>
              </w:rPr>
              <w:t>F</w:t>
            </w:r>
            <w:r w:rsidR="00940B39">
              <w:rPr>
                <w:rFonts w:cs="Arial"/>
                <w:sz w:val="20"/>
                <w:szCs w:val="20"/>
              </w:rPr>
              <w:t>S002</w:t>
            </w:r>
          </w:p>
        </w:tc>
        <w:tc>
          <w:tcPr>
            <w:tcW w:w="1420" w:type="dxa"/>
            <w:shd w:val="clear" w:color="auto" w:fill="auto"/>
          </w:tcPr>
          <w:p w14:paraId="393A1121" w14:textId="7EBDFB64" w:rsidR="00DD1C47" w:rsidRPr="00A01631" w:rsidRDefault="00793685" w:rsidP="003F57BD">
            <w:pPr>
              <w:rPr>
                <w:rFonts w:cs="Arial"/>
                <w:sz w:val="20"/>
                <w:szCs w:val="20"/>
              </w:rPr>
            </w:pPr>
            <w:r>
              <w:rPr>
                <w:rFonts w:cs="Arial"/>
                <w:sz w:val="20"/>
                <w:szCs w:val="20"/>
              </w:rPr>
              <w:t>ROB/ NC</w:t>
            </w:r>
          </w:p>
        </w:tc>
        <w:tc>
          <w:tcPr>
            <w:tcW w:w="1620" w:type="dxa"/>
            <w:shd w:val="clear" w:color="auto" w:fill="auto"/>
          </w:tcPr>
          <w:p w14:paraId="393A1122" w14:textId="1A55E1E9" w:rsidR="00DD1C47" w:rsidRPr="00A01631" w:rsidRDefault="00793685" w:rsidP="00793685">
            <w:pPr>
              <w:rPr>
                <w:rFonts w:cs="Arial"/>
                <w:sz w:val="20"/>
                <w:szCs w:val="20"/>
              </w:rPr>
            </w:pPr>
            <w:r w:rsidRPr="00793685">
              <w:rPr>
                <w:rFonts w:cs="Arial"/>
                <w:sz w:val="20"/>
                <w:szCs w:val="20"/>
              </w:rPr>
              <w:t xml:space="preserve">Industry  </w:t>
            </w:r>
            <w:r w:rsidR="00DD1C47" w:rsidRPr="00793685">
              <w:rPr>
                <w:rFonts w:cs="Arial"/>
                <w:sz w:val="20"/>
                <w:szCs w:val="20"/>
              </w:rPr>
              <w:t>Practice</w:t>
            </w:r>
          </w:p>
        </w:tc>
        <w:tc>
          <w:tcPr>
            <w:tcW w:w="1440" w:type="dxa"/>
            <w:shd w:val="clear" w:color="auto" w:fill="auto"/>
          </w:tcPr>
          <w:p w14:paraId="393A1123" w14:textId="3CB04DE1" w:rsidR="00DD1C47" w:rsidRPr="00A01631" w:rsidRDefault="00DD1C47" w:rsidP="00940B39">
            <w:pPr>
              <w:rPr>
                <w:rFonts w:cs="Arial"/>
                <w:sz w:val="20"/>
                <w:szCs w:val="20"/>
              </w:rPr>
            </w:pPr>
            <w:r w:rsidRPr="00A01631">
              <w:rPr>
                <w:rFonts w:cs="Arial"/>
                <w:sz w:val="20"/>
                <w:szCs w:val="20"/>
              </w:rPr>
              <w:t>$</w:t>
            </w:r>
            <w:r w:rsidR="00940B39">
              <w:rPr>
                <w:rFonts w:cs="Arial"/>
                <w:sz w:val="20"/>
                <w:szCs w:val="20"/>
              </w:rPr>
              <w:t>1008</w:t>
            </w:r>
          </w:p>
        </w:tc>
        <w:tc>
          <w:tcPr>
            <w:tcW w:w="1341" w:type="dxa"/>
            <w:shd w:val="clear" w:color="auto" w:fill="auto"/>
          </w:tcPr>
          <w:p w14:paraId="393A1124" w14:textId="66B30884" w:rsidR="00DD1C47" w:rsidRPr="00A01631" w:rsidRDefault="00DD1C47" w:rsidP="003F57BD">
            <w:pPr>
              <w:rPr>
                <w:rFonts w:cs="Arial"/>
                <w:sz w:val="20"/>
                <w:szCs w:val="20"/>
              </w:rPr>
            </w:pPr>
            <w:r w:rsidRPr="00A01631">
              <w:rPr>
                <w:rFonts w:cs="Arial"/>
                <w:sz w:val="20"/>
                <w:szCs w:val="20"/>
              </w:rPr>
              <w:t>$</w:t>
            </w:r>
            <w:r w:rsidR="00AF7A1F">
              <w:rPr>
                <w:rFonts w:cs="Arial"/>
                <w:sz w:val="20"/>
                <w:szCs w:val="20"/>
              </w:rPr>
              <w:t>N/A</w:t>
            </w:r>
          </w:p>
        </w:tc>
        <w:tc>
          <w:tcPr>
            <w:tcW w:w="1513" w:type="dxa"/>
            <w:shd w:val="clear" w:color="auto" w:fill="auto"/>
          </w:tcPr>
          <w:p w14:paraId="393A1125" w14:textId="1ABD2EA4" w:rsidR="00DD1C47" w:rsidRPr="00A01631" w:rsidRDefault="00DD1C47" w:rsidP="003F57BD">
            <w:pPr>
              <w:rPr>
                <w:rFonts w:cs="Arial"/>
                <w:sz w:val="20"/>
                <w:szCs w:val="20"/>
              </w:rPr>
            </w:pPr>
            <w:r w:rsidRPr="00A01631">
              <w:rPr>
                <w:rFonts w:cs="Arial"/>
                <w:sz w:val="20"/>
                <w:szCs w:val="20"/>
              </w:rPr>
              <w:t>$</w:t>
            </w:r>
            <w:r w:rsidR="00AF7A1F">
              <w:rPr>
                <w:rFonts w:cs="Arial"/>
                <w:sz w:val="20"/>
                <w:szCs w:val="20"/>
              </w:rPr>
              <w:t>N/A</w:t>
            </w:r>
          </w:p>
        </w:tc>
        <w:tc>
          <w:tcPr>
            <w:tcW w:w="1214" w:type="dxa"/>
            <w:shd w:val="clear" w:color="auto" w:fill="auto"/>
          </w:tcPr>
          <w:p w14:paraId="393A1126" w14:textId="70B6FB67" w:rsidR="00DD1C47" w:rsidRPr="00A01631" w:rsidRDefault="00DD1C47" w:rsidP="00940B39">
            <w:pPr>
              <w:rPr>
                <w:rFonts w:cs="Arial"/>
                <w:sz w:val="20"/>
                <w:szCs w:val="20"/>
              </w:rPr>
            </w:pPr>
            <w:r w:rsidRPr="00A01631">
              <w:rPr>
                <w:rFonts w:cs="Arial"/>
                <w:sz w:val="20"/>
                <w:szCs w:val="20"/>
              </w:rPr>
              <w:t>$</w:t>
            </w:r>
            <w:r w:rsidR="00940B39">
              <w:rPr>
                <w:rFonts w:cs="Arial"/>
                <w:sz w:val="20"/>
                <w:szCs w:val="20"/>
              </w:rPr>
              <w:t>1008</w:t>
            </w:r>
          </w:p>
        </w:tc>
      </w:tr>
      <w:tr w:rsidR="00DD1C47" w:rsidRPr="00A01631" w14:paraId="393A112F" w14:textId="77777777" w:rsidTr="00A01631">
        <w:tc>
          <w:tcPr>
            <w:tcW w:w="1028" w:type="dxa"/>
            <w:shd w:val="clear" w:color="auto" w:fill="auto"/>
          </w:tcPr>
          <w:p w14:paraId="393A1128" w14:textId="3FF3391A" w:rsidR="00DD1C47" w:rsidRPr="00A01631" w:rsidRDefault="00793685" w:rsidP="00940B39">
            <w:pPr>
              <w:rPr>
                <w:rFonts w:cs="Arial"/>
                <w:i/>
                <w:sz w:val="20"/>
                <w:szCs w:val="20"/>
              </w:rPr>
            </w:pPr>
            <w:r>
              <w:rPr>
                <w:rFonts w:cs="Arial"/>
                <w:i/>
                <w:sz w:val="20"/>
                <w:szCs w:val="20"/>
              </w:rPr>
              <w:t>F</w:t>
            </w:r>
            <w:r w:rsidR="00940B39">
              <w:rPr>
                <w:rFonts w:cs="Arial"/>
                <w:i/>
                <w:sz w:val="20"/>
                <w:szCs w:val="20"/>
              </w:rPr>
              <w:t>S003</w:t>
            </w:r>
          </w:p>
        </w:tc>
        <w:tc>
          <w:tcPr>
            <w:tcW w:w="1420" w:type="dxa"/>
            <w:shd w:val="clear" w:color="auto" w:fill="auto"/>
          </w:tcPr>
          <w:p w14:paraId="393A1129" w14:textId="042822EA" w:rsidR="00DD1C47" w:rsidRPr="00A01631" w:rsidRDefault="00793685" w:rsidP="003F57BD">
            <w:pPr>
              <w:rPr>
                <w:rFonts w:cs="Arial"/>
                <w:i/>
                <w:sz w:val="20"/>
                <w:szCs w:val="20"/>
              </w:rPr>
            </w:pPr>
            <w:r>
              <w:rPr>
                <w:rFonts w:cs="Arial"/>
                <w:sz w:val="20"/>
                <w:szCs w:val="20"/>
              </w:rPr>
              <w:t>ROB/NC</w:t>
            </w:r>
          </w:p>
        </w:tc>
        <w:tc>
          <w:tcPr>
            <w:tcW w:w="1620" w:type="dxa"/>
            <w:shd w:val="clear" w:color="auto" w:fill="auto"/>
          </w:tcPr>
          <w:p w14:paraId="393A112A" w14:textId="12D02F7F" w:rsidR="00DD1C47" w:rsidRPr="00A01631" w:rsidRDefault="00793685" w:rsidP="003F57BD">
            <w:pPr>
              <w:rPr>
                <w:rFonts w:cs="Arial"/>
                <w:i/>
                <w:sz w:val="20"/>
                <w:szCs w:val="20"/>
              </w:rPr>
            </w:pPr>
            <w:r>
              <w:rPr>
                <w:rFonts w:cs="Arial"/>
                <w:i/>
                <w:sz w:val="20"/>
                <w:szCs w:val="20"/>
              </w:rPr>
              <w:t>Industry Practice</w:t>
            </w:r>
          </w:p>
        </w:tc>
        <w:tc>
          <w:tcPr>
            <w:tcW w:w="1440" w:type="dxa"/>
            <w:shd w:val="clear" w:color="auto" w:fill="auto"/>
          </w:tcPr>
          <w:p w14:paraId="393A112B" w14:textId="25AE2EE4" w:rsidR="00DD1C47" w:rsidRPr="00A01631" w:rsidRDefault="00AF7A1F" w:rsidP="00940B39">
            <w:pPr>
              <w:rPr>
                <w:rFonts w:cs="Arial"/>
                <w:i/>
                <w:sz w:val="20"/>
                <w:szCs w:val="20"/>
              </w:rPr>
            </w:pPr>
            <w:r>
              <w:rPr>
                <w:rFonts w:cs="Arial"/>
                <w:i/>
                <w:sz w:val="20"/>
                <w:szCs w:val="20"/>
              </w:rPr>
              <w:t>$</w:t>
            </w:r>
            <w:r w:rsidR="00940B39">
              <w:rPr>
                <w:rFonts w:cs="Arial"/>
                <w:i/>
                <w:sz w:val="20"/>
                <w:szCs w:val="20"/>
              </w:rPr>
              <w:t>1312</w:t>
            </w:r>
          </w:p>
        </w:tc>
        <w:tc>
          <w:tcPr>
            <w:tcW w:w="1341" w:type="dxa"/>
            <w:shd w:val="clear" w:color="auto" w:fill="auto"/>
          </w:tcPr>
          <w:p w14:paraId="393A112C" w14:textId="7D5A9FF8" w:rsidR="00DD1C47" w:rsidRPr="00A01631" w:rsidRDefault="00AF7A1F" w:rsidP="003F57BD">
            <w:pPr>
              <w:rPr>
                <w:rFonts w:cs="Arial"/>
                <w:i/>
                <w:sz w:val="20"/>
                <w:szCs w:val="20"/>
              </w:rPr>
            </w:pPr>
            <w:r>
              <w:rPr>
                <w:rFonts w:cs="Arial"/>
                <w:i/>
                <w:sz w:val="20"/>
                <w:szCs w:val="20"/>
              </w:rPr>
              <w:t>$N/A</w:t>
            </w:r>
          </w:p>
        </w:tc>
        <w:tc>
          <w:tcPr>
            <w:tcW w:w="1513" w:type="dxa"/>
            <w:shd w:val="clear" w:color="auto" w:fill="auto"/>
          </w:tcPr>
          <w:p w14:paraId="393A112D" w14:textId="152DD7D1" w:rsidR="00DD1C47" w:rsidRPr="00A01631" w:rsidRDefault="00AF7A1F" w:rsidP="003F57BD">
            <w:pPr>
              <w:rPr>
                <w:rFonts w:cs="Arial"/>
                <w:i/>
                <w:sz w:val="20"/>
                <w:szCs w:val="20"/>
              </w:rPr>
            </w:pPr>
            <w:r>
              <w:rPr>
                <w:rFonts w:cs="Arial"/>
                <w:i/>
                <w:sz w:val="20"/>
                <w:szCs w:val="20"/>
              </w:rPr>
              <w:t>$N/A</w:t>
            </w:r>
          </w:p>
        </w:tc>
        <w:tc>
          <w:tcPr>
            <w:tcW w:w="1214" w:type="dxa"/>
            <w:shd w:val="clear" w:color="auto" w:fill="auto"/>
          </w:tcPr>
          <w:p w14:paraId="393A112E" w14:textId="0435C1D4" w:rsidR="00DD1C47" w:rsidRPr="00A01631" w:rsidRDefault="00AF7A1F" w:rsidP="00940B39">
            <w:pPr>
              <w:rPr>
                <w:rFonts w:cs="Arial"/>
                <w:i/>
                <w:sz w:val="20"/>
                <w:szCs w:val="20"/>
              </w:rPr>
            </w:pPr>
            <w:r>
              <w:rPr>
                <w:rFonts w:cs="Arial"/>
                <w:i/>
                <w:sz w:val="20"/>
                <w:szCs w:val="20"/>
              </w:rPr>
              <w:t>$</w:t>
            </w:r>
            <w:r w:rsidR="00940B39">
              <w:rPr>
                <w:rFonts w:cs="Arial"/>
                <w:i/>
                <w:sz w:val="20"/>
                <w:szCs w:val="20"/>
              </w:rPr>
              <w:t>1312</w:t>
            </w:r>
          </w:p>
        </w:tc>
      </w:tr>
    </w:tbl>
    <w:p w14:paraId="393A1138" w14:textId="77777777" w:rsidR="00DD1C47" w:rsidRPr="00DD1C47" w:rsidRDefault="00DD1C47" w:rsidP="00DD1C47">
      <w:pPr>
        <w:rPr>
          <w:rFonts w:cs="Arial"/>
          <w:i/>
          <w:sz w:val="20"/>
          <w:szCs w:val="20"/>
        </w:rPr>
      </w:pPr>
      <w:r w:rsidRPr="00DD1C47">
        <w:rPr>
          <w:rFonts w:cs="Arial"/>
          <w:i/>
          <w:sz w:val="20"/>
          <w:szCs w:val="20"/>
        </w:rPr>
        <w:t>All costs</w:t>
      </w:r>
      <w:r w:rsidR="00A24434">
        <w:rPr>
          <w:rFonts w:cs="Arial"/>
          <w:i/>
          <w:sz w:val="20"/>
          <w:szCs w:val="20"/>
        </w:rPr>
        <w:t xml:space="preserve"> are noted as $ per measure unit</w:t>
      </w:r>
    </w:p>
    <w:p w14:paraId="393A1139" w14:textId="77777777" w:rsidR="00DD1C47" w:rsidRDefault="00DD1C47" w:rsidP="00DD1C47">
      <w:pPr>
        <w:rPr>
          <w:i/>
        </w:rPr>
      </w:pPr>
    </w:p>
    <w:p w14:paraId="393A113A" w14:textId="572E96B9" w:rsidR="00DD1C47" w:rsidRPr="00DD1C47" w:rsidRDefault="00DD1C47" w:rsidP="00DD1C47">
      <w:pPr>
        <w:rPr>
          <w:rFonts w:cs="Arial"/>
          <w:b/>
          <w:i/>
          <w:sz w:val="20"/>
          <w:szCs w:val="20"/>
        </w:rPr>
      </w:pPr>
    </w:p>
    <w:p w14:paraId="393A113B" w14:textId="77777777" w:rsidR="00DD1C47" w:rsidRPr="00DD1C47" w:rsidRDefault="00DD1C47" w:rsidP="00F55847">
      <w:pPr>
        <w:rPr>
          <w:rFonts w:cs="Arial"/>
          <w:sz w:val="20"/>
          <w:szCs w:val="20"/>
        </w:rPr>
      </w:pPr>
    </w:p>
    <w:p w14:paraId="393A113C" w14:textId="77777777" w:rsidR="0030550A" w:rsidRDefault="0030550A" w:rsidP="002E0043">
      <w:pPr>
        <w:pStyle w:val="Heading2"/>
        <w:keepNext w:val="0"/>
      </w:pPr>
      <w:bookmarkStart w:id="137" w:name="_Toc304800220"/>
      <w:bookmarkStart w:id="138" w:name="_Toc324318374"/>
      <w:bookmarkStart w:id="139" w:name="_Toc324340503"/>
      <w:bookmarkStart w:id="140" w:name="_Toc385935879"/>
      <w:r>
        <w:t>4.3 Incremental &amp; Full Measure Costs</w:t>
      </w:r>
      <w:bookmarkEnd w:id="137"/>
      <w:bookmarkEnd w:id="138"/>
      <w:bookmarkEnd w:id="139"/>
      <w:bookmarkEnd w:id="140"/>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14:paraId="393A1143" w14:textId="77777777" w:rsidTr="0064609B">
        <w:trPr>
          <w:trHeight w:val="255"/>
        </w:trPr>
        <w:tc>
          <w:tcPr>
            <w:tcW w:w="1305" w:type="dxa"/>
            <w:shd w:val="clear" w:color="auto" w:fill="0D0D0D"/>
            <w:noWrap/>
            <w:vAlign w:val="bottom"/>
          </w:tcPr>
          <w:p w14:paraId="393A113D" w14:textId="77777777"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14:paraId="393A113E" w14:textId="517F2A6A"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3F" w14:textId="77777777"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14:paraId="393A1140" w14:textId="7C20B647"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41" w14:textId="77777777"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14:paraId="393A1142" w14:textId="77777777" w:rsidR="003F57BD" w:rsidRPr="00623BA1" w:rsidRDefault="003F57BD" w:rsidP="00623BA1">
            <w:pPr>
              <w:jc w:val="center"/>
              <w:rPr>
                <w:rFonts w:cs="Arial"/>
                <w:b/>
                <w:sz w:val="20"/>
                <w:szCs w:val="20"/>
              </w:rPr>
            </w:pPr>
            <w:r w:rsidRPr="00623BA1">
              <w:rPr>
                <w:rFonts w:cs="Arial"/>
                <w:b/>
                <w:sz w:val="20"/>
                <w:szCs w:val="20"/>
              </w:rPr>
              <w:t>Incremental Measure Cost</w:t>
            </w:r>
          </w:p>
        </w:tc>
      </w:tr>
      <w:tr w:rsidR="00430775" w:rsidRPr="003F57BD" w14:paraId="393A114B" w14:textId="77777777" w:rsidTr="00F30878">
        <w:trPr>
          <w:trHeight w:val="255"/>
        </w:trPr>
        <w:tc>
          <w:tcPr>
            <w:tcW w:w="1305" w:type="dxa"/>
            <w:shd w:val="pct20" w:color="000000" w:fill="FFFFFF"/>
            <w:noWrap/>
            <w:vAlign w:val="bottom"/>
          </w:tcPr>
          <w:p w14:paraId="393A1144" w14:textId="77777777" w:rsidR="00430775" w:rsidRPr="00623BA1" w:rsidRDefault="00430775" w:rsidP="00430775">
            <w:pPr>
              <w:jc w:val="center"/>
              <w:rPr>
                <w:rFonts w:cs="Arial"/>
                <w:sz w:val="20"/>
                <w:szCs w:val="20"/>
              </w:rPr>
            </w:pPr>
            <w:r w:rsidRPr="00623BA1">
              <w:rPr>
                <w:rFonts w:cs="Arial"/>
                <w:sz w:val="20"/>
                <w:szCs w:val="20"/>
              </w:rPr>
              <w:t>ER</w:t>
            </w:r>
          </w:p>
        </w:tc>
        <w:tc>
          <w:tcPr>
            <w:tcW w:w="3213" w:type="dxa"/>
            <w:shd w:val="pct20" w:color="000000" w:fill="FFFFFF"/>
            <w:vAlign w:val="bottom"/>
          </w:tcPr>
          <w:p w14:paraId="393A1145"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6" w14:textId="77777777" w:rsidR="00430775" w:rsidRPr="00623BA1" w:rsidRDefault="00430775" w:rsidP="00430775">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14:paraId="393A1147" w14:textId="77777777" w:rsidR="00430775" w:rsidRPr="00623BA1" w:rsidRDefault="00430775" w:rsidP="00430775">
            <w:pPr>
              <w:jc w:val="center"/>
              <w:rPr>
                <w:rFonts w:cs="Arial"/>
                <w:sz w:val="20"/>
                <w:szCs w:val="20"/>
              </w:rPr>
            </w:pPr>
            <w:r w:rsidRPr="00623BA1">
              <w:rPr>
                <w:rFonts w:cs="Arial"/>
                <w:sz w:val="20"/>
                <w:szCs w:val="20"/>
              </w:rPr>
              <w:t>(-1)x(Base Equipment Cost</w:t>
            </w:r>
          </w:p>
          <w:p w14:paraId="393A1148" w14:textId="77777777" w:rsidR="00430775" w:rsidRPr="00623BA1" w:rsidRDefault="00430775" w:rsidP="00430775">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14:paraId="393A1149"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A"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r w:rsidR="003F57BD" w:rsidRPr="003F57BD" w14:paraId="393A1152" w14:textId="77777777" w:rsidTr="00F30878">
        <w:trPr>
          <w:trHeight w:val="170"/>
        </w:trPr>
        <w:tc>
          <w:tcPr>
            <w:tcW w:w="1305" w:type="dxa"/>
            <w:shd w:val="pct5" w:color="000000" w:fill="FFFFFF"/>
            <w:noWrap/>
            <w:vAlign w:val="bottom"/>
          </w:tcPr>
          <w:p w14:paraId="393A114C" w14:textId="77777777" w:rsidR="003F57BD" w:rsidRPr="00623BA1" w:rsidRDefault="003F57BD" w:rsidP="00623BA1">
            <w:pPr>
              <w:jc w:val="center"/>
              <w:rPr>
                <w:rFonts w:cs="Arial"/>
                <w:sz w:val="20"/>
                <w:szCs w:val="20"/>
              </w:rPr>
            </w:pPr>
            <w:r w:rsidRPr="00623BA1">
              <w:rPr>
                <w:rFonts w:cs="Arial"/>
                <w:sz w:val="20"/>
                <w:szCs w:val="20"/>
              </w:rPr>
              <w:t>ROB</w:t>
            </w:r>
          </w:p>
        </w:tc>
        <w:tc>
          <w:tcPr>
            <w:tcW w:w="3213" w:type="dxa"/>
            <w:shd w:val="pct5" w:color="000000" w:fill="FFFFFF"/>
            <w:vAlign w:val="bottom"/>
          </w:tcPr>
          <w:p w14:paraId="393A114D"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4E" w14:textId="77777777" w:rsidR="003F57BD" w:rsidRPr="00623BA1" w:rsidRDefault="003F57BD" w:rsidP="00623BA1">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14:paraId="393A114F" w14:textId="77777777" w:rsidR="003F57BD" w:rsidRPr="00623BA1" w:rsidRDefault="003F57BD" w:rsidP="00623BA1">
            <w:pPr>
              <w:jc w:val="center"/>
              <w:rPr>
                <w:rFonts w:cs="Arial"/>
                <w:sz w:val="20"/>
                <w:szCs w:val="20"/>
              </w:rPr>
            </w:pPr>
            <w:r w:rsidRPr="00623BA1">
              <w:rPr>
                <w:rFonts w:cs="Arial"/>
                <w:sz w:val="20"/>
                <w:szCs w:val="20"/>
              </w:rPr>
              <w:t>N/A</w:t>
            </w:r>
          </w:p>
        </w:tc>
        <w:tc>
          <w:tcPr>
            <w:tcW w:w="2970" w:type="dxa"/>
            <w:shd w:val="pct5" w:color="000000" w:fill="FFFFFF"/>
            <w:vAlign w:val="bottom"/>
          </w:tcPr>
          <w:p w14:paraId="393A1150"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51" w14:textId="77777777" w:rsidR="003F57BD" w:rsidRPr="00623BA1" w:rsidRDefault="003F57BD" w:rsidP="00623BA1">
            <w:pPr>
              <w:jc w:val="center"/>
              <w:rPr>
                <w:rFonts w:cs="Arial"/>
                <w:sz w:val="20"/>
                <w:szCs w:val="20"/>
              </w:rPr>
            </w:pPr>
            <w:r w:rsidRPr="00623BA1">
              <w:rPr>
                <w:rFonts w:cs="Arial"/>
                <w:sz w:val="20"/>
                <w:szCs w:val="20"/>
              </w:rPr>
              <w:t>– Base Case Equipment Cost</w:t>
            </w:r>
          </w:p>
        </w:tc>
      </w:tr>
      <w:tr w:rsidR="00430775" w:rsidRPr="003F57BD" w14:paraId="393A1159" w14:textId="77777777"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3" w14:textId="77777777" w:rsidR="00430775" w:rsidRPr="00623BA1" w:rsidRDefault="00430775" w:rsidP="00430775">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4"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5" w14:textId="77777777" w:rsidR="00430775" w:rsidRPr="00623BA1" w:rsidRDefault="00430775"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6" w14:textId="77777777" w:rsidR="00430775" w:rsidRPr="00623BA1" w:rsidRDefault="00430775"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7"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8"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bl>
    <w:p w14:paraId="393A115A" w14:textId="77777777" w:rsidR="003F57BD" w:rsidRPr="003F57BD" w:rsidRDefault="003F57BD" w:rsidP="00663A00">
      <w:pPr>
        <w:rPr>
          <w:rFonts w:cs="Arial"/>
          <w:i/>
        </w:rPr>
      </w:pPr>
    </w:p>
    <w:p w14:paraId="393A115B" w14:textId="4BB423DD" w:rsidR="001E4C31" w:rsidRPr="001E4C31" w:rsidRDefault="00E564BA" w:rsidP="001E4C31">
      <w:pPr>
        <w:pStyle w:val="Heading1"/>
        <w:rPr>
          <w:i/>
        </w:rPr>
      </w:pPr>
      <w:bookmarkStart w:id="141" w:name="_Toc324318375"/>
      <w:bookmarkStart w:id="142" w:name="_Toc324340504"/>
      <w:bookmarkStart w:id="143" w:name="_Toc385935880"/>
      <w:r>
        <w:rPr>
          <w:i/>
        </w:rPr>
        <w:t>4.3.1 Full</w:t>
      </w:r>
      <w:r w:rsidR="003F57BD" w:rsidRPr="003F57BD">
        <w:rPr>
          <w:i/>
        </w:rPr>
        <w:t xml:space="preserve"> Measure Cost</w:t>
      </w:r>
      <w:bookmarkEnd w:id="141"/>
      <w:bookmarkEnd w:id="142"/>
      <w:bookmarkEnd w:id="143"/>
    </w:p>
    <w:p w14:paraId="393A115C" w14:textId="10AF7860" w:rsidR="003F57BD" w:rsidRPr="003F57BD" w:rsidRDefault="00E564BA" w:rsidP="003F57BD">
      <w:pPr>
        <w:rPr>
          <w:rFonts w:cs="Arial"/>
          <w:sz w:val="20"/>
          <w:szCs w:val="20"/>
        </w:rPr>
      </w:pPr>
      <w:r>
        <w:rPr>
          <w:rFonts w:cs="Arial"/>
          <w:sz w:val="20"/>
          <w:szCs w:val="20"/>
        </w:rPr>
        <w:t>Full</w:t>
      </w:r>
      <w:r w:rsidR="003F57BD" w:rsidRPr="003F57BD">
        <w:rPr>
          <w:rFonts w:cs="Arial"/>
          <w:sz w:val="20"/>
          <w:szCs w:val="20"/>
        </w:rPr>
        <w:t xml:space="preserve"> Measure Cost is the cost to install an energy efficient measure per the </w:t>
      </w:r>
      <w:r w:rsidR="00133C60">
        <w:rPr>
          <w:rFonts w:cs="Arial"/>
          <w:sz w:val="20"/>
          <w:szCs w:val="20"/>
        </w:rPr>
        <w:t xml:space="preserve">CPUC calculators. </w:t>
      </w:r>
      <w:r w:rsidR="003F57BD"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003F57BD" w:rsidRPr="003F57BD">
        <w:rPr>
          <w:rFonts w:cs="Arial"/>
          <w:sz w:val="20"/>
          <w:szCs w:val="20"/>
        </w:rPr>
        <w:t xml:space="preserve">different meaning depending on the </w:t>
      </w:r>
      <w:r w:rsidR="003541A6">
        <w:rPr>
          <w:rFonts w:cs="Arial"/>
          <w:sz w:val="20"/>
          <w:szCs w:val="20"/>
        </w:rPr>
        <w:t>Measure Application</w:t>
      </w:r>
      <w:r w:rsidR="003F57BD" w:rsidRPr="003F57BD">
        <w:rPr>
          <w:rFonts w:cs="Arial"/>
          <w:sz w:val="20"/>
          <w:szCs w:val="20"/>
        </w:rPr>
        <w:t xml:space="preserve"> type.</w:t>
      </w:r>
      <w:r w:rsidR="00437BE1">
        <w:rPr>
          <w:rFonts w:cs="Arial"/>
          <w:sz w:val="20"/>
          <w:szCs w:val="20"/>
        </w:rPr>
        <w:t xml:space="preserve"> </w:t>
      </w:r>
    </w:p>
    <w:p w14:paraId="393A1178" w14:textId="398CB98F" w:rsidR="00133C60" w:rsidRPr="00D51A9B" w:rsidRDefault="00133C60" w:rsidP="00793685">
      <w:pPr>
        <w:rPr>
          <w:rFonts w:cs="Arial"/>
          <w:i/>
          <w:sz w:val="20"/>
          <w:szCs w:val="20"/>
        </w:rPr>
      </w:pPr>
      <w:r w:rsidRPr="00D51A9B">
        <w:rPr>
          <w:rFonts w:cs="Arial"/>
          <w:i/>
          <w:sz w:val="20"/>
          <w:szCs w:val="20"/>
        </w:rPr>
        <w:t xml:space="preserve">                  </w:t>
      </w:r>
    </w:p>
    <w:p w14:paraId="393A117B" w14:textId="77777777" w:rsidR="003F57BD" w:rsidRPr="003F57BD" w:rsidRDefault="003F57BD" w:rsidP="003F57BD">
      <w:pPr>
        <w:rPr>
          <w:rFonts w:cs="Arial"/>
          <w:i/>
          <w:szCs w:val="22"/>
        </w:rPr>
      </w:pPr>
      <w:r w:rsidRPr="003F57BD">
        <w:rPr>
          <w:rFonts w:cs="Arial"/>
          <w:sz w:val="20"/>
          <w:szCs w:val="20"/>
        </w:rPr>
        <w:t>*Note: Various complicated price fluctuations are not addressed in these equations, such as future costs due to inflation in labor, future costs due to deflation in material cost, and other variables that cannot be accurately described at this time.</w:t>
      </w:r>
    </w:p>
    <w:p w14:paraId="393A117C" w14:textId="77777777" w:rsidR="003F57BD" w:rsidRPr="009B1863" w:rsidRDefault="003F57BD" w:rsidP="00663A00">
      <w:pPr>
        <w:rPr>
          <w:i/>
          <w:sz w:val="20"/>
          <w:szCs w:val="20"/>
        </w:rPr>
      </w:pPr>
    </w:p>
    <w:p w14:paraId="393A117D" w14:textId="77777777" w:rsidR="00A47BFE" w:rsidRDefault="001E4C31" w:rsidP="001E4C31">
      <w:pPr>
        <w:pStyle w:val="Heading1"/>
        <w:rPr>
          <w:i/>
        </w:rPr>
      </w:pPr>
      <w:bookmarkStart w:id="144" w:name="_Toc324318376"/>
      <w:bookmarkStart w:id="145" w:name="_Toc324340505"/>
      <w:bookmarkStart w:id="146" w:name="_Toc385935881"/>
      <w:bookmarkStart w:id="147" w:name="_Toc304800221"/>
      <w:r>
        <w:rPr>
          <w:i/>
        </w:rPr>
        <w:t xml:space="preserve">4.3.2 </w:t>
      </w:r>
      <w:r w:rsidR="00A47BFE" w:rsidRPr="00A47BFE">
        <w:rPr>
          <w:i/>
        </w:rPr>
        <w:t>Incremental Measure Costs</w:t>
      </w:r>
      <w:bookmarkEnd w:id="144"/>
      <w:bookmarkEnd w:id="145"/>
      <w:bookmarkEnd w:id="146"/>
    </w:p>
    <w:p w14:paraId="187CD399" w14:textId="52564984" w:rsidR="00940B39" w:rsidRPr="00793685" w:rsidRDefault="00ED3B31" w:rsidP="00ED3B31">
      <w:pPr>
        <w:rPr>
          <w:rFonts w:cs="Arial"/>
          <w:sz w:val="24"/>
        </w:rPr>
      </w:pPr>
      <w:r w:rsidRPr="00793685">
        <w:rPr>
          <w:rFonts w:cs="Arial"/>
          <w:sz w:val="24"/>
        </w:rPr>
        <w:t>Incremental Measure Cost is the premium cost to install an energy efficient measure over a standard efficiency measure or code baseline measure.</w:t>
      </w:r>
      <w:r w:rsidR="00437BE1" w:rsidRPr="00793685">
        <w:rPr>
          <w:rFonts w:cs="Arial"/>
          <w:sz w:val="24"/>
        </w:rPr>
        <w:t xml:space="preserve"> </w:t>
      </w:r>
      <w:r w:rsidRPr="00793685">
        <w:rPr>
          <w:rFonts w:cs="Arial"/>
          <w:sz w:val="24"/>
        </w:rPr>
        <w:t>While IMC</w:t>
      </w:r>
      <w:r w:rsidR="00192B77" w:rsidRPr="00793685">
        <w:rPr>
          <w:rFonts w:cs="Arial"/>
          <w:sz w:val="24"/>
        </w:rPr>
        <w:t xml:space="preserve"> has a straight</w:t>
      </w:r>
      <w:r w:rsidRPr="00793685">
        <w:rPr>
          <w:rFonts w:cs="Arial"/>
          <w:sz w:val="24"/>
        </w:rPr>
        <w:t xml:space="preserve">forward definition depending on the </w:t>
      </w:r>
      <w:r w:rsidR="00E4302B" w:rsidRPr="00793685">
        <w:rPr>
          <w:rFonts w:cs="Arial"/>
          <w:sz w:val="24"/>
        </w:rPr>
        <w:t>Measure Application</w:t>
      </w:r>
      <w:r w:rsidRPr="00793685">
        <w:rPr>
          <w:rFonts w:cs="Arial"/>
          <w:sz w:val="24"/>
        </w:rPr>
        <w:t xml:space="preserve"> type, the equation does vary.</w:t>
      </w:r>
      <w:r w:rsidR="00437BE1" w:rsidRPr="00793685">
        <w:rPr>
          <w:rFonts w:cs="Arial"/>
          <w:sz w:val="24"/>
        </w:rPr>
        <w:t xml:space="preserve"> </w:t>
      </w:r>
      <w:r w:rsidR="00940B39">
        <w:rPr>
          <w:rFonts w:cs="Arial"/>
          <w:sz w:val="24"/>
        </w:rPr>
        <w:t>Unit is considered 1 square foot.</w:t>
      </w:r>
    </w:p>
    <w:p w14:paraId="393A117F" w14:textId="77777777" w:rsidR="00ED3B31" w:rsidRPr="00793685" w:rsidRDefault="00ED3B31" w:rsidP="00ED3B31">
      <w:pPr>
        <w:rPr>
          <w:rFonts w:cs="Arial"/>
          <w:sz w:val="24"/>
        </w:rPr>
      </w:pPr>
    </w:p>
    <w:p w14:paraId="393A1185" w14:textId="0E07CD79" w:rsidR="00ED3B31" w:rsidRPr="00793685" w:rsidRDefault="00C0363E" w:rsidP="00C0363E">
      <w:pPr>
        <w:ind w:right="720"/>
        <w:rPr>
          <w:rFonts w:cs="Arial"/>
          <w:sz w:val="24"/>
        </w:rPr>
      </w:pPr>
      <w:r w:rsidRPr="00793685">
        <w:rPr>
          <w:rFonts w:cs="Arial"/>
          <w:sz w:val="24"/>
        </w:rPr>
        <w:t>Incremental measure costs are used in the analysis.</w:t>
      </w:r>
    </w:p>
    <w:p w14:paraId="393A1186" w14:textId="77777777" w:rsidR="00ED3B31" w:rsidRPr="00793685" w:rsidRDefault="00ED3B31" w:rsidP="00ED3B31">
      <w:pPr>
        <w:ind w:left="720" w:right="720"/>
        <w:rPr>
          <w:rFonts w:cs="Arial"/>
          <w:sz w:val="20"/>
          <w:szCs w:val="20"/>
        </w:rPr>
      </w:pPr>
    </w:p>
    <w:p w14:paraId="393A1187" w14:textId="77777777" w:rsidR="00ED3B31" w:rsidRPr="00793685" w:rsidRDefault="00ED3B31" w:rsidP="00ED3B31">
      <w:pPr>
        <w:ind w:firstLine="720"/>
        <w:rPr>
          <w:rFonts w:cs="Arial"/>
          <w:sz w:val="20"/>
          <w:szCs w:val="20"/>
        </w:rPr>
      </w:pPr>
      <w:r w:rsidRPr="00793685">
        <w:rPr>
          <w:rFonts w:cs="Arial"/>
          <w:sz w:val="20"/>
          <w:szCs w:val="20"/>
        </w:rPr>
        <w:t>IMC = Measure Equipment Cost – Base Case Equipment Cost</w:t>
      </w:r>
    </w:p>
    <w:p w14:paraId="393A1188" w14:textId="77777777" w:rsidR="00ED3B31" w:rsidRPr="00793685" w:rsidRDefault="00ED3B31" w:rsidP="00ED3B31">
      <w:pPr>
        <w:ind w:firstLine="720"/>
        <w:rPr>
          <w:rFonts w:cs="Arial"/>
          <w:sz w:val="20"/>
          <w:szCs w:val="20"/>
        </w:rPr>
      </w:pPr>
    </w:p>
    <w:p w14:paraId="393A1189" w14:textId="29A3923E" w:rsidR="00ED3B31" w:rsidRPr="00ED3B31" w:rsidRDefault="00793685" w:rsidP="00ED3B31">
      <w:pPr>
        <w:ind w:firstLine="720"/>
        <w:rPr>
          <w:rFonts w:cs="Arial"/>
          <w:i/>
          <w:sz w:val="20"/>
          <w:szCs w:val="20"/>
        </w:rPr>
      </w:pPr>
      <w:r>
        <w:rPr>
          <w:rFonts w:cs="Arial"/>
          <w:i/>
          <w:sz w:val="20"/>
          <w:szCs w:val="20"/>
        </w:rPr>
        <w:t>F</w:t>
      </w:r>
      <w:r w:rsidR="00940B39">
        <w:rPr>
          <w:rFonts w:cs="Arial"/>
          <w:i/>
          <w:sz w:val="20"/>
          <w:szCs w:val="20"/>
        </w:rPr>
        <w:t>S002</w:t>
      </w:r>
      <w:r>
        <w:rPr>
          <w:rFonts w:cs="Arial"/>
          <w:i/>
          <w:sz w:val="20"/>
          <w:szCs w:val="20"/>
        </w:rPr>
        <w:t xml:space="preserve">: </w:t>
      </w:r>
      <w:r w:rsidR="00ED3B31" w:rsidRPr="00793685">
        <w:rPr>
          <w:rFonts w:cs="Arial"/>
          <w:i/>
          <w:sz w:val="20"/>
          <w:szCs w:val="20"/>
        </w:rPr>
        <w:t xml:space="preserve">IMC = </w:t>
      </w:r>
      <w:proofErr w:type="gramStart"/>
      <w:r w:rsidR="00ED3B31" w:rsidRPr="00793685">
        <w:rPr>
          <w:rFonts w:cs="Arial"/>
          <w:i/>
          <w:sz w:val="20"/>
          <w:szCs w:val="20"/>
        </w:rPr>
        <w:t xml:space="preserve">$  </w:t>
      </w:r>
      <w:r w:rsidR="00940B39">
        <w:rPr>
          <w:rFonts w:cs="Arial"/>
          <w:i/>
          <w:sz w:val="20"/>
          <w:szCs w:val="20"/>
        </w:rPr>
        <w:t>1008</w:t>
      </w:r>
      <w:proofErr w:type="gramEnd"/>
      <w:r w:rsidR="00ED3B31" w:rsidRPr="00793685">
        <w:rPr>
          <w:rFonts w:cs="Arial"/>
          <w:i/>
          <w:sz w:val="20"/>
          <w:szCs w:val="20"/>
        </w:rPr>
        <w:t xml:space="preserve">   per (unit) -- $  </w:t>
      </w:r>
      <w:r w:rsidR="00940B39">
        <w:rPr>
          <w:rFonts w:cs="Arial"/>
          <w:i/>
          <w:sz w:val="20"/>
          <w:szCs w:val="20"/>
        </w:rPr>
        <w:t>750</w:t>
      </w:r>
      <w:r>
        <w:rPr>
          <w:rFonts w:cs="Arial"/>
          <w:i/>
          <w:sz w:val="20"/>
          <w:szCs w:val="20"/>
        </w:rPr>
        <w:t xml:space="preserve"> per (unit) = $ </w:t>
      </w:r>
      <w:r w:rsidR="00940B39">
        <w:rPr>
          <w:rFonts w:cs="Arial"/>
          <w:i/>
          <w:sz w:val="20"/>
          <w:szCs w:val="20"/>
        </w:rPr>
        <w:t>258</w:t>
      </w:r>
      <w:r w:rsidR="00ED3B31" w:rsidRPr="00793685">
        <w:rPr>
          <w:rFonts w:cs="Arial"/>
          <w:i/>
          <w:sz w:val="20"/>
          <w:szCs w:val="20"/>
        </w:rPr>
        <w:t xml:space="preserve">  per (unit)</w:t>
      </w:r>
    </w:p>
    <w:p w14:paraId="73ECE5DB" w14:textId="77777777" w:rsidR="00793685" w:rsidRPr="00793685" w:rsidRDefault="00793685" w:rsidP="00793685">
      <w:pPr>
        <w:ind w:firstLine="720"/>
        <w:rPr>
          <w:rFonts w:cs="Arial"/>
          <w:sz w:val="20"/>
          <w:szCs w:val="20"/>
        </w:rPr>
      </w:pPr>
    </w:p>
    <w:p w14:paraId="623B05D5" w14:textId="032E0B86" w:rsidR="00793685" w:rsidRPr="00ED3B31" w:rsidRDefault="00793685" w:rsidP="00793685">
      <w:pPr>
        <w:ind w:firstLine="720"/>
        <w:rPr>
          <w:rFonts w:cs="Arial"/>
          <w:i/>
          <w:sz w:val="20"/>
          <w:szCs w:val="20"/>
        </w:rPr>
      </w:pPr>
      <w:r>
        <w:rPr>
          <w:rFonts w:cs="Arial"/>
          <w:i/>
          <w:sz w:val="20"/>
          <w:szCs w:val="20"/>
        </w:rPr>
        <w:t>F</w:t>
      </w:r>
      <w:r w:rsidR="00940B39">
        <w:rPr>
          <w:rFonts w:cs="Arial"/>
          <w:i/>
          <w:sz w:val="20"/>
          <w:szCs w:val="20"/>
        </w:rPr>
        <w:t>S003</w:t>
      </w:r>
      <w:r>
        <w:rPr>
          <w:rFonts w:cs="Arial"/>
          <w:i/>
          <w:sz w:val="20"/>
          <w:szCs w:val="20"/>
        </w:rPr>
        <w:t xml:space="preserve">: </w:t>
      </w:r>
      <w:r w:rsidRPr="00793685">
        <w:rPr>
          <w:rFonts w:cs="Arial"/>
          <w:i/>
          <w:sz w:val="20"/>
          <w:szCs w:val="20"/>
        </w:rPr>
        <w:t xml:space="preserve">IMC = </w:t>
      </w:r>
      <w:proofErr w:type="gramStart"/>
      <w:r w:rsidRPr="00793685">
        <w:rPr>
          <w:rFonts w:cs="Arial"/>
          <w:i/>
          <w:sz w:val="20"/>
          <w:szCs w:val="20"/>
        </w:rPr>
        <w:t xml:space="preserve">$  </w:t>
      </w:r>
      <w:r w:rsidR="00940B39">
        <w:rPr>
          <w:rFonts w:cs="Arial"/>
          <w:i/>
          <w:sz w:val="20"/>
          <w:szCs w:val="20"/>
        </w:rPr>
        <w:t>1312</w:t>
      </w:r>
      <w:proofErr w:type="gramEnd"/>
      <w:r w:rsidR="00940B39">
        <w:rPr>
          <w:rFonts w:cs="Arial"/>
          <w:i/>
          <w:sz w:val="20"/>
          <w:szCs w:val="20"/>
        </w:rPr>
        <w:t xml:space="preserve"> </w:t>
      </w:r>
      <w:r w:rsidRPr="00793685">
        <w:rPr>
          <w:rFonts w:cs="Arial"/>
          <w:i/>
          <w:sz w:val="20"/>
          <w:szCs w:val="20"/>
        </w:rPr>
        <w:t xml:space="preserve"> per (unit) -- $  </w:t>
      </w:r>
      <w:r w:rsidR="00940B39">
        <w:rPr>
          <w:rFonts w:cs="Arial"/>
          <w:i/>
          <w:sz w:val="20"/>
          <w:szCs w:val="20"/>
        </w:rPr>
        <w:t>1026</w:t>
      </w:r>
      <w:r>
        <w:rPr>
          <w:rFonts w:cs="Arial"/>
          <w:i/>
          <w:sz w:val="20"/>
          <w:szCs w:val="20"/>
        </w:rPr>
        <w:t xml:space="preserve">  per (unit) = $ 857</w:t>
      </w:r>
      <w:r w:rsidRPr="00793685">
        <w:rPr>
          <w:rFonts w:cs="Arial"/>
          <w:i/>
          <w:sz w:val="20"/>
          <w:szCs w:val="20"/>
        </w:rPr>
        <w:t xml:space="preserve"> </w:t>
      </w:r>
      <w:r w:rsidR="00940B39">
        <w:rPr>
          <w:rFonts w:cs="Arial"/>
          <w:i/>
          <w:sz w:val="20"/>
          <w:szCs w:val="20"/>
        </w:rPr>
        <w:t>286</w:t>
      </w:r>
      <w:r w:rsidRPr="00793685">
        <w:rPr>
          <w:rFonts w:cs="Arial"/>
          <w:i/>
          <w:sz w:val="20"/>
          <w:szCs w:val="20"/>
        </w:rPr>
        <w:t xml:space="preserve"> per (unit)</w:t>
      </w:r>
    </w:p>
    <w:p w14:paraId="393A11B3" w14:textId="77777777" w:rsidR="00A47BFE" w:rsidRPr="00ED3B31" w:rsidRDefault="00A47BFE" w:rsidP="00786700">
      <w:pPr>
        <w:pStyle w:val="Heading1"/>
        <w:rPr>
          <w:sz w:val="20"/>
          <w:szCs w:val="20"/>
        </w:rPr>
      </w:pPr>
    </w:p>
    <w:p w14:paraId="393A11B7" w14:textId="15C07C25" w:rsidR="00F52572" w:rsidRPr="00F52572" w:rsidRDefault="00915CE6" w:rsidP="00793685">
      <w:pPr>
        <w:pStyle w:val="Heading1"/>
      </w:pPr>
      <w:bookmarkStart w:id="148" w:name="_MON_1382719630"/>
      <w:bookmarkStart w:id="149" w:name="_Toc324340506"/>
      <w:bookmarkStart w:id="150" w:name="_Toc324318377"/>
      <w:bookmarkStart w:id="151" w:name="_Toc324340404"/>
      <w:bookmarkEnd w:id="148"/>
      <w:r>
        <w:br w:type="page"/>
      </w:r>
      <w:bookmarkEnd w:id="147"/>
      <w:bookmarkEnd w:id="149"/>
      <w:bookmarkEnd w:id="150"/>
      <w:bookmarkEnd w:id="151"/>
    </w:p>
    <w:p w14:paraId="393A11B8" w14:textId="77777777" w:rsidR="00315AB7" w:rsidRPr="0030080B" w:rsidRDefault="00315AB7" w:rsidP="000966CC">
      <w:pPr>
        <w:pStyle w:val="Heading1"/>
        <w:rPr>
          <w:rStyle w:val="Strong"/>
          <w:sz w:val="32"/>
        </w:rPr>
        <w:sectPr w:rsidR="00315AB7" w:rsidRPr="0030080B" w:rsidSect="00481F63">
          <w:endnotePr>
            <w:numFmt w:val="decimal"/>
          </w:endnotePr>
          <w:pgSz w:w="12240" w:h="15840"/>
          <w:pgMar w:top="1440" w:right="1440" w:bottom="1440" w:left="1440" w:header="720" w:footer="720" w:gutter="0"/>
          <w:pgNumType w:start="1"/>
          <w:cols w:space="720"/>
          <w:docGrid w:linePitch="360"/>
        </w:sectPr>
      </w:pPr>
    </w:p>
    <w:p w14:paraId="4B4FDC50" w14:textId="77777777" w:rsidR="00793685" w:rsidRPr="00793685" w:rsidRDefault="00793685" w:rsidP="00793685">
      <w:pPr>
        <w:keepNext/>
        <w:spacing w:before="240" w:after="60"/>
        <w:outlineLvl w:val="0"/>
        <w:rPr>
          <w:rFonts w:cs="Arial"/>
          <w:b/>
          <w:bCs/>
          <w:kern w:val="32"/>
          <w:sz w:val="32"/>
          <w:szCs w:val="32"/>
        </w:rPr>
      </w:pPr>
      <w:bookmarkStart w:id="152" w:name="_Toc253575447"/>
      <w:bookmarkStart w:id="153" w:name="_Toc385935882"/>
      <w:r w:rsidRPr="00793685">
        <w:rPr>
          <w:rFonts w:cs="Arial"/>
          <w:b/>
          <w:bCs/>
          <w:kern w:val="32"/>
          <w:sz w:val="32"/>
          <w:szCs w:val="32"/>
        </w:rPr>
        <w:lastRenderedPageBreak/>
        <w:t>References</w:t>
      </w:r>
      <w:bookmarkEnd w:id="152"/>
      <w:bookmarkEnd w:id="153"/>
    </w:p>
    <w:p w14:paraId="51C3B7E3" w14:textId="77777777" w:rsidR="00793685" w:rsidRPr="00793685" w:rsidRDefault="00793685" w:rsidP="00793685">
      <w:pPr>
        <w:rPr>
          <w:rFonts w:ascii="Times New Roman" w:hAnsi="Times New Roman"/>
          <w:sz w:val="24"/>
        </w:rPr>
      </w:pPr>
    </w:p>
    <w:p w14:paraId="5C725C99" w14:textId="77777777" w:rsidR="00793685" w:rsidRPr="00793685" w:rsidRDefault="00793685" w:rsidP="00793685">
      <w:pPr>
        <w:keepNext/>
        <w:numPr>
          <w:ilvl w:val="0"/>
          <w:numId w:val="2"/>
        </w:numPr>
        <w:rPr>
          <w:rFonts w:ascii="Times New Roman" w:hAnsi="Times New Roman"/>
          <w:sz w:val="20"/>
          <w:szCs w:val="20"/>
        </w:rPr>
      </w:pPr>
      <w:bookmarkStart w:id="154" w:name="_Ref182109263"/>
      <w:bookmarkStart w:id="155" w:name="_Ref182112965"/>
      <w:bookmarkStart w:id="156" w:name="_Ref182113002"/>
      <w:r w:rsidRPr="00793685">
        <w:rPr>
          <w:rFonts w:ascii="Times New Roman" w:hAnsi="Times New Roman"/>
          <w:sz w:val="20"/>
          <w:szCs w:val="20"/>
        </w:rPr>
        <w:t xml:space="preserve">American Society for Testing and Materials. </w:t>
      </w:r>
      <w:r w:rsidRPr="00793685">
        <w:rPr>
          <w:rFonts w:ascii="Times New Roman" w:hAnsi="Times New Roman"/>
          <w:i/>
          <w:iCs/>
          <w:sz w:val="20"/>
          <w:szCs w:val="20"/>
        </w:rPr>
        <w:t>Standard Test Method for the Performance of Griddles</w:t>
      </w:r>
      <w:r w:rsidRPr="00793685">
        <w:rPr>
          <w:rFonts w:ascii="Times New Roman" w:hAnsi="Times New Roman"/>
          <w:sz w:val="20"/>
          <w:szCs w:val="20"/>
        </w:rPr>
        <w:t xml:space="preserve">. ASTM Designation F1275, in Annual Book of ASTM Standards, </w:t>
      </w:r>
      <w:smartTag w:uri="urn:schemas-microsoft-com:office:smarttags" w:element="place">
        <w:r w:rsidRPr="00793685">
          <w:rPr>
            <w:rFonts w:ascii="Times New Roman" w:hAnsi="Times New Roman"/>
            <w:sz w:val="20"/>
            <w:szCs w:val="20"/>
          </w:rPr>
          <w:t>West Conshohocken</w:t>
        </w:r>
      </w:smartTag>
      <w:r w:rsidRPr="00793685">
        <w:rPr>
          <w:rFonts w:ascii="Times New Roman" w:hAnsi="Times New Roman"/>
          <w:sz w:val="20"/>
          <w:szCs w:val="20"/>
        </w:rPr>
        <w:t>, PA.</w:t>
      </w:r>
      <w:bookmarkEnd w:id="154"/>
    </w:p>
    <w:p w14:paraId="2A575152" w14:textId="77777777" w:rsidR="00793685" w:rsidRPr="00793685" w:rsidRDefault="00793685" w:rsidP="00793685">
      <w:pPr>
        <w:numPr>
          <w:ilvl w:val="0"/>
          <w:numId w:val="2"/>
        </w:numPr>
        <w:rPr>
          <w:rFonts w:ascii="Times New Roman" w:hAnsi="Times New Roman"/>
          <w:sz w:val="20"/>
          <w:szCs w:val="20"/>
        </w:rPr>
      </w:pPr>
      <w:bookmarkStart w:id="157" w:name="_Ref182205473"/>
      <w:bookmarkStart w:id="158" w:name="_Ref183856599"/>
      <w:r w:rsidRPr="00793685">
        <w:rPr>
          <w:rFonts w:ascii="Times New Roman" w:hAnsi="Times New Roman"/>
          <w:sz w:val="20"/>
          <w:szCs w:val="20"/>
        </w:rPr>
        <w:t>2004-2005 Database for Energy Efficiency Resources (DEER</w:t>
      </w:r>
      <w:bookmarkEnd w:id="157"/>
      <w:r w:rsidRPr="00793685">
        <w:rPr>
          <w:rFonts w:ascii="Times New Roman" w:hAnsi="Times New Roman"/>
          <w:sz w:val="20"/>
          <w:szCs w:val="20"/>
        </w:rPr>
        <w:t>), Version 2.01, Measure ID D03-905.</w:t>
      </w:r>
      <w:bookmarkEnd w:id="158"/>
    </w:p>
    <w:p w14:paraId="72D7744D" w14:textId="77777777" w:rsidR="00793685" w:rsidRPr="00793685" w:rsidRDefault="00793685" w:rsidP="00793685">
      <w:pPr>
        <w:keepNext/>
        <w:numPr>
          <w:ilvl w:val="0"/>
          <w:numId w:val="2"/>
        </w:numPr>
        <w:rPr>
          <w:rFonts w:ascii="Times New Roman" w:hAnsi="Times New Roman"/>
          <w:sz w:val="20"/>
          <w:szCs w:val="20"/>
        </w:rPr>
      </w:pPr>
      <w:bookmarkStart w:id="159" w:name="_Ref184798625"/>
      <w:r w:rsidRPr="00793685">
        <w:rPr>
          <w:rFonts w:ascii="Times New Roman" w:hAnsi="Times New Roman"/>
          <w:sz w:val="20"/>
          <w:szCs w:val="20"/>
          <w:lang w:val="de-DE"/>
        </w:rPr>
        <w:t xml:space="preserve">Fisher-Nickel, inc., D. Fisher, et al., 2002. </w:t>
      </w:r>
      <w:r w:rsidRPr="00793685">
        <w:rPr>
          <w:rFonts w:ascii="Times New Roman" w:hAnsi="Times New Roman"/>
          <w:sz w:val="20"/>
          <w:szCs w:val="20"/>
        </w:rPr>
        <w:t xml:space="preserve">Commercial Cooking Appliance Technology Assessment. </w:t>
      </w:r>
      <w:smartTag w:uri="urn:schemas-microsoft-com:office:smarttags" w:element="place">
        <w:smartTag w:uri="urn:schemas-microsoft-com:office:smarttags" w:element="PlaceName">
          <w:r w:rsidRPr="00793685">
            <w:rPr>
              <w:rFonts w:ascii="Times New Roman" w:hAnsi="Times New Roman"/>
              <w:sz w:val="20"/>
              <w:szCs w:val="20"/>
            </w:rPr>
            <w:t>Food</w:t>
          </w:r>
        </w:smartTag>
        <w:r w:rsidRPr="00793685">
          <w:rPr>
            <w:rFonts w:ascii="Times New Roman" w:hAnsi="Times New Roman"/>
            <w:sz w:val="20"/>
            <w:szCs w:val="20"/>
          </w:rPr>
          <w:t xml:space="preserve"> </w:t>
        </w:r>
        <w:smartTag w:uri="urn:schemas-microsoft-com:office:smarttags" w:element="PlaceName">
          <w:r w:rsidRPr="00793685">
            <w:rPr>
              <w:rFonts w:ascii="Times New Roman" w:hAnsi="Times New Roman"/>
              <w:sz w:val="20"/>
              <w:szCs w:val="20"/>
            </w:rPr>
            <w:t>Service</w:t>
          </w:r>
        </w:smartTag>
        <w:r w:rsidRPr="00793685">
          <w:rPr>
            <w:rFonts w:ascii="Times New Roman" w:hAnsi="Times New Roman"/>
            <w:sz w:val="20"/>
            <w:szCs w:val="20"/>
          </w:rPr>
          <w:t xml:space="preserve"> </w:t>
        </w:r>
        <w:smartTag w:uri="urn:schemas-microsoft-com:office:smarttags" w:element="PlaceName">
          <w:r w:rsidRPr="00793685">
            <w:rPr>
              <w:rFonts w:ascii="Times New Roman" w:hAnsi="Times New Roman"/>
              <w:sz w:val="20"/>
              <w:szCs w:val="20"/>
            </w:rPr>
            <w:t>Technology</w:t>
          </w:r>
        </w:smartTag>
        <w:r w:rsidRPr="00793685">
          <w:rPr>
            <w:rFonts w:ascii="Times New Roman" w:hAnsi="Times New Roman"/>
            <w:sz w:val="20"/>
            <w:szCs w:val="20"/>
          </w:rPr>
          <w:t xml:space="preserve"> </w:t>
        </w:r>
        <w:smartTag w:uri="urn:schemas-microsoft-com:office:smarttags" w:element="PlaceType">
          <w:r w:rsidRPr="00793685">
            <w:rPr>
              <w:rFonts w:ascii="Times New Roman" w:hAnsi="Times New Roman"/>
              <w:sz w:val="20"/>
              <w:szCs w:val="20"/>
            </w:rPr>
            <w:t>Center</w:t>
          </w:r>
        </w:smartTag>
      </w:smartTag>
      <w:r w:rsidRPr="00793685">
        <w:rPr>
          <w:rFonts w:ascii="Times New Roman" w:hAnsi="Times New Roman"/>
          <w:sz w:val="20"/>
          <w:szCs w:val="20"/>
        </w:rPr>
        <w:t xml:space="preserve"> Report 5011.02.26, pp. 3-1 to 3-27.</w:t>
      </w:r>
      <w:bookmarkEnd w:id="159"/>
    </w:p>
    <w:p w14:paraId="4E95B30B" w14:textId="77777777" w:rsidR="00793685" w:rsidRPr="00793685" w:rsidRDefault="00793685" w:rsidP="00793685">
      <w:pPr>
        <w:numPr>
          <w:ilvl w:val="0"/>
          <w:numId w:val="2"/>
        </w:numPr>
        <w:rPr>
          <w:rFonts w:ascii="Times New Roman" w:hAnsi="Times New Roman"/>
          <w:sz w:val="20"/>
          <w:szCs w:val="20"/>
        </w:rPr>
      </w:pPr>
      <w:bookmarkStart w:id="160" w:name="_Ref182109339"/>
      <w:r w:rsidRPr="00793685">
        <w:rPr>
          <w:rFonts w:ascii="Times New Roman" w:hAnsi="Times New Roman"/>
          <w:sz w:val="20"/>
          <w:szCs w:val="20"/>
        </w:rPr>
        <w:t xml:space="preserve">2011 Database for Energy Efficiency Resources (DEER) Update Study Final Report, </w:t>
      </w:r>
      <w:bookmarkEnd w:id="160"/>
    </w:p>
    <w:p w14:paraId="60029D9D" w14:textId="77777777" w:rsidR="00793685" w:rsidRPr="00793685" w:rsidRDefault="00793685" w:rsidP="00793685">
      <w:pPr>
        <w:keepNext/>
        <w:numPr>
          <w:ilvl w:val="0"/>
          <w:numId w:val="2"/>
        </w:numPr>
        <w:rPr>
          <w:rFonts w:ascii="Times New Roman" w:hAnsi="Times New Roman"/>
          <w:sz w:val="20"/>
          <w:szCs w:val="20"/>
        </w:rPr>
      </w:pPr>
      <w:r w:rsidRPr="00793685">
        <w:rPr>
          <w:rFonts w:ascii="Times New Roman" w:hAnsi="Times New Roman"/>
          <w:b/>
          <w:color w:val="333333"/>
          <w:sz w:val="20"/>
          <w:szCs w:val="20"/>
          <w:lang w:val="en-GB"/>
        </w:rPr>
        <w:t xml:space="preserve">2011 Database for Energy-Efficient Resources Version 2008.2.05  December 16, 2008; </w:t>
      </w:r>
      <w:hyperlink r:id="rId27" w:history="1">
        <w:r w:rsidRPr="00793685">
          <w:rPr>
            <w:rFonts w:ascii="Times New Roman" w:hAnsi="Times New Roman"/>
            <w:b/>
            <w:i/>
            <w:color w:val="0000FF"/>
            <w:sz w:val="20"/>
            <w:szCs w:val="20"/>
            <w:u w:val="single"/>
          </w:rPr>
          <w:t>www.deeresources.com</w:t>
        </w:r>
      </w:hyperlink>
      <w:r w:rsidRPr="00793685">
        <w:rPr>
          <w:rFonts w:ascii="Times New Roman" w:hAnsi="Times New Roman"/>
          <w:sz w:val="20"/>
          <w:szCs w:val="20"/>
        </w:rPr>
        <w:t xml:space="preserve"> –</w:t>
      </w:r>
      <w:r w:rsidRPr="00793685">
        <w:rPr>
          <w:rFonts w:ascii="Times New Roman" w:hAnsi="Times New Roman"/>
          <w:b/>
          <w:bCs/>
          <w:color w:val="333333"/>
          <w:sz w:val="20"/>
          <w:szCs w:val="20"/>
          <w:lang w:val="en-GB"/>
        </w:rPr>
        <w:t xml:space="preserve"> </w:t>
      </w:r>
      <w:r w:rsidRPr="00793685">
        <w:rPr>
          <w:rFonts w:ascii="Times New Roman" w:hAnsi="Times New Roman"/>
          <w:bCs/>
          <w:color w:val="333333"/>
          <w:sz w:val="20"/>
          <w:szCs w:val="20"/>
          <w:lang w:val="en-GB"/>
        </w:rPr>
        <w:t>EUL/RUL (Effective/Remaining Useful Life) Values</w:t>
      </w:r>
      <w:r w:rsidRPr="00793685">
        <w:rPr>
          <w:rFonts w:ascii="Times New Roman" w:hAnsi="Times New Roman"/>
          <w:b/>
          <w:bCs/>
          <w:color w:val="333333"/>
          <w:sz w:val="20"/>
          <w:szCs w:val="20"/>
          <w:lang w:val="en-GB"/>
        </w:rPr>
        <w:t xml:space="preserve"> --</w:t>
      </w:r>
      <w:hyperlink r:id="rId28" w:history="1">
        <w:r w:rsidRPr="00793685">
          <w:rPr>
            <w:rFonts w:ascii="Times New Roman" w:hAnsi="Times New Roman"/>
            <w:color w:val="0000FF"/>
            <w:sz w:val="20"/>
            <w:szCs w:val="20"/>
            <w:u w:val="single"/>
            <w:lang w:val="en-GB"/>
          </w:rPr>
          <w:t>EUL/RUL Values and Summary Documentation</w:t>
        </w:r>
      </w:hyperlink>
      <w:r w:rsidRPr="00793685">
        <w:rPr>
          <w:rFonts w:ascii="Times New Roman" w:hAnsi="Times New Roman"/>
          <w:color w:val="333333"/>
          <w:sz w:val="20"/>
          <w:szCs w:val="20"/>
          <w:lang w:val="en-GB"/>
        </w:rPr>
        <w:t xml:space="preserve"> (Updated 10 October 2008) </w:t>
      </w:r>
      <w:r w:rsidRPr="00793685">
        <w:rPr>
          <w:rFonts w:ascii="Times New Roman" w:hAnsi="Times New Roman"/>
          <w:b/>
          <w:color w:val="333333"/>
          <w:sz w:val="20"/>
          <w:szCs w:val="20"/>
          <w:lang w:val="en-GB"/>
        </w:rPr>
        <w:t>Excel Spreadsheet</w:t>
      </w:r>
      <w:r w:rsidRPr="00793685">
        <w:rPr>
          <w:rFonts w:ascii="Times New Roman" w:hAnsi="Times New Roman"/>
          <w:color w:val="333333"/>
          <w:sz w:val="20"/>
          <w:szCs w:val="20"/>
          <w:lang w:val="en-GB"/>
        </w:rPr>
        <w:t xml:space="preserve"> --</w:t>
      </w:r>
      <w:hyperlink r:id="rId29" w:history="1">
        <w:r w:rsidRPr="00793685">
          <w:rPr>
            <w:rFonts w:ascii="Times New Roman" w:hAnsi="Times New Roman"/>
            <w:b/>
            <w:color w:val="0000FF"/>
            <w:sz w:val="20"/>
            <w:szCs w:val="20"/>
            <w:u w:val="single"/>
          </w:rPr>
          <w:t>http://www.deeresources.com/deer0911planning/downloads/EUL_Summary_10-1-08.xls</w:t>
        </w:r>
      </w:hyperlink>
      <w:r w:rsidRPr="00793685">
        <w:rPr>
          <w:rFonts w:ascii="Times New Roman" w:hAnsi="Times New Roman"/>
          <w:b/>
          <w:sz w:val="20"/>
          <w:szCs w:val="20"/>
        </w:rPr>
        <w:t xml:space="preserve"> (Non-Residential/Cooking )</w:t>
      </w:r>
    </w:p>
    <w:p w14:paraId="5F656A19" w14:textId="77777777" w:rsidR="00793685" w:rsidRPr="00793685" w:rsidRDefault="00C65541" w:rsidP="00793685">
      <w:pPr>
        <w:keepNext/>
        <w:numPr>
          <w:ilvl w:val="0"/>
          <w:numId w:val="2"/>
        </w:numPr>
        <w:rPr>
          <w:rFonts w:ascii="Times New Roman" w:hAnsi="Times New Roman"/>
          <w:sz w:val="20"/>
          <w:szCs w:val="20"/>
        </w:rPr>
      </w:pPr>
      <w:hyperlink r:id="rId30" w:history="1">
        <w:r w:rsidR="00793685" w:rsidRPr="00793685">
          <w:rPr>
            <w:rFonts w:ascii="Times New Roman" w:hAnsi="Times New Roman"/>
            <w:sz w:val="20"/>
            <w:szCs w:val="20"/>
          </w:rPr>
          <w:t>2011 DEER NTGR Values - 053008.xls</w:t>
        </w:r>
      </w:hyperlink>
    </w:p>
    <w:p w14:paraId="50A427A8" w14:textId="77777777" w:rsidR="00793685" w:rsidRPr="00793685" w:rsidRDefault="00793685" w:rsidP="00793685">
      <w:pPr>
        <w:keepNext/>
        <w:numPr>
          <w:ilvl w:val="0"/>
          <w:numId w:val="2"/>
        </w:numPr>
        <w:rPr>
          <w:rFonts w:ascii="Times New Roman" w:hAnsi="Times New Roman"/>
          <w:sz w:val="20"/>
          <w:szCs w:val="20"/>
        </w:rPr>
      </w:pPr>
      <w:r w:rsidRPr="00793685">
        <w:rPr>
          <w:rFonts w:ascii="Times New Roman" w:hAnsi="Times New Roman"/>
          <w:sz w:val="20"/>
          <w:szCs w:val="20"/>
        </w:rPr>
        <w:t xml:space="preserve">Arthur D. Little, Inc., </w:t>
      </w:r>
      <w:r w:rsidRPr="00793685">
        <w:rPr>
          <w:rFonts w:ascii="Times New Roman" w:hAnsi="Times New Roman"/>
          <w:i/>
          <w:sz w:val="20"/>
          <w:szCs w:val="20"/>
        </w:rPr>
        <w:t xml:space="preserve">Characterization of </w:t>
      </w:r>
      <w:smartTag w:uri="urn:schemas-microsoft-com:office:smarttags" w:element="place">
        <w:smartTag w:uri="urn:schemas-microsoft-com:office:smarttags" w:element="PlaceName">
          <w:r w:rsidRPr="00793685">
            <w:rPr>
              <w:rFonts w:ascii="Times New Roman" w:hAnsi="Times New Roman"/>
              <w:i/>
              <w:sz w:val="20"/>
              <w:szCs w:val="20"/>
            </w:rPr>
            <w:t>Commercial</w:t>
          </w:r>
        </w:smartTag>
        <w:r w:rsidRPr="00793685">
          <w:rPr>
            <w:rFonts w:ascii="Times New Roman" w:hAnsi="Times New Roman"/>
            <w:i/>
            <w:sz w:val="20"/>
            <w:szCs w:val="20"/>
          </w:rPr>
          <w:t xml:space="preserve"> </w:t>
        </w:r>
        <w:smartTag w:uri="urn:schemas-microsoft-com:office:smarttags" w:element="PlaceType">
          <w:r w:rsidRPr="00793685">
            <w:rPr>
              <w:rFonts w:ascii="Times New Roman" w:hAnsi="Times New Roman"/>
              <w:i/>
              <w:sz w:val="20"/>
              <w:szCs w:val="20"/>
            </w:rPr>
            <w:t>Building</w:t>
          </w:r>
        </w:smartTag>
      </w:smartTag>
      <w:r w:rsidRPr="00793685">
        <w:rPr>
          <w:rFonts w:ascii="Times New Roman" w:hAnsi="Times New Roman"/>
          <w:i/>
          <w:sz w:val="20"/>
          <w:szCs w:val="20"/>
        </w:rPr>
        <w:t xml:space="preserve"> Appliances. </w:t>
      </w:r>
      <w:r w:rsidRPr="00793685">
        <w:rPr>
          <w:rFonts w:ascii="Times New Roman" w:hAnsi="Times New Roman"/>
          <w:sz w:val="20"/>
          <w:szCs w:val="20"/>
        </w:rPr>
        <w:t xml:space="preserve">Prepared for </w:t>
      </w:r>
      <w:smartTag w:uri="urn:schemas-microsoft-com:office:smarttags" w:element="place">
        <w:smartTag w:uri="urn:schemas-microsoft-com:office:smarttags" w:element="country-region">
          <w:r w:rsidRPr="00793685">
            <w:rPr>
              <w:rFonts w:ascii="Times New Roman" w:hAnsi="Times New Roman"/>
              <w:sz w:val="20"/>
              <w:szCs w:val="20"/>
            </w:rPr>
            <w:t>U.S.</w:t>
          </w:r>
        </w:smartTag>
      </w:smartTag>
      <w:r w:rsidRPr="00793685">
        <w:rPr>
          <w:rFonts w:ascii="Times New Roman" w:hAnsi="Times New Roman"/>
          <w:sz w:val="20"/>
          <w:szCs w:val="20"/>
        </w:rPr>
        <w:t xml:space="preserve"> Department of Energy, ADL Reference No. 4520, August, 1993.</w:t>
      </w:r>
    </w:p>
    <w:p w14:paraId="44924B6C" w14:textId="77777777" w:rsidR="00793685" w:rsidRPr="00793685" w:rsidRDefault="00793685" w:rsidP="00793685">
      <w:pPr>
        <w:keepNext/>
        <w:numPr>
          <w:ilvl w:val="0"/>
          <w:numId w:val="2"/>
        </w:numPr>
        <w:rPr>
          <w:rFonts w:ascii="Times New Roman" w:hAnsi="Times New Roman"/>
          <w:sz w:val="20"/>
          <w:szCs w:val="20"/>
        </w:rPr>
      </w:pPr>
      <w:bookmarkStart w:id="161" w:name="_Ref182109360"/>
      <w:r w:rsidRPr="00793685">
        <w:rPr>
          <w:rFonts w:ascii="Times New Roman" w:hAnsi="Times New Roman"/>
          <w:sz w:val="20"/>
          <w:szCs w:val="20"/>
        </w:rPr>
        <w:t xml:space="preserve">Federal Energy Management Program (FEMP) </w:t>
      </w:r>
      <w:r w:rsidRPr="00793685">
        <w:rPr>
          <w:rFonts w:ascii="Times New Roman" w:hAnsi="Times New Roman"/>
          <w:i/>
          <w:iCs/>
          <w:sz w:val="20"/>
          <w:szCs w:val="20"/>
        </w:rPr>
        <w:t xml:space="preserve">Purchasing Specifications for Griddles. </w:t>
      </w:r>
      <w:hyperlink r:id="rId31" w:history="1">
        <w:r w:rsidRPr="00793685">
          <w:rPr>
            <w:rFonts w:ascii="Times New Roman" w:hAnsi="Times New Roman"/>
            <w:color w:val="0000FF"/>
            <w:sz w:val="20"/>
            <w:szCs w:val="20"/>
            <w:u w:val="single"/>
          </w:rPr>
          <w:t>http://www1.eere.energy.gov/femp/procurement/eep_gas_griddles.html</w:t>
        </w:r>
      </w:hyperlink>
      <w:bookmarkEnd w:id="161"/>
    </w:p>
    <w:p w14:paraId="3B643D96" w14:textId="77777777" w:rsidR="00793685" w:rsidRPr="00793685" w:rsidRDefault="00793685" w:rsidP="00793685">
      <w:pPr>
        <w:keepNext/>
        <w:numPr>
          <w:ilvl w:val="0"/>
          <w:numId w:val="2"/>
        </w:numPr>
        <w:rPr>
          <w:rFonts w:ascii="Times New Roman" w:hAnsi="Times New Roman"/>
          <w:sz w:val="20"/>
          <w:szCs w:val="20"/>
        </w:rPr>
      </w:pPr>
      <w:bookmarkStart w:id="162" w:name="_Ref182109423"/>
      <w:r w:rsidRPr="00793685">
        <w:rPr>
          <w:rFonts w:ascii="Times New Roman" w:hAnsi="Times New Roman"/>
          <w:sz w:val="20"/>
          <w:szCs w:val="20"/>
        </w:rPr>
        <w:t>PG&amp;E. 2006 Electric Food Service Equipment Work Papers, pp 4-6.</w:t>
      </w:r>
      <w:bookmarkEnd w:id="162"/>
    </w:p>
    <w:p w14:paraId="0F9B64AF" w14:textId="77777777" w:rsidR="00793685" w:rsidRPr="00793685" w:rsidRDefault="00793685" w:rsidP="00793685">
      <w:pPr>
        <w:keepNext/>
        <w:numPr>
          <w:ilvl w:val="0"/>
          <w:numId w:val="2"/>
        </w:numPr>
        <w:rPr>
          <w:rFonts w:ascii="Times New Roman" w:hAnsi="Times New Roman"/>
          <w:sz w:val="20"/>
          <w:szCs w:val="20"/>
        </w:rPr>
      </w:pPr>
      <w:bookmarkStart w:id="163" w:name="_Ref182113542"/>
      <w:bookmarkEnd w:id="155"/>
      <w:bookmarkEnd w:id="156"/>
      <w:r w:rsidRPr="00793685">
        <w:rPr>
          <w:rFonts w:ascii="Times New Roman" w:hAnsi="Times New Roman"/>
          <w:sz w:val="20"/>
          <w:szCs w:val="20"/>
        </w:rPr>
        <w:t>PG&amp;E. 2006 Gas Food Service Equipment Work Papers, pp 4-6.</w:t>
      </w:r>
      <w:bookmarkEnd w:id="163"/>
    </w:p>
    <w:p w14:paraId="57724219" w14:textId="77777777" w:rsidR="00793685" w:rsidRPr="00793685" w:rsidRDefault="00793685" w:rsidP="00793685">
      <w:pPr>
        <w:keepNext/>
        <w:numPr>
          <w:ilvl w:val="0"/>
          <w:numId w:val="2"/>
        </w:numPr>
        <w:rPr>
          <w:rFonts w:ascii="Times New Roman" w:hAnsi="Times New Roman"/>
          <w:sz w:val="20"/>
          <w:szCs w:val="20"/>
        </w:rPr>
      </w:pPr>
      <w:proofErr w:type="spellStart"/>
      <w:r w:rsidRPr="00793685">
        <w:rPr>
          <w:rFonts w:ascii="Times New Roman" w:hAnsi="Times New Roman"/>
          <w:sz w:val="20"/>
          <w:szCs w:val="20"/>
        </w:rPr>
        <w:t>AutoQuotes</w:t>
      </w:r>
      <w:proofErr w:type="spellEnd"/>
      <w:r w:rsidRPr="00793685">
        <w:rPr>
          <w:rFonts w:ascii="Times New Roman" w:hAnsi="Times New Roman"/>
          <w:sz w:val="20"/>
          <w:szCs w:val="20"/>
        </w:rPr>
        <w:t xml:space="preserve"> electronic catalog for foodservice equipment and supplies </w:t>
      </w:r>
      <w:hyperlink r:id="rId32" w:history="1">
        <w:r w:rsidRPr="00793685">
          <w:rPr>
            <w:rFonts w:ascii="Times New Roman" w:hAnsi="Times New Roman"/>
            <w:color w:val="0000FF"/>
            <w:sz w:val="20"/>
            <w:szCs w:val="20"/>
            <w:u w:val="single"/>
          </w:rPr>
          <w:t>http://www.aqnet.com/</w:t>
        </w:r>
      </w:hyperlink>
      <w:r w:rsidRPr="00793685">
        <w:rPr>
          <w:rFonts w:ascii="Times New Roman" w:hAnsi="Times New Roman"/>
          <w:sz w:val="20"/>
          <w:szCs w:val="20"/>
        </w:rPr>
        <w:t xml:space="preserve"> .</w:t>
      </w:r>
    </w:p>
    <w:p w14:paraId="555E9F95" w14:textId="77777777" w:rsidR="00793685" w:rsidRPr="00793685" w:rsidRDefault="00793685" w:rsidP="00793685">
      <w:pPr>
        <w:ind w:left="360"/>
        <w:rPr>
          <w:rFonts w:ascii="Times New Roman" w:hAnsi="Times New Roman"/>
          <w:sz w:val="24"/>
        </w:rPr>
      </w:pPr>
    </w:p>
    <w:p w14:paraId="393A157E" w14:textId="58D774DF" w:rsidR="009168A1" w:rsidRPr="000966CC" w:rsidRDefault="009168A1" w:rsidP="00793685">
      <w:pPr>
        <w:pStyle w:val="Heading1"/>
      </w:pPr>
    </w:p>
    <w:sectPr w:rsidR="009168A1" w:rsidRPr="000966CC"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A1672E" w14:textId="77777777" w:rsidR="004A1689" w:rsidRDefault="004A1689">
      <w:r>
        <w:separator/>
      </w:r>
    </w:p>
    <w:p w14:paraId="38003E15" w14:textId="77777777" w:rsidR="004A1689" w:rsidRDefault="004A1689"/>
  </w:endnote>
  <w:endnote w:type="continuationSeparator" w:id="0">
    <w:p w14:paraId="35329BA0" w14:textId="77777777" w:rsidR="004A1689" w:rsidRDefault="004A1689">
      <w:r>
        <w:continuationSeparator/>
      </w:r>
    </w:p>
    <w:p w14:paraId="71890AFC" w14:textId="77777777" w:rsidR="004A1689" w:rsidRDefault="004A1689"/>
  </w:endnote>
  <w:endnote w:id="1">
    <w:p w14:paraId="393A15BF" w14:textId="77777777" w:rsidR="002D0EE8" w:rsidRDefault="002D0EE8">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2">
    <w:p w14:paraId="0BD0FBB5" w14:textId="77777777" w:rsidR="002D0EE8" w:rsidRPr="002C522B" w:rsidRDefault="002D0EE8" w:rsidP="003F589E">
      <w:pPr>
        <w:ind w:left="180" w:hanging="180"/>
        <w:rPr>
          <w:sz w:val="20"/>
          <w:szCs w:val="20"/>
        </w:rPr>
      </w:pPr>
      <w:r>
        <w:rPr>
          <w:rStyle w:val="EndnoteReference"/>
          <w:sz w:val="20"/>
          <w:szCs w:val="20"/>
        </w:rPr>
        <w:t>8</w:t>
      </w:r>
      <w:r w:rsidRPr="002C522B">
        <w:rPr>
          <w:sz w:val="20"/>
          <w:szCs w:val="20"/>
        </w:rPr>
        <w:t xml:space="preserve"> 2004-2005 Database for Energy Efficiency Resources (DEER) Update Study Final Report, pp. 3-15 to 3-18.</w:t>
      </w:r>
    </w:p>
    <w:p w14:paraId="6B54F93C" w14:textId="77777777" w:rsidR="002D0EE8" w:rsidRPr="002C522B" w:rsidRDefault="002D0EE8" w:rsidP="003F589E">
      <w:pPr>
        <w:pStyle w:val="EndnoteText"/>
        <w:ind w:left="180" w:hanging="18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2D0EE8" w:rsidRDefault="002D0EE8"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2D0EE8" w:rsidRDefault="002D0E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2D0EE8" w:rsidRPr="00846195" w:rsidRDefault="002D0EE8"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2D0EE8" w:rsidRDefault="002D0EE8"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2D0EE8" w:rsidRDefault="002D0EE8" w:rsidP="00D7047A">
    <w:pPr>
      <w:pStyle w:val="Footer"/>
      <w:rPr>
        <w:b/>
        <w:sz w:val="20"/>
        <w:szCs w:val="20"/>
      </w:rPr>
    </w:pPr>
    <w:r>
      <w:rPr>
        <w:b/>
        <w:sz w:val="20"/>
        <w:szCs w:val="20"/>
      </w:rPr>
      <w:t>Pacific Gas &amp; Electric Company</w:t>
    </w:r>
  </w:p>
  <w:p w14:paraId="393A15AB" w14:textId="77777777" w:rsidR="002D0EE8" w:rsidRPr="00844B27" w:rsidRDefault="002D0EE8"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PGECOFST103R5.docx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0B8C4A36" w:rsidR="002D0EE8" w:rsidRDefault="002D0EE8" w:rsidP="00274A7E">
    <w:pPr>
      <w:pStyle w:val="Footer"/>
      <w:jc w:val="right"/>
      <w:rPr>
        <w:rFonts w:cs="Arial"/>
        <w:b/>
        <w:sz w:val="36"/>
        <w:szCs w:val="36"/>
      </w:rPr>
    </w:pPr>
    <w:r>
      <w:rPr>
        <w:rFonts w:cs="Arial"/>
        <w:b/>
        <w:sz w:val="36"/>
        <w:szCs w:val="36"/>
      </w:rPr>
      <w:t>October 8, 2014</w:t>
    </w:r>
  </w:p>
  <w:p w14:paraId="255DD91C" w14:textId="77777777" w:rsidR="002D0EE8" w:rsidRPr="002E0E3F" w:rsidRDefault="002D0EE8" w:rsidP="00274A7E">
    <w:pPr>
      <w:pStyle w:val="Footer"/>
      <w:jc w:val="right"/>
      <w:rPr>
        <w:rFonts w:cs="Arial"/>
        <w:b/>
        <w:sz w:val="36"/>
        <w:szCs w:val="36"/>
      </w:rPr>
    </w:pPr>
  </w:p>
  <w:p w14:paraId="393A15AE" w14:textId="77777777" w:rsidR="002D0EE8" w:rsidRDefault="002D0EE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2D0EE8" w:rsidRDefault="002D0EE8"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2D0EE8" w:rsidRDefault="002D0EE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6415805"/>
      <w:docPartObj>
        <w:docPartGallery w:val="Page Numbers (Bottom of Page)"/>
        <w:docPartUnique/>
      </w:docPartObj>
    </w:sdtPr>
    <w:sdtEndPr>
      <w:rPr>
        <w:noProof/>
      </w:rPr>
    </w:sdtEndPr>
    <w:sdtContent>
      <w:p w14:paraId="2C4A1FB4" w14:textId="00A4563E" w:rsidR="002D0EE8" w:rsidRDefault="002D0EE8">
        <w:pPr>
          <w:pStyle w:val="Footer"/>
          <w:jc w:val="right"/>
        </w:pPr>
        <w:r>
          <w:fldChar w:fldCharType="begin"/>
        </w:r>
        <w:r>
          <w:instrText xml:space="preserve"> PAGE   \* MERGEFORMAT </w:instrText>
        </w:r>
        <w:r>
          <w:fldChar w:fldCharType="separate"/>
        </w:r>
        <w:r w:rsidR="00C65541">
          <w:rPr>
            <w:noProof/>
          </w:rPr>
          <w:t>iv</w:t>
        </w:r>
        <w:r>
          <w:rPr>
            <w:noProof/>
          </w:rPr>
          <w:fldChar w:fldCharType="end"/>
        </w:r>
      </w:p>
    </w:sdtContent>
  </w:sdt>
  <w:p w14:paraId="393A15B6" w14:textId="770249BC" w:rsidR="002D0EE8" w:rsidRPr="005D4913" w:rsidRDefault="002D0EE8" w:rsidP="005D4913">
    <w:pPr>
      <w:pStyle w:val="Footer"/>
      <w:tabs>
        <w:tab w:val="clear" w:pos="4320"/>
        <w:tab w:val="clear" w:pos="8640"/>
        <w:tab w:val="left" w:pos="5851"/>
        <w:tab w:val="right" w:pos="9360"/>
      </w:tabs>
      <w:rPr>
        <w:b/>
        <w:sz w:val="20"/>
        <w:szCs w:val="20"/>
      </w:rPr>
    </w:pPr>
    <w:r w:rsidRPr="005D4913">
      <w:rPr>
        <w:b/>
        <w:sz w:val="20"/>
        <w:szCs w:val="20"/>
      </w:rPr>
      <w:t xml:space="preserve">PGECOFST103 Commercial Griddle, Revision </w:t>
    </w:r>
    <w:r>
      <w:rPr>
        <w:b/>
        <w:sz w:val="20"/>
        <w:szCs w:val="20"/>
      </w:rPr>
      <w:t>6</w:t>
    </w:r>
  </w:p>
  <w:p w14:paraId="3B98A2AC" w14:textId="7EBB47D0" w:rsidR="002D0EE8" w:rsidRPr="005D4913" w:rsidRDefault="002D0EE8" w:rsidP="005D4913">
    <w:pPr>
      <w:pStyle w:val="Footer"/>
      <w:tabs>
        <w:tab w:val="clear" w:pos="4320"/>
        <w:tab w:val="clear" w:pos="8640"/>
        <w:tab w:val="left" w:pos="5851"/>
        <w:tab w:val="right" w:pos="9360"/>
      </w:tabs>
      <w:rPr>
        <w:b/>
        <w:sz w:val="20"/>
        <w:szCs w:val="20"/>
      </w:rPr>
    </w:pPr>
    <w:r w:rsidRPr="005D4913">
      <w:rPr>
        <w:b/>
        <w:sz w:val="20"/>
        <w:szCs w:val="20"/>
      </w:rPr>
      <w:t>Pacific Gas &amp; Electric Company</w:t>
    </w:r>
  </w:p>
  <w:p w14:paraId="0A306C66" w14:textId="2D4A6D74" w:rsidR="002D0EE8" w:rsidRDefault="002D0EE8" w:rsidP="005D4913">
    <w:pPr>
      <w:pStyle w:val="Footer"/>
      <w:tabs>
        <w:tab w:val="clear" w:pos="4320"/>
        <w:tab w:val="clear" w:pos="8640"/>
        <w:tab w:val="left" w:pos="5851"/>
        <w:tab w:val="right" w:pos="9360"/>
      </w:tabs>
      <w:rPr>
        <w:b/>
        <w:color w:val="0000FF"/>
        <w:sz w:val="20"/>
        <w:szCs w:val="20"/>
      </w:rPr>
    </w:pPr>
    <w:r w:rsidRPr="005D4913">
      <w:rPr>
        <w:b/>
        <w:sz w:val="20"/>
        <w:szCs w:val="20"/>
      </w:rPr>
      <w:t>PGECOFST103R</w:t>
    </w:r>
    <w:r>
      <w:rPr>
        <w:b/>
        <w:sz w:val="20"/>
        <w:szCs w:val="20"/>
      </w:rPr>
      <w:t>6</w:t>
    </w:r>
    <w:r w:rsidRPr="00775694">
      <w:rPr>
        <w:b/>
        <w:sz w:val="20"/>
        <w:szCs w:val="20"/>
      </w:rPr>
      <w:t xml:space="preserve"> </w:t>
    </w:r>
    <w:r w:rsidRPr="005D4913">
      <w:rPr>
        <w:b/>
        <w:sz w:val="20"/>
        <w:szCs w:val="20"/>
      </w:rPr>
      <w:t>Commercial Griddles.docx</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2D0EE8" w:rsidRPr="002E0E3F" w:rsidRDefault="002D0EE8" w:rsidP="00D7047A">
    <w:pPr>
      <w:pStyle w:val="Footer"/>
      <w:jc w:val="right"/>
      <w:rPr>
        <w:rFonts w:cs="Arial"/>
        <w:b/>
        <w:sz w:val="36"/>
        <w:szCs w:val="36"/>
      </w:rPr>
    </w:pPr>
    <w:r>
      <w:rPr>
        <w:rFonts w:cs="Arial"/>
        <w:b/>
        <w:sz w:val="36"/>
        <w:szCs w:val="36"/>
      </w:rPr>
      <w:t>Date of Last Revision</w:t>
    </w:r>
  </w:p>
  <w:p w14:paraId="393A15B9" w14:textId="77777777" w:rsidR="002D0EE8" w:rsidRDefault="002D0E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C63041" w14:textId="77777777" w:rsidR="004A1689" w:rsidRDefault="004A1689">
      <w:r>
        <w:separator/>
      </w:r>
    </w:p>
    <w:p w14:paraId="30360492" w14:textId="77777777" w:rsidR="004A1689" w:rsidRDefault="004A1689"/>
  </w:footnote>
  <w:footnote w:type="continuationSeparator" w:id="0">
    <w:p w14:paraId="51B78E19" w14:textId="77777777" w:rsidR="004A1689" w:rsidRDefault="004A1689">
      <w:r>
        <w:continuationSeparator/>
      </w:r>
    </w:p>
    <w:p w14:paraId="09D32602" w14:textId="77777777" w:rsidR="004A1689" w:rsidRDefault="004A16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2D0EE8" w:rsidRDefault="00C65541">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2D0EE8" w:rsidRDefault="002D0EE8" w:rsidP="001A573F">
    <w:pPr>
      <w:pStyle w:val="Header"/>
      <w:jc w:val="right"/>
    </w:pPr>
  </w:p>
  <w:p w14:paraId="393A15A5" w14:textId="77777777" w:rsidR="002D0EE8" w:rsidRDefault="002D0EE8"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7D9DA0F3" w:rsidR="002D0EE8" w:rsidRDefault="002D0EE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2D0EE8" w:rsidRDefault="002D0EE8" w:rsidP="001A573F">
    <w:pPr>
      <w:pStyle w:val="Header"/>
      <w:jc w:val="right"/>
    </w:pPr>
  </w:p>
  <w:p w14:paraId="393A15B1" w14:textId="77777777" w:rsidR="002D0EE8" w:rsidRDefault="002D0EE8"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7B47693F" w:rsidR="002D0EE8" w:rsidRDefault="002D0E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820856"/>
    <w:multiLevelType w:val="singleLevel"/>
    <w:tmpl w:val="6C78A414"/>
    <w:lvl w:ilvl="0">
      <w:start w:val="1"/>
      <w:numFmt w:val="decimal"/>
      <w:lvlText w:val="%1."/>
      <w:legacy w:legacy="1" w:legacySpace="0" w:legacyIndent="0"/>
      <w:lvlJc w:val="left"/>
    </w:lvl>
  </w:abstractNum>
  <w:abstractNum w:abstractNumId="17">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4"/>
  </w:num>
  <w:num w:numId="4">
    <w:abstractNumId w:val="6"/>
  </w:num>
  <w:num w:numId="5">
    <w:abstractNumId w:val="16"/>
  </w:num>
  <w:num w:numId="6">
    <w:abstractNumId w:val="8"/>
  </w:num>
  <w:num w:numId="7">
    <w:abstractNumId w:val="5"/>
  </w:num>
  <w:num w:numId="8">
    <w:abstractNumId w:val="10"/>
  </w:num>
  <w:num w:numId="9">
    <w:abstractNumId w:val="7"/>
  </w:num>
  <w:num w:numId="10">
    <w:abstractNumId w:val="1"/>
  </w:num>
  <w:num w:numId="11">
    <w:abstractNumId w:val="13"/>
  </w:num>
  <w:num w:numId="12">
    <w:abstractNumId w:val="14"/>
  </w:num>
  <w:num w:numId="13">
    <w:abstractNumId w:val="3"/>
  </w:num>
  <w:num w:numId="14">
    <w:abstractNumId w:val="18"/>
  </w:num>
  <w:num w:numId="15">
    <w:abstractNumId w:val="11"/>
  </w:num>
  <w:num w:numId="16">
    <w:abstractNumId w:val="12"/>
  </w:num>
  <w:num w:numId="17">
    <w:abstractNumId w:val="0"/>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70B5"/>
    <w:rsid w:val="00017488"/>
    <w:rsid w:val="00020042"/>
    <w:rsid w:val="0002129F"/>
    <w:rsid w:val="00024AA9"/>
    <w:rsid w:val="00026F78"/>
    <w:rsid w:val="000272C2"/>
    <w:rsid w:val="0003064A"/>
    <w:rsid w:val="00032B63"/>
    <w:rsid w:val="000351CB"/>
    <w:rsid w:val="000374A5"/>
    <w:rsid w:val="00044570"/>
    <w:rsid w:val="00056348"/>
    <w:rsid w:val="000571F6"/>
    <w:rsid w:val="00057C09"/>
    <w:rsid w:val="00063FA7"/>
    <w:rsid w:val="0006490F"/>
    <w:rsid w:val="00065A01"/>
    <w:rsid w:val="00066D5B"/>
    <w:rsid w:val="000678A2"/>
    <w:rsid w:val="00067EB5"/>
    <w:rsid w:val="00067F6B"/>
    <w:rsid w:val="000701EB"/>
    <w:rsid w:val="000719AA"/>
    <w:rsid w:val="000749EA"/>
    <w:rsid w:val="0007589E"/>
    <w:rsid w:val="00077161"/>
    <w:rsid w:val="000814B9"/>
    <w:rsid w:val="000842B9"/>
    <w:rsid w:val="00085DF5"/>
    <w:rsid w:val="00086594"/>
    <w:rsid w:val="00087378"/>
    <w:rsid w:val="00095610"/>
    <w:rsid w:val="000966CC"/>
    <w:rsid w:val="000A17BE"/>
    <w:rsid w:val="000A2879"/>
    <w:rsid w:val="000A2ABA"/>
    <w:rsid w:val="000A2FB3"/>
    <w:rsid w:val="000A48F2"/>
    <w:rsid w:val="000B0B1E"/>
    <w:rsid w:val="000C0FD3"/>
    <w:rsid w:val="000C5B2D"/>
    <w:rsid w:val="000C6D7B"/>
    <w:rsid w:val="000D17B9"/>
    <w:rsid w:val="000E132D"/>
    <w:rsid w:val="000E22C9"/>
    <w:rsid w:val="000E31B5"/>
    <w:rsid w:val="000E73CA"/>
    <w:rsid w:val="000F0069"/>
    <w:rsid w:val="000F11DD"/>
    <w:rsid w:val="00113464"/>
    <w:rsid w:val="00115EB1"/>
    <w:rsid w:val="001178BE"/>
    <w:rsid w:val="0012176A"/>
    <w:rsid w:val="00121A22"/>
    <w:rsid w:val="001248A3"/>
    <w:rsid w:val="00124F32"/>
    <w:rsid w:val="00126483"/>
    <w:rsid w:val="00126A4E"/>
    <w:rsid w:val="00127CC8"/>
    <w:rsid w:val="0013046A"/>
    <w:rsid w:val="0013080C"/>
    <w:rsid w:val="0013087E"/>
    <w:rsid w:val="00133198"/>
    <w:rsid w:val="00133C60"/>
    <w:rsid w:val="00136D56"/>
    <w:rsid w:val="00146434"/>
    <w:rsid w:val="001465B1"/>
    <w:rsid w:val="00150EC7"/>
    <w:rsid w:val="00150F88"/>
    <w:rsid w:val="00155EF5"/>
    <w:rsid w:val="00167F2B"/>
    <w:rsid w:val="0017179F"/>
    <w:rsid w:val="00172149"/>
    <w:rsid w:val="00175673"/>
    <w:rsid w:val="00176431"/>
    <w:rsid w:val="00183C8E"/>
    <w:rsid w:val="00190BBB"/>
    <w:rsid w:val="00192B77"/>
    <w:rsid w:val="001946B1"/>
    <w:rsid w:val="00194E14"/>
    <w:rsid w:val="0019648A"/>
    <w:rsid w:val="001965AF"/>
    <w:rsid w:val="00196D7C"/>
    <w:rsid w:val="00197A23"/>
    <w:rsid w:val="001A0E28"/>
    <w:rsid w:val="001A3026"/>
    <w:rsid w:val="001A4516"/>
    <w:rsid w:val="001A550C"/>
    <w:rsid w:val="001A573F"/>
    <w:rsid w:val="001A64C6"/>
    <w:rsid w:val="001A7081"/>
    <w:rsid w:val="001A70AD"/>
    <w:rsid w:val="001A73E3"/>
    <w:rsid w:val="001B238D"/>
    <w:rsid w:val="001B242B"/>
    <w:rsid w:val="001B2CB4"/>
    <w:rsid w:val="001B4ACB"/>
    <w:rsid w:val="001B5E15"/>
    <w:rsid w:val="001B75E6"/>
    <w:rsid w:val="001B792D"/>
    <w:rsid w:val="001C0CB0"/>
    <w:rsid w:val="001C2942"/>
    <w:rsid w:val="001C63A2"/>
    <w:rsid w:val="001D11CE"/>
    <w:rsid w:val="001D16C2"/>
    <w:rsid w:val="001D3F48"/>
    <w:rsid w:val="001D483C"/>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428B"/>
    <w:rsid w:val="002257FA"/>
    <w:rsid w:val="00235694"/>
    <w:rsid w:val="0024233E"/>
    <w:rsid w:val="00243BAC"/>
    <w:rsid w:val="00244BD6"/>
    <w:rsid w:val="00245A56"/>
    <w:rsid w:val="002466F4"/>
    <w:rsid w:val="00251E83"/>
    <w:rsid w:val="00252352"/>
    <w:rsid w:val="00255067"/>
    <w:rsid w:val="0025738E"/>
    <w:rsid w:val="00257989"/>
    <w:rsid w:val="002628B9"/>
    <w:rsid w:val="00264B03"/>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B0ECF"/>
    <w:rsid w:val="002B4002"/>
    <w:rsid w:val="002B4FEF"/>
    <w:rsid w:val="002C12FA"/>
    <w:rsid w:val="002C21F9"/>
    <w:rsid w:val="002C26EB"/>
    <w:rsid w:val="002C321E"/>
    <w:rsid w:val="002C42E0"/>
    <w:rsid w:val="002C4F1C"/>
    <w:rsid w:val="002C518C"/>
    <w:rsid w:val="002C5C18"/>
    <w:rsid w:val="002C7B46"/>
    <w:rsid w:val="002D0EE8"/>
    <w:rsid w:val="002D0F51"/>
    <w:rsid w:val="002D27DC"/>
    <w:rsid w:val="002D4621"/>
    <w:rsid w:val="002E0043"/>
    <w:rsid w:val="002E40A2"/>
    <w:rsid w:val="002E47B4"/>
    <w:rsid w:val="002E4B46"/>
    <w:rsid w:val="002E5671"/>
    <w:rsid w:val="002E6162"/>
    <w:rsid w:val="002F105C"/>
    <w:rsid w:val="002F2D19"/>
    <w:rsid w:val="002F3610"/>
    <w:rsid w:val="002F3FE5"/>
    <w:rsid w:val="002F4E8C"/>
    <w:rsid w:val="0030080B"/>
    <w:rsid w:val="0030114D"/>
    <w:rsid w:val="00302B74"/>
    <w:rsid w:val="003032B7"/>
    <w:rsid w:val="0030550A"/>
    <w:rsid w:val="003129E8"/>
    <w:rsid w:val="00315AB7"/>
    <w:rsid w:val="00324AFE"/>
    <w:rsid w:val="00324D0F"/>
    <w:rsid w:val="003259CD"/>
    <w:rsid w:val="0032657A"/>
    <w:rsid w:val="00333E01"/>
    <w:rsid w:val="00335017"/>
    <w:rsid w:val="003408A4"/>
    <w:rsid w:val="00340DAD"/>
    <w:rsid w:val="00340DC8"/>
    <w:rsid w:val="00345971"/>
    <w:rsid w:val="00345DE6"/>
    <w:rsid w:val="0034647B"/>
    <w:rsid w:val="00350382"/>
    <w:rsid w:val="00353DC2"/>
    <w:rsid w:val="003541A6"/>
    <w:rsid w:val="00362067"/>
    <w:rsid w:val="00374640"/>
    <w:rsid w:val="00377407"/>
    <w:rsid w:val="0038391A"/>
    <w:rsid w:val="00392B5E"/>
    <w:rsid w:val="00392C05"/>
    <w:rsid w:val="00393618"/>
    <w:rsid w:val="00393D41"/>
    <w:rsid w:val="00395845"/>
    <w:rsid w:val="003A1B51"/>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89E"/>
    <w:rsid w:val="003F5B70"/>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4025"/>
    <w:rsid w:val="0048008C"/>
    <w:rsid w:val="004809C9"/>
    <w:rsid w:val="00480BAD"/>
    <w:rsid w:val="00480C7E"/>
    <w:rsid w:val="00481EE4"/>
    <w:rsid w:val="00481F63"/>
    <w:rsid w:val="00486CF9"/>
    <w:rsid w:val="00487A47"/>
    <w:rsid w:val="00487D95"/>
    <w:rsid w:val="00492048"/>
    <w:rsid w:val="004959B4"/>
    <w:rsid w:val="004967A2"/>
    <w:rsid w:val="00497CD3"/>
    <w:rsid w:val="004A1689"/>
    <w:rsid w:val="004A2D46"/>
    <w:rsid w:val="004A3A35"/>
    <w:rsid w:val="004A6FCA"/>
    <w:rsid w:val="004B0F48"/>
    <w:rsid w:val="004B2CFB"/>
    <w:rsid w:val="004B3924"/>
    <w:rsid w:val="004B4489"/>
    <w:rsid w:val="004C4E2A"/>
    <w:rsid w:val="004C56D1"/>
    <w:rsid w:val="004D2C76"/>
    <w:rsid w:val="004D58D5"/>
    <w:rsid w:val="004D71AF"/>
    <w:rsid w:val="004D7301"/>
    <w:rsid w:val="004E2777"/>
    <w:rsid w:val="004F1DB8"/>
    <w:rsid w:val="004F21BC"/>
    <w:rsid w:val="004F3EDB"/>
    <w:rsid w:val="004F55EC"/>
    <w:rsid w:val="004F61DD"/>
    <w:rsid w:val="00502569"/>
    <w:rsid w:val="00503A6A"/>
    <w:rsid w:val="00506204"/>
    <w:rsid w:val="00511171"/>
    <w:rsid w:val="005136CC"/>
    <w:rsid w:val="00513858"/>
    <w:rsid w:val="00514B37"/>
    <w:rsid w:val="00514EEC"/>
    <w:rsid w:val="005164A6"/>
    <w:rsid w:val="00521874"/>
    <w:rsid w:val="00521920"/>
    <w:rsid w:val="005246B1"/>
    <w:rsid w:val="00530B04"/>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4FBD"/>
    <w:rsid w:val="005773BB"/>
    <w:rsid w:val="00585C83"/>
    <w:rsid w:val="00586604"/>
    <w:rsid w:val="00587DDD"/>
    <w:rsid w:val="00591FDD"/>
    <w:rsid w:val="005A1F9D"/>
    <w:rsid w:val="005A3798"/>
    <w:rsid w:val="005A67E5"/>
    <w:rsid w:val="005A7302"/>
    <w:rsid w:val="005B00A6"/>
    <w:rsid w:val="005C2844"/>
    <w:rsid w:val="005C7F3F"/>
    <w:rsid w:val="005D4913"/>
    <w:rsid w:val="005D6266"/>
    <w:rsid w:val="005D75EB"/>
    <w:rsid w:val="005E2187"/>
    <w:rsid w:val="005E4FE9"/>
    <w:rsid w:val="005F19E0"/>
    <w:rsid w:val="005F3E96"/>
    <w:rsid w:val="005F57B5"/>
    <w:rsid w:val="005F7AA1"/>
    <w:rsid w:val="00604FAE"/>
    <w:rsid w:val="00607605"/>
    <w:rsid w:val="0061001E"/>
    <w:rsid w:val="00610B3C"/>
    <w:rsid w:val="00610FC6"/>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1864"/>
    <w:rsid w:val="00663A00"/>
    <w:rsid w:val="00664FA6"/>
    <w:rsid w:val="0066632E"/>
    <w:rsid w:val="00671943"/>
    <w:rsid w:val="00673682"/>
    <w:rsid w:val="006832A4"/>
    <w:rsid w:val="006846E9"/>
    <w:rsid w:val="006872DB"/>
    <w:rsid w:val="00695ED2"/>
    <w:rsid w:val="006968B4"/>
    <w:rsid w:val="006A1022"/>
    <w:rsid w:val="006A1A83"/>
    <w:rsid w:val="006A2C4B"/>
    <w:rsid w:val="006A541C"/>
    <w:rsid w:val="006A55D2"/>
    <w:rsid w:val="006A668F"/>
    <w:rsid w:val="006B3774"/>
    <w:rsid w:val="006B42B8"/>
    <w:rsid w:val="006B4563"/>
    <w:rsid w:val="006B5FEB"/>
    <w:rsid w:val="006B6104"/>
    <w:rsid w:val="006B763D"/>
    <w:rsid w:val="006B7EDD"/>
    <w:rsid w:val="006C44B4"/>
    <w:rsid w:val="006D0365"/>
    <w:rsid w:val="006D2068"/>
    <w:rsid w:val="006D3725"/>
    <w:rsid w:val="006D4AE1"/>
    <w:rsid w:val="006D52D8"/>
    <w:rsid w:val="006D5AAB"/>
    <w:rsid w:val="006E0111"/>
    <w:rsid w:val="006E3C13"/>
    <w:rsid w:val="006E5CB6"/>
    <w:rsid w:val="006F0139"/>
    <w:rsid w:val="006F214B"/>
    <w:rsid w:val="006F28C7"/>
    <w:rsid w:val="007001DD"/>
    <w:rsid w:val="0070443C"/>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F0E"/>
    <w:rsid w:val="007652CE"/>
    <w:rsid w:val="00765936"/>
    <w:rsid w:val="0077416A"/>
    <w:rsid w:val="00775694"/>
    <w:rsid w:val="0077706D"/>
    <w:rsid w:val="00781316"/>
    <w:rsid w:val="007821CF"/>
    <w:rsid w:val="00783DAC"/>
    <w:rsid w:val="00784500"/>
    <w:rsid w:val="00785112"/>
    <w:rsid w:val="00786700"/>
    <w:rsid w:val="007867D9"/>
    <w:rsid w:val="007878B9"/>
    <w:rsid w:val="00790C15"/>
    <w:rsid w:val="007931BC"/>
    <w:rsid w:val="00793646"/>
    <w:rsid w:val="00793685"/>
    <w:rsid w:val="0079521E"/>
    <w:rsid w:val="00796071"/>
    <w:rsid w:val="007A0C2E"/>
    <w:rsid w:val="007A1510"/>
    <w:rsid w:val="007A4D97"/>
    <w:rsid w:val="007A768C"/>
    <w:rsid w:val="007B2CAC"/>
    <w:rsid w:val="007B2E26"/>
    <w:rsid w:val="007B41C0"/>
    <w:rsid w:val="007B44FB"/>
    <w:rsid w:val="007C0E38"/>
    <w:rsid w:val="007C18E3"/>
    <w:rsid w:val="007C4E08"/>
    <w:rsid w:val="007D0411"/>
    <w:rsid w:val="007D2F4C"/>
    <w:rsid w:val="007D3DFF"/>
    <w:rsid w:val="007D3F38"/>
    <w:rsid w:val="007D4DB8"/>
    <w:rsid w:val="007E2197"/>
    <w:rsid w:val="007E3304"/>
    <w:rsid w:val="007E6C79"/>
    <w:rsid w:val="007E7B15"/>
    <w:rsid w:val="007F1E48"/>
    <w:rsid w:val="007F2147"/>
    <w:rsid w:val="007F36E9"/>
    <w:rsid w:val="007F4605"/>
    <w:rsid w:val="007F6C7D"/>
    <w:rsid w:val="008026F6"/>
    <w:rsid w:val="00803F84"/>
    <w:rsid w:val="00806070"/>
    <w:rsid w:val="00806EE8"/>
    <w:rsid w:val="00811D89"/>
    <w:rsid w:val="00814500"/>
    <w:rsid w:val="0082027C"/>
    <w:rsid w:val="00822F77"/>
    <w:rsid w:val="00833AF7"/>
    <w:rsid w:val="00834023"/>
    <w:rsid w:val="00835579"/>
    <w:rsid w:val="00836F9B"/>
    <w:rsid w:val="00844106"/>
    <w:rsid w:val="00844B27"/>
    <w:rsid w:val="00844D29"/>
    <w:rsid w:val="00846195"/>
    <w:rsid w:val="00846FA0"/>
    <w:rsid w:val="008479B6"/>
    <w:rsid w:val="008512F3"/>
    <w:rsid w:val="00851ABA"/>
    <w:rsid w:val="00853B76"/>
    <w:rsid w:val="0086002F"/>
    <w:rsid w:val="00863F9D"/>
    <w:rsid w:val="008645F9"/>
    <w:rsid w:val="0086628A"/>
    <w:rsid w:val="00871279"/>
    <w:rsid w:val="00872913"/>
    <w:rsid w:val="00873F82"/>
    <w:rsid w:val="0087599D"/>
    <w:rsid w:val="00880CA5"/>
    <w:rsid w:val="008817B1"/>
    <w:rsid w:val="008834BB"/>
    <w:rsid w:val="008840FA"/>
    <w:rsid w:val="008846D2"/>
    <w:rsid w:val="00890F95"/>
    <w:rsid w:val="0089311A"/>
    <w:rsid w:val="008946C3"/>
    <w:rsid w:val="008948E0"/>
    <w:rsid w:val="0089528C"/>
    <w:rsid w:val="008A1884"/>
    <w:rsid w:val="008A6467"/>
    <w:rsid w:val="008B034D"/>
    <w:rsid w:val="008B0BBC"/>
    <w:rsid w:val="008B4153"/>
    <w:rsid w:val="008B5356"/>
    <w:rsid w:val="008B7927"/>
    <w:rsid w:val="008C5AF3"/>
    <w:rsid w:val="008C6AD1"/>
    <w:rsid w:val="008C71B5"/>
    <w:rsid w:val="008D25C4"/>
    <w:rsid w:val="008E431F"/>
    <w:rsid w:val="008E5E12"/>
    <w:rsid w:val="008F0D2A"/>
    <w:rsid w:val="008F12D4"/>
    <w:rsid w:val="008F17A0"/>
    <w:rsid w:val="008F23EF"/>
    <w:rsid w:val="008F386F"/>
    <w:rsid w:val="008F48E1"/>
    <w:rsid w:val="008F5BD0"/>
    <w:rsid w:val="009003FE"/>
    <w:rsid w:val="00903C95"/>
    <w:rsid w:val="009046D4"/>
    <w:rsid w:val="0091058D"/>
    <w:rsid w:val="00913858"/>
    <w:rsid w:val="00913A0F"/>
    <w:rsid w:val="00914959"/>
    <w:rsid w:val="00915CE6"/>
    <w:rsid w:val="00916468"/>
    <w:rsid w:val="009168A1"/>
    <w:rsid w:val="009241E2"/>
    <w:rsid w:val="00924681"/>
    <w:rsid w:val="0092622E"/>
    <w:rsid w:val="00930877"/>
    <w:rsid w:val="00940B39"/>
    <w:rsid w:val="00945CB0"/>
    <w:rsid w:val="00951188"/>
    <w:rsid w:val="00955732"/>
    <w:rsid w:val="00955CBA"/>
    <w:rsid w:val="00960F2F"/>
    <w:rsid w:val="009634F6"/>
    <w:rsid w:val="00963B5E"/>
    <w:rsid w:val="00963FA0"/>
    <w:rsid w:val="0096491F"/>
    <w:rsid w:val="00974E95"/>
    <w:rsid w:val="00975F2D"/>
    <w:rsid w:val="00977BF5"/>
    <w:rsid w:val="0098302D"/>
    <w:rsid w:val="009833EF"/>
    <w:rsid w:val="00987608"/>
    <w:rsid w:val="009943A0"/>
    <w:rsid w:val="009953BC"/>
    <w:rsid w:val="009963D2"/>
    <w:rsid w:val="009A0568"/>
    <w:rsid w:val="009A0AF9"/>
    <w:rsid w:val="009A16BE"/>
    <w:rsid w:val="009A2337"/>
    <w:rsid w:val="009A2E00"/>
    <w:rsid w:val="009A355A"/>
    <w:rsid w:val="009A5CE8"/>
    <w:rsid w:val="009A7B5A"/>
    <w:rsid w:val="009A7F79"/>
    <w:rsid w:val="009B179F"/>
    <w:rsid w:val="009B1863"/>
    <w:rsid w:val="009B2BDC"/>
    <w:rsid w:val="009B5F5D"/>
    <w:rsid w:val="009B6201"/>
    <w:rsid w:val="009B6326"/>
    <w:rsid w:val="009B73BA"/>
    <w:rsid w:val="009C10D9"/>
    <w:rsid w:val="009C425A"/>
    <w:rsid w:val="009C5CA7"/>
    <w:rsid w:val="009D03F8"/>
    <w:rsid w:val="009D1DF4"/>
    <w:rsid w:val="009D7A24"/>
    <w:rsid w:val="009E00E4"/>
    <w:rsid w:val="009E0D20"/>
    <w:rsid w:val="009E0F6B"/>
    <w:rsid w:val="009E23B7"/>
    <w:rsid w:val="009E27D7"/>
    <w:rsid w:val="009E2964"/>
    <w:rsid w:val="009E5D18"/>
    <w:rsid w:val="009E7DCD"/>
    <w:rsid w:val="009F55F9"/>
    <w:rsid w:val="009F5CC0"/>
    <w:rsid w:val="009F6F8B"/>
    <w:rsid w:val="009F7164"/>
    <w:rsid w:val="00A01631"/>
    <w:rsid w:val="00A02F0A"/>
    <w:rsid w:val="00A06571"/>
    <w:rsid w:val="00A1074D"/>
    <w:rsid w:val="00A127DD"/>
    <w:rsid w:val="00A14E6C"/>
    <w:rsid w:val="00A167EC"/>
    <w:rsid w:val="00A172E6"/>
    <w:rsid w:val="00A24434"/>
    <w:rsid w:val="00A24C8D"/>
    <w:rsid w:val="00A26F15"/>
    <w:rsid w:val="00A30E37"/>
    <w:rsid w:val="00A32AE2"/>
    <w:rsid w:val="00A32B30"/>
    <w:rsid w:val="00A35CF8"/>
    <w:rsid w:val="00A360E7"/>
    <w:rsid w:val="00A400FB"/>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7CF2"/>
    <w:rsid w:val="00A81CF8"/>
    <w:rsid w:val="00A84B87"/>
    <w:rsid w:val="00A84D4B"/>
    <w:rsid w:val="00A8592D"/>
    <w:rsid w:val="00A90D08"/>
    <w:rsid w:val="00A93FFF"/>
    <w:rsid w:val="00A95746"/>
    <w:rsid w:val="00A95AB5"/>
    <w:rsid w:val="00A96D45"/>
    <w:rsid w:val="00A973EE"/>
    <w:rsid w:val="00AA18DD"/>
    <w:rsid w:val="00AA1F91"/>
    <w:rsid w:val="00AA5CE1"/>
    <w:rsid w:val="00AB2137"/>
    <w:rsid w:val="00AB2D9E"/>
    <w:rsid w:val="00AB4404"/>
    <w:rsid w:val="00AB68E3"/>
    <w:rsid w:val="00AB723D"/>
    <w:rsid w:val="00AC0F42"/>
    <w:rsid w:val="00AC21EE"/>
    <w:rsid w:val="00AC3B22"/>
    <w:rsid w:val="00AC4101"/>
    <w:rsid w:val="00AC5597"/>
    <w:rsid w:val="00AC6C3F"/>
    <w:rsid w:val="00AD0116"/>
    <w:rsid w:val="00AD1B42"/>
    <w:rsid w:val="00AD4177"/>
    <w:rsid w:val="00AD4B84"/>
    <w:rsid w:val="00AE23BE"/>
    <w:rsid w:val="00AE5772"/>
    <w:rsid w:val="00AF0AC0"/>
    <w:rsid w:val="00AF1807"/>
    <w:rsid w:val="00AF4CA9"/>
    <w:rsid w:val="00AF5B52"/>
    <w:rsid w:val="00AF7A1F"/>
    <w:rsid w:val="00B008BF"/>
    <w:rsid w:val="00B07460"/>
    <w:rsid w:val="00B16978"/>
    <w:rsid w:val="00B16BE4"/>
    <w:rsid w:val="00B17EBB"/>
    <w:rsid w:val="00B20BB2"/>
    <w:rsid w:val="00B24A6F"/>
    <w:rsid w:val="00B278DB"/>
    <w:rsid w:val="00B30D4F"/>
    <w:rsid w:val="00B3434E"/>
    <w:rsid w:val="00B351FD"/>
    <w:rsid w:val="00B35BFD"/>
    <w:rsid w:val="00B365BD"/>
    <w:rsid w:val="00B421F2"/>
    <w:rsid w:val="00B42822"/>
    <w:rsid w:val="00B42C54"/>
    <w:rsid w:val="00B4395A"/>
    <w:rsid w:val="00B43B1F"/>
    <w:rsid w:val="00B44D59"/>
    <w:rsid w:val="00B4553E"/>
    <w:rsid w:val="00B46773"/>
    <w:rsid w:val="00B47091"/>
    <w:rsid w:val="00B4731E"/>
    <w:rsid w:val="00B47E14"/>
    <w:rsid w:val="00B54256"/>
    <w:rsid w:val="00B545F4"/>
    <w:rsid w:val="00B56303"/>
    <w:rsid w:val="00B64F62"/>
    <w:rsid w:val="00B66898"/>
    <w:rsid w:val="00B7164C"/>
    <w:rsid w:val="00B74832"/>
    <w:rsid w:val="00B74917"/>
    <w:rsid w:val="00B807AB"/>
    <w:rsid w:val="00B80F53"/>
    <w:rsid w:val="00B82E26"/>
    <w:rsid w:val="00B95FBC"/>
    <w:rsid w:val="00B97C44"/>
    <w:rsid w:val="00BA05AE"/>
    <w:rsid w:val="00BA2FA3"/>
    <w:rsid w:val="00BA6418"/>
    <w:rsid w:val="00BA7D18"/>
    <w:rsid w:val="00BB3A8F"/>
    <w:rsid w:val="00BC19F6"/>
    <w:rsid w:val="00BC2A83"/>
    <w:rsid w:val="00BC5B20"/>
    <w:rsid w:val="00BD02D0"/>
    <w:rsid w:val="00BD0D15"/>
    <w:rsid w:val="00BD5425"/>
    <w:rsid w:val="00BD6F74"/>
    <w:rsid w:val="00BE5E74"/>
    <w:rsid w:val="00BF0332"/>
    <w:rsid w:val="00BF5FCC"/>
    <w:rsid w:val="00C00FA2"/>
    <w:rsid w:val="00C0363E"/>
    <w:rsid w:val="00C069A2"/>
    <w:rsid w:val="00C069EC"/>
    <w:rsid w:val="00C07B96"/>
    <w:rsid w:val="00C17416"/>
    <w:rsid w:val="00C1748F"/>
    <w:rsid w:val="00C221D5"/>
    <w:rsid w:val="00C2280A"/>
    <w:rsid w:val="00C2652B"/>
    <w:rsid w:val="00C274E0"/>
    <w:rsid w:val="00C30598"/>
    <w:rsid w:val="00C346C7"/>
    <w:rsid w:val="00C373FB"/>
    <w:rsid w:val="00C41E61"/>
    <w:rsid w:val="00C45C85"/>
    <w:rsid w:val="00C515CA"/>
    <w:rsid w:val="00C533E6"/>
    <w:rsid w:val="00C550C7"/>
    <w:rsid w:val="00C56730"/>
    <w:rsid w:val="00C6024F"/>
    <w:rsid w:val="00C60CE3"/>
    <w:rsid w:val="00C63D95"/>
    <w:rsid w:val="00C64B94"/>
    <w:rsid w:val="00C65541"/>
    <w:rsid w:val="00C739BF"/>
    <w:rsid w:val="00C747DF"/>
    <w:rsid w:val="00C74F44"/>
    <w:rsid w:val="00C768C1"/>
    <w:rsid w:val="00C76C24"/>
    <w:rsid w:val="00C7740D"/>
    <w:rsid w:val="00C80E3F"/>
    <w:rsid w:val="00C87539"/>
    <w:rsid w:val="00C90663"/>
    <w:rsid w:val="00C9363F"/>
    <w:rsid w:val="00C93DCA"/>
    <w:rsid w:val="00CA071B"/>
    <w:rsid w:val="00CA5466"/>
    <w:rsid w:val="00CA591D"/>
    <w:rsid w:val="00CA734B"/>
    <w:rsid w:val="00CB0475"/>
    <w:rsid w:val="00CB2C4F"/>
    <w:rsid w:val="00CB3583"/>
    <w:rsid w:val="00CB6A8C"/>
    <w:rsid w:val="00CC34FF"/>
    <w:rsid w:val="00CC44F0"/>
    <w:rsid w:val="00CD0E5B"/>
    <w:rsid w:val="00CD0FE9"/>
    <w:rsid w:val="00CD1471"/>
    <w:rsid w:val="00CD396E"/>
    <w:rsid w:val="00CD5104"/>
    <w:rsid w:val="00CD6046"/>
    <w:rsid w:val="00CE06A5"/>
    <w:rsid w:val="00CE202E"/>
    <w:rsid w:val="00CE2229"/>
    <w:rsid w:val="00CE374E"/>
    <w:rsid w:val="00CE5839"/>
    <w:rsid w:val="00CF0534"/>
    <w:rsid w:val="00CF3FF0"/>
    <w:rsid w:val="00CF41AF"/>
    <w:rsid w:val="00CF4567"/>
    <w:rsid w:val="00CF53AB"/>
    <w:rsid w:val="00CF6815"/>
    <w:rsid w:val="00D04D3D"/>
    <w:rsid w:val="00D11B02"/>
    <w:rsid w:val="00D1202C"/>
    <w:rsid w:val="00D12617"/>
    <w:rsid w:val="00D1288A"/>
    <w:rsid w:val="00D16DDF"/>
    <w:rsid w:val="00D16E24"/>
    <w:rsid w:val="00D20486"/>
    <w:rsid w:val="00D228D8"/>
    <w:rsid w:val="00D25F81"/>
    <w:rsid w:val="00D31439"/>
    <w:rsid w:val="00D33677"/>
    <w:rsid w:val="00D34934"/>
    <w:rsid w:val="00D373EC"/>
    <w:rsid w:val="00D4180D"/>
    <w:rsid w:val="00D42875"/>
    <w:rsid w:val="00D42B44"/>
    <w:rsid w:val="00D44A14"/>
    <w:rsid w:val="00D47738"/>
    <w:rsid w:val="00D51A9B"/>
    <w:rsid w:val="00D51D95"/>
    <w:rsid w:val="00D53EC6"/>
    <w:rsid w:val="00D55A00"/>
    <w:rsid w:val="00D56F77"/>
    <w:rsid w:val="00D61E9F"/>
    <w:rsid w:val="00D62CC8"/>
    <w:rsid w:val="00D6402F"/>
    <w:rsid w:val="00D7047A"/>
    <w:rsid w:val="00D719E9"/>
    <w:rsid w:val="00D72225"/>
    <w:rsid w:val="00D73550"/>
    <w:rsid w:val="00D80069"/>
    <w:rsid w:val="00D838F7"/>
    <w:rsid w:val="00D8479E"/>
    <w:rsid w:val="00D868F1"/>
    <w:rsid w:val="00D87EFF"/>
    <w:rsid w:val="00D91AE6"/>
    <w:rsid w:val="00D941E0"/>
    <w:rsid w:val="00D95840"/>
    <w:rsid w:val="00DA554C"/>
    <w:rsid w:val="00DA5F07"/>
    <w:rsid w:val="00DB42FB"/>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180"/>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4E73"/>
    <w:rsid w:val="00E375C8"/>
    <w:rsid w:val="00E4302B"/>
    <w:rsid w:val="00E528AF"/>
    <w:rsid w:val="00E53131"/>
    <w:rsid w:val="00E5518E"/>
    <w:rsid w:val="00E56222"/>
    <w:rsid w:val="00E564BA"/>
    <w:rsid w:val="00E566D8"/>
    <w:rsid w:val="00E57743"/>
    <w:rsid w:val="00E577C9"/>
    <w:rsid w:val="00E57A97"/>
    <w:rsid w:val="00E62C06"/>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7F72"/>
    <w:rsid w:val="00EC4357"/>
    <w:rsid w:val="00EC45F7"/>
    <w:rsid w:val="00EC49A4"/>
    <w:rsid w:val="00EC4EF3"/>
    <w:rsid w:val="00ED20C9"/>
    <w:rsid w:val="00ED21EE"/>
    <w:rsid w:val="00ED272D"/>
    <w:rsid w:val="00ED37E1"/>
    <w:rsid w:val="00ED3B31"/>
    <w:rsid w:val="00ED4EC4"/>
    <w:rsid w:val="00ED6C04"/>
    <w:rsid w:val="00ED7D3D"/>
    <w:rsid w:val="00EE4094"/>
    <w:rsid w:val="00EE4C9D"/>
    <w:rsid w:val="00EE4D57"/>
    <w:rsid w:val="00EE4E7D"/>
    <w:rsid w:val="00EE53FF"/>
    <w:rsid w:val="00EE5E83"/>
    <w:rsid w:val="00EE7092"/>
    <w:rsid w:val="00EF2F5C"/>
    <w:rsid w:val="00EF3A92"/>
    <w:rsid w:val="00EF6E22"/>
    <w:rsid w:val="00EF7590"/>
    <w:rsid w:val="00F024CA"/>
    <w:rsid w:val="00F0354F"/>
    <w:rsid w:val="00F1013F"/>
    <w:rsid w:val="00F10A99"/>
    <w:rsid w:val="00F138A2"/>
    <w:rsid w:val="00F154EB"/>
    <w:rsid w:val="00F20632"/>
    <w:rsid w:val="00F23738"/>
    <w:rsid w:val="00F2392E"/>
    <w:rsid w:val="00F30846"/>
    <w:rsid w:val="00F30878"/>
    <w:rsid w:val="00F30CAB"/>
    <w:rsid w:val="00F3211A"/>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5847"/>
    <w:rsid w:val="00F57142"/>
    <w:rsid w:val="00F5756D"/>
    <w:rsid w:val="00F630A2"/>
    <w:rsid w:val="00F63E1C"/>
    <w:rsid w:val="00F652AB"/>
    <w:rsid w:val="00F65942"/>
    <w:rsid w:val="00F72AA0"/>
    <w:rsid w:val="00F76A40"/>
    <w:rsid w:val="00F80C07"/>
    <w:rsid w:val="00F853BD"/>
    <w:rsid w:val="00F87264"/>
    <w:rsid w:val="00F908E9"/>
    <w:rsid w:val="00F96C94"/>
    <w:rsid w:val="00FA2B8F"/>
    <w:rsid w:val="00FA47E6"/>
    <w:rsid w:val="00FA56D6"/>
    <w:rsid w:val="00FA595F"/>
    <w:rsid w:val="00FA6C24"/>
    <w:rsid w:val="00FB651A"/>
    <w:rsid w:val="00FC0CB3"/>
    <w:rsid w:val="00FC2999"/>
    <w:rsid w:val="00FC765F"/>
    <w:rsid w:val="00FC781D"/>
    <w:rsid w:val="00FD1861"/>
    <w:rsid w:val="00FD5375"/>
    <w:rsid w:val="00FD61A3"/>
    <w:rsid w:val="00FD66C9"/>
    <w:rsid w:val="00FD79F6"/>
    <w:rsid w:val="00FE0371"/>
    <w:rsid w:val="00FE1258"/>
    <w:rsid w:val="00FE31D0"/>
    <w:rsid w:val="00FE358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Deeresources.com" TargetMode="External"/><Relationship Id="rId26"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Deeresources.com" TargetMode="External"/><Relationship Id="rId25" Type="http://schemas.openxmlformats.org/officeDocument/2006/relationships/hyperlink" Target="http://www.deeresources.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yperlink" Target="http://www.deeresources.com/deer0911planning/downloads/EUL_Summary_10-1-08.x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hyperlink" Target="http://www.aqnet.com/"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yperlink" Target="http://www.deeresources.com/deer0911planning/downloads/EUL_Summary_10-1-08.xls" TargetMode="Externa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yperlink" Target="http://www1.eere.energy.gov/femp/procurement/eep_hot_food.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http://www.deeresources.com" TargetMode="External"/><Relationship Id="rId30" Type="http://schemas.openxmlformats.org/officeDocument/2006/relationships/hyperlink" Target="http://www.deeresources.com/deer0911planning/downloads/DEER2008_NTG_ValuesAndDocumentation_080530.zip"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E68FF-6E0E-487A-AAFD-0084F2A475F2}">
  <ds:schemaRefs>
    <ds:schemaRef ds:uri="http://www.w3.org/XML/1998/namespace"/>
    <ds:schemaRef ds:uri="http://schemas.microsoft.com/office/2006/documentManagement/types"/>
    <ds:schemaRef ds:uri="http://purl.org/dc/elements/1.1/"/>
    <ds:schemaRef ds:uri="http://purl.org/dc/dcmitype/"/>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3.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12ABBBB-9C80-46AF-94EE-AE1795AA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TotalTime>
  <Pages>21</Pages>
  <Words>4882</Words>
  <Characters>31261</Characters>
  <Application>Microsoft Office Word</Application>
  <DocSecurity>4</DocSecurity>
  <Lines>260</Lines>
  <Paragraphs>72</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36071</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2014-04-22T20:16:00Z</cp:lastPrinted>
  <dcterms:created xsi:type="dcterms:W3CDTF">2014-11-03T17:14:00Z</dcterms:created>
  <dcterms:modified xsi:type="dcterms:W3CDTF">2014-11-03T17:14:00Z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