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B551A8" w:rsidRDefault="00DA690B" w:rsidP="00DA690B">
      <w:pPr>
        <w:jc w:val="right"/>
        <w:rPr>
          <w:rFonts w:asciiTheme="minorHAnsi" w:hAnsiTheme="minorHAnsi" w:cstheme="minorHAnsi"/>
          <w:b/>
          <w:sz w:val="48"/>
          <w:szCs w:val="48"/>
        </w:rPr>
      </w:pPr>
      <w:bookmarkStart w:id="0" w:name="_Toc153189646"/>
      <w:bookmarkStart w:id="1" w:name="_Toc214003082"/>
      <w:r w:rsidRPr="00B551A8">
        <w:rPr>
          <w:rFonts w:asciiTheme="minorHAnsi" w:hAnsiTheme="minorHAnsi" w:cstheme="minorHAnsi"/>
          <w:b/>
          <w:sz w:val="48"/>
          <w:szCs w:val="48"/>
        </w:rPr>
        <w:t xml:space="preserve">Work Paper </w:t>
      </w:r>
      <w:bookmarkEnd w:id="0"/>
      <w:r w:rsidR="00B26B83" w:rsidRPr="00B551A8">
        <w:rPr>
          <w:rFonts w:asciiTheme="minorHAnsi" w:hAnsiTheme="minorHAnsi" w:cstheme="minorHAnsi"/>
          <w:b/>
          <w:sz w:val="48"/>
          <w:szCs w:val="48"/>
        </w:rPr>
        <w:t>SCE</w:t>
      </w:r>
      <w:r w:rsidR="00185B44" w:rsidRPr="00B551A8">
        <w:rPr>
          <w:rFonts w:asciiTheme="minorHAnsi" w:hAnsiTheme="minorHAnsi" w:cstheme="minorHAnsi"/>
          <w:b/>
          <w:sz w:val="48"/>
          <w:szCs w:val="48"/>
        </w:rPr>
        <w:t>13</w:t>
      </w:r>
      <w:r w:rsidR="00D615B0" w:rsidRPr="00B551A8">
        <w:rPr>
          <w:rFonts w:asciiTheme="minorHAnsi" w:hAnsiTheme="minorHAnsi" w:cstheme="minorHAnsi"/>
          <w:b/>
          <w:sz w:val="48"/>
          <w:szCs w:val="48"/>
        </w:rPr>
        <w:t>CC0</w:t>
      </w:r>
      <w:r w:rsidR="00680748">
        <w:rPr>
          <w:rFonts w:asciiTheme="minorHAnsi" w:hAnsiTheme="minorHAnsi" w:cstheme="minorHAnsi"/>
          <w:b/>
          <w:sz w:val="48"/>
          <w:szCs w:val="48"/>
        </w:rPr>
        <w:t>11</w:t>
      </w:r>
    </w:p>
    <w:p w:rsidR="00DA690B" w:rsidRPr="00B551A8" w:rsidRDefault="00DA690B" w:rsidP="00DA690B">
      <w:pPr>
        <w:jc w:val="right"/>
        <w:rPr>
          <w:rFonts w:asciiTheme="minorHAnsi" w:hAnsiTheme="minorHAnsi" w:cstheme="minorHAnsi"/>
          <w:b/>
          <w:sz w:val="48"/>
          <w:szCs w:val="48"/>
        </w:rPr>
      </w:pPr>
      <w:bookmarkStart w:id="2" w:name="_Toc153189647"/>
      <w:r w:rsidRPr="00B551A8">
        <w:rPr>
          <w:rFonts w:asciiTheme="minorHAnsi" w:hAnsiTheme="minorHAnsi" w:cstheme="minorHAnsi"/>
          <w:b/>
          <w:sz w:val="48"/>
          <w:szCs w:val="48"/>
        </w:rPr>
        <w:t>Revision</w:t>
      </w:r>
      <w:bookmarkEnd w:id="2"/>
      <w:r w:rsidRPr="00B551A8">
        <w:rPr>
          <w:rFonts w:asciiTheme="minorHAnsi" w:hAnsiTheme="minorHAnsi" w:cstheme="minorHAnsi"/>
          <w:b/>
          <w:sz w:val="48"/>
          <w:szCs w:val="48"/>
        </w:rPr>
        <w:t xml:space="preserve"> </w:t>
      </w:r>
      <w:r w:rsidR="00185B44" w:rsidRPr="00B551A8">
        <w:rPr>
          <w:rFonts w:asciiTheme="minorHAnsi" w:hAnsiTheme="minorHAnsi" w:cstheme="minorHAnsi"/>
          <w:b/>
          <w:sz w:val="48"/>
          <w:szCs w:val="48"/>
        </w:rPr>
        <w:t>1</w:t>
      </w: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pBdr>
          <w:bottom w:val="single" w:sz="4" w:space="1" w:color="auto"/>
        </w:pBdr>
        <w:rPr>
          <w:rFonts w:asciiTheme="minorHAnsi" w:hAnsiTheme="minorHAnsi" w:cstheme="minorHAnsi"/>
          <w:b/>
          <w:sz w:val="36"/>
          <w:szCs w:val="36"/>
        </w:rPr>
      </w:pPr>
      <w:r w:rsidRPr="00B551A8">
        <w:rPr>
          <w:rFonts w:asciiTheme="minorHAnsi" w:hAnsiTheme="minorHAnsi" w:cstheme="minorHAnsi"/>
          <w:b/>
          <w:sz w:val="36"/>
          <w:szCs w:val="36"/>
        </w:rPr>
        <w:t>Southern California Edison Company</w:t>
      </w: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9D0753" w:rsidP="009D0753">
      <w:pPr>
        <w:tabs>
          <w:tab w:val="left" w:pos="8190"/>
        </w:tabs>
        <w:rPr>
          <w:rFonts w:asciiTheme="minorHAnsi" w:hAnsiTheme="minorHAnsi" w:cstheme="minorHAnsi"/>
        </w:rPr>
      </w:pPr>
      <w:r w:rsidRPr="00B551A8">
        <w:rPr>
          <w:rFonts w:asciiTheme="minorHAnsi" w:hAnsiTheme="minorHAnsi" w:cstheme="minorHAnsi"/>
        </w:rPr>
        <w:tab/>
      </w: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517A38" w:rsidP="00DA690B">
      <w:pPr>
        <w:rPr>
          <w:rFonts w:asciiTheme="minorHAnsi" w:hAnsiTheme="minorHAnsi" w:cstheme="minorHAnsi"/>
          <w:b/>
          <w:sz w:val="72"/>
          <w:szCs w:val="72"/>
        </w:rPr>
      </w:pPr>
      <w:r w:rsidRPr="00B551A8">
        <w:rPr>
          <w:rFonts w:asciiTheme="minorHAnsi" w:hAnsiTheme="minorHAnsi" w:cstheme="minorHAnsi"/>
          <w:b/>
          <w:sz w:val="72"/>
          <w:szCs w:val="72"/>
        </w:rPr>
        <w:t xml:space="preserve">Commercial </w:t>
      </w:r>
      <w:r w:rsidR="00680748">
        <w:rPr>
          <w:rFonts w:asciiTheme="minorHAnsi" w:hAnsiTheme="minorHAnsi" w:cstheme="minorHAnsi"/>
          <w:b/>
          <w:sz w:val="72"/>
          <w:szCs w:val="72"/>
        </w:rPr>
        <w:t>Convection Oven</w:t>
      </w:r>
    </w:p>
    <w:p w:rsidR="00DA690B" w:rsidRPr="00B551A8" w:rsidRDefault="00DA690B" w:rsidP="00DA690B">
      <w:pPr>
        <w:pStyle w:val="reminders0"/>
        <w:rPr>
          <w:rFonts w:asciiTheme="minorHAnsi" w:hAnsiTheme="minorHAnsi" w:cstheme="minorHAnsi"/>
          <w:color w:val="auto"/>
          <w:sz w:val="22"/>
          <w:szCs w:val="22"/>
        </w:rPr>
      </w:pPr>
    </w:p>
    <w:p w:rsidR="00DA690B" w:rsidRPr="00B551A8" w:rsidRDefault="00DA690B" w:rsidP="00EB34FC">
      <w:pPr>
        <w:pStyle w:val="reminders0"/>
        <w:rPr>
          <w:rFonts w:asciiTheme="minorHAnsi" w:hAnsiTheme="minorHAnsi" w:cstheme="minorHAnsi"/>
          <w:color w:val="auto"/>
          <w:sz w:val="22"/>
          <w:szCs w:val="22"/>
        </w:rPr>
      </w:pPr>
    </w:p>
    <w:p w:rsidR="00EB34FC" w:rsidRPr="00B551A8" w:rsidRDefault="00EB34FC" w:rsidP="00EB34FC">
      <w:pPr>
        <w:rPr>
          <w:rFonts w:asciiTheme="minorHAnsi" w:hAnsiTheme="minorHAnsi" w:cstheme="minorHAnsi"/>
          <w:sz w:val="22"/>
          <w:szCs w:val="22"/>
        </w:rPr>
      </w:pPr>
    </w:p>
    <w:p w:rsidR="00EB34FC" w:rsidRPr="00B551A8" w:rsidRDefault="00EB34FC" w:rsidP="00DA690B">
      <w:pPr>
        <w:rPr>
          <w:rFonts w:asciiTheme="minorHAnsi" w:hAnsiTheme="minorHAnsi" w:cstheme="minorHAnsi"/>
          <w:sz w:val="22"/>
          <w:szCs w:val="22"/>
        </w:rPr>
        <w:sectPr w:rsidR="00EB34FC" w:rsidRPr="00B551A8">
          <w:footerReference w:type="default" r:id="rId9"/>
          <w:pgSz w:w="12240" w:h="15840"/>
          <w:pgMar w:top="1440" w:right="1440" w:bottom="1440" w:left="1440" w:header="720" w:footer="720" w:gutter="0"/>
          <w:cols w:space="720"/>
          <w:docGrid w:linePitch="360"/>
        </w:sectPr>
      </w:pPr>
    </w:p>
    <w:p w:rsidR="00290ED8" w:rsidRPr="00B551A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B551A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B551A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B551A8" w:rsidRDefault="00AC5309" w:rsidP="009824E9">
            <w:pPr>
              <w:rPr>
                <w:rStyle w:val="Strong"/>
                <w:rFonts w:asciiTheme="minorHAnsi" w:hAnsiTheme="minorHAnsi"/>
                <w:b/>
                <w:sz w:val="20"/>
                <w:szCs w:val="20"/>
              </w:rPr>
            </w:pPr>
            <w:r w:rsidRPr="00B551A8">
              <w:rPr>
                <w:rStyle w:val="Strong"/>
                <w:rFonts w:asciiTheme="minorHAnsi" w:hAnsiTheme="minorHAnsi"/>
                <w:b/>
                <w:sz w:val="20"/>
                <w:szCs w:val="20"/>
              </w:rPr>
              <w:t>Applicable Measure Codes:</w:t>
            </w:r>
          </w:p>
        </w:tc>
        <w:tc>
          <w:tcPr>
            <w:tcW w:w="6030" w:type="dxa"/>
          </w:tcPr>
          <w:p w:rsidR="00517A38" w:rsidRPr="00B551A8" w:rsidRDefault="00680748" w:rsidP="00AB7554">
            <w:pPr>
              <w:rPr>
                <w:rFonts w:asciiTheme="minorHAnsi" w:hAnsiTheme="minorHAnsi" w:cs="Arial"/>
                <w:b w:val="0"/>
                <w:bCs w:val="0"/>
                <w:sz w:val="20"/>
                <w:szCs w:val="20"/>
              </w:rPr>
            </w:pPr>
            <w:r>
              <w:rPr>
                <w:rFonts w:asciiTheme="minorHAnsi" w:hAnsiTheme="minorHAnsi" w:cstheme="minorHAnsi"/>
                <w:sz w:val="20"/>
                <w:szCs w:val="20"/>
              </w:rPr>
              <w:t>FS-68320, FS-59869, FS-78439</w:t>
            </w:r>
          </w:p>
        </w:tc>
      </w:tr>
      <w:tr w:rsidR="00670049"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670049" w:rsidRPr="00B551A8" w:rsidRDefault="00670049" w:rsidP="009824E9">
            <w:pPr>
              <w:rPr>
                <w:rStyle w:val="Strong"/>
                <w:rFonts w:asciiTheme="minorHAnsi" w:hAnsiTheme="minorHAnsi"/>
                <w:sz w:val="20"/>
                <w:szCs w:val="20"/>
              </w:rPr>
            </w:pPr>
            <w:r w:rsidRPr="00B551A8">
              <w:rPr>
                <w:rStyle w:val="Strong"/>
                <w:rFonts w:asciiTheme="minorHAnsi" w:hAnsiTheme="minorHAnsi"/>
                <w:sz w:val="20"/>
                <w:szCs w:val="20"/>
              </w:rPr>
              <w:t xml:space="preserve">Measure Description: </w:t>
            </w:r>
          </w:p>
        </w:tc>
        <w:tc>
          <w:tcPr>
            <w:tcW w:w="6030" w:type="dxa"/>
          </w:tcPr>
          <w:p w:rsidR="00680748" w:rsidRPr="00B551A8" w:rsidRDefault="00680748" w:rsidP="00680748">
            <w:pPr>
              <w:rPr>
                <w:rFonts w:asciiTheme="minorHAnsi" w:hAnsiTheme="minorHAnsi" w:cs="Arial"/>
                <w:sz w:val="20"/>
                <w:szCs w:val="20"/>
              </w:rPr>
            </w:pPr>
            <w:r>
              <w:rPr>
                <w:rFonts w:asciiTheme="minorHAnsi" w:hAnsiTheme="minorHAnsi" w:cs="Arial"/>
                <w:sz w:val="20"/>
                <w:szCs w:val="20"/>
              </w:rPr>
              <w:t>Energy efficient convection oven</w:t>
            </w:r>
          </w:p>
          <w:p w:rsidR="00670049" w:rsidRPr="00B551A8" w:rsidRDefault="00670049" w:rsidP="00680748">
            <w:pPr>
              <w:rPr>
                <w:rFonts w:asciiTheme="minorHAnsi" w:hAnsiTheme="minorHAnsi" w:cs="Arial"/>
                <w:sz w:val="20"/>
                <w:szCs w:val="20"/>
              </w:rPr>
            </w:pPr>
          </w:p>
        </w:tc>
      </w:tr>
      <w:tr w:rsidR="00670049"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670049" w:rsidRPr="00B551A8" w:rsidRDefault="00670049" w:rsidP="009824E9">
            <w:pPr>
              <w:rPr>
                <w:rStyle w:val="Strong"/>
                <w:rFonts w:asciiTheme="minorHAnsi" w:hAnsiTheme="minorHAnsi"/>
                <w:sz w:val="20"/>
                <w:szCs w:val="20"/>
              </w:rPr>
            </w:pPr>
            <w:r w:rsidRPr="00B551A8">
              <w:rPr>
                <w:rStyle w:val="Strong"/>
                <w:rFonts w:asciiTheme="minorHAnsi" w:hAnsiTheme="minorHAnsi"/>
                <w:sz w:val="20"/>
                <w:szCs w:val="20"/>
              </w:rPr>
              <w:t>Base Case Description:</w:t>
            </w:r>
          </w:p>
        </w:tc>
        <w:tc>
          <w:tcPr>
            <w:tcW w:w="6030" w:type="dxa"/>
          </w:tcPr>
          <w:p w:rsidR="00670049" w:rsidRPr="00B551A8" w:rsidRDefault="00670049" w:rsidP="00AB7554">
            <w:pPr>
              <w:rPr>
                <w:rFonts w:asciiTheme="minorHAnsi" w:hAnsiTheme="minorHAnsi" w:cs="Arial"/>
                <w:sz w:val="20"/>
                <w:szCs w:val="20"/>
              </w:rPr>
            </w:pPr>
            <w:r w:rsidRPr="00B551A8">
              <w:rPr>
                <w:rFonts w:asciiTheme="minorHAnsi" w:hAnsiTheme="minorHAnsi" w:cs="Arial"/>
                <w:sz w:val="20"/>
                <w:szCs w:val="20"/>
              </w:rPr>
              <w:t xml:space="preserve">Standard efficiency </w:t>
            </w:r>
            <w:r w:rsidR="00680748">
              <w:rPr>
                <w:rFonts w:asciiTheme="minorHAnsi" w:hAnsiTheme="minorHAnsi" w:cs="Arial"/>
                <w:sz w:val="20"/>
                <w:szCs w:val="20"/>
              </w:rPr>
              <w:t>convection oven</w:t>
            </w:r>
          </w:p>
        </w:tc>
      </w:tr>
      <w:tr w:rsidR="00D36798" w:rsidRPr="00B551A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B551A8" w:rsidRDefault="00D36798" w:rsidP="00F76E7A">
            <w:pPr>
              <w:rPr>
                <w:rStyle w:val="Strong"/>
                <w:rFonts w:asciiTheme="minorHAnsi" w:hAnsiTheme="minorHAnsi"/>
                <w:sz w:val="20"/>
                <w:szCs w:val="20"/>
              </w:rPr>
            </w:pPr>
            <w:r w:rsidRPr="00B551A8">
              <w:rPr>
                <w:rStyle w:val="Strong"/>
                <w:rFonts w:asciiTheme="minorHAnsi" w:hAnsiTheme="minorHAnsi"/>
                <w:sz w:val="20"/>
                <w:szCs w:val="20"/>
              </w:rPr>
              <w:t xml:space="preserve">Energy Impact Common Units: </w:t>
            </w:r>
          </w:p>
        </w:tc>
        <w:tc>
          <w:tcPr>
            <w:tcW w:w="6030" w:type="dxa"/>
          </w:tcPr>
          <w:p w:rsidR="00D36798" w:rsidRPr="00B551A8" w:rsidRDefault="001A5C35" w:rsidP="001E18BE">
            <w:pPr>
              <w:rPr>
                <w:rFonts w:asciiTheme="minorHAnsi" w:hAnsiTheme="minorHAnsi" w:cs="Arial"/>
                <w:sz w:val="20"/>
                <w:szCs w:val="20"/>
              </w:rPr>
            </w:pPr>
            <w:r w:rsidRPr="00B551A8">
              <w:rPr>
                <w:rFonts w:asciiTheme="minorHAnsi" w:hAnsiTheme="minorHAnsi" w:cs="Arial"/>
                <w:sz w:val="20"/>
                <w:szCs w:val="20"/>
              </w:rPr>
              <w:t>Unit</w:t>
            </w:r>
          </w:p>
        </w:tc>
      </w:tr>
      <w:tr w:rsidR="00290ED8"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1"/>
                <w:rFonts w:asciiTheme="minorHAnsi" w:hAnsiTheme="minorHAnsi"/>
                <w:sz w:val="20"/>
                <w:szCs w:val="20"/>
              </w:rPr>
            </w:pPr>
            <w:r w:rsidRPr="00B551A8">
              <w:rPr>
                <w:rStyle w:val="Strong"/>
                <w:rFonts w:asciiTheme="minorHAnsi" w:hAnsiTheme="minorHAnsi"/>
                <w:sz w:val="20"/>
                <w:szCs w:val="20"/>
              </w:rPr>
              <w:t>Energy Savings :</w:t>
            </w:r>
          </w:p>
        </w:tc>
        <w:tc>
          <w:tcPr>
            <w:tcW w:w="6030" w:type="dxa"/>
          </w:tcPr>
          <w:p w:rsidR="00290ED8" w:rsidRPr="00B551A8" w:rsidRDefault="00D36798" w:rsidP="00AC5309">
            <w:pPr>
              <w:rPr>
                <w:rFonts w:asciiTheme="minorHAnsi" w:hAnsiTheme="minorHAnsi" w:cs="Arial"/>
                <w:sz w:val="20"/>
                <w:szCs w:val="20"/>
              </w:rPr>
            </w:pPr>
            <w:r w:rsidRPr="00B551A8">
              <w:rPr>
                <w:rFonts w:asciiTheme="minorHAnsi" w:hAnsiTheme="minorHAnsi" w:cs="Arial"/>
                <w:sz w:val="20"/>
                <w:szCs w:val="20"/>
              </w:rPr>
              <w:t>Refer to Excel Calculation Attachment</w:t>
            </w:r>
          </w:p>
        </w:tc>
      </w:tr>
      <w:tr w:rsidR="00290ED8"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Gross Measure Cost ($/unit)</w:t>
            </w:r>
          </w:p>
        </w:tc>
        <w:tc>
          <w:tcPr>
            <w:tcW w:w="6030" w:type="dxa"/>
          </w:tcPr>
          <w:p w:rsidR="00290ED8" w:rsidRPr="00B551A8" w:rsidRDefault="00D36798" w:rsidP="009824E9">
            <w:pPr>
              <w:rPr>
                <w:rFonts w:asciiTheme="minorHAnsi" w:hAnsiTheme="minorHAnsi" w:cs="Arial"/>
                <w:sz w:val="20"/>
                <w:szCs w:val="20"/>
              </w:rPr>
            </w:pPr>
            <w:r w:rsidRPr="00B551A8">
              <w:rPr>
                <w:rFonts w:asciiTheme="minorHAnsi" w:hAnsiTheme="minorHAnsi" w:cs="Arial"/>
                <w:sz w:val="20"/>
                <w:szCs w:val="20"/>
              </w:rPr>
              <w:t>Refer to Excel Calculation Attachment</w:t>
            </w:r>
          </w:p>
        </w:tc>
      </w:tr>
      <w:tr w:rsidR="00AC5309"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 xml:space="preserve">Measure Incremental Cost ($/unit): </w:t>
            </w:r>
          </w:p>
        </w:tc>
        <w:tc>
          <w:tcPr>
            <w:tcW w:w="6030" w:type="dxa"/>
          </w:tcPr>
          <w:p w:rsidR="00290ED8" w:rsidRPr="00B551A8" w:rsidRDefault="00D36798" w:rsidP="009824E9">
            <w:pPr>
              <w:rPr>
                <w:rFonts w:asciiTheme="minorHAnsi" w:hAnsiTheme="minorHAnsi" w:cs="Arial"/>
                <w:sz w:val="20"/>
                <w:szCs w:val="20"/>
              </w:rPr>
            </w:pPr>
            <w:r w:rsidRPr="00B551A8">
              <w:rPr>
                <w:rFonts w:asciiTheme="minorHAnsi" w:hAnsiTheme="minorHAnsi" w:cs="Arial"/>
                <w:sz w:val="20"/>
                <w:szCs w:val="20"/>
              </w:rPr>
              <w:t>Refer to Excel Calculation Attachment</w:t>
            </w:r>
          </w:p>
        </w:tc>
      </w:tr>
      <w:tr w:rsidR="00290ED8"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 xml:space="preserve">Effective Useful Life (years): </w:t>
            </w:r>
          </w:p>
        </w:tc>
        <w:tc>
          <w:tcPr>
            <w:tcW w:w="6030" w:type="dxa"/>
          </w:tcPr>
          <w:p w:rsidR="00290ED8" w:rsidRPr="00B551A8" w:rsidRDefault="005966A5" w:rsidP="00AB7554">
            <w:pPr>
              <w:rPr>
                <w:rFonts w:asciiTheme="minorHAnsi" w:hAnsiTheme="minorHAnsi" w:cstheme="minorHAnsi"/>
                <w:sz w:val="20"/>
                <w:szCs w:val="20"/>
              </w:rPr>
            </w:pPr>
            <w:r w:rsidRPr="005966A5">
              <w:rPr>
                <w:rFonts w:asciiTheme="minorHAnsi" w:hAnsiTheme="minorHAnsi" w:cs="Arial"/>
                <w:sz w:val="20"/>
                <w:szCs w:val="20"/>
              </w:rPr>
              <w:t>Cook-ElecConvOven</w:t>
            </w:r>
            <w:r>
              <w:rPr>
                <w:rFonts w:asciiTheme="minorHAnsi" w:hAnsiTheme="minorHAnsi" w:cs="Arial"/>
                <w:sz w:val="20"/>
                <w:szCs w:val="20"/>
              </w:rPr>
              <w:t>:</w:t>
            </w:r>
            <w:r w:rsidR="00290ED8" w:rsidRPr="00B551A8">
              <w:rPr>
                <w:rFonts w:asciiTheme="minorHAnsi" w:hAnsiTheme="minorHAnsi" w:cs="Arial"/>
                <w:sz w:val="20"/>
                <w:szCs w:val="20"/>
              </w:rPr>
              <w:t xml:space="preserve"> </w:t>
            </w:r>
            <w:r w:rsidR="001A5C35" w:rsidRPr="00B551A8">
              <w:rPr>
                <w:rFonts w:asciiTheme="minorHAnsi" w:hAnsiTheme="minorHAnsi" w:cs="Arial"/>
                <w:sz w:val="20"/>
                <w:szCs w:val="20"/>
              </w:rPr>
              <w:t>12 years</w:t>
            </w:r>
          </w:p>
        </w:tc>
      </w:tr>
      <w:tr w:rsidR="00AC5309"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Measure Application Type:</w:t>
            </w:r>
          </w:p>
        </w:tc>
        <w:tc>
          <w:tcPr>
            <w:tcW w:w="6030" w:type="dxa"/>
          </w:tcPr>
          <w:p w:rsidR="00290ED8" w:rsidRPr="00B551A8" w:rsidRDefault="001A5C35" w:rsidP="001A5C35">
            <w:pPr>
              <w:rPr>
                <w:rFonts w:asciiTheme="minorHAnsi" w:hAnsiTheme="minorHAnsi" w:cs="Arial"/>
                <w:sz w:val="20"/>
                <w:szCs w:val="20"/>
              </w:rPr>
            </w:pPr>
            <w:r w:rsidRPr="00B551A8">
              <w:rPr>
                <w:rFonts w:asciiTheme="minorHAnsi" w:hAnsiTheme="minorHAnsi" w:cs="Arial"/>
                <w:sz w:val="20"/>
                <w:szCs w:val="20"/>
              </w:rPr>
              <w:t>Replace on Burnout (ROB)</w:t>
            </w:r>
          </w:p>
        </w:tc>
      </w:tr>
      <w:tr w:rsidR="00290ED8"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 xml:space="preserve">Net-to-Gross Ratios: </w:t>
            </w:r>
          </w:p>
        </w:tc>
        <w:tc>
          <w:tcPr>
            <w:tcW w:w="6030" w:type="dxa"/>
          </w:tcPr>
          <w:p w:rsidR="00517A38" w:rsidRPr="00B551A8" w:rsidRDefault="001A5C35" w:rsidP="00517A38">
            <w:pPr>
              <w:rPr>
                <w:rFonts w:asciiTheme="minorHAnsi" w:hAnsiTheme="minorHAnsi" w:cs="Arial"/>
                <w:sz w:val="20"/>
                <w:szCs w:val="20"/>
              </w:rPr>
            </w:pPr>
            <w:r w:rsidRPr="00B551A8">
              <w:rPr>
                <w:rFonts w:asciiTheme="minorHAnsi" w:hAnsiTheme="minorHAnsi" w:cs="Arial"/>
                <w:sz w:val="20"/>
                <w:szCs w:val="20"/>
              </w:rPr>
              <w:t>Com-Default&gt;2yrs: 0.6</w:t>
            </w:r>
          </w:p>
          <w:p w:rsidR="00290ED8" w:rsidRPr="00B551A8" w:rsidRDefault="0022316B" w:rsidP="00517A38">
            <w:pPr>
              <w:rPr>
                <w:rFonts w:asciiTheme="minorHAnsi" w:hAnsiTheme="minorHAnsi" w:cs="Arial"/>
                <w:sz w:val="20"/>
                <w:szCs w:val="20"/>
              </w:rPr>
            </w:pPr>
            <w:r>
              <w:rPr>
                <w:rFonts w:asciiTheme="minorHAnsi" w:hAnsiTheme="minorHAnsi" w:cs="Arial"/>
                <w:sz w:val="20"/>
                <w:szCs w:val="20"/>
              </w:rPr>
              <w:t>Ind</w:t>
            </w:r>
            <w:r w:rsidRPr="00B551A8">
              <w:rPr>
                <w:rFonts w:asciiTheme="minorHAnsi" w:hAnsiTheme="minorHAnsi" w:cs="Arial"/>
                <w:sz w:val="20"/>
                <w:szCs w:val="20"/>
              </w:rPr>
              <w:t>-Default&gt;2yrs: 0.6</w:t>
            </w:r>
          </w:p>
        </w:tc>
      </w:tr>
      <w:tr w:rsidR="00290ED8"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Important Comments:</w:t>
            </w:r>
          </w:p>
        </w:tc>
        <w:tc>
          <w:tcPr>
            <w:tcW w:w="6030" w:type="dxa"/>
          </w:tcPr>
          <w:p w:rsidR="00290ED8" w:rsidRPr="00B551A8" w:rsidRDefault="00A84127" w:rsidP="00317EB0">
            <w:pPr>
              <w:rPr>
                <w:rFonts w:asciiTheme="minorHAnsi" w:hAnsiTheme="minorHAnsi" w:cs="Arial"/>
                <w:sz w:val="20"/>
                <w:szCs w:val="20"/>
              </w:rPr>
            </w:pPr>
            <w:r w:rsidRPr="00B551A8">
              <w:rPr>
                <w:rFonts w:asciiTheme="minorHAnsi" w:hAnsiTheme="minorHAnsi" w:cs="Arial"/>
                <w:sz w:val="20"/>
                <w:szCs w:val="20"/>
              </w:rPr>
              <w:t>This work paper document does not contain a data set</w:t>
            </w:r>
            <w:r w:rsidR="00317EB0" w:rsidRPr="00B551A8">
              <w:rPr>
                <w:rFonts w:asciiTheme="minorHAnsi" w:hAnsiTheme="minorHAnsi" w:cs="Arial"/>
                <w:sz w:val="20"/>
                <w:szCs w:val="20"/>
              </w:rPr>
              <w:t xml:space="preserve"> in conformance with</w:t>
            </w:r>
            <w:r w:rsidRPr="00B551A8">
              <w:rPr>
                <w:rFonts w:asciiTheme="minorHAnsi" w:hAnsiTheme="minorHAnsi" w:cs="Arial"/>
                <w:sz w:val="20"/>
                <w:szCs w:val="20"/>
              </w:rPr>
              <w:t xml:space="preserve"> the 4/1/14</w:t>
            </w:r>
            <w:r w:rsidR="00317EB0" w:rsidRPr="00B551A8">
              <w:rPr>
                <w:rFonts w:asciiTheme="minorHAnsi" w:hAnsiTheme="minorHAnsi" w:cs="Arial"/>
                <w:sz w:val="20"/>
                <w:szCs w:val="20"/>
              </w:rPr>
              <w:t xml:space="preserve"> CPUC</w:t>
            </w:r>
            <w:r w:rsidRPr="00B551A8">
              <w:rPr>
                <w:rFonts w:asciiTheme="minorHAnsi" w:hAnsiTheme="minorHAnsi" w:cs="Arial"/>
                <w:sz w:val="20"/>
                <w:szCs w:val="20"/>
              </w:rPr>
              <w:t xml:space="preserve"> Ex Ante Data</w:t>
            </w:r>
            <w:r w:rsidR="00317EB0" w:rsidRPr="00B551A8">
              <w:rPr>
                <w:rFonts w:asciiTheme="minorHAnsi" w:hAnsiTheme="minorHAnsi" w:cs="Arial"/>
                <w:sz w:val="20"/>
                <w:szCs w:val="20"/>
              </w:rPr>
              <w:t>base</w:t>
            </w:r>
            <w:r w:rsidRPr="00B551A8">
              <w:rPr>
                <w:rFonts w:asciiTheme="minorHAnsi" w:hAnsiTheme="minorHAnsi" w:cs="Arial"/>
                <w:sz w:val="20"/>
                <w:szCs w:val="20"/>
              </w:rPr>
              <w:t xml:space="preserve"> Specification;</w:t>
            </w:r>
            <w:r w:rsidR="00317EB0" w:rsidRPr="00B551A8">
              <w:rPr>
                <w:rFonts w:asciiTheme="minorHAnsi" w:hAnsiTheme="minorHAnsi" w:cs="Arial"/>
                <w:sz w:val="20"/>
                <w:szCs w:val="20"/>
              </w:rPr>
              <w:t xml:space="preserve"> SCE will provide</w:t>
            </w:r>
            <w:r w:rsidRPr="00B551A8">
              <w:rPr>
                <w:rFonts w:asciiTheme="minorHAnsi" w:hAnsiTheme="minorHAnsi" w:cs="Arial"/>
                <w:sz w:val="20"/>
                <w:szCs w:val="20"/>
              </w:rPr>
              <w:t xml:space="preserve"> that data set </w:t>
            </w:r>
            <w:r w:rsidR="00317EB0" w:rsidRPr="00B551A8">
              <w:rPr>
                <w:rFonts w:asciiTheme="minorHAnsi" w:hAnsiTheme="minorHAnsi" w:cs="Arial"/>
                <w:sz w:val="20"/>
                <w:szCs w:val="20"/>
              </w:rPr>
              <w:t>separately</w:t>
            </w:r>
            <w:r w:rsidRPr="00B551A8">
              <w:rPr>
                <w:rFonts w:asciiTheme="minorHAnsi" w:hAnsiTheme="minorHAnsi" w:cs="Arial"/>
                <w:sz w:val="20"/>
                <w:szCs w:val="20"/>
              </w:rPr>
              <w:t>.</w:t>
            </w:r>
          </w:p>
        </w:tc>
      </w:tr>
    </w:tbl>
    <w:p w:rsidR="00AC5309" w:rsidRPr="00B551A8" w:rsidRDefault="00AC5309">
      <w:pPr>
        <w:spacing w:after="200" w:line="276" w:lineRule="auto"/>
        <w:rPr>
          <w:rFonts w:asciiTheme="minorHAnsi" w:hAnsiTheme="minorHAnsi" w:cstheme="minorHAnsi"/>
          <w:b/>
          <w:bCs/>
          <w:smallCaps/>
          <w:kern w:val="32"/>
          <w:sz w:val="36"/>
          <w:szCs w:val="32"/>
        </w:rPr>
      </w:pPr>
    </w:p>
    <w:p w:rsidR="00AC5309" w:rsidRPr="00B551A8" w:rsidRDefault="00AC5309">
      <w:pPr>
        <w:spacing w:after="200" w:line="276" w:lineRule="auto"/>
        <w:rPr>
          <w:rFonts w:asciiTheme="minorHAnsi" w:hAnsiTheme="minorHAnsi" w:cstheme="minorHAnsi"/>
          <w:b/>
          <w:bCs/>
          <w:smallCaps/>
          <w:kern w:val="32"/>
          <w:sz w:val="36"/>
          <w:szCs w:val="32"/>
        </w:rPr>
      </w:pPr>
      <w:r w:rsidRPr="00B551A8">
        <w:rPr>
          <w:rFonts w:asciiTheme="minorHAnsi" w:hAnsiTheme="minorHAnsi" w:cstheme="minorHAnsi"/>
          <w:b/>
          <w:bCs/>
          <w:smallCaps/>
          <w:kern w:val="32"/>
          <w:sz w:val="36"/>
          <w:szCs w:val="32"/>
        </w:rPr>
        <w:br w:type="page"/>
      </w:r>
    </w:p>
    <w:p w:rsidR="00EB34FC" w:rsidRPr="00B551A8" w:rsidRDefault="00EB34FC" w:rsidP="00AC5309">
      <w:pPr>
        <w:pStyle w:val="Heading1"/>
        <w:rPr>
          <w:rFonts w:asciiTheme="minorHAnsi" w:hAnsiTheme="minorHAnsi"/>
        </w:rPr>
      </w:pPr>
      <w:r w:rsidRPr="00B551A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B551A8"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B551A8" w:rsidRDefault="00413CDB" w:rsidP="00413CDB">
            <w:pPr>
              <w:rPr>
                <w:rFonts w:asciiTheme="minorHAnsi" w:hAnsiTheme="minorHAnsi" w:cstheme="minorHAnsi"/>
                <w:b w:val="0"/>
                <w:bCs w:val="0"/>
                <w:sz w:val="20"/>
                <w:szCs w:val="20"/>
              </w:rPr>
            </w:pPr>
            <w:r w:rsidRPr="00B551A8">
              <w:rPr>
                <w:rFonts w:asciiTheme="minorHAnsi" w:hAnsiTheme="minorHAnsi" w:cstheme="minorHAnsi"/>
                <w:sz w:val="20"/>
                <w:szCs w:val="20"/>
              </w:rPr>
              <w:t xml:space="preserve">Workpaper and </w:t>
            </w:r>
            <w:r w:rsidR="00CE28CF" w:rsidRPr="00B551A8">
              <w:rPr>
                <w:rFonts w:asciiTheme="minorHAnsi" w:hAnsiTheme="minorHAnsi" w:cstheme="minorHAnsi"/>
                <w:sz w:val="20"/>
                <w:szCs w:val="20"/>
              </w:rPr>
              <w:t>Revision #</w:t>
            </w:r>
          </w:p>
        </w:tc>
        <w:tc>
          <w:tcPr>
            <w:tcW w:w="517" w:type="pct"/>
          </w:tcPr>
          <w:p w:rsidR="00CE28CF" w:rsidRPr="00B551A8" w:rsidRDefault="00CE28CF" w:rsidP="00413CDB">
            <w:pPr>
              <w:rPr>
                <w:rFonts w:asciiTheme="minorHAnsi" w:hAnsiTheme="minorHAnsi" w:cstheme="minorHAnsi"/>
                <w:sz w:val="20"/>
                <w:szCs w:val="20"/>
              </w:rPr>
            </w:pPr>
            <w:r w:rsidRPr="00B551A8">
              <w:rPr>
                <w:rFonts w:asciiTheme="minorHAnsi" w:hAnsiTheme="minorHAnsi" w:cstheme="minorHAnsi"/>
                <w:sz w:val="20"/>
                <w:szCs w:val="20"/>
              </w:rPr>
              <w:t>Tech</w:t>
            </w:r>
            <w:r w:rsidR="00413CDB" w:rsidRPr="00B551A8">
              <w:rPr>
                <w:rFonts w:asciiTheme="minorHAnsi" w:hAnsiTheme="minorHAnsi" w:cstheme="minorHAnsi"/>
                <w:sz w:val="20"/>
                <w:szCs w:val="20"/>
              </w:rPr>
              <w:t>.</w:t>
            </w:r>
            <w:r w:rsidRPr="00B551A8">
              <w:rPr>
                <w:rFonts w:asciiTheme="minorHAnsi" w:hAnsiTheme="minorHAnsi" w:cstheme="minorHAnsi"/>
                <w:sz w:val="20"/>
                <w:szCs w:val="20"/>
              </w:rPr>
              <w:t xml:space="preserve"> Revision</w:t>
            </w:r>
          </w:p>
        </w:tc>
        <w:tc>
          <w:tcPr>
            <w:tcW w:w="658" w:type="pct"/>
          </w:tcPr>
          <w:p w:rsidR="00CE28CF" w:rsidRPr="00B551A8" w:rsidRDefault="00CE28CF" w:rsidP="007048AC">
            <w:pPr>
              <w:rPr>
                <w:rFonts w:asciiTheme="minorHAnsi" w:hAnsiTheme="minorHAnsi" w:cstheme="minorHAnsi"/>
                <w:b w:val="0"/>
                <w:bCs w:val="0"/>
                <w:sz w:val="20"/>
                <w:szCs w:val="20"/>
              </w:rPr>
            </w:pPr>
            <w:r w:rsidRPr="00B551A8">
              <w:rPr>
                <w:rFonts w:asciiTheme="minorHAnsi" w:hAnsiTheme="minorHAnsi" w:cstheme="minorHAnsi"/>
                <w:sz w:val="20"/>
                <w:szCs w:val="20"/>
              </w:rPr>
              <w:t>MM/DD/YY</w:t>
            </w:r>
          </w:p>
        </w:tc>
        <w:tc>
          <w:tcPr>
            <w:tcW w:w="940" w:type="pct"/>
          </w:tcPr>
          <w:p w:rsidR="00CE28CF" w:rsidRPr="00B551A8" w:rsidRDefault="00CE28CF" w:rsidP="007048AC">
            <w:pPr>
              <w:rPr>
                <w:rFonts w:asciiTheme="minorHAnsi" w:hAnsiTheme="minorHAnsi" w:cstheme="minorHAnsi"/>
                <w:b w:val="0"/>
                <w:bCs w:val="0"/>
                <w:sz w:val="20"/>
                <w:szCs w:val="20"/>
              </w:rPr>
            </w:pPr>
            <w:r w:rsidRPr="00B551A8">
              <w:rPr>
                <w:rFonts w:asciiTheme="minorHAnsi" w:hAnsiTheme="minorHAnsi" w:cstheme="minorHAnsi"/>
                <w:sz w:val="20"/>
                <w:szCs w:val="20"/>
              </w:rPr>
              <w:t>Author/Affiliation</w:t>
            </w:r>
          </w:p>
        </w:tc>
        <w:tc>
          <w:tcPr>
            <w:tcW w:w="2124" w:type="pct"/>
          </w:tcPr>
          <w:p w:rsidR="00CE28CF" w:rsidRPr="00B551A8" w:rsidRDefault="00CE28CF" w:rsidP="007048AC">
            <w:pPr>
              <w:rPr>
                <w:rFonts w:asciiTheme="minorHAnsi" w:hAnsiTheme="minorHAnsi" w:cstheme="minorHAnsi"/>
                <w:b w:val="0"/>
                <w:bCs w:val="0"/>
                <w:sz w:val="20"/>
                <w:szCs w:val="20"/>
              </w:rPr>
            </w:pPr>
            <w:r w:rsidRPr="00B551A8">
              <w:rPr>
                <w:rFonts w:asciiTheme="minorHAnsi" w:hAnsiTheme="minorHAnsi" w:cstheme="minorHAnsi"/>
                <w:sz w:val="20"/>
                <w:szCs w:val="20"/>
              </w:rPr>
              <w:t>Summary of Changes</w:t>
            </w:r>
          </w:p>
        </w:tc>
      </w:tr>
      <w:tr w:rsidR="00AB7554" w:rsidRPr="00B551A8" w:rsidTr="00AB7554">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AB7554" w:rsidRPr="00B551A8" w:rsidRDefault="00AB7554" w:rsidP="00E96E8D">
            <w:pPr>
              <w:jc w:val="center"/>
              <w:rPr>
                <w:rFonts w:asciiTheme="minorHAnsi" w:hAnsiTheme="minorHAnsi" w:cstheme="minorHAnsi"/>
                <w:sz w:val="20"/>
                <w:szCs w:val="20"/>
              </w:rPr>
            </w:pPr>
            <w:r>
              <w:rPr>
                <w:rFonts w:asciiTheme="minorHAnsi" w:hAnsiTheme="minorHAnsi" w:cstheme="minorHAnsi"/>
                <w:sz w:val="20"/>
                <w:szCs w:val="20"/>
              </w:rPr>
              <w:t>SCE13CC004</w:t>
            </w:r>
            <w:r w:rsidRPr="00B551A8">
              <w:rPr>
                <w:rFonts w:asciiTheme="minorHAnsi" w:hAnsiTheme="minorHAnsi" w:cstheme="minorHAnsi"/>
                <w:sz w:val="20"/>
                <w:szCs w:val="20"/>
              </w:rPr>
              <w:t>.0</w:t>
            </w:r>
          </w:p>
        </w:tc>
        <w:tc>
          <w:tcPr>
            <w:tcW w:w="517" w:type="pct"/>
          </w:tcPr>
          <w:p w:rsidR="00AB7554" w:rsidRPr="00B551A8" w:rsidRDefault="00AB7554" w:rsidP="00E96E8D">
            <w:pPr>
              <w:jc w:val="center"/>
              <w:rPr>
                <w:rFonts w:asciiTheme="minorHAnsi" w:hAnsiTheme="minorHAnsi" w:cstheme="minorHAnsi"/>
                <w:sz w:val="20"/>
                <w:szCs w:val="20"/>
              </w:rPr>
            </w:pPr>
            <w:r w:rsidRPr="00B551A8">
              <w:rPr>
                <w:rFonts w:asciiTheme="minorHAnsi" w:hAnsiTheme="minorHAnsi" w:cstheme="minorHAnsi"/>
                <w:sz w:val="20"/>
                <w:szCs w:val="20"/>
              </w:rPr>
              <w:t>No</w:t>
            </w:r>
          </w:p>
        </w:tc>
        <w:tc>
          <w:tcPr>
            <w:tcW w:w="658" w:type="pct"/>
          </w:tcPr>
          <w:p w:rsidR="00AB7554" w:rsidRDefault="00AB7554" w:rsidP="00AB7554">
            <w:pPr>
              <w:spacing w:line="276" w:lineRule="auto"/>
              <w:jc w:val="center"/>
              <w:rPr>
                <w:rFonts w:asciiTheme="minorHAnsi" w:hAnsiTheme="minorHAnsi" w:cstheme="minorHAnsi"/>
                <w:sz w:val="20"/>
                <w:szCs w:val="20"/>
              </w:rPr>
            </w:pPr>
            <w:r>
              <w:rPr>
                <w:rFonts w:asciiTheme="minorHAnsi" w:hAnsiTheme="minorHAnsi" w:cstheme="minorHAnsi"/>
                <w:sz w:val="20"/>
                <w:szCs w:val="20"/>
              </w:rPr>
              <w:t>5/1/12</w:t>
            </w:r>
          </w:p>
        </w:tc>
        <w:tc>
          <w:tcPr>
            <w:tcW w:w="940" w:type="pct"/>
          </w:tcPr>
          <w:p w:rsidR="00AB7554" w:rsidRDefault="00AB7554" w:rsidP="00AB7554">
            <w:pPr>
              <w:spacing w:line="276" w:lineRule="auto"/>
              <w:rPr>
                <w:rFonts w:asciiTheme="minorHAnsi" w:hAnsiTheme="minorHAnsi" w:cstheme="minorHAnsi"/>
                <w:sz w:val="20"/>
                <w:szCs w:val="20"/>
              </w:rPr>
            </w:pPr>
            <w:r>
              <w:rPr>
                <w:rFonts w:asciiTheme="minorHAnsi" w:hAnsiTheme="minorHAnsi" w:cstheme="minorHAnsi"/>
                <w:sz w:val="20"/>
                <w:szCs w:val="20"/>
              </w:rPr>
              <w:t>Ricson Chude/ SCE</w:t>
            </w:r>
          </w:p>
        </w:tc>
        <w:tc>
          <w:tcPr>
            <w:tcW w:w="2124" w:type="pct"/>
          </w:tcPr>
          <w:p w:rsidR="00AB7554" w:rsidRDefault="00AB7554" w:rsidP="00AB7554">
            <w:pPr>
              <w:pStyle w:val="ListParagraph"/>
              <w:numPr>
                <w:ilvl w:val="0"/>
                <w:numId w:val="13"/>
              </w:numPr>
              <w:spacing w:line="276" w:lineRule="auto"/>
              <w:rPr>
                <w:rFonts w:asciiTheme="minorHAnsi" w:hAnsiTheme="minorHAnsi" w:cstheme="minorHAnsi"/>
                <w:bCs/>
                <w:sz w:val="20"/>
                <w:szCs w:val="20"/>
              </w:rPr>
            </w:pPr>
            <w:r>
              <w:rPr>
                <w:rFonts w:asciiTheme="minorHAnsi" w:hAnsiTheme="minorHAnsi" w:cstheme="minorHAnsi"/>
                <w:bCs/>
                <w:sz w:val="20"/>
                <w:szCs w:val="20"/>
              </w:rPr>
              <w:t>Converted WPSCNRCC0004 into new workpaper template, and changed name to WorkPaper SCE13CC004.</w:t>
            </w:r>
          </w:p>
          <w:p w:rsidR="00AB7554" w:rsidRDefault="00AB7554" w:rsidP="00AB7554">
            <w:pPr>
              <w:pStyle w:val="ListParagraph"/>
              <w:numPr>
                <w:ilvl w:val="0"/>
                <w:numId w:val="13"/>
              </w:numPr>
              <w:spacing w:line="276" w:lineRule="auto"/>
              <w:rPr>
                <w:rFonts w:asciiTheme="minorHAnsi" w:hAnsiTheme="minorHAnsi" w:cstheme="minorHAnsi"/>
                <w:bCs/>
                <w:sz w:val="20"/>
                <w:szCs w:val="20"/>
              </w:rPr>
            </w:pPr>
            <w:r>
              <w:rPr>
                <w:rFonts w:asciiTheme="minorHAnsi" w:hAnsiTheme="minorHAnsi" w:cstheme="minorHAnsi"/>
                <w:bCs/>
                <w:sz w:val="20"/>
                <w:szCs w:val="20"/>
              </w:rPr>
              <w:t>Revised cost and savings based on PGECOFST102</w:t>
            </w:r>
          </w:p>
        </w:tc>
      </w:tr>
      <w:tr w:rsidR="00413CDB" w:rsidRPr="00B551A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CE28CF" w:rsidRPr="00B551A8" w:rsidRDefault="00AB7554" w:rsidP="00E96E8D">
            <w:pPr>
              <w:jc w:val="center"/>
              <w:rPr>
                <w:rFonts w:asciiTheme="minorHAnsi" w:hAnsiTheme="minorHAnsi" w:cstheme="minorHAnsi"/>
                <w:sz w:val="20"/>
                <w:szCs w:val="20"/>
              </w:rPr>
            </w:pPr>
            <w:r>
              <w:rPr>
                <w:rFonts w:asciiTheme="minorHAnsi" w:hAnsiTheme="minorHAnsi" w:cstheme="minorHAnsi"/>
                <w:sz w:val="20"/>
                <w:szCs w:val="20"/>
              </w:rPr>
              <w:t>SCE13CC004</w:t>
            </w:r>
            <w:r w:rsidR="00185B44" w:rsidRPr="00B551A8">
              <w:rPr>
                <w:rFonts w:asciiTheme="minorHAnsi" w:hAnsiTheme="minorHAnsi" w:cstheme="minorHAnsi"/>
                <w:sz w:val="20"/>
                <w:szCs w:val="20"/>
              </w:rPr>
              <w:t>.1</w:t>
            </w:r>
          </w:p>
        </w:tc>
        <w:tc>
          <w:tcPr>
            <w:tcW w:w="517" w:type="pct"/>
          </w:tcPr>
          <w:p w:rsidR="00CE28CF" w:rsidRPr="00B551A8" w:rsidRDefault="00CE28CF" w:rsidP="00E96E8D">
            <w:pPr>
              <w:jc w:val="center"/>
              <w:rPr>
                <w:rFonts w:asciiTheme="minorHAnsi" w:hAnsiTheme="minorHAnsi" w:cstheme="minorHAnsi"/>
                <w:sz w:val="20"/>
                <w:szCs w:val="20"/>
              </w:rPr>
            </w:pPr>
            <w:r w:rsidRPr="00B551A8">
              <w:rPr>
                <w:rFonts w:asciiTheme="minorHAnsi" w:hAnsiTheme="minorHAnsi" w:cstheme="minorHAnsi"/>
                <w:sz w:val="20"/>
                <w:szCs w:val="20"/>
              </w:rPr>
              <w:t>No</w:t>
            </w:r>
          </w:p>
        </w:tc>
        <w:tc>
          <w:tcPr>
            <w:tcW w:w="658" w:type="pct"/>
          </w:tcPr>
          <w:p w:rsidR="00CE28CF" w:rsidRPr="00B551A8" w:rsidRDefault="005966A5" w:rsidP="00E96E8D">
            <w:pPr>
              <w:jc w:val="center"/>
              <w:rPr>
                <w:rFonts w:asciiTheme="minorHAnsi" w:hAnsiTheme="minorHAnsi" w:cstheme="minorHAnsi"/>
                <w:sz w:val="20"/>
                <w:szCs w:val="20"/>
              </w:rPr>
            </w:pPr>
            <w:r>
              <w:rPr>
                <w:rFonts w:asciiTheme="minorHAnsi" w:hAnsiTheme="minorHAnsi" w:cstheme="minorHAnsi"/>
                <w:sz w:val="20"/>
                <w:szCs w:val="20"/>
              </w:rPr>
              <w:t>5</w:t>
            </w:r>
            <w:r w:rsidR="002143FB" w:rsidRPr="00B551A8">
              <w:rPr>
                <w:rFonts w:asciiTheme="minorHAnsi" w:hAnsiTheme="minorHAnsi" w:cstheme="minorHAnsi"/>
                <w:sz w:val="20"/>
                <w:szCs w:val="20"/>
              </w:rPr>
              <w:t>/5</w:t>
            </w:r>
            <w:r w:rsidR="00CE28CF" w:rsidRPr="00B551A8">
              <w:rPr>
                <w:rFonts w:asciiTheme="minorHAnsi" w:hAnsiTheme="minorHAnsi" w:cstheme="minorHAnsi"/>
                <w:sz w:val="20"/>
                <w:szCs w:val="20"/>
              </w:rPr>
              <w:t>/2014</w:t>
            </w:r>
          </w:p>
        </w:tc>
        <w:tc>
          <w:tcPr>
            <w:tcW w:w="940" w:type="pct"/>
          </w:tcPr>
          <w:p w:rsidR="00CE28CF" w:rsidRPr="00B551A8" w:rsidRDefault="00E96E8D" w:rsidP="00E96E8D">
            <w:pPr>
              <w:jc w:val="center"/>
              <w:rPr>
                <w:rFonts w:asciiTheme="minorHAnsi" w:hAnsiTheme="minorHAnsi" w:cstheme="minorHAnsi"/>
                <w:sz w:val="20"/>
                <w:szCs w:val="20"/>
              </w:rPr>
            </w:pPr>
            <w:r w:rsidRPr="00B551A8">
              <w:rPr>
                <w:rFonts w:asciiTheme="minorHAnsi" w:hAnsiTheme="minorHAnsi" w:cstheme="minorHAnsi"/>
                <w:sz w:val="20"/>
                <w:szCs w:val="20"/>
              </w:rPr>
              <w:t>Ricson Chude/</w:t>
            </w:r>
            <w:r w:rsidR="00CE28CF" w:rsidRPr="00B551A8">
              <w:rPr>
                <w:rFonts w:asciiTheme="minorHAnsi" w:hAnsiTheme="minorHAnsi" w:cstheme="minorHAnsi"/>
                <w:sz w:val="20"/>
                <w:szCs w:val="20"/>
              </w:rPr>
              <w:t>SCE</w:t>
            </w:r>
          </w:p>
        </w:tc>
        <w:tc>
          <w:tcPr>
            <w:tcW w:w="2124" w:type="pct"/>
          </w:tcPr>
          <w:p w:rsidR="00E96E8D" w:rsidRDefault="00185B44" w:rsidP="00185B44">
            <w:pPr>
              <w:rPr>
                <w:rFonts w:asciiTheme="minorHAnsi" w:hAnsiTheme="minorHAnsi" w:cstheme="minorHAnsi"/>
                <w:bCs/>
                <w:sz w:val="20"/>
                <w:szCs w:val="20"/>
              </w:rPr>
            </w:pPr>
            <w:r w:rsidRPr="00B551A8">
              <w:rPr>
                <w:rFonts w:asciiTheme="minorHAnsi" w:hAnsiTheme="minorHAnsi" w:cstheme="minorHAnsi"/>
                <w:bCs/>
                <w:sz w:val="20"/>
                <w:szCs w:val="20"/>
              </w:rPr>
              <w:t>-Work paper updated for the reporting period, effective 7/1/14 – 12/31/14.</w:t>
            </w:r>
          </w:p>
          <w:p w:rsidR="00AB7554" w:rsidRDefault="00AB7554" w:rsidP="005966A5">
            <w:pPr>
              <w:rPr>
                <w:rFonts w:asciiTheme="minorHAnsi" w:hAnsiTheme="minorHAnsi" w:cstheme="minorHAnsi"/>
                <w:bCs/>
                <w:sz w:val="20"/>
                <w:szCs w:val="20"/>
              </w:rPr>
            </w:pPr>
            <w:r>
              <w:rPr>
                <w:rFonts w:asciiTheme="minorHAnsi" w:hAnsiTheme="minorHAnsi" w:cstheme="minorHAnsi"/>
                <w:bCs/>
                <w:sz w:val="20"/>
                <w:szCs w:val="20"/>
              </w:rPr>
              <w:t>- Updated to include description</w:t>
            </w:r>
            <w:r w:rsidR="00B43AAF">
              <w:rPr>
                <w:rFonts w:asciiTheme="minorHAnsi" w:hAnsiTheme="minorHAnsi" w:cstheme="minorHAnsi"/>
                <w:bCs/>
                <w:sz w:val="20"/>
                <w:szCs w:val="20"/>
              </w:rPr>
              <w:t xml:space="preserve"> and incorporate savings</w:t>
            </w:r>
            <w:r>
              <w:rPr>
                <w:rFonts w:asciiTheme="minorHAnsi" w:hAnsiTheme="minorHAnsi" w:cstheme="minorHAnsi"/>
                <w:bCs/>
                <w:sz w:val="20"/>
                <w:szCs w:val="20"/>
              </w:rPr>
              <w:t xml:space="preserve"> </w:t>
            </w:r>
            <w:r w:rsidR="00B43AAF">
              <w:rPr>
                <w:rFonts w:asciiTheme="minorHAnsi" w:hAnsiTheme="minorHAnsi" w:cstheme="minorHAnsi"/>
                <w:bCs/>
                <w:sz w:val="20"/>
                <w:szCs w:val="20"/>
              </w:rPr>
              <w:t>from</w:t>
            </w:r>
            <w:r>
              <w:rPr>
                <w:rFonts w:asciiTheme="minorHAnsi" w:hAnsiTheme="minorHAnsi" w:cstheme="minorHAnsi"/>
                <w:bCs/>
                <w:sz w:val="20"/>
                <w:szCs w:val="20"/>
              </w:rPr>
              <w:t xml:space="preserve"> Large </w:t>
            </w:r>
            <w:r w:rsidR="005966A5">
              <w:rPr>
                <w:rFonts w:asciiTheme="minorHAnsi" w:hAnsiTheme="minorHAnsi" w:cstheme="minorHAnsi"/>
                <w:bCs/>
                <w:sz w:val="20"/>
                <w:szCs w:val="20"/>
              </w:rPr>
              <w:t>Full Size ovens</w:t>
            </w:r>
          </w:p>
          <w:p w:rsidR="0022316B" w:rsidRPr="00B551A8" w:rsidRDefault="0022316B" w:rsidP="005966A5">
            <w:pPr>
              <w:rPr>
                <w:rFonts w:asciiTheme="minorHAnsi" w:hAnsiTheme="minorHAnsi" w:cstheme="minorHAnsi"/>
                <w:bCs/>
                <w:sz w:val="20"/>
                <w:szCs w:val="20"/>
              </w:rPr>
            </w:pPr>
            <w:r>
              <w:rPr>
                <w:rFonts w:asciiTheme="minorHAnsi" w:hAnsiTheme="minorHAnsi" w:cstheme="minorHAnsi"/>
                <w:bCs/>
                <w:sz w:val="20"/>
                <w:szCs w:val="20"/>
              </w:rPr>
              <w:t>-Updated all savings and costs</w:t>
            </w:r>
          </w:p>
        </w:tc>
      </w:tr>
    </w:tbl>
    <w:p w:rsidR="009500DC" w:rsidRPr="00B551A8" w:rsidRDefault="009500DC" w:rsidP="00DA690B">
      <w:pPr>
        <w:rPr>
          <w:rFonts w:asciiTheme="minorHAnsi" w:hAnsiTheme="minorHAnsi" w:cstheme="minorHAnsi"/>
        </w:rPr>
        <w:sectPr w:rsidR="009500DC" w:rsidRPr="00B551A8" w:rsidSect="007F7FBA">
          <w:footerReference w:type="default" r:id="rId10"/>
          <w:pgSz w:w="12240" w:h="15840"/>
          <w:pgMar w:top="1440" w:right="1440" w:bottom="1440" w:left="1440" w:header="720" w:footer="720" w:gutter="0"/>
          <w:pgNumType w:fmt="lowerRoman" w:start="1"/>
          <w:cols w:space="720"/>
          <w:docGrid w:linePitch="360"/>
        </w:sectPr>
      </w:pPr>
    </w:p>
    <w:p w:rsidR="00E16609" w:rsidRPr="00B551A8" w:rsidRDefault="00E16609" w:rsidP="00E16609">
      <w:pPr>
        <w:pStyle w:val="Heading1"/>
        <w:rPr>
          <w:rFonts w:asciiTheme="minorHAnsi" w:hAnsiTheme="minorHAnsi" w:cstheme="minorHAnsi"/>
        </w:rPr>
      </w:pPr>
      <w:r w:rsidRPr="00B551A8">
        <w:rPr>
          <w:rFonts w:asciiTheme="minorHAnsi" w:hAnsiTheme="minorHAnsi" w:cstheme="minorHAnsi"/>
        </w:rPr>
        <w:lastRenderedPageBreak/>
        <w:t>Section 1. General Measure &amp; Baseline Data</w:t>
      </w:r>
      <w:bookmarkEnd w:id="1"/>
    </w:p>
    <w:p w:rsidR="00E16609" w:rsidRPr="00B551A8" w:rsidRDefault="00824F1C" w:rsidP="00697868">
      <w:pPr>
        <w:pStyle w:val="Heading2"/>
        <w:rPr>
          <w:rFonts w:asciiTheme="minorHAnsi" w:hAnsiTheme="minorHAnsi"/>
        </w:rPr>
      </w:pPr>
      <w:bookmarkStart w:id="7" w:name="_Toc214003083"/>
      <w:r w:rsidRPr="00B551A8">
        <w:rPr>
          <w:rFonts w:asciiTheme="minorHAnsi" w:hAnsiTheme="minorHAnsi"/>
        </w:rPr>
        <w:t xml:space="preserve">1.1 </w:t>
      </w:r>
      <w:r w:rsidR="00AC5309" w:rsidRPr="00B551A8">
        <w:rPr>
          <w:rFonts w:asciiTheme="minorHAnsi" w:hAnsiTheme="minorHAnsi"/>
        </w:rPr>
        <w:t xml:space="preserve">Measure Description </w:t>
      </w:r>
      <w:r w:rsidR="00E16609" w:rsidRPr="00B551A8">
        <w:rPr>
          <w:rFonts w:asciiTheme="minorHAnsi" w:hAnsiTheme="minorHAnsi"/>
        </w:rPr>
        <w:t xml:space="preserve">&amp; </w:t>
      </w:r>
      <w:r w:rsidR="00AC5309" w:rsidRPr="00B551A8">
        <w:rPr>
          <w:rFonts w:asciiTheme="minorHAnsi" w:hAnsiTheme="minorHAnsi"/>
        </w:rPr>
        <w:t>Background</w:t>
      </w:r>
      <w:r w:rsidR="00E16609" w:rsidRPr="00B551A8">
        <w:rPr>
          <w:rFonts w:asciiTheme="minorHAnsi" w:hAnsiTheme="minorHAnsi"/>
        </w:rPr>
        <w:t xml:space="preserve"> </w:t>
      </w:r>
      <w:bookmarkEnd w:id="7"/>
    </w:p>
    <w:p w:rsidR="00680748" w:rsidRDefault="00680748" w:rsidP="00680748">
      <w:pPr>
        <w:pStyle w:val="Heading3"/>
        <w:rPr>
          <w:rFonts w:asciiTheme="minorHAnsi" w:hAnsiTheme="minorHAnsi" w:cstheme="minorHAnsi"/>
          <w:b w:val="0"/>
          <w:bCs w:val="0"/>
          <w:sz w:val="22"/>
          <w:szCs w:val="22"/>
        </w:rPr>
      </w:pPr>
      <w:r>
        <w:rPr>
          <w:rFonts w:asciiTheme="minorHAnsi" w:hAnsiTheme="minorHAnsi" w:cstheme="minorHAnsi"/>
          <w:b w:val="0"/>
          <w:bCs w:val="0"/>
          <w:sz w:val="22"/>
          <w:szCs w:val="22"/>
        </w:rPr>
        <w:t xml:space="preserve">This work paper details the replacement of a standard efficiency commercial electric convection oven with a high efficiency commercial electric convection oven.  </w:t>
      </w:r>
    </w:p>
    <w:p w:rsidR="0031434B" w:rsidRDefault="0031434B" w:rsidP="0031434B"/>
    <w:p w:rsidR="00B6061C" w:rsidRPr="00B551A8" w:rsidRDefault="00B6061C" w:rsidP="009C6AEC">
      <w:pPr>
        <w:pStyle w:val="Caption"/>
        <w:jc w:val="center"/>
        <w:rPr>
          <w:rFonts w:asciiTheme="minorHAnsi" w:hAnsiTheme="minorHAnsi" w:cstheme="minorHAnsi"/>
          <w:sz w:val="22"/>
          <w:szCs w:val="22"/>
        </w:rPr>
      </w:pPr>
      <w:bookmarkStart w:id="8" w:name="_Ref325629993"/>
      <w:r w:rsidRPr="00B551A8">
        <w:rPr>
          <w:rFonts w:asciiTheme="minorHAnsi" w:hAnsiTheme="minorHAnsi" w:cstheme="minorHAnsi"/>
          <w:sz w:val="22"/>
          <w:szCs w:val="22"/>
        </w:rPr>
        <w:t xml:space="preserve">Table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SEQ Table \* ARABIC </w:instrText>
      </w:r>
      <w:r w:rsidRPr="00B551A8">
        <w:rPr>
          <w:rFonts w:asciiTheme="minorHAnsi" w:hAnsiTheme="minorHAnsi" w:cstheme="minorHAnsi"/>
          <w:sz w:val="22"/>
          <w:szCs w:val="22"/>
        </w:rPr>
        <w:fldChar w:fldCharType="separate"/>
      </w:r>
      <w:r w:rsidR="00BD6511">
        <w:rPr>
          <w:rFonts w:asciiTheme="minorHAnsi" w:hAnsiTheme="minorHAnsi" w:cstheme="minorHAnsi"/>
          <w:noProof/>
          <w:sz w:val="22"/>
          <w:szCs w:val="22"/>
        </w:rPr>
        <w:t>1</w:t>
      </w:r>
      <w:r w:rsidRPr="00B551A8">
        <w:rPr>
          <w:rFonts w:asciiTheme="minorHAnsi" w:hAnsiTheme="minorHAnsi" w:cstheme="minorHAnsi"/>
          <w:sz w:val="22"/>
          <w:szCs w:val="22"/>
        </w:rPr>
        <w:fldChar w:fldCharType="end"/>
      </w:r>
      <w:bookmarkEnd w:id="8"/>
      <w:r w:rsidRPr="00B551A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1475"/>
        <w:gridCol w:w="4963"/>
      </w:tblGrid>
      <w:tr w:rsidR="009C6AEC" w:rsidRPr="00B551A8" w:rsidTr="00680748">
        <w:trPr>
          <w:cnfStyle w:val="100000000000" w:firstRow="1" w:lastRow="0" w:firstColumn="0" w:lastColumn="0" w:oddVBand="0" w:evenVBand="0" w:oddHBand="0" w:evenHBand="0" w:firstRowFirstColumn="0" w:firstRowLastColumn="0" w:lastRowFirstColumn="0" w:lastRowLastColumn="0"/>
          <w:jc w:val="center"/>
        </w:trPr>
        <w:tc>
          <w:tcPr>
            <w:tcW w:w="1475" w:type="dxa"/>
          </w:tcPr>
          <w:p w:rsidR="009C6AEC" w:rsidRPr="00B551A8" w:rsidRDefault="009C6AEC" w:rsidP="0031434B">
            <w:pPr>
              <w:rPr>
                <w:rFonts w:asciiTheme="minorHAnsi" w:hAnsiTheme="minorHAnsi" w:cstheme="minorHAnsi"/>
                <w:sz w:val="20"/>
                <w:szCs w:val="20"/>
              </w:rPr>
            </w:pPr>
            <w:r w:rsidRPr="00B551A8">
              <w:rPr>
                <w:rFonts w:asciiTheme="minorHAnsi" w:hAnsiTheme="minorHAnsi" w:cstheme="minorHAnsi"/>
                <w:sz w:val="20"/>
                <w:szCs w:val="20"/>
              </w:rPr>
              <w:t>Solution Code</w:t>
            </w:r>
          </w:p>
        </w:tc>
        <w:tc>
          <w:tcPr>
            <w:tcW w:w="4963" w:type="dxa"/>
          </w:tcPr>
          <w:p w:rsidR="009C6AEC" w:rsidRPr="00B551A8" w:rsidRDefault="0031434B" w:rsidP="009C6AEC">
            <w:pPr>
              <w:rPr>
                <w:rFonts w:asciiTheme="minorHAnsi" w:hAnsiTheme="minorHAnsi" w:cstheme="minorHAnsi"/>
                <w:sz w:val="20"/>
                <w:szCs w:val="20"/>
              </w:rPr>
            </w:pPr>
            <w:r>
              <w:rPr>
                <w:rFonts w:asciiTheme="minorHAnsi" w:hAnsiTheme="minorHAnsi" w:cstheme="minorHAnsi"/>
                <w:sz w:val="20"/>
                <w:szCs w:val="20"/>
              </w:rPr>
              <w:t>Measure N</w:t>
            </w:r>
            <w:r w:rsidR="009C6AEC" w:rsidRPr="00B551A8">
              <w:rPr>
                <w:rFonts w:asciiTheme="minorHAnsi" w:hAnsiTheme="minorHAnsi" w:cstheme="minorHAnsi"/>
                <w:sz w:val="20"/>
                <w:szCs w:val="20"/>
              </w:rPr>
              <w:t>ame</w:t>
            </w:r>
          </w:p>
        </w:tc>
      </w:tr>
      <w:tr w:rsidR="00680748" w:rsidRPr="00B551A8" w:rsidTr="00680748">
        <w:trPr>
          <w:cnfStyle w:val="000000100000" w:firstRow="0" w:lastRow="0" w:firstColumn="0" w:lastColumn="0" w:oddVBand="0" w:evenVBand="0" w:oddHBand="1" w:evenHBand="0" w:firstRowFirstColumn="0" w:firstRowLastColumn="0" w:lastRowFirstColumn="0" w:lastRowLastColumn="0"/>
          <w:trHeight w:val="243"/>
          <w:jc w:val="center"/>
        </w:trPr>
        <w:tc>
          <w:tcPr>
            <w:tcW w:w="1475" w:type="dxa"/>
            <w:vAlign w:val="center"/>
          </w:tcPr>
          <w:p w:rsidR="00680748" w:rsidRDefault="00680748" w:rsidP="00680748">
            <w:pPr>
              <w:rPr>
                <w:rFonts w:asciiTheme="minorHAnsi" w:hAnsiTheme="minorHAnsi" w:cstheme="minorHAnsi"/>
                <w:color w:val="000000"/>
                <w:sz w:val="20"/>
                <w:szCs w:val="20"/>
              </w:rPr>
            </w:pPr>
            <w:r>
              <w:rPr>
                <w:rFonts w:asciiTheme="minorHAnsi" w:hAnsiTheme="minorHAnsi" w:cstheme="minorHAnsi"/>
                <w:sz w:val="20"/>
                <w:szCs w:val="20"/>
              </w:rPr>
              <w:t>FS-68320</w:t>
            </w:r>
          </w:p>
        </w:tc>
        <w:tc>
          <w:tcPr>
            <w:tcW w:w="4963" w:type="dxa"/>
          </w:tcPr>
          <w:p w:rsidR="00680748" w:rsidRDefault="00680748" w:rsidP="00680748">
            <w:pPr>
              <w:rPr>
                <w:rFonts w:asciiTheme="minorHAnsi" w:hAnsiTheme="minorHAnsi" w:cstheme="minorHAnsi"/>
                <w:color w:val="000000"/>
                <w:sz w:val="20"/>
                <w:szCs w:val="20"/>
              </w:rPr>
            </w:pPr>
            <w:r>
              <w:rPr>
                <w:rFonts w:asciiTheme="minorHAnsi" w:hAnsiTheme="minorHAnsi" w:cstheme="minorHAnsi"/>
                <w:color w:val="000000"/>
                <w:sz w:val="20"/>
                <w:szCs w:val="20"/>
              </w:rPr>
              <w:t>Half-Size Convection Oven</w:t>
            </w:r>
          </w:p>
        </w:tc>
      </w:tr>
      <w:tr w:rsidR="00680748" w:rsidRPr="00B551A8" w:rsidTr="00680748">
        <w:trPr>
          <w:cnfStyle w:val="000000010000" w:firstRow="0" w:lastRow="0" w:firstColumn="0" w:lastColumn="0" w:oddVBand="0" w:evenVBand="0" w:oddHBand="0" w:evenHBand="1" w:firstRowFirstColumn="0" w:firstRowLastColumn="0" w:lastRowFirstColumn="0" w:lastRowLastColumn="0"/>
          <w:trHeight w:val="243"/>
          <w:jc w:val="center"/>
        </w:trPr>
        <w:tc>
          <w:tcPr>
            <w:tcW w:w="1475" w:type="dxa"/>
            <w:vAlign w:val="center"/>
          </w:tcPr>
          <w:p w:rsidR="00680748" w:rsidRDefault="00680748" w:rsidP="00AB7554">
            <w:pPr>
              <w:rPr>
                <w:rFonts w:asciiTheme="minorHAnsi" w:hAnsiTheme="minorHAnsi" w:cstheme="minorHAnsi"/>
                <w:sz w:val="20"/>
                <w:szCs w:val="20"/>
              </w:rPr>
            </w:pPr>
            <w:r>
              <w:rPr>
                <w:rFonts w:asciiTheme="minorHAnsi" w:hAnsiTheme="minorHAnsi" w:cstheme="minorHAnsi"/>
                <w:sz w:val="20"/>
                <w:szCs w:val="20"/>
              </w:rPr>
              <w:t>FS-59869</w:t>
            </w:r>
          </w:p>
        </w:tc>
        <w:tc>
          <w:tcPr>
            <w:tcW w:w="4963" w:type="dxa"/>
          </w:tcPr>
          <w:p w:rsidR="00680748" w:rsidRDefault="00F25CAF" w:rsidP="00F25CAF">
            <w:pPr>
              <w:rPr>
                <w:rFonts w:asciiTheme="minorHAnsi" w:hAnsiTheme="minorHAnsi" w:cstheme="minorHAnsi"/>
                <w:color w:val="000000"/>
                <w:sz w:val="20"/>
                <w:szCs w:val="20"/>
              </w:rPr>
            </w:pPr>
            <w:r>
              <w:rPr>
                <w:rFonts w:asciiTheme="minorHAnsi" w:hAnsiTheme="minorHAnsi" w:cstheme="minorHAnsi"/>
                <w:color w:val="000000"/>
                <w:sz w:val="20"/>
                <w:szCs w:val="20"/>
              </w:rPr>
              <w:t xml:space="preserve">≤ 5 Pans </w:t>
            </w:r>
            <w:r w:rsidR="00680748">
              <w:rPr>
                <w:rFonts w:asciiTheme="minorHAnsi" w:hAnsiTheme="minorHAnsi" w:cstheme="minorHAnsi"/>
                <w:color w:val="000000"/>
                <w:sz w:val="20"/>
                <w:szCs w:val="20"/>
              </w:rPr>
              <w:t>Full-Size Convection Oven</w:t>
            </w:r>
          </w:p>
        </w:tc>
      </w:tr>
      <w:tr w:rsidR="00680748" w:rsidRPr="00B551A8" w:rsidTr="00680748">
        <w:trPr>
          <w:cnfStyle w:val="000000100000" w:firstRow="0" w:lastRow="0" w:firstColumn="0" w:lastColumn="0" w:oddVBand="0" w:evenVBand="0" w:oddHBand="1" w:evenHBand="0" w:firstRowFirstColumn="0" w:firstRowLastColumn="0" w:lastRowFirstColumn="0" w:lastRowLastColumn="0"/>
          <w:trHeight w:val="243"/>
          <w:jc w:val="center"/>
        </w:trPr>
        <w:tc>
          <w:tcPr>
            <w:tcW w:w="1475" w:type="dxa"/>
            <w:vAlign w:val="center"/>
          </w:tcPr>
          <w:p w:rsidR="00680748" w:rsidRDefault="00680748" w:rsidP="00AB7554">
            <w:pPr>
              <w:rPr>
                <w:rFonts w:asciiTheme="minorHAnsi" w:hAnsiTheme="minorHAnsi" w:cstheme="minorHAnsi"/>
                <w:sz w:val="20"/>
                <w:szCs w:val="20"/>
              </w:rPr>
            </w:pPr>
            <w:r>
              <w:rPr>
                <w:rFonts w:asciiTheme="minorHAnsi" w:hAnsiTheme="minorHAnsi" w:cstheme="minorHAnsi"/>
                <w:sz w:val="20"/>
                <w:szCs w:val="20"/>
              </w:rPr>
              <w:t>FS-78439</w:t>
            </w:r>
          </w:p>
        </w:tc>
        <w:tc>
          <w:tcPr>
            <w:tcW w:w="4963" w:type="dxa"/>
          </w:tcPr>
          <w:p w:rsidR="00680748" w:rsidRDefault="00F25CAF" w:rsidP="00F25CAF">
            <w:pPr>
              <w:rPr>
                <w:rFonts w:asciiTheme="minorHAnsi" w:hAnsiTheme="minorHAnsi" w:cstheme="minorHAnsi"/>
                <w:color w:val="000000"/>
                <w:sz w:val="20"/>
                <w:szCs w:val="20"/>
              </w:rPr>
            </w:pPr>
            <w:r>
              <w:rPr>
                <w:rFonts w:asciiTheme="minorHAnsi" w:hAnsiTheme="minorHAnsi" w:cstheme="minorHAnsi"/>
                <w:color w:val="000000"/>
                <w:sz w:val="20"/>
                <w:szCs w:val="20"/>
              </w:rPr>
              <w:t>&gt; 5 Pans</w:t>
            </w:r>
            <w:r w:rsidR="00680748">
              <w:rPr>
                <w:rFonts w:asciiTheme="minorHAnsi" w:hAnsiTheme="minorHAnsi" w:cstheme="minorHAnsi"/>
                <w:color w:val="000000"/>
                <w:sz w:val="20"/>
                <w:szCs w:val="20"/>
              </w:rPr>
              <w:t xml:space="preserve"> Large Full-Size Convection Oven</w:t>
            </w:r>
          </w:p>
        </w:tc>
      </w:tr>
    </w:tbl>
    <w:p w:rsidR="0031434B" w:rsidRDefault="0031434B" w:rsidP="00670049">
      <w:pPr>
        <w:rPr>
          <w:rFonts w:asciiTheme="minorHAnsi" w:hAnsiTheme="minorHAnsi" w:cstheme="minorHAnsi"/>
          <w:sz w:val="22"/>
          <w:szCs w:val="22"/>
        </w:rPr>
      </w:pPr>
    </w:p>
    <w:p w:rsidR="00AB7554" w:rsidRPr="00AB7554" w:rsidRDefault="00AB7554" w:rsidP="00670049">
      <w:pPr>
        <w:rPr>
          <w:rFonts w:asciiTheme="minorHAnsi" w:hAnsiTheme="minorHAnsi" w:cstheme="minorHAnsi"/>
          <w:b/>
          <w:sz w:val="22"/>
          <w:szCs w:val="22"/>
        </w:rPr>
      </w:pPr>
      <w:r>
        <w:rPr>
          <w:rFonts w:asciiTheme="minorHAnsi" w:hAnsiTheme="minorHAnsi" w:cstheme="minorHAnsi"/>
          <w:b/>
          <w:sz w:val="22"/>
          <w:szCs w:val="22"/>
        </w:rPr>
        <w:t>Eligibility Requirements</w:t>
      </w:r>
    </w:p>
    <w:p w:rsidR="005966A5" w:rsidRDefault="005966A5" w:rsidP="005966A5">
      <w:pPr>
        <w:pStyle w:val="Reminders"/>
        <w:numPr>
          <w:ilvl w:val="0"/>
          <w:numId w:val="15"/>
        </w:numP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half-size </w:t>
      </w:r>
      <w:r w:rsidR="0022316B">
        <w:rPr>
          <w:rFonts w:asciiTheme="minorHAnsi" w:hAnsiTheme="minorHAnsi" w:cstheme="minorHAnsi"/>
          <w:i w:val="0"/>
          <w:color w:val="auto"/>
          <w:sz w:val="22"/>
          <w:szCs w:val="22"/>
        </w:rPr>
        <w:t>convection</w:t>
      </w:r>
      <w:r>
        <w:rPr>
          <w:rFonts w:asciiTheme="minorHAnsi" w:hAnsiTheme="minorHAnsi" w:cstheme="minorHAnsi"/>
          <w:i w:val="0"/>
          <w:color w:val="auto"/>
          <w:sz w:val="22"/>
          <w:szCs w:val="22"/>
        </w:rPr>
        <w:t xml:space="preserve"> oven must meet ENERGY STAR® specifications or have a tested heavy load potato cooking energy efficiency ≥ 71% and idle rate ≤ 1.0 kW</w:t>
      </w:r>
      <w:r w:rsidR="00A904E4">
        <w:rPr>
          <w:rFonts w:asciiTheme="minorHAnsi" w:hAnsiTheme="minorHAnsi" w:cstheme="minorHAnsi"/>
          <w:i w:val="0"/>
          <w:color w:val="auto"/>
          <w:sz w:val="22"/>
          <w:szCs w:val="22"/>
        </w:rPr>
        <w:t xml:space="preserve"> utilizing ASTM Standard F1496 [287</w:t>
      </w:r>
      <w:r>
        <w:rPr>
          <w:rFonts w:asciiTheme="minorHAnsi" w:hAnsiTheme="minorHAnsi" w:cstheme="minorHAnsi"/>
          <w:i w:val="0"/>
          <w:color w:val="auto"/>
          <w:sz w:val="22"/>
          <w:szCs w:val="22"/>
        </w:rPr>
        <w:t xml:space="preserve">]. </w:t>
      </w:r>
    </w:p>
    <w:p w:rsidR="005966A5" w:rsidRDefault="005966A5" w:rsidP="005966A5">
      <w:pPr>
        <w:pStyle w:val="Reminders"/>
        <w:numPr>
          <w:ilvl w:val="0"/>
          <w:numId w:val="15"/>
        </w:numP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full-size (≤ 5 pans) </w:t>
      </w:r>
      <w:r w:rsidR="0022316B">
        <w:rPr>
          <w:rFonts w:asciiTheme="minorHAnsi" w:hAnsiTheme="minorHAnsi" w:cstheme="minorHAnsi"/>
          <w:i w:val="0"/>
          <w:color w:val="auto"/>
          <w:sz w:val="22"/>
          <w:szCs w:val="22"/>
        </w:rPr>
        <w:t>convection</w:t>
      </w:r>
      <w:r>
        <w:rPr>
          <w:rFonts w:asciiTheme="minorHAnsi" w:hAnsiTheme="minorHAnsi" w:cstheme="minorHAnsi"/>
          <w:i w:val="0"/>
          <w:color w:val="auto"/>
          <w:sz w:val="22"/>
          <w:szCs w:val="22"/>
        </w:rPr>
        <w:t xml:space="preserve"> oven must meet ENERGY STAR® specifications or have a tested heavy load potato cooking energy efficiency ≥ 71% and idle rate ≤ 1.6 kW utilizing ASTM Standard F1496. </w:t>
      </w:r>
    </w:p>
    <w:p w:rsidR="005966A5" w:rsidRDefault="005966A5" w:rsidP="005966A5">
      <w:pPr>
        <w:pStyle w:val="Reminders"/>
        <w:numPr>
          <w:ilvl w:val="0"/>
          <w:numId w:val="15"/>
        </w:numP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large full-size (&gt; 5 pans) </w:t>
      </w:r>
      <w:r w:rsidR="0022316B">
        <w:rPr>
          <w:rFonts w:asciiTheme="minorHAnsi" w:hAnsiTheme="minorHAnsi" w:cstheme="minorHAnsi"/>
          <w:i w:val="0"/>
          <w:color w:val="auto"/>
          <w:sz w:val="22"/>
          <w:szCs w:val="22"/>
        </w:rPr>
        <w:t>convection</w:t>
      </w:r>
      <w:r>
        <w:rPr>
          <w:rFonts w:asciiTheme="minorHAnsi" w:hAnsiTheme="minorHAnsi" w:cstheme="minorHAnsi"/>
          <w:i w:val="0"/>
          <w:color w:val="auto"/>
          <w:sz w:val="22"/>
          <w:szCs w:val="22"/>
        </w:rPr>
        <w:t xml:space="preserve"> oven must have a tested heavy load potato cooking energy efficiency ≥ 73% and idle rate ≤ 1.9 kW utilizing ASTM Standard F1496. </w:t>
      </w:r>
    </w:p>
    <w:p w:rsidR="0022316B" w:rsidRDefault="0022316B" w:rsidP="0022316B">
      <w:pPr>
        <w:pStyle w:val="Reminders"/>
        <w:numPr>
          <w:ilvl w:val="0"/>
          <w:numId w:val="15"/>
        </w:numP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Eligible convection ovens must be on the </w:t>
      </w:r>
      <w:r w:rsidRPr="0022316B">
        <w:rPr>
          <w:rFonts w:asciiTheme="minorHAnsi" w:hAnsiTheme="minorHAnsi" w:cstheme="minorHAnsi"/>
          <w:i w:val="0"/>
          <w:color w:val="auto"/>
          <w:sz w:val="22"/>
          <w:szCs w:val="22"/>
        </w:rPr>
        <w:t>Food Service Technology Center pre-approved list</w:t>
      </w:r>
      <w:r>
        <w:rPr>
          <w:rFonts w:asciiTheme="minorHAnsi" w:hAnsiTheme="minorHAnsi" w:cstheme="minorHAnsi"/>
          <w:i w:val="0"/>
          <w:color w:val="auto"/>
          <w:sz w:val="22"/>
          <w:szCs w:val="22"/>
        </w:rPr>
        <w:t>.</w:t>
      </w:r>
    </w:p>
    <w:p w:rsidR="00E16609" w:rsidRPr="00B551A8" w:rsidRDefault="005966A5" w:rsidP="005966A5">
      <w:pPr>
        <w:pStyle w:val="Heading2"/>
        <w:rPr>
          <w:rFonts w:asciiTheme="minorHAnsi" w:hAnsiTheme="minorHAnsi"/>
        </w:rPr>
      </w:pPr>
      <w:r w:rsidRPr="00B551A8">
        <w:rPr>
          <w:rFonts w:asciiTheme="minorHAnsi" w:hAnsiTheme="minorHAnsi"/>
        </w:rPr>
        <w:t xml:space="preserve"> </w:t>
      </w:r>
      <w:r w:rsidR="00E16609" w:rsidRPr="00B551A8">
        <w:rPr>
          <w:rFonts w:asciiTheme="minorHAnsi" w:hAnsiTheme="minorHAnsi"/>
        </w:rPr>
        <w:t>1.</w:t>
      </w:r>
      <w:r w:rsidR="00AC5309" w:rsidRPr="00B551A8">
        <w:rPr>
          <w:rFonts w:asciiTheme="minorHAnsi" w:hAnsiTheme="minorHAnsi"/>
        </w:rPr>
        <w:t>2</w:t>
      </w:r>
      <w:r w:rsidR="00E16609" w:rsidRPr="00B551A8">
        <w:rPr>
          <w:rFonts w:asciiTheme="minorHAnsi" w:hAnsiTheme="minorHAnsi"/>
        </w:rPr>
        <w:t xml:space="preserve"> </w:t>
      </w:r>
      <w:r w:rsidR="00697868" w:rsidRPr="00B551A8">
        <w:rPr>
          <w:rFonts w:asciiTheme="minorHAnsi" w:hAnsiTheme="minorHAnsi"/>
        </w:rPr>
        <w:t>Technical</w:t>
      </w:r>
      <w:r w:rsidR="00E16609" w:rsidRPr="00B551A8">
        <w:rPr>
          <w:rFonts w:asciiTheme="minorHAnsi" w:hAnsiTheme="minorHAnsi"/>
        </w:rPr>
        <w:t xml:space="preserve"> Description</w:t>
      </w:r>
    </w:p>
    <w:p w:rsidR="005966A5" w:rsidRDefault="005966A5" w:rsidP="005966A5">
      <w:pPr>
        <w:pStyle w:val="Heading3"/>
        <w:spacing w:before="0" w:after="0"/>
        <w:rPr>
          <w:rFonts w:asciiTheme="minorHAnsi" w:hAnsiTheme="minorHAnsi" w:cstheme="minorHAnsi"/>
          <w:b w:val="0"/>
          <w:bCs w:val="0"/>
          <w:sz w:val="22"/>
          <w:szCs w:val="22"/>
        </w:rPr>
      </w:pPr>
      <w:r>
        <w:rPr>
          <w:rFonts w:asciiTheme="minorHAnsi" w:hAnsiTheme="minorHAnsi" w:cstheme="minorHAnsi"/>
          <w:b w:val="0"/>
          <w:bCs w:val="0"/>
          <w:sz w:val="22"/>
          <w:szCs w:val="22"/>
        </w:rPr>
        <w:t>Commercial convection ovens are the most widely used appliances in the food service industry. Many food service operations rely heavily on the versatility of ovens. Operators can cook varieties of foods in large quantities with a single appliance. An oven can be simply described as a fully enclosed, insulated chamber used to heat food. With competition rising among equipment manufacturers, new designs that incorporate timesaving features via sophisticated control packages are being introduced.</w:t>
      </w:r>
    </w:p>
    <w:p w:rsidR="005966A5" w:rsidRDefault="005966A5" w:rsidP="005966A5">
      <w:pPr>
        <w:pStyle w:val="Heading3"/>
        <w:spacing w:before="0" w:after="0"/>
        <w:rPr>
          <w:rFonts w:asciiTheme="minorHAnsi" w:hAnsiTheme="minorHAnsi" w:cstheme="minorHAnsi"/>
          <w:b w:val="0"/>
          <w:bCs w:val="0"/>
          <w:sz w:val="22"/>
          <w:szCs w:val="22"/>
        </w:rPr>
      </w:pPr>
    </w:p>
    <w:p w:rsidR="005966A5" w:rsidRDefault="005966A5" w:rsidP="005966A5">
      <w:pPr>
        <w:pStyle w:val="Heading3"/>
        <w:spacing w:before="0" w:after="0"/>
        <w:rPr>
          <w:rFonts w:asciiTheme="minorHAnsi" w:hAnsiTheme="minorHAnsi" w:cstheme="minorHAnsi"/>
          <w:b w:val="0"/>
          <w:bCs w:val="0"/>
          <w:sz w:val="22"/>
          <w:szCs w:val="22"/>
        </w:rPr>
      </w:pPr>
      <w:r>
        <w:rPr>
          <w:rFonts w:asciiTheme="minorHAnsi" w:hAnsiTheme="minorHAnsi" w:cstheme="minorHAnsi"/>
          <w:b w:val="0"/>
          <w:bCs w:val="0"/>
          <w:sz w:val="22"/>
          <w:szCs w:val="22"/>
        </w:rPr>
        <w:t>Ovens represent the largest appliance category in terms of the types of units manufactured of any of the major cooking equipment categories. This versatility and diversity mean that they can be found in almost any type of food service operation. A recent US study showed that 95% of commercial (non-institutional) operations reported using at least one type of oven; 98% of noncommercial (institutional) operations reported the same. The percentage of operations, commercial and institutional, using general bake ovens was 52% and 56%, respectively. Fifty percent of the operations in the commercial sector reported using convection ovens as compared to 83% of noncommercial operations [</w:t>
      </w:r>
      <w:r w:rsidR="00A904E4">
        <w:rPr>
          <w:rFonts w:asciiTheme="minorHAnsi" w:hAnsiTheme="minorHAnsi" w:cstheme="minorHAnsi"/>
          <w:b w:val="0"/>
          <w:bCs w:val="0"/>
          <w:sz w:val="22"/>
          <w:szCs w:val="22"/>
        </w:rPr>
        <w:t>138</w:t>
      </w:r>
      <w:r>
        <w:rPr>
          <w:rFonts w:asciiTheme="minorHAnsi" w:hAnsiTheme="minorHAnsi" w:cstheme="minorHAnsi"/>
          <w:b w:val="0"/>
          <w:bCs w:val="0"/>
          <w:sz w:val="22"/>
          <w:szCs w:val="22"/>
        </w:rPr>
        <w:t>].</w:t>
      </w:r>
    </w:p>
    <w:p w:rsidR="005966A5" w:rsidRDefault="005966A5" w:rsidP="005966A5">
      <w:pPr>
        <w:rPr>
          <w:rFonts w:asciiTheme="minorHAnsi" w:hAnsiTheme="minorHAnsi" w:cstheme="minorHAnsi"/>
          <w:sz w:val="22"/>
          <w:szCs w:val="22"/>
        </w:rPr>
      </w:pPr>
    </w:p>
    <w:p w:rsidR="005966A5" w:rsidRDefault="005966A5" w:rsidP="005966A5">
      <w:pPr>
        <w:rPr>
          <w:rFonts w:asciiTheme="minorHAnsi" w:hAnsiTheme="minorHAnsi" w:cstheme="minorHAnsi"/>
          <w:sz w:val="22"/>
          <w:szCs w:val="22"/>
        </w:rPr>
      </w:pPr>
      <w:r>
        <w:rPr>
          <w:rFonts w:asciiTheme="minorHAnsi" w:hAnsiTheme="minorHAnsi" w:cstheme="minorHAnsi"/>
          <w:sz w:val="22"/>
          <w:szCs w:val="22"/>
        </w:rPr>
        <w:t xml:space="preserve">Convection oven performance is determined by applying the ASTM Standard Test Method for the Performance of Convection Ovens (F1496). The ASTM standard test method is considered to be the industry standard for quantifying the energy consumption, efficiency and cooking performance of convection ovens. In 2013, ASTM F1496 was updated to accommodate a wider range of oven cavity </w:t>
      </w:r>
      <w:r>
        <w:rPr>
          <w:rFonts w:asciiTheme="minorHAnsi" w:hAnsiTheme="minorHAnsi" w:cstheme="minorHAnsi"/>
          <w:sz w:val="22"/>
          <w:szCs w:val="22"/>
        </w:rPr>
        <w:lastRenderedPageBreak/>
        <w:t>sizes. The Energy Star v2.1 specification for commercial ovens now references the updated ASTM standard in addition to tightening the idle rate requirements for gas full-size convection ovens.</w:t>
      </w:r>
    </w:p>
    <w:p w:rsidR="00697868" w:rsidRPr="00B551A8" w:rsidRDefault="005966A5" w:rsidP="005966A5">
      <w:pPr>
        <w:pStyle w:val="Heading2"/>
        <w:rPr>
          <w:rFonts w:asciiTheme="minorHAnsi" w:hAnsiTheme="minorHAnsi"/>
        </w:rPr>
      </w:pPr>
      <w:r w:rsidRPr="00B551A8">
        <w:rPr>
          <w:rFonts w:asciiTheme="minorHAnsi" w:hAnsiTheme="minorHAnsi"/>
        </w:rPr>
        <w:t xml:space="preserve"> </w:t>
      </w:r>
      <w:r w:rsidR="00697868" w:rsidRPr="00B551A8">
        <w:rPr>
          <w:rFonts w:asciiTheme="minorHAnsi" w:hAnsiTheme="minorHAnsi"/>
        </w:rPr>
        <w:t>1.3 Measure Application Type</w:t>
      </w:r>
    </w:p>
    <w:p w:rsidR="00344029" w:rsidRPr="00B551A8" w:rsidRDefault="00B6061C" w:rsidP="00B6061C">
      <w:pPr>
        <w:rPr>
          <w:rFonts w:asciiTheme="minorHAnsi" w:hAnsiTheme="minorHAnsi" w:cstheme="minorHAnsi"/>
          <w:sz w:val="22"/>
          <w:szCs w:val="22"/>
        </w:rPr>
      </w:pPr>
      <w:bookmarkStart w:id="9" w:name="_Toc214003084"/>
      <w:r w:rsidRPr="00B551A8">
        <w:rPr>
          <w:rFonts w:asciiTheme="minorHAnsi" w:hAnsiTheme="minorHAnsi" w:cstheme="minorHAnsi"/>
          <w:sz w:val="22"/>
          <w:szCs w:val="22"/>
        </w:rPr>
        <w:t>The delivery method is Financial Support -</w:t>
      </w:r>
      <w:r w:rsidR="00344029" w:rsidRPr="00B551A8">
        <w:rPr>
          <w:rFonts w:asciiTheme="minorHAnsi" w:hAnsiTheme="minorHAnsi" w:cstheme="minorHAnsi"/>
          <w:sz w:val="22"/>
          <w:szCs w:val="22"/>
        </w:rPr>
        <w:t xml:space="preserve"> Down-Stream Incentive – Deemed</w:t>
      </w:r>
      <w:r w:rsidR="0057341F" w:rsidRPr="00B551A8">
        <w:rPr>
          <w:rFonts w:asciiTheme="minorHAnsi" w:hAnsiTheme="minorHAnsi" w:cstheme="minorHAnsi"/>
          <w:sz w:val="22"/>
          <w:szCs w:val="22"/>
        </w:rPr>
        <w:t>.</w:t>
      </w:r>
    </w:p>
    <w:p w:rsidR="0057341F" w:rsidRPr="00B551A8" w:rsidRDefault="0057341F" w:rsidP="00B6061C">
      <w:pPr>
        <w:rPr>
          <w:rFonts w:asciiTheme="minorHAnsi" w:hAnsiTheme="minorHAnsi" w:cstheme="minorHAnsi"/>
          <w:sz w:val="22"/>
          <w:szCs w:val="22"/>
        </w:rPr>
      </w:pPr>
    </w:p>
    <w:p w:rsidR="00B6061C" w:rsidRPr="00B551A8" w:rsidRDefault="00344029" w:rsidP="00B6061C">
      <w:pPr>
        <w:rPr>
          <w:rFonts w:asciiTheme="minorHAnsi" w:hAnsiTheme="minorHAnsi" w:cstheme="minorHAnsi"/>
          <w:sz w:val="22"/>
          <w:szCs w:val="22"/>
        </w:rPr>
      </w:pPr>
      <w:r w:rsidRPr="00B551A8">
        <w:rPr>
          <w:rFonts w:asciiTheme="minorHAnsi" w:hAnsiTheme="minorHAnsi" w:cstheme="minorHAnsi"/>
          <w:sz w:val="22"/>
          <w:szCs w:val="22"/>
        </w:rPr>
        <w:t xml:space="preserve">The install type is </w:t>
      </w:r>
      <w:r w:rsidR="0057341F" w:rsidRPr="00B551A8">
        <w:rPr>
          <w:rFonts w:asciiTheme="minorHAnsi" w:hAnsiTheme="minorHAnsi" w:cstheme="minorHAnsi"/>
          <w:sz w:val="22"/>
          <w:szCs w:val="22"/>
        </w:rPr>
        <w:t>ROB (Replace-on-B</w:t>
      </w:r>
      <w:r w:rsidR="00B6061C" w:rsidRPr="00B551A8">
        <w:rPr>
          <w:rFonts w:asciiTheme="minorHAnsi" w:hAnsiTheme="minorHAnsi" w:cstheme="minorHAnsi"/>
          <w:sz w:val="22"/>
          <w:szCs w:val="22"/>
        </w:rPr>
        <w:t>urnout).</w:t>
      </w:r>
    </w:p>
    <w:p w:rsidR="00E16609" w:rsidRPr="00B551A8" w:rsidRDefault="00824F1C" w:rsidP="00824F1C">
      <w:pPr>
        <w:pStyle w:val="Heading2"/>
        <w:rPr>
          <w:rFonts w:asciiTheme="minorHAnsi" w:hAnsiTheme="minorHAnsi" w:cstheme="minorHAnsi"/>
        </w:rPr>
      </w:pPr>
      <w:proofErr w:type="gramStart"/>
      <w:r w:rsidRPr="00B551A8">
        <w:rPr>
          <w:rFonts w:asciiTheme="minorHAnsi" w:hAnsiTheme="minorHAnsi" w:cstheme="minorHAnsi"/>
        </w:rPr>
        <w:t>1.</w:t>
      </w:r>
      <w:r w:rsidR="00697868" w:rsidRPr="00B551A8">
        <w:rPr>
          <w:rFonts w:asciiTheme="minorHAnsi" w:hAnsiTheme="minorHAnsi" w:cstheme="minorHAnsi"/>
        </w:rPr>
        <w:t>4</w:t>
      </w:r>
      <w:r w:rsidRPr="00B551A8">
        <w:rPr>
          <w:rFonts w:asciiTheme="minorHAnsi" w:hAnsiTheme="minorHAnsi" w:cstheme="minorHAnsi"/>
        </w:rPr>
        <w:t xml:space="preserve">  </w:t>
      </w:r>
      <w:r w:rsidR="00697868" w:rsidRPr="00B551A8">
        <w:rPr>
          <w:rFonts w:asciiTheme="minorHAnsi" w:hAnsiTheme="minorHAnsi" w:cstheme="minorHAnsi"/>
        </w:rPr>
        <w:t>Measure</w:t>
      </w:r>
      <w:proofErr w:type="gramEnd"/>
      <w:r w:rsidR="00697868" w:rsidRPr="00B551A8">
        <w:rPr>
          <w:rFonts w:asciiTheme="minorHAnsi" w:hAnsiTheme="minorHAnsi" w:cstheme="minorHAnsi"/>
        </w:rPr>
        <w:t xml:space="preserve"> and Base Case</w:t>
      </w:r>
      <w:r w:rsidR="00E16609" w:rsidRPr="00B551A8">
        <w:rPr>
          <w:rFonts w:asciiTheme="minorHAnsi" w:hAnsiTheme="minorHAnsi" w:cstheme="minorHAnsi"/>
        </w:rPr>
        <w:t xml:space="preserve"> </w:t>
      </w:r>
      <w:r w:rsidR="00F06CCF" w:rsidRPr="00B551A8">
        <w:rPr>
          <w:rFonts w:asciiTheme="minorHAnsi" w:hAnsiTheme="minorHAnsi" w:cstheme="minorHAnsi"/>
        </w:rPr>
        <w:t>Cost Effectiveness Data</w:t>
      </w:r>
      <w:bookmarkEnd w:id="9"/>
    </w:p>
    <w:p w:rsidR="00F06CCF" w:rsidRPr="00B551A8" w:rsidRDefault="00F06CCF" w:rsidP="00F06CCF">
      <w:pPr>
        <w:pStyle w:val="Heading3"/>
        <w:rPr>
          <w:rFonts w:asciiTheme="minorHAnsi" w:hAnsiTheme="minorHAnsi"/>
        </w:rPr>
      </w:pPr>
      <w:r w:rsidRPr="00B551A8">
        <w:rPr>
          <w:rFonts w:asciiTheme="minorHAnsi" w:hAnsiTheme="minorHAnsi"/>
        </w:rPr>
        <w:t>1.4.1 DEER Measure and Base Case Analysis</w:t>
      </w:r>
    </w:p>
    <w:p w:rsidR="008E7177" w:rsidRDefault="008E7177" w:rsidP="00344029">
      <w:pPr>
        <w:pStyle w:val="Caption"/>
        <w:jc w:val="center"/>
        <w:rPr>
          <w:rFonts w:asciiTheme="minorHAnsi" w:hAnsiTheme="minorHAnsi"/>
          <w:sz w:val="22"/>
          <w:szCs w:val="22"/>
        </w:rPr>
      </w:pPr>
    </w:p>
    <w:p w:rsidR="009E1CDE" w:rsidRPr="00B551A8" w:rsidRDefault="00344029" w:rsidP="00344029">
      <w:pPr>
        <w:pStyle w:val="Caption"/>
        <w:jc w:val="center"/>
        <w:rPr>
          <w:rFonts w:asciiTheme="minorHAnsi" w:hAnsiTheme="minorHAnsi" w:cstheme="minorHAnsi"/>
          <w:sz w:val="22"/>
          <w:szCs w:val="22"/>
        </w:rPr>
      </w:pPr>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D6511">
        <w:rPr>
          <w:rFonts w:asciiTheme="minorHAnsi" w:hAnsiTheme="minorHAnsi"/>
          <w:noProof/>
          <w:sz w:val="22"/>
          <w:szCs w:val="22"/>
        </w:rPr>
        <w:t>2</w:t>
      </w:r>
      <w:r w:rsidRPr="00B551A8">
        <w:rPr>
          <w:rFonts w:asciiTheme="minorHAnsi" w:hAnsiTheme="minorHAnsi"/>
          <w:sz w:val="22"/>
          <w:szCs w:val="22"/>
        </w:rPr>
        <w:fldChar w:fldCharType="end"/>
      </w:r>
      <w:r w:rsidRPr="00B551A8">
        <w:rPr>
          <w:rFonts w:asciiTheme="minorHAnsi" w:hAnsiTheme="minorHAnsi"/>
          <w:sz w:val="22"/>
          <w:szCs w:val="22"/>
        </w:rPr>
        <w:t xml:space="preserve"> </w:t>
      </w:r>
      <w:r w:rsidR="009E1CDE" w:rsidRPr="00B551A8">
        <w:rPr>
          <w:rFonts w:asciiTheme="minorHAnsi" w:hAnsiTheme="minorHAnsi" w:cstheme="minorHAnsi"/>
          <w:sz w:val="22"/>
          <w:szCs w:val="22"/>
        </w:rPr>
        <w:t xml:space="preserve">DEER Difference </w:t>
      </w:r>
      <w:r w:rsidR="00E81F3E" w:rsidRPr="00B551A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B551A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B551A8" w:rsidRDefault="006D2809" w:rsidP="00602799">
            <w:pPr>
              <w:jc w:val="center"/>
              <w:rPr>
                <w:rFonts w:asciiTheme="minorHAnsi" w:hAnsiTheme="minorHAnsi" w:cstheme="minorHAnsi"/>
                <w:sz w:val="20"/>
                <w:szCs w:val="20"/>
              </w:rPr>
            </w:pPr>
            <w:r w:rsidRPr="00B551A8">
              <w:rPr>
                <w:rFonts w:asciiTheme="minorHAnsi" w:hAnsiTheme="minorHAnsi" w:cstheme="minorHAnsi"/>
                <w:sz w:val="20"/>
                <w:szCs w:val="20"/>
              </w:rPr>
              <w:t>DEER Difference Summary Table</w:t>
            </w:r>
          </w:p>
        </w:tc>
      </w:tr>
      <w:tr w:rsidR="0046286E" w:rsidRPr="00B551A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B551A8" w:rsidRDefault="0046286E" w:rsidP="00447CE5">
            <w:pPr>
              <w:rPr>
                <w:rFonts w:asciiTheme="minorHAnsi" w:hAnsiTheme="minorHAnsi" w:cstheme="minorHAnsi"/>
                <w:sz w:val="20"/>
                <w:szCs w:val="20"/>
              </w:rPr>
            </w:pPr>
            <w:r w:rsidRPr="00B551A8">
              <w:rPr>
                <w:rFonts w:asciiTheme="minorHAnsi" w:hAnsiTheme="minorHAnsi" w:cstheme="minorHAnsi"/>
                <w:sz w:val="20"/>
                <w:szCs w:val="20"/>
              </w:rPr>
              <w:t xml:space="preserve">Modified DEER </w:t>
            </w:r>
            <w:r w:rsidR="00D36798" w:rsidRPr="00B551A8">
              <w:rPr>
                <w:rFonts w:asciiTheme="minorHAnsi" w:hAnsiTheme="minorHAnsi" w:cstheme="minorHAnsi"/>
                <w:sz w:val="20"/>
                <w:szCs w:val="20"/>
              </w:rPr>
              <w:t>Methodology</w:t>
            </w:r>
          </w:p>
        </w:tc>
        <w:tc>
          <w:tcPr>
            <w:tcW w:w="5513" w:type="dxa"/>
            <w:vAlign w:val="center"/>
          </w:tcPr>
          <w:p w:rsidR="0046286E" w:rsidRPr="00B551A8" w:rsidRDefault="0046286E" w:rsidP="0088603B">
            <w:pPr>
              <w:jc w:val="center"/>
              <w:rPr>
                <w:rFonts w:asciiTheme="minorHAnsi" w:hAnsiTheme="minorHAnsi" w:cstheme="minorHAnsi"/>
                <w:b/>
                <w:sz w:val="20"/>
                <w:szCs w:val="20"/>
              </w:rPr>
            </w:pPr>
            <w:r w:rsidRPr="00B551A8">
              <w:rPr>
                <w:rFonts w:asciiTheme="minorHAnsi" w:hAnsiTheme="minorHAnsi" w:cstheme="minorHAnsi"/>
                <w:sz w:val="20"/>
                <w:szCs w:val="20"/>
              </w:rPr>
              <w:t>No</w:t>
            </w:r>
          </w:p>
        </w:tc>
      </w:tr>
      <w:tr w:rsidR="00447CE5" w:rsidRPr="00B551A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B551A8" w:rsidRDefault="00447CE5" w:rsidP="00E81F3E">
            <w:pPr>
              <w:rPr>
                <w:rFonts w:asciiTheme="minorHAnsi" w:hAnsiTheme="minorHAnsi" w:cstheme="minorHAnsi"/>
                <w:sz w:val="20"/>
                <w:szCs w:val="20"/>
              </w:rPr>
            </w:pPr>
            <w:r w:rsidRPr="00B551A8">
              <w:rPr>
                <w:rFonts w:asciiTheme="minorHAnsi" w:hAnsiTheme="minorHAnsi" w:cstheme="minorHAnsi"/>
                <w:sz w:val="20"/>
                <w:szCs w:val="20"/>
              </w:rPr>
              <w:t>Scaled DEER Measure</w:t>
            </w:r>
          </w:p>
        </w:tc>
        <w:tc>
          <w:tcPr>
            <w:tcW w:w="5513" w:type="dxa"/>
            <w:vAlign w:val="center"/>
          </w:tcPr>
          <w:p w:rsidR="00447CE5" w:rsidRPr="00B551A8" w:rsidRDefault="00447CE5" w:rsidP="00E81F3E">
            <w:pPr>
              <w:jc w:val="center"/>
              <w:rPr>
                <w:rFonts w:asciiTheme="minorHAnsi" w:hAnsiTheme="minorHAnsi" w:cstheme="minorHAnsi"/>
                <w:sz w:val="20"/>
                <w:szCs w:val="20"/>
              </w:rPr>
            </w:pPr>
            <w:r w:rsidRPr="00B551A8">
              <w:rPr>
                <w:rFonts w:asciiTheme="minorHAnsi" w:hAnsiTheme="minorHAnsi" w:cstheme="minorHAnsi"/>
                <w:sz w:val="20"/>
                <w:szCs w:val="20"/>
              </w:rPr>
              <w:t>No</w:t>
            </w:r>
          </w:p>
        </w:tc>
      </w:tr>
      <w:tr w:rsidR="00E81F3E" w:rsidRPr="00B551A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DEER Building Prototypes Used</w:t>
            </w:r>
          </w:p>
        </w:tc>
        <w:tc>
          <w:tcPr>
            <w:tcW w:w="5513" w:type="dxa"/>
            <w:vAlign w:val="center"/>
          </w:tcPr>
          <w:p w:rsidR="00E81F3E" w:rsidRPr="00B551A8" w:rsidRDefault="00E81F3E" w:rsidP="00E81F3E">
            <w:pPr>
              <w:jc w:val="center"/>
              <w:rPr>
                <w:rFonts w:asciiTheme="minorHAnsi" w:hAnsiTheme="minorHAnsi" w:cstheme="minorHAnsi"/>
                <w:sz w:val="20"/>
                <w:szCs w:val="20"/>
              </w:rPr>
            </w:pPr>
            <w:r w:rsidRPr="00B551A8">
              <w:rPr>
                <w:rFonts w:asciiTheme="minorHAnsi" w:hAnsiTheme="minorHAnsi" w:cstheme="minorHAnsi"/>
                <w:sz w:val="20"/>
                <w:szCs w:val="20"/>
              </w:rPr>
              <w:t>No</w:t>
            </w:r>
          </w:p>
        </w:tc>
      </w:tr>
      <w:tr w:rsidR="00E81F3E" w:rsidRPr="00B551A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Deviation from DEER</w:t>
            </w:r>
          </w:p>
        </w:tc>
        <w:tc>
          <w:tcPr>
            <w:tcW w:w="5513" w:type="dxa"/>
            <w:vAlign w:val="center"/>
          </w:tcPr>
          <w:p w:rsidR="00E81F3E" w:rsidRPr="00B551A8" w:rsidRDefault="00B6061C" w:rsidP="00E81F3E">
            <w:pPr>
              <w:jc w:val="center"/>
              <w:rPr>
                <w:rFonts w:asciiTheme="minorHAnsi" w:hAnsiTheme="minorHAnsi" w:cstheme="minorHAnsi"/>
                <w:sz w:val="20"/>
                <w:szCs w:val="20"/>
              </w:rPr>
            </w:pPr>
            <w:r w:rsidRPr="00B551A8">
              <w:rPr>
                <w:rFonts w:asciiTheme="minorHAnsi" w:hAnsiTheme="minorHAnsi" w:cstheme="minorHAnsi"/>
                <w:sz w:val="20"/>
                <w:szCs w:val="20"/>
              </w:rPr>
              <w:t>DEER does not contain this measure</w:t>
            </w:r>
          </w:p>
        </w:tc>
      </w:tr>
      <w:tr w:rsidR="00E81F3E" w:rsidRPr="00B551A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DEER Version</w:t>
            </w:r>
          </w:p>
        </w:tc>
        <w:tc>
          <w:tcPr>
            <w:tcW w:w="5513" w:type="dxa"/>
            <w:vAlign w:val="center"/>
          </w:tcPr>
          <w:p w:rsidR="00E81F3E" w:rsidRPr="00B551A8" w:rsidRDefault="00E81F3E" w:rsidP="00D36798">
            <w:pPr>
              <w:jc w:val="center"/>
              <w:rPr>
                <w:rFonts w:asciiTheme="minorHAnsi" w:hAnsiTheme="minorHAnsi" w:cstheme="minorHAnsi"/>
                <w:sz w:val="20"/>
                <w:szCs w:val="20"/>
              </w:rPr>
            </w:pPr>
            <w:r w:rsidRPr="00B551A8">
              <w:rPr>
                <w:rFonts w:asciiTheme="minorHAnsi" w:hAnsiTheme="minorHAnsi" w:cstheme="minorHAnsi"/>
                <w:sz w:val="20"/>
                <w:szCs w:val="20"/>
              </w:rPr>
              <w:t>N/A</w:t>
            </w:r>
          </w:p>
        </w:tc>
      </w:tr>
      <w:tr w:rsidR="00E81F3E" w:rsidRPr="00B551A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DEER Run ID and Measure Name (Sample)</w:t>
            </w:r>
          </w:p>
        </w:tc>
        <w:tc>
          <w:tcPr>
            <w:tcW w:w="5513" w:type="dxa"/>
            <w:vAlign w:val="center"/>
          </w:tcPr>
          <w:p w:rsidR="00E81F3E" w:rsidRPr="00B551A8" w:rsidRDefault="00B6061C" w:rsidP="00E81F3E">
            <w:pPr>
              <w:jc w:val="center"/>
              <w:rPr>
                <w:rFonts w:asciiTheme="minorHAnsi" w:hAnsiTheme="minorHAnsi" w:cstheme="minorHAnsi"/>
                <w:sz w:val="20"/>
                <w:szCs w:val="20"/>
              </w:rPr>
            </w:pPr>
            <w:r w:rsidRPr="00B551A8">
              <w:rPr>
                <w:rFonts w:asciiTheme="minorHAnsi" w:hAnsiTheme="minorHAnsi" w:cstheme="minorHAnsi"/>
                <w:sz w:val="20"/>
                <w:szCs w:val="20"/>
              </w:rPr>
              <w:t>N/A</w:t>
            </w:r>
          </w:p>
        </w:tc>
      </w:tr>
    </w:tbl>
    <w:p w:rsidR="000968C6" w:rsidRPr="00B551A8" w:rsidRDefault="000968C6" w:rsidP="000968C6">
      <w:pPr>
        <w:pStyle w:val="Reminders"/>
        <w:rPr>
          <w:rFonts w:asciiTheme="minorHAnsi" w:hAnsiTheme="minorHAnsi" w:cstheme="minorHAnsi"/>
          <w:color w:val="auto"/>
          <w:sz w:val="22"/>
          <w:szCs w:val="22"/>
        </w:rPr>
      </w:pPr>
      <w:bookmarkStart w:id="10" w:name="_Toc214003087"/>
    </w:p>
    <w:p w:rsidR="000968C6" w:rsidRPr="00B551A8" w:rsidRDefault="000968C6" w:rsidP="000968C6">
      <w:pPr>
        <w:pStyle w:val="Reminders"/>
        <w:rPr>
          <w:rFonts w:asciiTheme="minorHAnsi" w:hAnsiTheme="minorHAnsi" w:cstheme="minorHAnsi"/>
          <w:b/>
          <w:i w:val="0"/>
          <w:color w:val="auto"/>
          <w:sz w:val="22"/>
          <w:szCs w:val="22"/>
        </w:rPr>
      </w:pPr>
      <w:r w:rsidRPr="00B551A8">
        <w:rPr>
          <w:rFonts w:asciiTheme="minorHAnsi" w:hAnsiTheme="minorHAnsi" w:cstheme="minorHAnsi"/>
          <w:b/>
          <w:i w:val="0"/>
          <w:color w:val="auto"/>
          <w:sz w:val="22"/>
          <w:szCs w:val="22"/>
        </w:rPr>
        <w:t>Net to Gross</w:t>
      </w:r>
    </w:p>
    <w:p w:rsidR="000968C6" w:rsidRPr="00B551A8" w:rsidRDefault="000968C6" w:rsidP="000968C6">
      <w:pPr>
        <w:rPr>
          <w:rFonts w:asciiTheme="minorHAnsi" w:hAnsiTheme="minorHAnsi" w:cstheme="minorHAnsi"/>
          <w:sz w:val="22"/>
          <w:szCs w:val="22"/>
        </w:rPr>
      </w:pPr>
      <w:r w:rsidRPr="00B551A8">
        <w:rPr>
          <w:rFonts w:asciiTheme="minorHAnsi" w:hAnsiTheme="minorHAnsi" w:cstheme="minorHAnsi"/>
          <w:sz w:val="22"/>
          <w:szCs w:val="22"/>
        </w:rPr>
        <w:t xml:space="preserve">The NTG value was obtained from the “DEER2011_NTGR_2012-05-16.xls” on the DEER website as required by Version </w:t>
      </w:r>
      <w:r w:rsidR="006B4A48" w:rsidRPr="00B551A8">
        <w:rPr>
          <w:rFonts w:asciiTheme="minorHAnsi" w:hAnsiTheme="minorHAnsi" w:cstheme="minorHAnsi"/>
          <w:sz w:val="22"/>
          <w:szCs w:val="22"/>
        </w:rPr>
        <w:t>5</w:t>
      </w:r>
      <w:r w:rsidRPr="00B551A8">
        <w:rPr>
          <w:rFonts w:asciiTheme="minorHAnsi" w:hAnsiTheme="minorHAnsi" w:cstheme="minorHAnsi"/>
          <w:sz w:val="22"/>
          <w:szCs w:val="22"/>
        </w:rPr>
        <w:t xml:space="preserve"> of the California Public Utilities Commission (CPUC) Energy Efficiency Policy Manual </w:t>
      </w:r>
      <w:r w:rsidR="009138A0" w:rsidRPr="00B551A8">
        <w:rPr>
          <w:rFonts w:asciiTheme="minorHAnsi" w:hAnsiTheme="minorHAnsi" w:cstheme="minorHAnsi"/>
          <w:sz w:val="22"/>
          <w:szCs w:val="22"/>
        </w:rPr>
        <w:t>[351]</w:t>
      </w:r>
      <w:r w:rsidRPr="00B551A8">
        <w:rPr>
          <w:rFonts w:asciiTheme="minorHAnsi" w:hAnsiTheme="minorHAnsi" w:cstheme="minorHAnsi"/>
          <w:sz w:val="22"/>
          <w:szCs w:val="22"/>
        </w:rPr>
        <w:t>. The relevant NTGR for this measure is shown in</w:t>
      </w:r>
      <w:r w:rsidR="00344029" w:rsidRPr="00B551A8">
        <w:rPr>
          <w:rFonts w:asciiTheme="minorHAnsi" w:hAnsiTheme="minorHAnsi" w:cstheme="minorHAnsi"/>
          <w:sz w:val="22"/>
          <w:szCs w:val="22"/>
        </w:rPr>
        <w:t xml:space="preserve"> </w:t>
      </w:r>
      <w:r w:rsidR="00344029" w:rsidRPr="00B551A8">
        <w:rPr>
          <w:rFonts w:asciiTheme="minorHAnsi" w:hAnsiTheme="minorHAnsi" w:cstheme="minorHAnsi"/>
          <w:sz w:val="22"/>
          <w:szCs w:val="22"/>
        </w:rPr>
        <w:fldChar w:fldCharType="begin"/>
      </w:r>
      <w:r w:rsidR="00344029" w:rsidRPr="00B551A8">
        <w:rPr>
          <w:rFonts w:asciiTheme="minorHAnsi" w:hAnsiTheme="minorHAnsi" w:cstheme="minorHAnsi"/>
          <w:sz w:val="22"/>
          <w:szCs w:val="22"/>
        </w:rPr>
        <w:instrText xml:space="preserve"> REF _Ref390773466 \h </w:instrText>
      </w:r>
      <w:r w:rsidR="00C5179F" w:rsidRPr="00B551A8">
        <w:rPr>
          <w:rFonts w:asciiTheme="minorHAnsi" w:hAnsiTheme="minorHAnsi" w:cstheme="minorHAnsi"/>
          <w:sz w:val="22"/>
          <w:szCs w:val="22"/>
        </w:rPr>
        <w:instrText xml:space="preserve"> \* MERGEFORMAT </w:instrText>
      </w:r>
      <w:r w:rsidR="00344029" w:rsidRPr="00B551A8">
        <w:rPr>
          <w:rFonts w:asciiTheme="minorHAnsi" w:hAnsiTheme="minorHAnsi" w:cstheme="minorHAnsi"/>
          <w:sz w:val="22"/>
          <w:szCs w:val="22"/>
        </w:rPr>
      </w:r>
      <w:r w:rsidR="00344029" w:rsidRPr="00B551A8">
        <w:rPr>
          <w:rFonts w:asciiTheme="minorHAnsi" w:hAnsiTheme="minorHAnsi" w:cstheme="minorHAnsi"/>
          <w:sz w:val="22"/>
          <w:szCs w:val="22"/>
        </w:rPr>
        <w:fldChar w:fldCharType="separate"/>
      </w:r>
      <w:r w:rsidR="00BD6511" w:rsidRPr="00B551A8">
        <w:rPr>
          <w:rFonts w:asciiTheme="minorHAnsi" w:hAnsiTheme="minorHAnsi"/>
          <w:sz w:val="22"/>
          <w:szCs w:val="22"/>
        </w:rPr>
        <w:t xml:space="preserve">Table </w:t>
      </w:r>
      <w:r w:rsidR="00BD6511">
        <w:rPr>
          <w:rFonts w:asciiTheme="minorHAnsi" w:hAnsiTheme="minorHAnsi"/>
          <w:noProof/>
          <w:sz w:val="22"/>
          <w:szCs w:val="22"/>
        </w:rPr>
        <w:t>3</w:t>
      </w:r>
      <w:r w:rsidR="00344029"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below.</w:t>
      </w:r>
    </w:p>
    <w:p w:rsidR="000968C6" w:rsidRPr="00B551A8" w:rsidRDefault="000968C6" w:rsidP="000968C6">
      <w:pPr>
        <w:rPr>
          <w:rFonts w:asciiTheme="minorHAnsi" w:hAnsiTheme="minorHAnsi" w:cstheme="minorHAnsi"/>
          <w:sz w:val="22"/>
          <w:szCs w:val="22"/>
        </w:rPr>
      </w:pPr>
    </w:p>
    <w:p w:rsidR="000968C6" w:rsidRPr="00B551A8" w:rsidRDefault="00344029" w:rsidP="00344029">
      <w:pPr>
        <w:pStyle w:val="Caption"/>
        <w:jc w:val="center"/>
        <w:rPr>
          <w:rFonts w:asciiTheme="minorHAnsi" w:hAnsiTheme="minorHAnsi" w:cstheme="minorHAnsi"/>
          <w:sz w:val="22"/>
          <w:szCs w:val="22"/>
        </w:rPr>
      </w:pPr>
      <w:bookmarkStart w:id="11" w:name="_Ref390773466"/>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D6511">
        <w:rPr>
          <w:rFonts w:asciiTheme="minorHAnsi" w:hAnsiTheme="minorHAnsi"/>
          <w:noProof/>
          <w:sz w:val="22"/>
          <w:szCs w:val="22"/>
        </w:rPr>
        <w:t>3</w:t>
      </w:r>
      <w:r w:rsidRPr="00B551A8">
        <w:rPr>
          <w:rFonts w:asciiTheme="minorHAnsi" w:hAnsiTheme="minorHAnsi"/>
          <w:sz w:val="22"/>
          <w:szCs w:val="22"/>
        </w:rPr>
        <w:fldChar w:fldCharType="end"/>
      </w:r>
      <w:bookmarkEnd w:id="11"/>
      <w:r w:rsidRPr="00B551A8">
        <w:rPr>
          <w:rFonts w:asciiTheme="minorHAnsi" w:hAnsiTheme="minorHAnsi"/>
          <w:sz w:val="22"/>
          <w:szCs w:val="22"/>
        </w:rPr>
        <w:t xml:space="preserve"> </w:t>
      </w:r>
      <w:r w:rsidR="000968C6" w:rsidRPr="00B551A8">
        <w:rPr>
          <w:rFonts w:asciiTheme="minorHAnsi" w:hAnsiTheme="minorHAnsi" w:cstheme="minorHAnsi"/>
          <w:sz w:val="22"/>
          <w:szCs w:val="22"/>
        </w:rPr>
        <w:t>Net-to-Gross Ratio</w:t>
      </w:r>
    </w:p>
    <w:tbl>
      <w:tblPr>
        <w:tblStyle w:val="TableContemporary"/>
        <w:tblW w:w="4681" w:type="pct"/>
        <w:jc w:val="center"/>
        <w:tblInd w:w="611" w:type="dxa"/>
        <w:tblLook w:val="01E0" w:firstRow="1" w:lastRow="1" w:firstColumn="1" w:lastColumn="1" w:noHBand="0" w:noVBand="0"/>
      </w:tblPr>
      <w:tblGrid>
        <w:gridCol w:w="1513"/>
        <w:gridCol w:w="2304"/>
        <w:gridCol w:w="1399"/>
        <w:gridCol w:w="1718"/>
        <w:gridCol w:w="1278"/>
        <w:gridCol w:w="753"/>
      </w:tblGrid>
      <w:tr w:rsidR="003225E4" w:rsidRPr="00B551A8" w:rsidTr="003225E4">
        <w:trPr>
          <w:cnfStyle w:val="100000000000" w:firstRow="1" w:lastRow="0" w:firstColumn="0" w:lastColumn="0" w:oddVBand="0" w:evenVBand="0" w:oddHBand="0" w:evenHBand="0" w:firstRowFirstColumn="0" w:firstRowLastColumn="0" w:lastRowFirstColumn="0" w:lastRowLastColumn="0"/>
          <w:jc w:val="center"/>
        </w:trPr>
        <w:tc>
          <w:tcPr>
            <w:tcW w:w="844"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NTGR_ID*</w:t>
            </w:r>
          </w:p>
        </w:tc>
        <w:tc>
          <w:tcPr>
            <w:tcW w:w="1285"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Description*</w:t>
            </w:r>
          </w:p>
        </w:tc>
        <w:tc>
          <w:tcPr>
            <w:tcW w:w="780"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Sector*</w:t>
            </w:r>
          </w:p>
        </w:tc>
        <w:tc>
          <w:tcPr>
            <w:tcW w:w="958"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BldgType*</w:t>
            </w:r>
          </w:p>
        </w:tc>
        <w:tc>
          <w:tcPr>
            <w:tcW w:w="713" w:type="pct"/>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ProgDelivID</w:t>
            </w:r>
          </w:p>
        </w:tc>
        <w:tc>
          <w:tcPr>
            <w:tcW w:w="420"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NTG*</w:t>
            </w:r>
          </w:p>
        </w:tc>
      </w:tr>
      <w:tr w:rsidR="003225E4" w:rsidRPr="00B551A8" w:rsidTr="003225E4">
        <w:trPr>
          <w:cnfStyle w:val="000000100000" w:firstRow="0" w:lastRow="0" w:firstColumn="0" w:lastColumn="0" w:oddVBand="0" w:evenVBand="0" w:oddHBand="1" w:evenHBand="0" w:firstRowFirstColumn="0" w:firstRowLastColumn="0" w:lastRowFirstColumn="0" w:lastRowLastColumn="0"/>
          <w:jc w:val="center"/>
        </w:trPr>
        <w:tc>
          <w:tcPr>
            <w:tcW w:w="844" w:type="pct"/>
            <w:vAlign w:val="center"/>
          </w:tcPr>
          <w:p w:rsidR="000968C6" w:rsidRPr="00B551A8" w:rsidRDefault="001A5C35" w:rsidP="009824E9">
            <w:pPr>
              <w:jc w:val="center"/>
              <w:rPr>
                <w:rFonts w:asciiTheme="minorHAnsi" w:hAnsiTheme="minorHAnsi" w:cstheme="minorHAnsi"/>
                <w:sz w:val="20"/>
                <w:szCs w:val="20"/>
              </w:rPr>
            </w:pPr>
            <w:r w:rsidRPr="00B551A8">
              <w:rPr>
                <w:rFonts w:asciiTheme="minorHAnsi" w:hAnsiTheme="minorHAnsi" w:cstheme="minorHAnsi"/>
                <w:sz w:val="20"/>
                <w:szCs w:val="20"/>
              </w:rPr>
              <w:t>Com-Default&gt;2yrs</w:t>
            </w:r>
          </w:p>
        </w:tc>
        <w:tc>
          <w:tcPr>
            <w:tcW w:w="1285" w:type="pct"/>
            <w:vAlign w:val="center"/>
          </w:tcPr>
          <w:p w:rsidR="000968C6" w:rsidRPr="00B551A8" w:rsidRDefault="00A2134C" w:rsidP="009824E9">
            <w:pPr>
              <w:jc w:val="center"/>
              <w:rPr>
                <w:rFonts w:asciiTheme="minorHAnsi" w:hAnsiTheme="minorHAnsi" w:cstheme="minorHAnsi"/>
                <w:sz w:val="20"/>
                <w:szCs w:val="20"/>
              </w:rPr>
            </w:pPr>
            <w:r w:rsidRPr="00B551A8">
              <w:rPr>
                <w:rFonts w:asciiTheme="minorHAnsi" w:hAnsiTheme="minorHAnsi" w:cstheme="minorHAnsi"/>
                <w:sz w:val="20"/>
                <w:szCs w:val="20"/>
              </w:rPr>
              <w:t>All other EEMs with no evaluated NTGR; existing EEM in programs with same delivery mechanism for more than 2 years</w:t>
            </w:r>
          </w:p>
        </w:tc>
        <w:tc>
          <w:tcPr>
            <w:tcW w:w="780"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Com</w:t>
            </w:r>
          </w:p>
        </w:tc>
        <w:tc>
          <w:tcPr>
            <w:tcW w:w="958"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713" w:type="pct"/>
            <w:vAlign w:val="center"/>
          </w:tcPr>
          <w:p w:rsidR="000968C6" w:rsidRPr="00B551A8" w:rsidRDefault="00CE4D61" w:rsidP="009824E9">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420" w:type="pct"/>
            <w:vAlign w:val="center"/>
          </w:tcPr>
          <w:p w:rsidR="000968C6" w:rsidRPr="00B551A8" w:rsidRDefault="00A2134C" w:rsidP="009824E9">
            <w:pPr>
              <w:jc w:val="center"/>
              <w:rPr>
                <w:rFonts w:asciiTheme="minorHAnsi" w:hAnsiTheme="minorHAnsi" w:cstheme="minorHAnsi"/>
                <w:sz w:val="20"/>
                <w:szCs w:val="20"/>
              </w:rPr>
            </w:pPr>
            <w:r w:rsidRPr="00B551A8">
              <w:rPr>
                <w:rFonts w:asciiTheme="minorHAnsi" w:hAnsiTheme="minorHAnsi" w:cstheme="minorHAnsi"/>
                <w:sz w:val="20"/>
                <w:szCs w:val="20"/>
              </w:rPr>
              <w:t>0.6</w:t>
            </w:r>
          </w:p>
        </w:tc>
      </w:tr>
      <w:tr w:rsidR="0022316B" w:rsidRPr="00B551A8" w:rsidTr="003225E4">
        <w:trPr>
          <w:cnfStyle w:val="000000010000" w:firstRow="0" w:lastRow="0" w:firstColumn="0" w:lastColumn="0" w:oddVBand="0" w:evenVBand="0" w:oddHBand="0" w:evenHBand="1" w:firstRowFirstColumn="0" w:firstRowLastColumn="0" w:lastRowFirstColumn="0" w:lastRowLastColumn="0"/>
          <w:jc w:val="center"/>
        </w:trPr>
        <w:tc>
          <w:tcPr>
            <w:tcW w:w="844" w:type="pct"/>
            <w:vAlign w:val="center"/>
          </w:tcPr>
          <w:p w:rsidR="0022316B" w:rsidRPr="00B551A8" w:rsidRDefault="0022316B" w:rsidP="0022316B">
            <w:pPr>
              <w:jc w:val="center"/>
              <w:rPr>
                <w:rFonts w:asciiTheme="minorHAnsi" w:hAnsiTheme="minorHAnsi" w:cstheme="minorHAnsi"/>
                <w:sz w:val="20"/>
                <w:szCs w:val="20"/>
              </w:rPr>
            </w:pPr>
            <w:r>
              <w:rPr>
                <w:rFonts w:asciiTheme="minorHAnsi" w:hAnsiTheme="minorHAnsi" w:cstheme="minorHAnsi"/>
                <w:sz w:val="20"/>
                <w:szCs w:val="20"/>
              </w:rPr>
              <w:t>Ind</w:t>
            </w:r>
            <w:r w:rsidRPr="00B551A8">
              <w:rPr>
                <w:rFonts w:asciiTheme="minorHAnsi" w:hAnsiTheme="minorHAnsi" w:cstheme="minorHAnsi"/>
                <w:sz w:val="20"/>
                <w:szCs w:val="20"/>
              </w:rPr>
              <w:t>-Default&gt;2yrs</w:t>
            </w:r>
          </w:p>
        </w:tc>
        <w:tc>
          <w:tcPr>
            <w:tcW w:w="1285" w:type="pct"/>
            <w:vAlign w:val="center"/>
          </w:tcPr>
          <w:p w:rsidR="0022316B" w:rsidRPr="00B551A8" w:rsidRDefault="0022316B" w:rsidP="0022316B">
            <w:pPr>
              <w:jc w:val="center"/>
              <w:rPr>
                <w:rFonts w:asciiTheme="minorHAnsi" w:hAnsiTheme="minorHAnsi" w:cstheme="minorHAnsi"/>
                <w:sz w:val="20"/>
                <w:szCs w:val="20"/>
              </w:rPr>
            </w:pPr>
            <w:r w:rsidRPr="00B551A8">
              <w:rPr>
                <w:rFonts w:asciiTheme="minorHAnsi" w:hAnsiTheme="minorHAnsi" w:cstheme="minorHAnsi"/>
                <w:sz w:val="20"/>
                <w:szCs w:val="20"/>
              </w:rPr>
              <w:t>All other EEMs with no evaluated NTGR; existing EEM in programs with same delivery mechanism for more than 2 years</w:t>
            </w:r>
          </w:p>
        </w:tc>
        <w:tc>
          <w:tcPr>
            <w:tcW w:w="780" w:type="pct"/>
            <w:vAlign w:val="center"/>
          </w:tcPr>
          <w:p w:rsidR="0022316B" w:rsidRPr="00B551A8" w:rsidRDefault="0022316B" w:rsidP="0022316B">
            <w:pPr>
              <w:jc w:val="center"/>
              <w:rPr>
                <w:rFonts w:asciiTheme="minorHAnsi" w:hAnsiTheme="minorHAnsi" w:cstheme="minorHAnsi"/>
                <w:sz w:val="20"/>
                <w:szCs w:val="20"/>
              </w:rPr>
            </w:pPr>
            <w:r>
              <w:rPr>
                <w:rFonts w:asciiTheme="minorHAnsi" w:hAnsiTheme="minorHAnsi" w:cstheme="minorHAnsi"/>
                <w:sz w:val="20"/>
                <w:szCs w:val="20"/>
              </w:rPr>
              <w:t>Ind</w:t>
            </w:r>
          </w:p>
        </w:tc>
        <w:tc>
          <w:tcPr>
            <w:tcW w:w="958" w:type="pct"/>
            <w:vAlign w:val="center"/>
          </w:tcPr>
          <w:p w:rsidR="0022316B" w:rsidRPr="00B551A8" w:rsidRDefault="0022316B" w:rsidP="0022316B">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713" w:type="pct"/>
            <w:vAlign w:val="center"/>
          </w:tcPr>
          <w:p w:rsidR="0022316B" w:rsidRPr="00B551A8" w:rsidRDefault="0022316B" w:rsidP="0022316B">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420" w:type="pct"/>
            <w:vAlign w:val="center"/>
          </w:tcPr>
          <w:p w:rsidR="0022316B" w:rsidRPr="00B551A8" w:rsidRDefault="0022316B" w:rsidP="0022316B">
            <w:pPr>
              <w:jc w:val="center"/>
              <w:rPr>
                <w:rFonts w:asciiTheme="minorHAnsi" w:hAnsiTheme="minorHAnsi" w:cstheme="minorHAnsi"/>
                <w:sz w:val="20"/>
                <w:szCs w:val="20"/>
              </w:rPr>
            </w:pPr>
            <w:r w:rsidRPr="00B551A8">
              <w:rPr>
                <w:rFonts w:asciiTheme="minorHAnsi" w:hAnsiTheme="minorHAnsi" w:cstheme="minorHAnsi"/>
                <w:sz w:val="20"/>
                <w:szCs w:val="20"/>
              </w:rPr>
              <w:t>0.6</w:t>
            </w:r>
          </w:p>
        </w:tc>
      </w:tr>
    </w:tbl>
    <w:p w:rsidR="000968C6" w:rsidRPr="00B551A8" w:rsidRDefault="000968C6" w:rsidP="000968C6">
      <w:pPr>
        <w:ind w:firstLine="720"/>
        <w:rPr>
          <w:rFonts w:asciiTheme="minorHAnsi" w:hAnsiTheme="minorHAnsi" w:cstheme="minorHAnsi"/>
          <w:sz w:val="20"/>
          <w:szCs w:val="20"/>
        </w:rPr>
      </w:pPr>
      <w:r w:rsidRPr="00B551A8">
        <w:rPr>
          <w:rFonts w:asciiTheme="minorHAnsi" w:hAnsiTheme="minorHAnsi" w:cstheme="minorHAnsi"/>
          <w:sz w:val="20"/>
          <w:szCs w:val="20"/>
        </w:rPr>
        <w:t>*Denotes that the column is taken from the DEER NTG Table.</w:t>
      </w:r>
    </w:p>
    <w:p w:rsidR="00A4321C" w:rsidRPr="00B551A8" w:rsidRDefault="00A4321C" w:rsidP="000968C6">
      <w:pPr>
        <w:pStyle w:val="Reminders"/>
        <w:rPr>
          <w:rFonts w:asciiTheme="minorHAnsi" w:hAnsiTheme="minorHAnsi" w:cstheme="minorHAnsi"/>
          <w:b/>
          <w:i w:val="0"/>
          <w:color w:val="auto"/>
          <w:sz w:val="22"/>
          <w:szCs w:val="22"/>
        </w:rPr>
      </w:pPr>
    </w:p>
    <w:p w:rsidR="000968C6" w:rsidRPr="00B551A8" w:rsidRDefault="000968C6" w:rsidP="0057341F">
      <w:pPr>
        <w:spacing w:line="276" w:lineRule="auto"/>
        <w:rPr>
          <w:rFonts w:asciiTheme="minorHAnsi" w:hAnsiTheme="minorHAnsi" w:cstheme="minorHAnsi"/>
          <w:b/>
          <w:i/>
          <w:sz w:val="22"/>
          <w:szCs w:val="22"/>
        </w:rPr>
      </w:pPr>
      <w:r w:rsidRPr="00B551A8">
        <w:rPr>
          <w:rFonts w:asciiTheme="minorHAnsi" w:hAnsiTheme="minorHAnsi" w:cstheme="minorHAnsi"/>
          <w:b/>
          <w:sz w:val="22"/>
          <w:szCs w:val="22"/>
        </w:rPr>
        <w:t>Installation Rate</w:t>
      </w:r>
    </w:p>
    <w:p w:rsidR="000968C6" w:rsidRPr="00B551A8" w:rsidRDefault="000968C6" w:rsidP="0057341F">
      <w:pPr>
        <w:pStyle w:val="Reminders"/>
        <w:spacing w:before="0"/>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 xml:space="preserve">The installation rate (IR) is identified in the calculation attachment. This value is obtained from </w:t>
      </w:r>
      <w:r w:rsidR="00240B74" w:rsidRPr="00B551A8">
        <w:rPr>
          <w:rFonts w:asciiTheme="minorHAnsi" w:hAnsiTheme="minorHAnsi" w:cstheme="minorHAnsi"/>
          <w:i w:val="0"/>
          <w:color w:val="auto"/>
          <w:sz w:val="22"/>
          <w:szCs w:val="22"/>
        </w:rPr>
        <w:t xml:space="preserve">the support table available in READi. Currently </w:t>
      </w:r>
      <w:r w:rsidR="00413CDB" w:rsidRPr="00B551A8">
        <w:rPr>
          <w:rFonts w:asciiTheme="minorHAnsi" w:hAnsiTheme="minorHAnsi" w:cstheme="minorHAnsi"/>
          <w:i w:val="0"/>
          <w:color w:val="auto"/>
          <w:sz w:val="22"/>
          <w:szCs w:val="22"/>
        </w:rPr>
        <w:t>there is no versioning on</w:t>
      </w:r>
      <w:r w:rsidR="00240B74" w:rsidRPr="00B551A8">
        <w:rPr>
          <w:rFonts w:asciiTheme="minorHAnsi" w:hAnsiTheme="minorHAnsi" w:cstheme="minorHAnsi"/>
          <w:i w:val="0"/>
          <w:color w:val="auto"/>
          <w:sz w:val="22"/>
          <w:szCs w:val="22"/>
        </w:rPr>
        <w:t xml:space="preserve"> the installation rate table</w:t>
      </w:r>
      <w:r w:rsidR="00413CDB" w:rsidRPr="00B551A8">
        <w:rPr>
          <w:rFonts w:asciiTheme="minorHAnsi" w:hAnsiTheme="minorHAnsi" w:cstheme="minorHAnsi"/>
          <w:i w:val="0"/>
          <w:color w:val="auto"/>
          <w:sz w:val="22"/>
          <w:szCs w:val="22"/>
        </w:rPr>
        <w:t xml:space="preserve">. To </w:t>
      </w:r>
      <w:r w:rsidR="00413CDB" w:rsidRPr="00B551A8">
        <w:rPr>
          <w:rFonts w:asciiTheme="minorHAnsi" w:hAnsiTheme="minorHAnsi" w:cstheme="minorHAnsi"/>
          <w:i w:val="0"/>
          <w:color w:val="auto"/>
          <w:sz w:val="22"/>
          <w:szCs w:val="22"/>
        </w:rPr>
        <w:lastRenderedPageBreak/>
        <w:t>address appropriate selection of the installation rate</w:t>
      </w:r>
      <w:r w:rsidR="00240B74" w:rsidRPr="00B551A8">
        <w:rPr>
          <w:rFonts w:asciiTheme="minorHAnsi" w:hAnsiTheme="minorHAnsi" w:cstheme="minorHAnsi"/>
          <w:i w:val="0"/>
          <w:color w:val="auto"/>
          <w:sz w:val="22"/>
          <w:szCs w:val="22"/>
        </w:rPr>
        <w:t xml:space="preserve"> the date of the workpaper will serve as the last date checked for updated IR values.</w:t>
      </w:r>
      <w:r w:rsidRPr="00B551A8">
        <w:rPr>
          <w:rFonts w:asciiTheme="minorHAnsi" w:hAnsiTheme="minorHAnsi" w:cstheme="minorHAnsi"/>
          <w:i w:val="0"/>
          <w:color w:val="auto"/>
          <w:sz w:val="22"/>
          <w:szCs w:val="22"/>
        </w:rPr>
        <w:t xml:space="preserve"> The installation rate varies by end use, sector, technology, application, and delivery method.</w:t>
      </w:r>
      <w:r w:rsidR="006B4A48" w:rsidRPr="00B551A8">
        <w:rPr>
          <w:rFonts w:asciiTheme="minorHAnsi" w:hAnsiTheme="minorHAnsi" w:cstheme="minorHAnsi"/>
          <w:i w:val="0"/>
          <w:color w:val="auto"/>
          <w:sz w:val="22"/>
          <w:szCs w:val="22"/>
        </w:rPr>
        <w:t xml:space="preserve"> The relevant IR values for this measure are shown in</w:t>
      </w:r>
      <w:r w:rsidR="00344029" w:rsidRPr="00B551A8">
        <w:rPr>
          <w:rFonts w:asciiTheme="minorHAnsi" w:hAnsiTheme="minorHAnsi" w:cstheme="minorHAnsi"/>
          <w:i w:val="0"/>
          <w:color w:val="auto"/>
          <w:sz w:val="22"/>
          <w:szCs w:val="22"/>
        </w:rPr>
        <w:t xml:space="preserve"> </w:t>
      </w:r>
      <w:r w:rsidR="00344029" w:rsidRPr="00B551A8">
        <w:rPr>
          <w:rFonts w:asciiTheme="minorHAnsi" w:hAnsiTheme="minorHAnsi" w:cstheme="minorHAnsi"/>
          <w:i w:val="0"/>
          <w:color w:val="auto"/>
          <w:sz w:val="22"/>
          <w:szCs w:val="22"/>
        </w:rPr>
        <w:fldChar w:fldCharType="begin"/>
      </w:r>
      <w:r w:rsidR="00344029" w:rsidRPr="00B551A8">
        <w:rPr>
          <w:rFonts w:asciiTheme="minorHAnsi" w:hAnsiTheme="minorHAnsi" w:cstheme="minorHAnsi"/>
          <w:i w:val="0"/>
          <w:color w:val="auto"/>
          <w:sz w:val="22"/>
          <w:szCs w:val="22"/>
        </w:rPr>
        <w:instrText xml:space="preserve"> REF _Ref390773489 \h </w:instrText>
      </w:r>
      <w:r w:rsidR="00C5179F" w:rsidRPr="00B551A8">
        <w:rPr>
          <w:rFonts w:asciiTheme="minorHAnsi" w:hAnsiTheme="minorHAnsi" w:cstheme="minorHAnsi"/>
          <w:i w:val="0"/>
          <w:color w:val="auto"/>
          <w:sz w:val="22"/>
          <w:szCs w:val="22"/>
        </w:rPr>
        <w:instrText xml:space="preserve"> \* MERGEFORMAT </w:instrText>
      </w:r>
      <w:r w:rsidR="00344029" w:rsidRPr="00B551A8">
        <w:rPr>
          <w:rFonts w:asciiTheme="minorHAnsi" w:hAnsiTheme="minorHAnsi" w:cstheme="minorHAnsi"/>
          <w:i w:val="0"/>
          <w:color w:val="auto"/>
          <w:sz w:val="22"/>
          <w:szCs w:val="22"/>
        </w:rPr>
      </w:r>
      <w:r w:rsidR="00344029" w:rsidRPr="00B551A8">
        <w:rPr>
          <w:rFonts w:asciiTheme="minorHAnsi" w:hAnsiTheme="minorHAnsi" w:cstheme="minorHAnsi"/>
          <w:i w:val="0"/>
          <w:color w:val="auto"/>
          <w:sz w:val="22"/>
          <w:szCs w:val="22"/>
        </w:rPr>
        <w:fldChar w:fldCharType="separate"/>
      </w:r>
      <w:r w:rsidR="00BD6511" w:rsidRPr="00BD6511">
        <w:rPr>
          <w:rFonts w:asciiTheme="minorHAnsi" w:hAnsiTheme="minorHAnsi"/>
          <w:i w:val="0"/>
          <w:color w:val="auto"/>
          <w:sz w:val="22"/>
          <w:szCs w:val="22"/>
        </w:rPr>
        <w:t xml:space="preserve">Table </w:t>
      </w:r>
      <w:r w:rsidR="00BD6511" w:rsidRPr="00BD6511">
        <w:rPr>
          <w:rFonts w:asciiTheme="minorHAnsi" w:hAnsiTheme="minorHAnsi"/>
          <w:i w:val="0"/>
          <w:noProof/>
          <w:color w:val="auto"/>
          <w:sz w:val="22"/>
          <w:szCs w:val="22"/>
        </w:rPr>
        <w:t>4</w:t>
      </w:r>
      <w:r w:rsidR="00344029" w:rsidRPr="00B551A8">
        <w:rPr>
          <w:rFonts w:asciiTheme="minorHAnsi" w:hAnsiTheme="minorHAnsi" w:cstheme="minorHAnsi"/>
          <w:i w:val="0"/>
          <w:color w:val="auto"/>
          <w:sz w:val="22"/>
          <w:szCs w:val="22"/>
        </w:rPr>
        <w:fldChar w:fldCharType="end"/>
      </w:r>
      <w:r w:rsidR="006B4A48" w:rsidRPr="00B551A8">
        <w:rPr>
          <w:rFonts w:asciiTheme="minorHAnsi" w:hAnsiTheme="minorHAnsi" w:cstheme="minorHAnsi"/>
          <w:i w:val="0"/>
          <w:color w:val="auto"/>
          <w:sz w:val="22"/>
          <w:szCs w:val="22"/>
        </w:rPr>
        <w:t xml:space="preserve"> below.</w:t>
      </w:r>
    </w:p>
    <w:p w:rsidR="006B4A48" w:rsidRPr="00B551A8" w:rsidRDefault="006B4A48" w:rsidP="000968C6">
      <w:pPr>
        <w:pStyle w:val="Reminders"/>
        <w:rPr>
          <w:rFonts w:asciiTheme="minorHAnsi" w:hAnsiTheme="minorHAnsi" w:cstheme="minorHAnsi"/>
          <w:i w:val="0"/>
          <w:color w:val="auto"/>
          <w:sz w:val="22"/>
          <w:szCs w:val="22"/>
        </w:rPr>
      </w:pPr>
    </w:p>
    <w:p w:rsidR="00240B74" w:rsidRPr="00B551A8" w:rsidRDefault="00344029" w:rsidP="00344029">
      <w:pPr>
        <w:pStyle w:val="Caption"/>
        <w:jc w:val="center"/>
        <w:rPr>
          <w:rFonts w:asciiTheme="minorHAnsi" w:hAnsiTheme="minorHAnsi" w:cstheme="minorHAnsi"/>
          <w:sz w:val="22"/>
          <w:szCs w:val="22"/>
        </w:rPr>
      </w:pPr>
      <w:bookmarkStart w:id="12" w:name="_Ref390773489"/>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D6511">
        <w:rPr>
          <w:rFonts w:asciiTheme="minorHAnsi" w:hAnsiTheme="minorHAnsi"/>
          <w:noProof/>
          <w:sz w:val="22"/>
          <w:szCs w:val="22"/>
        </w:rPr>
        <w:t>4</w:t>
      </w:r>
      <w:r w:rsidRPr="00B551A8">
        <w:rPr>
          <w:rFonts w:asciiTheme="minorHAnsi" w:hAnsiTheme="minorHAnsi"/>
          <w:sz w:val="22"/>
          <w:szCs w:val="22"/>
        </w:rPr>
        <w:fldChar w:fldCharType="end"/>
      </w:r>
      <w:bookmarkEnd w:id="12"/>
      <w:r w:rsidRPr="00B551A8">
        <w:rPr>
          <w:rFonts w:asciiTheme="minorHAnsi" w:hAnsiTheme="minorHAnsi"/>
          <w:sz w:val="22"/>
          <w:szCs w:val="22"/>
        </w:rPr>
        <w:t xml:space="preserve"> </w:t>
      </w:r>
      <w:r w:rsidR="00240B74" w:rsidRPr="00B551A8">
        <w:rPr>
          <w:rFonts w:asciiTheme="minorHAnsi" w:hAnsiTheme="minorHAnsi" w:cstheme="minorHAnsi"/>
          <w:sz w:val="22"/>
          <w:szCs w:val="22"/>
        </w:rPr>
        <w:t>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57341F" w:rsidRPr="00B551A8" w:rsidTr="0057341F">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GSIA_ID*</w:t>
            </w:r>
          </w:p>
        </w:tc>
        <w:tc>
          <w:tcPr>
            <w:tcW w:w="1010"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Description*</w:t>
            </w:r>
          </w:p>
        </w:tc>
        <w:tc>
          <w:tcPr>
            <w:tcW w:w="769"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Sector*</w:t>
            </w:r>
          </w:p>
        </w:tc>
        <w:tc>
          <w:tcPr>
            <w:tcW w:w="958"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BldgType*</w:t>
            </w:r>
          </w:p>
        </w:tc>
        <w:tc>
          <w:tcPr>
            <w:tcW w:w="762"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ProgDelivID</w:t>
            </w:r>
          </w:p>
        </w:tc>
        <w:tc>
          <w:tcPr>
            <w:tcW w:w="707"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GSIAValue*</w:t>
            </w:r>
          </w:p>
        </w:tc>
      </w:tr>
      <w:tr w:rsidR="0057341F" w:rsidRPr="00B551A8" w:rsidTr="0057341F">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sz w:val="20"/>
                <w:szCs w:val="20"/>
              </w:rPr>
              <w:t>Def-GSIA</w:t>
            </w:r>
          </w:p>
        </w:tc>
        <w:tc>
          <w:tcPr>
            <w:tcW w:w="1010"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sz w:val="20"/>
                <w:szCs w:val="20"/>
              </w:rPr>
              <w:t>Default GSIA values</w:t>
            </w:r>
          </w:p>
        </w:tc>
        <w:tc>
          <w:tcPr>
            <w:tcW w:w="769"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958"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762"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707"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cstheme="minorHAnsi"/>
                <w:sz w:val="20"/>
                <w:szCs w:val="20"/>
              </w:rPr>
              <w:t>1.0</w:t>
            </w:r>
          </w:p>
        </w:tc>
      </w:tr>
    </w:tbl>
    <w:p w:rsidR="006B4A48" w:rsidRPr="00B551A8" w:rsidRDefault="006B4A48" w:rsidP="000968C6">
      <w:pPr>
        <w:pStyle w:val="Reminders"/>
        <w:rPr>
          <w:rFonts w:asciiTheme="minorHAnsi" w:hAnsiTheme="minorHAnsi" w:cstheme="minorHAnsi"/>
          <w:b/>
          <w:i w:val="0"/>
          <w:color w:val="auto"/>
          <w:sz w:val="22"/>
          <w:szCs w:val="22"/>
        </w:rPr>
      </w:pPr>
    </w:p>
    <w:p w:rsidR="000968C6" w:rsidRPr="00B551A8" w:rsidRDefault="000968C6" w:rsidP="000968C6">
      <w:pPr>
        <w:pStyle w:val="Reminders"/>
        <w:rPr>
          <w:rFonts w:asciiTheme="minorHAnsi" w:hAnsiTheme="minorHAnsi" w:cstheme="minorHAnsi"/>
          <w:i w:val="0"/>
          <w:color w:val="auto"/>
          <w:sz w:val="22"/>
          <w:szCs w:val="22"/>
        </w:rPr>
      </w:pPr>
      <w:r w:rsidRPr="00B551A8">
        <w:rPr>
          <w:rFonts w:asciiTheme="minorHAnsi" w:hAnsiTheme="minorHAnsi" w:cstheme="minorHAnsi"/>
          <w:b/>
          <w:i w:val="0"/>
          <w:color w:val="auto"/>
          <w:sz w:val="22"/>
          <w:szCs w:val="22"/>
        </w:rPr>
        <w:t>Spillage Rate</w:t>
      </w:r>
    </w:p>
    <w:p w:rsidR="000968C6" w:rsidRPr="00B551A8" w:rsidRDefault="000968C6" w:rsidP="000968C6">
      <w:pPr>
        <w:pStyle w:val="Reminders"/>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sidRPr="00B551A8">
        <w:rPr>
          <w:rFonts w:asciiTheme="minorHAnsi" w:hAnsiTheme="minorHAnsi" w:cstheme="minorHAnsi"/>
          <w:i w:val="0"/>
          <w:color w:val="auto"/>
          <w:sz w:val="22"/>
          <w:szCs w:val="22"/>
        </w:rPr>
        <w:t>.</w:t>
      </w:r>
    </w:p>
    <w:p w:rsidR="00E37F72" w:rsidRPr="00B551A8"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r w:rsidRPr="00B551A8">
        <w:rPr>
          <w:rFonts w:asciiTheme="minorHAnsi" w:hAnsiTheme="minorHAnsi" w:cstheme="minorHAnsi"/>
          <w:b/>
          <w:i w:val="0"/>
          <w:color w:val="auto"/>
          <w:sz w:val="22"/>
          <w:szCs w:val="22"/>
        </w:rPr>
        <w:t>READi Technology Fields</w:t>
      </w:r>
    </w:p>
    <w:p w:rsidR="00E23679" w:rsidRPr="00B551A8" w:rsidRDefault="00E23679" w:rsidP="000968C6">
      <w:pPr>
        <w:pStyle w:val="Reminders"/>
        <w:rPr>
          <w:rFonts w:asciiTheme="minorHAnsi" w:hAnsiTheme="minorHAnsi" w:cstheme="minorHAnsi"/>
          <w:b/>
          <w:i w:val="0"/>
          <w:color w:val="auto"/>
          <w:sz w:val="22"/>
          <w:szCs w:val="22"/>
        </w:rPr>
      </w:pPr>
    </w:p>
    <w:p w:rsidR="00240B74" w:rsidRPr="00B551A8" w:rsidRDefault="00344029" w:rsidP="00344029">
      <w:pPr>
        <w:pStyle w:val="Caption"/>
        <w:jc w:val="center"/>
        <w:rPr>
          <w:rFonts w:asciiTheme="minorHAnsi" w:hAnsiTheme="minorHAnsi" w:cstheme="minorHAnsi"/>
          <w:sz w:val="22"/>
          <w:szCs w:val="22"/>
        </w:rPr>
      </w:pPr>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D6511">
        <w:rPr>
          <w:rFonts w:asciiTheme="minorHAnsi" w:hAnsiTheme="minorHAnsi"/>
          <w:noProof/>
          <w:sz w:val="22"/>
          <w:szCs w:val="22"/>
        </w:rPr>
        <w:t>5</w:t>
      </w:r>
      <w:r w:rsidRPr="00B551A8">
        <w:rPr>
          <w:rFonts w:asciiTheme="minorHAnsi" w:hAnsiTheme="minorHAnsi"/>
          <w:sz w:val="22"/>
          <w:szCs w:val="22"/>
        </w:rPr>
        <w:fldChar w:fldCharType="end"/>
      </w:r>
      <w:r w:rsidRPr="00B551A8">
        <w:rPr>
          <w:rFonts w:asciiTheme="minorHAnsi" w:hAnsiTheme="minorHAnsi"/>
          <w:sz w:val="22"/>
          <w:szCs w:val="22"/>
        </w:rPr>
        <w:t xml:space="preserve"> </w:t>
      </w:r>
      <w:r w:rsidR="00240B74" w:rsidRPr="00B551A8">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3321"/>
      </w:tblGrid>
      <w:tr w:rsidR="00240B74" w:rsidRPr="00B551A8" w:rsidTr="00B75449">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READi Field Name</w:t>
            </w:r>
          </w:p>
        </w:tc>
        <w:tc>
          <w:tcPr>
            <w:tcW w:w="3321"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Values included in this workpaper</w:t>
            </w:r>
          </w:p>
        </w:tc>
      </w:tr>
      <w:tr w:rsidR="00240B74" w:rsidRPr="00B551A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Measu</w:t>
            </w:r>
            <w:r w:rsidR="00344029" w:rsidRPr="00B551A8">
              <w:rPr>
                <w:rFonts w:asciiTheme="minorHAnsi" w:hAnsiTheme="minorHAnsi" w:cstheme="minorHAnsi"/>
                <w:i w:val="0"/>
                <w:color w:val="auto"/>
                <w:sz w:val="20"/>
                <w:szCs w:val="20"/>
              </w:rPr>
              <w:t>r</w:t>
            </w:r>
            <w:r w:rsidRPr="00B551A8">
              <w:rPr>
                <w:rFonts w:asciiTheme="minorHAnsi" w:hAnsiTheme="minorHAnsi" w:cstheme="minorHAnsi"/>
                <w:i w:val="0"/>
                <w:color w:val="auto"/>
                <w:sz w:val="20"/>
                <w:szCs w:val="20"/>
              </w:rPr>
              <w:t>e Case UseCategory</w:t>
            </w:r>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Food Service</w:t>
            </w:r>
          </w:p>
        </w:tc>
      </w:tr>
      <w:tr w:rsidR="00240B74" w:rsidRPr="00B551A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Measure Case UseSubCats</w:t>
            </w:r>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Cooking</w:t>
            </w:r>
          </w:p>
        </w:tc>
      </w:tr>
      <w:tr w:rsidR="00240B74" w:rsidRPr="00B551A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Measure Case TechGroups</w:t>
            </w:r>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Cooking Equipment</w:t>
            </w:r>
          </w:p>
        </w:tc>
      </w:tr>
      <w:tr w:rsidR="00240B74" w:rsidRPr="00B551A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Measure Case TechTypes</w:t>
            </w:r>
          </w:p>
        </w:tc>
        <w:tc>
          <w:tcPr>
            <w:tcW w:w="3321" w:type="dxa"/>
          </w:tcPr>
          <w:p w:rsidR="00240B74" w:rsidRPr="00B551A8" w:rsidRDefault="005966A5" w:rsidP="000944EC">
            <w:pPr>
              <w:pStyle w:val="Reminders"/>
              <w:jc w:val="center"/>
              <w:rPr>
                <w:rFonts w:asciiTheme="minorHAnsi" w:hAnsiTheme="minorHAnsi" w:cstheme="minorHAnsi"/>
                <w:i w:val="0"/>
                <w:color w:val="auto"/>
                <w:sz w:val="20"/>
                <w:szCs w:val="20"/>
              </w:rPr>
            </w:pPr>
            <w:r w:rsidRPr="005966A5">
              <w:rPr>
                <w:rFonts w:asciiTheme="minorHAnsi" w:hAnsiTheme="minorHAnsi" w:cstheme="minorHAnsi"/>
                <w:i w:val="0"/>
                <w:color w:val="auto"/>
                <w:sz w:val="20"/>
                <w:szCs w:val="20"/>
              </w:rPr>
              <w:t>Oven-Convection</w:t>
            </w:r>
          </w:p>
        </w:tc>
      </w:tr>
      <w:tr w:rsidR="00240B74" w:rsidRPr="00B551A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Base Case TechGroups</w:t>
            </w:r>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Cooking Equipment</w:t>
            </w:r>
          </w:p>
        </w:tc>
      </w:tr>
      <w:tr w:rsidR="00240B74" w:rsidRPr="00B551A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Base Case TechTypes</w:t>
            </w:r>
          </w:p>
        </w:tc>
        <w:tc>
          <w:tcPr>
            <w:tcW w:w="3321" w:type="dxa"/>
          </w:tcPr>
          <w:p w:rsidR="00240B74" w:rsidRPr="00B551A8" w:rsidRDefault="005966A5" w:rsidP="000944EC">
            <w:pPr>
              <w:pStyle w:val="Reminders"/>
              <w:jc w:val="center"/>
              <w:rPr>
                <w:rFonts w:asciiTheme="minorHAnsi" w:hAnsiTheme="minorHAnsi" w:cstheme="minorHAnsi"/>
                <w:i w:val="0"/>
                <w:color w:val="auto"/>
                <w:sz w:val="20"/>
                <w:szCs w:val="20"/>
              </w:rPr>
            </w:pPr>
            <w:r w:rsidRPr="005966A5">
              <w:rPr>
                <w:rFonts w:asciiTheme="minorHAnsi" w:hAnsiTheme="minorHAnsi" w:cstheme="minorHAnsi"/>
                <w:i w:val="0"/>
                <w:color w:val="auto"/>
                <w:sz w:val="20"/>
                <w:szCs w:val="20"/>
              </w:rPr>
              <w:t>Oven-Convection</w:t>
            </w:r>
          </w:p>
        </w:tc>
      </w:tr>
    </w:tbl>
    <w:p w:rsidR="00E16609" w:rsidRPr="00B551A8" w:rsidRDefault="00F06CCF" w:rsidP="00F06CCF">
      <w:pPr>
        <w:pStyle w:val="Heading3"/>
        <w:rPr>
          <w:rFonts w:asciiTheme="minorHAnsi" w:hAnsiTheme="minorHAnsi"/>
        </w:rPr>
      </w:pPr>
      <w:r w:rsidRPr="00B551A8">
        <w:rPr>
          <w:rFonts w:asciiTheme="minorHAnsi" w:hAnsiTheme="minorHAnsi"/>
        </w:rPr>
        <w:t>1.4.2</w:t>
      </w:r>
      <w:r w:rsidR="00824F1C" w:rsidRPr="00B551A8">
        <w:rPr>
          <w:rFonts w:asciiTheme="minorHAnsi" w:hAnsiTheme="minorHAnsi"/>
        </w:rPr>
        <w:t xml:space="preserve"> </w:t>
      </w:r>
      <w:r w:rsidR="00E16609" w:rsidRPr="00B551A8">
        <w:rPr>
          <w:rFonts w:asciiTheme="minorHAnsi" w:hAnsiTheme="minorHAnsi"/>
        </w:rPr>
        <w:t>Code</w:t>
      </w:r>
      <w:r w:rsidR="00B26778" w:rsidRPr="00B551A8">
        <w:rPr>
          <w:rFonts w:asciiTheme="minorHAnsi" w:hAnsiTheme="minorHAnsi"/>
        </w:rPr>
        <w:t xml:space="preserve">s and Standards </w:t>
      </w:r>
      <w:r w:rsidR="00E16609" w:rsidRPr="00B551A8">
        <w:rPr>
          <w:rFonts w:asciiTheme="minorHAnsi" w:hAnsiTheme="minorHAnsi"/>
        </w:rPr>
        <w:t xml:space="preserve">Analysis </w:t>
      </w:r>
      <w:bookmarkEnd w:id="10"/>
    </w:p>
    <w:p w:rsidR="00B07EE5" w:rsidRPr="00B551A8" w:rsidRDefault="00B07EE5" w:rsidP="00B07EE5">
      <w:pPr>
        <w:pStyle w:val="Caption"/>
        <w:keepNext/>
        <w:jc w:val="center"/>
        <w:rPr>
          <w:rFonts w:asciiTheme="minorHAnsi" w:hAnsiTheme="minorHAnsi" w:cstheme="minorHAnsi"/>
          <w:sz w:val="22"/>
          <w:szCs w:val="22"/>
        </w:rPr>
      </w:pPr>
      <w:r w:rsidRPr="00B551A8">
        <w:rPr>
          <w:rFonts w:asciiTheme="minorHAnsi" w:hAnsiTheme="minorHAnsi" w:cstheme="minorHAnsi"/>
          <w:sz w:val="22"/>
          <w:szCs w:val="22"/>
        </w:rPr>
        <w:t xml:space="preserve">Table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SEQ Table \* ARABIC </w:instrText>
      </w:r>
      <w:r w:rsidRPr="00B551A8">
        <w:rPr>
          <w:rFonts w:asciiTheme="minorHAnsi" w:hAnsiTheme="minorHAnsi" w:cstheme="minorHAnsi"/>
          <w:sz w:val="22"/>
          <w:szCs w:val="22"/>
        </w:rPr>
        <w:fldChar w:fldCharType="separate"/>
      </w:r>
      <w:r w:rsidR="00BD6511">
        <w:rPr>
          <w:rFonts w:asciiTheme="minorHAnsi" w:hAnsiTheme="minorHAnsi" w:cstheme="minorHAnsi"/>
          <w:noProof/>
          <w:sz w:val="22"/>
          <w:szCs w:val="22"/>
        </w:rPr>
        <w:t>6</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w:t>
      </w:r>
      <w:r w:rsidR="005A1078" w:rsidRPr="00B551A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B551A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B551A8" w:rsidRDefault="00881A42" w:rsidP="00283DE8">
            <w:pPr>
              <w:jc w:val="center"/>
              <w:rPr>
                <w:rFonts w:asciiTheme="minorHAnsi" w:hAnsiTheme="minorHAnsi" w:cstheme="minorHAnsi"/>
                <w:sz w:val="20"/>
                <w:szCs w:val="20"/>
              </w:rPr>
            </w:pPr>
            <w:r w:rsidRPr="00B551A8">
              <w:rPr>
                <w:rFonts w:asciiTheme="minorHAnsi" w:hAnsiTheme="minorHAnsi" w:cstheme="minorHAnsi"/>
                <w:sz w:val="20"/>
                <w:szCs w:val="20"/>
              </w:rPr>
              <w:t>Code</w:t>
            </w:r>
          </w:p>
        </w:tc>
        <w:tc>
          <w:tcPr>
            <w:tcW w:w="4352" w:type="dxa"/>
          </w:tcPr>
          <w:p w:rsidR="00881A42" w:rsidRPr="00B551A8" w:rsidRDefault="00CB0100" w:rsidP="00283DE8">
            <w:pPr>
              <w:jc w:val="center"/>
              <w:rPr>
                <w:rFonts w:asciiTheme="minorHAnsi" w:hAnsiTheme="minorHAnsi" w:cstheme="minorHAnsi"/>
                <w:sz w:val="20"/>
                <w:szCs w:val="20"/>
              </w:rPr>
            </w:pPr>
            <w:r w:rsidRPr="00B551A8">
              <w:rPr>
                <w:rFonts w:asciiTheme="minorHAnsi" w:hAnsiTheme="minorHAnsi" w:cstheme="minorHAnsi"/>
                <w:sz w:val="20"/>
                <w:szCs w:val="20"/>
              </w:rPr>
              <w:t xml:space="preserve">Applicable </w:t>
            </w:r>
            <w:r w:rsidR="00881A42" w:rsidRPr="00B551A8">
              <w:rPr>
                <w:rFonts w:asciiTheme="minorHAnsi" w:hAnsiTheme="minorHAnsi" w:cstheme="minorHAnsi"/>
                <w:sz w:val="20"/>
                <w:szCs w:val="20"/>
              </w:rPr>
              <w:t>Code Reference</w:t>
            </w:r>
          </w:p>
        </w:tc>
        <w:tc>
          <w:tcPr>
            <w:tcW w:w="1821" w:type="dxa"/>
          </w:tcPr>
          <w:p w:rsidR="00881A42" w:rsidRPr="00B551A8" w:rsidRDefault="00881A42" w:rsidP="00283DE8">
            <w:pPr>
              <w:jc w:val="center"/>
              <w:rPr>
                <w:rFonts w:asciiTheme="minorHAnsi" w:hAnsiTheme="minorHAnsi" w:cstheme="minorHAnsi"/>
                <w:sz w:val="20"/>
                <w:szCs w:val="20"/>
              </w:rPr>
            </w:pPr>
            <w:r w:rsidRPr="00B551A8">
              <w:rPr>
                <w:rFonts w:asciiTheme="minorHAnsi" w:hAnsiTheme="minorHAnsi" w:cstheme="minorHAnsi"/>
                <w:sz w:val="20"/>
                <w:szCs w:val="20"/>
              </w:rPr>
              <w:t>Effective Dates</w:t>
            </w:r>
          </w:p>
        </w:tc>
      </w:tr>
      <w:tr w:rsidR="00D67BCF" w:rsidRPr="00B551A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C6C7A" w:rsidRPr="00B551A8" w:rsidRDefault="00A4321C" w:rsidP="007E43F8">
            <w:pPr>
              <w:jc w:val="center"/>
              <w:rPr>
                <w:rFonts w:asciiTheme="minorHAnsi" w:hAnsiTheme="minorHAnsi" w:cstheme="minorHAnsi"/>
                <w:sz w:val="20"/>
                <w:szCs w:val="20"/>
              </w:rPr>
            </w:pPr>
            <w:r w:rsidRPr="00B551A8">
              <w:rPr>
                <w:rFonts w:asciiTheme="minorHAnsi" w:hAnsiTheme="minorHAnsi" w:cstheme="minorHAnsi"/>
                <w:sz w:val="20"/>
                <w:szCs w:val="20"/>
              </w:rPr>
              <w:t>ASTM</w:t>
            </w:r>
          </w:p>
        </w:tc>
        <w:tc>
          <w:tcPr>
            <w:tcW w:w="4352" w:type="dxa"/>
            <w:vAlign w:val="center"/>
          </w:tcPr>
          <w:p w:rsidR="002C6C7A" w:rsidRPr="00B551A8" w:rsidRDefault="005966A5" w:rsidP="00670049">
            <w:pPr>
              <w:jc w:val="center"/>
              <w:rPr>
                <w:rFonts w:asciiTheme="minorHAnsi" w:hAnsiTheme="minorHAnsi" w:cstheme="minorHAnsi"/>
                <w:sz w:val="20"/>
                <w:szCs w:val="20"/>
              </w:rPr>
            </w:pPr>
            <w:r>
              <w:rPr>
                <w:rFonts w:asciiTheme="minorHAnsi" w:hAnsiTheme="minorHAnsi" w:cstheme="minorHAnsi"/>
                <w:sz w:val="20"/>
                <w:szCs w:val="20"/>
              </w:rPr>
              <w:t>F1496</w:t>
            </w:r>
          </w:p>
        </w:tc>
        <w:tc>
          <w:tcPr>
            <w:tcW w:w="1821" w:type="dxa"/>
            <w:vAlign w:val="center"/>
          </w:tcPr>
          <w:p w:rsidR="002C6C7A" w:rsidRPr="00B551A8" w:rsidRDefault="00AB7554" w:rsidP="007E43F8">
            <w:pPr>
              <w:jc w:val="center"/>
              <w:rPr>
                <w:rFonts w:asciiTheme="minorHAnsi" w:hAnsiTheme="minorHAnsi" w:cstheme="minorHAnsi"/>
                <w:sz w:val="20"/>
                <w:szCs w:val="20"/>
              </w:rPr>
            </w:pPr>
            <w:r>
              <w:rPr>
                <w:rFonts w:asciiTheme="minorHAnsi" w:hAnsiTheme="minorHAnsi" w:cstheme="minorHAnsi"/>
                <w:sz w:val="20"/>
                <w:szCs w:val="20"/>
              </w:rPr>
              <w:t>January 1, 2013</w:t>
            </w:r>
          </w:p>
        </w:tc>
      </w:tr>
    </w:tbl>
    <w:p w:rsidR="000944EC" w:rsidRPr="00B551A8" w:rsidRDefault="000944EC" w:rsidP="00A4321C">
      <w:pPr>
        <w:rPr>
          <w:rFonts w:asciiTheme="minorHAnsi" w:hAnsiTheme="minorHAnsi" w:cstheme="minorHAnsi"/>
          <w:b/>
          <w:sz w:val="22"/>
          <w:szCs w:val="22"/>
        </w:rPr>
      </w:pPr>
    </w:p>
    <w:p w:rsidR="009C6AEC" w:rsidRPr="00B551A8" w:rsidRDefault="009C6AEC" w:rsidP="009C6AEC">
      <w:pPr>
        <w:rPr>
          <w:rFonts w:asciiTheme="minorHAnsi" w:hAnsiTheme="minorHAnsi" w:cstheme="minorHAnsi"/>
          <w:sz w:val="22"/>
          <w:szCs w:val="22"/>
        </w:rPr>
      </w:pPr>
      <w:r w:rsidRPr="00B551A8">
        <w:rPr>
          <w:rFonts w:asciiTheme="minorHAnsi" w:hAnsiTheme="minorHAnsi" w:cstheme="minorHAnsi"/>
          <w:b/>
          <w:sz w:val="22"/>
          <w:szCs w:val="22"/>
        </w:rPr>
        <w:t>California Title 24</w:t>
      </w:r>
      <w:r w:rsidR="00C5179F" w:rsidRPr="00B551A8">
        <w:rPr>
          <w:rFonts w:asciiTheme="minorHAnsi" w:hAnsiTheme="minorHAnsi" w:cstheme="minorHAnsi"/>
          <w:b/>
          <w:sz w:val="22"/>
          <w:szCs w:val="22"/>
        </w:rPr>
        <w:t xml:space="preserve"> 2013</w:t>
      </w:r>
      <w:r w:rsidRPr="00B551A8">
        <w:rPr>
          <w:rFonts w:asciiTheme="minorHAnsi" w:hAnsiTheme="minorHAnsi" w:cstheme="minorHAnsi"/>
          <w:b/>
          <w:sz w:val="22"/>
          <w:szCs w:val="22"/>
        </w:rPr>
        <w:t>:</w:t>
      </w:r>
      <w:r w:rsidRPr="00B551A8">
        <w:rPr>
          <w:rFonts w:asciiTheme="minorHAnsi" w:hAnsiTheme="minorHAnsi" w:cstheme="minorHAnsi"/>
          <w:sz w:val="22"/>
          <w:szCs w:val="22"/>
        </w:rPr>
        <w:t xml:space="preserve"> These measures do not fall under Title 24 of the California Energy Regulations.</w:t>
      </w:r>
    </w:p>
    <w:p w:rsidR="009C6AEC" w:rsidRPr="00B551A8" w:rsidRDefault="009C6AEC" w:rsidP="009C6AEC">
      <w:pPr>
        <w:rPr>
          <w:rFonts w:asciiTheme="minorHAnsi" w:hAnsiTheme="minorHAnsi" w:cstheme="minorHAnsi"/>
          <w:sz w:val="22"/>
          <w:szCs w:val="22"/>
        </w:rPr>
      </w:pPr>
    </w:p>
    <w:p w:rsidR="00A4321C" w:rsidRPr="00B551A8" w:rsidRDefault="00A4321C" w:rsidP="00A4321C">
      <w:pPr>
        <w:rPr>
          <w:rFonts w:asciiTheme="minorHAnsi" w:hAnsiTheme="minorHAnsi" w:cstheme="minorHAnsi"/>
          <w:sz w:val="22"/>
          <w:szCs w:val="22"/>
        </w:rPr>
      </w:pPr>
      <w:r w:rsidRPr="00B551A8">
        <w:rPr>
          <w:rFonts w:asciiTheme="minorHAnsi" w:hAnsiTheme="minorHAnsi" w:cstheme="minorHAnsi"/>
          <w:b/>
          <w:sz w:val="22"/>
          <w:szCs w:val="22"/>
        </w:rPr>
        <w:t>California Title 20</w:t>
      </w:r>
      <w:r w:rsidR="00C5179F" w:rsidRPr="00B551A8">
        <w:rPr>
          <w:rFonts w:asciiTheme="minorHAnsi" w:hAnsiTheme="minorHAnsi" w:cstheme="minorHAnsi"/>
          <w:b/>
          <w:sz w:val="22"/>
          <w:szCs w:val="22"/>
        </w:rPr>
        <w:t xml:space="preserve"> 2014</w:t>
      </w:r>
      <w:r w:rsidRPr="00B551A8">
        <w:rPr>
          <w:rFonts w:asciiTheme="minorHAnsi" w:hAnsiTheme="minorHAnsi" w:cstheme="minorHAnsi"/>
          <w:b/>
          <w:sz w:val="22"/>
          <w:szCs w:val="22"/>
        </w:rPr>
        <w:t>:</w:t>
      </w:r>
      <w:r w:rsidRPr="00B551A8">
        <w:rPr>
          <w:rFonts w:asciiTheme="minorHAnsi" w:hAnsiTheme="minorHAnsi" w:cstheme="minorHAnsi"/>
          <w:sz w:val="22"/>
          <w:szCs w:val="22"/>
        </w:rPr>
        <w:t xml:space="preserve"> </w:t>
      </w:r>
      <w:r w:rsidR="009C6AEC" w:rsidRPr="00B551A8">
        <w:rPr>
          <w:rFonts w:asciiTheme="minorHAnsi" w:hAnsiTheme="minorHAnsi" w:cstheme="minorHAnsi"/>
          <w:sz w:val="22"/>
          <w:szCs w:val="22"/>
        </w:rPr>
        <w:t>State of California Title 20 Appliance Efficiency Regulation</w:t>
      </w:r>
      <w:r w:rsidR="00C5179F" w:rsidRPr="00B551A8">
        <w:rPr>
          <w:rFonts w:asciiTheme="minorHAnsi" w:hAnsiTheme="minorHAnsi" w:cstheme="minorHAnsi"/>
          <w:sz w:val="22"/>
          <w:szCs w:val="22"/>
        </w:rPr>
        <w:t xml:space="preserve"> [422]</w:t>
      </w:r>
      <w:r w:rsidR="009C6AEC" w:rsidRPr="00B551A8">
        <w:rPr>
          <w:rFonts w:asciiTheme="minorHAnsi" w:hAnsiTheme="minorHAnsi" w:cstheme="minorHAnsi"/>
          <w:sz w:val="22"/>
          <w:szCs w:val="22"/>
        </w:rPr>
        <w:t xml:space="preserve"> has a category for cooking appliances,</w:t>
      </w:r>
      <w:r w:rsidR="0022316B">
        <w:rPr>
          <w:rFonts w:asciiTheme="minorHAnsi" w:hAnsiTheme="minorHAnsi" w:cstheme="minorHAnsi"/>
          <w:sz w:val="22"/>
          <w:szCs w:val="22"/>
        </w:rPr>
        <w:t xml:space="preserve"> but minimum performance requirements for</w:t>
      </w:r>
      <w:r w:rsidR="009C6AEC" w:rsidRPr="00B551A8">
        <w:rPr>
          <w:rFonts w:asciiTheme="minorHAnsi" w:hAnsiTheme="minorHAnsi" w:cstheme="minorHAnsi"/>
          <w:sz w:val="22"/>
          <w:szCs w:val="22"/>
        </w:rPr>
        <w:t xml:space="preserve"> </w:t>
      </w:r>
      <w:r w:rsidR="00F25CAF">
        <w:rPr>
          <w:rFonts w:asciiTheme="minorHAnsi" w:hAnsiTheme="minorHAnsi" w:cstheme="minorHAnsi"/>
          <w:sz w:val="22"/>
          <w:szCs w:val="22"/>
        </w:rPr>
        <w:t>convection ovens</w:t>
      </w:r>
      <w:r w:rsidR="009C6AEC" w:rsidRPr="00B551A8">
        <w:rPr>
          <w:rFonts w:asciiTheme="minorHAnsi" w:hAnsiTheme="minorHAnsi" w:cstheme="minorHAnsi"/>
          <w:sz w:val="22"/>
          <w:szCs w:val="22"/>
        </w:rPr>
        <w:t xml:space="preserve"> are not included.</w:t>
      </w:r>
    </w:p>
    <w:p w:rsidR="000944EC" w:rsidRPr="00B551A8" w:rsidRDefault="000944EC" w:rsidP="00A4321C">
      <w:pPr>
        <w:rPr>
          <w:rFonts w:asciiTheme="minorHAnsi" w:hAnsiTheme="minorHAnsi" w:cstheme="minorHAnsi"/>
          <w:b/>
          <w:sz w:val="22"/>
          <w:szCs w:val="22"/>
        </w:rPr>
      </w:pPr>
    </w:p>
    <w:p w:rsidR="009C6AEC" w:rsidRPr="00B551A8" w:rsidRDefault="00A4321C" w:rsidP="0057341F">
      <w:pPr>
        <w:pStyle w:val="Heading3"/>
        <w:shd w:val="clear" w:color="auto" w:fill="FFFFFF"/>
        <w:spacing w:before="0" w:after="0"/>
        <w:rPr>
          <w:rFonts w:asciiTheme="minorHAnsi" w:hAnsiTheme="minorHAnsi" w:cstheme="minorHAnsi"/>
          <w:b w:val="0"/>
          <w:i/>
          <w:sz w:val="22"/>
          <w:szCs w:val="22"/>
        </w:rPr>
      </w:pPr>
      <w:r w:rsidRPr="00B551A8">
        <w:rPr>
          <w:rFonts w:asciiTheme="minorHAnsi" w:hAnsiTheme="minorHAnsi" w:cstheme="minorHAnsi"/>
          <w:bCs w:val="0"/>
          <w:sz w:val="22"/>
          <w:szCs w:val="22"/>
        </w:rPr>
        <w:t>ASTM Standards:</w:t>
      </w:r>
      <w:r w:rsidRPr="00B551A8">
        <w:rPr>
          <w:rFonts w:asciiTheme="minorHAnsi" w:hAnsiTheme="minorHAnsi" w:cstheme="minorHAnsi"/>
          <w:b w:val="0"/>
          <w:bCs w:val="0"/>
          <w:sz w:val="22"/>
          <w:szCs w:val="22"/>
        </w:rPr>
        <w:t xml:space="preserve"> </w:t>
      </w:r>
      <w:r w:rsidR="005966A5" w:rsidRPr="005966A5">
        <w:rPr>
          <w:rFonts w:asciiTheme="minorHAnsi" w:hAnsiTheme="minorHAnsi" w:cstheme="minorHAnsi"/>
          <w:b w:val="0"/>
          <w:bCs w:val="0"/>
          <w:sz w:val="22"/>
          <w:szCs w:val="22"/>
        </w:rPr>
        <w:t xml:space="preserve">ASTM Standard Test Method for the Performance of Convection </w:t>
      </w:r>
      <w:r w:rsidR="005966A5">
        <w:rPr>
          <w:rFonts w:asciiTheme="minorHAnsi" w:hAnsiTheme="minorHAnsi" w:cstheme="minorHAnsi"/>
          <w:b w:val="0"/>
          <w:bCs w:val="0"/>
          <w:sz w:val="22"/>
          <w:szCs w:val="22"/>
        </w:rPr>
        <w:t>O</w:t>
      </w:r>
      <w:r w:rsidR="005966A5" w:rsidRPr="005966A5">
        <w:rPr>
          <w:rFonts w:asciiTheme="minorHAnsi" w:hAnsiTheme="minorHAnsi" w:cstheme="minorHAnsi"/>
          <w:b w:val="0"/>
          <w:bCs w:val="0"/>
          <w:sz w:val="22"/>
          <w:szCs w:val="22"/>
        </w:rPr>
        <w:t>vens (F1496) is applicable for estimating energy use and cooking performance. It was used to estimate the energy consumption of the base case and measure equipment.</w:t>
      </w:r>
    </w:p>
    <w:p w:rsidR="00A4321C" w:rsidRPr="00B551A8" w:rsidRDefault="00A4321C" w:rsidP="00A4321C">
      <w:pPr>
        <w:rPr>
          <w:rFonts w:asciiTheme="minorHAnsi" w:hAnsiTheme="minorHAnsi" w:cstheme="minorHAnsi"/>
          <w:sz w:val="22"/>
          <w:szCs w:val="22"/>
        </w:rPr>
      </w:pPr>
    </w:p>
    <w:p w:rsidR="00B07EE5" w:rsidRPr="00B551A8" w:rsidRDefault="000944EC" w:rsidP="000944EC">
      <w:pPr>
        <w:pStyle w:val="Reminders"/>
        <w:rPr>
          <w:rFonts w:asciiTheme="minorHAnsi" w:hAnsiTheme="minorHAnsi" w:cstheme="minorHAnsi"/>
          <w:color w:val="auto"/>
          <w:sz w:val="22"/>
          <w:szCs w:val="22"/>
        </w:rPr>
      </w:pPr>
      <w:r w:rsidRPr="00B551A8">
        <w:rPr>
          <w:rFonts w:asciiTheme="minorHAnsi" w:hAnsiTheme="minorHAnsi" w:cstheme="minorHAnsi"/>
          <w:b/>
          <w:i w:val="0"/>
          <w:color w:val="auto"/>
          <w:sz w:val="22"/>
          <w:szCs w:val="22"/>
        </w:rPr>
        <w:t>Federal Standards:</w:t>
      </w:r>
      <w:r w:rsidRPr="00B551A8">
        <w:rPr>
          <w:rFonts w:asciiTheme="minorHAnsi" w:hAnsiTheme="minorHAnsi" w:cstheme="minorHAnsi"/>
          <w:i w:val="0"/>
          <w:color w:val="auto"/>
          <w:sz w:val="22"/>
          <w:szCs w:val="22"/>
        </w:rPr>
        <w:t xml:space="preserve"> These measures do not fall under Federal DOE or EPA Energy Regulations</w:t>
      </w:r>
      <w:r w:rsidR="00B43AAF">
        <w:rPr>
          <w:rFonts w:asciiTheme="minorHAnsi" w:hAnsiTheme="minorHAnsi" w:cstheme="minorHAnsi"/>
          <w:i w:val="0"/>
          <w:color w:val="auto"/>
          <w:sz w:val="22"/>
          <w:szCs w:val="22"/>
        </w:rPr>
        <w:t>.</w:t>
      </w:r>
    </w:p>
    <w:p w:rsidR="00AB21F5" w:rsidRPr="00B551A8" w:rsidRDefault="00AB21F5" w:rsidP="00F06CCF">
      <w:pPr>
        <w:pStyle w:val="Heading3"/>
        <w:rPr>
          <w:rFonts w:asciiTheme="minorHAnsi" w:hAnsiTheme="minorHAnsi"/>
        </w:rPr>
      </w:pPr>
      <w:bookmarkStart w:id="13" w:name="_Toc214003088"/>
      <w:r w:rsidRPr="00B551A8">
        <w:rPr>
          <w:rFonts w:asciiTheme="minorHAnsi" w:hAnsiTheme="minorHAnsi"/>
        </w:rPr>
        <w:t>1.4.3 Non-DEER Study Review</w:t>
      </w:r>
    </w:p>
    <w:p w:rsidR="005966A5" w:rsidRDefault="005966A5" w:rsidP="005966A5">
      <w:pPr>
        <w:rPr>
          <w:rFonts w:asciiTheme="minorHAnsi" w:hAnsiTheme="minorHAnsi" w:cstheme="minorHAnsi"/>
          <w:sz w:val="22"/>
          <w:szCs w:val="22"/>
        </w:rPr>
      </w:pPr>
      <w:r>
        <w:rPr>
          <w:rFonts w:asciiTheme="minorHAnsi" w:hAnsiTheme="minorHAnsi" w:cstheme="minorHAnsi"/>
          <w:sz w:val="22"/>
          <w:szCs w:val="22"/>
        </w:rPr>
        <w:t>The Food Service Technology Center conducted an assessment of major commercial cooking appliance technologies in 2002, which included a chapter on ovens</w:t>
      </w:r>
      <w:r w:rsidR="0022316B">
        <w:rPr>
          <w:rFonts w:asciiTheme="minorHAnsi" w:hAnsiTheme="minorHAnsi" w:cstheme="minorHAnsi"/>
          <w:sz w:val="22"/>
          <w:szCs w:val="22"/>
        </w:rPr>
        <w:t xml:space="preserve"> [138]</w:t>
      </w:r>
      <w:r>
        <w:rPr>
          <w:rFonts w:asciiTheme="minorHAnsi" w:hAnsiTheme="minorHAnsi" w:cstheme="minorHAnsi"/>
          <w:sz w:val="22"/>
          <w:szCs w:val="22"/>
        </w:rPr>
        <w:t>.</w:t>
      </w:r>
      <w:r w:rsidR="0022316B">
        <w:rPr>
          <w:rFonts w:asciiTheme="minorHAnsi" w:hAnsiTheme="minorHAnsi" w:cstheme="minorHAnsi"/>
          <w:sz w:val="22"/>
          <w:szCs w:val="22"/>
        </w:rPr>
        <w:t xml:space="preserve"> T</w:t>
      </w:r>
      <w:r>
        <w:rPr>
          <w:rFonts w:asciiTheme="minorHAnsi" w:hAnsiTheme="minorHAnsi" w:cstheme="minorHAnsi"/>
          <w:sz w:val="22"/>
          <w:szCs w:val="22"/>
        </w:rPr>
        <w:t xml:space="preserve">he study showed that oven efficiency </w:t>
      </w:r>
      <w:r>
        <w:rPr>
          <w:rFonts w:asciiTheme="minorHAnsi" w:hAnsiTheme="minorHAnsi" w:cstheme="minorHAnsi"/>
          <w:sz w:val="22"/>
          <w:szCs w:val="22"/>
        </w:rPr>
        <w:lastRenderedPageBreak/>
        <w:t>varies from 10% to 80%, based on primary fuel source and oven type (convection, combination, conventional, etc.). A further Food Service Technology Center study included convection oven performance data, which suggests a baseline efficiency of 65% for electric convection ovens and 30% gas convection ovens, respectively</w:t>
      </w:r>
      <w:r w:rsidR="00DE73FE">
        <w:rPr>
          <w:rFonts w:asciiTheme="minorHAnsi" w:hAnsiTheme="minorHAnsi" w:cstheme="minorHAnsi"/>
          <w:sz w:val="22"/>
          <w:szCs w:val="22"/>
        </w:rPr>
        <w:t xml:space="preserve"> [439]</w:t>
      </w:r>
      <w:r>
        <w:rPr>
          <w:rFonts w:asciiTheme="minorHAnsi" w:hAnsiTheme="minorHAnsi" w:cstheme="minorHAnsi"/>
          <w:sz w:val="22"/>
          <w:szCs w:val="22"/>
        </w:rPr>
        <w:t>.</w:t>
      </w:r>
    </w:p>
    <w:p w:rsidR="005966A5" w:rsidRDefault="005966A5" w:rsidP="005966A5">
      <w:pPr>
        <w:pStyle w:val="Heading3"/>
        <w:rPr>
          <w:rFonts w:asciiTheme="minorHAnsi" w:hAnsiTheme="minorHAnsi" w:cstheme="minorHAnsi"/>
          <w:b w:val="0"/>
          <w:bCs w:val="0"/>
          <w:sz w:val="22"/>
          <w:szCs w:val="22"/>
        </w:rPr>
      </w:pPr>
      <w:r>
        <w:rPr>
          <w:rFonts w:asciiTheme="minorHAnsi" w:hAnsiTheme="minorHAnsi" w:cstheme="minorHAnsi"/>
          <w:b w:val="0"/>
          <w:bCs w:val="0"/>
          <w:sz w:val="22"/>
          <w:szCs w:val="22"/>
        </w:rPr>
        <w:t>Since the current Title 20 regulations do not include a minimum performance requirement for convection ovens, the base case for existing models of electric convection ovens was determined from Table 3-2 in the Food Service Technology Center study</w:t>
      </w:r>
      <w:r w:rsidR="0022316B">
        <w:rPr>
          <w:rFonts w:asciiTheme="minorHAnsi" w:hAnsiTheme="minorHAnsi" w:cstheme="minorHAnsi"/>
          <w:b w:val="0"/>
          <w:bCs w:val="0"/>
          <w:sz w:val="22"/>
          <w:szCs w:val="22"/>
        </w:rPr>
        <w:t>.</w:t>
      </w:r>
    </w:p>
    <w:p w:rsidR="00560A6D" w:rsidRPr="00B551A8" w:rsidRDefault="00560A6D" w:rsidP="00560A6D">
      <w:pPr>
        <w:rPr>
          <w:rFonts w:asciiTheme="minorHAnsi" w:hAnsiTheme="minorHAnsi" w:cs="Arial"/>
          <w:b/>
          <w:bCs/>
          <w:sz w:val="26"/>
          <w:szCs w:val="26"/>
        </w:rPr>
      </w:pPr>
    </w:p>
    <w:p w:rsidR="00E16609" w:rsidRPr="00B551A8" w:rsidRDefault="00824F1C" w:rsidP="00560A6D">
      <w:pPr>
        <w:rPr>
          <w:rFonts w:asciiTheme="minorHAnsi" w:hAnsiTheme="minorHAnsi" w:cs="Arial"/>
          <w:b/>
          <w:bCs/>
          <w:sz w:val="26"/>
          <w:szCs w:val="26"/>
        </w:rPr>
      </w:pPr>
      <w:proofErr w:type="gramStart"/>
      <w:r w:rsidRPr="00B551A8">
        <w:rPr>
          <w:rFonts w:asciiTheme="minorHAnsi" w:hAnsiTheme="minorHAnsi" w:cs="Arial"/>
          <w:b/>
          <w:bCs/>
          <w:sz w:val="26"/>
          <w:szCs w:val="26"/>
        </w:rPr>
        <w:t>1.4</w:t>
      </w:r>
      <w:r w:rsidR="00F06CCF" w:rsidRPr="00B551A8">
        <w:rPr>
          <w:rFonts w:asciiTheme="minorHAnsi" w:hAnsiTheme="minorHAnsi" w:cs="Arial"/>
          <w:b/>
          <w:bCs/>
          <w:sz w:val="26"/>
          <w:szCs w:val="26"/>
        </w:rPr>
        <w:t>.</w:t>
      </w:r>
      <w:r w:rsidR="00AB21F5" w:rsidRPr="00B551A8">
        <w:rPr>
          <w:rFonts w:asciiTheme="minorHAnsi" w:hAnsiTheme="minorHAnsi" w:cs="Arial"/>
          <w:b/>
          <w:bCs/>
          <w:sz w:val="26"/>
          <w:szCs w:val="26"/>
        </w:rPr>
        <w:t>4</w:t>
      </w:r>
      <w:r w:rsidRPr="00B551A8">
        <w:rPr>
          <w:rFonts w:asciiTheme="minorHAnsi" w:hAnsiTheme="minorHAnsi" w:cs="Arial"/>
          <w:b/>
          <w:bCs/>
          <w:sz w:val="26"/>
          <w:szCs w:val="26"/>
        </w:rPr>
        <w:t xml:space="preserve">  </w:t>
      </w:r>
      <w:r w:rsidR="00E16609" w:rsidRPr="00B551A8">
        <w:rPr>
          <w:rFonts w:asciiTheme="minorHAnsi" w:hAnsiTheme="minorHAnsi" w:cs="Arial"/>
          <w:b/>
          <w:bCs/>
          <w:sz w:val="26"/>
          <w:szCs w:val="26"/>
        </w:rPr>
        <w:t>Measure</w:t>
      </w:r>
      <w:proofErr w:type="gramEnd"/>
      <w:r w:rsidR="00F06CCF" w:rsidRPr="00B551A8">
        <w:rPr>
          <w:rFonts w:asciiTheme="minorHAnsi" w:hAnsiTheme="minorHAnsi" w:cs="Arial"/>
          <w:b/>
          <w:bCs/>
          <w:sz w:val="26"/>
          <w:szCs w:val="26"/>
        </w:rPr>
        <w:t xml:space="preserve"> and Base Case</w:t>
      </w:r>
      <w:r w:rsidR="00E16609" w:rsidRPr="00B551A8">
        <w:rPr>
          <w:rFonts w:asciiTheme="minorHAnsi" w:hAnsiTheme="minorHAnsi" w:cs="Arial"/>
          <w:b/>
          <w:bCs/>
          <w:sz w:val="26"/>
          <w:szCs w:val="26"/>
        </w:rPr>
        <w:t xml:space="preserve"> Effective Useful Life</w:t>
      </w:r>
      <w:bookmarkEnd w:id="13"/>
    </w:p>
    <w:p w:rsidR="005B28C1" w:rsidRPr="00B551A8" w:rsidRDefault="000F130A" w:rsidP="000F130A">
      <w:pPr>
        <w:rPr>
          <w:rFonts w:asciiTheme="minorHAnsi" w:hAnsiTheme="minorHAnsi" w:cstheme="minorHAnsi"/>
          <w:sz w:val="22"/>
          <w:szCs w:val="22"/>
        </w:rPr>
      </w:pPr>
      <w:r w:rsidRPr="00B551A8">
        <w:rPr>
          <w:rFonts w:asciiTheme="minorHAnsi" w:hAnsiTheme="minorHAnsi" w:cstheme="minorHAnsi"/>
          <w:sz w:val="22"/>
          <w:szCs w:val="22"/>
        </w:rPr>
        <w:t>DEER</w:t>
      </w:r>
      <w:r w:rsidR="00F06CCF" w:rsidRPr="00B551A8">
        <w:rPr>
          <w:rFonts w:asciiTheme="minorHAnsi" w:hAnsiTheme="minorHAnsi" w:cstheme="minorHAnsi"/>
          <w:sz w:val="22"/>
          <w:szCs w:val="22"/>
        </w:rPr>
        <w:t>14 update</w:t>
      </w:r>
      <w:r w:rsidRPr="00B551A8">
        <w:rPr>
          <w:rFonts w:asciiTheme="minorHAnsi" w:hAnsiTheme="minorHAnsi" w:cstheme="minorHAnsi"/>
          <w:sz w:val="22"/>
          <w:szCs w:val="22"/>
        </w:rPr>
        <w:t xml:space="preserve"> documentation provides EUL and RUL information to be used for the </w:t>
      </w:r>
      <w:r w:rsidR="00A11917" w:rsidRPr="00B551A8">
        <w:rPr>
          <w:rFonts w:asciiTheme="minorHAnsi" w:hAnsiTheme="minorHAnsi" w:cstheme="minorHAnsi"/>
          <w:sz w:val="22"/>
          <w:szCs w:val="22"/>
        </w:rPr>
        <w:t>2013-14</w:t>
      </w:r>
      <w:r w:rsidRPr="00B551A8">
        <w:rPr>
          <w:rFonts w:asciiTheme="minorHAnsi" w:hAnsiTheme="minorHAnsi" w:cstheme="minorHAnsi"/>
          <w:sz w:val="22"/>
          <w:szCs w:val="22"/>
        </w:rPr>
        <w:t xml:space="preserve"> program cycle</w:t>
      </w:r>
      <w:r w:rsidR="00F06CCF" w:rsidRPr="00B551A8">
        <w:rPr>
          <w:rFonts w:asciiTheme="minorHAnsi" w:hAnsiTheme="minorHAnsi" w:cstheme="minorHAnsi"/>
          <w:sz w:val="22"/>
          <w:szCs w:val="22"/>
        </w:rPr>
        <w:t xml:space="preserve"> </w:t>
      </w:r>
      <w:r w:rsidRPr="00B551A8">
        <w:rPr>
          <w:rFonts w:asciiTheme="minorHAnsi" w:hAnsiTheme="minorHAnsi" w:cstheme="minorHAnsi"/>
          <w:sz w:val="22"/>
          <w:szCs w:val="22"/>
        </w:rPr>
        <w:t xml:space="preserve">on </w:t>
      </w:r>
      <w:hyperlink r:id="rId11" w:history="1">
        <w:r w:rsidRPr="00B551A8">
          <w:rPr>
            <w:rFonts w:asciiTheme="minorHAnsi" w:hAnsiTheme="minorHAnsi" w:cstheme="minorHAnsi"/>
            <w:sz w:val="22"/>
            <w:szCs w:val="22"/>
          </w:rPr>
          <w:t>www.deeresources.com</w:t>
        </w:r>
      </w:hyperlink>
      <w:r w:rsidR="00056947" w:rsidRPr="00B551A8">
        <w:rPr>
          <w:rFonts w:asciiTheme="minorHAnsi" w:hAnsiTheme="minorHAnsi" w:cstheme="minorHAnsi"/>
          <w:sz w:val="22"/>
          <w:szCs w:val="22"/>
        </w:rPr>
        <w:t xml:space="preserve">. </w:t>
      </w:r>
      <w:r w:rsidRPr="00B551A8">
        <w:rPr>
          <w:rFonts w:asciiTheme="minorHAnsi" w:hAnsiTheme="minorHAnsi" w:cstheme="minorHAnsi"/>
          <w:sz w:val="22"/>
          <w:szCs w:val="22"/>
        </w:rPr>
        <w:t>The DEER documentation “Summary of EUL-RUL Analysis for the April 2008 Update to DEER” provides the RUL value as a flat 1/3 of the EUL value.</w:t>
      </w:r>
      <w:r w:rsidR="009D0753" w:rsidRPr="00B551A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B551A8" w:rsidRDefault="00056947" w:rsidP="000F130A">
      <w:pPr>
        <w:rPr>
          <w:rFonts w:asciiTheme="minorHAnsi" w:hAnsiTheme="minorHAnsi" w:cstheme="minorHAnsi"/>
          <w:sz w:val="22"/>
          <w:szCs w:val="22"/>
        </w:rPr>
      </w:pPr>
    </w:p>
    <w:p w:rsidR="00BD6511" w:rsidRDefault="005B28C1" w:rsidP="00BD6511">
      <w:pPr>
        <w:rPr>
          <w:rFonts w:asciiTheme="minorHAnsi" w:hAnsiTheme="minorHAnsi"/>
          <w:sz w:val="22"/>
          <w:szCs w:val="22"/>
        </w:rPr>
      </w:pPr>
      <w:r w:rsidRPr="00B551A8">
        <w:rPr>
          <w:rFonts w:asciiTheme="minorHAnsi" w:hAnsiTheme="minorHAnsi" w:cstheme="minorHAnsi"/>
          <w:sz w:val="22"/>
          <w:szCs w:val="22"/>
        </w:rPr>
        <w:t>To obtain the EUL value the DEER</w:t>
      </w:r>
      <w:r w:rsidR="00F06CCF" w:rsidRPr="00B551A8">
        <w:rPr>
          <w:rFonts w:asciiTheme="minorHAnsi" w:hAnsiTheme="minorHAnsi" w:cstheme="minorHAnsi"/>
          <w:sz w:val="22"/>
          <w:szCs w:val="22"/>
        </w:rPr>
        <w:t>14 update</w:t>
      </w:r>
      <w:r w:rsidRPr="00B551A8">
        <w:rPr>
          <w:rFonts w:asciiTheme="minorHAnsi" w:hAnsiTheme="minorHAnsi" w:cstheme="minorHAnsi"/>
          <w:sz w:val="22"/>
          <w:szCs w:val="22"/>
        </w:rPr>
        <w:t xml:space="preserve"> documentation, EUL_Summary_10-1-08.xls</w:t>
      </w:r>
      <w:r w:rsidR="00E07752" w:rsidRPr="00B551A8">
        <w:rPr>
          <w:rFonts w:asciiTheme="minorHAnsi" w:hAnsiTheme="minorHAnsi" w:cstheme="minorHAnsi"/>
          <w:sz w:val="22"/>
          <w:szCs w:val="22"/>
        </w:rPr>
        <w:t xml:space="preserve"> [213]</w:t>
      </w:r>
      <w:r w:rsidR="00056947" w:rsidRPr="00B551A8">
        <w:rPr>
          <w:rFonts w:asciiTheme="minorHAnsi" w:hAnsiTheme="minorHAnsi" w:cstheme="minorHAnsi"/>
          <w:sz w:val="22"/>
          <w:szCs w:val="22"/>
        </w:rPr>
        <w:t>, was consulted.</w:t>
      </w:r>
      <w:r w:rsidRPr="00B551A8">
        <w:rPr>
          <w:rFonts w:asciiTheme="minorHAnsi" w:hAnsiTheme="minorHAnsi" w:cstheme="minorHAnsi"/>
          <w:sz w:val="22"/>
          <w:szCs w:val="22"/>
        </w:rPr>
        <w:t xml:space="preserve"> </w:t>
      </w:r>
      <w:r w:rsidR="00476636" w:rsidRPr="00B551A8">
        <w:rPr>
          <w:rFonts w:asciiTheme="minorHAnsi" w:hAnsiTheme="minorHAnsi" w:cstheme="minorHAnsi"/>
          <w:sz w:val="22"/>
          <w:szCs w:val="22"/>
        </w:rPr>
        <w:fldChar w:fldCharType="begin"/>
      </w:r>
      <w:r w:rsidR="00476636" w:rsidRPr="00B551A8">
        <w:rPr>
          <w:rFonts w:asciiTheme="minorHAnsi" w:hAnsiTheme="minorHAnsi" w:cstheme="minorHAnsi"/>
          <w:sz w:val="22"/>
          <w:szCs w:val="22"/>
        </w:rPr>
        <w:instrText xml:space="preserve"> REF _Ref390777884 \h  \* MERGEFORMAT </w:instrText>
      </w:r>
      <w:r w:rsidR="00476636" w:rsidRPr="00B551A8">
        <w:rPr>
          <w:rFonts w:asciiTheme="minorHAnsi" w:hAnsiTheme="minorHAnsi" w:cstheme="minorHAnsi"/>
          <w:sz w:val="22"/>
          <w:szCs w:val="22"/>
        </w:rPr>
      </w:r>
      <w:r w:rsidR="00476636" w:rsidRPr="00B551A8">
        <w:rPr>
          <w:rFonts w:asciiTheme="minorHAnsi" w:hAnsiTheme="minorHAnsi" w:cstheme="minorHAnsi"/>
          <w:sz w:val="22"/>
          <w:szCs w:val="22"/>
        </w:rPr>
        <w:fldChar w:fldCharType="separate"/>
      </w:r>
    </w:p>
    <w:p w:rsidR="005B28C1" w:rsidRPr="00B551A8" w:rsidRDefault="00BD6511" w:rsidP="000F130A">
      <w:pPr>
        <w:rPr>
          <w:rFonts w:asciiTheme="minorHAnsi" w:hAnsiTheme="minorHAnsi" w:cstheme="minorHAnsi"/>
          <w:sz w:val="22"/>
          <w:szCs w:val="22"/>
        </w:rPr>
      </w:pPr>
      <w:r w:rsidRPr="00B551A8">
        <w:rPr>
          <w:rFonts w:asciiTheme="minorHAnsi" w:hAnsiTheme="minorHAnsi"/>
          <w:sz w:val="22"/>
          <w:szCs w:val="22"/>
        </w:rPr>
        <w:t>Table</w:t>
      </w:r>
      <w:r w:rsidRPr="00B551A8">
        <w:rPr>
          <w:rFonts w:asciiTheme="minorHAnsi" w:hAnsiTheme="minorHAnsi"/>
          <w:noProof/>
          <w:sz w:val="22"/>
          <w:szCs w:val="22"/>
        </w:rPr>
        <w:t xml:space="preserve"> </w:t>
      </w:r>
      <w:r>
        <w:rPr>
          <w:rFonts w:asciiTheme="minorHAnsi" w:hAnsiTheme="minorHAnsi"/>
          <w:noProof/>
          <w:sz w:val="22"/>
          <w:szCs w:val="22"/>
        </w:rPr>
        <w:t>7</w:t>
      </w:r>
      <w:r w:rsidR="00476636" w:rsidRPr="00B551A8">
        <w:rPr>
          <w:rFonts w:asciiTheme="minorHAnsi" w:hAnsiTheme="minorHAnsi" w:cstheme="minorHAnsi"/>
          <w:sz w:val="22"/>
          <w:szCs w:val="22"/>
        </w:rPr>
        <w:fldChar w:fldCharType="end"/>
      </w:r>
      <w:r w:rsidR="00476636" w:rsidRPr="00B551A8">
        <w:rPr>
          <w:rFonts w:asciiTheme="minorHAnsi" w:hAnsiTheme="minorHAnsi" w:cstheme="minorHAnsi"/>
          <w:sz w:val="22"/>
          <w:szCs w:val="22"/>
        </w:rPr>
        <w:t xml:space="preserve"> </w:t>
      </w:r>
      <w:r w:rsidR="005B28C1" w:rsidRPr="00B551A8">
        <w:rPr>
          <w:rFonts w:asciiTheme="minorHAnsi" w:hAnsiTheme="minorHAnsi" w:cstheme="minorHAnsi"/>
          <w:sz w:val="22"/>
          <w:szCs w:val="22"/>
        </w:rPr>
        <w:t>below identifies the value/methodology used for the measures in this work paper.</w:t>
      </w:r>
    </w:p>
    <w:p w:rsidR="008E7177" w:rsidRDefault="008E7177" w:rsidP="00C5179F">
      <w:pPr>
        <w:pStyle w:val="Caption"/>
        <w:jc w:val="center"/>
        <w:rPr>
          <w:rFonts w:asciiTheme="minorHAnsi" w:hAnsiTheme="minorHAnsi"/>
          <w:sz w:val="22"/>
          <w:szCs w:val="22"/>
        </w:rPr>
      </w:pPr>
      <w:bookmarkStart w:id="14" w:name="_Ref390777884"/>
    </w:p>
    <w:p w:rsidR="005B28C1" w:rsidRPr="00B551A8" w:rsidRDefault="00C5179F" w:rsidP="00C5179F">
      <w:pPr>
        <w:pStyle w:val="Caption"/>
        <w:jc w:val="center"/>
        <w:rPr>
          <w:rFonts w:asciiTheme="minorHAnsi" w:hAnsiTheme="minorHAnsi" w:cstheme="minorHAnsi"/>
          <w:sz w:val="22"/>
          <w:szCs w:val="22"/>
        </w:rPr>
      </w:pPr>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D6511">
        <w:rPr>
          <w:rFonts w:asciiTheme="minorHAnsi" w:hAnsiTheme="minorHAnsi"/>
          <w:noProof/>
          <w:sz w:val="22"/>
          <w:szCs w:val="22"/>
        </w:rPr>
        <w:t>7</w:t>
      </w:r>
      <w:r w:rsidRPr="00B551A8">
        <w:rPr>
          <w:rFonts w:asciiTheme="minorHAnsi" w:hAnsiTheme="minorHAnsi"/>
          <w:sz w:val="22"/>
          <w:szCs w:val="22"/>
        </w:rPr>
        <w:fldChar w:fldCharType="end"/>
      </w:r>
      <w:bookmarkEnd w:id="14"/>
      <w:r w:rsidRPr="00B551A8">
        <w:rPr>
          <w:rFonts w:asciiTheme="minorHAnsi" w:hAnsiTheme="minorHAnsi"/>
          <w:sz w:val="22"/>
          <w:szCs w:val="22"/>
        </w:rPr>
        <w:t xml:space="preserve"> </w:t>
      </w:r>
      <w:r w:rsidR="005B28C1" w:rsidRPr="00B551A8">
        <w:rPr>
          <w:rFonts w:asciiTheme="minorHAnsi" w:hAnsiTheme="minorHAnsi" w:cstheme="minorHAnsi"/>
          <w:sz w:val="22"/>
          <w:szCs w:val="22"/>
        </w:rPr>
        <w:t>DEER</w:t>
      </w:r>
      <w:r w:rsidR="003832D2" w:rsidRPr="00B551A8">
        <w:rPr>
          <w:rFonts w:asciiTheme="minorHAnsi" w:hAnsiTheme="minorHAnsi" w:cstheme="minorHAnsi"/>
          <w:sz w:val="22"/>
          <w:szCs w:val="22"/>
        </w:rPr>
        <w:t>14</w:t>
      </w:r>
      <w:r w:rsidR="005B28C1" w:rsidRPr="00B551A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2312"/>
        <w:gridCol w:w="1440"/>
        <w:gridCol w:w="990"/>
        <w:gridCol w:w="1849"/>
        <w:gridCol w:w="1002"/>
        <w:gridCol w:w="990"/>
      </w:tblGrid>
      <w:tr w:rsidR="001C5A94" w:rsidRPr="00B551A8" w:rsidTr="009C6AEC">
        <w:trPr>
          <w:cnfStyle w:val="100000000000" w:firstRow="1" w:lastRow="0" w:firstColumn="0" w:lastColumn="0" w:oddVBand="0" w:evenVBand="0" w:oddHBand="0" w:evenHBand="0" w:firstRowFirstColumn="0" w:firstRowLastColumn="0" w:lastRowFirstColumn="0" w:lastRowLastColumn="0"/>
          <w:jc w:val="center"/>
        </w:trPr>
        <w:tc>
          <w:tcPr>
            <w:tcW w:w="2312"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READi EUL ID</w:t>
            </w:r>
          </w:p>
        </w:tc>
        <w:tc>
          <w:tcPr>
            <w:tcW w:w="144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Market</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Enduse</w:t>
            </w:r>
          </w:p>
        </w:tc>
        <w:tc>
          <w:tcPr>
            <w:tcW w:w="1849"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Measure</w:t>
            </w:r>
          </w:p>
        </w:tc>
        <w:tc>
          <w:tcPr>
            <w:tcW w:w="1002"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EUL (Years)</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RUL (Years)</w:t>
            </w:r>
          </w:p>
        </w:tc>
      </w:tr>
      <w:tr w:rsidR="001C5A94" w:rsidRPr="00B551A8" w:rsidTr="009C6AEC">
        <w:trPr>
          <w:cnfStyle w:val="000000100000" w:firstRow="0" w:lastRow="0" w:firstColumn="0" w:lastColumn="0" w:oddVBand="0" w:evenVBand="0" w:oddHBand="1" w:evenHBand="0" w:firstRowFirstColumn="0" w:firstRowLastColumn="0" w:lastRowFirstColumn="0" w:lastRowLastColumn="0"/>
          <w:trHeight w:val="243"/>
          <w:jc w:val="center"/>
        </w:trPr>
        <w:tc>
          <w:tcPr>
            <w:tcW w:w="2312" w:type="dxa"/>
            <w:vAlign w:val="center"/>
          </w:tcPr>
          <w:p w:rsidR="001C5A94" w:rsidRPr="00B551A8" w:rsidRDefault="005966A5" w:rsidP="00885359">
            <w:pPr>
              <w:jc w:val="center"/>
              <w:rPr>
                <w:rFonts w:asciiTheme="minorHAnsi" w:hAnsiTheme="minorHAnsi" w:cstheme="minorHAnsi"/>
                <w:sz w:val="20"/>
                <w:szCs w:val="20"/>
              </w:rPr>
            </w:pPr>
            <w:r w:rsidRPr="005966A5">
              <w:rPr>
                <w:rFonts w:asciiTheme="minorHAnsi" w:hAnsiTheme="minorHAnsi" w:cs="Arial"/>
                <w:sz w:val="20"/>
                <w:szCs w:val="20"/>
              </w:rPr>
              <w:t>Cook-ElecConvOven</w:t>
            </w:r>
          </w:p>
        </w:tc>
        <w:tc>
          <w:tcPr>
            <w:tcW w:w="144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Non-Residential</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Cooking</w:t>
            </w:r>
          </w:p>
        </w:tc>
        <w:tc>
          <w:tcPr>
            <w:tcW w:w="1849" w:type="dxa"/>
            <w:vAlign w:val="center"/>
          </w:tcPr>
          <w:p w:rsidR="001C5A94" w:rsidRPr="00B551A8" w:rsidRDefault="005966A5" w:rsidP="00476636">
            <w:pPr>
              <w:jc w:val="center"/>
              <w:rPr>
                <w:rFonts w:asciiTheme="minorHAnsi" w:hAnsiTheme="minorHAnsi" w:cstheme="minorHAnsi"/>
                <w:sz w:val="20"/>
                <w:szCs w:val="20"/>
              </w:rPr>
            </w:pPr>
            <w:r>
              <w:rPr>
                <w:rFonts w:asciiTheme="minorHAnsi" w:hAnsiTheme="minorHAnsi" w:cstheme="minorHAnsi"/>
                <w:sz w:val="20"/>
                <w:szCs w:val="20"/>
              </w:rPr>
              <w:t>Convection Ovens</w:t>
            </w:r>
          </w:p>
        </w:tc>
        <w:tc>
          <w:tcPr>
            <w:tcW w:w="1002"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12</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4</w:t>
            </w:r>
          </w:p>
        </w:tc>
      </w:tr>
    </w:tbl>
    <w:p w:rsidR="00E16609" w:rsidRPr="00B551A8" w:rsidRDefault="00E16609" w:rsidP="00560934">
      <w:pPr>
        <w:pStyle w:val="Heading1"/>
        <w:keepNext w:val="0"/>
        <w:rPr>
          <w:rFonts w:asciiTheme="minorHAnsi" w:hAnsiTheme="minorHAnsi" w:cstheme="minorHAnsi"/>
        </w:rPr>
      </w:pPr>
      <w:bookmarkStart w:id="15" w:name="_Toc214003090"/>
      <w:proofErr w:type="gramStart"/>
      <w:r w:rsidRPr="00B551A8">
        <w:rPr>
          <w:rFonts w:asciiTheme="minorHAnsi" w:hAnsiTheme="minorHAnsi" w:cstheme="minorHAnsi"/>
        </w:rPr>
        <w:t>Section 2.</w:t>
      </w:r>
      <w:proofErr w:type="gramEnd"/>
      <w:r w:rsidRPr="00B551A8">
        <w:rPr>
          <w:rFonts w:asciiTheme="minorHAnsi" w:hAnsiTheme="minorHAnsi" w:cstheme="minorHAnsi"/>
        </w:rPr>
        <w:t xml:space="preserve"> Energy Savings &amp; Demand Reduction Calculations</w:t>
      </w:r>
      <w:bookmarkEnd w:id="15"/>
    </w:p>
    <w:p w:rsidR="00AA5ECC" w:rsidRPr="00B551A8" w:rsidRDefault="00AA5ECC" w:rsidP="00AA5ECC">
      <w:pPr>
        <w:pStyle w:val="Heading2"/>
        <w:rPr>
          <w:rFonts w:asciiTheme="minorHAnsi" w:hAnsiTheme="minorHAnsi" w:cstheme="minorHAnsi"/>
        </w:rPr>
      </w:pPr>
      <w:bookmarkStart w:id="16" w:name="_Toc326215672"/>
      <w:bookmarkStart w:id="17" w:name="_Toc214003093"/>
      <w:r w:rsidRPr="00B551A8">
        <w:rPr>
          <w:rFonts w:asciiTheme="minorHAnsi" w:hAnsiTheme="minorHAnsi" w:cstheme="minorHAnsi"/>
        </w:rPr>
        <w:t>2.1 Electric Energy Savings Estimation Methodologies</w:t>
      </w:r>
      <w:bookmarkEnd w:id="16"/>
    </w:p>
    <w:p w:rsidR="00442987" w:rsidRPr="00B551A8" w:rsidRDefault="00442987" w:rsidP="00442987">
      <w:pPr>
        <w:rPr>
          <w:rFonts w:asciiTheme="minorHAnsi" w:hAnsiTheme="minorHAnsi" w:cstheme="minorHAnsi"/>
          <w:sz w:val="22"/>
          <w:szCs w:val="22"/>
        </w:rPr>
      </w:pPr>
      <w:r w:rsidRPr="00B551A8">
        <w:rPr>
          <w:rFonts w:asciiTheme="minorHAnsi" w:hAnsiTheme="minorHAnsi" w:cstheme="minorHAnsi"/>
          <w:sz w:val="22"/>
          <w:szCs w:val="22"/>
        </w:rPr>
        <w:t xml:space="preserve">This work paper uses </w:t>
      </w:r>
      <w:r w:rsidR="005966A5">
        <w:rPr>
          <w:rFonts w:asciiTheme="minorHAnsi" w:hAnsiTheme="minorHAnsi" w:cstheme="minorHAnsi"/>
          <w:sz w:val="22"/>
          <w:szCs w:val="22"/>
        </w:rPr>
        <w:t>ASTM Standard Test Method for the Performance of Convection Ovens (F1496)</w:t>
      </w:r>
      <w:r w:rsidR="00534E2F" w:rsidRPr="00534E2F">
        <w:rPr>
          <w:rFonts w:asciiTheme="minorHAnsi" w:hAnsiTheme="minorHAnsi" w:cstheme="minorHAnsi"/>
          <w:sz w:val="22"/>
          <w:szCs w:val="22"/>
        </w:rPr>
        <w:t xml:space="preserve"> for calculation of energy use and demand, based on testing in an approved and qualified laboratory.</w:t>
      </w:r>
      <w:r w:rsidRPr="00B551A8">
        <w:rPr>
          <w:rFonts w:asciiTheme="minorHAnsi" w:hAnsiTheme="minorHAnsi" w:cstheme="minorHAnsi"/>
          <w:sz w:val="22"/>
          <w:szCs w:val="22"/>
        </w:rPr>
        <w:t xml:space="preserve"> In the absence of mandatory regulations for testing commercial </w:t>
      </w:r>
      <w:r w:rsidR="005966A5">
        <w:rPr>
          <w:rFonts w:asciiTheme="minorHAnsi" w:hAnsiTheme="minorHAnsi" w:cstheme="minorHAnsi"/>
          <w:sz w:val="22"/>
          <w:szCs w:val="22"/>
        </w:rPr>
        <w:t>ovens</w:t>
      </w:r>
      <w:r w:rsidRPr="00B551A8">
        <w:rPr>
          <w:rFonts w:asciiTheme="minorHAnsi" w:hAnsiTheme="minorHAnsi" w:cstheme="minorHAnsi"/>
          <w:sz w:val="22"/>
          <w:szCs w:val="22"/>
        </w:rPr>
        <w:t>, there is little incentive on the part of equipment manufacturers to have their baseline equipment tested. Therefore, the ASTM performance parameters for baseline</w:t>
      </w:r>
      <w:r w:rsidR="00534E2F">
        <w:rPr>
          <w:rFonts w:asciiTheme="minorHAnsi" w:hAnsiTheme="minorHAnsi" w:cstheme="minorHAnsi"/>
          <w:sz w:val="22"/>
          <w:szCs w:val="22"/>
        </w:rPr>
        <w:t xml:space="preserve"> and measure</w:t>
      </w:r>
      <w:r w:rsidRPr="00B551A8">
        <w:rPr>
          <w:rFonts w:asciiTheme="minorHAnsi" w:hAnsiTheme="minorHAnsi" w:cstheme="minorHAnsi"/>
          <w:sz w:val="22"/>
          <w:szCs w:val="22"/>
        </w:rPr>
        <w:t xml:space="preserve"> equipment were drawn from a sample of economy grade equipment tested by the Food Service Technology Center and is summarized in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REF _Ref390848278 \h  \* MERGEFORMAT </w:instrText>
      </w:r>
      <w:r w:rsidRPr="00B551A8">
        <w:rPr>
          <w:rFonts w:asciiTheme="minorHAnsi" w:hAnsiTheme="minorHAnsi" w:cstheme="minorHAnsi"/>
          <w:sz w:val="22"/>
          <w:szCs w:val="22"/>
        </w:rPr>
      </w:r>
      <w:r w:rsidRPr="00B551A8">
        <w:rPr>
          <w:rFonts w:asciiTheme="minorHAnsi" w:hAnsiTheme="minorHAnsi" w:cstheme="minorHAnsi"/>
          <w:sz w:val="22"/>
          <w:szCs w:val="22"/>
        </w:rPr>
        <w:fldChar w:fldCharType="separate"/>
      </w:r>
      <w:r w:rsidR="00BD6511" w:rsidRPr="00B551A8">
        <w:rPr>
          <w:rFonts w:asciiTheme="minorHAnsi" w:hAnsiTheme="minorHAnsi" w:cstheme="minorHAnsi"/>
          <w:sz w:val="22"/>
          <w:szCs w:val="22"/>
        </w:rPr>
        <w:t xml:space="preserve">Table </w:t>
      </w:r>
      <w:r w:rsidR="00BD6511">
        <w:rPr>
          <w:rFonts w:asciiTheme="minorHAnsi" w:hAnsiTheme="minorHAnsi" w:cstheme="minorHAnsi"/>
          <w:sz w:val="22"/>
          <w:szCs w:val="22"/>
        </w:rPr>
        <w:t>8</w:t>
      </w:r>
      <w:r w:rsidRPr="00B551A8">
        <w:rPr>
          <w:rFonts w:asciiTheme="minorHAnsi" w:hAnsiTheme="minorHAnsi" w:cstheme="minorHAnsi"/>
          <w:sz w:val="22"/>
          <w:szCs w:val="22"/>
        </w:rPr>
        <w:fldChar w:fldCharType="end"/>
      </w:r>
      <w:r w:rsidR="005966A5">
        <w:rPr>
          <w:rFonts w:asciiTheme="minorHAnsi" w:hAnsiTheme="minorHAnsi" w:cstheme="minorHAnsi"/>
          <w:sz w:val="22"/>
          <w:szCs w:val="22"/>
        </w:rPr>
        <w:t xml:space="preserve"> and </w:t>
      </w:r>
      <w:r w:rsidR="005966A5">
        <w:rPr>
          <w:rFonts w:asciiTheme="minorHAnsi" w:hAnsiTheme="minorHAnsi" w:cstheme="minorHAnsi"/>
          <w:sz w:val="22"/>
          <w:szCs w:val="22"/>
        </w:rPr>
        <w:fldChar w:fldCharType="begin"/>
      </w:r>
      <w:r w:rsidR="005966A5">
        <w:rPr>
          <w:rFonts w:asciiTheme="minorHAnsi" w:hAnsiTheme="minorHAnsi" w:cstheme="minorHAnsi"/>
          <w:sz w:val="22"/>
          <w:szCs w:val="22"/>
        </w:rPr>
        <w:instrText xml:space="preserve"> REF _Ref390938992 \h </w:instrText>
      </w:r>
      <w:r w:rsidR="005966A5">
        <w:rPr>
          <w:rFonts w:asciiTheme="minorHAnsi" w:hAnsiTheme="minorHAnsi" w:cstheme="minorHAnsi"/>
          <w:sz w:val="22"/>
          <w:szCs w:val="22"/>
        </w:rPr>
      </w:r>
      <w:r w:rsidR="005966A5">
        <w:rPr>
          <w:rFonts w:asciiTheme="minorHAnsi" w:hAnsiTheme="minorHAnsi" w:cstheme="minorHAnsi"/>
          <w:sz w:val="22"/>
          <w:szCs w:val="22"/>
        </w:rPr>
        <w:fldChar w:fldCharType="separate"/>
      </w:r>
      <w:r w:rsidR="00BD6511" w:rsidRPr="005966A5">
        <w:rPr>
          <w:rFonts w:asciiTheme="minorHAnsi" w:hAnsiTheme="minorHAnsi" w:cstheme="minorHAnsi"/>
          <w:sz w:val="22"/>
          <w:szCs w:val="22"/>
        </w:rPr>
        <w:t xml:space="preserve">Table </w:t>
      </w:r>
      <w:r w:rsidR="00BD6511">
        <w:rPr>
          <w:rFonts w:asciiTheme="minorHAnsi" w:hAnsiTheme="minorHAnsi" w:cstheme="minorHAnsi"/>
          <w:noProof/>
          <w:sz w:val="22"/>
          <w:szCs w:val="22"/>
        </w:rPr>
        <w:t>9</w:t>
      </w:r>
      <w:r w:rsidR="005966A5">
        <w:rPr>
          <w:rFonts w:asciiTheme="minorHAnsi" w:hAnsiTheme="minorHAnsi" w:cstheme="minorHAnsi"/>
          <w:sz w:val="22"/>
          <w:szCs w:val="22"/>
        </w:rPr>
        <w:fldChar w:fldCharType="end"/>
      </w:r>
      <w:r w:rsidRPr="00B551A8">
        <w:rPr>
          <w:rFonts w:asciiTheme="minorHAnsi" w:hAnsiTheme="minorHAnsi" w:cstheme="minorHAnsi"/>
          <w:sz w:val="22"/>
          <w:szCs w:val="22"/>
        </w:rPr>
        <w:t xml:space="preserve">.  </w:t>
      </w:r>
    </w:p>
    <w:p w:rsidR="00442987" w:rsidRPr="00B551A8" w:rsidRDefault="00442987" w:rsidP="00442987">
      <w:pPr>
        <w:rPr>
          <w:rFonts w:asciiTheme="minorHAnsi" w:hAnsiTheme="minorHAnsi" w:cstheme="minorHAnsi"/>
          <w:sz w:val="22"/>
          <w:szCs w:val="22"/>
        </w:rPr>
      </w:pPr>
    </w:p>
    <w:p w:rsidR="00442987" w:rsidRPr="00B551A8" w:rsidRDefault="00442987" w:rsidP="00442987">
      <w:pPr>
        <w:pStyle w:val="Caption"/>
        <w:jc w:val="center"/>
        <w:rPr>
          <w:rFonts w:asciiTheme="minorHAnsi" w:hAnsiTheme="minorHAnsi" w:cstheme="minorHAnsi"/>
          <w:b w:val="0"/>
          <w:sz w:val="22"/>
          <w:szCs w:val="22"/>
        </w:rPr>
      </w:pP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TC /f “Table”</w:instrText>
      </w:r>
      <w:r w:rsidRPr="00B551A8">
        <w:rPr>
          <w:rFonts w:asciiTheme="minorHAnsi" w:hAnsiTheme="minorHAnsi" w:cstheme="minorHAnsi"/>
          <w:sz w:val="22"/>
          <w:szCs w:val="22"/>
        </w:rPr>
        <w:fldChar w:fldCharType="end"/>
      </w:r>
      <w:bookmarkStart w:id="18" w:name="_Ref390848278"/>
      <w:r w:rsidRPr="00B551A8">
        <w:rPr>
          <w:rFonts w:asciiTheme="minorHAnsi" w:hAnsiTheme="minorHAnsi" w:cstheme="minorHAnsi"/>
          <w:sz w:val="22"/>
          <w:szCs w:val="22"/>
        </w:rPr>
        <w:t xml:space="preserve">Table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SEQ Table \* ARABIC </w:instrText>
      </w:r>
      <w:r w:rsidRPr="00B551A8">
        <w:rPr>
          <w:rFonts w:asciiTheme="minorHAnsi" w:hAnsiTheme="minorHAnsi" w:cstheme="minorHAnsi"/>
          <w:sz w:val="22"/>
          <w:szCs w:val="22"/>
        </w:rPr>
        <w:fldChar w:fldCharType="separate"/>
      </w:r>
      <w:r w:rsidR="00BD6511">
        <w:rPr>
          <w:rFonts w:asciiTheme="minorHAnsi" w:hAnsiTheme="minorHAnsi" w:cstheme="minorHAnsi"/>
          <w:noProof/>
          <w:sz w:val="22"/>
          <w:szCs w:val="22"/>
        </w:rPr>
        <w:t>8</w:t>
      </w:r>
      <w:r w:rsidRPr="00B551A8">
        <w:rPr>
          <w:rFonts w:asciiTheme="minorHAnsi" w:hAnsiTheme="minorHAnsi" w:cstheme="minorHAnsi"/>
          <w:sz w:val="22"/>
          <w:szCs w:val="22"/>
        </w:rPr>
        <w:fldChar w:fldCharType="end"/>
      </w:r>
      <w:bookmarkEnd w:id="18"/>
      <w:r w:rsidRPr="00B551A8">
        <w:rPr>
          <w:rFonts w:asciiTheme="minorHAnsi" w:hAnsiTheme="minorHAnsi" w:cstheme="minorHAnsi"/>
          <w:sz w:val="22"/>
          <w:szCs w:val="22"/>
        </w:rPr>
        <w:t xml:space="preserve"> Baseline ASTM Test Results </w:t>
      </w:r>
      <w:r w:rsidRPr="005966A5">
        <w:rPr>
          <w:rFonts w:asciiTheme="minorHAnsi" w:hAnsiTheme="minorHAnsi" w:cstheme="minorHAnsi"/>
          <w:sz w:val="22"/>
          <w:szCs w:val="22"/>
        </w:rPr>
        <w:t xml:space="preserve">for Commercial </w:t>
      </w:r>
      <w:r w:rsidR="005966A5" w:rsidRPr="005966A5">
        <w:rPr>
          <w:rFonts w:asciiTheme="minorHAnsi" w:hAnsiTheme="minorHAnsi" w:cstheme="minorHAnsi"/>
          <w:sz w:val="22"/>
          <w:szCs w:val="22"/>
        </w:rPr>
        <w:t>Convection Ovens</w:t>
      </w:r>
    </w:p>
    <w:tbl>
      <w:tblPr>
        <w:tblStyle w:val="TableContemporary"/>
        <w:tblW w:w="4700" w:type="pct"/>
        <w:tblInd w:w="187" w:type="dxa"/>
        <w:tblLook w:val="01E0" w:firstRow="1" w:lastRow="1" w:firstColumn="1" w:lastColumn="1" w:noHBand="0" w:noVBand="0"/>
      </w:tblPr>
      <w:tblGrid>
        <w:gridCol w:w="2171"/>
        <w:gridCol w:w="1710"/>
        <w:gridCol w:w="2762"/>
        <w:gridCol w:w="2358"/>
      </w:tblGrid>
      <w:tr w:rsidR="005966A5" w:rsidRPr="00534E2F" w:rsidTr="005966A5">
        <w:trPr>
          <w:cnfStyle w:val="100000000000" w:firstRow="1" w:lastRow="0" w:firstColumn="0" w:lastColumn="0" w:oddVBand="0" w:evenVBand="0" w:oddHBand="0" w:evenHBand="0" w:firstRowFirstColumn="0" w:firstRowLastColumn="0" w:lastRowFirstColumn="0" w:lastRowLastColumn="0"/>
          <w:trHeight w:val="386"/>
        </w:trPr>
        <w:tc>
          <w:tcPr>
            <w:tcW w:w="1206" w:type="pct"/>
            <w:tcBorders>
              <w:top w:val="nil"/>
              <w:left w:val="nil"/>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Convection Oven Type</w:t>
            </w:r>
          </w:p>
        </w:tc>
        <w:tc>
          <w:tcPr>
            <w:tcW w:w="950" w:type="pct"/>
            <w:tcBorders>
              <w:top w:val="nil"/>
              <w:left w:val="single" w:sz="18" w:space="0" w:color="FFFFFF"/>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Idle Energy Rate</w:t>
            </w:r>
          </w:p>
        </w:tc>
        <w:tc>
          <w:tcPr>
            <w:tcW w:w="1534" w:type="pct"/>
            <w:tcBorders>
              <w:top w:val="nil"/>
              <w:left w:val="single" w:sz="18" w:space="0" w:color="FFFFFF"/>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Cooking-Energy Efficiency*</w:t>
            </w:r>
          </w:p>
        </w:tc>
        <w:tc>
          <w:tcPr>
            <w:tcW w:w="1310" w:type="pct"/>
            <w:tcBorders>
              <w:top w:val="nil"/>
              <w:left w:val="single" w:sz="18" w:space="0" w:color="FFFFFF"/>
              <w:bottom w:val="single" w:sz="18" w:space="0" w:color="FFFFFF"/>
              <w:right w:val="nil"/>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Production Capacity*</w:t>
            </w:r>
          </w:p>
        </w:tc>
      </w:tr>
      <w:tr w:rsidR="005966A5" w:rsidRPr="00534E2F" w:rsidTr="005966A5">
        <w:trPr>
          <w:cnfStyle w:val="000000100000" w:firstRow="0" w:lastRow="0" w:firstColumn="0" w:lastColumn="0" w:oddVBand="0" w:evenVBand="0" w:oddHBand="1" w:evenHBand="0" w:firstRowFirstColumn="0" w:firstRowLastColumn="0" w:lastRowFirstColumn="0" w:lastRowLastColumn="0"/>
          <w:trHeight w:val="257"/>
        </w:trPr>
        <w:tc>
          <w:tcPr>
            <w:tcW w:w="1206" w:type="pct"/>
            <w:tcBorders>
              <w:top w:val="single" w:sz="18" w:space="0" w:color="FFFFFF"/>
              <w:left w:val="nil"/>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Electric Half-Size</w:t>
            </w:r>
          </w:p>
        </w:tc>
        <w:tc>
          <w:tcPr>
            <w:tcW w:w="950" w:type="pct"/>
            <w:tcBorders>
              <w:top w:val="single" w:sz="18" w:space="0" w:color="FFFFFF"/>
              <w:left w:val="single" w:sz="18" w:space="0" w:color="FFFFFF"/>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1,500 W</w:t>
            </w:r>
          </w:p>
        </w:tc>
        <w:tc>
          <w:tcPr>
            <w:tcW w:w="1534" w:type="pct"/>
            <w:tcBorders>
              <w:top w:val="single" w:sz="18" w:space="0" w:color="FFFFFF"/>
              <w:left w:val="single" w:sz="18" w:space="0" w:color="FFFFFF"/>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65%</w:t>
            </w:r>
          </w:p>
        </w:tc>
        <w:tc>
          <w:tcPr>
            <w:tcW w:w="1310" w:type="pct"/>
            <w:tcBorders>
              <w:top w:val="single" w:sz="18" w:space="0" w:color="FFFFFF"/>
              <w:left w:val="single" w:sz="18" w:space="0" w:color="FFFFFF"/>
              <w:bottom w:val="single" w:sz="18" w:space="0" w:color="FFFFFF"/>
              <w:right w:val="nil"/>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45 lb/h</w:t>
            </w:r>
          </w:p>
        </w:tc>
      </w:tr>
      <w:tr w:rsidR="005966A5" w:rsidRPr="00534E2F" w:rsidTr="005966A5">
        <w:trPr>
          <w:cnfStyle w:val="000000010000" w:firstRow="0" w:lastRow="0" w:firstColumn="0" w:lastColumn="0" w:oddVBand="0" w:evenVBand="0" w:oddHBand="0" w:evenHBand="1" w:firstRowFirstColumn="0" w:firstRowLastColumn="0" w:lastRowFirstColumn="0" w:lastRowLastColumn="0"/>
          <w:trHeight w:val="257"/>
        </w:trPr>
        <w:tc>
          <w:tcPr>
            <w:tcW w:w="1206" w:type="pct"/>
            <w:tcBorders>
              <w:top w:val="single" w:sz="18" w:space="0" w:color="FFFFFF"/>
              <w:left w:val="nil"/>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Electric Full-Size</w:t>
            </w:r>
          </w:p>
        </w:tc>
        <w:tc>
          <w:tcPr>
            <w:tcW w:w="950" w:type="pct"/>
            <w:tcBorders>
              <w:top w:val="single" w:sz="18" w:space="0" w:color="FFFFFF"/>
              <w:left w:val="single" w:sz="18" w:space="0" w:color="FFFFFF"/>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2,000 W</w:t>
            </w:r>
          </w:p>
        </w:tc>
        <w:tc>
          <w:tcPr>
            <w:tcW w:w="1534" w:type="pct"/>
            <w:tcBorders>
              <w:top w:val="single" w:sz="18" w:space="0" w:color="FFFFFF"/>
              <w:left w:val="single" w:sz="18" w:space="0" w:color="FFFFFF"/>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65%</w:t>
            </w:r>
          </w:p>
        </w:tc>
        <w:tc>
          <w:tcPr>
            <w:tcW w:w="1310" w:type="pct"/>
            <w:tcBorders>
              <w:top w:val="single" w:sz="18" w:space="0" w:color="FFFFFF"/>
              <w:left w:val="single" w:sz="18" w:space="0" w:color="FFFFFF"/>
              <w:bottom w:val="single" w:sz="18" w:space="0" w:color="FFFFFF"/>
              <w:right w:val="nil"/>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70 lb/h</w:t>
            </w:r>
          </w:p>
        </w:tc>
      </w:tr>
      <w:tr w:rsidR="005966A5" w:rsidRPr="00534E2F" w:rsidTr="005966A5">
        <w:trPr>
          <w:cnfStyle w:val="000000100000" w:firstRow="0" w:lastRow="0" w:firstColumn="0" w:lastColumn="0" w:oddVBand="0" w:evenVBand="0" w:oddHBand="1" w:evenHBand="0" w:firstRowFirstColumn="0" w:firstRowLastColumn="0" w:lastRowFirstColumn="0" w:lastRowLastColumn="0"/>
          <w:trHeight w:val="257"/>
        </w:trPr>
        <w:tc>
          <w:tcPr>
            <w:tcW w:w="1206" w:type="pct"/>
            <w:tcBorders>
              <w:top w:val="single" w:sz="18" w:space="0" w:color="FFFFFF"/>
              <w:left w:val="nil"/>
              <w:bottom w:val="nil"/>
              <w:right w:val="single" w:sz="18" w:space="0" w:color="FFFFFF"/>
            </w:tcBorders>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Electric Large Full-Size</w:t>
            </w:r>
          </w:p>
        </w:tc>
        <w:tc>
          <w:tcPr>
            <w:tcW w:w="950" w:type="pct"/>
            <w:tcBorders>
              <w:top w:val="single" w:sz="18" w:space="0" w:color="FFFFFF"/>
              <w:left w:val="single" w:sz="18" w:space="0" w:color="FFFFFF"/>
              <w:bottom w:val="nil"/>
              <w:right w:val="single" w:sz="18" w:space="0" w:color="FFFFFF"/>
            </w:tcBorders>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2,500 W</w:t>
            </w:r>
          </w:p>
        </w:tc>
        <w:tc>
          <w:tcPr>
            <w:tcW w:w="1534" w:type="pct"/>
            <w:tcBorders>
              <w:top w:val="single" w:sz="18" w:space="0" w:color="FFFFFF"/>
              <w:left w:val="single" w:sz="18" w:space="0" w:color="FFFFFF"/>
              <w:bottom w:val="nil"/>
              <w:right w:val="single" w:sz="18" w:space="0" w:color="FFFFFF"/>
            </w:tcBorders>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65%</w:t>
            </w:r>
          </w:p>
        </w:tc>
        <w:tc>
          <w:tcPr>
            <w:tcW w:w="1310" w:type="pct"/>
            <w:tcBorders>
              <w:top w:val="single" w:sz="18" w:space="0" w:color="FFFFFF"/>
              <w:left w:val="single" w:sz="18" w:space="0" w:color="FFFFFF"/>
              <w:bottom w:val="nil"/>
              <w:right w:val="nil"/>
            </w:tcBorders>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100 lb/h</w:t>
            </w:r>
          </w:p>
        </w:tc>
      </w:tr>
    </w:tbl>
    <w:p w:rsidR="00534E2F" w:rsidRDefault="005966A5" w:rsidP="00442987">
      <w:pPr>
        <w:spacing w:line="276" w:lineRule="auto"/>
        <w:rPr>
          <w:rFonts w:asciiTheme="minorHAnsi" w:hAnsiTheme="minorHAnsi" w:cstheme="minorHAnsi"/>
          <w:sz w:val="18"/>
          <w:szCs w:val="18"/>
        </w:rPr>
      </w:pPr>
      <w:r w:rsidRPr="005966A5">
        <w:rPr>
          <w:rFonts w:asciiTheme="minorHAnsi" w:hAnsiTheme="minorHAnsi" w:cstheme="minorHAnsi"/>
          <w:sz w:val="18"/>
          <w:szCs w:val="18"/>
        </w:rPr>
        <w:t>*Based on the Heavy-load potato test in ASTM F1496</w:t>
      </w:r>
    </w:p>
    <w:p w:rsidR="005966A5" w:rsidRDefault="005966A5" w:rsidP="00442987">
      <w:pPr>
        <w:spacing w:line="276" w:lineRule="auto"/>
        <w:rPr>
          <w:rFonts w:asciiTheme="minorHAnsi" w:hAnsiTheme="minorHAnsi" w:cstheme="minorHAnsi"/>
          <w:sz w:val="18"/>
          <w:szCs w:val="18"/>
        </w:rPr>
      </w:pPr>
    </w:p>
    <w:p w:rsidR="00E246BC" w:rsidRDefault="00E246BC" w:rsidP="005966A5">
      <w:pPr>
        <w:pStyle w:val="Caption"/>
        <w:jc w:val="center"/>
        <w:rPr>
          <w:rFonts w:asciiTheme="minorHAnsi" w:hAnsiTheme="minorHAnsi" w:cstheme="minorHAnsi"/>
          <w:sz w:val="22"/>
          <w:szCs w:val="22"/>
        </w:rPr>
      </w:pPr>
      <w:bookmarkStart w:id="19" w:name="_Ref390938992"/>
    </w:p>
    <w:p w:rsidR="005966A5" w:rsidRDefault="005966A5" w:rsidP="005966A5">
      <w:pPr>
        <w:pStyle w:val="Caption"/>
        <w:jc w:val="center"/>
        <w:rPr>
          <w:rFonts w:asciiTheme="minorHAnsi" w:hAnsiTheme="minorHAnsi" w:cstheme="minorHAnsi"/>
          <w:sz w:val="18"/>
          <w:szCs w:val="18"/>
        </w:rPr>
      </w:pPr>
      <w:r w:rsidRPr="005966A5">
        <w:rPr>
          <w:rFonts w:asciiTheme="minorHAnsi" w:hAnsiTheme="minorHAnsi" w:cstheme="minorHAnsi"/>
          <w:sz w:val="22"/>
          <w:szCs w:val="22"/>
        </w:rPr>
        <w:lastRenderedPageBreak/>
        <w:t xml:space="preserve">Table </w:t>
      </w:r>
      <w:r w:rsidRPr="005966A5">
        <w:rPr>
          <w:rFonts w:asciiTheme="minorHAnsi" w:hAnsiTheme="minorHAnsi" w:cstheme="minorHAnsi"/>
          <w:sz w:val="22"/>
          <w:szCs w:val="22"/>
        </w:rPr>
        <w:fldChar w:fldCharType="begin"/>
      </w:r>
      <w:r w:rsidRPr="005966A5">
        <w:rPr>
          <w:rFonts w:asciiTheme="minorHAnsi" w:hAnsiTheme="minorHAnsi" w:cstheme="minorHAnsi"/>
          <w:sz w:val="22"/>
          <w:szCs w:val="22"/>
        </w:rPr>
        <w:instrText xml:space="preserve"> SEQ Table \* ARABIC </w:instrText>
      </w:r>
      <w:r w:rsidRPr="005966A5">
        <w:rPr>
          <w:rFonts w:asciiTheme="minorHAnsi" w:hAnsiTheme="minorHAnsi" w:cstheme="minorHAnsi"/>
          <w:sz w:val="22"/>
          <w:szCs w:val="22"/>
        </w:rPr>
        <w:fldChar w:fldCharType="separate"/>
      </w:r>
      <w:r w:rsidR="00BD6511">
        <w:rPr>
          <w:rFonts w:asciiTheme="minorHAnsi" w:hAnsiTheme="minorHAnsi" w:cstheme="minorHAnsi"/>
          <w:noProof/>
          <w:sz w:val="22"/>
          <w:szCs w:val="22"/>
        </w:rPr>
        <w:t>9</w:t>
      </w:r>
      <w:r w:rsidRPr="005966A5">
        <w:rPr>
          <w:rFonts w:asciiTheme="minorHAnsi" w:hAnsiTheme="minorHAnsi" w:cstheme="minorHAnsi"/>
          <w:sz w:val="22"/>
          <w:szCs w:val="22"/>
        </w:rPr>
        <w:fldChar w:fldCharType="end"/>
      </w:r>
      <w:bookmarkEnd w:id="19"/>
      <w:r w:rsidRPr="005966A5">
        <w:rPr>
          <w:rFonts w:asciiTheme="minorHAnsi" w:hAnsiTheme="minorHAnsi" w:cstheme="minorHAnsi"/>
          <w:sz w:val="22"/>
          <w:szCs w:val="22"/>
        </w:rPr>
        <w:t xml:space="preserve"> </w:t>
      </w:r>
      <w:r>
        <w:rPr>
          <w:rFonts w:asciiTheme="minorHAnsi" w:hAnsiTheme="minorHAnsi" w:cstheme="minorHAnsi"/>
          <w:sz w:val="22"/>
          <w:szCs w:val="22"/>
        </w:rPr>
        <w:t>Measure Case</w:t>
      </w:r>
      <w:r w:rsidRPr="00B551A8">
        <w:rPr>
          <w:rFonts w:asciiTheme="minorHAnsi" w:hAnsiTheme="minorHAnsi" w:cstheme="minorHAnsi"/>
          <w:sz w:val="22"/>
          <w:szCs w:val="22"/>
        </w:rPr>
        <w:t xml:space="preserve"> ASTM Test Results for </w:t>
      </w:r>
      <w:r w:rsidRPr="005966A5">
        <w:rPr>
          <w:rFonts w:asciiTheme="minorHAnsi" w:hAnsiTheme="minorHAnsi" w:cstheme="minorHAnsi"/>
          <w:sz w:val="22"/>
          <w:szCs w:val="22"/>
        </w:rPr>
        <w:t>Commercial Convection Ovens</w:t>
      </w:r>
    </w:p>
    <w:tbl>
      <w:tblPr>
        <w:tblStyle w:val="TableContemporary"/>
        <w:tblW w:w="4700" w:type="pct"/>
        <w:tblInd w:w="187" w:type="dxa"/>
        <w:tblLook w:val="01E0" w:firstRow="1" w:lastRow="1" w:firstColumn="1" w:lastColumn="1" w:noHBand="0" w:noVBand="0"/>
      </w:tblPr>
      <w:tblGrid>
        <w:gridCol w:w="2171"/>
        <w:gridCol w:w="1710"/>
        <w:gridCol w:w="2762"/>
        <w:gridCol w:w="2358"/>
      </w:tblGrid>
      <w:tr w:rsidR="005966A5" w:rsidRPr="00534E2F" w:rsidTr="0022316B">
        <w:trPr>
          <w:cnfStyle w:val="100000000000" w:firstRow="1" w:lastRow="0" w:firstColumn="0" w:lastColumn="0" w:oddVBand="0" w:evenVBand="0" w:oddHBand="0" w:evenHBand="0" w:firstRowFirstColumn="0" w:firstRowLastColumn="0" w:lastRowFirstColumn="0" w:lastRowLastColumn="0"/>
          <w:trHeight w:val="386"/>
        </w:trPr>
        <w:tc>
          <w:tcPr>
            <w:tcW w:w="1206" w:type="pct"/>
            <w:tcBorders>
              <w:top w:val="nil"/>
              <w:left w:val="nil"/>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Convection Oven Type</w:t>
            </w:r>
          </w:p>
        </w:tc>
        <w:tc>
          <w:tcPr>
            <w:tcW w:w="950" w:type="pct"/>
            <w:tcBorders>
              <w:top w:val="nil"/>
              <w:left w:val="single" w:sz="18" w:space="0" w:color="FFFFFF"/>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Idle Energy Rate</w:t>
            </w:r>
          </w:p>
        </w:tc>
        <w:tc>
          <w:tcPr>
            <w:tcW w:w="1534" w:type="pct"/>
            <w:tcBorders>
              <w:top w:val="nil"/>
              <w:left w:val="single" w:sz="18" w:space="0" w:color="FFFFFF"/>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Cooking-Energy Efficiency*</w:t>
            </w:r>
          </w:p>
        </w:tc>
        <w:tc>
          <w:tcPr>
            <w:tcW w:w="1310" w:type="pct"/>
            <w:tcBorders>
              <w:top w:val="nil"/>
              <w:left w:val="single" w:sz="18" w:space="0" w:color="FFFFFF"/>
              <w:bottom w:val="single" w:sz="18" w:space="0" w:color="FFFFFF"/>
              <w:right w:val="nil"/>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Production Capacity*</w:t>
            </w:r>
          </w:p>
        </w:tc>
      </w:tr>
      <w:tr w:rsidR="005966A5" w:rsidRPr="00534E2F" w:rsidTr="0022316B">
        <w:trPr>
          <w:cnfStyle w:val="000000100000" w:firstRow="0" w:lastRow="0" w:firstColumn="0" w:lastColumn="0" w:oddVBand="0" w:evenVBand="0" w:oddHBand="1" w:evenHBand="0" w:firstRowFirstColumn="0" w:firstRowLastColumn="0" w:lastRowFirstColumn="0" w:lastRowLastColumn="0"/>
          <w:trHeight w:val="257"/>
        </w:trPr>
        <w:tc>
          <w:tcPr>
            <w:tcW w:w="1206" w:type="pct"/>
            <w:tcBorders>
              <w:top w:val="single" w:sz="18" w:space="0" w:color="FFFFFF"/>
              <w:left w:val="nil"/>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 xml:space="preserve">Electric Half-Size </w:t>
            </w:r>
          </w:p>
        </w:tc>
        <w:tc>
          <w:tcPr>
            <w:tcW w:w="950" w:type="pct"/>
            <w:tcBorders>
              <w:top w:val="single" w:sz="18" w:space="0" w:color="FFFFFF"/>
              <w:left w:val="single" w:sz="18" w:space="0" w:color="FFFFFF"/>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880 W</w:t>
            </w:r>
          </w:p>
        </w:tc>
        <w:tc>
          <w:tcPr>
            <w:tcW w:w="1534" w:type="pct"/>
            <w:tcBorders>
              <w:top w:val="single" w:sz="18" w:space="0" w:color="FFFFFF"/>
              <w:left w:val="single" w:sz="18" w:space="0" w:color="FFFFFF"/>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72%</w:t>
            </w:r>
          </w:p>
        </w:tc>
        <w:tc>
          <w:tcPr>
            <w:tcW w:w="1310" w:type="pct"/>
            <w:tcBorders>
              <w:top w:val="single" w:sz="18" w:space="0" w:color="FFFFFF"/>
              <w:left w:val="single" w:sz="18" w:space="0" w:color="FFFFFF"/>
              <w:bottom w:val="single" w:sz="18" w:space="0" w:color="FFFFFF"/>
              <w:right w:val="nil"/>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53 lb/h</w:t>
            </w:r>
          </w:p>
        </w:tc>
      </w:tr>
      <w:tr w:rsidR="005966A5" w:rsidRPr="00534E2F" w:rsidTr="0022316B">
        <w:trPr>
          <w:cnfStyle w:val="000000010000" w:firstRow="0" w:lastRow="0" w:firstColumn="0" w:lastColumn="0" w:oddVBand="0" w:evenVBand="0" w:oddHBand="0" w:evenHBand="1" w:firstRowFirstColumn="0" w:firstRowLastColumn="0" w:lastRowFirstColumn="0" w:lastRowLastColumn="0"/>
          <w:trHeight w:val="257"/>
        </w:trPr>
        <w:tc>
          <w:tcPr>
            <w:tcW w:w="1206" w:type="pct"/>
            <w:tcBorders>
              <w:top w:val="single" w:sz="18" w:space="0" w:color="FFFFFF"/>
              <w:left w:val="nil"/>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Electric Full-Size</w:t>
            </w:r>
          </w:p>
        </w:tc>
        <w:tc>
          <w:tcPr>
            <w:tcW w:w="950" w:type="pct"/>
            <w:tcBorders>
              <w:top w:val="single" w:sz="18" w:space="0" w:color="FFFFFF"/>
              <w:left w:val="single" w:sz="18" w:space="0" w:color="FFFFFF"/>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1,400 W</w:t>
            </w:r>
          </w:p>
        </w:tc>
        <w:tc>
          <w:tcPr>
            <w:tcW w:w="1534" w:type="pct"/>
            <w:tcBorders>
              <w:top w:val="single" w:sz="18" w:space="0" w:color="FFFFFF"/>
              <w:left w:val="single" w:sz="18" w:space="0" w:color="FFFFFF"/>
              <w:bottom w:val="single" w:sz="18" w:space="0" w:color="FFFFFF"/>
              <w:right w:val="single" w:sz="18" w:space="0" w:color="FFFFFF"/>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73%</w:t>
            </w:r>
          </w:p>
        </w:tc>
        <w:tc>
          <w:tcPr>
            <w:tcW w:w="1310" w:type="pct"/>
            <w:tcBorders>
              <w:top w:val="single" w:sz="18" w:space="0" w:color="FFFFFF"/>
              <w:left w:val="single" w:sz="18" w:space="0" w:color="FFFFFF"/>
              <w:bottom w:val="single" w:sz="18" w:space="0" w:color="FFFFFF"/>
              <w:right w:val="nil"/>
            </w:tcBorders>
            <w:hideMark/>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82 lb/h</w:t>
            </w:r>
          </w:p>
        </w:tc>
      </w:tr>
      <w:tr w:rsidR="005966A5" w:rsidRPr="00534E2F" w:rsidTr="0022316B">
        <w:trPr>
          <w:cnfStyle w:val="000000100000" w:firstRow="0" w:lastRow="0" w:firstColumn="0" w:lastColumn="0" w:oddVBand="0" w:evenVBand="0" w:oddHBand="1" w:evenHBand="0" w:firstRowFirstColumn="0" w:firstRowLastColumn="0" w:lastRowFirstColumn="0" w:lastRowLastColumn="0"/>
          <w:trHeight w:val="257"/>
        </w:trPr>
        <w:tc>
          <w:tcPr>
            <w:tcW w:w="1206" w:type="pct"/>
            <w:tcBorders>
              <w:top w:val="single" w:sz="18" w:space="0" w:color="FFFFFF"/>
              <w:left w:val="nil"/>
              <w:bottom w:val="nil"/>
              <w:right w:val="single" w:sz="18" w:space="0" w:color="FFFFFF"/>
            </w:tcBorders>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Electric Large Full-Size</w:t>
            </w:r>
          </w:p>
        </w:tc>
        <w:tc>
          <w:tcPr>
            <w:tcW w:w="950" w:type="pct"/>
            <w:tcBorders>
              <w:top w:val="single" w:sz="18" w:space="0" w:color="FFFFFF"/>
              <w:left w:val="single" w:sz="18" w:space="0" w:color="FFFFFF"/>
              <w:bottom w:val="nil"/>
              <w:right w:val="single" w:sz="18" w:space="0" w:color="FFFFFF"/>
            </w:tcBorders>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1,730 W</w:t>
            </w:r>
          </w:p>
        </w:tc>
        <w:tc>
          <w:tcPr>
            <w:tcW w:w="1534" w:type="pct"/>
            <w:tcBorders>
              <w:top w:val="single" w:sz="18" w:space="0" w:color="FFFFFF"/>
              <w:left w:val="single" w:sz="18" w:space="0" w:color="FFFFFF"/>
              <w:bottom w:val="nil"/>
              <w:right w:val="single" w:sz="18" w:space="0" w:color="FFFFFF"/>
            </w:tcBorders>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76%</w:t>
            </w:r>
          </w:p>
        </w:tc>
        <w:tc>
          <w:tcPr>
            <w:tcW w:w="1310" w:type="pct"/>
            <w:tcBorders>
              <w:top w:val="single" w:sz="18" w:space="0" w:color="FFFFFF"/>
              <w:left w:val="single" w:sz="18" w:space="0" w:color="FFFFFF"/>
              <w:bottom w:val="nil"/>
              <w:right w:val="nil"/>
            </w:tcBorders>
          </w:tcPr>
          <w:p w:rsidR="005966A5" w:rsidRPr="005966A5" w:rsidRDefault="005966A5">
            <w:pPr>
              <w:jc w:val="center"/>
              <w:rPr>
                <w:rFonts w:asciiTheme="minorHAnsi" w:hAnsiTheme="minorHAnsi" w:cstheme="minorHAnsi"/>
                <w:sz w:val="20"/>
                <w:szCs w:val="20"/>
              </w:rPr>
            </w:pPr>
            <w:r w:rsidRPr="005966A5">
              <w:rPr>
                <w:rFonts w:asciiTheme="minorHAnsi" w:hAnsiTheme="minorHAnsi" w:cstheme="minorHAnsi"/>
                <w:sz w:val="20"/>
                <w:szCs w:val="20"/>
              </w:rPr>
              <w:t>137 lb/h</w:t>
            </w:r>
          </w:p>
        </w:tc>
      </w:tr>
    </w:tbl>
    <w:p w:rsidR="005966A5" w:rsidRDefault="005966A5" w:rsidP="005966A5">
      <w:pPr>
        <w:spacing w:line="276" w:lineRule="auto"/>
        <w:rPr>
          <w:rFonts w:asciiTheme="minorHAnsi" w:hAnsiTheme="minorHAnsi" w:cstheme="minorHAnsi"/>
          <w:sz w:val="18"/>
          <w:szCs w:val="18"/>
        </w:rPr>
      </w:pPr>
      <w:r w:rsidRPr="005966A5">
        <w:rPr>
          <w:rFonts w:asciiTheme="minorHAnsi" w:hAnsiTheme="minorHAnsi" w:cstheme="minorHAnsi"/>
          <w:sz w:val="18"/>
          <w:szCs w:val="18"/>
        </w:rPr>
        <w:t>*Based on the Heavy-load potato test in ASTM F1496</w:t>
      </w:r>
    </w:p>
    <w:p w:rsidR="005966A5" w:rsidRPr="005966A5" w:rsidRDefault="005966A5" w:rsidP="00442987">
      <w:pPr>
        <w:spacing w:line="276" w:lineRule="auto"/>
        <w:rPr>
          <w:rFonts w:asciiTheme="minorHAnsi" w:hAnsiTheme="minorHAnsi" w:cstheme="minorHAnsi"/>
          <w:sz w:val="18"/>
          <w:szCs w:val="18"/>
        </w:rPr>
      </w:pPr>
    </w:p>
    <w:bookmarkStart w:id="20" w:name="_Toc174327975"/>
    <w:p w:rsidR="00AA5ECC" w:rsidRDefault="00C5179F" w:rsidP="00797F91">
      <w:pPr>
        <w:rPr>
          <w:rFonts w:asciiTheme="minorHAnsi" w:hAnsiTheme="minorHAnsi" w:cstheme="minorHAnsi"/>
          <w:sz w:val="22"/>
        </w:rPr>
      </w:pPr>
      <w:r w:rsidRPr="00B551A8">
        <w:rPr>
          <w:rFonts w:asciiTheme="minorHAnsi" w:hAnsiTheme="minorHAnsi" w:cstheme="minorHAnsi"/>
          <w:sz w:val="22"/>
        </w:rPr>
        <w:fldChar w:fldCharType="begin"/>
      </w:r>
      <w:r w:rsidRPr="00B551A8">
        <w:rPr>
          <w:rFonts w:asciiTheme="minorHAnsi" w:hAnsiTheme="minorHAnsi" w:cstheme="minorHAnsi"/>
          <w:sz w:val="22"/>
        </w:rPr>
        <w:instrText xml:space="preserve"> REF _Ref390773856 \h </w:instrText>
      </w:r>
      <w:r w:rsidR="00D67BCF" w:rsidRPr="00B551A8">
        <w:rPr>
          <w:rFonts w:asciiTheme="minorHAnsi" w:hAnsiTheme="minorHAnsi" w:cstheme="minorHAnsi"/>
          <w:sz w:val="22"/>
        </w:rPr>
        <w:instrText xml:space="preserve"> \* MERGEFORMAT </w:instrText>
      </w:r>
      <w:r w:rsidRPr="00B551A8">
        <w:rPr>
          <w:rFonts w:asciiTheme="minorHAnsi" w:hAnsiTheme="minorHAnsi" w:cstheme="minorHAnsi"/>
          <w:sz w:val="22"/>
        </w:rPr>
      </w:r>
      <w:r w:rsidRPr="00B551A8">
        <w:rPr>
          <w:rFonts w:asciiTheme="minorHAnsi" w:hAnsiTheme="minorHAnsi" w:cstheme="minorHAnsi"/>
          <w:sz w:val="22"/>
        </w:rPr>
        <w:fldChar w:fldCharType="separate"/>
      </w:r>
      <w:r w:rsidR="00BD6511" w:rsidRPr="00BD6511">
        <w:rPr>
          <w:rFonts w:asciiTheme="minorHAnsi" w:hAnsiTheme="minorHAnsi" w:cstheme="minorHAnsi"/>
          <w:sz w:val="22"/>
        </w:rPr>
        <w:t>Table 10</w:t>
      </w:r>
      <w:r w:rsidRPr="00B551A8">
        <w:rPr>
          <w:rFonts w:asciiTheme="minorHAnsi" w:hAnsiTheme="minorHAnsi" w:cstheme="minorHAnsi"/>
          <w:sz w:val="22"/>
        </w:rPr>
        <w:fldChar w:fldCharType="end"/>
      </w:r>
      <w:r w:rsidR="00BD6511">
        <w:rPr>
          <w:rFonts w:asciiTheme="minorHAnsi" w:hAnsiTheme="minorHAnsi" w:cstheme="minorHAnsi"/>
          <w:sz w:val="22"/>
        </w:rPr>
        <w:t xml:space="preserve">, </w:t>
      </w:r>
      <w:r w:rsidR="00BD6511">
        <w:rPr>
          <w:rFonts w:asciiTheme="minorHAnsi" w:hAnsiTheme="minorHAnsi" w:cstheme="minorHAnsi"/>
          <w:sz w:val="22"/>
        </w:rPr>
        <w:fldChar w:fldCharType="begin"/>
      </w:r>
      <w:r w:rsidR="00BD6511">
        <w:rPr>
          <w:rFonts w:asciiTheme="minorHAnsi" w:hAnsiTheme="minorHAnsi" w:cstheme="minorHAnsi"/>
          <w:sz w:val="22"/>
        </w:rPr>
        <w:instrText xml:space="preserve"> REF _Ref390949655 \h </w:instrText>
      </w:r>
      <w:r w:rsidR="00BD6511">
        <w:rPr>
          <w:rFonts w:asciiTheme="minorHAnsi" w:hAnsiTheme="minorHAnsi" w:cstheme="minorHAnsi"/>
          <w:sz w:val="22"/>
        </w:rPr>
      </w:r>
      <w:r w:rsidR="00BD6511">
        <w:rPr>
          <w:rFonts w:asciiTheme="minorHAnsi" w:hAnsiTheme="minorHAnsi" w:cstheme="minorHAnsi"/>
          <w:sz w:val="22"/>
        </w:rPr>
        <w:fldChar w:fldCharType="separate"/>
      </w:r>
      <w:r w:rsidR="00BD6511" w:rsidRPr="009E0293">
        <w:rPr>
          <w:rFonts w:asciiTheme="minorHAnsi" w:hAnsiTheme="minorHAnsi" w:cstheme="minorHAnsi"/>
          <w:sz w:val="22"/>
          <w:szCs w:val="22"/>
        </w:rPr>
        <w:t xml:space="preserve">Table </w:t>
      </w:r>
      <w:r w:rsidR="00BD6511">
        <w:rPr>
          <w:rFonts w:asciiTheme="minorHAnsi" w:hAnsiTheme="minorHAnsi" w:cstheme="minorHAnsi"/>
          <w:noProof/>
          <w:sz w:val="22"/>
          <w:szCs w:val="22"/>
        </w:rPr>
        <w:t>11</w:t>
      </w:r>
      <w:r w:rsidR="00BD6511">
        <w:rPr>
          <w:rFonts w:asciiTheme="minorHAnsi" w:hAnsiTheme="minorHAnsi" w:cstheme="minorHAnsi"/>
          <w:sz w:val="22"/>
        </w:rPr>
        <w:fldChar w:fldCharType="end"/>
      </w:r>
      <w:r w:rsidR="00BD6511">
        <w:rPr>
          <w:rFonts w:asciiTheme="minorHAnsi" w:hAnsiTheme="minorHAnsi" w:cstheme="minorHAnsi"/>
          <w:sz w:val="22"/>
        </w:rPr>
        <w:t xml:space="preserve">, and </w:t>
      </w:r>
      <w:r w:rsidR="00BD6511">
        <w:rPr>
          <w:rFonts w:asciiTheme="minorHAnsi" w:hAnsiTheme="minorHAnsi" w:cstheme="minorHAnsi"/>
          <w:sz w:val="22"/>
        </w:rPr>
        <w:fldChar w:fldCharType="begin"/>
      </w:r>
      <w:r w:rsidR="00BD6511">
        <w:rPr>
          <w:rFonts w:asciiTheme="minorHAnsi" w:hAnsiTheme="minorHAnsi" w:cstheme="minorHAnsi"/>
          <w:sz w:val="22"/>
        </w:rPr>
        <w:instrText xml:space="preserve"> REF _Ref390949657 \h </w:instrText>
      </w:r>
      <w:r w:rsidR="00BD6511">
        <w:rPr>
          <w:rFonts w:asciiTheme="minorHAnsi" w:hAnsiTheme="minorHAnsi" w:cstheme="minorHAnsi"/>
          <w:sz w:val="22"/>
        </w:rPr>
      </w:r>
      <w:r w:rsidR="00BD6511">
        <w:rPr>
          <w:rFonts w:asciiTheme="minorHAnsi" w:hAnsiTheme="minorHAnsi" w:cstheme="minorHAnsi"/>
          <w:sz w:val="22"/>
        </w:rPr>
        <w:fldChar w:fldCharType="separate"/>
      </w:r>
      <w:r w:rsidR="00BD6511" w:rsidRPr="009E0293">
        <w:rPr>
          <w:rFonts w:asciiTheme="minorHAnsi" w:hAnsiTheme="minorHAnsi" w:cstheme="minorHAnsi"/>
          <w:sz w:val="22"/>
          <w:szCs w:val="22"/>
        </w:rPr>
        <w:t xml:space="preserve">Table </w:t>
      </w:r>
      <w:r w:rsidR="00BD6511">
        <w:rPr>
          <w:rFonts w:asciiTheme="minorHAnsi" w:hAnsiTheme="minorHAnsi" w:cstheme="minorHAnsi"/>
          <w:noProof/>
          <w:sz w:val="22"/>
          <w:szCs w:val="22"/>
        </w:rPr>
        <w:t>12</w:t>
      </w:r>
      <w:r w:rsidR="00BD6511">
        <w:rPr>
          <w:rFonts w:asciiTheme="minorHAnsi" w:hAnsiTheme="minorHAnsi" w:cstheme="minorHAnsi"/>
          <w:sz w:val="22"/>
        </w:rPr>
        <w:fldChar w:fldCharType="end"/>
      </w:r>
      <w:r w:rsidRPr="00B551A8">
        <w:rPr>
          <w:rFonts w:asciiTheme="minorHAnsi" w:hAnsiTheme="minorHAnsi" w:cstheme="minorHAnsi"/>
          <w:sz w:val="22"/>
        </w:rPr>
        <w:t xml:space="preserve"> </w:t>
      </w:r>
      <w:r w:rsidR="00CE30C7" w:rsidRPr="00B551A8">
        <w:rPr>
          <w:rFonts w:asciiTheme="minorHAnsi" w:hAnsiTheme="minorHAnsi" w:cstheme="minorHAnsi"/>
          <w:sz w:val="22"/>
        </w:rPr>
        <w:t xml:space="preserve">show the calculation results for </w:t>
      </w:r>
      <w:r w:rsidR="005966A5">
        <w:rPr>
          <w:rFonts w:asciiTheme="minorHAnsi" w:hAnsiTheme="minorHAnsi" w:cstheme="minorHAnsi"/>
          <w:sz w:val="22"/>
        </w:rPr>
        <w:t>convection oven</w:t>
      </w:r>
      <w:r w:rsidR="00534E2F">
        <w:rPr>
          <w:rFonts w:asciiTheme="minorHAnsi" w:hAnsiTheme="minorHAnsi" w:cstheme="minorHAnsi"/>
          <w:sz w:val="22"/>
        </w:rPr>
        <w:t>s.</w:t>
      </w:r>
    </w:p>
    <w:p w:rsidR="007754FE" w:rsidRPr="00B551A8" w:rsidRDefault="007754FE" w:rsidP="00797F91">
      <w:pPr>
        <w:rPr>
          <w:rFonts w:asciiTheme="minorHAnsi" w:hAnsiTheme="minorHAnsi" w:cstheme="minorHAnsi"/>
          <w:sz w:val="22"/>
        </w:rPr>
      </w:pPr>
    </w:p>
    <w:p w:rsidR="00CE30C7" w:rsidRDefault="00CE30C7" w:rsidP="00442987">
      <w:pPr>
        <w:pStyle w:val="Caption"/>
        <w:jc w:val="center"/>
        <w:rPr>
          <w:rFonts w:asciiTheme="minorHAnsi" w:hAnsiTheme="minorHAnsi" w:cstheme="minorHAnsi"/>
          <w:sz w:val="22"/>
          <w:szCs w:val="22"/>
        </w:rPr>
      </w:pP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TC /f “Table”</w:instrText>
      </w:r>
      <w:r w:rsidRPr="00B551A8">
        <w:rPr>
          <w:rFonts w:asciiTheme="minorHAnsi" w:hAnsiTheme="minorHAnsi" w:cstheme="minorHAnsi"/>
          <w:sz w:val="22"/>
          <w:szCs w:val="22"/>
        </w:rPr>
        <w:fldChar w:fldCharType="end"/>
      </w:r>
      <w:bookmarkStart w:id="21" w:name="_Ref390773856"/>
      <w:bookmarkStart w:id="22" w:name="_Toc326914060"/>
      <w:r w:rsidR="00C5179F" w:rsidRPr="00B551A8">
        <w:rPr>
          <w:rFonts w:asciiTheme="minorHAnsi" w:hAnsiTheme="minorHAnsi"/>
          <w:sz w:val="22"/>
          <w:szCs w:val="22"/>
        </w:rPr>
        <w:t xml:space="preserve">Table </w:t>
      </w:r>
      <w:r w:rsidR="00C5179F" w:rsidRPr="00B551A8">
        <w:rPr>
          <w:rFonts w:asciiTheme="minorHAnsi" w:hAnsiTheme="minorHAnsi"/>
          <w:sz w:val="22"/>
          <w:szCs w:val="22"/>
        </w:rPr>
        <w:fldChar w:fldCharType="begin"/>
      </w:r>
      <w:r w:rsidR="00C5179F" w:rsidRPr="00B551A8">
        <w:rPr>
          <w:rFonts w:asciiTheme="minorHAnsi" w:hAnsiTheme="minorHAnsi"/>
          <w:sz w:val="22"/>
          <w:szCs w:val="22"/>
        </w:rPr>
        <w:instrText xml:space="preserve"> SEQ Table \* ARABIC </w:instrText>
      </w:r>
      <w:r w:rsidR="00C5179F" w:rsidRPr="00B551A8">
        <w:rPr>
          <w:rFonts w:asciiTheme="minorHAnsi" w:hAnsiTheme="minorHAnsi"/>
          <w:sz w:val="22"/>
          <w:szCs w:val="22"/>
        </w:rPr>
        <w:fldChar w:fldCharType="separate"/>
      </w:r>
      <w:r w:rsidR="00BD6511">
        <w:rPr>
          <w:rFonts w:asciiTheme="minorHAnsi" w:hAnsiTheme="minorHAnsi"/>
          <w:noProof/>
          <w:sz w:val="22"/>
          <w:szCs w:val="22"/>
        </w:rPr>
        <w:t>10</w:t>
      </w:r>
      <w:r w:rsidR="00C5179F" w:rsidRPr="00B551A8">
        <w:rPr>
          <w:rFonts w:asciiTheme="minorHAnsi" w:hAnsiTheme="minorHAnsi"/>
          <w:sz w:val="22"/>
          <w:szCs w:val="22"/>
        </w:rPr>
        <w:fldChar w:fldCharType="end"/>
      </w:r>
      <w:bookmarkEnd w:id="21"/>
      <w:r w:rsidR="00C5179F" w:rsidRPr="00B551A8">
        <w:rPr>
          <w:rFonts w:asciiTheme="minorHAnsi" w:hAnsiTheme="minorHAnsi"/>
          <w:sz w:val="22"/>
          <w:szCs w:val="22"/>
        </w:rPr>
        <w:t xml:space="preserve"> </w:t>
      </w:r>
      <w:r w:rsidRPr="00B551A8">
        <w:rPr>
          <w:rFonts w:asciiTheme="minorHAnsi" w:hAnsiTheme="minorHAnsi" w:cstheme="minorHAnsi"/>
          <w:sz w:val="22"/>
          <w:szCs w:val="22"/>
        </w:rPr>
        <w:t>Commercial</w:t>
      </w:r>
      <w:bookmarkEnd w:id="22"/>
      <w:r w:rsidR="00442987" w:rsidRPr="00B551A8">
        <w:rPr>
          <w:rFonts w:asciiTheme="minorHAnsi" w:hAnsiTheme="minorHAnsi" w:cstheme="minorHAnsi"/>
          <w:sz w:val="22"/>
          <w:szCs w:val="22"/>
        </w:rPr>
        <w:t xml:space="preserve"> Electric</w:t>
      </w:r>
      <w:r w:rsidR="003B4596">
        <w:rPr>
          <w:rFonts w:asciiTheme="minorHAnsi" w:hAnsiTheme="minorHAnsi" w:cstheme="minorHAnsi"/>
          <w:sz w:val="22"/>
          <w:szCs w:val="22"/>
        </w:rPr>
        <w:t xml:space="preserve"> Half-Size</w:t>
      </w:r>
      <w:r w:rsidR="00442987" w:rsidRPr="00B551A8">
        <w:rPr>
          <w:rFonts w:asciiTheme="minorHAnsi" w:hAnsiTheme="minorHAnsi" w:cstheme="minorHAnsi"/>
          <w:sz w:val="22"/>
          <w:szCs w:val="22"/>
        </w:rPr>
        <w:t xml:space="preserve"> </w:t>
      </w:r>
      <w:r w:rsidR="003B4596">
        <w:rPr>
          <w:rFonts w:asciiTheme="minorHAnsi" w:hAnsiTheme="minorHAnsi" w:cstheme="minorHAnsi"/>
          <w:sz w:val="22"/>
          <w:szCs w:val="22"/>
        </w:rPr>
        <w:t>Convection Oven</w:t>
      </w:r>
      <w:r w:rsidR="00442987" w:rsidRPr="00B551A8">
        <w:rPr>
          <w:rFonts w:asciiTheme="minorHAnsi" w:hAnsiTheme="minorHAnsi" w:cstheme="minorHAnsi"/>
          <w:sz w:val="22"/>
          <w:szCs w:val="22"/>
        </w:rPr>
        <w:t xml:space="preserve"> Calculations</w:t>
      </w:r>
    </w:p>
    <w:tbl>
      <w:tblPr>
        <w:tblStyle w:val="TableContemporary"/>
        <w:tblW w:w="4474" w:type="pct"/>
        <w:jc w:val="center"/>
        <w:tblLook w:val="00A0" w:firstRow="1" w:lastRow="0" w:firstColumn="1" w:lastColumn="0" w:noHBand="0" w:noVBand="0"/>
      </w:tblPr>
      <w:tblGrid>
        <w:gridCol w:w="4069"/>
        <w:gridCol w:w="2341"/>
        <w:gridCol w:w="2159"/>
      </w:tblGrid>
      <w:tr w:rsidR="003B4596" w:rsidRPr="003B4596" w:rsidTr="003B4596">
        <w:trPr>
          <w:cnfStyle w:val="100000000000" w:firstRow="1" w:lastRow="0" w:firstColumn="0" w:lastColumn="0" w:oddVBand="0" w:evenVBand="0" w:oddHBand="0" w:evenHBand="0" w:firstRowFirstColumn="0" w:firstRowLastColumn="0" w:lastRowFirstColumn="0" w:lastRowLastColumn="0"/>
          <w:trHeight w:val="432"/>
          <w:jc w:val="center"/>
        </w:trPr>
        <w:tc>
          <w:tcPr>
            <w:tcW w:w="2374" w:type="pct"/>
          </w:tcPr>
          <w:bookmarkEnd w:id="20"/>
          <w:p w:rsidR="003B4596" w:rsidRPr="003B4596" w:rsidRDefault="003B4596" w:rsidP="0022316B">
            <w:pPr>
              <w:rPr>
                <w:rFonts w:asciiTheme="minorHAnsi" w:hAnsiTheme="minorHAnsi" w:cs="Arial"/>
                <w:bCs w:val="0"/>
                <w:sz w:val="20"/>
                <w:szCs w:val="20"/>
              </w:rPr>
            </w:pPr>
            <w:r w:rsidRPr="003B4596">
              <w:rPr>
                <w:rFonts w:asciiTheme="minorHAnsi" w:hAnsiTheme="minorHAnsi" w:cs="Arial"/>
                <w:bCs w:val="0"/>
                <w:sz w:val="20"/>
                <w:szCs w:val="20"/>
              </w:rPr>
              <w:t>Performance</w:t>
            </w:r>
          </w:p>
        </w:tc>
        <w:tc>
          <w:tcPr>
            <w:tcW w:w="1366" w:type="pct"/>
          </w:tcPr>
          <w:p w:rsidR="003B4596" w:rsidRPr="003B4596" w:rsidRDefault="003B4596" w:rsidP="0022316B">
            <w:pPr>
              <w:jc w:val="center"/>
              <w:rPr>
                <w:rFonts w:asciiTheme="minorHAnsi" w:hAnsiTheme="minorHAnsi" w:cs="Arial"/>
                <w:bCs w:val="0"/>
                <w:sz w:val="20"/>
                <w:szCs w:val="20"/>
              </w:rPr>
            </w:pPr>
            <w:r w:rsidRPr="003B4596">
              <w:rPr>
                <w:rFonts w:asciiTheme="minorHAnsi" w:hAnsiTheme="minorHAnsi" w:cs="Arial"/>
                <w:bCs w:val="0"/>
                <w:sz w:val="20"/>
                <w:szCs w:val="20"/>
              </w:rPr>
              <w:t>Baseline Model</w:t>
            </w:r>
          </w:p>
        </w:tc>
        <w:tc>
          <w:tcPr>
            <w:tcW w:w="1260" w:type="pct"/>
          </w:tcPr>
          <w:p w:rsidR="003B4596" w:rsidRPr="003B4596" w:rsidRDefault="003B4596" w:rsidP="0022316B">
            <w:pPr>
              <w:jc w:val="center"/>
              <w:rPr>
                <w:rFonts w:asciiTheme="minorHAnsi" w:hAnsiTheme="minorHAnsi" w:cs="Arial"/>
                <w:bCs w:val="0"/>
                <w:sz w:val="20"/>
                <w:szCs w:val="20"/>
              </w:rPr>
            </w:pPr>
            <w:r w:rsidRPr="003B4596">
              <w:rPr>
                <w:rFonts w:asciiTheme="minorHAnsi" w:hAnsiTheme="minorHAnsi" w:cs="Arial"/>
                <w:bCs w:val="0"/>
                <w:sz w:val="20"/>
                <w:szCs w:val="20"/>
              </w:rPr>
              <w:t>Energy Efficient Model</w:t>
            </w:r>
          </w:p>
        </w:tc>
      </w:tr>
      <w:tr w:rsidR="003B4596" w:rsidRPr="003B4596" w:rsidTr="003B4596">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sz w:val="20"/>
                <w:szCs w:val="20"/>
              </w:rPr>
            </w:pPr>
            <w:r w:rsidRPr="003B4596">
              <w:rPr>
                <w:rFonts w:asciiTheme="minorHAnsi" w:hAnsiTheme="minorHAnsi" w:cs="Arial"/>
                <w:sz w:val="20"/>
                <w:szCs w:val="20"/>
              </w:rPr>
              <w:t>Preheat Time (min)</w:t>
            </w:r>
          </w:p>
        </w:tc>
        <w:tc>
          <w:tcPr>
            <w:tcW w:w="1366"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15</w:t>
            </w:r>
          </w:p>
        </w:tc>
        <w:tc>
          <w:tcPr>
            <w:tcW w:w="1260"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15</w:t>
            </w:r>
          </w:p>
        </w:tc>
      </w:tr>
      <w:tr w:rsidR="003B4596" w:rsidRPr="003B4596" w:rsidTr="003B4596">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sz w:val="20"/>
                <w:szCs w:val="20"/>
              </w:rPr>
            </w:pPr>
            <w:r w:rsidRPr="003B4596">
              <w:rPr>
                <w:rFonts w:asciiTheme="minorHAnsi" w:hAnsiTheme="minorHAnsi" w:cs="Arial"/>
                <w:sz w:val="20"/>
                <w:szCs w:val="20"/>
              </w:rPr>
              <w:t>Preheat Energy (kWh)</w:t>
            </w:r>
          </w:p>
        </w:tc>
        <w:tc>
          <w:tcPr>
            <w:tcW w:w="1366"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1.00</w:t>
            </w:r>
          </w:p>
        </w:tc>
        <w:tc>
          <w:tcPr>
            <w:tcW w:w="1260"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0.90</w:t>
            </w:r>
          </w:p>
        </w:tc>
      </w:tr>
      <w:tr w:rsidR="003B4596" w:rsidRPr="003B4596" w:rsidTr="003B4596">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sz w:val="20"/>
                <w:szCs w:val="20"/>
              </w:rPr>
            </w:pPr>
            <w:r w:rsidRPr="003B4596">
              <w:rPr>
                <w:rFonts w:asciiTheme="minorHAnsi" w:hAnsiTheme="minorHAnsi" w:cs="Arial"/>
                <w:sz w:val="20"/>
                <w:szCs w:val="20"/>
              </w:rPr>
              <w:t>Idle Energy Rate (kW)</w:t>
            </w:r>
          </w:p>
        </w:tc>
        <w:tc>
          <w:tcPr>
            <w:tcW w:w="1366"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1.5</w:t>
            </w:r>
          </w:p>
        </w:tc>
        <w:tc>
          <w:tcPr>
            <w:tcW w:w="1260"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0.88</w:t>
            </w:r>
          </w:p>
        </w:tc>
      </w:tr>
      <w:tr w:rsidR="003B4596" w:rsidRPr="003B4596" w:rsidTr="003B4596">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sz w:val="20"/>
                <w:szCs w:val="20"/>
              </w:rPr>
            </w:pPr>
            <w:r w:rsidRPr="003B4596">
              <w:rPr>
                <w:rFonts w:asciiTheme="minorHAnsi" w:hAnsiTheme="minorHAnsi" w:cs="Arial"/>
                <w:sz w:val="20"/>
                <w:szCs w:val="20"/>
              </w:rPr>
              <w:t>Heavy Load Cooking Energy Efficiency (%)</w:t>
            </w:r>
          </w:p>
        </w:tc>
        <w:tc>
          <w:tcPr>
            <w:tcW w:w="1366"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65%</w:t>
            </w:r>
          </w:p>
        </w:tc>
        <w:tc>
          <w:tcPr>
            <w:tcW w:w="1260"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72%</w:t>
            </w:r>
          </w:p>
        </w:tc>
      </w:tr>
      <w:tr w:rsidR="003B4596" w:rsidRPr="003B4596" w:rsidTr="003B4596">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sz w:val="20"/>
                <w:szCs w:val="20"/>
              </w:rPr>
            </w:pPr>
            <w:r w:rsidRPr="003B4596">
              <w:rPr>
                <w:rFonts w:asciiTheme="minorHAnsi" w:hAnsiTheme="minorHAnsi" w:cs="Arial"/>
                <w:sz w:val="20"/>
                <w:szCs w:val="20"/>
              </w:rPr>
              <w:t>Production Capacity (lbs/hr)</w:t>
            </w:r>
          </w:p>
        </w:tc>
        <w:tc>
          <w:tcPr>
            <w:tcW w:w="1366"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45</w:t>
            </w:r>
          </w:p>
        </w:tc>
        <w:tc>
          <w:tcPr>
            <w:tcW w:w="1260"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53</w:t>
            </w:r>
          </w:p>
        </w:tc>
      </w:tr>
      <w:tr w:rsidR="003B4596" w:rsidRPr="003B4596" w:rsidTr="003B4596">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sz w:val="20"/>
                <w:szCs w:val="20"/>
              </w:rPr>
            </w:pPr>
            <w:r w:rsidRPr="003B4596">
              <w:rPr>
                <w:rFonts w:asciiTheme="minorHAnsi" w:hAnsiTheme="minorHAnsi" w:cs="Arial"/>
                <w:sz w:val="20"/>
                <w:szCs w:val="20"/>
              </w:rPr>
              <w:t>Operating Hours/Day</w:t>
            </w:r>
          </w:p>
        </w:tc>
        <w:tc>
          <w:tcPr>
            <w:tcW w:w="1366"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12</w:t>
            </w:r>
          </w:p>
        </w:tc>
        <w:tc>
          <w:tcPr>
            <w:tcW w:w="1260"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12</w:t>
            </w:r>
          </w:p>
        </w:tc>
      </w:tr>
      <w:tr w:rsidR="003B4596" w:rsidRPr="003B4596" w:rsidTr="003B4596">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sz w:val="20"/>
                <w:szCs w:val="20"/>
              </w:rPr>
            </w:pPr>
            <w:r w:rsidRPr="003B4596">
              <w:rPr>
                <w:rFonts w:asciiTheme="minorHAnsi" w:hAnsiTheme="minorHAnsi" w:cs="Arial"/>
                <w:sz w:val="20"/>
                <w:szCs w:val="20"/>
              </w:rPr>
              <w:t>Operating Days/Year</w:t>
            </w:r>
          </w:p>
        </w:tc>
        <w:tc>
          <w:tcPr>
            <w:tcW w:w="1366"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365</w:t>
            </w:r>
          </w:p>
        </w:tc>
        <w:tc>
          <w:tcPr>
            <w:tcW w:w="1260"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365</w:t>
            </w:r>
          </w:p>
        </w:tc>
      </w:tr>
      <w:tr w:rsidR="003B4596" w:rsidRPr="003B4596" w:rsidTr="003B4596">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sz w:val="20"/>
                <w:szCs w:val="20"/>
              </w:rPr>
            </w:pPr>
            <w:r w:rsidRPr="003B4596">
              <w:rPr>
                <w:rFonts w:asciiTheme="minorHAnsi" w:hAnsiTheme="minorHAnsi" w:cs="Arial"/>
                <w:sz w:val="20"/>
                <w:szCs w:val="20"/>
              </w:rPr>
              <w:t>Number of Preheats per Day</w:t>
            </w:r>
          </w:p>
        </w:tc>
        <w:tc>
          <w:tcPr>
            <w:tcW w:w="1366"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1</w:t>
            </w:r>
          </w:p>
        </w:tc>
        <w:tc>
          <w:tcPr>
            <w:tcW w:w="1260"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1</w:t>
            </w:r>
          </w:p>
        </w:tc>
      </w:tr>
      <w:tr w:rsidR="003B4596" w:rsidRPr="003B4596" w:rsidTr="003B4596">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sz w:val="20"/>
                <w:szCs w:val="20"/>
              </w:rPr>
            </w:pPr>
            <w:r w:rsidRPr="003B4596">
              <w:rPr>
                <w:rFonts w:asciiTheme="minorHAnsi" w:hAnsiTheme="minorHAnsi" w:cs="Arial"/>
                <w:sz w:val="20"/>
                <w:szCs w:val="20"/>
              </w:rPr>
              <w:t>Pounds of Food Cooked per Day</w:t>
            </w:r>
          </w:p>
        </w:tc>
        <w:tc>
          <w:tcPr>
            <w:tcW w:w="1366"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100</w:t>
            </w:r>
          </w:p>
        </w:tc>
        <w:tc>
          <w:tcPr>
            <w:tcW w:w="1260"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100</w:t>
            </w:r>
          </w:p>
        </w:tc>
      </w:tr>
      <w:tr w:rsidR="003B4596" w:rsidRPr="003B4596" w:rsidTr="003B4596">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sz w:val="20"/>
                <w:szCs w:val="20"/>
              </w:rPr>
            </w:pPr>
            <w:r w:rsidRPr="003B4596">
              <w:rPr>
                <w:rFonts w:asciiTheme="minorHAnsi" w:hAnsiTheme="minorHAnsi" w:cs="Arial"/>
                <w:sz w:val="20"/>
                <w:szCs w:val="20"/>
              </w:rPr>
              <w:t>Electric Cost ($/kWh)</w:t>
            </w:r>
          </w:p>
        </w:tc>
        <w:tc>
          <w:tcPr>
            <w:tcW w:w="1366"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$0.13</w:t>
            </w:r>
          </w:p>
        </w:tc>
        <w:tc>
          <w:tcPr>
            <w:tcW w:w="1260"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$0.13</w:t>
            </w:r>
          </w:p>
        </w:tc>
      </w:tr>
      <w:tr w:rsidR="003B4596" w:rsidRPr="003B4596" w:rsidTr="003B4596">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sz w:val="20"/>
                <w:szCs w:val="20"/>
              </w:rPr>
            </w:pPr>
            <w:r w:rsidRPr="003B4596">
              <w:rPr>
                <w:rFonts w:asciiTheme="minorHAnsi" w:hAnsiTheme="minorHAnsi" w:cs="Arial"/>
                <w:sz w:val="20"/>
                <w:szCs w:val="20"/>
              </w:rPr>
              <w:t>ASTM Energy to Food (kWh/lb)</w:t>
            </w:r>
          </w:p>
        </w:tc>
        <w:tc>
          <w:tcPr>
            <w:tcW w:w="1366"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0.0732</w:t>
            </w:r>
          </w:p>
        </w:tc>
        <w:tc>
          <w:tcPr>
            <w:tcW w:w="1260"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0.0732</w:t>
            </w:r>
          </w:p>
        </w:tc>
      </w:tr>
      <w:tr w:rsidR="003B4596" w:rsidRPr="003B4596" w:rsidTr="003B4596">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sz w:val="20"/>
                <w:szCs w:val="20"/>
              </w:rPr>
            </w:pPr>
            <w:r w:rsidRPr="003B4596">
              <w:rPr>
                <w:rFonts w:asciiTheme="minorHAnsi" w:hAnsiTheme="minorHAnsi" w:cs="Arial"/>
                <w:sz w:val="20"/>
                <w:szCs w:val="20"/>
              </w:rPr>
              <w:t>Daily Energy Consumption (kWh)</w:t>
            </w:r>
          </w:p>
        </w:tc>
        <w:tc>
          <w:tcPr>
            <w:tcW w:w="1366"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26.6</w:t>
            </w:r>
          </w:p>
        </w:tc>
        <w:tc>
          <w:tcPr>
            <w:tcW w:w="1260"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19.7</w:t>
            </w:r>
          </w:p>
        </w:tc>
      </w:tr>
      <w:tr w:rsidR="003B4596" w:rsidRPr="003B4596" w:rsidTr="003B4596">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sz w:val="20"/>
                <w:szCs w:val="20"/>
              </w:rPr>
            </w:pPr>
            <w:r w:rsidRPr="003B4596">
              <w:rPr>
                <w:rFonts w:asciiTheme="minorHAnsi" w:hAnsiTheme="minorHAnsi" w:cs="Arial"/>
                <w:sz w:val="20"/>
                <w:szCs w:val="20"/>
              </w:rPr>
              <w:t>Average Demand (kW)</w:t>
            </w:r>
          </w:p>
        </w:tc>
        <w:tc>
          <w:tcPr>
            <w:tcW w:w="1366"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2.2</w:t>
            </w:r>
          </w:p>
        </w:tc>
        <w:tc>
          <w:tcPr>
            <w:tcW w:w="1260"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1.6</w:t>
            </w:r>
          </w:p>
        </w:tc>
      </w:tr>
      <w:tr w:rsidR="003B4596" w:rsidRPr="003B4596" w:rsidTr="003B4596">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B52E6B" w:rsidRDefault="003B4596" w:rsidP="0022316B">
            <w:pPr>
              <w:rPr>
                <w:rFonts w:asciiTheme="minorHAnsi" w:hAnsiTheme="minorHAnsi" w:cs="Arial"/>
                <w:b/>
                <w:sz w:val="20"/>
                <w:szCs w:val="20"/>
              </w:rPr>
            </w:pPr>
            <w:r w:rsidRPr="00B52E6B">
              <w:rPr>
                <w:rFonts w:asciiTheme="minorHAnsi" w:hAnsiTheme="minorHAnsi" w:cs="Arial"/>
                <w:b/>
                <w:sz w:val="20"/>
                <w:szCs w:val="20"/>
              </w:rPr>
              <w:t>Estimated Demand Reduction (kW)</w:t>
            </w:r>
          </w:p>
        </w:tc>
        <w:tc>
          <w:tcPr>
            <w:tcW w:w="1366" w:type="pct"/>
          </w:tcPr>
          <w:p w:rsidR="003B4596" w:rsidRPr="00B52E6B" w:rsidRDefault="003B4596" w:rsidP="0022316B">
            <w:pPr>
              <w:jc w:val="center"/>
              <w:rPr>
                <w:rFonts w:asciiTheme="minorHAnsi" w:hAnsiTheme="minorHAnsi" w:cs="Arial"/>
                <w:b/>
                <w:sz w:val="20"/>
                <w:szCs w:val="20"/>
              </w:rPr>
            </w:pPr>
            <w:r w:rsidRPr="00B52E6B">
              <w:rPr>
                <w:rFonts w:asciiTheme="minorHAnsi" w:hAnsiTheme="minorHAnsi" w:cs="Arial"/>
                <w:b/>
                <w:sz w:val="20"/>
                <w:szCs w:val="20"/>
              </w:rPr>
              <w:t>-</w:t>
            </w:r>
          </w:p>
        </w:tc>
        <w:tc>
          <w:tcPr>
            <w:tcW w:w="1260" w:type="pct"/>
          </w:tcPr>
          <w:p w:rsidR="003B4596" w:rsidRPr="00B52E6B" w:rsidRDefault="003B4596" w:rsidP="0022316B">
            <w:pPr>
              <w:jc w:val="center"/>
              <w:rPr>
                <w:rFonts w:asciiTheme="minorHAnsi" w:hAnsiTheme="minorHAnsi" w:cs="Arial"/>
                <w:b/>
                <w:sz w:val="20"/>
                <w:szCs w:val="20"/>
              </w:rPr>
            </w:pPr>
            <w:r w:rsidRPr="00B52E6B">
              <w:rPr>
                <w:rFonts w:asciiTheme="minorHAnsi" w:hAnsiTheme="minorHAnsi" w:cs="Arial"/>
                <w:b/>
                <w:sz w:val="20"/>
                <w:szCs w:val="20"/>
              </w:rPr>
              <w:t>0.</w:t>
            </w:r>
            <w:r w:rsidR="00B52E6B">
              <w:rPr>
                <w:rFonts w:asciiTheme="minorHAnsi" w:hAnsiTheme="minorHAnsi" w:cs="Arial"/>
                <w:b/>
                <w:sz w:val="20"/>
                <w:szCs w:val="20"/>
              </w:rPr>
              <w:t>54</w:t>
            </w:r>
          </w:p>
        </w:tc>
      </w:tr>
      <w:tr w:rsidR="003B4596" w:rsidRPr="003B4596" w:rsidTr="003B4596">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sz w:val="20"/>
                <w:szCs w:val="20"/>
              </w:rPr>
            </w:pPr>
            <w:r w:rsidRPr="003B4596">
              <w:rPr>
                <w:rFonts w:asciiTheme="minorHAnsi" w:hAnsiTheme="minorHAnsi" w:cs="Arial"/>
                <w:sz w:val="20"/>
                <w:szCs w:val="20"/>
              </w:rPr>
              <w:t>Annual Energy Consumption (kWh)</w:t>
            </w:r>
          </w:p>
        </w:tc>
        <w:tc>
          <w:tcPr>
            <w:tcW w:w="1366"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9,709</w:t>
            </w:r>
          </w:p>
        </w:tc>
        <w:tc>
          <w:tcPr>
            <w:tcW w:w="1260" w:type="pct"/>
          </w:tcPr>
          <w:p w:rsidR="003B4596" w:rsidRPr="003B4596" w:rsidRDefault="003B4596" w:rsidP="0022316B">
            <w:pPr>
              <w:jc w:val="center"/>
              <w:rPr>
                <w:rFonts w:asciiTheme="minorHAnsi" w:hAnsiTheme="minorHAnsi" w:cs="Arial"/>
                <w:sz w:val="20"/>
                <w:szCs w:val="20"/>
              </w:rPr>
            </w:pPr>
            <w:r w:rsidRPr="003B4596">
              <w:rPr>
                <w:rFonts w:asciiTheme="minorHAnsi" w:hAnsiTheme="minorHAnsi" w:cs="Arial"/>
                <w:sz w:val="20"/>
                <w:szCs w:val="20"/>
              </w:rPr>
              <w:t>7,191</w:t>
            </w:r>
          </w:p>
        </w:tc>
      </w:tr>
      <w:tr w:rsidR="003B4596" w:rsidRPr="003B4596" w:rsidTr="003B4596">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3B4596" w:rsidRDefault="003B4596" w:rsidP="0022316B">
            <w:pPr>
              <w:rPr>
                <w:rFonts w:asciiTheme="minorHAnsi" w:hAnsiTheme="minorHAnsi" w:cs="Arial"/>
                <w:b/>
                <w:sz w:val="20"/>
                <w:szCs w:val="20"/>
              </w:rPr>
            </w:pPr>
            <w:r w:rsidRPr="003B4596">
              <w:rPr>
                <w:rFonts w:asciiTheme="minorHAnsi" w:hAnsiTheme="minorHAnsi" w:cs="Arial"/>
                <w:b/>
                <w:sz w:val="20"/>
                <w:szCs w:val="20"/>
              </w:rPr>
              <w:t>Estimated Energy Savings (kWh/yr)</w:t>
            </w:r>
          </w:p>
        </w:tc>
        <w:tc>
          <w:tcPr>
            <w:tcW w:w="1366" w:type="pct"/>
          </w:tcPr>
          <w:p w:rsidR="003B4596" w:rsidRPr="003B4596" w:rsidRDefault="003B4596" w:rsidP="0022316B">
            <w:pPr>
              <w:jc w:val="center"/>
              <w:rPr>
                <w:rFonts w:asciiTheme="minorHAnsi" w:hAnsiTheme="minorHAnsi" w:cs="Arial"/>
                <w:b/>
                <w:sz w:val="20"/>
                <w:szCs w:val="20"/>
              </w:rPr>
            </w:pPr>
            <w:r w:rsidRPr="003B4596">
              <w:rPr>
                <w:rFonts w:asciiTheme="minorHAnsi" w:hAnsiTheme="minorHAnsi" w:cs="Arial"/>
                <w:b/>
                <w:sz w:val="20"/>
                <w:szCs w:val="20"/>
              </w:rPr>
              <w:t>-</w:t>
            </w:r>
          </w:p>
        </w:tc>
        <w:tc>
          <w:tcPr>
            <w:tcW w:w="1260" w:type="pct"/>
          </w:tcPr>
          <w:p w:rsidR="003B4596" w:rsidRPr="003B4596" w:rsidRDefault="003B4596" w:rsidP="0022316B">
            <w:pPr>
              <w:jc w:val="center"/>
              <w:rPr>
                <w:rFonts w:asciiTheme="minorHAnsi" w:hAnsiTheme="minorHAnsi" w:cs="Arial"/>
                <w:b/>
                <w:sz w:val="20"/>
                <w:szCs w:val="20"/>
              </w:rPr>
            </w:pPr>
            <w:r w:rsidRPr="003B4596">
              <w:rPr>
                <w:rFonts w:asciiTheme="minorHAnsi" w:hAnsiTheme="minorHAnsi" w:cs="Arial"/>
                <w:b/>
                <w:sz w:val="20"/>
                <w:szCs w:val="20"/>
              </w:rPr>
              <w:t>2,518</w:t>
            </w:r>
          </w:p>
        </w:tc>
      </w:tr>
    </w:tbl>
    <w:p w:rsidR="003B4596" w:rsidRPr="009E0293" w:rsidRDefault="003B4596" w:rsidP="009E0293">
      <w:pPr>
        <w:spacing w:line="276" w:lineRule="auto"/>
        <w:rPr>
          <w:rFonts w:asciiTheme="minorHAnsi" w:hAnsiTheme="minorHAnsi" w:cstheme="minorHAnsi"/>
          <w:b/>
          <w:sz w:val="20"/>
          <w:szCs w:val="20"/>
        </w:rPr>
      </w:pPr>
    </w:p>
    <w:p w:rsidR="003B4596" w:rsidRDefault="009E0293" w:rsidP="009E0293">
      <w:pPr>
        <w:pStyle w:val="Caption"/>
        <w:jc w:val="center"/>
        <w:rPr>
          <w:rFonts w:asciiTheme="minorHAnsi" w:hAnsiTheme="minorHAnsi" w:cstheme="minorHAnsi"/>
          <w:b w:val="0"/>
          <w:i/>
          <w:sz w:val="20"/>
          <w:szCs w:val="20"/>
        </w:rPr>
      </w:pPr>
      <w:bookmarkStart w:id="23" w:name="_Ref390949655"/>
      <w:r w:rsidRPr="009E0293">
        <w:rPr>
          <w:rFonts w:asciiTheme="minorHAnsi" w:hAnsiTheme="minorHAnsi" w:cstheme="minorHAnsi"/>
          <w:sz w:val="22"/>
          <w:szCs w:val="22"/>
        </w:rPr>
        <w:t xml:space="preserve">Table </w:t>
      </w:r>
      <w:r w:rsidRPr="009E0293">
        <w:rPr>
          <w:rFonts w:asciiTheme="minorHAnsi" w:hAnsiTheme="minorHAnsi" w:cstheme="minorHAnsi"/>
          <w:sz w:val="22"/>
          <w:szCs w:val="22"/>
        </w:rPr>
        <w:fldChar w:fldCharType="begin"/>
      </w:r>
      <w:r w:rsidRPr="009E0293">
        <w:rPr>
          <w:rFonts w:asciiTheme="minorHAnsi" w:hAnsiTheme="minorHAnsi" w:cstheme="minorHAnsi"/>
          <w:sz w:val="22"/>
          <w:szCs w:val="22"/>
        </w:rPr>
        <w:instrText xml:space="preserve"> SEQ Table \* ARABIC </w:instrText>
      </w:r>
      <w:r w:rsidRPr="009E0293">
        <w:rPr>
          <w:rFonts w:asciiTheme="minorHAnsi" w:hAnsiTheme="minorHAnsi" w:cstheme="minorHAnsi"/>
          <w:sz w:val="22"/>
          <w:szCs w:val="22"/>
        </w:rPr>
        <w:fldChar w:fldCharType="separate"/>
      </w:r>
      <w:r w:rsidR="00BD6511">
        <w:rPr>
          <w:rFonts w:asciiTheme="minorHAnsi" w:hAnsiTheme="minorHAnsi" w:cstheme="minorHAnsi"/>
          <w:noProof/>
          <w:sz w:val="22"/>
          <w:szCs w:val="22"/>
        </w:rPr>
        <w:t>11</w:t>
      </w:r>
      <w:r w:rsidRPr="009E0293">
        <w:rPr>
          <w:rFonts w:asciiTheme="minorHAnsi" w:hAnsiTheme="minorHAnsi" w:cstheme="minorHAnsi"/>
          <w:sz w:val="22"/>
          <w:szCs w:val="22"/>
        </w:rPr>
        <w:fldChar w:fldCharType="end"/>
      </w:r>
      <w:bookmarkEnd w:id="23"/>
      <w:r w:rsidRPr="009E0293">
        <w:rPr>
          <w:rFonts w:asciiTheme="minorHAnsi" w:hAnsiTheme="minorHAnsi" w:cstheme="minorHAnsi"/>
          <w:sz w:val="22"/>
          <w:szCs w:val="22"/>
        </w:rPr>
        <w:t xml:space="preserve"> </w:t>
      </w:r>
      <w:r w:rsidRPr="00B551A8">
        <w:rPr>
          <w:rFonts w:asciiTheme="minorHAnsi" w:hAnsiTheme="minorHAnsi" w:cstheme="minorHAnsi"/>
          <w:sz w:val="22"/>
          <w:szCs w:val="22"/>
        </w:rPr>
        <w:t>Commercial Electric</w:t>
      </w:r>
      <w:r>
        <w:rPr>
          <w:rFonts w:asciiTheme="minorHAnsi" w:hAnsiTheme="minorHAnsi" w:cstheme="minorHAnsi"/>
          <w:sz w:val="22"/>
          <w:szCs w:val="22"/>
        </w:rPr>
        <w:t xml:space="preserve"> Full-Size</w:t>
      </w:r>
      <w:r w:rsidRPr="00B551A8">
        <w:rPr>
          <w:rFonts w:asciiTheme="minorHAnsi" w:hAnsiTheme="minorHAnsi" w:cstheme="minorHAnsi"/>
          <w:sz w:val="22"/>
          <w:szCs w:val="22"/>
        </w:rPr>
        <w:t xml:space="preserve"> </w:t>
      </w:r>
      <w:r>
        <w:rPr>
          <w:rFonts w:asciiTheme="minorHAnsi" w:hAnsiTheme="minorHAnsi" w:cstheme="minorHAnsi"/>
          <w:sz w:val="22"/>
          <w:szCs w:val="22"/>
        </w:rPr>
        <w:t>Convection Oven</w:t>
      </w:r>
      <w:r w:rsidRPr="00B551A8">
        <w:rPr>
          <w:rFonts w:asciiTheme="minorHAnsi" w:hAnsiTheme="minorHAnsi" w:cstheme="minorHAnsi"/>
          <w:sz w:val="22"/>
          <w:szCs w:val="22"/>
        </w:rPr>
        <w:t xml:space="preserve"> Calculations</w:t>
      </w:r>
    </w:p>
    <w:tbl>
      <w:tblPr>
        <w:tblStyle w:val="TableContemporary"/>
        <w:tblW w:w="4474" w:type="pct"/>
        <w:jc w:val="center"/>
        <w:tblLook w:val="00A0" w:firstRow="1" w:lastRow="0" w:firstColumn="1" w:lastColumn="0" w:noHBand="0" w:noVBand="0"/>
      </w:tblPr>
      <w:tblGrid>
        <w:gridCol w:w="4069"/>
        <w:gridCol w:w="2341"/>
        <w:gridCol w:w="2159"/>
      </w:tblGrid>
      <w:tr w:rsidR="003B4596" w:rsidRPr="009268EB" w:rsidTr="009E0293">
        <w:trPr>
          <w:cnfStyle w:val="100000000000" w:firstRow="1" w:lastRow="0" w:firstColumn="0" w:lastColumn="0" w:oddVBand="0" w:evenVBand="0" w:oddHBand="0" w:evenHBand="0" w:firstRowFirstColumn="0" w:firstRowLastColumn="0" w:lastRowFirstColumn="0" w:lastRowLastColumn="0"/>
          <w:trHeight w:val="432"/>
          <w:jc w:val="center"/>
        </w:trPr>
        <w:tc>
          <w:tcPr>
            <w:tcW w:w="2374" w:type="pct"/>
          </w:tcPr>
          <w:p w:rsidR="003B4596" w:rsidRPr="00C12B80" w:rsidRDefault="003B4596" w:rsidP="0022316B">
            <w:pPr>
              <w:rPr>
                <w:rFonts w:asciiTheme="minorHAnsi" w:hAnsiTheme="minorHAnsi" w:cs="Arial"/>
                <w:bCs w:val="0"/>
                <w:sz w:val="20"/>
                <w:szCs w:val="20"/>
              </w:rPr>
            </w:pPr>
            <w:r w:rsidRPr="00C12B80">
              <w:rPr>
                <w:rFonts w:asciiTheme="minorHAnsi" w:hAnsiTheme="minorHAnsi" w:cs="Arial"/>
                <w:bCs w:val="0"/>
                <w:sz w:val="20"/>
                <w:szCs w:val="20"/>
              </w:rPr>
              <w:t>Performance</w:t>
            </w:r>
          </w:p>
        </w:tc>
        <w:tc>
          <w:tcPr>
            <w:tcW w:w="1366" w:type="pct"/>
          </w:tcPr>
          <w:p w:rsidR="003B4596" w:rsidRPr="00C12B80" w:rsidRDefault="003B4596" w:rsidP="0022316B">
            <w:pPr>
              <w:jc w:val="center"/>
              <w:rPr>
                <w:rFonts w:asciiTheme="minorHAnsi" w:hAnsiTheme="minorHAnsi" w:cs="Arial"/>
                <w:bCs w:val="0"/>
                <w:sz w:val="20"/>
                <w:szCs w:val="20"/>
              </w:rPr>
            </w:pPr>
            <w:r w:rsidRPr="00C12B80">
              <w:rPr>
                <w:rFonts w:asciiTheme="minorHAnsi" w:hAnsiTheme="minorHAnsi" w:cs="Arial"/>
                <w:bCs w:val="0"/>
                <w:sz w:val="20"/>
                <w:szCs w:val="20"/>
              </w:rPr>
              <w:t>Baseline Model</w:t>
            </w:r>
          </w:p>
        </w:tc>
        <w:tc>
          <w:tcPr>
            <w:tcW w:w="1260" w:type="pct"/>
          </w:tcPr>
          <w:p w:rsidR="003B4596" w:rsidRPr="00C12B80" w:rsidRDefault="003B4596" w:rsidP="0022316B">
            <w:pPr>
              <w:jc w:val="center"/>
              <w:rPr>
                <w:rFonts w:asciiTheme="minorHAnsi" w:hAnsiTheme="minorHAnsi" w:cs="Arial"/>
                <w:bCs w:val="0"/>
                <w:sz w:val="20"/>
                <w:szCs w:val="20"/>
              </w:rPr>
            </w:pPr>
            <w:r w:rsidRPr="00C12B80">
              <w:rPr>
                <w:rFonts w:asciiTheme="minorHAnsi" w:hAnsiTheme="minorHAnsi" w:cs="Arial"/>
                <w:bCs w:val="0"/>
                <w:sz w:val="20"/>
                <w:szCs w:val="20"/>
              </w:rPr>
              <w:t>Energy Efficient Model</w:t>
            </w:r>
          </w:p>
        </w:tc>
      </w:tr>
      <w:tr w:rsidR="003B4596" w:rsidRPr="009268EB"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268EB" w:rsidRDefault="003B4596" w:rsidP="0022316B">
            <w:pPr>
              <w:rPr>
                <w:rFonts w:asciiTheme="minorHAnsi" w:hAnsiTheme="minorHAnsi" w:cs="Arial"/>
                <w:sz w:val="20"/>
                <w:szCs w:val="20"/>
              </w:rPr>
            </w:pPr>
            <w:r w:rsidRPr="009268EB">
              <w:rPr>
                <w:rFonts w:asciiTheme="minorHAnsi" w:hAnsiTheme="minorHAnsi" w:cs="Arial"/>
                <w:sz w:val="20"/>
                <w:szCs w:val="20"/>
              </w:rPr>
              <w:t>Preheat Time (min)</w:t>
            </w:r>
          </w:p>
        </w:tc>
        <w:tc>
          <w:tcPr>
            <w:tcW w:w="1366"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15</w:t>
            </w:r>
          </w:p>
        </w:tc>
        <w:tc>
          <w:tcPr>
            <w:tcW w:w="1260"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15</w:t>
            </w:r>
          </w:p>
        </w:tc>
      </w:tr>
      <w:tr w:rsidR="003B4596" w:rsidRPr="009268EB"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9268EB" w:rsidRDefault="003B4596" w:rsidP="0022316B">
            <w:pPr>
              <w:rPr>
                <w:rFonts w:asciiTheme="minorHAnsi" w:hAnsiTheme="minorHAnsi" w:cs="Arial"/>
                <w:sz w:val="20"/>
                <w:szCs w:val="20"/>
              </w:rPr>
            </w:pPr>
            <w:r w:rsidRPr="009268EB">
              <w:rPr>
                <w:rFonts w:asciiTheme="minorHAnsi" w:hAnsiTheme="minorHAnsi" w:cs="Arial"/>
                <w:sz w:val="20"/>
                <w:szCs w:val="20"/>
              </w:rPr>
              <w:t>Preheat Energy (kWh)</w:t>
            </w:r>
          </w:p>
        </w:tc>
        <w:tc>
          <w:tcPr>
            <w:tcW w:w="1366"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1.50</w:t>
            </w:r>
          </w:p>
        </w:tc>
        <w:tc>
          <w:tcPr>
            <w:tcW w:w="1260"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1.00</w:t>
            </w:r>
          </w:p>
        </w:tc>
      </w:tr>
      <w:tr w:rsidR="003B4596" w:rsidRPr="009268EB"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268EB" w:rsidRDefault="003B4596" w:rsidP="0022316B">
            <w:pPr>
              <w:rPr>
                <w:rFonts w:asciiTheme="minorHAnsi" w:hAnsiTheme="minorHAnsi" w:cs="Arial"/>
                <w:sz w:val="20"/>
                <w:szCs w:val="20"/>
              </w:rPr>
            </w:pPr>
            <w:r w:rsidRPr="009268EB">
              <w:rPr>
                <w:rFonts w:asciiTheme="minorHAnsi" w:hAnsiTheme="minorHAnsi" w:cs="Arial"/>
                <w:sz w:val="20"/>
                <w:szCs w:val="20"/>
              </w:rPr>
              <w:t>Idle Energy Rate (kW)</w:t>
            </w:r>
          </w:p>
        </w:tc>
        <w:tc>
          <w:tcPr>
            <w:tcW w:w="1366"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2.00</w:t>
            </w:r>
          </w:p>
        </w:tc>
        <w:tc>
          <w:tcPr>
            <w:tcW w:w="1260"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1.40</w:t>
            </w:r>
          </w:p>
        </w:tc>
      </w:tr>
      <w:tr w:rsidR="003B4596" w:rsidRPr="009268EB"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9268EB" w:rsidRDefault="003B4596" w:rsidP="0022316B">
            <w:pPr>
              <w:rPr>
                <w:rFonts w:asciiTheme="minorHAnsi" w:hAnsiTheme="minorHAnsi" w:cs="Arial"/>
                <w:sz w:val="20"/>
                <w:szCs w:val="20"/>
              </w:rPr>
            </w:pPr>
            <w:r w:rsidRPr="009268EB">
              <w:rPr>
                <w:rFonts w:asciiTheme="minorHAnsi" w:hAnsiTheme="minorHAnsi" w:cs="Arial"/>
                <w:sz w:val="20"/>
                <w:szCs w:val="20"/>
              </w:rPr>
              <w:t>Heavy Load Cooking Energy Efficiency (%)</w:t>
            </w:r>
          </w:p>
        </w:tc>
        <w:tc>
          <w:tcPr>
            <w:tcW w:w="1366"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65%</w:t>
            </w:r>
          </w:p>
        </w:tc>
        <w:tc>
          <w:tcPr>
            <w:tcW w:w="1260"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73%</w:t>
            </w:r>
          </w:p>
        </w:tc>
      </w:tr>
      <w:tr w:rsidR="003B4596" w:rsidRPr="009268EB"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268EB" w:rsidRDefault="003B4596" w:rsidP="0022316B">
            <w:pPr>
              <w:rPr>
                <w:rFonts w:asciiTheme="minorHAnsi" w:hAnsiTheme="minorHAnsi" w:cs="Arial"/>
                <w:sz w:val="20"/>
                <w:szCs w:val="20"/>
              </w:rPr>
            </w:pPr>
            <w:r w:rsidRPr="009268EB">
              <w:rPr>
                <w:rFonts w:asciiTheme="minorHAnsi" w:hAnsiTheme="minorHAnsi" w:cs="Arial"/>
                <w:sz w:val="20"/>
                <w:szCs w:val="20"/>
              </w:rPr>
              <w:t>Production Capacity (lbs/hr)</w:t>
            </w:r>
          </w:p>
        </w:tc>
        <w:tc>
          <w:tcPr>
            <w:tcW w:w="1366"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70</w:t>
            </w:r>
          </w:p>
        </w:tc>
        <w:tc>
          <w:tcPr>
            <w:tcW w:w="1260"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82</w:t>
            </w:r>
          </w:p>
        </w:tc>
      </w:tr>
      <w:tr w:rsidR="003B4596" w:rsidRPr="009268EB"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9268EB" w:rsidRDefault="003B4596" w:rsidP="0022316B">
            <w:pPr>
              <w:rPr>
                <w:rFonts w:asciiTheme="minorHAnsi" w:hAnsiTheme="minorHAnsi" w:cs="Arial"/>
                <w:sz w:val="20"/>
                <w:szCs w:val="20"/>
              </w:rPr>
            </w:pPr>
            <w:r w:rsidRPr="009268EB">
              <w:rPr>
                <w:rFonts w:asciiTheme="minorHAnsi" w:hAnsiTheme="minorHAnsi" w:cs="Arial"/>
                <w:sz w:val="20"/>
                <w:szCs w:val="20"/>
              </w:rPr>
              <w:t>Operating Hours/Day</w:t>
            </w:r>
          </w:p>
        </w:tc>
        <w:tc>
          <w:tcPr>
            <w:tcW w:w="1366"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12</w:t>
            </w:r>
          </w:p>
        </w:tc>
        <w:tc>
          <w:tcPr>
            <w:tcW w:w="1260"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12</w:t>
            </w:r>
          </w:p>
        </w:tc>
      </w:tr>
      <w:tr w:rsidR="003B4596" w:rsidRPr="009268EB"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268EB" w:rsidRDefault="003B4596" w:rsidP="0022316B">
            <w:pPr>
              <w:rPr>
                <w:rFonts w:asciiTheme="minorHAnsi" w:hAnsiTheme="minorHAnsi" w:cs="Arial"/>
                <w:sz w:val="20"/>
                <w:szCs w:val="20"/>
              </w:rPr>
            </w:pPr>
            <w:r w:rsidRPr="009268EB">
              <w:rPr>
                <w:rFonts w:asciiTheme="minorHAnsi" w:hAnsiTheme="minorHAnsi" w:cs="Arial"/>
                <w:sz w:val="20"/>
                <w:szCs w:val="20"/>
              </w:rPr>
              <w:t>Operating Days/Year</w:t>
            </w:r>
          </w:p>
        </w:tc>
        <w:tc>
          <w:tcPr>
            <w:tcW w:w="1366"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365</w:t>
            </w:r>
          </w:p>
        </w:tc>
        <w:tc>
          <w:tcPr>
            <w:tcW w:w="1260"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365</w:t>
            </w:r>
          </w:p>
        </w:tc>
      </w:tr>
      <w:tr w:rsidR="003B4596" w:rsidRPr="009268EB"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9268EB" w:rsidRDefault="003B4596" w:rsidP="0022316B">
            <w:pPr>
              <w:rPr>
                <w:rFonts w:asciiTheme="minorHAnsi" w:hAnsiTheme="minorHAnsi" w:cs="Arial"/>
                <w:sz w:val="20"/>
                <w:szCs w:val="20"/>
              </w:rPr>
            </w:pPr>
            <w:r w:rsidRPr="009268EB">
              <w:rPr>
                <w:rFonts w:asciiTheme="minorHAnsi" w:hAnsiTheme="minorHAnsi" w:cs="Arial"/>
                <w:sz w:val="20"/>
                <w:szCs w:val="20"/>
              </w:rPr>
              <w:t>Number of Preheats per Day</w:t>
            </w:r>
          </w:p>
        </w:tc>
        <w:tc>
          <w:tcPr>
            <w:tcW w:w="1366"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1</w:t>
            </w:r>
          </w:p>
        </w:tc>
        <w:tc>
          <w:tcPr>
            <w:tcW w:w="1260"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1</w:t>
            </w:r>
          </w:p>
        </w:tc>
      </w:tr>
      <w:tr w:rsidR="003B4596" w:rsidRPr="009268EB"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268EB" w:rsidRDefault="003B4596" w:rsidP="0022316B">
            <w:pPr>
              <w:rPr>
                <w:rFonts w:asciiTheme="minorHAnsi" w:hAnsiTheme="minorHAnsi" w:cs="Arial"/>
                <w:sz w:val="20"/>
                <w:szCs w:val="20"/>
              </w:rPr>
            </w:pPr>
            <w:r w:rsidRPr="009268EB">
              <w:rPr>
                <w:rFonts w:asciiTheme="minorHAnsi" w:hAnsiTheme="minorHAnsi" w:cs="Arial"/>
                <w:sz w:val="20"/>
                <w:szCs w:val="20"/>
              </w:rPr>
              <w:t>Pounds of Food Cooked per Day</w:t>
            </w:r>
          </w:p>
        </w:tc>
        <w:tc>
          <w:tcPr>
            <w:tcW w:w="1366"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100</w:t>
            </w:r>
          </w:p>
        </w:tc>
        <w:tc>
          <w:tcPr>
            <w:tcW w:w="1260"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100</w:t>
            </w:r>
          </w:p>
        </w:tc>
      </w:tr>
      <w:tr w:rsidR="003B4596" w:rsidRPr="009268EB"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9268EB" w:rsidRDefault="003B4596" w:rsidP="0022316B">
            <w:pPr>
              <w:rPr>
                <w:rFonts w:asciiTheme="minorHAnsi" w:hAnsiTheme="minorHAnsi" w:cs="Arial"/>
                <w:sz w:val="20"/>
                <w:szCs w:val="20"/>
              </w:rPr>
            </w:pPr>
            <w:r w:rsidRPr="009268EB">
              <w:rPr>
                <w:rFonts w:asciiTheme="minorHAnsi" w:hAnsiTheme="minorHAnsi" w:cs="Arial"/>
                <w:sz w:val="20"/>
                <w:szCs w:val="20"/>
              </w:rPr>
              <w:t>Electric Cost ($/kWh)</w:t>
            </w:r>
          </w:p>
        </w:tc>
        <w:tc>
          <w:tcPr>
            <w:tcW w:w="1366"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$0.13</w:t>
            </w:r>
          </w:p>
        </w:tc>
        <w:tc>
          <w:tcPr>
            <w:tcW w:w="1260"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$0.13</w:t>
            </w:r>
          </w:p>
        </w:tc>
      </w:tr>
      <w:tr w:rsidR="003B4596" w:rsidRPr="009268EB"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268EB" w:rsidRDefault="003B4596" w:rsidP="0022316B">
            <w:pPr>
              <w:rPr>
                <w:rFonts w:asciiTheme="minorHAnsi" w:hAnsiTheme="minorHAnsi" w:cs="Arial"/>
                <w:sz w:val="20"/>
                <w:szCs w:val="20"/>
              </w:rPr>
            </w:pPr>
            <w:r w:rsidRPr="009268EB">
              <w:rPr>
                <w:rFonts w:asciiTheme="minorHAnsi" w:hAnsiTheme="minorHAnsi" w:cs="Arial"/>
                <w:sz w:val="20"/>
                <w:szCs w:val="20"/>
              </w:rPr>
              <w:t>ASTM Energy to Food (kWh/lb)</w:t>
            </w:r>
          </w:p>
        </w:tc>
        <w:tc>
          <w:tcPr>
            <w:tcW w:w="1366"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0.0732</w:t>
            </w:r>
          </w:p>
        </w:tc>
        <w:tc>
          <w:tcPr>
            <w:tcW w:w="1260"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0.0732</w:t>
            </w:r>
          </w:p>
        </w:tc>
      </w:tr>
      <w:tr w:rsidR="003B4596" w:rsidRPr="009268EB"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9268EB" w:rsidRDefault="003B4596" w:rsidP="0022316B">
            <w:pPr>
              <w:rPr>
                <w:rFonts w:asciiTheme="minorHAnsi" w:hAnsiTheme="minorHAnsi" w:cs="Arial"/>
                <w:sz w:val="20"/>
                <w:szCs w:val="20"/>
              </w:rPr>
            </w:pPr>
            <w:r w:rsidRPr="009268EB">
              <w:rPr>
                <w:rFonts w:asciiTheme="minorHAnsi" w:hAnsiTheme="minorHAnsi" w:cs="Arial"/>
                <w:sz w:val="20"/>
                <w:szCs w:val="20"/>
              </w:rPr>
              <w:t>Daily Energy Consumption (kWh)</w:t>
            </w:r>
          </w:p>
        </w:tc>
        <w:tc>
          <w:tcPr>
            <w:tcW w:w="1366"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33.4</w:t>
            </w:r>
          </w:p>
        </w:tc>
        <w:tc>
          <w:tcPr>
            <w:tcW w:w="1260"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25.8</w:t>
            </w:r>
          </w:p>
        </w:tc>
      </w:tr>
      <w:tr w:rsidR="003B4596" w:rsidRPr="009268EB"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268EB" w:rsidRDefault="003B4596" w:rsidP="0022316B">
            <w:pPr>
              <w:rPr>
                <w:rFonts w:asciiTheme="minorHAnsi" w:hAnsiTheme="minorHAnsi" w:cs="Arial"/>
                <w:sz w:val="20"/>
                <w:szCs w:val="20"/>
              </w:rPr>
            </w:pPr>
            <w:r w:rsidRPr="009268EB">
              <w:rPr>
                <w:rFonts w:asciiTheme="minorHAnsi" w:hAnsiTheme="minorHAnsi" w:cs="Arial"/>
                <w:sz w:val="20"/>
                <w:szCs w:val="20"/>
              </w:rPr>
              <w:t>Average Demand (kW)</w:t>
            </w:r>
          </w:p>
        </w:tc>
        <w:tc>
          <w:tcPr>
            <w:tcW w:w="1366"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2.8</w:t>
            </w:r>
          </w:p>
        </w:tc>
        <w:tc>
          <w:tcPr>
            <w:tcW w:w="1260"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2.2</w:t>
            </w:r>
          </w:p>
        </w:tc>
      </w:tr>
      <w:tr w:rsidR="003B4596" w:rsidRPr="009268EB"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B52E6B" w:rsidRDefault="003B4596" w:rsidP="0022316B">
            <w:pPr>
              <w:rPr>
                <w:rFonts w:asciiTheme="minorHAnsi" w:hAnsiTheme="minorHAnsi" w:cs="Arial"/>
                <w:b/>
                <w:sz w:val="20"/>
                <w:szCs w:val="20"/>
              </w:rPr>
            </w:pPr>
            <w:r w:rsidRPr="00B52E6B">
              <w:rPr>
                <w:rFonts w:asciiTheme="minorHAnsi" w:hAnsiTheme="minorHAnsi" w:cs="Arial"/>
                <w:b/>
                <w:sz w:val="20"/>
                <w:szCs w:val="20"/>
              </w:rPr>
              <w:lastRenderedPageBreak/>
              <w:t>Estimated Demand Reduction (kW)</w:t>
            </w:r>
          </w:p>
        </w:tc>
        <w:tc>
          <w:tcPr>
            <w:tcW w:w="1366" w:type="pct"/>
          </w:tcPr>
          <w:p w:rsidR="003B4596" w:rsidRPr="00B52E6B" w:rsidRDefault="003B4596" w:rsidP="0022316B">
            <w:pPr>
              <w:jc w:val="center"/>
              <w:rPr>
                <w:rFonts w:asciiTheme="minorHAnsi" w:hAnsiTheme="minorHAnsi" w:cs="Arial"/>
                <w:b/>
                <w:sz w:val="20"/>
                <w:szCs w:val="20"/>
              </w:rPr>
            </w:pPr>
            <w:r w:rsidRPr="00B52E6B">
              <w:rPr>
                <w:rFonts w:asciiTheme="minorHAnsi" w:hAnsiTheme="minorHAnsi" w:cs="Arial"/>
                <w:b/>
                <w:sz w:val="20"/>
                <w:szCs w:val="20"/>
              </w:rPr>
              <w:t>-</w:t>
            </w:r>
          </w:p>
        </w:tc>
        <w:tc>
          <w:tcPr>
            <w:tcW w:w="1260" w:type="pct"/>
          </w:tcPr>
          <w:p w:rsidR="003B4596" w:rsidRPr="00B52E6B" w:rsidRDefault="003B4596" w:rsidP="0022316B">
            <w:pPr>
              <w:jc w:val="center"/>
              <w:rPr>
                <w:rFonts w:asciiTheme="minorHAnsi" w:hAnsiTheme="minorHAnsi" w:cs="Arial"/>
                <w:b/>
                <w:sz w:val="20"/>
                <w:szCs w:val="20"/>
              </w:rPr>
            </w:pPr>
            <w:r w:rsidRPr="00B52E6B">
              <w:rPr>
                <w:rFonts w:asciiTheme="minorHAnsi" w:hAnsiTheme="minorHAnsi" w:cs="Arial"/>
                <w:b/>
                <w:sz w:val="20"/>
                <w:szCs w:val="20"/>
              </w:rPr>
              <w:t>0.</w:t>
            </w:r>
            <w:r w:rsidR="00B52E6B">
              <w:rPr>
                <w:rFonts w:asciiTheme="minorHAnsi" w:hAnsiTheme="minorHAnsi" w:cs="Arial"/>
                <w:b/>
                <w:sz w:val="20"/>
                <w:szCs w:val="20"/>
              </w:rPr>
              <w:t>54</w:t>
            </w:r>
          </w:p>
        </w:tc>
      </w:tr>
      <w:tr w:rsidR="003B4596" w:rsidRPr="009268EB"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268EB" w:rsidRDefault="003B4596" w:rsidP="0022316B">
            <w:pPr>
              <w:rPr>
                <w:rFonts w:asciiTheme="minorHAnsi" w:hAnsiTheme="minorHAnsi" w:cs="Arial"/>
                <w:sz w:val="20"/>
                <w:szCs w:val="20"/>
              </w:rPr>
            </w:pPr>
            <w:r w:rsidRPr="009268EB">
              <w:rPr>
                <w:rFonts w:asciiTheme="minorHAnsi" w:hAnsiTheme="minorHAnsi" w:cs="Arial"/>
                <w:sz w:val="20"/>
                <w:szCs w:val="20"/>
              </w:rPr>
              <w:t>Annual Energy Consumption (kWh)</w:t>
            </w:r>
          </w:p>
        </w:tc>
        <w:tc>
          <w:tcPr>
            <w:tcW w:w="1366"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12,191</w:t>
            </w:r>
          </w:p>
        </w:tc>
        <w:tc>
          <w:tcPr>
            <w:tcW w:w="1260" w:type="pct"/>
          </w:tcPr>
          <w:p w:rsidR="003B4596" w:rsidRPr="009268EB" w:rsidRDefault="003B4596" w:rsidP="0022316B">
            <w:pPr>
              <w:jc w:val="center"/>
              <w:rPr>
                <w:rFonts w:asciiTheme="minorHAnsi" w:hAnsiTheme="minorHAnsi" w:cs="Arial"/>
                <w:sz w:val="20"/>
                <w:szCs w:val="20"/>
              </w:rPr>
            </w:pPr>
            <w:r w:rsidRPr="009268EB">
              <w:rPr>
                <w:rFonts w:asciiTheme="minorHAnsi" w:hAnsiTheme="minorHAnsi" w:cs="Arial"/>
                <w:sz w:val="20"/>
                <w:szCs w:val="20"/>
              </w:rPr>
              <w:t>9,417</w:t>
            </w:r>
          </w:p>
        </w:tc>
      </w:tr>
      <w:tr w:rsidR="003B4596" w:rsidRPr="009268EB"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b/>
                <w:sz w:val="20"/>
                <w:szCs w:val="20"/>
              </w:rPr>
            </w:pPr>
            <w:r w:rsidRPr="009E0293">
              <w:rPr>
                <w:rFonts w:asciiTheme="minorHAnsi" w:hAnsiTheme="minorHAnsi" w:cs="Arial"/>
                <w:b/>
                <w:sz w:val="20"/>
                <w:szCs w:val="20"/>
              </w:rPr>
              <w:t>Estimated Energy Savings (kWh/yr)</w:t>
            </w:r>
          </w:p>
        </w:tc>
        <w:tc>
          <w:tcPr>
            <w:tcW w:w="1366" w:type="pct"/>
          </w:tcPr>
          <w:p w:rsidR="003B4596" w:rsidRPr="009E0293" w:rsidRDefault="003B4596" w:rsidP="0022316B">
            <w:pPr>
              <w:jc w:val="center"/>
              <w:rPr>
                <w:rFonts w:asciiTheme="minorHAnsi" w:hAnsiTheme="minorHAnsi" w:cs="Arial"/>
                <w:b/>
                <w:sz w:val="20"/>
                <w:szCs w:val="20"/>
              </w:rPr>
            </w:pPr>
            <w:r w:rsidRPr="009E0293">
              <w:rPr>
                <w:rFonts w:asciiTheme="minorHAnsi" w:hAnsiTheme="minorHAnsi" w:cs="Arial"/>
                <w:b/>
                <w:sz w:val="20"/>
                <w:szCs w:val="20"/>
              </w:rPr>
              <w:t>-</w:t>
            </w:r>
          </w:p>
        </w:tc>
        <w:tc>
          <w:tcPr>
            <w:tcW w:w="1260" w:type="pct"/>
          </w:tcPr>
          <w:p w:rsidR="003B4596" w:rsidRPr="009E0293" w:rsidRDefault="003B4596" w:rsidP="0022316B">
            <w:pPr>
              <w:jc w:val="center"/>
              <w:rPr>
                <w:rFonts w:asciiTheme="minorHAnsi" w:hAnsiTheme="minorHAnsi" w:cs="Arial"/>
                <w:b/>
                <w:sz w:val="20"/>
                <w:szCs w:val="20"/>
              </w:rPr>
            </w:pPr>
            <w:r w:rsidRPr="009E0293">
              <w:rPr>
                <w:rFonts w:asciiTheme="minorHAnsi" w:hAnsiTheme="minorHAnsi" w:cs="Arial"/>
                <w:b/>
                <w:sz w:val="20"/>
                <w:szCs w:val="20"/>
              </w:rPr>
              <w:t>2,774</w:t>
            </w:r>
          </w:p>
        </w:tc>
      </w:tr>
    </w:tbl>
    <w:p w:rsidR="003B4596" w:rsidRPr="009E0293" w:rsidRDefault="003B4596" w:rsidP="003B4596">
      <w:pPr>
        <w:spacing w:line="276" w:lineRule="auto"/>
        <w:rPr>
          <w:rFonts w:asciiTheme="minorHAnsi" w:hAnsiTheme="minorHAnsi" w:cstheme="minorHAnsi"/>
          <w:b/>
          <w:sz w:val="20"/>
          <w:szCs w:val="20"/>
        </w:rPr>
      </w:pPr>
    </w:p>
    <w:p w:rsidR="003B4596" w:rsidRDefault="009E0293" w:rsidP="009E0293">
      <w:pPr>
        <w:pStyle w:val="Caption"/>
        <w:jc w:val="center"/>
        <w:rPr>
          <w:rFonts w:asciiTheme="minorHAnsi" w:hAnsiTheme="minorHAnsi" w:cstheme="minorHAnsi"/>
          <w:b w:val="0"/>
          <w:i/>
          <w:sz w:val="20"/>
          <w:szCs w:val="20"/>
        </w:rPr>
      </w:pPr>
      <w:bookmarkStart w:id="24" w:name="_Ref390949657"/>
      <w:r w:rsidRPr="009E0293">
        <w:rPr>
          <w:rFonts w:asciiTheme="minorHAnsi" w:hAnsiTheme="minorHAnsi" w:cstheme="minorHAnsi"/>
          <w:sz w:val="22"/>
          <w:szCs w:val="22"/>
        </w:rPr>
        <w:t xml:space="preserve">Table </w:t>
      </w:r>
      <w:r w:rsidRPr="009E0293">
        <w:rPr>
          <w:rFonts w:asciiTheme="minorHAnsi" w:hAnsiTheme="minorHAnsi" w:cstheme="minorHAnsi"/>
          <w:sz w:val="22"/>
          <w:szCs w:val="22"/>
        </w:rPr>
        <w:fldChar w:fldCharType="begin"/>
      </w:r>
      <w:r w:rsidRPr="009E0293">
        <w:rPr>
          <w:rFonts w:asciiTheme="minorHAnsi" w:hAnsiTheme="minorHAnsi" w:cstheme="minorHAnsi"/>
          <w:sz w:val="22"/>
          <w:szCs w:val="22"/>
        </w:rPr>
        <w:instrText xml:space="preserve"> SEQ Table \* ARABIC </w:instrText>
      </w:r>
      <w:r w:rsidRPr="009E0293">
        <w:rPr>
          <w:rFonts w:asciiTheme="minorHAnsi" w:hAnsiTheme="minorHAnsi" w:cstheme="minorHAnsi"/>
          <w:sz w:val="22"/>
          <w:szCs w:val="22"/>
        </w:rPr>
        <w:fldChar w:fldCharType="separate"/>
      </w:r>
      <w:r w:rsidR="00BD6511">
        <w:rPr>
          <w:rFonts w:asciiTheme="minorHAnsi" w:hAnsiTheme="minorHAnsi" w:cstheme="minorHAnsi"/>
          <w:noProof/>
          <w:sz w:val="22"/>
          <w:szCs w:val="22"/>
        </w:rPr>
        <w:t>12</w:t>
      </w:r>
      <w:r w:rsidRPr="009E0293">
        <w:rPr>
          <w:rFonts w:asciiTheme="minorHAnsi" w:hAnsiTheme="minorHAnsi" w:cstheme="minorHAnsi"/>
          <w:sz w:val="22"/>
          <w:szCs w:val="22"/>
        </w:rPr>
        <w:fldChar w:fldCharType="end"/>
      </w:r>
      <w:bookmarkEnd w:id="24"/>
      <w:r w:rsidRPr="009E0293">
        <w:rPr>
          <w:rFonts w:asciiTheme="minorHAnsi" w:hAnsiTheme="minorHAnsi" w:cstheme="minorHAnsi"/>
          <w:sz w:val="22"/>
          <w:szCs w:val="22"/>
        </w:rPr>
        <w:t xml:space="preserve"> </w:t>
      </w:r>
      <w:r w:rsidRPr="00B551A8">
        <w:rPr>
          <w:rFonts w:asciiTheme="minorHAnsi" w:hAnsiTheme="minorHAnsi" w:cstheme="minorHAnsi"/>
          <w:sz w:val="22"/>
          <w:szCs w:val="22"/>
        </w:rPr>
        <w:t>Commercial Electric</w:t>
      </w:r>
      <w:r>
        <w:rPr>
          <w:rFonts w:asciiTheme="minorHAnsi" w:hAnsiTheme="minorHAnsi" w:cstheme="minorHAnsi"/>
          <w:sz w:val="22"/>
          <w:szCs w:val="22"/>
        </w:rPr>
        <w:t xml:space="preserve"> Large Full-Size</w:t>
      </w:r>
      <w:r w:rsidRPr="00B551A8">
        <w:rPr>
          <w:rFonts w:asciiTheme="minorHAnsi" w:hAnsiTheme="minorHAnsi" w:cstheme="minorHAnsi"/>
          <w:sz w:val="22"/>
          <w:szCs w:val="22"/>
        </w:rPr>
        <w:t xml:space="preserve"> </w:t>
      </w:r>
      <w:r>
        <w:rPr>
          <w:rFonts w:asciiTheme="minorHAnsi" w:hAnsiTheme="minorHAnsi" w:cstheme="minorHAnsi"/>
          <w:sz w:val="22"/>
          <w:szCs w:val="22"/>
        </w:rPr>
        <w:t>Convection Oven</w:t>
      </w:r>
      <w:r w:rsidRPr="00B551A8">
        <w:rPr>
          <w:rFonts w:asciiTheme="minorHAnsi" w:hAnsiTheme="minorHAnsi" w:cstheme="minorHAnsi"/>
          <w:sz w:val="22"/>
          <w:szCs w:val="22"/>
        </w:rPr>
        <w:t xml:space="preserve"> Calculations</w:t>
      </w:r>
    </w:p>
    <w:tbl>
      <w:tblPr>
        <w:tblStyle w:val="TableContemporary"/>
        <w:tblW w:w="4474" w:type="pct"/>
        <w:jc w:val="center"/>
        <w:tblLook w:val="00A0" w:firstRow="1" w:lastRow="0" w:firstColumn="1" w:lastColumn="0" w:noHBand="0" w:noVBand="0"/>
      </w:tblPr>
      <w:tblGrid>
        <w:gridCol w:w="4069"/>
        <w:gridCol w:w="2341"/>
        <w:gridCol w:w="2159"/>
      </w:tblGrid>
      <w:tr w:rsidR="003B4596" w:rsidRPr="009E0293" w:rsidTr="009E0293">
        <w:trPr>
          <w:cnfStyle w:val="100000000000" w:firstRow="1" w:lastRow="0" w:firstColumn="0" w:lastColumn="0" w:oddVBand="0" w:evenVBand="0" w:oddHBand="0" w:evenHBand="0" w:firstRowFirstColumn="0" w:firstRowLastColumn="0" w:lastRowFirstColumn="0" w:lastRowLastColumn="0"/>
          <w:trHeight w:val="432"/>
          <w:jc w:val="center"/>
        </w:trPr>
        <w:tc>
          <w:tcPr>
            <w:tcW w:w="2374" w:type="pct"/>
          </w:tcPr>
          <w:p w:rsidR="003B4596" w:rsidRPr="009E0293" w:rsidRDefault="003B4596" w:rsidP="0022316B">
            <w:pPr>
              <w:rPr>
                <w:rFonts w:asciiTheme="minorHAnsi" w:hAnsiTheme="minorHAnsi" w:cs="Arial"/>
                <w:bCs w:val="0"/>
                <w:sz w:val="20"/>
                <w:szCs w:val="20"/>
              </w:rPr>
            </w:pPr>
            <w:r w:rsidRPr="009E0293">
              <w:rPr>
                <w:rFonts w:asciiTheme="minorHAnsi" w:hAnsiTheme="minorHAnsi" w:cs="Arial"/>
                <w:bCs w:val="0"/>
                <w:sz w:val="20"/>
                <w:szCs w:val="20"/>
              </w:rPr>
              <w:t>Performance</w:t>
            </w:r>
          </w:p>
        </w:tc>
        <w:tc>
          <w:tcPr>
            <w:tcW w:w="1366" w:type="pct"/>
          </w:tcPr>
          <w:p w:rsidR="003B4596" w:rsidRPr="009E0293" w:rsidRDefault="003B4596" w:rsidP="0022316B">
            <w:pPr>
              <w:jc w:val="center"/>
              <w:rPr>
                <w:rFonts w:asciiTheme="minorHAnsi" w:hAnsiTheme="minorHAnsi" w:cs="Arial"/>
                <w:bCs w:val="0"/>
                <w:sz w:val="20"/>
                <w:szCs w:val="20"/>
              </w:rPr>
            </w:pPr>
            <w:r w:rsidRPr="009E0293">
              <w:rPr>
                <w:rFonts w:asciiTheme="minorHAnsi" w:hAnsiTheme="minorHAnsi" w:cs="Arial"/>
                <w:bCs w:val="0"/>
                <w:sz w:val="20"/>
                <w:szCs w:val="20"/>
              </w:rPr>
              <w:t>Baseline Model</w:t>
            </w:r>
          </w:p>
        </w:tc>
        <w:tc>
          <w:tcPr>
            <w:tcW w:w="1260" w:type="pct"/>
          </w:tcPr>
          <w:p w:rsidR="003B4596" w:rsidRPr="009E0293" w:rsidRDefault="003B4596" w:rsidP="0022316B">
            <w:pPr>
              <w:jc w:val="center"/>
              <w:rPr>
                <w:rFonts w:asciiTheme="minorHAnsi" w:hAnsiTheme="minorHAnsi" w:cs="Arial"/>
                <w:bCs w:val="0"/>
                <w:sz w:val="20"/>
                <w:szCs w:val="20"/>
              </w:rPr>
            </w:pPr>
            <w:r w:rsidRPr="009E0293">
              <w:rPr>
                <w:rFonts w:asciiTheme="minorHAnsi" w:hAnsiTheme="minorHAnsi" w:cs="Arial"/>
                <w:bCs w:val="0"/>
                <w:sz w:val="20"/>
                <w:szCs w:val="20"/>
              </w:rPr>
              <w:t>Energy Efficient Model</w:t>
            </w:r>
          </w:p>
        </w:tc>
      </w:tr>
      <w:tr w:rsidR="003B4596" w:rsidRPr="009E0293"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sz w:val="20"/>
                <w:szCs w:val="20"/>
              </w:rPr>
            </w:pPr>
            <w:r w:rsidRPr="009E0293">
              <w:rPr>
                <w:rFonts w:asciiTheme="minorHAnsi" w:hAnsiTheme="minorHAnsi" w:cs="Arial"/>
                <w:sz w:val="20"/>
                <w:szCs w:val="20"/>
              </w:rPr>
              <w:t>Preheat Time (min)</w:t>
            </w:r>
          </w:p>
        </w:tc>
        <w:tc>
          <w:tcPr>
            <w:tcW w:w="1366"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15</w:t>
            </w:r>
          </w:p>
        </w:tc>
        <w:tc>
          <w:tcPr>
            <w:tcW w:w="1260"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15</w:t>
            </w:r>
          </w:p>
        </w:tc>
      </w:tr>
      <w:tr w:rsidR="003B4596" w:rsidRPr="009E0293"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sz w:val="20"/>
                <w:szCs w:val="20"/>
              </w:rPr>
            </w:pPr>
            <w:r w:rsidRPr="009E0293">
              <w:rPr>
                <w:rFonts w:asciiTheme="minorHAnsi" w:hAnsiTheme="minorHAnsi" w:cs="Arial"/>
                <w:sz w:val="20"/>
                <w:szCs w:val="20"/>
              </w:rPr>
              <w:t>Preheat Energy (kWh)</w:t>
            </w:r>
          </w:p>
        </w:tc>
        <w:tc>
          <w:tcPr>
            <w:tcW w:w="1366"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1.70</w:t>
            </w:r>
          </w:p>
        </w:tc>
        <w:tc>
          <w:tcPr>
            <w:tcW w:w="1260"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1.20</w:t>
            </w:r>
          </w:p>
        </w:tc>
      </w:tr>
      <w:tr w:rsidR="003B4596" w:rsidRPr="009E0293"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sz w:val="20"/>
                <w:szCs w:val="20"/>
              </w:rPr>
            </w:pPr>
            <w:r w:rsidRPr="009E0293">
              <w:rPr>
                <w:rFonts w:asciiTheme="minorHAnsi" w:hAnsiTheme="minorHAnsi" w:cs="Arial"/>
                <w:sz w:val="20"/>
                <w:szCs w:val="20"/>
              </w:rPr>
              <w:t>Idle Energy Rate (kW)</w:t>
            </w:r>
          </w:p>
        </w:tc>
        <w:tc>
          <w:tcPr>
            <w:tcW w:w="1366"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2.50</w:t>
            </w:r>
          </w:p>
        </w:tc>
        <w:tc>
          <w:tcPr>
            <w:tcW w:w="1260"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1.73</w:t>
            </w:r>
          </w:p>
        </w:tc>
      </w:tr>
      <w:tr w:rsidR="003B4596" w:rsidRPr="009E0293"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sz w:val="20"/>
                <w:szCs w:val="20"/>
              </w:rPr>
            </w:pPr>
            <w:r w:rsidRPr="009E0293">
              <w:rPr>
                <w:rFonts w:asciiTheme="minorHAnsi" w:hAnsiTheme="minorHAnsi" w:cs="Arial"/>
                <w:sz w:val="20"/>
                <w:szCs w:val="20"/>
              </w:rPr>
              <w:t>Heavy Load Cooking Energy Efficiency (%)</w:t>
            </w:r>
          </w:p>
        </w:tc>
        <w:tc>
          <w:tcPr>
            <w:tcW w:w="1366"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65%</w:t>
            </w:r>
          </w:p>
        </w:tc>
        <w:tc>
          <w:tcPr>
            <w:tcW w:w="1260"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76%</w:t>
            </w:r>
          </w:p>
        </w:tc>
      </w:tr>
      <w:tr w:rsidR="003B4596" w:rsidRPr="009E0293"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sz w:val="20"/>
                <w:szCs w:val="20"/>
              </w:rPr>
            </w:pPr>
            <w:r w:rsidRPr="009E0293">
              <w:rPr>
                <w:rFonts w:asciiTheme="minorHAnsi" w:hAnsiTheme="minorHAnsi" w:cs="Arial"/>
                <w:sz w:val="20"/>
                <w:szCs w:val="20"/>
              </w:rPr>
              <w:t>Production Capacity (lbs/hr)</w:t>
            </w:r>
          </w:p>
        </w:tc>
        <w:tc>
          <w:tcPr>
            <w:tcW w:w="1366"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100</w:t>
            </w:r>
          </w:p>
        </w:tc>
        <w:tc>
          <w:tcPr>
            <w:tcW w:w="1260"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137</w:t>
            </w:r>
          </w:p>
        </w:tc>
      </w:tr>
      <w:tr w:rsidR="003B4596" w:rsidRPr="009E0293"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sz w:val="20"/>
                <w:szCs w:val="20"/>
              </w:rPr>
            </w:pPr>
            <w:r w:rsidRPr="009E0293">
              <w:rPr>
                <w:rFonts w:asciiTheme="minorHAnsi" w:hAnsiTheme="minorHAnsi" w:cs="Arial"/>
                <w:sz w:val="20"/>
                <w:szCs w:val="20"/>
              </w:rPr>
              <w:t>Operating Hours/Day</w:t>
            </w:r>
          </w:p>
        </w:tc>
        <w:tc>
          <w:tcPr>
            <w:tcW w:w="1366"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12</w:t>
            </w:r>
          </w:p>
        </w:tc>
        <w:tc>
          <w:tcPr>
            <w:tcW w:w="1260"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12</w:t>
            </w:r>
          </w:p>
        </w:tc>
      </w:tr>
      <w:tr w:rsidR="003B4596" w:rsidRPr="009E0293"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sz w:val="20"/>
                <w:szCs w:val="20"/>
              </w:rPr>
            </w:pPr>
            <w:r w:rsidRPr="009E0293">
              <w:rPr>
                <w:rFonts w:asciiTheme="minorHAnsi" w:hAnsiTheme="minorHAnsi" w:cs="Arial"/>
                <w:sz w:val="20"/>
                <w:szCs w:val="20"/>
              </w:rPr>
              <w:t>Operating Days/Year</w:t>
            </w:r>
          </w:p>
        </w:tc>
        <w:tc>
          <w:tcPr>
            <w:tcW w:w="1366"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365</w:t>
            </w:r>
          </w:p>
        </w:tc>
        <w:tc>
          <w:tcPr>
            <w:tcW w:w="1260"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365</w:t>
            </w:r>
          </w:p>
        </w:tc>
      </w:tr>
      <w:tr w:rsidR="003B4596" w:rsidRPr="009E0293"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sz w:val="20"/>
                <w:szCs w:val="20"/>
              </w:rPr>
            </w:pPr>
            <w:r w:rsidRPr="009E0293">
              <w:rPr>
                <w:rFonts w:asciiTheme="minorHAnsi" w:hAnsiTheme="minorHAnsi" w:cs="Arial"/>
                <w:sz w:val="20"/>
                <w:szCs w:val="20"/>
              </w:rPr>
              <w:t>Number of Preheats per Day</w:t>
            </w:r>
          </w:p>
        </w:tc>
        <w:tc>
          <w:tcPr>
            <w:tcW w:w="1366"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w:t>
            </w:r>
          </w:p>
        </w:tc>
        <w:tc>
          <w:tcPr>
            <w:tcW w:w="1260"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w:t>
            </w:r>
          </w:p>
        </w:tc>
      </w:tr>
      <w:tr w:rsidR="003B4596" w:rsidRPr="009E0293"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sz w:val="20"/>
                <w:szCs w:val="20"/>
              </w:rPr>
            </w:pPr>
            <w:r w:rsidRPr="009E0293">
              <w:rPr>
                <w:rFonts w:asciiTheme="minorHAnsi" w:hAnsiTheme="minorHAnsi" w:cs="Arial"/>
                <w:sz w:val="20"/>
                <w:szCs w:val="20"/>
              </w:rPr>
              <w:t>Pounds of Food Cooked per Day</w:t>
            </w:r>
          </w:p>
        </w:tc>
        <w:tc>
          <w:tcPr>
            <w:tcW w:w="1366"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100</w:t>
            </w:r>
          </w:p>
        </w:tc>
        <w:tc>
          <w:tcPr>
            <w:tcW w:w="1260"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100</w:t>
            </w:r>
          </w:p>
        </w:tc>
      </w:tr>
      <w:tr w:rsidR="003B4596" w:rsidRPr="009E0293"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sz w:val="20"/>
                <w:szCs w:val="20"/>
              </w:rPr>
            </w:pPr>
            <w:r w:rsidRPr="009E0293">
              <w:rPr>
                <w:rFonts w:asciiTheme="minorHAnsi" w:hAnsiTheme="minorHAnsi" w:cs="Arial"/>
                <w:sz w:val="20"/>
                <w:szCs w:val="20"/>
              </w:rPr>
              <w:t>Electric Cost ($/kWh)</w:t>
            </w:r>
          </w:p>
        </w:tc>
        <w:tc>
          <w:tcPr>
            <w:tcW w:w="1366"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$0.13</w:t>
            </w:r>
          </w:p>
        </w:tc>
        <w:tc>
          <w:tcPr>
            <w:tcW w:w="1260"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$0.13</w:t>
            </w:r>
          </w:p>
        </w:tc>
      </w:tr>
      <w:tr w:rsidR="003B4596" w:rsidRPr="009E0293"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sz w:val="20"/>
                <w:szCs w:val="20"/>
              </w:rPr>
            </w:pPr>
            <w:r w:rsidRPr="009E0293">
              <w:rPr>
                <w:rFonts w:asciiTheme="minorHAnsi" w:hAnsiTheme="minorHAnsi" w:cs="Arial"/>
                <w:sz w:val="20"/>
                <w:szCs w:val="20"/>
              </w:rPr>
              <w:t>ASTM Energy to Food (kWh/lb)</w:t>
            </w:r>
          </w:p>
        </w:tc>
        <w:tc>
          <w:tcPr>
            <w:tcW w:w="1366"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0.0732</w:t>
            </w:r>
          </w:p>
        </w:tc>
        <w:tc>
          <w:tcPr>
            <w:tcW w:w="1260"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0.0732</w:t>
            </w:r>
          </w:p>
        </w:tc>
      </w:tr>
      <w:tr w:rsidR="003B4596" w:rsidRPr="009E0293"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sz w:val="20"/>
                <w:szCs w:val="20"/>
              </w:rPr>
            </w:pPr>
            <w:r w:rsidRPr="009E0293">
              <w:rPr>
                <w:rFonts w:asciiTheme="minorHAnsi" w:hAnsiTheme="minorHAnsi" w:cs="Arial"/>
                <w:sz w:val="20"/>
                <w:szCs w:val="20"/>
              </w:rPr>
              <w:t>Daily Energy Consumption (kWh)</w:t>
            </w:r>
          </w:p>
        </w:tc>
        <w:tc>
          <w:tcPr>
            <w:tcW w:w="1366"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39.8</w:t>
            </w:r>
          </w:p>
        </w:tc>
        <w:tc>
          <w:tcPr>
            <w:tcW w:w="1260"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29.9</w:t>
            </w:r>
          </w:p>
        </w:tc>
      </w:tr>
      <w:tr w:rsidR="003B4596" w:rsidRPr="009E0293"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sz w:val="20"/>
                <w:szCs w:val="20"/>
              </w:rPr>
            </w:pPr>
            <w:r w:rsidRPr="009E0293">
              <w:rPr>
                <w:rFonts w:asciiTheme="minorHAnsi" w:hAnsiTheme="minorHAnsi" w:cs="Arial"/>
                <w:sz w:val="20"/>
                <w:szCs w:val="20"/>
              </w:rPr>
              <w:t>Average Demand (kW)</w:t>
            </w:r>
          </w:p>
        </w:tc>
        <w:tc>
          <w:tcPr>
            <w:tcW w:w="1366"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3.3</w:t>
            </w:r>
          </w:p>
        </w:tc>
        <w:tc>
          <w:tcPr>
            <w:tcW w:w="1260"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2.5</w:t>
            </w:r>
          </w:p>
        </w:tc>
      </w:tr>
      <w:tr w:rsidR="003B4596" w:rsidRPr="009E0293"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B52E6B" w:rsidRDefault="003B4596" w:rsidP="0022316B">
            <w:pPr>
              <w:rPr>
                <w:rFonts w:asciiTheme="minorHAnsi" w:hAnsiTheme="minorHAnsi" w:cs="Arial"/>
                <w:b/>
                <w:sz w:val="20"/>
                <w:szCs w:val="20"/>
              </w:rPr>
            </w:pPr>
            <w:r w:rsidRPr="00B52E6B">
              <w:rPr>
                <w:rFonts w:asciiTheme="minorHAnsi" w:hAnsiTheme="minorHAnsi" w:cs="Arial"/>
                <w:b/>
                <w:sz w:val="20"/>
                <w:szCs w:val="20"/>
              </w:rPr>
              <w:t>Estimated Demand Reduction (kW)</w:t>
            </w:r>
          </w:p>
        </w:tc>
        <w:tc>
          <w:tcPr>
            <w:tcW w:w="1366" w:type="pct"/>
          </w:tcPr>
          <w:p w:rsidR="003B4596" w:rsidRPr="00B52E6B" w:rsidRDefault="003B4596" w:rsidP="0022316B">
            <w:pPr>
              <w:jc w:val="center"/>
              <w:rPr>
                <w:rFonts w:asciiTheme="minorHAnsi" w:hAnsiTheme="minorHAnsi" w:cs="Arial"/>
                <w:b/>
                <w:sz w:val="20"/>
                <w:szCs w:val="20"/>
              </w:rPr>
            </w:pPr>
            <w:r w:rsidRPr="00B52E6B">
              <w:rPr>
                <w:rFonts w:asciiTheme="minorHAnsi" w:hAnsiTheme="minorHAnsi" w:cs="Arial"/>
                <w:b/>
                <w:sz w:val="20"/>
                <w:szCs w:val="20"/>
              </w:rPr>
              <w:t>-</w:t>
            </w:r>
          </w:p>
        </w:tc>
        <w:tc>
          <w:tcPr>
            <w:tcW w:w="1260" w:type="pct"/>
          </w:tcPr>
          <w:p w:rsidR="003B4596" w:rsidRPr="00B52E6B" w:rsidRDefault="003B4596" w:rsidP="0022316B">
            <w:pPr>
              <w:jc w:val="center"/>
              <w:rPr>
                <w:rFonts w:asciiTheme="minorHAnsi" w:hAnsiTheme="minorHAnsi" w:cs="Arial"/>
                <w:b/>
                <w:sz w:val="20"/>
                <w:szCs w:val="20"/>
              </w:rPr>
            </w:pPr>
            <w:r w:rsidRPr="00B52E6B">
              <w:rPr>
                <w:rFonts w:asciiTheme="minorHAnsi" w:hAnsiTheme="minorHAnsi" w:cs="Arial"/>
                <w:b/>
                <w:sz w:val="20"/>
                <w:szCs w:val="20"/>
              </w:rPr>
              <w:t>0.7</w:t>
            </w:r>
            <w:r w:rsidR="00516BFF" w:rsidRPr="00B52E6B">
              <w:rPr>
                <w:rFonts w:asciiTheme="minorHAnsi" w:hAnsiTheme="minorHAnsi" w:cs="Arial"/>
                <w:b/>
                <w:sz w:val="20"/>
                <w:szCs w:val="20"/>
              </w:rPr>
              <w:t>5</w:t>
            </w:r>
          </w:p>
        </w:tc>
      </w:tr>
      <w:tr w:rsidR="003B4596" w:rsidRPr="009E0293" w:rsidTr="009E0293">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sz w:val="20"/>
                <w:szCs w:val="20"/>
              </w:rPr>
            </w:pPr>
            <w:r w:rsidRPr="009E0293">
              <w:rPr>
                <w:rFonts w:asciiTheme="minorHAnsi" w:hAnsiTheme="minorHAnsi" w:cs="Arial"/>
                <w:sz w:val="20"/>
                <w:szCs w:val="20"/>
              </w:rPr>
              <w:t>Annual Energy Consumption (kWh)</w:t>
            </w:r>
          </w:p>
        </w:tc>
        <w:tc>
          <w:tcPr>
            <w:tcW w:w="1366"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14,527</w:t>
            </w:r>
          </w:p>
        </w:tc>
        <w:tc>
          <w:tcPr>
            <w:tcW w:w="1260" w:type="pct"/>
          </w:tcPr>
          <w:p w:rsidR="003B4596" w:rsidRPr="009E0293" w:rsidRDefault="003B4596" w:rsidP="0022316B">
            <w:pPr>
              <w:jc w:val="center"/>
              <w:rPr>
                <w:rFonts w:asciiTheme="minorHAnsi" w:hAnsiTheme="minorHAnsi" w:cs="Arial"/>
                <w:sz w:val="20"/>
                <w:szCs w:val="20"/>
              </w:rPr>
            </w:pPr>
            <w:r w:rsidRPr="009E0293">
              <w:rPr>
                <w:rFonts w:asciiTheme="minorHAnsi" w:hAnsiTheme="minorHAnsi" w:cs="Arial"/>
                <w:sz w:val="20"/>
                <w:szCs w:val="20"/>
              </w:rPr>
              <w:t>10,914</w:t>
            </w:r>
          </w:p>
        </w:tc>
      </w:tr>
      <w:tr w:rsidR="003B4596" w:rsidRPr="009E0293" w:rsidTr="009E0293">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374" w:type="pct"/>
          </w:tcPr>
          <w:p w:rsidR="003B4596" w:rsidRPr="009E0293" w:rsidRDefault="003B4596" w:rsidP="0022316B">
            <w:pPr>
              <w:rPr>
                <w:rFonts w:asciiTheme="minorHAnsi" w:hAnsiTheme="minorHAnsi" w:cs="Arial"/>
                <w:b/>
                <w:sz w:val="20"/>
                <w:szCs w:val="20"/>
              </w:rPr>
            </w:pPr>
            <w:r w:rsidRPr="009E0293">
              <w:rPr>
                <w:rFonts w:asciiTheme="minorHAnsi" w:hAnsiTheme="minorHAnsi" w:cs="Arial"/>
                <w:b/>
                <w:sz w:val="20"/>
                <w:szCs w:val="20"/>
              </w:rPr>
              <w:t>Estimated Energy Savings (kWh/yr)</w:t>
            </w:r>
          </w:p>
        </w:tc>
        <w:tc>
          <w:tcPr>
            <w:tcW w:w="1366" w:type="pct"/>
          </w:tcPr>
          <w:p w:rsidR="003B4596" w:rsidRPr="009E0293" w:rsidRDefault="003B4596" w:rsidP="0022316B">
            <w:pPr>
              <w:jc w:val="center"/>
              <w:rPr>
                <w:rFonts w:asciiTheme="minorHAnsi" w:hAnsiTheme="minorHAnsi" w:cs="Arial"/>
                <w:b/>
                <w:sz w:val="20"/>
                <w:szCs w:val="20"/>
              </w:rPr>
            </w:pPr>
            <w:r w:rsidRPr="009E0293">
              <w:rPr>
                <w:rFonts w:asciiTheme="minorHAnsi" w:hAnsiTheme="minorHAnsi" w:cs="Arial"/>
                <w:b/>
                <w:sz w:val="20"/>
                <w:szCs w:val="20"/>
              </w:rPr>
              <w:t>-</w:t>
            </w:r>
          </w:p>
        </w:tc>
        <w:tc>
          <w:tcPr>
            <w:tcW w:w="1260" w:type="pct"/>
          </w:tcPr>
          <w:p w:rsidR="003B4596" w:rsidRPr="009E0293" w:rsidRDefault="003B4596" w:rsidP="0022316B">
            <w:pPr>
              <w:jc w:val="center"/>
              <w:rPr>
                <w:rFonts w:asciiTheme="minorHAnsi" w:hAnsiTheme="minorHAnsi" w:cs="Arial"/>
                <w:b/>
                <w:sz w:val="20"/>
                <w:szCs w:val="20"/>
              </w:rPr>
            </w:pPr>
            <w:r w:rsidRPr="009E0293">
              <w:rPr>
                <w:rFonts w:asciiTheme="minorHAnsi" w:hAnsiTheme="minorHAnsi" w:cs="Arial"/>
                <w:b/>
                <w:sz w:val="20"/>
                <w:szCs w:val="20"/>
              </w:rPr>
              <w:t>3,613</w:t>
            </w:r>
          </w:p>
        </w:tc>
      </w:tr>
    </w:tbl>
    <w:p w:rsidR="003B4596" w:rsidRPr="00B551A8" w:rsidRDefault="003B4596">
      <w:pPr>
        <w:spacing w:after="200" w:line="276" w:lineRule="auto"/>
        <w:rPr>
          <w:rFonts w:asciiTheme="minorHAnsi" w:hAnsiTheme="minorHAnsi" w:cstheme="minorHAnsi"/>
          <w:b/>
          <w:i/>
          <w:sz w:val="20"/>
          <w:szCs w:val="20"/>
        </w:rPr>
      </w:pPr>
    </w:p>
    <w:p w:rsidR="00534E2F" w:rsidRDefault="00534E2F" w:rsidP="00534E2F">
      <w:pPr>
        <w:rPr>
          <w:rFonts w:asciiTheme="minorHAnsi" w:hAnsiTheme="minorHAnsi" w:cstheme="minorHAnsi"/>
          <w:b/>
          <w:sz w:val="22"/>
          <w:szCs w:val="22"/>
        </w:rPr>
      </w:pPr>
      <w:r>
        <w:rPr>
          <w:rFonts w:asciiTheme="minorHAnsi" w:hAnsiTheme="minorHAnsi" w:cstheme="minorHAnsi"/>
          <w:b/>
          <w:sz w:val="22"/>
          <w:szCs w:val="22"/>
        </w:rPr>
        <w:t>Daily Energy Consumption Calculation and Definitions</w:t>
      </w:r>
    </w:p>
    <w:p w:rsidR="00534E2F" w:rsidRDefault="00534E2F" w:rsidP="00534E2F">
      <w:pPr>
        <w:rPr>
          <w:rFonts w:asciiTheme="minorHAnsi" w:hAnsiTheme="minorHAnsi" w:cstheme="minorHAnsi"/>
          <w:sz w:val="22"/>
          <w:szCs w:val="22"/>
        </w:rPr>
      </w:pPr>
    </w:p>
    <w:p w:rsidR="00534E2F" w:rsidRDefault="00534E2F" w:rsidP="00534E2F">
      <w:pPr>
        <w:rPr>
          <w:rFonts w:asciiTheme="minorHAnsi" w:hAnsiTheme="minorHAnsi" w:cstheme="minorHAnsi"/>
          <w:sz w:val="22"/>
          <w:szCs w:val="22"/>
        </w:rPr>
      </w:pPr>
      <w:r>
        <w:rPr>
          <w:rFonts w:asciiTheme="minorHAnsi" w:hAnsiTheme="minorHAnsi" w:cstheme="minorHAnsi"/>
          <w:sz w:val="22"/>
          <w:szCs w:val="22"/>
        </w:rPr>
        <w:t>EDAY = (LBFOOD x EFOOD) ÷ EFFICIENCY + [IDLERATE x (TON - LBFOOD/PC – nP x TP/60)] + nP x EP</w:t>
      </w:r>
    </w:p>
    <w:p w:rsidR="00534E2F" w:rsidRDefault="00534E2F" w:rsidP="00534E2F"/>
    <w:p w:rsidR="00534E2F" w:rsidRDefault="00534E2F" w:rsidP="00534E2F">
      <w:pPr>
        <w:rPr>
          <w:rFonts w:asciiTheme="minorHAnsi" w:hAnsiTheme="minorHAnsi" w:cstheme="minorHAnsi"/>
          <w:sz w:val="22"/>
          <w:szCs w:val="22"/>
        </w:rPr>
      </w:pPr>
      <w:r>
        <w:rPr>
          <w:rFonts w:asciiTheme="minorHAnsi" w:hAnsiTheme="minorHAnsi" w:cstheme="minorHAnsi"/>
          <w:sz w:val="22"/>
          <w:szCs w:val="22"/>
        </w:rPr>
        <w:t>Where:</w:t>
      </w:r>
    </w:p>
    <w:p w:rsidR="00534E2F" w:rsidRDefault="00534E2F" w:rsidP="00534E2F"/>
    <w:tbl>
      <w:tblPr>
        <w:tblW w:w="5000" w:type="pct"/>
        <w:tblLook w:val="01E0" w:firstRow="1" w:lastRow="1" w:firstColumn="1" w:lastColumn="1" w:noHBand="0" w:noVBand="0"/>
      </w:tblPr>
      <w:tblGrid>
        <w:gridCol w:w="1980"/>
        <w:gridCol w:w="7596"/>
      </w:tblGrid>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b/>
                <w:bCs/>
                <w:sz w:val="20"/>
                <w:szCs w:val="20"/>
              </w:rPr>
            </w:pPr>
            <w:r>
              <w:rPr>
                <w:rFonts w:asciiTheme="minorHAnsi" w:hAnsiTheme="minorHAnsi" w:cstheme="minorHAnsi"/>
                <w:b/>
                <w:bCs/>
                <w:sz w:val="20"/>
                <w:szCs w:val="20"/>
              </w:rPr>
              <w:t>EDAY =</w:t>
            </w:r>
          </w:p>
        </w:tc>
        <w:tc>
          <w:tcPr>
            <w:tcW w:w="3966" w:type="pct"/>
            <w:hideMark/>
          </w:tcPr>
          <w:p w:rsidR="00534E2F" w:rsidRDefault="00534E2F" w:rsidP="00534E2F">
            <w:pPr>
              <w:spacing w:line="276" w:lineRule="auto"/>
              <w:rPr>
                <w:rFonts w:asciiTheme="minorHAnsi" w:hAnsiTheme="minorHAnsi" w:cstheme="minorHAnsi"/>
                <w:b/>
                <w:bCs/>
                <w:sz w:val="20"/>
                <w:szCs w:val="20"/>
              </w:rPr>
            </w:pPr>
            <w:r>
              <w:rPr>
                <w:rFonts w:asciiTheme="minorHAnsi" w:hAnsiTheme="minorHAnsi" w:cstheme="minorHAnsi"/>
                <w:b/>
                <w:bCs/>
                <w:sz w:val="20"/>
                <w:szCs w:val="20"/>
              </w:rPr>
              <w:t>Calculated Daily Energy Consumption (kWh/day)</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LBFOOD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Estimated Pounds of Food Cooked per Day</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EFOOD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ASTM Energy to Food (kWh/lb) = kWh/pound of energy absorbed by food product during cooking based on ASTM F1361</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 xml:space="preserve">EFFICIENCY =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Measured Heavy Load Cooking Energy Efficiency %</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IDLE RATE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Measured Idle Energy Rate (kW)</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TON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Estimated Operating Hours/Day</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PC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Measured Production Capacity (lbs/hr)</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TP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Estimated Preheat Time (min)</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nP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Estimated Number of preheats/Day</w:t>
            </w:r>
          </w:p>
        </w:tc>
      </w:tr>
      <w:tr w:rsidR="00534E2F" w:rsidTr="00534E2F">
        <w:trPr>
          <w:trHeight w:val="288"/>
        </w:trPr>
        <w:tc>
          <w:tcPr>
            <w:tcW w:w="1034"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EP =</w:t>
            </w:r>
          </w:p>
        </w:tc>
        <w:tc>
          <w:tcPr>
            <w:tcW w:w="3966" w:type="pct"/>
            <w:hideMark/>
          </w:tcPr>
          <w:p w:rsidR="00534E2F" w:rsidRDefault="00534E2F" w:rsidP="00534E2F">
            <w:pPr>
              <w:spacing w:line="276" w:lineRule="auto"/>
              <w:rPr>
                <w:rFonts w:asciiTheme="minorHAnsi" w:hAnsiTheme="minorHAnsi" w:cstheme="minorHAnsi"/>
                <w:sz w:val="20"/>
                <w:szCs w:val="20"/>
              </w:rPr>
            </w:pPr>
            <w:r>
              <w:rPr>
                <w:rFonts w:asciiTheme="minorHAnsi" w:hAnsiTheme="minorHAnsi" w:cstheme="minorHAnsi"/>
                <w:sz w:val="20"/>
                <w:szCs w:val="20"/>
              </w:rPr>
              <w:t>Measured Preheat Energy (kWh)</w:t>
            </w:r>
          </w:p>
        </w:tc>
      </w:tr>
    </w:tbl>
    <w:p w:rsidR="0026221B" w:rsidRPr="00B551A8" w:rsidRDefault="0026221B" w:rsidP="0026221B">
      <w:pPr>
        <w:rPr>
          <w:rFonts w:asciiTheme="minorHAnsi" w:hAnsiTheme="minorHAnsi" w:cstheme="minorHAnsi"/>
          <w:sz w:val="22"/>
          <w:szCs w:val="22"/>
        </w:rPr>
      </w:pPr>
    </w:p>
    <w:p w:rsidR="0026221B" w:rsidRPr="00B551A8" w:rsidRDefault="0026221B" w:rsidP="0026221B">
      <w:pPr>
        <w:rPr>
          <w:rFonts w:asciiTheme="minorHAnsi" w:hAnsiTheme="minorHAnsi" w:cstheme="minorHAnsi"/>
          <w:sz w:val="22"/>
          <w:szCs w:val="22"/>
        </w:rPr>
      </w:pPr>
      <w:r w:rsidRPr="00B551A8">
        <w:rPr>
          <w:rFonts w:asciiTheme="minorHAnsi" w:hAnsiTheme="minorHAnsi" w:cstheme="minorHAnsi"/>
          <w:sz w:val="22"/>
          <w:szCs w:val="22"/>
        </w:rPr>
        <w:t xml:space="preserve">See Attachment </w:t>
      </w:r>
      <w:r w:rsidR="00411693" w:rsidRPr="00B551A8">
        <w:rPr>
          <w:rFonts w:asciiTheme="minorHAnsi" w:hAnsiTheme="minorHAnsi" w:cstheme="minorHAnsi"/>
          <w:sz w:val="22"/>
          <w:szCs w:val="22"/>
        </w:rPr>
        <w:t>2</w:t>
      </w:r>
      <w:r w:rsidRPr="00B551A8">
        <w:rPr>
          <w:rFonts w:asciiTheme="minorHAnsi" w:hAnsiTheme="minorHAnsi" w:cstheme="minorHAnsi"/>
          <w:sz w:val="22"/>
          <w:szCs w:val="22"/>
        </w:rPr>
        <w:t xml:space="preserve"> for all calculations.</w:t>
      </w:r>
      <w:r w:rsidR="00411693" w:rsidRPr="00B551A8">
        <w:rPr>
          <w:rFonts w:asciiTheme="minorHAnsi" w:hAnsiTheme="minorHAnsi" w:cstheme="minorHAnsi"/>
          <w:sz w:val="22"/>
          <w:szCs w:val="22"/>
        </w:rPr>
        <w:t xml:space="preserve"> See Attachment 1 for a complete list of savings.</w:t>
      </w:r>
    </w:p>
    <w:p w:rsidR="00AA5ECC" w:rsidRPr="00B551A8" w:rsidRDefault="00AA5ECC" w:rsidP="00AA5ECC">
      <w:pPr>
        <w:pStyle w:val="Heading2"/>
        <w:rPr>
          <w:rFonts w:asciiTheme="minorHAnsi" w:hAnsiTheme="minorHAnsi" w:cstheme="minorHAnsi"/>
        </w:rPr>
      </w:pPr>
      <w:bookmarkStart w:id="25" w:name="_Toc326215673"/>
      <w:r w:rsidRPr="00B551A8">
        <w:rPr>
          <w:rFonts w:asciiTheme="minorHAnsi" w:hAnsiTheme="minorHAnsi" w:cstheme="minorHAnsi"/>
        </w:rPr>
        <w:lastRenderedPageBreak/>
        <w:t>2.2. Demand Reduction Estimation Methodologies</w:t>
      </w:r>
      <w:bookmarkEnd w:id="25"/>
    </w:p>
    <w:p w:rsidR="003B4596" w:rsidRDefault="003B4596" w:rsidP="00A83D2F">
      <w:pPr>
        <w:rPr>
          <w:rFonts w:asciiTheme="minorHAnsi" w:hAnsiTheme="minorHAnsi" w:cstheme="minorHAnsi"/>
          <w:sz w:val="22"/>
          <w:szCs w:val="22"/>
        </w:rPr>
      </w:pPr>
      <w:r>
        <w:rPr>
          <w:rFonts w:asciiTheme="minorHAnsi" w:hAnsiTheme="minorHAnsi" w:cstheme="minorHAnsi"/>
          <w:sz w:val="22"/>
          <w:szCs w:val="22"/>
        </w:rPr>
        <w:t>An oven’s actual contribution to a building’s peak demand may vary significantly depending on its usage pattern in relation to that of other electric equipment in the facility (operating schedule, 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average demand.</w:t>
      </w:r>
    </w:p>
    <w:p w:rsidR="003B4596" w:rsidRDefault="003B4596" w:rsidP="00A83D2F">
      <w:pPr>
        <w:rPr>
          <w:rFonts w:asciiTheme="minorHAnsi" w:hAnsiTheme="minorHAnsi" w:cstheme="minorHAnsi"/>
          <w:sz w:val="22"/>
          <w:szCs w:val="22"/>
        </w:rPr>
      </w:pPr>
    </w:p>
    <w:p w:rsidR="00A83D2F" w:rsidRPr="00B551A8" w:rsidRDefault="003B4596" w:rsidP="00A83D2F">
      <w:pPr>
        <w:rPr>
          <w:rFonts w:asciiTheme="minorHAnsi" w:hAnsiTheme="minorHAnsi" w:cs="Arial"/>
          <w:sz w:val="22"/>
          <w:szCs w:val="22"/>
        </w:rPr>
      </w:pPr>
      <w:r w:rsidRPr="00B551A8">
        <w:rPr>
          <w:rFonts w:asciiTheme="minorHAnsi" w:hAnsiTheme="minorHAnsi" w:cs="Arial"/>
          <w:sz w:val="22"/>
          <w:szCs w:val="22"/>
        </w:rPr>
        <w:t xml:space="preserve">A coincidence factor of 0.9 from DEER 2005 [26] is applied to demand reduction; since </w:t>
      </w:r>
      <w:r>
        <w:rPr>
          <w:rFonts w:asciiTheme="minorHAnsi" w:hAnsiTheme="minorHAnsi" w:cs="Arial"/>
          <w:sz w:val="22"/>
          <w:szCs w:val="22"/>
        </w:rPr>
        <w:t>convection ovens</w:t>
      </w:r>
      <w:r w:rsidRPr="00B551A8">
        <w:rPr>
          <w:rFonts w:asciiTheme="minorHAnsi" w:hAnsiTheme="minorHAnsi" w:cs="Arial"/>
          <w:sz w:val="22"/>
          <w:szCs w:val="22"/>
        </w:rPr>
        <w:t xml:space="preserve"> are not specifically addressed, the 0.9 from other foodservice measures is used. See Section 2.1 for final values.</w:t>
      </w:r>
    </w:p>
    <w:p w:rsidR="00A83D2F" w:rsidRPr="00B551A8" w:rsidRDefault="00A83D2F" w:rsidP="00A83D2F">
      <w:pPr>
        <w:rPr>
          <w:rFonts w:asciiTheme="minorHAnsi" w:hAnsiTheme="minorHAnsi" w:cs="Arial"/>
          <w:sz w:val="22"/>
          <w:szCs w:val="22"/>
        </w:rPr>
      </w:pPr>
    </w:p>
    <w:p w:rsidR="00A83D2F" w:rsidRPr="00B551A8" w:rsidRDefault="00A83D2F" w:rsidP="00A83D2F">
      <w:pPr>
        <w:rPr>
          <w:rFonts w:asciiTheme="minorHAnsi" w:hAnsiTheme="minorHAnsi" w:cs="Arial"/>
          <w:sz w:val="22"/>
          <w:szCs w:val="22"/>
        </w:rPr>
      </w:pPr>
      <w:r w:rsidRPr="00B551A8">
        <w:rPr>
          <w:rFonts w:asciiTheme="minorHAnsi" w:hAnsiTheme="minorHAnsi"/>
          <w:noProof/>
        </w:rPr>
        <w:drawing>
          <wp:inline distT="0" distB="0" distL="0" distR="0" wp14:anchorId="09DB0F8F" wp14:editId="33F09C12">
            <wp:extent cx="5943600" cy="2137410"/>
            <wp:effectExtent l="19050" t="19050" r="1905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2137410"/>
                    </a:xfrm>
                    <a:prstGeom prst="rect">
                      <a:avLst/>
                    </a:prstGeom>
                    <a:ln>
                      <a:solidFill>
                        <a:schemeClr val="tx1"/>
                      </a:solidFill>
                    </a:ln>
                  </pic:spPr>
                </pic:pic>
              </a:graphicData>
            </a:graphic>
          </wp:inline>
        </w:drawing>
      </w:r>
    </w:p>
    <w:p w:rsidR="00A83D2F" w:rsidRPr="00B551A8" w:rsidRDefault="00A83D2F" w:rsidP="00A83D2F">
      <w:pPr>
        <w:pStyle w:val="Caption"/>
        <w:jc w:val="center"/>
        <w:rPr>
          <w:rFonts w:asciiTheme="minorHAnsi" w:hAnsiTheme="minorHAnsi" w:cs="Arial"/>
          <w:sz w:val="22"/>
          <w:szCs w:val="22"/>
        </w:rPr>
      </w:pPr>
      <w:r w:rsidRPr="00B551A8">
        <w:rPr>
          <w:rFonts w:asciiTheme="minorHAnsi" w:hAnsiTheme="minorHAnsi"/>
          <w:sz w:val="22"/>
          <w:szCs w:val="22"/>
        </w:rPr>
        <w:t xml:space="preserve">Figure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Figure \* ARABIC </w:instrText>
      </w:r>
      <w:r w:rsidRPr="00B551A8">
        <w:rPr>
          <w:rFonts w:asciiTheme="minorHAnsi" w:hAnsiTheme="minorHAnsi"/>
          <w:sz w:val="22"/>
          <w:szCs w:val="22"/>
        </w:rPr>
        <w:fldChar w:fldCharType="separate"/>
      </w:r>
      <w:r w:rsidR="00BD6511">
        <w:rPr>
          <w:rFonts w:asciiTheme="minorHAnsi" w:hAnsiTheme="minorHAnsi"/>
          <w:noProof/>
          <w:sz w:val="22"/>
          <w:szCs w:val="22"/>
        </w:rPr>
        <w:t>1</w:t>
      </w:r>
      <w:r w:rsidRPr="00B551A8">
        <w:rPr>
          <w:rFonts w:asciiTheme="minorHAnsi" w:hAnsiTheme="minorHAnsi"/>
          <w:sz w:val="22"/>
          <w:szCs w:val="22"/>
        </w:rPr>
        <w:fldChar w:fldCharType="end"/>
      </w:r>
      <w:r w:rsidRPr="00B551A8">
        <w:rPr>
          <w:rFonts w:asciiTheme="minorHAnsi" w:hAnsiTheme="minorHAnsi"/>
          <w:sz w:val="22"/>
          <w:szCs w:val="22"/>
        </w:rPr>
        <w:t xml:space="preserve"> DEER 2005 Cooking Coincidence Factor</w:t>
      </w:r>
    </w:p>
    <w:p w:rsidR="00E16609" w:rsidRPr="00B551A8" w:rsidRDefault="00E16609" w:rsidP="00E16609">
      <w:pPr>
        <w:pStyle w:val="Heading1"/>
        <w:keepNext w:val="0"/>
        <w:rPr>
          <w:rFonts w:asciiTheme="minorHAnsi" w:hAnsiTheme="minorHAnsi" w:cstheme="minorHAnsi"/>
        </w:rPr>
      </w:pPr>
      <w:proofErr w:type="gramStart"/>
      <w:r w:rsidRPr="00B551A8">
        <w:rPr>
          <w:rFonts w:asciiTheme="minorHAnsi" w:hAnsiTheme="minorHAnsi" w:cstheme="minorHAnsi"/>
        </w:rPr>
        <w:t>Section 3.</w:t>
      </w:r>
      <w:proofErr w:type="gramEnd"/>
      <w:r w:rsidRPr="00B551A8">
        <w:rPr>
          <w:rFonts w:asciiTheme="minorHAnsi" w:hAnsiTheme="minorHAnsi" w:cstheme="minorHAnsi"/>
        </w:rPr>
        <w:t xml:space="preserve"> Load Shape</w:t>
      </w:r>
      <w:bookmarkEnd w:id="17"/>
      <w:r w:rsidRPr="00B551A8">
        <w:rPr>
          <w:rFonts w:asciiTheme="minorHAnsi" w:hAnsiTheme="minorHAnsi" w:cstheme="minorHAnsi"/>
        </w:rPr>
        <w:t>s</w:t>
      </w:r>
    </w:p>
    <w:p w:rsidR="00E16609" w:rsidRPr="00B551A8" w:rsidRDefault="00E16609" w:rsidP="00E16609">
      <w:pPr>
        <w:rPr>
          <w:rFonts w:asciiTheme="minorHAnsi" w:hAnsiTheme="minorHAnsi" w:cstheme="minorHAnsi"/>
          <w:sz w:val="22"/>
          <w:szCs w:val="22"/>
        </w:rPr>
      </w:pPr>
      <w:r w:rsidRPr="00B551A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XE "load shape" </w:instrTex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the closest load shape chosen for this measure is the </w:t>
      </w:r>
      <w:r w:rsidR="003F0623" w:rsidRPr="00B551A8">
        <w:rPr>
          <w:rFonts w:asciiTheme="minorHAnsi" w:hAnsiTheme="minorHAnsi" w:cstheme="minorHAnsi"/>
          <w:sz w:val="22"/>
          <w:szCs w:val="22"/>
        </w:rPr>
        <w:t xml:space="preserve">DEER:Indoor_Non-CFL_Ltg </w:t>
      </w:r>
      <w:r w:rsidRPr="00B551A8">
        <w:rPr>
          <w:rFonts w:asciiTheme="minorHAnsi" w:hAnsiTheme="minorHAnsi" w:cstheme="minorHAnsi"/>
          <w:sz w:val="22"/>
          <w:szCs w:val="22"/>
        </w:rPr>
        <w:t>load shape.  See</w:t>
      </w:r>
      <w:r w:rsidR="00C5179F" w:rsidRPr="00B551A8">
        <w:rPr>
          <w:rFonts w:asciiTheme="minorHAnsi" w:hAnsiTheme="minorHAnsi" w:cstheme="minorHAnsi"/>
          <w:sz w:val="22"/>
          <w:szCs w:val="22"/>
        </w:rPr>
        <w:t xml:space="preserve"> </w:t>
      </w:r>
      <w:r w:rsidR="00C5179F" w:rsidRPr="00B551A8">
        <w:rPr>
          <w:rFonts w:asciiTheme="minorHAnsi" w:hAnsiTheme="minorHAnsi" w:cstheme="minorHAnsi"/>
          <w:sz w:val="22"/>
          <w:szCs w:val="22"/>
        </w:rPr>
        <w:fldChar w:fldCharType="begin"/>
      </w:r>
      <w:r w:rsidR="00C5179F" w:rsidRPr="00B551A8">
        <w:rPr>
          <w:rFonts w:asciiTheme="minorHAnsi" w:hAnsiTheme="minorHAnsi" w:cstheme="minorHAnsi"/>
          <w:sz w:val="22"/>
          <w:szCs w:val="22"/>
        </w:rPr>
        <w:instrText xml:space="preserve"> REF _Ref390773894 \h </w:instrText>
      </w:r>
      <w:r w:rsidR="00D67BCF" w:rsidRPr="00B551A8">
        <w:rPr>
          <w:rFonts w:asciiTheme="minorHAnsi" w:hAnsiTheme="minorHAnsi" w:cstheme="minorHAnsi"/>
          <w:sz w:val="22"/>
          <w:szCs w:val="22"/>
        </w:rPr>
        <w:instrText xml:space="preserve"> \* MERGEFORMAT </w:instrText>
      </w:r>
      <w:r w:rsidR="00C5179F" w:rsidRPr="00B551A8">
        <w:rPr>
          <w:rFonts w:asciiTheme="minorHAnsi" w:hAnsiTheme="minorHAnsi" w:cstheme="minorHAnsi"/>
          <w:sz w:val="22"/>
          <w:szCs w:val="22"/>
        </w:rPr>
      </w:r>
      <w:r w:rsidR="00C5179F" w:rsidRPr="00B551A8">
        <w:rPr>
          <w:rFonts w:asciiTheme="minorHAnsi" w:hAnsiTheme="minorHAnsi" w:cstheme="minorHAnsi"/>
          <w:sz w:val="22"/>
          <w:szCs w:val="22"/>
        </w:rPr>
        <w:fldChar w:fldCharType="separate"/>
      </w:r>
      <w:r w:rsidR="00BD6511" w:rsidRPr="00534E2F">
        <w:rPr>
          <w:rFonts w:asciiTheme="minorHAnsi" w:hAnsiTheme="minorHAnsi" w:cstheme="minorHAnsi"/>
          <w:sz w:val="22"/>
          <w:szCs w:val="22"/>
        </w:rPr>
        <w:t xml:space="preserve">Table </w:t>
      </w:r>
      <w:r w:rsidR="00BD6511">
        <w:rPr>
          <w:rFonts w:asciiTheme="minorHAnsi" w:hAnsiTheme="minorHAnsi" w:cstheme="minorHAnsi"/>
          <w:sz w:val="22"/>
          <w:szCs w:val="22"/>
        </w:rPr>
        <w:t>13</w:t>
      </w:r>
      <w:r w:rsidR="00C5179F"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for a list of all Building Types and Load Shapes.  See the KEMA report [31] for a more thorough discussion regarding the load shapes for this measure.</w:t>
      </w:r>
    </w:p>
    <w:p w:rsidR="00B75449" w:rsidRPr="00B551A8" w:rsidRDefault="00B75449" w:rsidP="00E16609">
      <w:pPr>
        <w:rPr>
          <w:rFonts w:asciiTheme="minorHAnsi" w:hAnsiTheme="minorHAnsi" w:cstheme="minorHAnsi"/>
          <w:sz w:val="22"/>
          <w:szCs w:val="22"/>
        </w:rPr>
      </w:pPr>
    </w:p>
    <w:p w:rsidR="00E16609" w:rsidRPr="00B551A8" w:rsidRDefault="00C5179F" w:rsidP="00C5179F">
      <w:pPr>
        <w:pStyle w:val="Caption"/>
        <w:jc w:val="center"/>
        <w:rPr>
          <w:rFonts w:asciiTheme="minorHAnsi" w:hAnsiTheme="minorHAnsi" w:cstheme="minorHAnsi"/>
          <w:b w:val="0"/>
          <w:sz w:val="22"/>
          <w:szCs w:val="22"/>
        </w:rPr>
      </w:pPr>
      <w:bookmarkStart w:id="26" w:name="_Ref390773894"/>
      <w:r w:rsidRPr="00534E2F">
        <w:rPr>
          <w:rFonts w:asciiTheme="minorHAnsi" w:hAnsiTheme="minorHAnsi" w:cstheme="minorHAnsi"/>
          <w:sz w:val="22"/>
          <w:szCs w:val="22"/>
        </w:rPr>
        <w:t xml:space="preserve">Table </w:t>
      </w:r>
      <w:r w:rsidRPr="00534E2F">
        <w:rPr>
          <w:rFonts w:asciiTheme="minorHAnsi" w:hAnsiTheme="minorHAnsi" w:cstheme="minorHAnsi"/>
          <w:sz w:val="22"/>
          <w:szCs w:val="22"/>
        </w:rPr>
        <w:fldChar w:fldCharType="begin"/>
      </w:r>
      <w:r w:rsidRPr="00534E2F">
        <w:rPr>
          <w:rFonts w:asciiTheme="minorHAnsi" w:hAnsiTheme="minorHAnsi" w:cstheme="minorHAnsi"/>
          <w:sz w:val="22"/>
          <w:szCs w:val="22"/>
        </w:rPr>
        <w:instrText xml:space="preserve"> SEQ Table \* ARABIC </w:instrText>
      </w:r>
      <w:r w:rsidRPr="00534E2F">
        <w:rPr>
          <w:rFonts w:asciiTheme="minorHAnsi" w:hAnsiTheme="minorHAnsi" w:cstheme="minorHAnsi"/>
          <w:sz w:val="22"/>
          <w:szCs w:val="22"/>
        </w:rPr>
        <w:fldChar w:fldCharType="separate"/>
      </w:r>
      <w:r w:rsidR="00BD6511">
        <w:rPr>
          <w:rFonts w:asciiTheme="minorHAnsi" w:hAnsiTheme="minorHAnsi" w:cstheme="minorHAnsi"/>
          <w:noProof/>
          <w:sz w:val="22"/>
          <w:szCs w:val="22"/>
        </w:rPr>
        <w:t>13</w:t>
      </w:r>
      <w:r w:rsidRPr="00534E2F">
        <w:rPr>
          <w:rFonts w:asciiTheme="minorHAnsi" w:hAnsiTheme="minorHAnsi" w:cstheme="minorHAnsi"/>
          <w:sz w:val="22"/>
          <w:szCs w:val="22"/>
        </w:rPr>
        <w:fldChar w:fldCharType="end"/>
      </w:r>
      <w:bookmarkEnd w:id="26"/>
      <w:r w:rsidRPr="00534E2F">
        <w:rPr>
          <w:rFonts w:asciiTheme="minorHAnsi" w:hAnsiTheme="minorHAnsi" w:cstheme="minorHAnsi"/>
          <w:sz w:val="22"/>
          <w:szCs w:val="22"/>
        </w:rPr>
        <w:t xml:space="preserve"> </w:t>
      </w:r>
      <w:r w:rsidR="002A3D26" w:rsidRPr="00B551A8">
        <w:rPr>
          <w:rFonts w:asciiTheme="minorHAnsi" w:hAnsiTheme="minorHAnsi" w:cstheme="minorHAnsi"/>
          <w:sz w:val="22"/>
          <w:szCs w:val="22"/>
        </w:rPr>
        <w:t>Building Types</w:t>
      </w:r>
      <w:r w:rsidR="00E16609" w:rsidRPr="00B551A8">
        <w:rPr>
          <w:rFonts w:asciiTheme="minorHAnsi" w:hAnsiTheme="minorHAnsi" w:cstheme="minorHAnsi"/>
          <w:sz w:val="22"/>
          <w:szCs w:val="22"/>
        </w:rPr>
        <w:t xml:space="preserve"> and Load Shapes</w:t>
      </w:r>
    </w:p>
    <w:tbl>
      <w:tblPr>
        <w:tblStyle w:val="TableContemporary"/>
        <w:tblW w:w="3919" w:type="pct"/>
        <w:jc w:val="center"/>
        <w:tblInd w:w="108" w:type="dxa"/>
        <w:tblLook w:val="01E0" w:firstRow="1" w:lastRow="1" w:firstColumn="1" w:lastColumn="1" w:noHBand="0" w:noVBand="0"/>
      </w:tblPr>
      <w:tblGrid>
        <w:gridCol w:w="2998"/>
        <w:gridCol w:w="2078"/>
        <w:gridCol w:w="2430"/>
      </w:tblGrid>
      <w:tr w:rsidR="001E53D0" w:rsidRPr="00B551A8" w:rsidTr="001E53D0">
        <w:trPr>
          <w:cnfStyle w:val="100000000000" w:firstRow="1" w:lastRow="0" w:firstColumn="0" w:lastColumn="0" w:oddVBand="0" w:evenVBand="0" w:oddHBand="0" w:evenHBand="0" w:firstRowFirstColumn="0" w:firstRowLastColumn="0" w:lastRowFirstColumn="0" w:lastRowLastColumn="0"/>
          <w:trHeight w:val="424"/>
          <w:jc w:val="center"/>
        </w:trPr>
        <w:tc>
          <w:tcPr>
            <w:tcW w:w="1997" w:type="pct"/>
            <w:vAlign w:val="center"/>
          </w:tcPr>
          <w:p w:rsidR="001E53D0" w:rsidRPr="00B551A8" w:rsidRDefault="001E53D0" w:rsidP="001E53D0">
            <w:pPr>
              <w:jc w:val="center"/>
              <w:rPr>
                <w:rFonts w:asciiTheme="minorHAnsi" w:hAnsiTheme="minorHAnsi" w:cstheme="minorHAnsi"/>
                <w:sz w:val="20"/>
                <w:szCs w:val="20"/>
                <w:highlight w:val="yellow"/>
              </w:rPr>
            </w:pPr>
            <w:bookmarkStart w:id="27" w:name="_Toc214003096"/>
            <w:r w:rsidRPr="00B551A8">
              <w:rPr>
                <w:rFonts w:asciiTheme="minorHAnsi" w:hAnsiTheme="minorHAnsi" w:cstheme="minorHAnsi"/>
                <w:sz w:val="20"/>
                <w:szCs w:val="20"/>
              </w:rPr>
              <w:t>Building Type</w:t>
            </w:r>
          </w:p>
        </w:tc>
        <w:tc>
          <w:tcPr>
            <w:tcW w:w="1384" w:type="pct"/>
            <w:vAlign w:val="center"/>
          </w:tcPr>
          <w:p w:rsidR="001E53D0" w:rsidRPr="00B551A8" w:rsidRDefault="001E53D0" w:rsidP="001E53D0">
            <w:pPr>
              <w:jc w:val="center"/>
              <w:rPr>
                <w:rFonts w:asciiTheme="minorHAnsi" w:hAnsiTheme="minorHAnsi" w:cstheme="minorHAnsi"/>
                <w:sz w:val="20"/>
                <w:szCs w:val="20"/>
              </w:rPr>
            </w:pPr>
            <w:r w:rsidRPr="00B551A8">
              <w:rPr>
                <w:rFonts w:asciiTheme="minorHAnsi" w:hAnsiTheme="minorHAnsi" w:cstheme="minorHAnsi"/>
                <w:sz w:val="20"/>
                <w:szCs w:val="20"/>
              </w:rPr>
              <w:t>E3 Alt.</w:t>
            </w:r>
          </w:p>
          <w:p w:rsidR="001E53D0" w:rsidRPr="00B551A8" w:rsidRDefault="001E53D0" w:rsidP="001E53D0">
            <w:pPr>
              <w:jc w:val="center"/>
              <w:rPr>
                <w:rFonts w:asciiTheme="minorHAnsi" w:hAnsiTheme="minorHAnsi" w:cstheme="minorHAnsi"/>
                <w:sz w:val="20"/>
                <w:szCs w:val="20"/>
                <w:highlight w:val="yellow"/>
              </w:rPr>
            </w:pPr>
            <w:r w:rsidRPr="00B551A8">
              <w:rPr>
                <w:rFonts w:asciiTheme="minorHAnsi" w:hAnsiTheme="minorHAnsi" w:cstheme="minorHAnsi"/>
                <w:sz w:val="20"/>
                <w:szCs w:val="20"/>
              </w:rPr>
              <w:t>Building Type</w:t>
            </w:r>
          </w:p>
        </w:tc>
        <w:tc>
          <w:tcPr>
            <w:tcW w:w="1619" w:type="pct"/>
            <w:vAlign w:val="center"/>
          </w:tcPr>
          <w:p w:rsidR="001E53D0" w:rsidRPr="00B551A8" w:rsidRDefault="001E53D0" w:rsidP="001E53D0">
            <w:pPr>
              <w:jc w:val="center"/>
              <w:rPr>
                <w:rFonts w:asciiTheme="minorHAnsi" w:hAnsiTheme="minorHAnsi" w:cstheme="minorHAnsi"/>
                <w:sz w:val="20"/>
                <w:szCs w:val="20"/>
              </w:rPr>
            </w:pPr>
            <w:r w:rsidRPr="00B551A8">
              <w:rPr>
                <w:rFonts w:asciiTheme="minorHAnsi" w:hAnsiTheme="minorHAnsi" w:cstheme="minorHAnsi"/>
                <w:sz w:val="20"/>
                <w:szCs w:val="20"/>
              </w:rPr>
              <w:t>Load Shape</w:t>
            </w:r>
          </w:p>
        </w:tc>
      </w:tr>
      <w:tr w:rsidR="009268EB" w:rsidRPr="00B551A8" w:rsidTr="0022316B">
        <w:trPr>
          <w:cnfStyle w:val="000000100000" w:firstRow="0" w:lastRow="0" w:firstColumn="0" w:lastColumn="0" w:oddVBand="0" w:evenVBand="0" w:oddHBand="1" w:evenHBand="0" w:firstRowFirstColumn="0" w:firstRowLastColumn="0" w:lastRowFirstColumn="0" w:lastRowLastColumn="0"/>
          <w:trHeight w:val="207"/>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t>Education - Community College</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9268EB" w:rsidRPr="00B551A8" w:rsidTr="0022316B">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t>Education - Primary School</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9268EB" w:rsidRPr="00B551A8" w:rsidTr="0022316B">
        <w:trPr>
          <w:cnfStyle w:val="000000100000" w:firstRow="0" w:lastRow="0" w:firstColumn="0" w:lastColumn="0" w:oddVBand="0" w:evenVBand="0" w:oddHBand="1" w:evenHBand="0" w:firstRowFirstColumn="0" w:firstRowLastColumn="0" w:lastRowFirstColumn="0" w:lastRowLastColumn="0"/>
          <w:trHeight w:val="117"/>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t>Education - Secondary School</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9268EB" w:rsidRPr="00B551A8" w:rsidTr="0022316B">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t>Education - University</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BD6511" w:rsidRPr="00B551A8" w:rsidTr="00BD6511">
        <w:trPr>
          <w:cnfStyle w:val="000000100000" w:firstRow="0" w:lastRow="0" w:firstColumn="0" w:lastColumn="0" w:oddVBand="0" w:evenVBand="0" w:oddHBand="1" w:evenHBand="0" w:firstRowFirstColumn="0" w:firstRowLastColumn="0" w:lastRowFirstColumn="0" w:lastRowLastColumn="0"/>
          <w:trHeight w:val="35"/>
          <w:jc w:val="center"/>
        </w:trPr>
        <w:tc>
          <w:tcPr>
            <w:tcW w:w="1997" w:type="pct"/>
            <w:vAlign w:val="center"/>
          </w:tcPr>
          <w:p w:rsidR="00BD6511" w:rsidRDefault="00BD6511" w:rsidP="00BD6511">
            <w:pPr>
              <w:pStyle w:val="Reminders"/>
              <w:spacing w:after="0"/>
              <w:jc w:val="both"/>
              <w:rPr>
                <w:rFonts w:asciiTheme="minorHAnsi" w:hAnsiTheme="minorHAnsi" w:cstheme="minorHAnsi"/>
                <w:i w:val="0"/>
                <w:color w:val="auto"/>
                <w:sz w:val="20"/>
              </w:rPr>
            </w:pPr>
            <w:r>
              <w:rPr>
                <w:rFonts w:asciiTheme="minorHAnsi" w:hAnsiTheme="minorHAnsi" w:cstheme="minorHAnsi"/>
                <w:i w:val="0"/>
                <w:color w:val="auto"/>
                <w:sz w:val="20"/>
              </w:rPr>
              <w:t>Food Store</w:t>
            </w:r>
          </w:p>
        </w:tc>
        <w:tc>
          <w:tcPr>
            <w:tcW w:w="1384" w:type="pct"/>
          </w:tcPr>
          <w:p w:rsidR="00BD6511" w:rsidRDefault="00BD6511" w:rsidP="00BD6511">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BD6511" w:rsidRDefault="00BD6511" w:rsidP="00BD6511">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BD6511" w:rsidRPr="00B551A8" w:rsidTr="00D26E9A">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center"/>
          </w:tcPr>
          <w:p w:rsidR="00BD6511" w:rsidRDefault="00BD6511" w:rsidP="00BD6511">
            <w:pPr>
              <w:pStyle w:val="Reminders"/>
              <w:spacing w:after="0"/>
              <w:jc w:val="both"/>
              <w:rPr>
                <w:rFonts w:asciiTheme="minorHAnsi" w:hAnsiTheme="minorHAnsi" w:cstheme="minorHAnsi"/>
                <w:i w:val="0"/>
                <w:color w:val="auto"/>
                <w:sz w:val="20"/>
              </w:rPr>
            </w:pPr>
            <w:r>
              <w:rPr>
                <w:rFonts w:asciiTheme="minorHAnsi" w:hAnsiTheme="minorHAnsi" w:cstheme="minorHAnsi"/>
                <w:i w:val="0"/>
                <w:color w:val="auto"/>
                <w:sz w:val="20"/>
              </w:rPr>
              <w:t>Grocery</w:t>
            </w:r>
          </w:p>
        </w:tc>
        <w:tc>
          <w:tcPr>
            <w:tcW w:w="1384" w:type="pct"/>
          </w:tcPr>
          <w:p w:rsidR="00BD6511" w:rsidRDefault="00BD6511" w:rsidP="00BD6511">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BD6511" w:rsidRDefault="00BD6511" w:rsidP="00BD6511">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BD6511" w:rsidRPr="00B551A8" w:rsidTr="00D26E9A">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center"/>
          </w:tcPr>
          <w:p w:rsidR="00BD6511" w:rsidRDefault="00BD6511" w:rsidP="00BD6511">
            <w:pPr>
              <w:pStyle w:val="Reminders"/>
              <w:spacing w:after="0"/>
              <w:jc w:val="both"/>
              <w:rPr>
                <w:rFonts w:asciiTheme="minorHAnsi" w:hAnsiTheme="minorHAnsi" w:cstheme="minorHAnsi"/>
                <w:i w:val="0"/>
                <w:iCs/>
                <w:color w:val="auto"/>
                <w:sz w:val="20"/>
                <w:szCs w:val="20"/>
              </w:rPr>
            </w:pPr>
            <w:r>
              <w:rPr>
                <w:rFonts w:asciiTheme="minorHAnsi" w:hAnsiTheme="minorHAnsi" w:cstheme="minorHAnsi"/>
                <w:i w:val="0"/>
                <w:color w:val="auto"/>
                <w:sz w:val="20"/>
                <w:szCs w:val="20"/>
              </w:rPr>
              <w:t>Health/Medical – Hospital</w:t>
            </w:r>
          </w:p>
        </w:tc>
        <w:tc>
          <w:tcPr>
            <w:tcW w:w="1384" w:type="pct"/>
          </w:tcPr>
          <w:p w:rsidR="00BD6511" w:rsidRDefault="00BD6511" w:rsidP="00BD6511">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BD6511" w:rsidRDefault="00BD6511" w:rsidP="00BD6511">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9268EB" w:rsidRPr="00B551A8" w:rsidTr="0022316B">
        <w:trPr>
          <w:cnfStyle w:val="000000010000" w:firstRow="0" w:lastRow="0" w:firstColumn="0" w:lastColumn="0" w:oddVBand="0" w:evenVBand="0" w:oddHBand="0" w:evenHBand="1" w:firstRowFirstColumn="0" w:firstRowLastColumn="0" w:lastRowFirstColumn="0" w:lastRowLastColumn="0"/>
          <w:trHeight w:val="171"/>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t>Health/Medical - Nursing Home</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9268EB" w:rsidRPr="00B551A8" w:rsidTr="0022316B">
        <w:trPr>
          <w:cnfStyle w:val="000000100000" w:firstRow="0" w:lastRow="0" w:firstColumn="0" w:lastColumn="0" w:oddVBand="0" w:evenVBand="0" w:oddHBand="1" w:evenHBand="0" w:firstRowFirstColumn="0" w:firstRowLastColumn="0" w:lastRowFirstColumn="0" w:lastRowLastColumn="0"/>
          <w:trHeight w:val="217"/>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lastRenderedPageBreak/>
              <w:t>Industrial</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9268EB" w:rsidRPr="00B551A8" w:rsidTr="0022316B">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t>Lodging - Hotel</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9268EB" w:rsidRPr="00B551A8" w:rsidTr="0022316B">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t>Lodging - Motel</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9268EB" w:rsidRPr="00B551A8" w:rsidTr="0022316B">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t>Manufacturing - Bio/Tech</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9268EB" w:rsidRPr="00B551A8" w:rsidTr="0022316B">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t>Manufacturing - Light Industrial</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9268EB" w:rsidRPr="00B551A8" w:rsidTr="0022316B">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t>Misc - Commercial</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9268EB" w:rsidRPr="00B551A8" w:rsidTr="0022316B">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t xml:space="preserve">Office </w:t>
            </w:r>
            <w:r w:rsidR="00F70A02">
              <w:rPr>
                <w:rFonts w:asciiTheme="minorHAnsi" w:hAnsiTheme="minorHAnsi" w:cstheme="minorHAnsi"/>
                <w:sz w:val="20"/>
              </w:rPr>
              <w:t>-</w:t>
            </w:r>
            <w:bookmarkStart w:id="28" w:name="_GoBack"/>
            <w:bookmarkEnd w:id="28"/>
            <w:r>
              <w:rPr>
                <w:rFonts w:asciiTheme="minorHAnsi" w:hAnsiTheme="minorHAnsi" w:cstheme="minorHAnsi"/>
                <w:sz w:val="20"/>
              </w:rPr>
              <w:t xml:space="preserve"> Large</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9268EB" w:rsidRPr="00B551A8" w:rsidTr="0022316B">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t>Restaurant - Fast-Food</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9268EB" w:rsidRPr="00B551A8" w:rsidTr="0022316B">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t>Restaurant - Sit-Down</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9268EB" w:rsidRPr="00B551A8" w:rsidTr="0022316B">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center"/>
          </w:tcPr>
          <w:p w:rsidR="009268EB" w:rsidRDefault="009268EB">
            <w:pPr>
              <w:rPr>
                <w:rFonts w:asciiTheme="minorHAnsi" w:hAnsiTheme="minorHAnsi" w:cstheme="minorHAnsi"/>
                <w:sz w:val="20"/>
              </w:rPr>
            </w:pPr>
            <w:r>
              <w:rPr>
                <w:rFonts w:asciiTheme="minorHAnsi" w:hAnsiTheme="minorHAnsi" w:cstheme="minorHAnsi"/>
                <w:sz w:val="20"/>
              </w:rPr>
              <w:t>Retail - Multistory Large</w:t>
            </w:r>
          </w:p>
        </w:tc>
        <w:tc>
          <w:tcPr>
            <w:tcW w:w="1384"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9268EB" w:rsidRDefault="009268EB">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r w:rsidR="00F70A02" w:rsidRPr="00B551A8" w:rsidTr="0022316B">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center"/>
          </w:tcPr>
          <w:p w:rsidR="00F70A02" w:rsidRDefault="00F70A02" w:rsidP="00D26E9A">
            <w:pPr>
              <w:rPr>
                <w:rFonts w:asciiTheme="minorHAnsi" w:hAnsiTheme="minorHAnsi" w:cstheme="minorHAnsi"/>
                <w:sz w:val="20"/>
              </w:rPr>
            </w:pPr>
            <w:r>
              <w:rPr>
                <w:rFonts w:asciiTheme="minorHAnsi" w:hAnsiTheme="minorHAnsi" w:cstheme="minorHAnsi"/>
                <w:sz w:val="20"/>
              </w:rPr>
              <w:t>Retail – Small</w:t>
            </w:r>
          </w:p>
        </w:tc>
        <w:tc>
          <w:tcPr>
            <w:tcW w:w="1384" w:type="pct"/>
          </w:tcPr>
          <w:p w:rsidR="00F70A02" w:rsidRDefault="00F70A02" w:rsidP="00DE7EE9">
            <w:pPr>
              <w:jc w:val="center"/>
              <w:rPr>
                <w:rFonts w:asciiTheme="minorHAnsi" w:hAnsiTheme="minorHAnsi" w:cstheme="minorHAnsi"/>
                <w:sz w:val="20"/>
                <w:szCs w:val="20"/>
              </w:rPr>
            </w:pPr>
            <w:r>
              <w:rPr>
                <w:rFonts w:asciiTheme="minorHAnsi" w:hAnsiTheme="minorHAnsi" w:cstheme="minorHAnsi"/>
                <w:sz w:val="20"/>
                <w:szCs w:val="20"/>
              </w:rPr>
              <w:t>NON_RES</w:t>
            </w:r>
          </w:p>
        </w:tc>
        <w:tc>
          <w:tcPr>
            <w:tcW w:w="1619" w:type="pct"/>
          </w:tcPr>
          <w:p w:rsidR="00F70A02" w:rsidRDefault="00F70A02" w:rsidP="00DE7EE9">
            <w:pPr>
              <w:jc w:val="center"/>
              <w:rPr>
                <w:rFonts w:asciiTheme="minorHAnsi" w:hAnsiTheme="minorHAnsi" w:cstheme="minorHAnsi"/>
                <w:sz w:val="20"/>
                <w:szCs w:val="20"/>
              </w:rPr>
            </w:pPr>
            <w:r>
              <w:rPr>
                <w:rFonts w:asciiTheme="minorHAnsi" w:hAnsiTheme="minorHAnsi" w:cstheme="minorHAnsi"/>
                <w:sz w:val="20"/>
                <w:szCs w:val="20"/>
              </w:rPr>
              <w:t>DEER:Indoor_Non-CFL_Ltg</w:t>
            </w:r>
          </w:p>
        </w:tc>
      </w:tr>
    </w:tbl>
    <w:p w:rsidR="00E16609" w:rsidRPr="00B551A8" w:rsidRDefault="00E16609" w:rsidP="00E16609">
      <w:pPr>
        <w:pStyle w:val="Heading1"/>
        <w:keepNext w:val="0"/>
        <w:rPr>
          <w:rFonts w:asciiTheme="minorHAnsi" w:hAnsiTheme="minorHAnsi" w:cstheme="minorHAnsi"/>
        </w:rPr>
      </w:pPr>
      <w:proofErr w:type="gramStart"/>
      <w:r w:rsidRPr="00B551A8">
        <w:rPr>
          <w:rFonts w:asciiTheme="minorHAnsi" w:hAnsiTheme="minorHAnsi" w:cstheme="minorHAnsi"/>
        </w:rPr>
        <w:t>Section 4.</w:t>
      </w:r>
      <w:proofErr w:type="gramEnd"/>
      <w:r w:rsidRPr="00B551A8">
        <w:rPr>
          <w:rFonts w:asciiTheme="minorHAnsi" w:hAnsiTheme="minorHAnsi" w:cstheme="minorHAnsi"/>
        </w:rPr>
        <w:t xml:space="preserve"> Base Case &amp; Measure Costs</w:t>
      </w:r>
      <w:bookmarkEnd w:id="27"/>
    </w:p>
    <w:p w:rsidR="001E53D0" w:rsidRPr="00B551A8" w:rsidRDefault="001E53D0" w:rsidP="001E53D0">
      <w:pPr>
        <w:autoSpaceDE w:val="0"/>
        <w:autoSpaceDN w:val="0"/>
        <w:adjustRightInd w:val="0"/>
        <w:rPr>
          <w:rFonts w:asciiTheme="minorHAnsi" w:hAnsiTheme="minorHAnsi" w:cstheme="minorHAnsi"/>
          <w:sz w:val="22"/>
          <w:szCs w:val="22"/>
        </w:rPr>
      </w:pPr>
      <w:bookmarkStart w:id="29" w:name="_MON_1399297811"/>
      <w:bookmarkStart w:id="30" w:name="_Toc214003097"/>
      <w:bookmarkStart w:id="31" w:name="_Toc214003098"/>
      <w:bookmarkEnd w:id="29"/>
      <w:r w:rsidRPr="00B551A8">
        <w:rPr>
          <w:rFonts w:asciiTheme="minorHAnsi" w:hAnsiTheme="minorHAnsi" w:cstheme="minorHAnsi"/>
          <w:sz w:val="22"/>
          <w:szCs w:val="22"/>
        </w:rPr>
        <w:t xml:space="preserve">High-efficiency </w:t>
      </w:r>
      <w:r w:rsidR="009268EB">
        <w:rPr>
          <w:rFonts w:asciiTheme="minorHAnsi" w:hAnsiTheme="minorHAnsi" w:cstheme="minorHAnsi"/>
          <w:sz w:val="22"/>
          <w:szCs w:val="22"/>
        </w:rPr>
        <w:t>convection oven</w:t>
      </w:r>
      <w:r w:rsidR="00374665">
        <w:rPr>
          <w:rFonts w:asciiTheme="minorHAnsi" w:hAnsiTheme="minorHAnsi" w:cstheme="minorHAnsi"/>
          <w:sz w:val="22"/>
          <w:szCs w:val="22"/>
        </w:rPr>
        <w:t>s</w:t>
      </w:r>
      <w:r w:rsidRPr="00B551A8">
        <w:rPr>
          <w:rFonts w:asciiTheme="minorHAnsi" w:hAnsiTheme="minorHAnsi" w:cstheme="minorHAnsi"/>
          <w:sz w:val="22"/>
          <w:szCs w:val="22"/>
        </w:rPr>
        <w:t xml:space="preserve"> typically have a higher list price than standard efficiency </w:t>
      </w:r>
      <w:r w:rsidR="009268EB">
        <w:rPr>
          <w:rFonts w:asciiTheme="minorHAnsi" w:hAnsiTheme="minorHAnsi" w:cstheme="minorHAnsi"/>
          <w:sz w:val="22"/>
          <w:szCs w:val="22"/>
        </w:rPr>
        <w:t>convection ovens</w:t>
      </w:r>
      <w:r w:rsidRPr="00B551A8">
        <w:rPr>
          <w:rFonts w:asciiTheme="minorHAnsi" w:hAnsiTheme="minorHAnsi" w:cstheme="minorHAnsi"/>
          <w:sz w:val="22"/>
          <w:szCs w:val="22"/>
        </w:rPr>
        <w:t xml:space="preserve">. However, high-efficiency designs are often bundled with other features such as all stainless steel construction and high quality components and controls. In addition to lower operating costs, high-efficiency </w:t>
      </w:r>
      <w:r w:rsidR="009268EB">
        <w:rPr>
          <w:rFonts w:asciiTheme="minorHAnsi" w:hAnsiTheme="minorHAnsi" w:cstheme="minorHAnsi"/>
          <w:sz w:val="22"/>
          <w:szCs w:val="22"/>
        </w:rPr>
        <w:t>convection ovens</w:t>
      </w:r>
      <w:r w:rsidRPr="00B551A8">
        <w:rPr>
          <w:rFonts w:asciiTheme="minorHAnsi" w:hAnsiTheme="minorHAnsi" w:cstheme="minorHAnsi"/>
          <w:sz w:val="22"/>
          <w:szCs w:val="22"/>
        </w:rPr>
        <w:t xml:space="preserve"> exhibit better uniformity and higher production rates that inc</w:t>
      </w:r>
      <w:r w:rsidR="00B551A8" w:rsidRPr="00B551A8">
        <w:rPr>
          <w:rFonts w:asciiTheme="minorHAnsi" w:hAnsiTheme="minorHAnsi" w:cstheme="minorHAnsi"/>
          <w:sz w:val="22"/>
          <w:szCs w:val="22"/>
        </w:rPr>
        <w:t>rease their cost-effectiveness.</w:t>
      </w:r>
    </w:p>
    <w:p w:rsidR="0081052E" w:rsidRPr="00B551A8" w:rsidRDefault="0081052E" w:rsidP="0081052E">
      <w:pPr>
        <w:pStyle w:val="Heading2"/>
        <w:rPr>
          <w:rFonts w:asciiTheme="minorHAnsi" w:hAnsiTheme="minorHAnsi" w:cstheme="minorHAnsi"/>
        </w:rPr>
      </w:pPr>
      <w:r w:rsidRPr="00B551A8">
        <w:rPr>
          <w:rFonts w:asciiTheme="minorHAnsi" w:hAnsiTheme="minorHAnsi" w:cstheme="minorHAnsi"/>
        </w:rPr>
        <w:t>4.1 Base Case Cost</w:t>
      </w:r>
      <w:bookmarkEnd w:id="30"/>
    </w:p>
    <w:p w:rsidR="00A83D2F" w:rsidRPr="00B551A8" w:rsidRDefault="00A83D2F" w:rsidP="00A83D2F">
      <w:pPr>
        <w:pStyle w:val="Reminders"/>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Base case costs are calculated by applying an industry-standard 50% discount to manufacturer published list prices. It is assumed that the labor cost is the same in base and measure cases, so only equipment costs are presented here.</w:t>
      </w:r>
    </w:p>
    <w:p w:rsidR="00A83D2F" w:rsidRPr="00B551A8" w:rsidRDefault="00A83D2F" w:rsidP="00A83D2F">
      <w:pPr>
        <w:pStyle w:val="Reminders"/>
        <w:rPr>
          <w:rFonts w:asciiTheme="minorHAnsi" w:hAnsiTheme="minorHAnsi" w:cstheme="minorHAnsi"/>
          <w:i w:val="0"/>
          <w:color w:val="auto"/>
          <w:sz w:val="22"/>
          <w:szCs w:val="22"/>
        </w:rPr>
      </w:pPr>
    </w:p>
    <w:p w:rsidR="00A83D2F" w:rsidRPr="00B551A8" w:rsidRDefault="00A83D2F" w:rsidP="00A83D2F">
      <w:pPr>
        <w:pStyle w:val="Reminders"/>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Equipment prices for this work paper were compiled from a number of sources including quotes, equipment sales representatives, and manufacturer sources. Since equipment pricing in food service is closely held information and prices vary widely according to buying volume and other factors, the sources for prices cannot be listed explicitly.</w:t>
      </w:r>
    </w:p>
    <w:p w:rsidR="0081052E" w:rsidRPr="00B551A8" w:rsidRDefault="0081052E" w:rsidP="001E53D0">
      <w:pPr>
        <w:pStyle w:val="Heading2"/>
        <w:rPr>
          <w:rFonts w:asciiTheme="minorHAnsi" w:hAnsiTheme="minorHAnsi" w:cstheme="minorHAnsi"/>
        </w:rPr>
      </w:pPr>
      <w:r w:rsidRPr="00B551A8">
        <w:rPr>
          <w:rFonts w:asciiTheme="minorHAnsi" w:hAnsiTheme="minorHAnsi" w:cstheme="minorHAnsi"/>
        </w:rPr>
        <w:t>4.2 Gross Measure Cost</w:t>
      </w:r>
    </w:p>
    <w:p w:rsidR="00EC11B9" w:rsidRPr="00B551A8" w:rsidRDefault="00EC11B9" w:rsidP="00EC11B9">
      <w:pPr>
        <w:keepNext/>
        <w:rPr>
          <w:rFonts w:asciiTheme="minorHAnsi" w:hAnsiTheme="minorHAnsi" w:cstheme="minorHAnsi"/>
          <w:sz w:val="22"/>
          <w:szCs w:val="22"/>
        </w:rPr>
      </w:pPr>
      <w:r w:rsidRPr="00B551A8">
        <w:rPr>
          <w:rFonts w:asciiTheme="minorHAnsi" w:hAnsiTheme="minorHAnsi" w:cstheme="minorHAnsi"/>
          <w:sz w:val="22"/>
          <w:szCs w:val="22"/>
        </w:rPr>
        <w:t>For ROB measures, assuming the labor cost is the same in base and measure cases, the gross measure cost is determined using the following equation:</w:t>
      </w:r>
    </w:p>
    <w:p w:rsidR="00EC11B9" w:rsidRPr="00B551A8" w:rsidRDefault="00EC11B9" w:rsidP="00EC11B9">
      <w:pPr>
        <w:keepNext/>
        <w:rPr>
          <w:rFonts w:asciiTheme="minorHAnsi" w:hAnsiTheme="minorHAnsi" w:cstheme="minorHAnsi"/>
          <w:sz w:val="22"/>
          <w:szCs w:val="22"/>
        </w:rPr>
      </w:pPr>
    </w:p>
    <w:p w:rsidR="00EC11B9" w:rsidRPr="00B551A8" w:rsidRDefault="00EC11B9" w:rsidP="00EC11B9">
      <w:pPr>
        <w:keepNext/>
        <w:rPr>
          <w:rFonts w:asciiTheme="minorHAnsi" w:hAnsiTheme="minorHAnsi" w:cstheme="minorHAnsi"/>
          <w:i/>
          <w:sz w:val="22"/>
          <w:szCs w:val="22"/>
        </w:rPr>
      </w:pPr>
      <w:r w:rsidRPr="00B551A8">
        <w:rPr>
          <w:rFonts w:asciiTheme="minorHAnsi" w:hAnsiTheme="minorHAnsi" w:cstheme="minorHAnsi"/>
          <w:i/>
          <w:sz w:val="22"/>
          <w:szCs w:val="22"/>
        </w:rPr>
        <w:tab/>
        <w:t>Gross Measure Cost = Measure Case Material Cost – Base Case Material Cost</w:t>
      </w:r>
    </w:p>
    <w:p w:rsidR="00EC11B9" w:rsidRPr="00B551A8" w:rsidRDefault="00EC11B9" w:rsidP="00EC11B9">
      <w:pPr>
        <w:keepNext/>
        <w:rPr>
          <w:rFonts w:asciiTheme="minorHAnsi" w:hAnsiTheme="minorHAnsi" w:cstheme="minorHAnsi"/>
          <w:sz w:val="22"/>
          <w:szCs w:val="22"/>
        </w:rPr>
      </w:pPr>
    </w:p>
    <w:p w:rsidR="00EC11B9" w:rsidRPr="00B551A8" w:rsidRDefault="00EC11B9" w:rsidP="00EC11B9">
      <w:pPr>
        <w:keepNext/>
        <w:rPr>
          <w:rFonts w:asciiTheme="minorHAnsi" w:hAnsiTheme="minorHAnsi" w:cstheme="minorHAnsi"/>
          <w:sz w:val="22"/>
          <w:szCs w:val="22"/>
        </w:rPr>
      </w:pP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REF _Ref390780181 \h </w:instrText>
      </w:r>
      <w:r w:rsidR="00B551A8">
        <w:rPr>
          <w:rFonts w:asciiTheme="minorHAnsi" w:hAnsiTheme="minorHAnsi" w:cstheme="minorHAnsi"/>
          <w:sz w:val="22"/>
          <w:szCs w:val="22"/>
        </w:rPr>
        <w:instrText xml:space="preserve"> \* MERGEFORMAT </w:instrText>
      </w:r>
      <w:r w:rsidRPr="00B551A8">
        <w:rPr>
          <w:rFonts w:asciiTheme="minorHAnsi" w:hAnsiTheme="minorHAnsi" w:cstheme="minorHAnsi"/>
          <w:sz w:val="22"/>
          <w:szCs w:val="22"/>
        </w:rPr>
      </w:r>
      <w:r w:rsidRPr="00B551A8">
        <w:rPr>
          <w:rFonts w:asciiTheme="minorHAnsi" w:hAnsiTheme="minorHAnsi" w:cstheme="minorHAnsi"/>
          <w:sz w:val="22"/>
          <w:szCs w:val="22"/>
        </w:rPr>
        <w:fldChar w:fldCharType="separate"/>
      </w:r>
      <w:r w:rsidR="00BD6511" w:rsidRPr="00B551A8">
        <w:rPr>
          <w:rFonts w:asciiTheme="minorHAnsi" w:hAnsiTheme="minorHAnsi"/>
          <w:sz w:val="22"/>
          <w:szCs w:val="22"/>
        </w:rPr>
        <w:t xml:space="preserve">Table </w:t>
      </w:r>
      <w:r w:rsidR="00BD6511">
        <w:rPr>
          <w:rFonts w:asciiTheme="minorHAnsi" w:hAnsiTheme="minorHAnsi"/>
          <w:noProof/>
          <w:sz w:val="22"/>
          <w:szCs w:val="22"/>
        </w:rPr>
        <w:t>14</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shows the calculation of gross measure cost:</w:t>
      </w:r>
    </w:p>
    <w:p w:rsidR="0081052E" w:rsidRPr="00B551A8" w:rsidRDefault="0081052E" w:rsidP="0081052E">
      <w:pPr>
        <w:keepNext/>
        <w:rPr>
          <w:rFonts w:asciiTheme="minorHAnsi" w:hAnsiTheme="minorHAnsi" w:cstheme="minorHAnsi"/>
        </w:rPr>
      </w:pPr>
    </w:p>
    <w:p w:rsidR="0081052E" w:rsidRPr="00B551A8" w:rsidRDefault="00C5179F" w:rsidP="00C5179F">
      <w:pPr>
        <w:pStyle w:val="Caption"/>
        <w:jc w:val="center"/>
        <w:rPr>
          <w:rFonts w:asciiTheme="minorHAnsi" w:hAnsiTheme="minorHAnsi" w:cstheme="minorHAnsi"/>
          <w:sz w:val="22"/>
          <w:szCs w:val="22"/>
        </w:rPr>
      </w:pPr>
      <w:bookmarkStart w:id="32" w:name="_Ref390780181"/>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BD6511">
        <w:rPr>
          <w:rFonts w:asciiTheme="minorHAnsi" w:hAnsiTheme="minorHAnsi"/>
          <w:noProof/>
          <w:sz w:val="22"/>
          <w:szCs w:val="22"/>
        </w:rPr>
        <w:t>14</w:t>
      </w:r>
      <w:r w:rsidRPr="00B551A8">
        <w:rPr>
          <w:rFonts w:asciiTheme="minorHAnsi" w:hAnsiTheme="minorHAnsi"/>
          <w:sz w:val="22"/>
          <w:szCs w:val="22"/>
        </w:rPr>
        <w:fldChar w:fldCharType="end"/>
      </w:r>
      <w:bookmarkEnd w:id="32"/>
      <w:r w:rsidRPr="00B551A8">
        <w:rPr>
          <w:rFonts w:asciiTheme="minorHAnsi" w:hAnsiTheme="minorHAnsi"/>
          <w:sz w:val="22"/>
          <w:szCs w:val="22"/>
        </w:rPr>
        <w:t xml:space="preserve"> </w:t>
      </w:r>
      <w:r w:rsidR="00EC11B9" w:rsidRPr="00B551A8">
        <w:rPr>
          <w:rFonts w:asciiTheme="minorHAnsi" w:hAnsiTheme="minorHAnsi" w:cstheme="minorHAnsi"/>
          <w:bCs w:val="0"/>
          <w:sz w:val="22"/>
          <w:szCs w:val="22"/>
        </w:rPr>
        <w:t>Gross and Incremental Measure Cost</w:t>
      </w:r>
    </w:p>
    <w:tbl>
      <w:tblPr>
        <w:tblStyle w:val="TableContemporary"/>
        <w:tblW w:w="4850" w:type="pct"/>
        <w:jc w:val="center"/>
        <w:tblInd w:w="-774" w:type="dxa"/>
        <w:tblLook w:val="04A0" w:firstRow="1" w:lastRow="0" w:firstColumn="1" w:lastColumn="0" w:noHBand="0" w:noVBand="1"/>
      </w:tblPr>
      <w:tblGrid>
        <w:gridCol w:w="2125"/>
        <w:gridCol w:w="1349"/>
        <w:gridCol w:w="1544"/>
        <w:gridCol w:w="1319"/>
        <w:gridCol w:w="1319"/>
        <w:gridCol w:w="1633"/>
      </w:tblGrid>
      <w:tr w:rsidR="009268EB" w:rsidRPr="00F25CAF" w:rsidTr="009268EB">
        <w:trPr>
          <w:cnfStyle w:val="100000000000" w:firstRow="1" w:lastRow="0" w:firstColumn="0" w:lastColumn="0" w:oddVBand="0" w:evenVBand="0" w:oddHBand="0" w:evenHBand="0" w:firstRowFirstColumn="0" w:firstRowLastColumn="0" w:lastRowFirstColumn="0" w:lastRowLastColumn="0"/>
          <w:trHeight w:val="780"/>
          <w:jc w:val="center"/>
        </w:trPr>
        <w:tc>
          <w:tcPr>
            <w:tcW w:w="1144" w:type="pct"/>
          </w:tcPr>
          <w:p w:rsidR="009268EB" w:rsidRPr="00F25CAF" w:rsidRDefault="009268EB">
            <w:pPr>
              <w:jc w:val="center"/>
              <w:rPr>
                <w:rFonts w:asciiTheme="minorHAnsi" w:hAnsiTheme="minorHAnsi" w:cs="Arial"/>
                <w:bCs w:val="0"/>
                <w:color w:val="000000"/>
                <w:sz w:val="20"/>
                <w:szCs w:val="20"/>
              </w:rPr>
            </w:pPr>
            <w:r w:rsidRPr="00F25CAF">
              <w:rPr>
                <w:rFonts w:asciiTheme="minorHAnsi" w:hAnsiTheme="minorHAnsi" w:cs="Arial"/>
                <w:bCs w:val="0"/>
                <w:color w:val="000000"/>
                <w:sz w:val="20"/>
                <w:szCs w:val="20"/>
              </w:rPr>
              <w:t>Convection Oven Type</w:t>
            </w:r>
          </w:p>
        </w:tc>
        <w:tc>
          <w:tcPr>
            <w:tcW w:w="726" w:type="pct"/>
          </w:tcPr>
          <w:p w:rsidR="009268EB" w:rsidRPr="00F25CAF" w:rsidRDefault="009268EB">
            <w:pPr>
              <w:jc w:val="center"/>
              <w:rPr>
                <w:rFonts w:asciiTheme="minorHAnsi" w:hAnsiTheme="minorHAnsi" w:cs="Arial"/>
                <w:bCs w:val="0"/>
                <w:color w:val="000000"/>
                <w:sz w:val="20"/>
                <w:szCs w:val="20"/>
              </w:rPr>
            </w:pPr>
            <w:r w:rsidRPr="00F25CAF">
              <w:rPr>
                <w:rFonts w:asciiTheme="minorHAnsi" w:hAnsiTheme="minorHAnsi" w:cs="Arial"/>
                <w:bCs w:val="0"/>
                <w:color w:val="000000"/>
                <w:sz w:val="20"/>
                <w:szCs w:val="20"/>
              </w:rPr>
              <w:t>Baseline Unit Price</w:t>
            </w:r>
          </w:p>
        </w:tc>
        <w:tc>
          <w:tcPr>
            <w:tcW w:w="831" w:type="pct"/>
          </w:tcPr>
          <w:p w:rsidR="009268EB" w:rsidRPr="00F25CAF" w:rsidRDefault="009268EB">
            <w:pPr>
              <w:jc w:val="center"/>
              <w:rPr>
                <w:rFonts w:asciiTheme="minorHAnsi" w:hAnsiTheme="minorHAnsi" w:cs="Arial"/>
                <w:bCs w:val="0"/>
                <w:color w:val="000000"/>
                <w:sz w:val="20"/>
                <w:szCs w:val="20"/>
              </w:rPr>
            </w:pPr>
            <w:r w:rsidRPr="00F25CAF">
              <w:rPr>
                <w:rFonts w:asciiTheme="minorHAnsi" w:hAnsiTheme="minorHAnsi" w:cs="Arial"/>
                <w:bCs w:val="0"/>
                <w:color w:val="000000"/>
                <w:sz w:val="20"/>
                <w:szCs w:val="20"/>
              </w:rPr>
              <w:t>Energy Efficient Unit Price</w:t>
            </w:r>
          </w:p>
        </w:tc>
        <w:tc>
          <w:tcPr>
            <w:tcW w:w="710" w:type="pct"/>
          </w:tcPr>
          <w:p w:rsidR="009268EB" w:rsidRPr="00F25CAF" w:rsidRDefault="009268EB">
            <w:pPr>
              <w:jc w:val="center"/>
              <w:rPr>
                <w:rFonts w:asciiTheme="minorHAnsi" w:hAnsiTheme="minorHAnsi" w:cs="Arial"/>
                <w:bCs w:val="0"/>
                <w:color w:val="000000"/>
                <w:sz w:val="20"/>
                <w:szCs w:val="20"/>
              </w:rPr>
            </w:pPr>
            <w:r w:rsidRPr="00F25CAF">
              <w:rPr>
                <w:rFonts w:asciiTheme="minorHAnsi" w:hAnsiTheme="minorHAnsi" w:cs="Arial"/>
                <w:bCs w:val="0"/>
                <w:color w:val="000000"/>
                <w:sz w:val="20"/>
                <w:szCs w:val="20"/>
              </w:rPr>
              <w:t>Baseline Unit Cost</w:t>
            </w:r>
          </w:p>
        </w:tc>
        <w:tc>
          <w:tcPr>
            <w:tcW w:w="710" w:type="pct"/>
          </w:tcPr>
          <w:p w:rsidR="009268EB" w:rsidRPr="00F25CAF" w:rsidRDefault="009268EB">
            <w:pPr>
              <w:jc w:val="center"/>
              <w:rPr>
                <w:rFonts w:asciiTheme="minorHAnsi" w:hAnsiTheme="minorHAnsi" w:cs="Arial"/>
                <w:bCs w:val="0"/>
                <w:color w:val="000000"/>
                <w:sz w:val="20"/>
                <w:szCs w:val="20"/>
              </w:rPr>
            </w:pPr>
            <w:r w:rsidRPr="00F25CAF">
              <w:rPr>
                <w:rFonts w:asciiTheme="minorHAnsi" w:hAnsiTheme="minorHAnsi" w:cs="Arial"/>
                <w:bCs w:val="0"/>
                <w:color w:val="000000"/>
                <w:sz w:val="20"/>
                <w:szCs w:val="20"/>
              </w:rPr>
              <w:t>Energy Efficient Unit Cost</w:t>
            </w:r>
          </w:p>
        </w:tc>
        <w:tc>
          <w:tcPr>
            <w:tcW w:w="879" w:type="pct"/>
          </w:tcPr>
          <w:p w:rsidR="009268EB" w:rsidRPr="00F25CAF" w:rsidRDefault="009268EB">
            <w:pPr>
              <w:jc w:val="center"/>
              <w:rPr>
                <w:rFonts w:asciiTheme="minorHAnsi" w:hAnsiTheme="minorHAnsi" w:cs="Arial"/>
                <w:bCs w:val="0"/>
                <w:color w:val="000000"/>
                <w:sz w:val="20"/>
                <w:szCs w:val="20"/>
              </w:rPr>
            </w:pPr>
            <w:r w:rsidRPr="00F25CAF">
              <w:rPr>
                <w:rFonts w:asciiTheme="minorHAnsi" w:hAnsiTheme="minorHAnsi" w:cs="Arial"/>
                <w:bCs w:val="0"/>
                <w:color w:val="000000"/>
                <w:sz w:val="20"/>
                <w:szCs w:val="20"/>
              </w:rPr>
              <w:t>Incremental Measure Cost (IMC)</w:t>
            </w:r>
          </w:p>
        </w:tc>
      </w:tr>
      <w:tr w:rsidR="00F25CAF" w:rsidRPr="00F25CAF" w:rsidTr="0022316B">
        <w:trPr>
          <w:cnfStyle w:val="000000100000" w:firstRow="0" w:lastRow="0" w:firstColumn="0" w:lastColumn="0" w:oddVBand="0" w:evenVBand="0" w:oddHBand="1" w:evenHBand="0" w:firstRowFirstColumn="0" w:firstRowLastColumn="0" w:lastRowFirstColumn="0" w:lastRowLastColumn="0"/>
          <w:trHeight w:val="300"/>
          <w:jc w:val="center"/>
        </w:trPr>
        <w:tc>
          <w:tcPr>
            <w:tcW w:w="1144" w:type="pct"/>
            <w:vAlign w:val="center"/>
          </w:tcPr>
          <w:p w:rsidR="00F25CAF" w:rsidRPr="00F25CAF" w:rsidRDefault="00F25CAF">
            <w:pPr>
              <w:jc w:val="center"/>
              <w:rPr>
                <w:rFonts w:asciiTheme="minorHAnsi" w:hAnsiTheme="minorHAnsi"/>
                <w:color w:val="000000"/>
                <w:sz w:val="20"/>
                <w:szCs w:val="20"/>
              </w:rPr>
            </w:pPr>
            <w:r w:rsidRPr="00F25CAF">
              <w:rPr>
                <w:rFonts w:asciiTheme="minorHAnsi" w:hAnsiTheme="minorHAnsi" w:cs="Arial"/>
                <w:color w:val="000000"/>
                <w:sz w:val="20"/>
                <w:szCs w:val="20"/>
              </w:rPr>
              <w:t>Electric Half-Size</w:t>
            </w:r>
          </w:p>
        </w:tc>
        <w:tc>
          <w:tcPr>
            <w:tcW w:w="726"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$7,209</w:t>
            </w:r>
          </w:p>
        </w:tc>
        <w:tc>
          <w:tcPr>
            <w:tcW w:w="831"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$8,795</w:t>
            </w:r>
          </w:p>
        </w:tc>
        <w:tc>
          <w:tcPr>
            <w:tcW w:w="710"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$3,605</w:t>
            </w:r>
          </w:p>
        </w:tc>
        <w:tc>
          <w:tcPr>
            <w:tcW w:w="710"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$4,398</w:t>
            </w:r>
          </w:p>
        </w:tc>
        <w:tc>
          <w:tcPr>
            <w:tcW w:w="879"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$793</w:t>
            </w:r>
          </w:p>
        </w:tc>
      </w:tr>
      <w:tr w:rsidR="00F25CAF" w:rsidRPr="00F25CAF" w:rsidTr="0022316B">
        <w:trPr>
          <w:cnfStyle w:val="000000010000" w:firstRow="0" w:lastRow="0" w:firstColumn="0" w:lastColumn="0" w:oddVBand="0" w:evenVBand="0" w:oddHBand="0" w:evenHBand="1" w:firstRowFirstColumn="0" w:firstRowLastColumn="0" w:lastRowFirstColumn="0" w:lastRowLastColumn="0"/>
          <w:trHeight w:val="300"/>
          <w:jc w:val="center"/>
        </w:trPr>
        <w:tc>
          <w:tcPr>
            <w:tcW w:w="1144" w:type="pct"/>
            <w:vAlign w:val="center"/>
          </w:tcPr>
          <w:p w:rsidR="00F25CAF" w:rsidRPr="00F25CAF" w:rsidRDefault="00F25CAF">
            <w:pPr>
              <w:jc w:val="center"/>
              <w:rPr>
                <w:rFonts w:asciiTheme="minorHAnsi" w:hAnsiTheme="minorHAnsi"/>
                <w:color w:val="000000"/>
                <w:sz w:val="20"/>
                <w:szCs w:val="20"/>
              </w:rPr>
            </w:pPr>
            <w:r w:rsidRPr="00F25CAF">
              <w:rPr>
                <w:rFonts w:asciiTheme="minorHAnsi" w:hAnsiTheme="minorHAnsi" w:cs="Arial"/>
                <w:color w:val="000000"/>
                <w:sz w:val="20"/>
                <w:szCs w:val="20"/>
              </w:rPr>
              <w:t>Electric Full-Size</w:t>
            </w:r>
          </w:p>
        </w:tc>
        <w:tc>
          <w:tcPr>
            <w:tcW w:w="726"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$8,216</w:t>
            </w:r>
          </w:p>
        </w:tc>
        <w:tc>
          <w:tcPr>
            <w:tcW w:w="831"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$10,229</w:t>
            </w:r>
          </w:p>
        </w:tc>
        <w:tc>
          <w:tcPr>
            <w:tcW w:w="710"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$4,108</w:t>
            </w:r>
          </w:p>
        </w:tc>
        <w:tc>
          <w:tcPr>
            <w:tcW w:w="710"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$5,115</w:t>
            </w:r>
          </w:p>
        </w:tc>
        <w:tc>
          <w:tcPr>
            <w:tcW w:w="879"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$1,007</w:t>
            </w:r>
          </w:p>
        </w:tc>
      </w:tr>
      <w:tr w:rsidR="00F25CAF" w:rsidRPr="00F25CAF" w:rsidTr="0022316B">
        <w:trPr>
          <w:cnfStyle w:val="000000100000" w:firstRow="0" w:lastRow="0" w:firstColumn="0" w:lastColumn="0" w:oddVBand="0" w:evenVBand="0" w:oddHBand="1" w:evenHBand="0" w:firstRowFirstColumn="0" w:firstRowLastColumn="0" w:lastRowFirstColumn="0" w:lastRowLastColumn="0"/>
          <w:trHeight w:val="300"/>
          <w:jc w:val="center"/>
        </w:trPr>
        <w:tc>
          <w:tcPr>
            <w:tcW w:w="1144" w:type="pct"/>
            <w:vAlign w:val="center"/>
          </w:tcPr>
          <w:p w:rsidR="00F25CAF" w:rsidRPr="00F25CAF" w:rsidRDefault="00F25CAF">
            <w:pPr>
              <w:jc w:val="center"/>
              <w:rPr>
                <w:rFonts w:asciiTheme="minorHAnsi" w:hAnsiTheme="minorHAnsi"/>
                <w:color w:val="000000"/>
                <w:sz w:val="20"/>
                <w:szCs w:val="20"/>
              </w:rPr>
            </w:pPr>
            <w:r w:rsidRPr="00F25CAF">
              <w:rPr>
                <w:rFonts w:asciiTheme="minorHAnsi" w:hAnsiTheme="minorHAnsi" w:cs="Arial"/>
                <w:color w:val="000000"/>
                <w:sz w:val="20"/>
                <w:szCs w:val="20"/>
              </w:rPr>
              <w:t>Electric Large Full-Size</w:t>
            </w:r>
          </w:p>
        </w:tc>
        <w:tc>
          <w:tcPr>
            <w:tcW w:w="726"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$14,600</w:t>
            </w:r>
          </w:p>
        </w:tc>
        <w:tc>
          <w:tcPr>
            <w:tcW w:w="831"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$15,899</w:t>
            </w:r>
          </w:p>
        </w:tc>
        <w:tc>
          <w:tcPr>
            <w:tcW w:w="710"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$7,300</w:t>
            </w:r>
          </w:p>
        </w:tc>
        <w:tc>
          <w:tcPr>
            <w:tcW w:w="710"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$7,949</w:t>
            </w:r>
          </w:p>
        </w:tc>
        <w:tc>
          <w:tcPr>
            <w:tcW w:w="879" w:type="pct"/>
            <w:noWrap/>
            <w:vAlign w:val="bottom"/>
          </w:tcPr>
          <w:p w:rsidR="00F25CAF" w:rsidRPr="00F25CAF" w:rsidRDefault="00F25CAF" w:rsidP="0022316B">
            <w:pPr>
              <w:jc w:val="right"/>
              <w:rPr>
                <w:rFonts w:asciiTheme="minorHAnsi" w:hAnsiTheme="minorHAnsi"/>
                <w:color w:val="000000"/>
                <w:sz w:val="20"/>
                <w:szCs w:val="20"/>
              </w:rPr>
            </w:pPr>
            <w:r w:rsidRPr="00F25CAF">
              <w:rPr>
                <w:rFonts w:asciiTheme="minorHAnsi" w:hAnsiTheme="minorHAnsi" w:cs="Calibri"/>
                <w:color w:val="000000"/>
                <w:sz w:val="20"/>
                <w:szCs w:val="20"/>
              </w:rPr>
              <w:t>$649</w:t>
            </w:r>
          </w:p>
        </w:tc>
      </w:tr>
    </w:tbl>
    <w:p w:rsidR="001E53D0" w:rsidRPr="00B551A8" w:rsidRDefault="001E53D0" w:rsidP="001E53D0">
      <w:pPr>
        <w:pStyle w:val="Reminders"/>
        <w:rPr>
          <w:rFonts w:asciiTheme="minorHAnsi" w:hAnsiTheme="minorHAnsi" w:cstheme="minorHAnsi"/>
          <w:i w:val="0"/>
          <w:color w:val="auto"/>
          <w:sz w:val="16"/>
          <w:szCs w:val="16"/>
        </w:rPr>
      </w:pPr>
      <w:r w:rsidRPr="00B551A8">
        <w:rPr>
          <w:rFonts w:asciiTheme="minorHAnsi" w:hAnsiTheme="minorHAnsi" w:cstheme="minorHAnsi"/>
          <w:i w:val="0"/>
          <w:color w:val="auto"/>
          <w:sz w:val="16"/>
          <w:szCs w:val="16"/>
        </w:rPr>
        <w:lastRenderedPageBreak/>
        <w:t xml:space="preserve">*Estimated purchase price and Incremental Measure Cost (IMC) were based on an industry-standard 50% discount off the manufacturer’s list price. </w:t>
      </w:r>
    </w:p>
    <w:p w:rsidR="0081052E" w:rsidRPr="00B551A8" w:rsidRDefault="0081052E" w:rsidP="0081052E">
      <w:pPr>
        <w:pStyle w:val="Heading2"/>
        <w:keepNext w:val="0"/>
        <w:rPr>
          <w:rFonts w:asciiTheme="minorHAnsi" w:hAnsiTheme="minorHAnsi" w:cstheme="minorHAnsi"/>
        </w:rPr>
      </w:pPr>
      <w:r w:rsidRPr="00B551A8">
        <w:rPr>
          <w:rFonts w:asciiTheme="minorHAnsi" w:hAnsiTheme="minorHAnsi" w:cstheme="minorHAnsi"/>
        </w:rPr>
        <w:t>4.3 Incremental Measure Cost</w:t>
      </w:r>
    </w:p>
    <w:p w:rsidR="001E53D0" w:rsidRPr="00B551A8" w:rsidRDefault="00A83D2F" w:rsidP="001E53D0">
      <w:pPr>
        <w:keepNext/>
        <w:rPr>
          <w:rFonts w:asciiTheme="minorHAnsi" w:hAnsiTheme="minorHAnsi" w:cstheme="minorHAnsi"/>
          <w:sz w:val="22"/>
          <w:szCs w:val="22"/>
        </w:rPr>
      </w:pPr>
      <w:r w:rsidRPr="00B551A8">
        <w:rPr>
          <w:rFonts w:asciiTheme="minorHAnsi" w:hAnsiTheme="minorHAnsi" w:cstheme="minorHAnsi"/>
          <w:sz w:val="22"/>
          <w:szCs w:val="22"/>
        </w:rPr>
        <w:t xml:space="preserve">The incremental cost is the same as the gross measure cost and is shown in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REF _Ref390780181 \h </w:instrText>
      </w:r>
      <w:r w:rsidR="00B551A8">
        <w:rPr>
          <w:rFonts w:asciiTheme="minorHAnsi" w:hAnsiTheme="minorHAnsi" w:cstheme="minorHAnsi"/>
          <w:sz w:val="22"/>
          <w:szCs w:val="22"/>
        </w:rPr>
        <w:instrText xml:space="preserve"> \* MERGEFORMAT </w:instrText>
      </w:r>
      <w:r w:rsidRPr="00B551A8">
        <w:rPr>
          <w:rFonts w:asciiTheme="minorHAnsi" w:hAnsiTheme="minorHAnsi" w:cstheme="minorHAnsi"/>
          <w:sz w:val="22"/>
          <w:szCs w:val="22"/>
        </w:rPr>
      </w:r>
      <w:r w:rsidRPr="00B551A8">
        <w:rPr>
          <w:rFonts w:asciiTheme="minorHAnsi" w:hAnsiTheme="minorHAnsi" w:cstheme="minorHAnsi"/>
          <w:sz w:val="22"/>
          <w:szCs w:val="22"/>
        </w:rPr>
        <w:fldChar w:fldCharType="separate"/>
      </w:r>
      <w:r w:rsidR="00BD6511" w:rsidRPr="00B551A8">
        <w:rPr>
          <w:rFonts w:asciiTheme="minorHAnsi" w:hAnsiTheme="minorHAnsi"/>
          <w:sz w:val="22"/>
          <w:szCs w:val="22"/>
        </w:rPr>
        <w:t xml:space="preserve">Table </w:t>
      </w:r>
      <w:r w:rsidR="00BD6511">
        <w:rPr>
          <w:rFonts w:asciiTheme="minorHAnsi" w:hAnsiTheme="minorHAnsi"/>
          <w:noProof/>
          <w:sz w:val="22"/>
          <w:szCs w:val="22"/>
        </w:rPr>
        <w:t>14</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w:t>
      </w:r>
    </w:p>
    <w:p w:rsidR="0081052E" w:rsidRPr="00B551A8" w:rsidRDefault="0081052E" w:rsidP="0081052E">
      <w:pPr>
        <w:pStyle w:val="Reminder"/>
        <w:rPr>
          <w:rFonts w:asciiTheme="minorHAnsi" w:hAnsiTheme="minorHAnsi" w:cstheme="minorHAnsi"/>
          <w:color w:val="auto"/>
          <w:sz w:val="22"/>
          <w:szCs w:val="22"/>
        </w:rPr>
      </w:pPr>
    </w:p>
    <w:bookmarkEnd w:id="31"/>
    <w:p w:rsidR="00BD6511" w:rsidRDefault="00BD6511">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E16609" w:rsidRPr="00B551A8" w:rsidRDefault="00E16609" w:rsidP="00E16609">
      <w:pPr>
        <w:pStyle w:val="Heading1"/>
        <w:rPr>
          <w:rFonts w:asciiTheme="minorHAnsi" w:hAnsiTheme="minorHAnsi" w:cstheme="minorHAnsi"/>
        </w:rPr>
      </w:pPr>
      <w:r w:rsidRPr="00B551A8">
        <w:rPr>
          <w:rFonts w:asciiTheme="minorHAnsi" w:hAnsiTheme="minorHAnsi" w:cstheme="minorHAnsi"/>
        </w:rPr>
        <w:lastRenderedPageBreak/>
        <w:t>Attachments</w:t>
      </w:r>
    </w:p>
    <w:bookmarkStart w:id="33" w:name="_MON_1464520663"/>
    <w:bookmarkEnd w:id="33"/>
    <w:bookmarkStart w:id="34" w:name="_MON_1464606118"/>
    <w:bookmarkEnd w:id="34"/>
    <w:p w:rsidR="0026221B" w:rsidRPr="00B551A8" w:rsidRDefault="00584C0C" w:rsidP="0026221B">
      <w:pPr>
        <w:pStyle w:val="ListParagraph"/>
        <w:numPr>
          <w:ilvl w:val="0"/>
          <w:numId w:val="11"/>
        </w:numPr>
        <w:rPr>
          <w:rFonts w:asciiTheme="minorHAnsi" w:hAnsiTheme="minorHAnsi"/>
        </w:rPr>
      </w:pPr>
      <w:r w:rsidRPr="00B551A8">
        <w:rPr>
          <w:rFonts w:asciiTheme="minorHAnsi" w:hAnsiTheme="minorHAnsi"/>
        </w:rPr>
        <w:object w:dxaOrig="155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7.25pt;height:49.5pt" o:ole="">
            <v:imagedata r:id="rId13" o:title=""/>
          </v:shape>
          <o:OLEObject Type="Embed" ProgID="Excel.SheetMacroEnabled.12" ShapeID="_x0000_i1030" DrawAspect="Icon" ObjectID="_1465027655" r:id="rId14"/>
        </w:object>
      </w:r>
    </w:p>
    <w:bookmarkStart w:id="35" w:name="_MON_1464590590"/>
    <w:bookmarkEnd w:id="35"/>
    <w:p w:rsidR="005015B8" w:rsidRPr="00B551A8" w:rsidRDefault="002F03E5" w:rsidP="0026221B">
      <w:pPr>
        <w:pStyle w:val="ListParagraph"/>
        <w:numPr>
          <w:ilvl w:val="0"/>
          <w:numId w:val="11"/>
        </w:numPr>
        <w:rPr>
          <w:rFonts w:asciiTheme="minorHAnsi" w:hAnsiTheme="minorHAnsi"/>
        </w:rPr>
      </w:pPr>
      <w:r>
        <w:object w:dxaOrig="2040" w:dyaOrig="1320">
          <v:shape id="_x0000_i1026" type="#_x0000_t75" style="width:102.75pt;height:66pt" o:ole="">
            <v:imagedata r:id="rId15" o:title=""/>
          </v:shape>
          <o:OLEObject Type="Embed" ProgID="Excel.Sheet.12" ShapeID="_x0000_i1026" DrawAspect="Icon" ObjectID="_1465027656" r:id="rId16"/>
        </w:object>
      </w:r>
    </w:p>
    <w:p w:rsidR="009873AE" w:rsidRPr="00B551A8" w:rsidRDefault="009873AE" w:rsidP="009873AE">
      <w:pPr>
        <w:rPr>
          <w:rFonts w:asciiTheme="minorHAnsi" w:hAnsiTheme="minorHAnsi" w:cs="Arial"/>
          <w:b/>
        </w:rPr>
      </w:pPr>
    </w:p>
    <w:p w:rsidR="00D67BCF" w:rsidRPr="00B551A8" w:rsidRDefault="00D67BCF">
      <w:pPr>
        <w:spacing w:after="200" w:line="276" w:lineRule="auto"/>
        <w:rPr>
          <w:rFonts w:asciiTheme="minorHAnsi" w:hAnsiTheme="minorHAnsi" w:cstheme="minorHAnsi"/>
          <w:b/>
          <w:bCs/>
          <w:smallCaps/>
          <w:kern w:val="32"/>
          <w:sz w:val="36"/>
          <w:szCs w:val="32"/>
        </w:rPr>
      </w:pPr>
      <w:r w:rsidRPr="00B551A8">
        <w:rPr>
          <w:rFonts w:asciiTheme="minorHAnsi" w:hAnsiTheme="minorHAnsi" w:cstheme="minorHAnsi"/>
        </w:rPr>
        <w:br w:type="page"/>
      </w:r>
    </w:p>
    <w:p w:rsidR="00C54EFF" w:rsidRPr="00B551A8" w:rsidRDefault="00C54EFF" w:rsidP="00C54EFF">
      <w:pPr>
        <w:pStyle w:val="Heading1"/>
        <w:rPr>
          <w:rFonts w:asciiTheme="minorHAnsi" w:hAnsiTheme="minorHAnsi" w:cstheme="minorHAnsi"/>
        </w:rPr>
      </w:pPr>
      <w:r w:rsidRPr="00B551A8">
        <w:rPr>
          <w:rFonts w:asciiTheme="minorHAnsi" w:hAnsiTheme="minorHAnsi" w:cstheme="minorHAnsi"/>
        </w:rPr>
        <w:lastRenderedPageBreak/>
        <w:t>References</w:t>
      </w:r>
    </w:p>
    <w:bookmarkStart w:id="36" w:name="_MON_1464606558"/>
    <w:bookmarkEnd w:id="36"/>
    <w:p w:rsidR="003E2675" w:rsidRDefault="00D17EAF" w:rsidP="005015B8">
      <w:pPr>
        <w:rPr>
          <w:rStyle w:val="ReminderChar"/>
          <w:rFonts w:asciiTheme="minorHAnsi" w:hAnsiTheme="minorHAnsi" w:cstheme="minorHAnsi"/>
          <w:i w:val="0"/>
          <w:color w:val="auto"/>
        </w:rPr>
      </w:pPr>
      <w:r>
        <w:rPr>
          <w:rStyle w:val="ReminderChar"/>
          <w:rFonts w:asciiTheme="minorHAnsi" w:hAnsiTheme="minorHAnsi" w:cstheme="minorHAnsi"/>
          <w:i w:val="0"/>
          <w:color w:val="auto"/>
        </w:rPr>
        <w:object w:dxaOrig="1551" w:dyaOrig="991">
          <v:shape id="_x0000_i1027" type="#_x0000_t75" style="width:77.25pt;height:49.5pt" o:ole="">
            <v:imagedata r:id="rId17" o:title=""/>
          </v:shape>
          <o:OLEObject Type="Embed" ProgID="Excel.Sheet.12" ShapeID="_x0000_i1027" DrawAspect="Icon" ObjectID="_1465027657" r:id="rId18"/>
        </w:object>
      </w:r>
    </w:p>
    <w:p w:rsidR="00A904E4" w:rsidRDefault="00A904E4" w:rsidP="005015B8">
      <w:pPr>
        <w:rPr>
          <w:rStyle w:val="ReminderChar"/>
          <w:rFonts w:asciiTheme="minorHAnsi" w:hAnsiTheme="minorHAnsi" w:cstheme="minorHAnsi"/>
          <w:i w:val="0"/>
          <w:color w:val="auto"/>
        </w:rPr>
      </w:pPr>
    </w:p>
    <w:tbl>
      <w:tblPr>
        <w:tblW w:w="8850" w:type="dxa"/>
        <w:tblInd w:w="93" w:type="dxa"/>
        <w:tblLook w:val="04A0" w:firstRow="1" w:lastRow="0" w:firstColumn="1" w:lastColumn="0" w:noHBand="0" w:noVBand="1"/>
      </w:tblPr>
      <w:tblGrid>
        <w:gridCol w:w="686"/>
        <w:gridCol w:w="8164"/>
      </w:tblGrid>
      <w:tr w:rsidR="00A904E4" w:rsidRPr="00A904E4" w:rsidTr="00A904E4">
        <w:trPr>
          <w:trHeight w:val="300"/>
        </w:trPr>
        <w:tc>
          <w:tcPr>
            <w:tcW w:w="686" w:type="dxa"/>
            <w:tcBorders>
              <w:top w:val="nil"/>
              <w:left w:val="nil"/>
              <w:bottom w:val="nil"/>
              <w:right w:val="nil"/>
            </w:tcBorders>
            <w:shd w:val="clear" w:color="auto" w:fill="auto"/>
            <w:noWrap/>
            <w:hideMark/>
          </w:tcPr>
          <w:p w:rsidR="00A904E4" w:rsidRPr="00A904E4" w:rsidRDefault="00A904E4" w:rsidP="00A904E4">
            <w:pPr>
              <w:rPr>
                <w:rFonts w:ascii="Calibri" w:hAnsi="Calibri"/>
                <w:color w:val="000000"/>
                <w:sz w:val="22"/>
                <w:szCs w:val="22"/>
              </w:rPr>
            </w:pPr>
            <w:r w:rsidRPr="00A904E4">
              <w:rPr>
                <w:rFonts w:ascii="Calibri" w:hAnsi="Calibri"/>
                <w:color w:val="000000"/>
                <w:sz w:val="22"/>
                <w:szCs w:val="22"/>
              </w:rPr>
              <w:t>[26]</w:t>
            </w:r>
          </w:p>
        </w:tc>
        <w:tc>
          <w:tcPr>
            <w:tcW w:w="8164" w:type="dxa"/>
            <w:tcBorders>
              <w:top w:val="nil"/>
              <w:left w:val="nil"/>
              <w:bottom w:val="nil"/>
              <w:right w:val="nil"/>
            </w:tcBorders>
            <w:shd w:val="clear" w:color="auto" w:fill="auto"/>
            <w:noWrap/>
            <w:hideMark/>
          </w:tcPr>
          <w:p w:rsidR="00A904E4" w:rsidRPr="00A904E4" w:rsidRDefault="00A904E4" w:rsidP="00A904E4">
            <w:pPr>
              <w:rPr>
                <w:rFonts w:ascii="Calibri" w:hAnsi="Calibri"/>
                <w:color w:val="000000"/>
                <w:sz w:val="22"/>
                <w:szCs w:val="22"/>
              </w:rPr>
            </w:pPr>
            <w:r w:rsidRPr="00A904E4">
              <w:rPr>
                <w:rFonts w:ascii="Calibri" w:hAnsi="Calibri"/>
                <w:color w:val="000000"/>
                <w:sz w:val="22"/>
                <w:szCs w:val="22"/>
              </w:rPr>
              <w:t>2004-2005 Database for Energy Efficiency Resources (DEER) Update Study - Final Report - Itron Inc. - Dec. 2005</w:t>
            </w:r>
          </w:p>
        </w:tc>
      </w:tr>
      <w:tr w:rsidR="00A904E4" w:rsidRPr="00A904E4" w:rsidTr="00A904E4">
        <w:trPr>
          <w:trHeight w:val="300"/>
        </w:trPr>
        <w:tc>
          <w:tcPr>
            <w:tcW w:w="686" w:type="dxa"/>
            <w:tcBorders>
              <w:top w:val="nil"/>
              <w:left w:val="nil"/>
              <w:bottom w:val="nil"/>
              <w:right w:val="nil"/>
            </w:tcBorders>
            <w:shd w:val="clear" w:color="auto" w:fill="auto"/>
            <w:noWrap/>
            <w:hideMark/>
          </w:tcPr>
          <w:p w:rsidR="00A904E4" w:rsidRPr="00A904E4" w:rsidRDefault="00A904E4" w:rsidP="00A904E4">
            <w:pPr>
              <w:rPr>
                <w:rFonts w:ascii="Calibri" w:hAnsi="Calibri"/>
                <w:color w:val="000000"/>
                <w:sz w:val="22"/>
                <w:szCs w:val="22"/>
              </w:rPr>
            </w:pPr>
            <w:r w:rsidRPr="00A904E4">
              <w:rPr>
                <w:rFonts w:ascii="Calibri" w:hAnsi="Calibri"/>
                <w:color w:val="000000"/>
                <w:sz w:val="22"/>
                <w:szCs w:val="22"/>
              </w:rPr>
              <w:t>[31]</w:t>
            </w:r>
          </w:p>
        </w:tc>
        <w:tc>
          <w:tcPr>
            <w:tcW w:w="8164" w:type="dxa"/>
            <w:tcBorders>
              <w:top w:val="nil"/>
              <w:left w:val="nil"/>
              <w:bottom w:val="nil"/>
              <w:right w:val="nil"/>
            </w:tcBorders>
            <w:shd w:val="clear" w:color="auto" w:fill="auto"/>
            <w:noWrap/>
            <w:hideMark/>
          </w:tcPr>
          <w:p w:rsidR="00A904E4" w:rsidRPr="00A904E4" w:rsidRDefault="00A904E4" w:rsidP="00A904E4">
            <w:pPr>
              <w:rPr>
                <w:rFonts w:ascii="Calibri" w:hAnsi="Calibri"/>
                <w:color w:val="000000"/>
                <w:sz w:val="22"/>
                <w:szCs w:val="22"/>
              </w:rPr>
            </w:pPr>
            <w:r w:rsidRPr="00A904E4">
              <w:rPr>
                <w:rFonts w:ascii="Calibri" w:hAnsi="Calibri"/>
                <w:color w:val="000000"/>
                <w:sz w:val="22"/>
                <w:szCs w:val="22"/>
              </w:rPr>
              <w:t>Load Shape Update Initiative - KEMA / JJ Hirsch and Assoc. / Itron Inc. - November 17, 2006</w:t>
            </w:r>
          </w:p>
        </w:tc>
      </w:tr>
      <w:tr w:rsidR="00A904E4" w:rsidRPr="00A904E4" w:rsidTr="00A904E4">
        <w:trPr>
          <w:trHeight w:val="300"/>
        </w:trPr>
        <w:tc>
          <w:tcPr>
            <w:tcW w:w="686" w:type="dxa"/>
            <w:tcBorders>
              <w:top w:val="nil"/>
              <w:left w:val="nil"/>
              <w:bottom w:val="nil"/>
              <w:right w:val="nil"/>
            </w:tcBorders>
            <w:shd w:val="clear" w:color="auto" w:fill="auto"/>
            <w:noWrap/>
            <w:hideMark/>
          </w:tcPr>
          <w:p w:rsidR="00A904E4" w:rsidRPr="00A904E4" w:rsidRDefault="00A904E4" w:rsidP="00A904E4">
            <w:pPr>
              <w:rPr>
                <w:rFonts w:ascii="Calibri" w:hAnsi="Calibri"/>
                <w:color w:val="000000"/>
                <w:sz w:val="22"/>
                <w:szCs w:val="22"/>
              </w:rPr>
            </w:pPr>
            <w:r w:rsidRPr="00A904E4">
              <w:rPr>
                <w:rFonts w:ascii="Calibri" w:hAnsi="Calibri"/>
                <w:color w:val="000000"/>
                <w:sz w:val="22"/>
                <w:szCs w:val="22"/>
              </w:rPr>
              <w:t>[138]</w:t>
            </w:r>
          </w:p>
        </w:tc>
        <w:tc>
          <w:tcPr>
            <w:tcW w:w="8164" w:type="dxa"/>
            <w:tcBorders>
              <w:top w:val="nil"/>
              <w:left w:val="nil"/>
              <w:bottom w:val="nil"/>
              <w:right w:val="nil"/>
            </w:tcBorders>
            <w:shd w:val="clear" w:color="auto" w:fill="auto"/>
            <w:noWrap/>
            <w:hideMark/>
          </w:tcPr>
          <w:p w:rsidR="00A904E4" w:rsidRPr="00A904E4" w:rsidRDefault="00A904E4" w:rsidP="00A904E4">
            <w:pPr>
              <w:rPr>
                <w:rFonts w:ascii="Calibri" w:hAnsi="Calibri"/>
                <w:color w:val="000000"/>
                <w:sz w:val="22"/>
                <w:szCs w:val="22"/>
              </w:rPr>
            </w:pPr>
            <w:r w:rsidRPr="00A904E4">
              <w:rPr>
                <w:rFonts w:ascii="Calibri" w:hAnsi="Calibri"/>
                <w:color w:val="000000"/>
                <w:sz w:val="22"/>
                <w:szCs w:val="22"/>
              </w:rPr>
              <w:t>Commercial Cooking Appliance Technology Assessment</w:t>
            </w:r>
          </w:p>
        </w:tc>
      </w:tr>
      <w:tr w:rsidR="00A904E4" w:rsidRPr="00A904E4" w:rsidTr="00A904E4">
        <w:trPr>
          <w:trHeight w:val="300"/>
        </w:trPr>
        <w:tc>
          <w:tcPr>
            <w:tcW w:w="686" w:type="dxa"/>
            <w:tcBorders>
              <w:top w:val="nil"/>
              <w:left w:val="nil"/>
              <w:bottom w:val="nil"/>
              <w:right w:val="nil"/>
            </w:tcBorders>
            <w:shd w:val="clear" w:color="auto" w:fill="auto"/>
            <w:noWrap/>
            <w:hideMark/>
          </w:tcPr>
          <w:p w:rsidR="00A904E4" w:rsidRPr="00A904E4" w:rsidRDefault="00A904E4" w:rsidP="00A904E4">
            <w:pPr>
              <w:rPr>
                <w:rFonts w:ascii="Calibri" w:hAnsi="Calibri"/>
                <w:color w:val="000000"/>
                <w:sz w:val="22"/>
                <w:szCs w:val="22"/>
              </w:rPr>
            </w:pPr>
            <w:r w:rsidRPr="00A904E4">
              <w:rPr>
                <w:rFonts w:ascii="Calibri" w:hAnsi="Calibri"/>
                <w:color w:val="000000"/>
                <w:sz w:val="22"/>
                <w:szCs w:val="22"/>
              </w:rPr>
              <w:t>[213]</w:t>
            </w:r>
          </w:p>
        </w:tc>
        <w:tc>
          <w:tcPr>
            <w:tcW w:w="8164" w:type="dxa"/>
            <w:tcBorders>
              <w:top w:val="nil"/>
              <w:left w:val="nil"/>
              <w:bottom w:val="nil"/>
              <w:right w:val="nil"/>
            </w:tcBorders>
            <w:shd w:val="clear" w:color="auto" w:fill="auto"/>
            <w:noWrap/>
            <w:hideMark/>
          </w:tcPr>
          <w:p w:rsidR="00A904E4" w:rsidRPr="00A904E4" w:rsidRDefault="00A904E4" w:rsidP="00A904E4">
            <w:pPr>
              <w:rPr>
                <w:rFonts w:ascii="Calibri" w:hAnsi="Calibri"/>
                <w:color w:val="000000"/>
                <w:sz w:val="22"/>
                <w:szCs w:val="22"/>
              </w:rPr>
            </w:pPr>
            <w:r w:rsidRPr="00A904E4">
              <w:rPr>
                <w:rFonts w:ascii="Calibri" w:hAnsi="Calibri"/>
                <w:color w:val="000000"/>
                <w:sz w:val="22"/>
                <w:szCs w:val="22"/>
              </w:rPr>
              <w:t>EUL/RUL Values Provided through Excel Spreadsheet</w:t>
            </w:r>
          </w:p>
        </w:tc>
      </w:tr>
      <w:tr w:rsidR="00A904E4" w:rsidRPr="00A904E4" w:rsidTr="00A904E4">
        <w:trPr>
          <w:trHeight w:val="300"/>
        </w:trPr>
        <w:tc>
          <w:tcPr>
            <w:tcW w:w="686" w:type="dxa"/>
            <w:tcBorders>
              <w:top w:val="nil"/>
              <w:left w:val="nil"/>
              <w:bottom w:val="nil"/>
              <w:right w:val="nil"/>
            </w:tcBorders>
            <w:shd w:val="clear" w:color="auto" w:fill="auto"/>
            <w:noWrap/>
            <w:hideMark/>
          </w:tcPr>
          <w:p w:rsidR="00A904E4" w:rsidRPr="00A904E4" w:rsidRDefault="00A904E4" w:rsidP="00A904E4">
            <w:pPr>
              <w:rPr>
                <w:rFonts w:ascii="Calibri" w:hAnsi="Calibri"/>
                <w:color w:val="000000"/>
                <w:sz w:val="22"/>
                <w:szCs w:val="22"/>
              </w:rPr>
            </w:pPr>
            <w:r w:rsidRPr="00A904E4">
              <w:rPr>
                <w:rFonts w:ascii="Calibri" w:hAnsi="Calibri"/>
                <w:color w:val="000000"/>
                <w:sz w:val="22"/>
                <w:szCs w:val="22"/>
              </w:rPr>
              <w:t>[287]</w:t>
            </w:r>
          </w:p>
        </w:tc>
        <w:tc>
          <w:tcPr>
            <w:tcW w:w="8164" w:type="dxa"/>
            <w:tcBorders>
              <w:top w:val="nil"/>
              <w:left w:val="nil"/>
              <w:bottom w:val="nil"/>
              <w:right w:val="nil"/>
            </w:tcBorders>
            <w:shd w:val="clear" w:color="auto" w:fill="auto"/>
            <w:noWrap/>
            <w:hideMark/>
          </w:tcPr>
          <w:p w:rsidR="00A904E4" w:rsidRPr="00A904E4" w:rsidRDefault="00A904E4" w:rsidP="00A904E4">
            <w:pPr>
              <w:rPr>
                <w:rFonts w:ascii="Calibri" w:hAnsi="Calibri"/>
                <w:color w:val="000000"/>
                <w:sz w:val="22"/>
                <w:szCs w:val="22"/>
              </w:rPr>
            </w:pPr>
            <w:r w:rsidRPr="00A904E4">
              <w:rPr>
                <w:rFonts w:ascii="Calibri" w:hAnsi="Calibri"/>
                <w:color w:val="000000"/>
                <w:sz w:val="22"/>
                <w:szCs w:val="22"/>
              </w:rPr>
              <w:t>Standard Test Method for the Performance of Convection Ovens</w:t>
            </w:r>
          </w:p>
        </w:tc>
      </w:tr>
      <w:tr w:rsidR="00A904E4" w:rsidRPr="00A904E4" w:rsidTr="00A904E4">
        <w:trPr>
          <w:trHeight w:val="300"/>
        </w:trPr>
        <w:tc>
          <w:tcPr>
            <w:tcW w:w="686" w:type="dxa"/>
            <w:tcBorders>
              <w:top w:val="nil"/>
              <w:left w:val="nil"/>
              <w:bottom w:val="nil"/>
              <w:right w:val="nil"/>
            </w:tcBorders>
            <w:shd w:val="clear" w:color="auto" w:fill="auto"/>
            <w:noWrap/>
            <w:hideMark/>
          </w:tcPr>
          <w:p w:rsidR="00A904E4" w:rsidRPr="00A904E4" w:rsidRDefault="00A904E4" w:rsidP="00A904E4">
            <w:pPr>
              <w:rPr>
                <w:rFonts w:ascii="Calibri" w:hAnsi="Calibri"/>
                <w:color w:val="000000"/>
                <w:sz w:val="22"/>
                <w:szCs w:val="22"/>
              </w:rPr>
            </w:pPr>
            <w:r w:rsidRPr="00A904E4">
              <w:rPr>
                <w:rFonts w:ascii="Calibri" w:hAnsi="Calibri"/>
                <w:color w:val="000000"/>
                <w:sz w:val="22"/>
                <w:szCs w:val="22"/>
              </w:rPr>
              <w:t>[351]</w:t>
            </w:r>
          </w:p>
        </w:tc>
        <w:tc>
          <w:tcPr>
            <w:tcW w:w="8164" w:type="dxa"/>
            <w:tcBorders>
              <w:top w:val="nil"/>
              <w:left w:val="nil"/>
              <w:bottom w:val="nil"/>
              <w:right w:val="nil"/>
            </w:tcBorders>
            <w:shd w:val="clear" w:color="auto" w:fill="auto"/>
            <w:noWrap/>
            <w:hideMark/>
          </w:tcPr>
          <w:p w:rsidR="00A904E4" w:rsidRPr="00A904E4" w:rsidRDefault="00A904E4" w:rsidP="00A904E4">
            <w:pPr>
              <w:rPr>
                <w:rFonts w:ascii="Calibri" w:hAnsi="Calibri"/>
                <w:color w:val="000000"/>
                <w:sz w:val="22"/>
                <w:szCs w:val="22"/>
              </w:rPr>
            </w:pPr>
            <w:r w:rsidRPr="00A904E4">
              <w:rPr>
                <w:rFonts w:ascii="Calibri" w:hAnsi="Calibri"/>
                <w:color w:val="000000"/>
                <w:sz w:val="22"/>
                <w:szCs w:val="22"/>
              </w:rPr>
              <w:t>Energy Efficiency Policy Manual-Version 5</w:t>
            </w:r>
          </w:p>
        </w:tc>
      </w:tr>
      <w:tr w:rsidR="00A904E4" w:rsidRPr="00A904E4" w:rsidTr="00A904E4">
        <w:trPr>
          <w:trHeight w:val="300"/>
        </w:trPr>
        <w:tc>
          <w:tcPr>
            <w:tcW w:w="686" w:type="dxa"/>
            <w:tcBorders>
              <w:top w:val="nil"/>
              <w:left w:val="nil"/>
              <w:bottom w:val="nil"/>
              <w:right w:val="nil"/>
            </w:tcBorders>
            <w:shd w:val="clear" w:color="auto" w:fill="auto"/>
            <w:noWrap/>
            <w:hideMark/>
          </w:tcPr>
          <w:p w:rsidR="00A904E4" w:rsidRPr="00A904E4" w:rsidRDefault="00A904E4" w:rsidP="00A904E4">
            <w:pPr>
              <w:rPr>
                <w:rFonts w:ascii="Calibri" w:hAnsi="Calibri"/>
                <w:color w:val="000000"/>
                <w:sz w:val="22"/>
                <w:szCs w:val="22"/>
              </w:rPr>
            </w:pPr>
            <w:r w:rsidRPr="00A904E4">
              <w:rPr>
                <w:rFonts w:ascii="Calibri" w:hAnsi="Calibri"/>
                <w:color w:val="000000"/>
                <w:sz w:val="22"/>
                <w:szCs w:val="22"/>
              </w:rPr>
              <w:t>[422]</w:t>
            </w:r>
          </w:p>
        </w:tc>
        <w:tc>
          <w:tcPr>
            <w:tcW w:w="8164" w:type="dxa"/>
            <w:tcBorders>
              <w:top w:val="nil"/>
              <w:left w:val="nil"/>
              <w:bottom w:val="nil"/>
              <w:right w:val="nil"/>
            </w:tcBorders>
            <w:shd w:val="clear" w:color="auto" w:fill="auto"/>
            <w:noWrap/>
            <w:hideMark/>
          </w:tcPr>
          <w:p w:rsidR="00A904E4" w:rsidRPr="00A904E4" w:rsidRDefault="00A904E4" w:rsidP="00A904E4">
            <w:pPr>
              <w:rPr>
                <w:rFonts w:ascii="Calibri" w:hAnsi="Calibri"/>
                <w:color w:val="000000"/>
                <w:sz w:val="22"/>
                <w:szCs w:val="22"/>
              </w:rPr>
            </w:pPr>
            <w:r w:rsidRPr="00A904E4">
              <w:rPr>
                <w:rFonts w:ascii="Calibri" w:hAnsi="Calibri"/>
                <w:color w:val="000000"/>
                <w:sz w:val="22"/>
                <w:szCs w:val="22"/>
              </w:rPr>
              <w:t>2014 Appliance Efficiency Regulations (Title 20)</w:t>
            </w:r>
          </w:p>
        </w:tc>
      </w:tr>
      <w:tr w:rsidR="00D17EAF" w:rsidRPr="00A904E4" w:rsidTr="00D17EAF">
        <w:trPr>
          <w:trHeight w:val="300"/>
        </w:trPr>
        <w:tc>
          <w:tcPr>
            <w:tcW w:w="686" w:type="dxa"/>
            <w:tcBorders>
              <w:top w:val="nil"/>
              <w:left w:val="nil"/>
              <w:bottom w:val="nil"/>
              <w:right w:val="nil"/>
            </w:tcBorders>
            <w:shd w:val="clear" w:color="auto" w:fill="auto"/>
            <w:noWrap/>
          </w:tcPr>
          <w:p w:rsidR="00D17EAF" w:rsidRDefault="00D17EAF" w:rsidP="00D17EAF">
            <w:pPr>
              <w:rPr>
                <w:rFonts w:ascii="Calibri" w:hAnsi="Calibri"/>
                <w:color w:val="000000"/>
                <w:sz w:val="22"/>
                <w:szCs w:val="22"/>
              </w:rPr>
            </w:pPr>
            <w:r>
              <w:rPr>
                <w:rFonts w:ascii="Calibri" w:hAnsi="Calibri"/>
                <w:color w:val="000000"/>
                <w:sz w:val="22"/>
                <w:szCs w:val="22"/>
              </w:rPr>
              <w:t>[439]</w:t>
            </w:r>
          </w:p>
        </w:tc>
        <w:tc>
          <w:tcPr>
            <w:tcW w:w="8164" w:type="dxa"/>
            <w:tcBorders>
              <w:top w:val="nil"/>
              <w:left w:val="nil"/>
              <w:bottom w:val="nil"/>
              <w:right w:val="nil"/>
            </w:tcBorders>
            <w:shd w:val="clear" w:color="auto" w:fill="auto"/>
            <w:noWrap/>
          </w:tcPr>
          <w:p w:rsidR="00D17EAF" w:rsidRDefault="00D17EAF" w:rsidP="00D17EAF">
            <w:pPr>
              <w:rPr>
                <w:rFonts w:ascii="Calibri" w:hAnsi="Calibri"/>
                <w:color w:val="000000"/>
                <w:sz w:val="22"/>
                <w:szCs w:val="22"/>
              </w:rPr>
            </w:pPr>
            <w:r>
              <w:rPr>
                <w:rFonts w:ascii="Calibri" w:hAnsi="Calibri"/>
                <w:color w:val="000000"/>
                <w:sz w:val="22"/>
                <w:szCs w:val="22"/>
              </w:rPr>
              <w:t>Development and Application of a Uniform Testing Procedure for Convection Ovens</w:t>
            </w:r>
          </w:p>
        </w:tc>
      </w:tr>
    </w:tbl>
    <w:p w:rsidR="00DD3477" w:rsidRPr="00B551A8" w:rsidRDefault="00DD3477" w:rsidP="005015B8">
      <w:pPr>
        <w:rPr>
          <w:rStyle w:val="ReminderChar"/>
          <w:rFonts w:asciiTheme="minorHAnsi" w:hAnsiTheme="minorHAnsi" w:cstheme="minorHAnsi"/>
          <w:i w:val="0"/>
          <w:color w:val="auto"/>
        </w:rPr>
      </w:pPr>
    </w:p>
    <w:p w:rsidR="003E2675" w:rsidRDefault="003E2675" w:rsidP="005015B8">
      <w:pPr>
        <w:rPr>
          <w:rStyle w:val="ReminderChar"/>
          <w:rFonts w:asciiTheme="minorHAnsi" w:hAnsiTheme="minorHAnsi" w:cstheme="minorHAnsi"/>
          <w:i w:val="0"/>
          <w:color w:val="auto"/>
        </w:rPr>
      </w:pPr>
    </w:p>
    <w:p w:rsidR="0018730C" w:rsidRPr="00B551A8" w:rsidRDefault="0018730C" w:rsidP="005015B8">
      <w:pPr>
        <w:rPr>
          <w:rStyle w:val="ReminderChar"/>
          <w:rFonts w:asciiTheme="minorHAnsi" w:hAnsiTheme="minorHAnsi" w:cstheme="minorHAnsi"/>
          <w:i w:val="0"/>
          <w:color w:val="auto"/>
        </w:rPr>
      </w:pPr>
    </w:p>
    <w:p w:rsidR="00D67BCF" w:rsidRPr="00B551A8" w:rsidRDefault="00D67BCF" w:rsidP="009824E9">
      <w:pPr>
        <w:rPr>
          <w:rFonts w:asciiTheme="minorHAnsi" w:hAnsiTheme="minorHAnsi" w:cstheme="minorHAnsi"/>
        </w:rPr>
      </w:pPr>
    </w:p>
    <w:p w:rsidR="005015B8" w:rsidRPr="00B551A8" w:rsidRDefault="005015B8" w:rsidP="009873AE">
      <w:pPr>
        <w:rPr>
          <w:rFonts w:asciiTheme="minorHAnsi" w:hAnsiTheme="minorHAnsi"/>
        </w:rPr>
        <w:sectPr w:rsidR="005015B8" w:rsidRPr="00B551A8" w:rsidSect="00CE69E9">
          <w:pgSz w:w="12240" w:h="15840"/>
          <w:pgMar w:top="1440" w:right="1440" w:bottom="1557" w:left="1440" w:header="720" w:footer="720" w:gutter="0"/>
          <w:pgNumType w:start="1"/>
          <w:cols w:space="720"/>
          <w:docGrid w:linePitch="360"/>
        </w:sectPr>
      </w:pPr>
    </w:p>
    <w:p w:rsidR="009824E9" w:rsidRPr="00B551A8" w:rsidRDefault="009824E9" w:rsidP="009824E9">
      <w:pPr>
        <w:rPr>
          <w:rFonts w:asciiTheme="minorHAnsi" w:hAnsiTheme="minorHAnsi"/>
        </w:rPr>
      </w:pPr>
    </w:p>
    <w:p w:rsidR="009824E9" w:rsidRPr="00B551A8" w:rsidRDefault="009824E9" w:rsidP="009824E9">
      <w:pPr>
        <w:pStyle w:val="Heading1"/>
        <w:rPr>
          <w:rFonts w:asciiTheme="minorHAnsi" w:hAnsiTheme="minorHAnsi" w:cstheme="minorHAnsi"/>
        </w:rPr>
      </w:pPr>
      <w:r w:rsidRPr="00B551A8">
        <w:rPr>
          <w:rFonts w:asciiTheme="minorHAnsi" w:hAnsiTheme="minorHAnsi" w:cstheme="minorHAnsi"/>
        </w:rPr>
        <w:t xml:space="preserve">Appendix </w:t>
      </w:r>
      <w:r w:rsidR="00CE28CF" w:rsidRPr="00B551A8">
        <w:rPr>
          <w:rFonts w:asciiTheme="minorHAnsi" w:hAnsiTheme="minorHAnsi" w:cstheme="minorHAnsi"/>
        </w:rPr>
        <w:t>A</w:t>
      </w:r>
      <w:r w:rsidRPr="00B551A8">
        <w:rPr>
          <w:rFonts w:asciiTheme="minorHAnsi" w:hAnsiTheme="minorHAnsi" w:cstheme="minorHAnsi"/>
        </w:rPr>
        <w:t xml:space="preserve"> – SCE/ED </w:t>
      </w:r>
      <w:r w:rsidR="00CE28CF" w:rsidRPr="00B551A8">
        <w:rPr>
          <w:rFonts w:asciiTheme="minorHAnsi" w:hAnsiTheme="minorHAnsi" w:cstheme="minorHAnsi"/>
        </w:rPr>
        <w:t>Application</w:t>
      </w:r>
      <w:r w:rsidRPr="00B551A8">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B551A8"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SCE Program Type</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ED Application Type</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1</w:t>
            </w:r>
            <w:r w:rsidRPr="00B551A8">
              <w:rPr>
                <w:rFonts w:asciiTheme="minorHAnsi" w:hAnsiTheme="minorHAnsi"/>
                <w:sz w:val="20"/>
                <w:szCs w:val="20"/>
                <w:vertAlign w:val="superscript"/>
              </w:rPr>
              <w:t>st</w:t>
            </w:r>
            <w:r w:rsidRPr="00B551A8">
              <w:rPr>
                <w:rFonts w:asciiTheme="minorHAnsi" w:hAnsiTheme="minorHAnsi"/>
                <w:sz w:val="20"/>
                <w:szCs w:val="20"/>
              </w:rPr>
              <w:t xml:space="preserve"> Baseline Savings</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2</w:t>
            </w:r>
            <w:r w:rsidRPr="00B551A8">
              <w:rPr>
                <w:rFonts w:asciiTheme="minorHAnsi" w:hAnsiTheme="minorHAnsi"/>
                <w:sz w:val="20"/>
                <w:szCs w:val="20"/>
                <w:vertAlign w:val="superscript"/>
              </w:rPr>
              <w:t>nd</w:t>
            </w:r>
            <w:r w:rsidRPr="00B551A8">
              <w:rPr>
                <w:rFonts w:asciiTheme="minorHAnsi" w:hAnsiTheme="minorHAnsi"/>
                <w:sz w:val="20"/>
                <w:szCs w:val="20"/>
              </w:rPr>
              <w:t xml:space="preserve"> Baseline Savings</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1</w:t>
            </w:r>
            <w:r w:rsidRPr="00B551A8">
              <w:rPr>
                <w:rFonts w:asciiTheme="minorHAnsi" w:hAnsiTheme="minorHAnsi"/>
                <w:sz w:val="20"/>
                <w:szCs w:val="20"/>
                <w:vertAlign w:val="superscript"/>
              </w:rPr>
              <w:t>st</w:t>
            </w:r>
            <w:r w:rsidRPr="00B551A8">
              <w:rPr>
                <w:rFonts w:asciiTheme="minorHAnsi" w:hAnsiTheme="minorHAnsi"/>
                <w:sz w:val="20"/>
                <w:szCs w:val="20"/>
              </w:rPr>
              <w:t xml:space="preserve"> Baseline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2</w:t>
            </w:r>
            <w:r w:rsidRPr="00B551A8">
              <w:rPr>
                <w:rFonts w:asciiTheme="minorHAnsi" w:hAnsiTheme="minorHAnsi"/>
                <w:sz w:val="20"/>
                <w:szCs w:val="20"/>
                <w:vertAlign w:val="superscript"/>
              </w:rPr>
              <w:t>nd</w:t>
            </w:r>
            <w:r w:rsidRPr="00B551A8">
              <w:rPr>
                <w:rFonts w:asciiTheme="minorHAnsi" w:hAnsiTheme="minorHAnsi"/>
                <w:sz w:val="20"/>
                <w:szCs w:val="20"/>
              </w:rPr>
              <w:t xml:space="preserve"> Baseline Cost</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1</w:t>
            </w:r>
            <w:r w:rsidRPr="00B551A8">
              <w:rPr>
                <w:rFonts w:asciiTheme="minorHAnsi" w:hAnsiTheme="minorHAnsi"/>
                <w:sz w:val="20"/>
                <w:szCs w:val="20"/>
                <w:vertAlign w:val="superscript"/>
              </w:rPr>
              <w:t>st</w:t>
            </w:r>
            <w:r w:rsidRPr="00B551A8">
              <w:rPr>
                <w:rFonts w:asciiTheme="minorHAnsi" w:hAnsiTheme="minorHAnsi"/>
                <w:sz w:val="20"/>
                <w:szCs w:val="20"/>
              </w:rPr>
              <w:t xml:space="preserve"> Baseline Life</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2</w:t>
            </w:r>
            <w:r w:rsidRPr="00B551A8">
              <w:rPr>
                <w:rFonts w:asciiTheme="minorHAnsi" w:hAnsiTheme="minorHAnsi"/>
                <w:sz w:val="20"/>
                <w:szCs w:val="20"/>
                <w:vertAlign w:val="superscript"/>
              </w:rPr>
              <w:t>nd</w:t>
            </w:r>
            <w:r w:rsidRPr="00B551A8">
              <w:rPr>
                <w:rFonts w:asciiTheme="minorHAnsi" w:hAnsiTheme="minorHAnsi"/>
                <w:sz w:val="20"/>
                <w:szCs w:val="20"/>
              </w:rPr>
              <w:t xml:space="preserve"> Baseline Life</w:t>
            </w:r>
          </w:p>
        </w:tc>
      </w:tr>
      <w:tr w:rsidR="0023254A" w:rsidRPr="00B551A8"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New</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New Construction (Nc)</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Code/Standard</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Incremental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r w:rsidR="0023254A" w:rsidRPr="00B551A8"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Replace on Burnout (ROB)</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Replace on Burnout (Rob)/Normal Replacement (NR)</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Code/Standard</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Incremental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r w:rsidR="0023254A" w:rsidRPr="00B551A8"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Retrofit (RET)</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Early Replacement (ER)</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Cust. Existing</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Code/Standard</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Full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Incremental Cost</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EUL-RUL</w:t>
            </w:r>
          </w:p>
        </w:tc>
      </w:tr>
      <w:tr w:rsidR="0023254A" w:rsidRPr="00B551A8"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Retrofit – First Baseline Only (REF)</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Early Replacement RUL (ErRul)</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Cust. Existing</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Full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r w:rsidR="0023254A" w:rsidRPr="00B551A8"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Retrofit Add-on (REA)</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Cust. Existing</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Full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bl>
    <w:p w:rsidR="00697868" w:rsidRPr="00B551A8" w:rsidRDefault="00697868">
      <w:pPr>
        <w:rPr>
          <w:rFonts w:asciiTheme="minorHAnsi" w:hAnsiTheme="minorHAnsi" w:cstheme="minorHAnsi"/>
        </w:rPr>
      </w:pPr>
    </w:p>
    <w:sectPr w:rsidR="00697868" w:rsidRPr="00B551A8" w:rsidSect="00CE28CF">
      <w:footerReference w:type="default" r:id="rId19"/>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6E9A" w:rsidRDefault="00D26E9A" w:rsidP="00447D6E">
      <w:r>
        <w:separator/>
      </w:r>
    </w:p>
  </w:endnote>
  <w:endnote w:type="continuationSeparator" w:id="0">
    <w:p w:rsidR="00D26E9A" w:rsidRDefault="00D26E9A"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6E9A" w:rsidRPr="009500DC" w:rsidRDefault="00D26E9A" w:rsidP="00447D6E">
    <w:pPr>
      <w:pStyle w:val="Footer"/>
      <w:jc w:val="right"/>
      <w:rPr>
        <w:rFonts w:asciiTheme="minorHAnsi" w:hAnsiTheme="minorHAnsi" w:cstheme="minorHAnsi"/>
      </w:rPr>
    </w:pPr>
    <w:r>
      <w:rPr>
        <w:rFonts w:asciiTheme="minorHAnsi" w:hAnsiTheme="minorHAnsi" w:cstheme="minorHAnsi"/>
        <w:b/>
        <w:sz w:val="36"/>
        <w:szCs w:val="36"/>
      </w:rPr>
      <w:t>June 5,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6E9A" w:rsidRPr="009500DC" w:rsidRDefault="00D26E9A"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SCE13CC011</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584C0C">
      <w:rPr>
        <w:rFonts w:asciiTheme="minorHAnsi" w:hAnsiTheme="minorHAnsi" w:cstheme="minorHAnsi"/>
        <w:b/>
        <w:noProof/>
        <w:sz w:val="20"/>
        <w:szCs w:val="20"/>
      </w:rPr>
      <w:t>8</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5, 2014</w:t>
    </w:r>
  </w:p>
  <w:p w:rsidR="00D26E9A" w:rsidRPr="009500DC" w:rsidRDefault="00D26E9A"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6E9A" w:rsidRPr="009500DC" w:rsidRDefault="00D26E9A"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SCE13CC011</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584C0C">
      <w:rPr>
        <w:rFonts w:asciiTheme="minorHAnsi" w:hAnsiTheme="minorHAnsi" w:cstheme="minorHAnsi"/>
        <w:b/>
        <w:noProof/>
        <w:sz w:val="20"/>
        <w:szCs w:val="20"/>
      </w:rPr>
      <w:t>12</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5, 2014</w:t>
    </w:r>
  </w:p>
  <w:p w:rsidR="00D26E9A" w:rsidRPr="009500DC" w:rsidRDefault="00D26E9A"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6E9A" w:rsidRDefault="00D26E9A" w:rsidP="00447D6E">
      <w:r>
        <w:separator/>
      </w:r>
    </w:p>
  </w:footnote>
  <w:footnote w:type="continuationSeparator" w:id="0">
    <w:p w:rsidR="00D26E9A" w:rsidRDefault="00D26E9A"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836B9"/>
    <w:multiLevelType w:val="hybridMultilevel"/>
    <w:tmpl w:val="0A920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nsid w:val="1A683647"/>
    <w:multiLevelType w:val="hybridMultilevel"/>
    <w:tmpl w:val="F0DCAA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40CD365B"/>
    <w:multiLevelType w:val="hybridMultilevel"/>
    <w:tmpl w:val="0C429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E444023"/>
    <w:multiLevelType w:val="hybridMultilevel"/>
    <w:tmpl w:val="D2B62AE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7F8144C3"/>
    <w:multiLevelType w:val="hybridMultilevel"/>
    <w:tmpl w:val="81CE48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6"/>
  </w:num>
  <w:num w:numId="3">
    <w:abstractNumId w:val="5"/>
  </w:num>
  <w:num w:numId="4">
    <w:abstractNumId w:val="3"/>
  </w:num>
  <w:num w:numId="5">
    <w:abstractNumId w:val="3"/>
  </w:num>
  <w:num w:numId="6">
    <w:abstractNumId w:val="1"/>
  </w:num>
  <w:num w:numId="7">
    <w:abstractNumId w:val="7"/>
  </w:num>
  <w:num w:numId="8">
    <w:abstractNumId w:val="4"/>
  </w:num>
  <w:num w:numId="9">
    <w:abstractNumId w:val="0"/>
  </w:num>
  <w:num w:numId="10">
    <w:abstractNumId w:val="2"/>
  </w:num>
  <w:num w:numId="11">
    <w:abstractNumId w:val="10"/>
  </w:num>
  <w:num w:numId="12">
    <w:abstractNumId w:val="9"/>
  </w:num>
  <w:num w:numId="13">
    <w:abstractNumId w:val="9"/>
  </w:num>
  <w:num w:numId="14">
    <w:abstractNumId w:val="8"/>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2485"/>
    <w:rsid w:val="00005902"/>
    <w:rsid w:val="00027183"/>
    <w:rsid w:val="00033EA1"/>
    <w:rsid w:val="00056947"/>
    <w:rsid w:val="00076DF4"/>
    <w:rsid w:val="0009074D"/>
    <w:rsid w:val="000944EC"/>
    <w:rsid w:val="0009592B"/>
    <w:rsid w:val="000968C6"/>
    <w:rsid w:val="000A63C9"/>
    <w:rsid w:val="000C0000"/>
    <w:rsid w:val="000C18CC"/>
    <w:rsid w:val="000F130A"/>
    <w:rsid w:val="00107242"/>
    <w:rsid w:val="0011212F"/>
    <w:rsid w:val="001125FB"/>
    <w:rsid w:val="001206F7"/>
    <w:rsid w:val="00132DBD"/>
    <w:rsid w:val="00147155"/>
    <w:rsid w:val="00153CB3"/>
    <w:rsid w:val="00165357"/>
    <w:rsid w:val="00177166"/>
    <w:rsid w:val="001811EE"/>
    <w:rsid w:val="00185B44"/>
    <w:rsid w:val="0018730C"/>
    <w:rsid w:val="001A0EB4"/>
    <w:rsid w:val="001A5C35"/>
    <w:rsid w:val="001A5F62"/>
    <w:rsid w:val="001B618B"/>
    <w:rsid w:val="001C4140"/>
    <w:rsid w:val="001C5A94"/>
    <w:rsid w:val="001E0829"/>
    <w:rsid w:val="001E18BE"/>
    <w:rsid w:val="001E53D0"/>
    <w:rsid w:val="001F05CE"/>
    <w:rsid w:val="001F39EC"/>
    <w:rsid w:val="001F4A65"/>
    <w:rsid w:val="002143FB"/>
    <w:rsid w:val="0022316B"/>
    <w:rsid w:val="0023254A"/>
    <w:rsid w:val="00240B74"/>
    <w:rsid w:val="0026221B"/>
    <w:rsid w:val="00274FBE"/>
    <w:rsid w:val="002762E1"/>
    <w:rsid w:val="002811BC"/>
    <w:rsid w:val="00283DE8"/>
    <w:rsid w:val="00285966"/>
    <w:rsid w:val="00290ED8"/>
    <w:rsid w:val="002A3D26"/>
    <w:rsid w:val="002B1ADF"/>
    <w:rsid w:val="002C444C"/>
    <w:rsid w:val="002C6C7A"/>
    <w:rsid w:val="002F03E5"/>
    <w:rsid w:val="002F1437"/>
    <w:rsid w:val="002F3943"/>
    <w:rsid w:val="002F7C28"/>
    <w:rsid w:val="0030363A"/>
    <w:rsid w:val="0031434B"/>
    <w:rsid w:val="00317EB0"/>
    <w:rsid w:val="003225E4"/>
    <w:rsid w:val="00332700"/>
    <w:rsid w:val="00344029"/>
    <w:rsid w:val="00345D80"/>
    <w:rsid w:val="003471D4"/>
    <w:rsid w:val="003560BA"/>
    <w:rsid w:val="00374665"/>
    <w:rsid w:val="003832D2"/>
    <w:rsid w:val="003B4596"/>
    <w:rsid w:val="003D2871"/>
    <w:rsid w:val="003D5B83"/>
    <w:rsid w:val="003E2675"/>
    <w:rsid w:val="003E6E47"/>
    <w:rsid w:val="003F0623"/>
    <w:rsid w:val="004067C9"/>
    <w:rsid w:val="00411693"/>
    <w:rsid w:val="00413CDB"/>
    <w:rsid w:val="004200FE"/>
    <w:rsid w:val="00421183"/>
    <w:rsid w:val="00441957"/>
    <w:rsid w:val="00442987"/>
    <w:rsid w:val="00443D32"/>
    <w:rsid w:val="00447CE5"/>
    <w:rsid w:val="00447D6E"/>
    <w:rsid w:val="0046286E"/>
    <w:rsid w:val="00471234"/>
    <w:rsid w:val="00476636"/>
    <w:rsid w:val="00477522"/>
    <w:rsid w:val="00493457"/>
    <w:rsid w:val="00494628"/>
    <w:rsid w:val="004B4A3A"/>
    <w:rsid w:val="004C23F1"/>
    <w:rsid w:val="004D0D16"/>
    <w:rsid w:val="004D145C"/>
    <w:rsid w:val="004E01F5"/>
    <w:rsid w:val="004E76CA"/>
    <w:rsid w:val="004F18CC"/>
    <w:rsid w:val="005015B8"/>
    <w:rsid w:val="0051020F"/>
    <w:rsid w:val="00516BFF"/>
    <w:rsid w:val="00517A38"/>
    <w:rsid w:val="00534E2F"/>
    <w:rsid w:val="00560934"/>
    <w:rsid w:val="00560A6D"/>
    <w:rsid w:val="00564960"/>
    <w:rsid w:val="0057341F"/>
    <w:rsid w:val="005734A4"/>
    <w:rsid w:val="00584C0C"/>
    <w:rsid w:val="005966A5"/>
    <w:rsid w:val="005A0E53"/>
    <w:rsid w:val="005A1078"/>
    <w:rsid w:val="005B28C1"/>
    <w:rsid w:val="005B4036"/>
    <w:rsid w:val="005C2E48"/>
    <w:rsid w:val="005D4DD7"/>
    <w:rsid w:val="005D7A87"/>
    <w:rsid w:val="005E12A9"/>
    <w:rsid w:val="00602799"/>
    <w:rsid w:val="00612041"/>
    <w:rsid w:val="00636828"/>
    <w:rsid w:val="006404E6"/>
    <w:rsid w:val="00647ABE"/>
    <w:rsid w:val="0065778A"/>
    <w:rsid w:val="00664B05"/>
    <w:rsid w:val="00665448"/>
    <w:rsid w:val="00670049"/>
    <w:rsid w:val="00680748"/>
    <w:rsid w:val="0068394F"/>
    <w:rsid w:val="00685651"/>
    <w:rsid w:val="00695DE8"/>
    <w:rsid w:val="00697868"/>
    <w:rsid w:val="006A055F"/>
    <w:rsid w:val="006A5293"/>
    <w:rsid w:val="006B0DF3"/>
    <w:rsid w:val="006B4A48"/>
    <w:rsid w:val="006C430A"/>
    <w:rsid w:val="006D2809"/>
    <w:rsid w:val="006E3342"/>
    <w:rsid w:val="006E4B12"/>
    <w:rsid w:val="007048AC"/>
    <w:rsid w:val="00733C7D"/>
    <w:rsid w:val="00740761"/>
    <w:rsid w:val="00745F77"/>
    <w:rsid w:val="00764D0D"/>
    <w:rsid w:val="007754FE"/>
    <w:rsid w:val="007933F1"/>
    <w:rsid w:val="00797F91"/>
    <w:rsid w:val="007B1E34"/>
    <w:rsid w:val="007E43F8"/>
    <w:rsid w:val="007E656B"/>
    <w:rsid w:val="007F50E8"/>
    <w:rsid w:val="007F7FBA"/>
    <w:rsid w:val="00800319"/>
    <w:rsid w:val="00801F7F"/>
    <w:rsid w:val="0081052E"/>
    <w:rsid w:val="00813641"/>
    <w:rsid w:val="0081490E"/>
    <w:rsid w:val="00824F1C"/>
    <w:rsid w:val="00863762"/>
    <w:rsid w:val="00874177"/>
    <w:rsid w:val="00880F45"/>
    <w:rsid w:val="00881A42"/>
    <w:rsid w:val="00885359"/>
    <w:rsid w:val="00885E0A"/>
    <w:rsid w:val="0088603B"/>
    <w:rsid w:val="00893FC3"/>
    <w:rsid w:val="0089577B"/>
    <w:rsid w:val="008C2E0E"/>
    <w:rsid w:val="008C7421"/>
    <w:rsid w:val="008E17CC"/>
    <w:rsid w:val="008E7177"/>
    <w:rsid w:val="008F33B4"/>
    <w:rsid w:val="0090077A"/>
    <w:rsid w:val="009138A0"/>
    <w:rsid w:val="00922B85"/>
    <w:rsid w:val="009268EB"/>
    <w:rsid w:val="0093164F"/>
    <w:rsid w:val="009500DC"/>
    <w:rsid w:val="00951923"/>
    <w:rsid w:val="00972C81"/>
    <w:rsid w:val="009824E9"/>
    <w:rsid w:val="009873AE"/>
    <w:rsid w:val="00993A40"/>
    <w:rsid w:val="00995CB0"/>
    <w:rsid w:val="00997E77"/>
    <w:rsid w:val="009A2734"/>
    <w:rsid w:val="009A4E36"/>
    <w:rsid w:val="009B2C67"/>
    <w:rsid w:val="009B5256"/>
    <w:rsid w:val="009B5B7B"/>
    <w:rsid w:val="009C1777"/>
    <w:rsid w:val="009C2C86"/>
    <w:rsid w:val="009C6AEC"/>
    <w:rsid w:val="009D0753"/>
    <w:rsid w:val="009D6043"/>
    <w:rsid w:val="009E0293"/>
    <w:rsid w:val="009E1802"/>
    <w:rsid w:val="009E1CDE"/>
    <w:rsid w:val="009E51E2"/>
    <w:rsid w:val="009F7A61"/>
    <w:rsid w:val="00A11917"/>
    <w:rsid w:val="00A11C16"/>
    <w:rsid w:val="00A1423E"/>
    <w:rsid w:val="00A2134C"/>
    <w:rsid w:val="00A4321C"/>
    <w:rsid w:val="00A500D6"/>
    <w:rsid w:val="00A62783"/>
    <w:rsid w:val="00A83D2F"/>
    <w:rsid w:val="00A84127"/>
    <w:rsid w:val="00A86DA2"/>
    <w:rsid w:val="00A904E4"/>
    <w:rsid w:val="00AA5ECC"/>
    <w:rsid w:val="00AA62E2"/>
    <w:rsid w:val="00AB21F5"/>
    <w:rsid w:val="00AB3386"/>
    <w:rsid w:val="00AB7554"/>
    <w:rsid w:val="00AC2E15"/>
    <w:rsid w:val="00AC5309"/>
    <w:rsid w:val="00AC7E3A"/>
    <w:rsid w:val="00AD4DD0"/>
    <w:rsid w:val="00AF6342"/>
    <w:rsid w:val="00B053FB"/>
    <w:rsid w:val="00B07EE5"/>
    <w:rsid w:val="00B26778"/>
    <w:rsid w:val="00B26B83"/>
    <w:rsid w:val="00B32479"/>
    <w:rsid w:val="00B403ED"/>
    <w:rsid w:val="00B43AAF"/>
    <w:rsid w:val="00B47E27"/>
    <w:rsid w:val="00B52E6B"/>
    <w:rsid w:val="00B551A8"/>
    <w:rsid w:val="00B6061C"/>
    <w:rsid w:val="00B75449"/>
    <w:rsid w:val="00B866B4"/>
    <w:rsid w:val="00BA590A"/>
    <w:rsid w:val="00BB0B39"/>
    <w:rsid w:val="00BB5F75"/>
    <w:rsid w:val="00BD3931"/>
    <w:rsid w:val="00BD5B88"/>
    <w:rsid w:val="00BD6511"/>
    <w:rsid w:val="00C03127"/>
    <w:rsid w:val="00C11F79"/>
    <w:rsid w:val="00C12B80"/>
    <w:rsid w:val="00C24D03"/>
    <w:rsid w:val="00C25E61"/>
    <w:rsid w:val="00C5179F"/>
    <w:rsid w:val="00C54EFF"/>
    <w:rsid w:val="00C72B8B"/>
    <w:rsid w:val="00CA2AB4"/>
    <w:rsid w:val="00CB0100"/>
    <w:rsid w:val="00CE28CF"/>
    <w:rsid w:val="00CE30C7"/>
    <w:rsid w:val="00CE4D61"/>
    <w:rsid w:val="00CE5BEB"/>
    <w:rsid w:val="00CE69E9"/>
    <w:rsid w:val="00CF03B2"/>
    <w:rsid w:val="00CF7C92"/>
    <w:rsid w:val="00D17EAF"/>
    <w:rsid w:val="00D25074"/>
    <w:rsid w:val="00D26E9A"/>
    <w:rsid w:val="00D36798"/>
    <w:rsid w:val="00D615B0"/>
    <w:rsid w:val="00D67BCF"/>
    <w:rsid w:val="00D7380B"/>
    <w:rsid w:val="00D75D77"/>
    <w:rsid w:val="00D765EC"/>
    <w:rsid w:val="00DA11A0"/>
    <w:rsid w:val="00DA690B"/>
    <w:rsid w:val="00DA7225"/>
    <w:rsid w:val="00DD3477"/>
    <w:rsid w:val="00DE73FE"/>
    <w:rsid w:val="00DF2EE9"/>
    <w:rsid w:val="00DF5A5D"/>
    <w:rsid w:val="00E07752"/>
    <w:rsid w:val="00E16609"/>
    <w:rsid w:val="00E16F08"/>
    <w:rsid w:val="00E233F3"/>
    <w:rsid w:val="00E23679"/>
    <w:rsid w:val="00E246BC"/>
    <w:rsid w:val="00E25B33"/>
    <w:rsid w:val="00E37F72"/>
    <w:rsid w:val="00E42A30"/>
    <w:rsid w:val="00E70DB1"/>
    <w:rsid w:val="00E81F3E"/>
    <w:rsid w:val="00E859BD"/>
    <w:rsid w:val="00E96759"/>
    <w:rsid w:val="00E96E8D"/>
    <w:rsid w:val="00EB34FC"/>
    <w:rsid w:val="00EB7171"/>
    <w:rsid w:val="00EB76E1"/>
    <w:rsid w:val="00EC11B9"/>
    <w:rsid w:val="00EC2C76"/>
    <w:rsid w:val="00EF5416"/>
    <w:rsid w:val="00F0485C"/>
    <w:rsid w:val="00F06CCF"/>
    <w:rsid w:val="00F20DCF"/>
    <w:rsid w:val="00F25CAF"/>
    <w:rsid w:val="00F43BA6"/>
    <w:rsid w:val="00F46AB7"/>
    <w:rsid w:val="00F4752B"/>
    <w:rsid w:val="00F51A6A"/>
    <w:rsid w:val="00F56792"/>
    <w:rsid w:val="00F60E32"/>
    <w:rsid w:val="00F70A02"/>
    <w:rsid w:val="00F7242E"/>
    <w:rsid w:val="00F76E7A"/>
    <w:rsid w:val="00FC0712"/>
    <w:rsid w:val="00FC6EDF"/>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A4321C"/>
    <w:rPr>
      <w:sz w:val="20"/>
      <w:szCs w:val="20"/>
    </w:rPr>
  </w:style>
  <w:style w:type="character" w:customStyle="1" w:styleId="EndnoteTextChar">
    <w:name w:val="Endnote Text Char"/>
    <w:basedOn w:val="DefaultParagraphFont"/>
    <w:link w:val="EndnoteText"/>
    <w:rsid w:val="00A4321C"/>
    <w:rPr>
      <w:rFonts w:ascii="Times New Roman" w:eastAsia="Times New Roman" w:hAnsi="Times New Roman" w:cs="Times New Roman"/>
      <w:sz w:val="20"/>
      <w:szCs w:val="20"/>
    </w:rPr>
  </w:style>
  <w:style w:type="character" w:styleId="EndnoteReference">
    <w:name w:val="endnote reference"/>
    <w:uiPriority w:val="99"/>
    <w:semiHidden/>
    <w:rsid w:val="00A4321C"/>
    <w:rPr>
      <w:vertAlign w:val="superscript"/>
    </w:rPr>
  </w:style>
  <w:style w:type="paragraph" w:styleId="BodyText">
    <w:name w:val="Body Text"/>
    <w:basedOn w:val="Normal"/>
    <w:link w:val="BodyTextChar"/>
    <w:semiHidden/>
    <w:rsid w:val="00AA5ECC"/>
    <w:rPr>
      <w:sz w:val="18"/>
      <w:szCs w:val="18"/>
    </w:rPr>
  </w:style>
  <w:style w:type="character" w:customStyle="1" w:styleId="BodyTextChar">
    <w:name w:val="Body Text Char"/>
    <w:basedOn w:val="DefaultParagraphFont"/>
    <w:link w:val="BodyText"/>
    <w:semiHidden/>
    <w:rsid w:val="00AA5ECC"/>
    <w:rPr>
      <w:rFonts w:ascii="Times New Roman" w:eastAsia="Times New Roman" w:hAnsi="Times New Roman" w:cs="Times New Roman"/>
      <w:sz w:val="18"/>
      <w:szCs w:val="18"/>
    </w:rPr>
  </w:style>
  <w:style w:type="paragraph" w:customStyle="1" w:styleId="Table">
    <w:name w:val="Table"/>
    <w:basedOn w:val="Header"/>
    <w:rsid w:val="00AA5ECC"/>
    <w:pPr>
      <w:tabs>
        <w:tab w:val="clear" w:pos="4680"/>
        <w:tab w:val="clear" w:pos="9360"/>
        <w:tab w:val="center" w:pos="4320"/>
        <w:tab w:val="right" w:pos="8640"/>
      </w:tabs>
    </w:pPr>
    <w:rPr>
      <w:rFonts w:ascii="Arial" w:hAnsi="Arial" w:cs="Arial"/>
      <w:b/>
      <w:bCs/>
      <w:sz w:val="22"/>
    </w:rPr>
  </w:style>
  <w:style w:type="paragraph" w:customStyle="1" w:styleId="NormalParagraph">
    <w:name w:val="Normal Paragraph"/>
    <w:basedOn w:val="Normal"/>
    <w:rsid w:val="009C6AEC"/>
    <w:pPr>
      <w:spacing w:after="240"/>
    </w:pPr>
  </w:style>
  <w:style w:type="paragraph" w:styleId="ListParagraph">
    <w:name w:val="List Paragraph"/>
    <w:basedOn w:val="Normal"/>
    <w:uiPriority w:val="34"/>
    <w:qFormat/>
    <w:rsid w:val="00185B4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A4321C"/>
    <w:rPr>
      <w:sz w:val="20"/>
      <w:szCs w:val="20"/>
    </w:rPr>
  </w:style>
  <w:style w:type="character" w:customStyle="1" w:styleId="EndnoteTextChar">
    <w:name w:val="Endnote Text Char"/>
    <w:basedOn w:val="DefaultParagraphFont"/>
    <w:link w:val="EndnoteText"/>
    <w:rsid w:val="00A4321C"/>
    <w:rPr>
      <w:rFonts w:ascii="Times New Roman" w:eastAsia="Times New Roman" w:hAnsi="Times New Roman" w:cs="Times New Roman"/>
      <w:sz w:val="20"/>
      <w:szCs w:val="20"/>
    </w:rPr>
  </w:style>
  <w:style w:type="character" w:styleId="EndnoteReference">
    <w:name w:val="endnote reference"/>
    <w:uiPriority w:val="99"/>
    <w:semiHidden/>
    <w:rsid w:val="00A4321C"/>
    <w:rPr>
      <w:vertAlign w:val="superscript"/>
    </w:rPr>
  </w:style>
  <w:style w:type="paragraph" w:styleId="BodyText">
    <w:name w:val="Body Text"/>
    <w:basedOn w:val="Normal"/>
    <w:link w:val="BodyTextChar"/>
    <w:semiHidden/>
    <w:rsid w:val="00AA5ECC"/>
    <w:rPr>
      <w:sz w:val="18"/>
      <w:szCs w:val="18"/>
    </w:rPr>
  </w:style>
  <w:style w:type="character" w:customStyle="1" w:styleId="BodyTextChar">
    <w:name w:val="Body Text Char"/>
    <w:basedOn w:val="DefaultParagraphFont"/>
    <w:link w:val="BodyText"/>
    <w:semiHidden/>
    <w:rsid w:val="00AA5ECC"/>
    <w:rPr>
      <w:rFonts w:ascii="Times New Roman" w:eastAsia="Times New Roman" w:hAnsi="Times New Roman" w:cs="Times New Roman"/>
      <w:sz w:val="18"/>
      <w:szCs w:val="18"/>
    </w:rPr>
  </w:style>
  <w:style w:type="paragraph" w:customStyle="1" w:styleId="Table">
    <w:name w:val="Table"/>
    <w:basedOn w:val="Header"/>
    <w:rsid w:val="00AA5ECC"/>
    <w:pPr>
      <w:tabs>
        <w:tab w:val="clear" w:pos="4680"/>
        <w:tab w:val="clear" w:pos="9360"/>
        <w:tab w:val="center" w:pos="4320"/>
        <w:tab w:val="right" w:pos="8640"/>
      </w:tabs>
    </w:pPr>
    <w:rPr>
      <w:rFonts w:ascii="Arial" w:hAnsi="Arial" w:cs="Arial"/>
      <w:b/>
      <w:bCs/>
      <w:sz w:val="22"/>
    </w:rPr>
  </w:style>
  <w:style w:type="paragraph" w:customStyle="1" w:styleId="NormalParagraph">
    <w:name w:val="Normal Paragraph"/>
    <w:basedOn w:val="Normal"/>
    <w:rsid w:val="009C6AEC"/>
    <w:pPr>
      <w:spacing w:after="240"/>
    </w:pPr>
  </w:style>
  <w:style w:type="paragraph" w:styleId="ListParagraph">
    <w:name w:val="List Paragraph"/>
    <w:basedOn w:val="Normal"/>
    <w:uiPriority w:val="34"/>
    <w:qFormat/>
    <w:rsid w:val="00185B4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329164">
      <w:bodyDiv w:val="1"/>
      <w:marLeft w:val="0"/>
      <w:marRight w:val="0"/>
      <w:marTop w:val="0"/>
      <w:marBottom w:val="0"/>
      <w:divBdr>
        <w:top w:val="none" w:sz="0" w:space="0" w:color="auto"/>
        <w:left w:val="none" w:sz="0" w:space="0" w:color="auto"/>
        <w:bottom w:val="none" w:sz="0" w:space="0" w:color="auto"/>
        <w:right w:val="none" w:sz="0" w:space="0" w:color="auto"/>
      </w:divBdr>
    </w:div>
    <w:div w:id="108594454">
      <w:bodyDiv w:val="1"/>
      <w:marLeft w:val="0"/>
      <w:marRight w:val="0"/>
      <w:marTop w:val="0"/>
      <w:marBottom w:val="0"/>
      <w:divBdr>
        <w:top w:val="none" w:sz="0" w:space="0" w:color="auto"/>
        <w:left w:val="none" w:sz="0" w:space="0" w:color="auto"/>
        <w:bottom w:val="none" w:sz="0" w:space="0" w:color="auto"/>
        <w:right w:val="none" w:sz="0" w:space="0" w:color="auto"/>
      </w:divBdr>
    </w:div>
    <w:div w:id="199901674">
      <w:bodyDiv w:val="1"/>
      <w:marLeft w:val="0"/>
      <w:marRight w:val="0"/>
      <w:marTop w:val="0"/>
      <w:marBottom w:val="0"/>
      <w:divBdr>
        <w:top w:val="none" w:sz="0" w:space="0" w:color="auto"/>
        <w:left w:val="none" w:sz="0" w:space="0" w:color="auto"/>
        <w:bottom w:val="none" w:sz="0" w:space="0" w:color="auto"/>
        <w:right w:val="none" w:sz="0" w:space="0" w:color="auto"/>
      </w:divBdr>
    </w:div>
    <w:div w:id="201329946">
      <w:bodyDiv w:val="1"/>
      <w:marLeft w:val="0"/>
      <w:marRight w:val="0"/>
      <w:marTop w:val="0"/>
      <w:marBottom w:val="0"/>
      <w:divBdr>
        <w:top w:val="none" w:sz="0" w:space="0" w:color="auto"/>
        <w:left w:val="none" w:sz="0" w:space="0" w:color="auto"/>
        <w:bottom w:val="none" w:sz="0" w:space="0" w:color="auto"/>
        <w:right w:val="none" w:sz="0" w:space="0" w:color="auto"/>
      </w:divBdr>
    </w:div>
    <w:div w:id="204369967">
      <w:bodyDiv w:val="1"/>
      <w:marLeft w:val="0"/>
      <w:marRight w:val="0"/>
      <w:marTop w:val="0"/>
      <w:marBottom w:val="0"/>
      <w:divBdr>
        <w:top w:val="none" w:sz="0" w:space="0" w:color="auto"/>
        <w:left w:val="none" w:sz="0" w:space="0" w:color="auto"/>
        <w:bottom w:val="none" w:sz="0" w:space="0" w:color="auto"/>
        <w:right w:val="none" w:sz="0" w:space="0" w:color="auto"/>
      </w:divBdr>
    </w:div>
    <w:div w:id="228003984">
      <w:bodyDiv w:val="1"/>
      <w:marLeft w:val="0"/>
      <w:marRight w:val="0"/>
      <w:marTop w:val="0"/>
      <w:marBottom w:val="0"/>
      <w:divBdr>
        <w:top w:val="none" w:sz="0" w:space="0" w:color="auto"/>
        <w:left w:val="none" w:sz="0" w:space="0" w:color="auto"/>
        <w:bottom w:val="none" w:sz="0" w:space="0" w:color="auto"/>
        <w:right w:val="none" w:sz="0" w:space="0" w:color="auto"/>
      </w:divBdr>
    </w:div>
    <w:div w:id="257106739">
      <w:bodyDiv w:val="1"/>
      <w:marLeft w:val="0"/>
      <w:marRight w:val="0"/>
      <w:marTop w:val="0"/>
      <w:marBottom w:val="0"/>
      <w:divBdr>
        <w:top w:val="none" w:sz="0" w:space="0" w:color="auto"/>
        <w:left w:val="none" w:sz="0" w:space="0" w:color="auto"/>
        <w:bottom w:val="none" w:sz="0" w:space="0" w:color="auto"/>
        <w:right w:val="none" w:sz="0" w:space="0" w:color="auto"/>
      </w:divBdr>
    </w:div>
    <w:div w:id="313607180">
      <w:bodyDiv w:val="1"/>
      <w:marLeft w:val="0"/>
      <w:marRight w:val="0"/>
      <w:marTop w:val="0"/>
      <w:marBottom w:val="0"/>
      <w:divBdr>
        <w:top w:val="none" w:sz="0" w:space="0" w:color="auto"/>
        <w:left w:val="none" w:sz="0" w:space="0" w:color="auto"/>
        <w:bottom w:val="none" w:sz="0" w:space="0" w:color="auto"/>
        <w:right w:val="none" w:sz="0" w:space="0" w:color="auto"/>
      </w:divBdr>
    </w:div>
    <w:div w:id="565065912">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10489054">
      <w:bodyDiv w:val="1"/>
      <w:marLeft w:val="0"/>
      <w:marRight w:val="0"/>
      <w:marTop w:val="0"/>
      <w:marBottom w:val="0"/>
      <w:divBdr>
        <w:top w:val="none" w:sz="0" w:space="0" w:color="auto"/>
        <w:left w:val="none" w:sz="0" w:space="0" w:color="auto"/>
        <w:bottom w:val="none" w:sz="0" w:space="0" w:color="auto"/>
        <w:right w:val="none" w:sz="0" w:space="0" w:color="auto"/>
      </w:divBdr>
    </w:div>
    <w:div w:id="842597106">
      <w:bodyDiv w:val="1"/>
      <w:marLeft w:val="0"/>
      <w:marRight w:val="0"/>
      <w:marTop w:val="0"/>
      <w:marBottom w:val="0"/>
      <w:divBdr>
        <w:top w:val="none" w:sz="0" w:space="0" w:color="auto"/>
        <w:left w:val="none" w:sz="0" w:space="0" w:color="auto"/>
        <w:bottom w:val="none" w:sz="0" w:space="0" w:color="auto"/>
        <w:right w:val="none" w:sz="0" w:space="0" w:color="auto"/>
      </w:divBdr>
    </w:div>
    <w:div w:id="938295097">
      <w:bodyDiv w:val="1"/>
      <w:marLeft w:val="0"/>
      <w:marRight w:val="0"/>
      <w:marTop w:val="0"/>
      <w:marBottom w:val="0"/>
      <w:divBdr>
        <w:top w:val="none" w:sz="0" w:space="0" w:color="auto"/>
        <w:left w:val="none" w:sz="0" w:space="0" w:color="auto"/>
        <w:bottom w:val="none" w:sz="0" w:space="0" w:color="auto"/>
        <w:right w:val="none" w:sz="0" w:space="0" w:color="auto"/>
      </w:divBdr>
    </w:div>
    <w:div w:id="992217158">
      <w:bodyDiv w:val="1"/>
      <w:marLeft w:val="0"/>
      <w:marRight w:val="0"/>
      <w:marTop w:val="0"/>
      <w:marBottom w:val="0"/>
      <w:divBdr>
        <w:top w:val="none" w:sz="0" w:space="0" w:color="auto"/>
        <w:left w:val="none" w:sz="0" w:space="0" w:color="auto"/>
        <w:bottom w:val="none" w:sz="0" w:space="0" w:color="auto"/>
        <w:right w:val="none" w:sz="0" w:space="0" w:color="auto"/>
      </w:divBdr>
    </w:div>
    <w:div w:id="1019359186">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52391465">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97618792">
      <w:bodyDiv w:val="1"/>
      <w:marLeft w:val="0"/>
      <w:marRight w:val="0"/>
      <w:marTop w:val="0"/>
      <w:marBottom w:val="0"/>
      <w:divBdr>
        <w:top w:val="none" w:sz="0" w:space="0" w:color="auto"/>
        <w:left w:val="none" w:sz="0" w:space="0" w:color="auto"/>
        <w:bottom w:val="none" w:sz="0" w:space="0" w:color="auto"/>
        <w:right w:val="none" w:sz="0" w:space="0" w:color="auto"/>
      </w:divBdr>
    </w:div>
    <w:div w:id="1293487047">
      <w:bodyDiv w:val="1"/>
      <w:marLeft w:val="0"/>
      <w:marRight w:val="0"/>
      <w:marTop w:val="0"/>
      <w:marBottom w:val="0"/>
      <w:divBdr>
        <w:top w:val="none" w:sz="0" w:space="0" w:color="auto"/>
        <w:left w:val="none" w:sz="0" w:space="0" w:color="auto"/>
        <w:bottom w:val="none" w:sz="0" w:space="0" w:color="auto"/>
        <w:right w:val="none" w:sz="0" w:space="0" w:color="auto"/>
      </w:divBdr>
    </w:div>
    <w:div w:id="1306742827">
      <w:bodyDiv w:val="1"/>
      <w:marLeft w:val="0"/>
      <w:marRight w:val="0"/>
      <w:marTop w:val="0"/>
      <w:marBottom w:val="0"/>
      <w:divBdr>
        <w:top w:val="none" w:sz="0" w:space="0" w:color="auto"/>
        <w:left w:val="none" w:sz="0" w:space="0" w:color="auto"/>
        <w:bottom w:val="none" w:sz="0" w:space="0" w:color="auto"/>
        <w:right w:val="none" w:sz="0" w:space="0" w:color="auto"/>
      </w:divBdr>
    </w:div>
    <w:div w:id="1392197250">
      <w:bodyDiv w:val="1"/>
      <w:marLeft w:val="0"/>
      <w:marRight w:val="0"/>
      <w:marTop w:val="0"/>
      <w:marBottom w:val="0"/>
      <w:divBdr>
        <w:top w:val="none" w:sz="0" w:space="0" w:color="auto"/>
        <w:left w:val="none" w:sz="0" w:space="0" w:color="auto"/>
        <w:bottom w:val="none" w:sz="0" w:space="0" w:color="auto"/>
        <w:right w:val="none" w:sz="0" w:space="0" w:color="auto"/>
      </w:divBdr>
    </w:div>
    <w:div w:id="1424184085">
      <w:bodyDiv w:val="1"/>
      <w:marLeft w:val="0"/>
      <w:marRight w:val="0"/>
      <w:marTop w:val="0"/>
      <w:marBottom w:val="0"/>
      <w:divBdr>
        <w:top w:val="none" w:sz="0" w:space="0" w:color="auto"/>
        <w:left w:val="none" w:sz="0" w:space="0" w:color="auto"/>
        <w:bottom w:val="none" w:sz="0" w:space="0" w:color="auto"/>
        <w:right w:val="none" w:sz="0" w:space="0" w:color="auto"/>
      </w:divBdr>
    </w:div>
    <w:div w:id="1483544652">
      <w:bodyDiv w:val="1"/>
      <w:marLeft w:val="0"/>
      <w:marRight w:val="0"/>
      <w:marTop w:val="0"/>
      <w:marBottom w:val="0"/>
      <w:divBdr>
        <w:top w:val="none" w:sz="0" w:space="0" w:color="auto"/>
        <w:left w:val="none" w:sz="0" w:space="0" w:color="auto"/>
        <w:bottom w:val="none" w:sz="0" w:space="0" w:color="auto"/>
        <w:right w:val="none" w:sz="0" w:space="0" w:color="auto"/>
      </w:divBdr>
    </w:div>
    <w:div w:id="1694305701">
      <w:bodyDiv w:val="1"/>
      <w:marLeft w:val="0"/>
      <w:marRight w:val="0"/>
      <w:marTop w:val="0"/>
      <w:marBottom w:val="0"/>
      <w:divBdr>
        <w:top w:val="none" w:sz="0" w:space="0" w:color="auto"/>
        <w:left w:val="none" w:sz="0" w:space="0" w:color="auto"/>
        <w:bottom w:val="none" w:sz="0" w:space="0" w:color="auto"/>
        <w:right w:val="none" w:sz="0" w:space="0" w:color="auto"/>
      </w:divBdr>
    </w:div>
    <w:div w:id="1853959048">
      <w:bodyDiv w:val="1"/>
      <w:marLeft w:val="0"/>
      <w:marRight w:val="0"/>
      <w:marTop w:val="0"/>
      <w:marBottom w:val="0"/>
      <w:divBdr>
        <w:top w:val="none" w:sz="0" w:space="0" w:color="auto"/>
        <w:left w:val="none" w:sz="0" w:space="0" w:color="auto"/>
        <w:bottom w:val="none" w:sz="0" w:space="0" w:color="auto"/>
        <w:right w:val="none" w:sz="0" w:space="0" w:color="auto"/>
      </w:divBdr>
    </w:div>
    <w:div w:id="1980575211">
      <w:bodyDiv w:val="1"/>
      <w:marLeft w:val="0"/>
      <w:marRight w:val="0"/>
      <w:marTop w:val="0"/>
      <w:marBottom w:val="0"/>
      <w:divBdr>
        <w:top w:val="none" w:sz="0" w:space="0" w:color="auto"/>
        <w:left w:val="none" w:sz="0" w:space="0" w:color="auto"/>
        <w:bottom w:val="none" w:sz="0" w:space="0" w:color="auto"/>
        <w:right w:val="none" w:sz="0" w:space="0" w:color="auto"/>
      </w:divBdr>
    </w:div>
    <w:div w:id="2010283135">
      <w:bodyDiv w:val="1"/>
      <w:marLeft w:val="0"/>
      <w:marRight w:val="0"/>
      <w:marTop w:val="0"/>
      <w:marBottom w:val="0"/>
      <w:divBdr>
        <w:top w:val="none" w:sz="0" w:space="0" w:color="auto"/>
        <w:left w:val="none" w:sz="0" w:space="0" w:color="auto"/>
        <w:bottom w:val="none" w:sz="0" w:space="0" w:color="auto"/>
        <w:right w:val="none" w:sz="0" w:space="0" w:color="auto"/>
      </w:divBdr>
    </w:div>
    <w:div w:id="2055814087">
      <w:bodyDiv w:val="1"/>
      <w:marLeft w:val="0"/>
      <w:marRight w:val="0"/>
      <w:marTop w:val="0"/>
      <w:marBottom w:val="0"/>
      <w:divBdr>
        <w:top w:val="none" w:sz="0" w:space="0" w:color="auto"/>
        <w:left w:val="none" w:sz="0" w:space="0" w:color="auto"/>
        <w:bottom w:val="none" w:sz="0" w:space="0" w:color="auto"/>
        <w:right w:val="none" w:sz="0" w:space="0" w:color="auto"/>
      </w:divBdr>
    </w:div>
    <w:div w:id="2132935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3.xlsx"/><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package" Target="embeddings/Microsoft_Excel_Worksheet2.xlsx"/><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footer" Target="footer2.xml"/><Relationship Id="rId19"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Macro-Enabled_Worksheet1.xlsm"/></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A37B3F-FC58-4D66-9CA4-70232898B3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15</Pages>
  <Words>3047</Words>
  <Characters>17369</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20376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Jason H Wang</cp:lastModifiedBy>
  <cp:revision>5</cp:revision>
  <dcterms:created xsi:type="dcterms:W3CDTF">2014-06-19T22:30:00Z</dcterms:created>
  <dcterms:modified xsi:type="dcterms:W3CDTF">2014-06-23T18:20:00Z</dcterms:modified>
</cp:coreProperties>
</file>