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21C" w:rsidRPr="0093378E" w:rsidRDefault="0095321C" w:rsidP="0095321C">
      <w:pPr>
        <w:jc w:val="right"/>
        <w:rPr>
          <w:rFonts w:ascii="Arial" w:hAnsi="Arial" w:cs="Arial"/>
          <w:b/>
          <w:sz w:val="48"/>
          <w:szCs w:val="48"/>
        </w:rPr>
      </w:pPr>
      <w:bookmarkStart w:id="0" w:name="_Toc153189646"/>
      <w:bookmarkStart w:id="1" w:name="_Toc214003082"/>
      <w:r w:rsidRPr="0093378E">
        <w:rPr>
          <w:rFonts w:ascii="Arial" w:hAnsi="Arial" w:cs="Arial"/>
          <w:b/>
          <w:sz w:val="48"/>
          <w:szCs w:val="48"/>
        </w:rPr>
        <w:t>Work Paper PGECOCOM105</w:t>
      </w:r>
    </w:p>
    <w:p w:rsidR="0095321C" w:rsidRPr="0093378E" w:rsidRDefault="0095321C" w:rsidP="0095321C">
      <w:pPr>
        <w:jc w:val="right"/>
        <w:rPr>
          <w:rFonts w:ascii="Arial" w:hAnsi="Arial" w:cs="Arial"/>
          <w:b/>
          <w:sz w:val="48"/>
          <w:szCs w:val="48"/>
        </w:rPr>
      </w:pPr>
      <w:r w:rsidRPr="0093378E">
        <w:rPr>
          <w:rFonts w:ascii="Arial" w:hAnsi="Arial" w:cs="Arial"/>
          <w:b/>
          <w:sz w:val="48"/>
          <w:szCs w:val="48"/>
        </w:rPr>
        <w:t xml:space="preserve">Network Desktop Computer Power </w:t>
      </w:r>
      <w:proofErr w:type="spellStart"/>
      <w:r w:rsidRPr="0093378E">
        <w:rPr>
          <w:rFonts w:ascii="Arial" w:hAnsi="Arial" w:cs="Arial"/>
          <w:b/>
          <w:sz w:val="48"/>
          <w:szCs w:val="48"/>
        </w:rPr>
        <w:t>Mgmt</w:t>
      </w:r>
      <w:proofErr w:type="spellEnd"/>
    </w:p>
    <w:p w:rsidR="0095321C" w:rsidRPr="0093378E" w:rsidRDefault="0095321C" w:rsidP="0095321C">
      <w:pPr>
        <w:jc w:val="right"/>
        <w:rPr>
          <w:rFonts w:ascii="Arial" w:hAnsi="Arial" w:cs="Arial"/>
          <w:b/>
          <w:sz w:val="48"/>
          <w:szCs w:val="48"/>
        </w:rPr>
      </w:pPr>
      <w:r w:rsidRPr="0093378E">
        <w:rPr>
          <w:rFonts w:ascii="Arial" w:hAnsi="Arial" w:cs="Arial"/>
          <w:b/>
          <w:sz w:val="48"/>
          <w:szCs w:val="48"/>
        </w:rPr>
        <w:t>Revision # 4</w:t>
      </w:r>
    </w:p>
    <w:p w:rsidR="0095321C" w:rsidRPr="0093378E" w:rsidRDefault="0095321C" w:rsidP="0095321C">
      <w:pPr>
        <w:rPr>
          <w:rFonts w:ascii="Arial" w:hAnsi="Arial" w:cs="Arial"/>
        </w:rPr>
      </w:pPr>
    </w:p>
    <w:p w:rsidR="0095321C" w:rsidRPr="0093378E" w:rsidRDefault="0095321C" w:rsidP="0095321C">
      <w:pPr>
        <w:pBdr>
          <w:bottom w:val="single" w:sz="4" w:space="1" w:color="auto"/>
        </w:pBdr>
        <w:rPr>
          <w:rFonts w:ascii="Arial" w:hAnsi="Arial" w:cs="Arial"/>
          <w:b/>
          <w:sz w:val="36"/>
          <w:szCs w:val="36"/>
        </w:rPr>
      </w:pPr>
      <w:r w:rsidRPr="0093378E">
        <w:rPr>
          <w:rFonts w:ascii="Arial" w:hAnsi="Arial" w:cs="Arial"/>
          <w:b/>
          <w:sz w:val="36"/>
          <w:szCs w:val="36"/>
        </w:rPr>
        <w:t>Pacific Gas &amp; Electric Company</w:t>
      </w:r>
    </w:p>
    <w:p w:rsidR="0095321C" w:rsidRPr="0093378E" w:rsidRDefault="0095321C" w:rsidP="0095321C">
      <w:pPr>
        <w:rPr>
          <w:rFonts w:ascii="Arial" w:hAnsi="Arial" w:cs="Arial"/>
          <w:b/>
          <w:sz w:val="32"/>
          <w:szCs w:val="32"/>
        </w:rPr>
      </w:pPr>
      <w:r w:rsidRPr="0093378E">
        <w:rPr>
          <w:rFonts w:ascii="Arial" w:hAnsi="Arial" w:cs="Arial"/>
          <w:b/>
          <w:sz w:val="32"/>
          <w:szCs w:val="32"/>
        </w:rPr>
        <w:t xml:space="preserve">Customer Energy Solutions </w:t>
      </w:r>
    </w:p>
    <w:p w:rsidR="0095321C" w:rsidRPr="0093378E" w:rsidRDefault="0095321C" w:rsidP="0095321C">
      <w:pPr>
        <w:rPr>
          <w:rFonts w:ascii="Arial" w:hAnsi="Arial" w:cs="Arial"/>
          <w:b/>
          <w:highlight w:val="cyan"/>
        </w:rPr>
      </w:pPr>
    </w:p>
    <w:p w:rsidR="0095321C" w:rsidRPr="0093378E" w:rsidRDefault="0095321C" w:rsidP="0095321C">
      <w:pPr>
        <w:rPr>
          <w:rFonts w:ascii="Arial" w:hAnsi="Arial" w:cs="Arial"/>
          <w:b/>
          <w:highlight w:val="cyan"/>
        </w:rPr>
      </w:pPr>
    </w:p>
    <w:p w:rsidR="0095321C" w:rsidRPr="0093378E" w:rsidRDefault="0095321C" w:rsidP="0095321C">
      <w:pPr>
        <w:rPr>
          <w:rFonts w:ascii="Arial" w:hAnsi="Arial" w:cs="Arial"/>
          <w:b/>
          <w:highlight w:val="cyan"/>
        </w:rPr>
      </w:pPr>
    </w:p>
    <w:p w:rsidR="0095321C" w:rsidRPr="0093378E" w:rsidRDefault="0095321C" w:rsidP="0095321C">
      <w:pPr>
        <w:rPr>
          <w:rFonts w:ascii="Arial" w:hAnsi="Arial" w:cs="Arial"/>
          <w:b/>
          <w:bCs/>
          <w:i/>
        </w:rPr>
      </w:pPr>
    </w:p>
    <w:p w:rsidR="0095321C" w:rsidRPr="0093378E" w:rsidRDefault="0095321C" w:rsidP="0095321C">
      <w:pPr>
        <w:ind w:right="-720"/>
        <w:rPr>
          <w:rFonts w:ascii="Arial" w:hAnsi="Arial" w:cs="Arial"/>
          <w:b/>
          <w:sz w:val="72"/>
          <w:szCs w:val="72"/>
        </w:rPr>
      </w:pPr>
      <w:r w:rsidRPr="0093378E">
        <w:rPr>
          <w:rFonts w:ascii="Arial" w:hAnsi="Arial" w:cs="Arial"/>
          <w:b/>
          <w:sz w:val="72"/>
          <w:szCs w:val="72"/>
        </w:rPr>
        <w:t>Network Desktop Computer Power Management Software</w:t>
      </w:r>
    </w:p>
    <w:p w:rsidR="0095321C" w:rsidRPr="0093378E" w:rsidRDefault="0095321C" w:rsidP="0095321C">
      <w:pPr>
        <w:ind w:right="-720"/>
        <w:rPr>
          <w:rFonts w:ascii="Arial" w:hAnsi="Arial" w:cs="Arial"/>
          <w:b/>
        </w:rPr>
      </w:pPr>
      <w:r w:rsidRPr="0093378E">
        <w:rPr>
          <w:rFonts w:ascii="Arial" w:hAnsi="Arial" w:cs="Arial"/>
          <w:b/>
        </w:rPr>
        <w:t>Measure Codes M03</w:t>
      </w:r>
    </w:p>
    <w:p w:rsidR="0095321C" w:rsidRPr="0093378E" w:rsidRDefault="0095321C" w:rsidP="0095321C">
      <w:pPr>
        <w:rPr>
          <w:rFonts w:ascii="Arial" w:hAnsi="Arial" w:cs="Arial"/>
          <w:b/>
          <w:i/>
          <w:highlight w:val="cyan"/>
        </w:rPr>
      </w:pPr>
    </w:p>
    <w:p w:rsidR="0095321C" w:rsidRPr="0093378E" w:rsidRDefault="0095321C" w:rsidP="0095321C">
      <w:pPr>
        <w:rPr>
          <w:rFonts w:ascii="Arial" w:hAnsi="Arial" w:cs="Arial"/>
          <w:b/>
          <w:i/>
          <w:highlight w:val="cyan"/>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Pr="0093378E" w:rsidRDefault="0095321C" w:rsidP="0095321C">
      <w:pPr>
        <w:rPr>
          <w:rFonts w:ascii="Arial" w:hAnsi="Arial" w:cs="Arial"/>
          <w:b/>
          <w:i/>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Arial" w:hAnsi="Arial" w:cs="Arial"/>
          <w:b/>
          <w:sz w:val="22"/>
          <w:szCs w:val="22"/>
        </w:rPr>
      </w:pPr>
    </w:p>
    <w:p w:rsidR="0095321C" w:rsidRDefault="0095321C" w:rsidP="0095321C">
      <w:pPr>
        <w:rPr>
          <w:rFonts w:ascii="Arial" w:hAnsi="Arial" w:cs="Arial"/>
          <w:b/>
          <w:sz w:val="22"/>
          <w:szCs w:val="22"/>
        </w:rPr>
      </w:pPr>
      <w:r>
        <w:rPr>
          <w:rFonts w:ascii="Arial" w:hAnsi="Arial" w:cs="Arial"/>
          <w:b/>
          <w:sz w:val="22"/>
          <w:szCs w:val="22"/>
        </w:rPr>
        <w:lastRenderedPageBreak/>
        <w:t>PGECOCOM105 R4</w:t>
      </w:r>
    </w:p>
    <w:p w:rsidR="0095321C" w:rsidRDefault="0095321C" w:rsidP="0095321C">
      <w:pPr>
        <w:rPr>
          <w:rFonts w:ascii="Arial" w:hAnsi="Arial" w:cs="Arial"/>
          <w:b/>
          <w:sz w:val="22"/>
          <w:szCs w:val="22"/>
        </w:rPr>
      </w:pPr>
    </w:p>
    <w:p w:rsidR="0095321C" w:rsidRPr="00BC6305" w:rsidRDefault="0095321C" w:rsidP="0095321C">
      <w:pPr>
        <w:rPr>
          <w:rFonts w:ascii="Arial" w:hAnsi="Arial" w:cs="Arial"/>
          <w:sz w:val="20"/>
          <w:szCs w:val="20"/>
        </w:rPr>
      </w:pPr>
      <w:r w:rsidRPr="00BC6305">
        <w:rPr>
          <w:rFonts w:ascii="Arial" w:hAnsi="Arial" w:cs="Arial"/>
          <w:sz w:val="20"/>
          <w:szCs w:val="20"/>
        </w:rPr>
        <w:t>PG&amp;E provides downstream incentives to customers who install qualified network power management software in desktops. Therefore, PG&amp;E will be claiming the following net-to-gross value:</w:t>
      </w:r>
    </w:p>
    <w:p w:rsidR="0095321C" w:rsidRPr="00BC6305" w:rsidRDefault="0095321C" w:rsidP="0095321C">
      <w:pPr>
        <w:rPr>
          <w:rFonts w:ascii="Arial" w:hAnsi="Arial" w:cs="Arial"/>
          <w:sz w:val="20"/>
          <w:szCs w:val="20"/>
        </w:rPr>
      </w:pPr>
    </w:p>
    <w:tbl>
      <w:tblPr>
        <w:tblStyle w:val="TableContemporary"/>
        <w:tblW w:w="3219" w:type="pct"/>
        <w:jc w:val="center"/>
        <w:tblInd w:w="1186" w:type="dxa"/>
        <w:tblLook w:val="01E0" w:firstRow="1" w:lastRow="1" w:firstColumn="1" w:lastColumn="1" w:noHBand="0" w:noVBand="0"/>
      </w:tblPr>
      <w:tblGrid>
        <w:gridCol w:w="1413"/>
        <w:gridCol w:w="1413"/>
        <w:gridCol w:w="2616"/>
        <w:gridCol w:w="723"/>
      </w:tblGrid>
      <w:tr w:rsidR="0095321C" w:rsidRPr="00BC6305" w:rsidTr="004F7A8F">
        <w:trPr>
          <w:cnfStyle w:val="100000000000" w:firstRow="1" w:lastRow="0" w:firstColumn="0" w:lastColumn="0" w:oddVBand="0" w:evenVBand="0" w:oddHBand="0" w:evenHBand="0" w:firstRowFirstColumn="0" w:firstRowLastColumn="0" w:lastRowFirstColumn="0" w:lastRowLastColumn="0"/>
          <w:jc w:val="center"/>
        </w:trPr>
        <w:tc>
          <w:tcPr>
            <w:tcW w:w="1146" w:type="pct"/>
          </w:tcPr>
          <w:p w:rsidR="0095321C" w:rsidRPr="00BC6305" w:rsidRDefault="0095321C" w:rsidP="004F7A8F">
            <w:pPr>
              <w:jc w:val="center"/>
              <w:rPr>
                <w:rFonts w:ascii="Arial" w:hAnsi="Arial" w:cs="Arial"/>
                <w:sz w:val="20"/>
                <w:szCs w:val="20"/>
              </w:rPr>
            </w:pPr>
            <w:r w:rsidRPr="00BC6305">
              <w:rPr>
                <w:rFonts w:ascii="Arial" w:hAnsi="Arial" w:cs="Arial"/>
                <w:sz w:val="20"/>
                <w:szCs w:val="20"/>
              </w:rPr>
              <w:t>Measure Code</w:t>
            </w:r>
          </w:p>
        </w:tc>
        <w:tc>
          <w:tcPr>
            <w:tcW w:w="1146" w:type="pct"/>
            <w:vAlign w:val="center"/>
          </w:tcPr>
          <w:p w:rsidR="0095321C" w:rsidRPr="00BC6305" w:rsidRDefault="0095321C" w:rsidP="004F7A8F">
            <w:pPr>
              <w:jc w:val="center"/>
              <w:rPr>
                <w:rFonts w:ascii="Arial" w:hAnsi="Arial" w:cs="Arial"/>
                <w:sz w:val="20"/>
                <w:szCs w:val="20"/>
              </w:rPr>
            </w:pPr>
            <w:r>
              <w:rPr>
                <w:rFonts w:ascii="Arial" w:hAnsi="Arial" w:cs="Arial"/>
                <w:sz w:val="20"/>
                <w:szCs w:val="20"/>
              </w:rPr>
              <w:t>NTGR_ID</w:t>
            </w:r>
          </w:p>
        </w:tc>
        <w:tc>
          <w:tcPr>
            <w:tcW w:w="2122" w:type="pct"/>
            <w:vAlign w:val="center"/>
          </w:tcPr>
          <w:p w:rsidR="0095321C" w:rsidRPr="00BC6305" w:rsidRDefault="0095321C" w:rsidP="004F7A8F">
            <w:pPr>
              <w:jc w:val="center"/>
              <w:rPr>
                <w:rFonts w:ascii="Arial" w:hAnsi="Arial" w:cs="Arial"/>
                <w:sz w:val="20"/>
                <w:szCs w:val="20"/>
              </w:rPr>
            </w:pPr>
            <w:r w:rsidRPr="00BC6305">
              <w:rPr>
                <w:rFonts w:ascii="Arial" w:hAnsi="Arial" w:cs="Arial"/>
                <w:sz w:val="20"/>
                <w:szCs w:val="20"/>
              </w:rPr>
              <w:t>Description</w:t>
            </w:r>
          </w:p>
        </w:tc>
        <w:tc>
          <w:tcPr>
            <w:tcW w:w="586" w:type="pct"/>
            <w:vAlign w:val="center"/>
          </w:tcPr>
          <w:p w:rsidR="0095321C" w:rsidRPr="00BC6305" w:rsidRDefault="0095321C" w:rsidP="004F7A8F">
            <w:pPr>
              <w:jc w:val="center"/>
              <w:rPr>
                <w:rFonts w:ascii="Arial" w:hAnsi="Arial" w:cs="Arial"/>
                <w:sz w:val="20"/>
                <w:szCs w:val="20"/>
              </w:rPr>
            </w:pPr>
            <w:r w:rsidRPr="00BC6305">
              <w:rPr>
                <w:rFonts w:ascii="Arial" w:hAnsi="Arial" w:cs="Arial"/>
                <w:sz w:val="20"/>
                <w:szCs w:val="20"/>
              </w:rPr>
              <w:t>NTG</w:t>
            </w:r>
          </w:p>
        </w:tc>
      </w:tr>
      <w:tr w:rsidR="0095321C" w:rsidRPr="00BC6305" w:rsidTr="004F7A8F">
        <w:trPr>
          <w:cnfStyle w:val="000000100000" w:firstRow="0" w:lastRow="0" w:firstColumn="0" w:lastColumn="0" w:oddVBand="0" w:evenVBand="0" w:oddHBand="1" w:evenHBand="0" w:firstRowFirstColumn="0" w:firstRowLastColumn="0" w:lastRowFirstColumn="0" w:lastRowLastColumn="0"/>
          <w:jc w:val="center"/>
        </w:trPr>
        <w:tc>
          <w:tcPr>
            <w:tcW w:w="1146" w:type="pct"/>
          </w:tcPr>
          <w:p w:rsidR="0095321C" w:rsidRPr="00BC6305" w:rsidRDefault="0095321C" w:rsidP="004F7A8F">
            <w:pPr>
              <w:jc w:val="center"/>
              <w:rPr>
                <w:rFonts w:ascii="Arial" w:hAnsi="Arial" w:cs="Arial"/>
                <w:sz w:val="20"/>
                <w:szCs w:val="20"/>
              </w:rPr>
            </w:pPr>
          </w:p>
          <w:p w:rsidR="0095321C" w:rsidRPr="00BC6305" w:rsidRDefault="0095321C" w:rsidP="004F7A8F">
            <w:pPr>
              <w:jc w:val="center"/>
              <w:rPr>
                <w:rFonts w:ascii="Arial" w:hAnsi="Arial" w:cs="Arial"/>
                <w:sz w:val="20"/>
                <w:szCs w:val="20"/>
              </w:rPr>
            </w:pPr>
          </w:p>
          <w:p w:rsidR="0095321C" w:rsidRPr="00BC6305" w:rsidRDefault="0095321C" w:rsidP="004F7A8F">
            <w:pPr>
              <w:jc w:val="center"/>
              <w:rPr>
                <w:rFonts w:ascii="Arial" w:hAnsi="Arial" w:cs="Arial"/>
                <w:sz w:val="20"/>
                <w:szCs w:val="20"/>
              </w:rPr>
            </w:pPr>
            <w:r w:rsidRPr="00BC6305">
              <w:rPr>
                <w:rFonts w:ascii="Arial" w:hAnsi="Arial" w:cs="Arial"/>
                <w:sz w:val="20"/>
                <w:szCs w:val="20"/>
              </w:rPr>
              <w:t>M03</w:t>
            </w:r>
          </w:p>
        </w:tc>
        <w:tc>
          <w:tcPr>
            <w:tcW w:w="1146" w:type="pct"/>
            <w:vAlign w:val="center"/>
          </w:tcPr>
          <w:p w:rsidR="0095321C" w:rsidRPr="00BC6305" w:rsidRDefault="0095321C" w:rsidP="004F7A8F">
            <w:pPr>
              <w:jc w:val="center"/>
              <w:rPr>
                <w:rFonts w:ascii="Arial" w:hAnsi="Arial" w:cs="Arial"/>
                <w:sz w:val="20"/>
                <w:szCs w:val="20"/>
              </w:rPr>
            </w:pPr>
            <w:r w:rsidRPr="00BC6305">
              <w:rPr>
                <w:rFonts w:ascii="Arial" w:hAnsi="Arial" w:cs="Arial"/>
                <w:sz w:val="20"/>
                <w:szCs w:val="20"/>
              </w:rPr>
              <w:t>Com-Default&gt;2yrs</w:t>
            </w:r>
          </w:p>
        </w:tc>
        <w:tc>
          <w:tcPr>
            <w:tcW w:w="2122" w:type="pct"/>
            <w:vAlign w:val="center"/>
          </w:tcPr>
          <w:p w:rsidR="0095321C" w:rsidRPr="00BC6305" w:rsidRDefault="0095321C" w:rsidP="004F7A8F">
            <w:pPr>
              <w:jc w:val="center"/>
              <w:rPr>
                <w:rFonts w:ascii="Arial" w:hAnsi="Arial" w:cs="Arial"/>
                <w:sz w:val="20"/>
                <w:szCs w:val="20"/>
              </w:rPr>
            </w:pPr>
            <w:r w:rsidRPr="00BC6305">
              <w:rPr>
                <w:rFonts w:ascii="Arial" w:hAnsi="Arial" w:cs="Arial"/>
                <w:sz w:val="20"/>
                <w:szCs w:val="20"/>
              </w:rPr>
              <w:t>All other EEMs with no evaluated NTGR; existing EEM in programs with same delivery mechanism for more than 2 years</w:t>
            </w:r>
          </w:p>
        </w:tc>
        <w:tc>
          <w:tcPr>
            <w:tcW w:w="586" w:type="pct"/>
            <w:vAlign w:val="center"/>
          </w:tcPr>
          <w:p w:rsidR="0095321C" w:rsidRPr="00BC6305" w:rsidRDefault="0095321C" w:rsidP="004F7A8F">
            <w:pPr>
              <w:jc w:val="center"/>
              <w:rPr>
                <w:rFonts w:ascii="Arial" w:hAnsi="Arial" w:cs="Arial"/>
                <w:sz w:val="20"/>
                <w:szCs w:val="20"/>
              </w:rPr>
            </w:pPr>
            <w:r w:rsidRPr="00BC6305">
              <w:rPr>
                <w:rFonts w:ascii="Arial" w:hAnsi="Arial" w:cs="Arial"/>
                <w:sz w:val="20"/>
                <w:szCs w:val="20"/>
              </w:rPr>
              <w:t>0.6</w:t>
            </w:r>
          </w:p>
        </w:tc>
      </w:tr>
    </w:tbl>
    <w:p w:rsidR="0095321C" w:rsidRPr="00BC6305" w:rsidRDefault="0095321C" w:rsidP="0095321C">
      <w:pPr>
        <w:rPr>
          <w:rFonts w:ascii="Arial" w:hAnsi="Arial" w:cs="Arial"/>
          <w:sz w:val="20"/>
          <w:szCs w:val="20"/>
        </w:rPr>
      </w:pPr>
    </w:p>
    <w:p w:rsidR="0095321C" w:rsidRDefault="0095321C" w:rsidP="0095321C">
      <w:pPr>
        <w:rPr>
          <w:rFonts w:ascii="Arial" w:hAnsi="Arial" w:cs="Arial"/>
          <w:sz w:val="22"/>
          <w:szCs w:val="22"/>
        </w:rPr>
      </w:pPr>
      <w:r w:rsidRPr="00BC6305">
        <w:rPr>
          <w:rFonts w:ascii="Arial" w:hAnsi="Arial" w:cs="Arial"/>
          <w:sz w:val="20"/>
          <w:szCs w:val="20"/>
        </w:rPr>
        <w:t>PG&amp;E’s program does not differentiate between different building types, so PG&amp;E will be claiming the average value from the studies (before interactive effects): 117.73 kWh and 0.001067 kW.</w:t>
      </w:r>
    </w:p>
    <w:p w:rsidR="0095321C" w:rsidRDefault="0095321C" w:rsidP="0095321C">
      <w:pPr>
        <w:rPr>
          <w:rFonts w:ascii="Arial" w:hAnsi="Arial" w:cs="Arial"/>
          <w:sz w:val="22"/>
          <w:szCs w:val="22"/>
        </w:rPr>
      </w:pPr>
    </w:p>
    <w:p w:rsidR="0095321C" w:rsidRDefault="0095321C" w:rsidP="0095321C">
      <w:pPr>
        <w:rPr>
          <w:rFonts w:ascii="Arial" w:hAnsi="Arial" w:cs="Arial"/>
          <w:sz w:val="22"/>
          <w:szCs w:val="22"/>
        </w:rPr>
      </w:pPr>
    </w:p>
    <w:p w:rsidR="0095321C" w:rsidRDefault="0095321C" w:rsidP="0095321C">
      <w:pPr>
        <w:rPr>
          <w:rFonts w:ascii="Arial" w:hAnsi="Arial" w:cs="Arial"/>
          <w:sz w:val="22"/>
          <w:szCs w:val="22"/>
        </w:rPr>
      </w:pPr>
    </w:p>
    <w:p w:rsidR="0095321C" w:rsidRPr="0093378E" w:rsidRDefault="0095321C" w:rsidP="0095321C">
      <w:pPr>
        <w:rPr>
          <w:rFonts w:ascii="Arial" w:hAnsi="Arial" w:cs="Arial"/>
          <w:sz w:val="22"/>
          <w:szCs w:val="22"/>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rsidP="0095321C">
      <w:pPr>
        <w:jc w:val="right"/>
        <w:rPr>
          <w:rFonts w:asciiTheme="minorHAnsi" w:hAnsiTheme="minorHAnsi" w:cstheme="minorHAnsi"/>
          <w:b/>
          <w:sz w:val="48"/>
          <w:szCs w:val="48"/>
        </w:rPr>
      </w:pPr>
    </w:p>
    <w:p w:rsidR="0095321C" w:rsidRDefault="0095321C">
      <w:pPr>
        <w:spacing w:after="200" w:line="276" w:lineRule="auto"/>
        <w:rPr>
          <w:rFonts w:asciiTheme="minorHAnsi" w:hAnsiTheme="minorHAnsi" w:cstheme="minorHAnsi"/>
          <w:b/>
          <w:sz w:val="48"/>
          <w:szCs w:val="48"/>
        </w:rPr>
      </w:pPr>
    </w:p>
    <w:p w:rsidR="0095321C" w:rsidRDefault="0095321C">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DA690B" w:rsidRPr="00697868" w:rsidRDefault="00DA690B" w:rsidP="00DA690B">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B26B83" w:rsidRPr="00697868">
        <w:rPr>
          <w:rFonts w:asciiTheme="minorHAnsi" w:hAnsiTheme="minorHAnsi" w:cstheme="minorHAnsi"/>
          <w:b/>
          <w:sz w:val="48"/>
          <w:szCs w:val="48"/>
        </w:rPr>
        <w:t>SCE</w:t>
      </w:r>
      <w:r w:rsidR="00290ED8" w:rsidRPr="00697868">
        <w:rPr>
          <w:rFonts w:asciiTheme="minorHAnsi" w:hAnsiTheme="minorHAnsi" w:cstheme="minorHAnsi"/>
          <w:b/>
          <w:sz w:val="48"/>
          <w:szCs w:val="48"/>
        </w:rPr>
        <w:t>1</w:t>
      </w:r>
      <w:r w:rsidR="006C052F">
        <w:rPr>
          <w:rFonts w:asciiTheme="minorHAnsi" w:hAnsiTheme="minorHAnsi" w:cstheme="minorHAnsi"/>
          <w:b/>
          <w:sz w:val="48"/>
          <w:szCs w:val="48"/>
        </w:rPr>
        <w:t>3</w:t>
      </w:r>
      <w:r w:rsidR="000B6D57">
        <w:rPr>
          <w:rFonts w:asciiTheme="minorHAnsi" w:hAnsiTheme="minorHAnsi" w:cstheme="minorHAnsi"/>
          <w:b/>
          <w:sz w:val="48"/>
          <w:szCs w:val="48"/>
        </w:rPr>
        <w:t>OE001</w:t>
      </w:r>
    </w:p>
    <w:p w:rsidR="00DA690B" w:rsidRPr="00697868" w:rsidRDefault="00DA690B" w:rsidP="00DA690B">
      <w:pPr>
        <w:jc w:val="right"/>
        <w:rPr>
          <w:rFonts w:asciiTheme="minorHAnsi" w:hAnsiTheme="minorHAnsi" w:cstheme="minorHAnsi"/>
          <w:b/>
          <w:sz w:val="48"/>
          <w:szCs w:val="48"/>
        </w:rPr>
      </w:pPr>
      <w:bookmarkStart w:id="2" w:name="_Toc153189647"/>
      <w:r w:rsidRPr="00697868">
        <w:rPr>
          <w:rFonts w:asciiTheme="minorHAnsi" w:hAnsiTheme="minorHAnsi" w:cstheme="minorHAnsi"/>
          <w:b/>
          <w:sz w:val="48"/>
          <w:szCs w:val="48"/>
        </w:rPr>
        <w:t>Revision</w:t>
      </w:r>
      <w:bookmarkEnd w:id="2"/>
      <w:r w:rsidRPr="00697868">
        <w:rPr>
          <w:rFonts w:asciiTheme="minorHAnsi" w:hAnsiTheme="minorHAnsi" w:cstheme="minorHAnsi"/>
          <w:b/>
          <w:sz w:val="48"/>
          <w:szCs w:val="48"/>
        </w:rPr>
        <w:t xml:space="preserve"> </w:t>
      </w:r>
      <w:r w:rsidR="006C052F">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0B6D57" w:rsidRDefault="000B6D57" w:rsidP="00DA690B">
      <w:pPr>
        <w:pStyle w:val="reminders0"/>
        <w:rPr>
          <w:rFonts w:asciiTheme="minorHAnsi" w:hAnsiTheme="minorHAnsi" w:cstheme="minorHAnsi"/>
          <w:b/>
          <w:color w:val="auto"/>
          <w:sz w:val="72"/>
          <w:szCs w:val="72"/>
        </w:rPr>
      </w:pPr>
      <w:r w:rsidRPr="000B6D57">
        <w:rPr>
          <w:rFonts w:asciiTheme="minorHAnsi" w:hAnsiTheme="minorHAnsi" w:cstheme="minorHAnsi"/>
          <w:b/>
          <w:color w:val="auto"/>
          <w:sz w:val="72"/>
          <w:szCs w:val="72"/>
        </w:rPr>
        <w:t xml:space="preserve">Power Management Software for Networked Computers </w:t>
      </w:r>
    </w:p>
    <w:p w:rsidR="00DA690B" w:rsidRPr="00697868" w:rsidRDefault="00DA690B" w:rsidP="00DA690B">
      <w:pPr>
        <w:pStyle w:val="reminders0"/>
        <w:rPr>
          <w:rFonts w:asciiTheme="minorHAnsi" w:hAnsiTheme="minorHAnsi" w:cstheme="minorHAnsi"/>
          <w:sz w:val="22"/>
          <w:szCs w:val="22"/>
        </w:rPr>
      </w:pPr>
    </w:p>
    <w:p w:rsidR="00DA690B" w:rsidRPr="00697868" w:rsidRDefault="00DA690B" w:rsidP="00EB34FC">
      <w:pPr>
        <w:pStyle w:val="reminders0"/>
        <w:rPr>
          <w:rFonts w:asciiTheme="minorHAnsi" w:hAnsiTheme="minorHAnsi" w:cstheme="minorHAnsi"/>
          <w:sz w:val="22"/>
          <w:szCs w:val="22"/>
        </w:rPr>
      </w:pP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rsidSect="00386842">
          <w:footerReference w:type="default" r:id="rId9"/>
          <w:type w:val="continuous"/>
          <w:pgSz w:w="12240" w:h="15840"/>
          <w:pgMar w:top="1440" w:right="1440" w:bottom="1440" w:left="1440" w:header="720" w:footer="720" w:gutter="0"/>
          <w:cols w:space="720"/>
          <w:docGrid w:linePitch="360"/>
        </w:sectPr>
      </w:pPr>
    </w:p>
    <w:p w:rsidR="00386842" w:rsidRDefault="00386842">
      <w:pPr>
        <w:spacing w:after="200" w:line="276" w:lineRule="auto"/>
        <w:rPr>
          <w:rFonts w:asciiTheme="minorHAnsi" w:hAnsiTheme="minorHAnsi" w:cs="Arial"/>
          <w:b/>
          <w:bCs/>
          <w:smallCaps/>
          <w:kern w:val="32"/>
          <w:sz w:val="36"/>
          <w:szCs w:val="32"/>
        </w:rPr>
      </w:pPr>
      <w:bookmarkStart w:id="3" w:name="_Toc304800192"/>
      <w:bookmarkStart w:id="4" w:name="_Toc324318330"/>
      <w:bookmarkStart w:id="5" w:name="_Toc324340474"/>
      <w:bookmarkStart w:id="6" w:name="_Toc324433427"/>
      <w:r>
        <w:rPr>
          <w:rFonts w:asciiTheme="minorHAnsi" w:hAnsiTheme="minorHAnsi"/>
        </w:rPr>
        <w:br w:type="page"/>
      </w:r>
    </w:p>
    <w:p w:rsidR="00290ED8" w:rsidRPr="00697868" w:rsidRDefault="00290ED8" w:rsidP="00AC5309">
      <w:pPr>
        <w:pStyle w:val="Heading1"/>
        <w:rPr>
          <w:rFonts w:asciiTheme="minorHAnsi" w:hAnsiTheme="minorHAnsi"/>
        </w:rPr>
      </w:pPr>
      <w:r w:rsidRPr="00697868">
        <w:rPr>
          <w:rFonts w:asciiTheme="minorHAnsi" w:hAnsiTheme="minorHAnsi"/>
        </w:rPr>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AC5309" w:rsidRPr="001B7EAB" w:rsidRDefault="008E5F64" w:rsidP="009824E9">
            <w:pPr>
              <w:rPr>
                <w:rFonts w:asciiTheme="minorHAnsi" w:hAnsiTheme="minorHAnsi" w:cs="Arial"/>
                <w:b w:val="0"/>
                <w:sz w:val="20"/>
                <w:szCs w:val="20"/>
              </w:rPr>
            </w:pPr>
            <w:r w:rsidRPr="001B7EAB">
              <w:rPr>
                <w:rFonts w:asciiTheme="minorHAnsi" w:hAnsiTheme="minorHAnsi" w:cs="Arial"/>
                <w:sz w:val="20"/>
                <w:szCs w:val="20"/>
              </w:rPr>
              <w:t xml:space="preserve">PG&amp;E: </w:t>
            </w:r>
            <w:r w:rsidR="000B6D57" w:rsidRPr="001B7EAB">
              <w:rPr>
                <w:rFonts w:asciiTheme="minorHAnsi" w:hAnsiTheme="minorHAnsi" w:cs="Arial"/>
                <w:sz w:val="20"/>
                <w:szCs w:val="20"/>
              </w:rPr>
              <w:t xml:space="preserve">M03 – </w:t>
            </w:r>
            <w:r w:rsidR="00A17FD2">
              <w:rPr>
                <w:rFonts w:asciiTheme="minorHAnsi" w:hAnsiTheme="minorHAnsi" w:cs="Arial"/>
                <w:sz w:val="20"/>
                <w:szCs w:val="20"/>
              </w:rPr>
              <w:t>Power Management Software for Networked Computers</w:t>
            </w:r>
          </w:p>
          <w:p w:rsidR="008E5F64" w:rsidRPr="00697868" w:rsidRDefault="009224CB" w:rsidP="00A17FD2">
            <w:pPr>
              <w:rPr>
                <w:rFonts w:asciiTheme="minorHAnsi" w:hAnsiTheme="minorHAnsi" w:cs="Arial"/>
                <w:b w:val="0"/>
                <w:bCs w:val="0"/>
                <w:sz w:val="20"/>
                <w:szCs w:val="20"/>
              </w:rPr>
            </w:pPr>
            <w:r w:rsidRPr="001B7EAB">
              <w:rPr>
                <w:rFonts w:asciiTheme="minorHAnsi" w:hAnsiTheme="minorHAnsi" w:cs="Arial"/>
                <w:sz w:val="20"/>
                <w:szCs w:val="20"/>
              </w:rPr>
              <w:t>SCE: OE-</w:t>
            </w:r>
            <w:r w:rsidR="000053B3" w:rsidRPr="001B7EAB">
              <w:rPr>
                <w:rFonts w:asciiTheme="minorHAnsi" w:hAnsiTheme="minorHAnsi" w:cs="Arial"/>
                <w:sz w:val="20"/>
                <w:szCs w:val="20"/>
              </w:rPr>
              <w:t xml:space="preserve">65003 – </w:t>
            </w:r>
            <w:r w:rsidR="00A17FD2">
              <w:rPr>
                <w:rFonts w:asciiTheme="minorHAnsi" w:hAnsiTheme="minorHAnsi" w:cs="Arial"/>
                <w:sz w:val="20"/>
                <w:szCs w:val="20"/>
              </w:rPr>
              <w:t>Power Management Software for Networked Computers</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697868" w:rsidRDefault="000B6D57" w:rsidP="00492DFB">
            <w:pPr>
              <w:rPr>
                <w:rFonts w:asciiTheme="minorHAnsi" w:hAnsiTheme="minorHAnsi" w:cs="Arial"/>
                <w:sz w:val="20"/>
                <w:szCs w:val="20"/>
              </w:rPr>
            </w:pPr>
            <w:r>
              <w:rPr>
                <w:rFonts w:asciiTheme="minorHAnsi" w:hAnsiTheme="minorHAnsi" w:cs="Arial"/>
                <w:sz w:val="20"/>
                <w:szCs w:val="20"/>
              </w:rPr>
              <w:t xml:space="preserve">Installation </w:t>
            </w:r>
            <w:r w:rsidRPr="000B6D57">
              <w:rPr>
                <w:rFonts w:asciiTheme="minorHAnsi" w:hAnsiTheme="minorHAnsi" w:cs="Arial"/>
                <w:sz w:val="20"/>
                <w:szCs w:val="20"/>
              </w:rPr>
              <w:t>of software that p</w:t>
            </w:r>
            <w:r w:rsidR="00492DFB">
              <w:rPr>
                <w:rFonts w:asciiTheme="minorHAnsi" w:hAnsiTheme="minorHAnsi" w:cs="Arial"/>
                <w:sz w:val="20"/>
                <w:szCs w:val="20"/>
              </w:rPr>
              <w:t>laces</w:t>
            </w:r>
            <w:r w:rsidRPr="000B6D57">
              <w:rPr>
                <w:rFonts w:asciiTheme="minorHAnsi" w:hAnsiTheme="minorHAnsi" w:cs="Arial"/>
                <w:sz w:val="20"/>
                <w:szCs w:val="20"/>
              </w:rPr>
              <w:t xml:space="preserve"> unused network Desktop Computers in various modes that use less energy.</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0B6D57" w:rsidRPr="000B6D57" w:rsidRDefault="000B6D57" w:rsidP="000B6D57">
            <w:pPr>
              <w:rPr>
                <w:rFonts w:asciiTheme="minorHAnsi" w:hAnsiTheme="minorHAnsi" w:cs="Arial"/>
                <w:sz w:val="20"/>
                <w:szCs w:val="20"/>
              </w:rPr>
            </w:pPr>
            <w:r w:rsidRPr="000B6D57">
              <w:rPr>
                <w:rFonts w:asciiTheme="minorHAnsi" w:hAnsiTheme="minorHAnsi" w:cs="Arial"/>
                <w:sz w:val="20"/>
                <w:szCs w:val="20"/>
              </w:rPr>
              <w:t>Networked Desktop Computers without power management software.</w:t>
            </w:r>
          </w:p>
          <w:p w:rsidR="00290ED8" w:rsidRPr="00697868" w:rsidRDefault="00290ED8" w:rsidP="000B6D57">
            <w:pPr>
              <w:rPr>
                <w:rFonts w:asciiTheme="minorHAnsi" w:hAnsiTheme="minorHAnsi" w:cs="Arial"/>
                <w:sz w:val="20"/>
                <w:szCs w:val="20"/>
              </w:rPr>
            </w:pP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2A24D0">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Pr="00697868" w:rsidRDefault="000B6D57" w:rsidP="009E3946">
            <w:pPr>
              <w:rPr>
                <w:rFonts w:asciiTheme="minorHAnsi" w:hAnsiTheme="minorHAnsi" w:cs="Arial"/>
                <w:sz w:val="20"/>
                <w:szCs w:val="20"/>
              </w:rPr>
            </w:pPr>
            <w:r w:rsidRPr="000B6D57">
              <w:rPr>
                <w:rFonts w:asciiTheme="minorHAnsi" w:hAnsiTheme="minorHAnsi" w:cs="Arial"/>
                <w:sz w:val="20"/>
                <w:szCs w:val="20"/>
              </w:rPr>
              <w:t xml:space="preserve">Per </w:t>
            </w:r>
            <w:r w:rsidR="009E3946">
              <w:rPr>
                <w:rFonts w:asciiTheme="minorHAnsi" w:hAnsiTheme="minorHAnsi" w:cs="Arial"/>
                <w:sz w:val="20"/>
                <w:szCs w:val="20"/>
              </w:rPr>
              <w:t>Computer</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697868" w:rsidRDefault="00D36798" w:rsidP="00AC530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697868" w:rsidRDefault="004F7A8F" w:rsidP="009E3946">
            <w:pPr>
              <w:rPr>
                <w:rFonts w:asciiTheme="minorHAnsi" w:hAnsiTheme="minorHAnsi" w:cs="Arial"/>
                <w:sz w:val="20"/>
                <w:szCs w:val="20"/>
              </w:rPr>
            </w:pPr>
            <w:r>
              <w:rPr>
                <w:rFonts w:asciiTheme="minorHAnsi" w:hAnsiTheme="minorHAnsi" w:cs="Arial"/>
                <w:sz w:val="20"/>
                <w:szCs w:val="20"/>
              </w:rPr>
              <w:t>5</w:t>
            </w:r>
            <w:r w:rsidR="009E3946">
              <w:rPr>
                <w:rFonts w:asciiTheme="minorHAnsi" w:hAnsiTheme="minorHAnsi" w:cs="Arial"/>
                <w:sz w:val="20"/>
                <w:szCs w:val="20"/>
              </w:rPr>
              <w:t xml:space="preserve"> years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9A1D28" w:rsidRDefault="009A1D28" w:rsidP="000B6D57">
            <w:pPr>
              <w:rPr>
                <w:rFonts w:asciiTheme="minorHAnsi" w:hAnsiTheme="minorHAnsi" w:cs="Arial"/>
                <w:sz w:val="20"/>
                <w:szCs w:val="20"/>
              </w:rPr>
            </w:pPr>
            <w:r>
              <w:rPr>
                <w:rFonts w:asciiTheme="minorHAnsi" w:hAnsiTheme="minorHAnsi" w:cs="Arial"/>
                <w:sz w:val="20"/>
                <w:szCs w:val="20"/>
              </w:rPr>
              <w:t>Retrofit Add-On (REA)</w:t>
            </w:r>
          </w:p>
          <w:p w:rsidR="00290ED8" w:rsidRPr="00697868" w:rsidRDefault="00290ED8" w:rsidP="00574C4E">
            <w:pPr>
              <w:rPr>
                <w:rFonts w:asciiTheme="minorHAnsi" w:hAnsiTheme="minorHAnsi" w:cs="Arial"/>
                <w:sz w:val="20"/>
                <w:szCs w:val="20"/>
              </w:rPr>
            </w:pP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697868" w:rsidRDefault="004B64F5" w:rsidP="000B6D57">
            <w:pPr>
              <w:rPr>
                <w:rFonts w:asciiTheme="minorHAnsi" w:hAnsiTheme="minorHAnsi" w:cs="Arial"/>
                <w:sz w:val="20"/>
                <w:szCs w:val="20"/>
              </w:rPr>
            </w:pPr>
            <w:r>
              <w:rPr>
                <w:rFonts w:asciiTheme="minorHAnsi" w:hAnsiTheme="minorHAnsi" w:cs="Arial"/>
                <w:sz w:val="20"/>
                <w:szCs w:val="20"/>
              </w:rPr>
              <w:t xml:space="preserve">Refer to Table </w:t>
            </w:r>
            <w:r w:rsidR="00BC123D">
              <w:rPr>
                <w:rFonts w:asciiTheme="minorHAnsi" w:hAnsiTheme="minorHAnsi" w:cs="Arial"/>
                <w:sz w:val="20"/>
                <w:szCs w:val="20"/>
              </w:rPr>
              <w:t>4</w:t>
            </w:r>
            <w:r>
              <w:rPr>
                <w:rFonts w:asciiTheme="minorHAnsi" w:hAnsiTheme="minorHAnsi" w:cs="Arial"/>
                <w:sz w:val="20"/>
                <w:szCs w:val="20"/>
              </w:rPr>
              <w:t xml:space="preserve"> for NTG</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290ED8" w:rsidRPr="00697868" w:rsidRDefault="00492DFB" w:rsidP="002F1D08">
            <w:pPr>
              <w:rPr>
                <w:rFonts w:asciiTheme="minorHAnsi" w:hAnsiTheme="minorHAnsi" w:cs="Arial"/>
                <w:sz w:val="20"/>
                <w:szCs w:val="20"/>
              </w:rPr>
            </w:pPr>
            <w:r w:rsidRPr="004030BE">
              <w:rPr>
                <w:rFonts w:asciiTheme="minorHAnsi" w:hAnsiTheme="minorHAnsi" w:cs="Arial"/>
                <w:b/>
                <w:sz w:val="20"/>
                <w:szCs w:val="20"/>
              </w:rPr>
              <w:t>This work paper document does not contain a data set in conformance with the 4/1/14 CPUC Ex Ante Database Specification; SCE will provide that data set separately.</w:t>
            </w:r>
            <w:r>
              <w:rPr>
                <w:rFonts w:asciiTheme="minorHAnsi" w:hAnsiTheme="minorHAnsi" w:cs="Arial"/>
                <w:sz w:val="20"/>
                <w:szCs w:val="20"/>
              </w:rPr>
              <w:t xml:space="preserve"> </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413CDB"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CE28CF" w:rsidRPr="00697868" w:rsidRDefault="00AE313D" w:rsidP="00D36798">
            <w:pPr>
              <w:rPr>
                <w:rFonts w:asciiTheme="minorHAnsi" w:hAnsiTheme="minorHAnsi" w:cstheme="minorHAnsi"/>
                <w:sz w:val="20"/>
                <w:szCs w:val="20"/>
              </w:rPr>
            </w:pPr>
            <w:r>
              <w:rPr>
                <w:rFonts w:asciiTheme="minorHAnsi" w:hAnsiTheme="minorHAnsi" w:cstheme="minorHAnsi"/>
                <w:sz w:val="20"/>
                <w:szCs w:val="20"/>
              </w:rPr>
              <w:t>SCE13OE001.0</w:t>
            </w:r>
          </w:p>
        </w:tc>
        <w:tc>
          <w:tcPr>
            <w:tcW w:w="517" w:type="pct"/>
          </w:tcPr>
          <w:p w:rsidR="00CE28CF" w:rsidRPr="00697868" w:rsidRDefault="00CE28CF"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CE28CF" w:rsidRPr="00697868" w:rsidRDefault="00BB7D24" w:rsidP="00E035F3">
            <w:pPr>
              <w:jc w:val="center"/>
              <w:rPr>
                <w:rFonts w:asciiTheme="minorHAnsi" w:hAnsiTheme="minorHAnsi" w:cstheme="minorHAnsi"/>
                <w:sz w:val="20"/>
                <w:szCs w:val="20"/>
              </w:rPr>
            </w:pPr>
            <w:r w:rsidRPr="006D0F81">
              <w:rPr>
                <w:rFonts w:ascii="Calibri" w:hAnsi="Calibri" w:cs="Calibri"/>
                <w:sz w:val="20"/>
                <w:szCs w:val="20"/>
              </w:rPr>
              <w:t>0</w:t>
            </w:r>
            <w:r>
              <w:rPr>
                <w:rFonts w:ascii="Calibri" w:hAnsi="Calibri" w:cs="Calibri"/>
                <w:sz w:val="20"/>
                <w:szCs w:val="20"/>
              </w:rPr>
              <w:t>4</w:t>
            </w:r>
            <w:r w:rsidRPr="0054290A">
              <w:rPr>
                <w:rFonts w:ascii="Calibri" w:hAnsi="Calibri" w:cs="Calibri"/>
                <w:sz w:val="20"/>
                <w:szCs w:val="20"/>
              </w:rPr>
              <w:t>/</w:t>
            </w:r>
            <w:r>
              <w:rPr>
                <w:rFonts w:ascii="Calibri" w:hAnsi="Calibri" w:cs="Calibri"/>
                <w:sz w:val="20"/>
                <w:szCs w:val="20"/>
              </w:rPr>
              <w:t>10</w:t>
            </w:r>
            <w:r w:rsidRPr="0054290A">
              <w:rPr>
                <w:rFonts w:ascii="Calibri" w:hAnsi="Calibri" w:cs="Calibri"/>
                <w:sz w:val="20"/>
                <w:szCs w:val="20"/>
              </w:rPr>
              <w:t>/1</w:t>
            </w:r>
            <w:r w:rsidRPr="00521841">
              <w:rPr>
                <w:rFonts w:ascii="Calibri" w:hAnsi="Calibri" w:cs="Calibri"/>
                <w:sz w:val="20"/>
                <w:szCs w:val="20"/>
              </w:rPr>
              <w:t>2</w:t>
            </w:r>
          </w:p>
        </w:tc>
        <w:tc>
          <w:tcPr>
            <w:tcW w:w="940" w:type="pct"/>
          </w:tcPr>
          <w:p w:rsidR="00CE28CF" w:rsidRPr="00697868" w:rsidRDefault="00BB7D24" w:rsidP="00E35D60">
            <w:pPr>
              <w:rPr>
                <w:rFonts w:asciiTheme="minorHAnsi" w:hAnsiTheme="minorHAnsi" w:cstheme="minorHAnsi"/>
                <w:sz w:val="20"/>
                <w:szCs w:val="20"/>
              </w:rPr>
            </w:pPr>
            <w:r>
              <w:rPr>
                <w:rFonts w:ascii="Calibri" w:hAnsi="Calibri" w:cs="Calibri"/>
                <w:sz w:val="20"/>
                <w:szCs w:val="20"/>
                <w:lang w:val="fr-FR"/>
              </w:rPr>
              <w:t xml:space="preserve">James Hand, Teddy </w:t>
            </w:r>
            <w:proofErr w:type="spellStart"/>
            <w:r>
              <w:rPr>
                <w:rFonts w:ascii="Calibri" w:hAnsi="Calibri" w:cs="Calibri"/>
                <w:sz w:val="20"/>
                <w:szCs w:val="20"/>
                <w:lang w:val="fr-FR"/>
              </w:rPr>
              <w:t>Kisch</w:t>
            </w:r>
            <w:proofErr w:type="spellEnd"/>
            <w:r>
              <w:rPr>
                <w:rFonts w:ascii="Calibri" w:hAnsi="Calibri" w:cs="Calibri"/>
                <w:sz w:val="20"/>
                <w:szCs w:val="20"/>
                <w:lang w:val="fr-FR"/>
              </w:rPr>
              <w:t xml:space="preserve"> / Energy Solutions</w:t>
            </w:r>
          </w:p>
        </w:tc>
        <w:tc>
          <w:tcPr>
            <w:tcW w:w="2124" w:type="pct"/>
          </w:tcPr>
          <w:p w:rsidR="00CE28CF" w:rsidRPr="00697868" w:rsidRDefault="00BB7D24" w:rsidP="006154AA">
            <w:pPr>
              <w:rPr>
                <w:rFonts w:asciiTheme="minorHAnsi" w:hAnsiTheme="minorHAnsi" w:cstheme="minorHAnsi"/>
                <w:bCs/>
                <w:sz w:val="20"/>
                <w:szCs w:val="20"/>
              </w:rPr>
            </w:pPr>
            <w:r>
              <w:rPr>
                <w:rFonts w:ascii="Calibri" w:hAnsi="Calibri" w:cs="Calibri"/>
                <w:sz w:val="20"/>
                <w:szCs w:val="20"/>
              </w:rPr>
              <w:t xml:space="preserve">Draft Work Paper adapted from the SCE 2010-2012 </w:t>
            </w:r>
            <w:r w:rsidRPr="007B37ED">
              <w:rPr>
                <w:rFonts w:ascii="Calibri" w:hAnsi="Calibri" w:cs="Calibri"/>
                <w:sz w:val="20"/>
                <w:szCs w:val="20"/>
              </w:rPr>
              <w:t>Work Paper WPSCNROE0003.4</w:t>
            </w:r>
          </w:p>
        </w:tc>
      </w:tr>
      <w:tr w:rsidR="00AE313D"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AE313D" w:rsidDel="00AE313D" w:rsidRDefault="00AE313D" w:rsidP="00D36798">
            <w:pPr>
              <w:rPr>
                <w:rFonts w:asciiTheme="minorHAnsi" w:hAnsiTheme="minorHAnsi" w:cstheme="minorHAnsi"/>
                <w:sz w:val="20"/>
                <w:szCs w:val="20"/>
              </w:rPr>
            </w:pPr>
            <w:r>
              <w:rPr>
                <w:rFonts w:asciiTheme="minorHAnsi" w:hAnsiTheme="minorHAnsi" w:cstheme="minorHAnsi"/>
                <w:sz w:val="20"/>
                <w:szCs w:val="20"/>
              </w:rPr>
              <w:t>SCE13OE001.1</w:t>
            </w:r>
          </w:p>
        </w:tc>
        <w:tc>
          <w:tcPr>
            <w:tcW w:w="517" w:type="pct"/>
          </w:tcPr>
          <w:p w:rsidR="00AE313D" w:rsidRDefault="00AE313D"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AE313D" w:rsidRDefault="00AE313D" w:rsidP="004030BE">
            <w:pPr>
              <w:jc w:val="center"/>
              <w:rPr>
                <w:rFonts w:asciiTheme="minorHAnsi" w:hAnsiTheme="minorHAnsi" w:cstheme="minorHAnsi"/>
                <w:sz w:val="20"/>
                <w:szCs w:val="20"/>
              </w:rPr>
            </w:pPr>
            <w:r>
              <w:rPr>
                <w:rFonts w:asciiTheme="minorHAnsi" w:hAnsiTheme="minorHAnsi" w:cstheme="minorHAnsi"/>
                <w:sz w:val="20"/>
                <w:szCs w:val="20"/>
              </w:rPr>
              <w:t>03</w:t>
            </w:r>
            <w:r w:rsidRPr="00697868">
              <w:rPr>
                <w:rFonts w:asciiTheme="minorHAnsi" w:hAnsiTheme="minorHAnsi" w:cstheme="minorHAnsi"/>
                <w:sz w:val="20"/>
                <w:szCs w:val="20"/>
              </w:rPr>
              <w:t>/</w:t>
            </w:r>
            <w:r>
              <w:rPr>
                <w:rFonts w:asciiTheme="minorHAnsi" w:hAnsiTheme="minorHAnsi" w:cstheme="minorHAnsi"/>
                <w:sz w:val="20"/>
                <w:szCs w:val="20"/>
              </w:rPr>
              <w:t>05</w:t>
            </w:r>
            <w:r w:rsidRPr="00697868">
              <w:rPr>
                <w:rFonts w:asciiTheme="minorHAnsi" w:hAnsiTheme="minorHAnsi" w:cstheme="minorHAnsi"/>
                <w:sz w:val="20"/>
                <w:szCs w:val="20"/>
              </w:rPr>
              <w:t>/14</w:t>
            </w:r>
          </w:p>
        </w:tc>
        <w:tc>
          <w:tcPr>
            <w:tcW w:w="940" w:type="pct"/>
          </w:tcPr>
          <w:p w:rsidR="00AE313D" w:rsidRDefault="00AE313D" w:rsidP="00E35D60">
            <w:pPr>
              <w:rPr>
                <w:rFonts w:asciiTheme="minorHAnsi" w:hAnsiTheme="minorHAnsi" w:cstheme="minorHAnsi"/>
                <w:sz w:val="20"/>
                <w:szCs w:val="20"/>
              </w:rPr>
            </w:pPr>
            <w:r>
              <w:rPr>
                <w:rFonts w:asciiTheme="minorHAnsi" w:hAnsiTheme="minorHAnsi" w:cstheme="minorHAnsi"/>
                <w:sz w:val="20"/>
                <w:szCs w:val="20"/>
              </w:rPr>
              <w:t>Fiela Gutierrez</w:t>
            </w:r>
            <w:r w:rsidRPr="00697868">
              <w:rPr>
                <w:rFonts w:asciiTheme="minorHAnsi" w:hAnsiTheme="minorHAnsi" w:cstheme="minorHAnsi"/>
                <w:sz w:val="20"/>
                <w:szCs w:val="20"/>
              </w:rPr>
              <w:t>/</w:t>
            </w:r>
            <w:r>
              <w:rPr>
                <w:rFonts w:asciiTheme="minorHAnsi" w:hAnsiTheme="minorHAnsi" w:cstheme="minorHAnsi"/>
                <w:sz w:val="20"/>
                <w:szCs w:val="20"/>
              </w:rPr>
              <w:t xml:space="preserve"> Lincus, Inc.</w:t>
            </w:r>
          </w:p>
        </w:tc>
        <w:tc>
          <w:tcPr>
            <w:tcW w:w="2124" w:type="pct"/>
          </w:tcPr>
          <w:p w:rsidR="00AE313D" w:rsidRDefault="00AE313D" w:rsidP="006154AA">
            <w:pPr>
              <w:rPr>
                <w:rFonts w:asciiTheme="minorHAnsi" w:hAnsiTheme="minorHAnsi" w:cstheme="minorHAnsi"/>
                <w:bCs/>
                <w:sz w:val="20"/>
                <w:szCs w:val="20"/>
              </w:rPr>
            </w:pPr>
            <w:r w:rsidRPr="00E35D60">
              <w:rPr>
                <w:rFonts w:asciiTheme="minorHAnsi" w:hAnsiTheme="minorHAnsi" w:cstheme="minorHAnsi"/>
                <w:bCs/>
                <w:sz w:val="20"/>
                <w:szCs w:val="20"/>
              </w:rPr>
              <w:t xml:space="preserve">Draft Work Paper adapted from the </w:t>
            </w:r>
            <w:r>
              <w:rPr>
                <w:rFonts w:asciiTheme="minorHAnsi" w:hAnsiTheme="minorHAnsi" w:cstheme="minorHAnsi"/>
                <w:bCs/>
                <w:sz w:val="20"/>
                <w:szCs w:val="20"/>
              </w:rPr>
              <w:t xml:space="preserve">PG&amp;E 2013-2014 Work Paper PGECOCOM105 &amp; </w:t>
            </w:r>
            <w:r w:rsidRPr="00E35D60">
              <w:rPr>
                <w:rFonts w:asciiTheme="minorHAnsi" w:hAnsiTheme="minorHAnsi" w:cstheme="minorHAnsi"/>
                <w:bCs/>
                <w:sz w:val="20"/>
                <w:szCs w:val="20"/>
              </w:rPr>
              <w:t>SCE 201</w:t>
            </w:r>
            <w:r>
              <w:rPr>
                <w:rFonts w:asciiTheme="minorHAnsi" w:hAnsiTheme="minorHAnsi" w:cstheme="minorHAnsi"/>
                <w:bCs/>
                <w:sz w:val="20"/>
                <w:szCs w:val="20"/>
              </w:rPr>
              <w:t>3</w:t>
            </w:r>
            <w:r w:rsidRPr="00E35D60">
              <w:rPr>
                <w:rFonts w:asciiTheme="minorHAnsi" w:hAnsiTheme="minorHAnsi" w:cstheme="minorHAnsi"/>
                <w:bCs/>
                <w:sz w:val="20"/>
                <w:szCs w:val="20"/>
              </w:rPr>
              <w:t>-201</w:t>
            </w:r>
            <w:r>
              <w:rPr>
                <w:rFonts w:asciiTheme="minorHAnsi" w:hAnsiTheme="minorHAnsi" w:cstheme="minorHAnsi"/>
                <w:bCs/>
                <w:sz w:val="20"/>
                <w:szCs w:val="20"/>
              </w:rPr>
              <w:t>4</w:t>
            </w:r>
            <w:r w:rsidRPr="00E35D60">
              <w:rPr>
                <w:rFonts w:asciiTheme="minorHAnsi" w:hAnsiTheme="minorHAnsi" w:cstheme="minorHAnsi"/>
                <w:bCs/>
                <w:sz w:val="20"/>
                <w:szCs w:val="20"/>
              </w:rPr>
              <w:t xml:space="preserve"> Work Paper </w:t>
            </w:r>
            <w:r>
              <w:rPr>
                <w:rFonts w:asciiTheme="minorHAnsi" w:hAnsiTheme="minorHAnsi" w:cstheme="minorHAnsi"/>
                <w:bCs/>
                <w:sz w:val="20"/>
                <w:szCs w:val="20"/>
              </w:rPr>
              <w:t>SCE13</w:t>
            </w:r>
            <w:r w:rsidRPr="00E35D60">
              <w:rPr>
                <w:rFonts w:asciiTheme="minorHAnsi" w:hAnsiTheme="minorHAnsi" w:cstheme="minorHAnsi"/>
                <w:bCs/>
                <w:sz w:val="20"/>
                <w:szCs w:val="20"/>
              </w:rPr>
              <w:t>OE00</w:t>
            </w:r>
            <w:r>
              <w:rPr>
                <w:rFonts w:asciiTheme="minorHAnsi" w:hAnsiTheme="minorHAnsi" w:cstheme="minorHAnsi"/>
                <w:bCs/>
                <w:sz w:val="20"/>
                <w:szCs w:val="20"/>
              </w:rPr>
              <w:t>1.0, and updated codes to 2013 Title 24 Requirements</w:t>
            </w:r>
          </w:p>
          <w:p w:rsidR="00AE313D" w:rsidRPr="00E35D60" w:rsidRDefault="00AE313D" w:rsidP="006154AA">
            <w:pPr>
              <w:rPr>
                <w:rFonts w:asciiTheme="minorHAnsi" w:hAnsiTheme="minorHAnsi" w:cstheme="minorHAnsi"/>
                <w:bCs/>
                <w:sz w:val="20"/>
                <w:szCs w:val="20"/>
              </w:rPr>
            </w:pPr>
            <w:r>
              <w:rPr>
                <w:rFonts w:asciiTheme="minorHAnsi" w:hAnsiTheme="minorHAnsi" w:cstheme="minorHAnsi"/>
                <w:bCs/>
                <w:sz w:val="20"/>
                <w:szCs w:val="20"/>
              </w:rPr>
              <w:t>Work paper updated for the reporting period, effective 7/1/14 – 12/31/14.</w:t>
            </w:r>
          </w:p>
        </w:tc>
      </w:tr>
    </w:tbl>
    <w:p w:rsidR="009500DC" w:rsidRPr="00697868" w:rsidRDefault="009500DC" w:rsidP="00DA690B">
      <w:pPr>
        <w:rPr>
          <w:rFonts w:asciiTheme="minorHAnsi" w:hAnsiTheme="minorHAnsi" w:cstheme="minorHAnsi"/>
        </w:rPr>
        <w:sectPr w:rsidR="009500DC" w:rsidRPr="00697868" w:rsidSect="00386842">
          <w:footerReference w:type="default" r:id="rId10"/>
          <w:type w:val="continuous"/>
          <w:pgSz w:w="12240" w:h="15840"/>
          <w:pgMar w:top="1440" w:right="1440" w:bottom="1440" w:left="1440" w:header="720" w:footer="720" w:gutter="0"/>
          <w:pgNumType w:fmt="lowerRoman" w:start="1"/>
          <w:cols w:space="720"/>
          <w:docGrid w:linePitch="360"/>
        </w:sectPr>
      </w:pPr>
    </w:p>
    <w:p w:rsidR="008E6CBB" w:rsidRDefault="00541907" w:rsidP="00117A1E">
      <w:pPr>
        <w:pStyle w:val="Heading1"/>
        <w:rPr>
          <w:rFonts w:asciiTheme="minorHAnsi" w:hAnsiTheme="minorHAnsi" w:cstheme="minorHAnsi"/>
        </w:rPr>
      </w:pPr>
      <w:proofErr w:type="gramStart"/>
      <w:r w:rsidRPr="00117A1E">
        <w:rPr>
          <w:rFonts w:asciiTheme="minorHAnsi" w:hAnsiTheme="minorHAnsi" w:cstheme="minorHAnsi"/>
        </w:rPr>
        <w:t>Section 1.</w:t>
      </w:r>
      <w:proofErr w:type="gramEnd"/>
      <w:r w:rsidRPr="00117A1E">
        <w:rPr>
          <w:rFonts w:asciiTheme="minorHAnsi" w:hAnsiTheme="minorHAnsi" w:cstheme="minorHAnsi"/>
        </w:rPr>
        <w:t xml:space="preserve"> General Measure &amp; Baseline Data</w:t>
      </w:r>
      <w:bookmarkStart w:id="7" w:name="_Toc214003083"/>
      <w:bookmarkEnd w:id="1"/>
    </w:p>
    <w:p w:rsidR="00E16609" w:rsidRPr="001B7EAB" w:rsidRDefault="00824F1C" w:rsidP="00117A1E">
      <w:pPr>
        <w:pStyle w:val="Heading1"/>
        <w:rPr>
          <w:rFonts w:asciiTheme="minorHAnsi" w:hAnsiTheme="minorHAnsi"/>
        </w:rPr>
      </w:pPr>
      <w:r w:rsidRPr="001B7EAB">
        <w:rPr>
          <w:rFonts w:asciiTheme="minorHAnsi" w:hAnsiTheme="minorHAnsi"/>
        </w:rPr>
        <w:t xml:space="preserve">1.1 </w:t>
      </w:r>
      <w:r w:rsidR="009B70E8">
        <w:rPr>
          <w:rFonts w:asciiTheme="minorHAnsi" w:hAnsiTheme="minorHAnsi"/>
        </w:rPr>
        <w:t xml:space="preserve">  </w:t>
      </w:r>
      <w:r w:rsidR="00AC5309" w:rsidRPr="001B7EAB">
        <w:rPr>
          <w:rFonts w:asciiTheme="minorHAnsi" w:hAnsiTheme="minorHAnsi"/>
        </w:rPr>
        <w:t xml:space="preserve">Measure Description </w:t>
      </w:r>
      <w:r w:rsidR="00E16609" w:rsidRPr="001B7EAB">
        <w:rPr>
          <w:rFonts w:asciiTheme="minorHAnsi" w:hAnsiTheme="minorHAnsi"/>
        </w:rPr>
        <w:t xml:space="preserve">&amp; </w:t>
      </w:r>
      <w:r w:rsidR="00AC5309" w:rsidRPr="001B7EAB">
        <w:rPr>
          <w:rFonts w:asciiTheme="minorHAnsi" w:hAnsiTheme="minorHAnsi"/>
        </w:rPr>
        <w:t>Background</w:t>
      </w:r>
      <w:r w:rsidR="00E16609" w:rsidRPr="001B7EAB">
        <w:rPr>
          <w:rFonts w:asciiTheme="minorHAnsi" w:hAnsiTheme="minorHAnsi"/>
        </w:rPr>
        <w:t xml:space="preserve"> </w:t>
      </w:r>
      <w:bookmarkEnd w:id="7"/>
    </w:p>
    <w:p w:rsidR="00D42C8A" w:rsidRDefault="00E35D60" w:rsidP="00E35D60">
      <w:pPr>
        <w:pStyle w:val="Reminder"/>
        <w:rPr>
          <w:rFonts w:asciiTheme="minorHAnsi" w:hAnsiTheme="minorHAnsi" w:cstheme="minorHAnsi"/>
          <w:i w:val="0"/>
          <w:color w:val="auto"/>
          <w:sz w:val="22"/>
          <w:szCs w:val="22"/>
        </w:rPr>
      </w:pPr>
      <w:r w:rsidRPr="00E35D60">
        <w:rPr>
          <w:rFonts w:asciiTheme="minorHAnsi" w:hAnsiTheme="minorHAnsi" w:cstheme="minorHAnsi"/>
          <w:i w:val="0"/>
          <w:color w:val="auto"/>
          <w:sz w:val="22"/>
          <w:szCs w:val="22"/>
        </w:rPr>
        <w:t xml:space="preserve">This work paper details the retrofit of existing computers and monitors without power management software with personal computer power management (PCPM) software.  </w:t>
      </w:r>
    </w:p>
    <w:p w:rsidR="00356C9F" w:rsidRDefault="00356C9F" w:rsidP="00E35D60">
      <w:pPr>
        <w:pStyle w:val="Reminder"/>
        <w:rPr>
          <w:rFonts w:asciiTheme="minorHAnsi" w:hAnsiTheme="minorHAnsi" w:cstheme="minorHAnsi"/>
          <w:i w:val="0"/>
          <w:color w:val="auto"/>
          <w:sz w:val="22"/>
          <w:szCs w:val="22"/>
        </w:rPr>
      </w:pPr>
    </w:p>
    <w:p w:rsidR="00697868" w:rsidRPr="00E35D60" w:rsidRDefault="00E35D60" w:rsidP="00E35D60">
      <w:pPr>
        <w:pStyle w:val="Reminder"/>
        <w:rPr>
          <w:rFonts w:asciiTheme="minorHAnsi" w:hAnsiTheme="minorHAnsi" w:cstheme="minorHAnsi"/>
          <w:i w:val="0"/>
          <w:color w:val="auto"/>
          <w:sz w:val="22"/>
          <w:szCs w:val="22"/>
        </w:rPr>
      </w:pPr>
      <w:r w:rsidRPr="00E35D60">
        <w:rPr>
          <w:rFonts w:asciiTheme="minorHAnsi" w:hAnsiTheme="minorHAnsi" w:cstheme="minorHAnsi"/>
          <w:i w:val="0"/>
          <w:color w:val="auto"/>
          <w:sz w:val="22"/>
          <w:szCs w:val="22"/>
        </w:rPr>
        <w:t xml:space="preserve">The base case equipment for this measure assumes a typical desktop computer </w:t>
      </w:r>
      <w:r w:rsidR="00D42C8A">
        <w:rPr>
          <w:rFonts w:asciiTheme="minorHAnsi" w:hAnsiTheme="minorHAnsi" w:cstheme="minorHAnsi"/>
          <w:i w:val="0"/>
          <w:color w:val="auto"/>
          <w:sz w:val="22"/>
          <w:szCs w:val="22"/>
        </w:rPr>
        <w:t xml:space="preserve">on a distributed network </w:t>
      </w:r>
      <w:r w:rsidRPr="00E35D60">
        <w:rPr>
          <w:rFonts w:asciiTheme="minorHAnsi" w:hAnsiTheme="minorHAnsi" w:cstheme="minorHAnsi"/>
          <w:i w:val="0"/>
          <w:color w:val="auto"/>
          <w:sz w:val="22"/>
          <w:szCs w:val="22"/>
        </w:rPr>
        <w:t>with a single LCD monitor, and is based on monitoring data. The base case power option settings will vary based on existing business policies and individual preferences.</w:t>
      </w:r>
      <w:r w:rsidR="009E3946">
        <w:rPr>
          <w:rFonts w:asciiTheme="minorHAnsi" w:hAnsiTheme="minorHAnsi" w:cstheme="minorHAnsi"/>
          <w:i w:val="0"/>
          <w:color w:val="auto"/>
          <w:sz w:val="22"/>
          <w:szCs w:val="22"/>
        </w:rPr>
        <w:t xml:space="preserve">  The energy savings are provided on a per computer basis.  See the following tables for the list of measures included in this work paper.</w:t>
      </w:r>
    </w:p>
    <w:p w:rsidR="00A040EA" w:rsidRDefault="00A040EA" w:rsidP="00A040EA">
      <w:pPr>
        <w:pStyle w:val="Caption"/>
        <w:jc w:val="center"/>
        <w:rPr>
          <w:rFonts w:asciiTheme="minorHAnsi" w:hAnsiTheme="minorHAnsi" w:cstheme="minorHAnsi"/>
          <w:sz w:val="22"/>
          <w:szCs w:val="22"/>
        </w:rPr>
      </w:pPr>
    </w:p>
    <w:p w:rsidR="00A040EA" w:rsidRPr="00697868" w:rsidRDefault="00A040EA" w:rsidP="00A040EA">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95321C">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Pr>
          <w:rFonts w:asciiTheme="minorHAnsi" w:hAnsiTheme="minorHAnsi" w:cstheme="minorHAnsi"/>
          <w:sz w:val="22"/>
          <w:szCs w:val="22"/>
        </w:rPr>
        <w:t xml:space="preserve">PG&amp;E </w:t>
      </w:r>
      <w:r w:rsidRPr="00697868">
        <w:rPr>
          <w:rFonts w:asciiTheme="minorHAnsi" w:hAnsiTheme="minorHAnsi" w:cstheme="minorHAnsi"/>
          <w:sz w:val="22"/>
          <w:szCs w:val="22"/>
        </w:rPr>
        <w:t>Measure Names</w:t>
      </w:r>
    </w:p>
    <w:tbl>
      <w:tblPr>
        <w:tblStyle w:val="TableContemporary"/>
        <w:tblW w:w="0" w:type="auto"/>
        <w:jc w:val="center"/>
        <w:tblInd w:w="-905" w:type="dxa"/>
        <w:tblLook w:val="04A0" w:firstRow="1" w:lastRow="0" w:firstColumn="1" w:lastColumn="0" w:noHBand="0" w:noVBand="1"/>
      </w:tblPr>
      <w:tblGrid>
        <w:gridCol w:w="2400"/>
        <w:gridCol w:w="4739"/>
      </w:tblGrid>
      <w:tr w:rsidR="00270681" w:rsidRPr="00697868" w:rsidTr="00270681">
        <w:trPr>
          <w:cnfStyle w:val="100000000000" w:firstRow="1" w:lastRow="0" w:firstColumn="0" w:lastColumn="0" w:oddVBand="0" w:evenVBand="0" w:oddHBand="0" w:evenHBand="0" w:firstRowFirstColumn="0" w:firstRowLastColumn="0" w:lastRowFirstColumn="0" w:lastRowLastColumn="0"/>
          <w:jc w:val="center"/>
        </w:trPr>
        <w:tc>
          <w:tcPr>
            <w:tcW w:w="2400" w:type="dxa"/>
          </w:tcPr>
          <w:p w:rsidR="00270681" w:rsidRPr="00697868" w:rsidRDefault="00270681" w:rsidP="002A24D0">
            <w:pPr>
              <w:rPr>
                <w:rFonts w:asciiTheme="minorHAnsi" w:hAnsiTheme="minorHAnsi" w:cstheme="minorHAnsi"/>
                <w:sz w:val="20"/>
                <w:szCs w:val="20"/>
              </w:rPr>
            </w:pPr>
            <w:r>
              <w:rPr>
                <w:rFonts w:asciiTheme="minorHAnsi" w:hAnsiTheme="minorHAnsi" w:cstheme="minorHAnsi"/>
                <w:sz w:val="20"/>
                <w:szCs w:val="20"/>
              </w:rPr>
              <w:t>Product</w:t>
            </w:r>
            <w:r w:rsidRPr="00697868">
              <w:rPr>
                <w:rFonts w:asciiTheme="minorHAnsi" w:hAnsiTheme="minorHAnsi" w:cstheme="minorHAnsi"/>
                <w:sz w:val="20"/>
                <w:szCs w:val="20"/>
              </w:rPr>
              <w:t xml:space="preserve"> Code</w:t>
            </w:r>
          </w:p>
        </w:tc>
        <w:tc>
          <w:tcPr>
            <w:tcW w:w="4739" w:type="dxa"/>
          </w:tcPr>
          <w:p w:rsidR="00270681" w:rsidRPr="00697868" w:rsidRDefault="00270681" w:rsidP="002A24D0">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270681" w:rsidRPr="00697868" w:rsidTr="00270681">
        <w:trPr>
          <w:cnfStyle w:val="000000100000" w:firstRow="0" w:lastRow="0" w:firstColumn="0" w:lastColumn="0" w:oddVBand="0" w:evenVBand="0" w:oddHBand="1" w:evenHBand="0" w:firstRowFirstColumn="0" w:firstRowLastColumn="0" w:lastRowFirstColumn="0" w:lastRowLastColumn="0"/>
          <w:trHeight w:val="243"/>
          <w:jc w:val="center"/>
        </w:trPr>
        <w:tc>
          <w:tcPr>
            <w:tcW w:w="2400" w:type="dxa"/>
          </w:tcPr>
          <w:p w:rsidR="00270681" w:rsidRPr="00697868" w:rsidRDefault="00270681" w:rsidP="002A24D0">
            <w:pPr>
              <w:rPr>
                <w:rFonts w:asciiTheme="minorHAnsi" w:hAnsiTheme="minorHAnsi" w:cstheme="minorHAnsi"/>
                <w:sz w:val="20"/>
                <w:szCs w:val="20"/>
              </w:rPr>
            </w:pPr>
            <w:r>
              <w:rPr>
                <w:rFonts w:asciiTheme="minorHAnsi" w:hAnsiTheme="minorHAnsi" w:cstheme="minorHAnsi"/>
                <w:sz w:val="20"/>
                <w:szCs w:val="20"/>
              </w:rPr>
              <w:t>M03</w:t>
            </w:r>
          </w:p>
        </w:tc>
        <w:tc>
          <w:tcPr>
            <w:tcW w:w="4739" w:type="dxa"/>
          </w:tcPr>
          <w:p w:rsidR="00270681" w:rsidRPr="00697868" w:rsidRDefault="00270681" w:rsidP="002A24D0">
            <w:pPr>
              <w:rPr>
                <w:rFonts w:asciiTheme="minorHAnsi" w:hAnsiTheme="minorHAnsi" w:cstheme="minorHAnsi"/>
                <w:sz w:val="20"/>
                <w:szCs w:val="20"/>
              </w:rPr>
            </w:pPr>
            <w:r>
              <w:rPr>
                <w:rFonts w:asciiTheme="minorHAnsi" w:hAnsiTheme="minorHAnsi" w:cstheme="minorHAnsi"/>
                <w:sz w:val="20"/>
                <w:szCs w:val="20"/>
              </w:rPr>
              <w:t>Power Management Software for Networked Computers</w:t>
            </w:r>
          </w:p>
        </w:tc>
      </w:tr>
    </w:tbl>
    <w:p w:rsidR="00A040EA" w:rsidRDefault="00A040EA" w:rsidP="00AC5309">
      <w:pPr>
        <w:pStyle w:val="Caption"/>
        <w:jc w:val="center"/>
        <w:rPr>
          <w:rFonts w:asciiTheme="minorHAnsi" w:hAnsiTheme="minorHAnsi" w:cstheme="minorHAnsi"/>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95321C">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A040EA">
        <w:rPr>
          <w:rFonts w:asciiTheme="minorHAnsi" w:hAnsiTheme="minorHAnsi" w:cstheme="minorHAnsi"/>
          <w:sz w:val="22"/>
          <w:szCs w:val="22"/>
        </w:rPr>
        <w:t xml:space="preserve">SCE </w:t>
      </w:r>
      <w:r w:rsidRPr="00697868">
        <w:rPr>
          <w:rFonts w:asciiTheme="minorHAnsi" w:hAnsiTheme="minorHAnsi" w:cstheme="minorHAnsi"/>
          <w:sz w:val="22"/>
          <w:szCs w:val="22"/>
        </w:rPr>
        <w:t>Measure Names</w:t>
      </w:r>
    </w:p>
    <w:tbl>
      <w:tblPr>
        <w:tblStyle w:val="TableContemporary"/>
        <w:tblW w:w="0" w:type="auto"/>
        <w:jc w:val="center"/>
        <w:tblLook w:val="04A0" w:firstRow="1" w:lastRow="0" w:firstColumn="1" w:lastColumn="0" w:noHBand="0" w:noVBand="1"/>
      </w:tblPr>
      <w:tblGrid>
        <w:gridCol w:w="2394"/>
        <w:gridCol w:w="4725"/>
      </w:tblGrid>
      <w:tr w:rsidR="00AC5309" w:rsidRPr="00697868" w:rsidTr="009824E9">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4725"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rsidTr="009824E9">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AC5309" w:rsidRPr="00697868" w:rsidRDefault="000053B3" w:rsidP="00207762">
            <w:pPr>
              <w:rPr>
                <w:rFonts w:asciiTheme="minorHAnsi" w:hAnsiTheme="minorHAnsi" w:cstheme="minorHAnsi"/>
                <w:sz w:val="20"/>
                <w:szCs w:val="20"/>
              </w:rPr>
            </w:pPr>
            <w:r w:rsidRPr="00672C82">
              <w:rPr>
                <w:rFonts w:ascii="Calibri" w:hAnsi="Calibri" w:cs="Calibri"/>
                <w:sz w:val="20"/>
                <w:szCs w:val="20"/>
              </w:rPr>
              <w:t>OE-65003</w:t>
            </w:r>
          </w:p>
        </w:tc>
        <w:tc>
          <w:tcPr>
            <w:tcW w:w="4725" w:type="dxa"/>
          </w:tcPr>
          <w:p w:rsidR="00AC5309" w:rsidRPr="00697868" w:rsidRDefault="00D42C8A" w:rsidP="009824E9">
            <w:pPr>
              <w:rPr>
                <w:rFonts w:asciiTheme="minorHAnsi" w:hAnsiTheme="minorHAnsi" w:cstheme="minorHAnsi"/>
                <w:sz w:val="20"/>
                <w:szCs w:val="20"/>
              </w:rPr>
            </w:pPr>
            <w:r>
              <w:rPr>
                <w:rFonts w:asciiTheme="minorHAnsi" w:hAnsiTheme="minorHAnsi" w:cstheme="minorHAnsi"/>
                <w:sz w:val="20"/>
                <w:szCs w:val="20"/>
              </w:rPr>
              <w:t>Power Management Software for Networked Computers</w:t>
            </w:r>
          </w:p>
        </w:tc>
      </w:tr>
    </w:tbl>
    <w:p w:rsidR="00A040EA" w:rsidRPr="002A24D0" w:rsidRDefault="00A040EA" w:rsidP="002A24D0">
      <w:pPr>
        <w:pStyle w:val="ListParagraph"/>
        <w:keepNext/>
        <w:numPr>
          <w:ilvl w:val="2"/>
          <w:numId w:val="10"/>
        </w:numPr>
        <w:spacing w:before="240" w:after="60"/>
        <w:outlineLvl w:val="2"/>
        <w:rPr>
          <w:rFonts w:ascii="Calibri" w:hAnsi="Calibri" w:cs="Calibri"/>
          <w:b/>
          <w:bCs/>
          <w:sz w:val="26"/>
          <w:szCs w:val="26"/>
        </w:rPr>
      </w:pPr>
      <w:r w:rsidRPr="002A24D0">
        <w:rPr>
          <w:rFonts w:ascii="Calibri" w:hAnsi="Calibri" w:cs="Calibri"/>
          <w:b/>
          <w:bCs/>
          <w:sz w:val="26"/>
          <w:szCs w:val="26"/>
        </w:rPr>
        <w:t>Pacific Gas &amp; Electric Requirements</w:t>
      </w:r>
    </w:p>
    <w:p w:rsidR="002A24D0" w:rsidRPr="00FC3C77" w:rsidRDefault="002A24D0" w:rsidP="002A24D0">
      <w:pPr>
        <w:rPr>
          <w:rFonts w:asciiTheme="minorHAnsi" w:hAnsiTheme="minorHAnsi" w:cs="Arial"/>
          <w:b/>
          <w:sz w:val="22"/>
          <w:szCs w:val="22"/>
        </w:rPr>
      </w:pPr>
      <w:r w:rsidRPr="00FC3C77">
        <w:rPr>
          <w:rFonts w:asciiTheme="minorHAnsi" w:hAnsiTheme="minorHAnsi" w:cs="Arial"/>
          <w:b/>
          <w:sz w:val="22"/>
          <w:szCs w:val="22"/>
        </w:rPr>
        <w:t xml:space="preserve">Catalog Description </w:t>
      </w:r>
    </w:p>
    <w:p w:rsidR="002A24D0" w:rsidRPr="001B7EAB" w:rsidRDefault="002A24D0" w:rsidP="002A24D0">
      <w:pPr>
        <w:rPr>
          <w:rFonts w:asciiTheme="minorHAnsi" w:hAnsiTheme="minorHAnsi"/>
          <w:sz w:val="22"/>
          <w:szCs w:val="22"/>
        </w:rPr>
      </w:pPr>
      <w:r w:rsidRPr="001B7EAB">
        <w:rPr>
          <w:rFonts w:asciiTheme="minorHAnsi" w:hAnsiTheme="minorHAnsi"/>
          <w:b/>
          <w:sz w:val="22"/>
          <w:szCs w:val="22"/>
        </w:rPr>
        <w:t>M03</w:t>
      </w:r>
      <w:r w:rsidRPr="001B7EAB">
        <w:rPr>
          <w:rFonts w:asciiTheme="minorHAnsi" w:hAnsiTheme="minorHAnsi"/>
          <w:b/>
          <w:sz w:val="22"/>
          <w:szCs w:val="22"/>
        </w:rPr>
        <w:fldChar w:fldCharType="begin"/>
      </w:r>
      <w:r w:rsidRPr="001B7EAB">
        <w:rPr>
          <w:rFonts w:asciiTheme="minorHAnsi" w:hAnsiTheme="minorHAnsi"/>
          <w:sz w:val="22"/>
          <w:szCs w:val="22"/>
        </w:rPr>
        <w:instrText xml:space="preserve"> XE "</w:instrText>
      </w:r>
      <w:r w:rsidRPr="001B7EAB">
        <w:rPr>
          <w:rFonts w:asciiTheme="minorHAnsi" w:hAnsiTheme="minorHAnsi"/>
          <w:b/>
          <w:sz w:val="22"/>
          <w:szCs w:val="22"/>
        </w:rPr>
        <w:instrText>M03</w:instrText>
      </w:r>
      <w:r w:rsidRPr="001B7EAB">
        <w:rPr>
          <w:rFonts w:asciiTheme="minorHAnsi" w:hAnsiTheme="minorHAnsi"/>
          <w:sz w:val="22"/>
          <w:szCs w:val="22"/>
        </w:rPr>
        <w:instrText xml:space="preserve">" </w:instrText>
      </w:r>
      <w:r w:rsidRPr="001B7EAB">
        <w:rPr>
          <w:rFonts w:asciiTheme="minorHAnsi" w:hAnsiTheme="minorHAnsi"/>
          <w:b/>
          <w:sz w:val="22"/>
          <w:szCs w:val="22"/>
        </w:rPr>
        <w:fldChar w:fldCharType="end"/>
      </w:r>
      <w:r w:rsidRPr="001B7EAB">
        <w:rPr>
          <w:rFonts w:asciiTheme="minorHAnsi" w:hAnsiTheme="minorHAnsi"/>
          <w:b/>
          <w:sz w:val="22"/>
          <w:szCs w:val="22"/>
        </w:rPr>
        <w:t xml:space="preserve"> </w:t>
      </w:r>
      <w:r w:rsidRPr="001B7EAB">
        <w:rPr>
          <w:rFonts w:asciiTheme="minorHAnsi" w:hAnsiTheme="minorHAnsi"/>
          <w:i/>
          <w:sz w:val="22"/>
          <w:szCs w:val="22"/>
        </w:rPr>
        <w:t>—</w:t>
      </w:r>
      <w:r w:rsidRPr="001B7EAB">
        <w:rPr>
          <w:rFonts w:asciiTheme="minorHAnsi" w:hAnsiTheme="minorHAnsi"/>
          <w:sz w:val="22"/>
          <w:szCs w:val="22"/>
        </w:rPr>
        <w:t xml:space="preserve"> </w:t>
      </w:r>
      <w:proofErr w:type="gramStart"/>
      <w:r w:rsidRPr="001B7EAB">
        <w:rPr>
          <w:rFonts w:asciiTheme="minorHAnsi" w:hAnsiTheme="minorHAnsi"/>
          <w:sz w:val="22"/>
          <w:szCs w:val="22"/>
        </w:rPr>
        <w:t>The</w:t>
      </w:r>
      <w:proofErr w:type="gramEnd"/>
      <w:r w:rsidRPr="001B7EAB">
        <w:rPr>
          <w:rFonts w:asciiTheme="minorHAnsi" w:hAnsiTheme="minorHAnsi"/>
          <w:sz w:val="22"/>
          <w:szCs w:val="22"/>
        </w:rPr>
        <w:t xml:space="preserve"> </w:t>
      </w:r>
      <w:r w:rsidR="00A36CC1">
        <w:rPr>
          <w:rFonts w:asciiTheme="minorHAnsi" w:hAnsiTheme="minorHAnsi"/>
          <w:sz w:val="22"/>
          <w:szCs w:val="22"/>
        </w:rPr>
        <w:t>c</w:t>
      </w:r>
      <w:r w:rsidRPr="001B7EAB">
        <w:rPr>
          <w:rFonts w:asciiTheme="minorHAnsi" w:hAnsiTheme="minorHAnsi"/>
          <w:sz w:val="22"/>
          <w:szCs w:val="22"/>
        </w:rPr>
        <w:t xml:space="preserve">ustomer must be a PG&amp;E electric customer. When submitting a rebate worksheet, customers must ensure proper documentation is attached (see below).  </w:t>
      </w:r>
    </w:p>
    <w:p w:rsidR="002A24D0" w:rsidRPr="001B7EAB" w:rsidRDefault="002A24D0" w:rsidP="002A24D0">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For control of desktop computers only</w:t>
      </w:r>
    </w:p>
    <w:p w:rsidR="002A24D0" w:rsidRPr="001B7EAB" w:rsidRDefault="002A24D0" w:rsidP="002A24D0">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Installation must allow centralized control at the server level of the power management settings (sleep mode and shutdown) of desktop computers on a distributed network</w:t>
      </w:r>
    </w:p>
    <w:p w:rsidR="002A24D0" w:rsidRPr="001B7EAB" w:rsidRDefault="002A24D0" w:rsidP="002A24D0">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The software must have a reporting feature that allows monitoring and validation of energy savings</w:t>
      </w:r>
    </w:p>
    <w:p w:rsidR="002A24D0" w:rsidRPr="001B7EAB" w:rsidRDefault="002A24D0" w:rsidP="002A24D0">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Qualifying software must result from:</w:t>
      </w:r>
    </w:p>
    <w:p w:rsidR="002A24D0" w:rsidRPr="001B7EAB" w:rsidRDefault="002A24D0" w:rsidP="002A24D0">
      <w:pPr>
        <w:widowControl w:val="0"/>
        <w:numPr>
          <w:ilvl w:val="0"/>
          <w:numId w:val="14"/>
        </w:numPr>
        <w:tabs>
          <w:tab w:val="clear" w:pos="936"/>
        </w:tabs>
        <w:autoSpaceDE w:val="0"/>
        <w:autoSpaceDN w:val="0"/>
        <w:adjustRightInd w:val="0"/>
        <w:ind w:left="720" w:hanging="360"/>
        <w:rPr>
          <w:rFonts w:asciiTheme="minorHAnsi" w:hAnsiTheme="minorHAnsi"/>
          <w:sz w:val="22"/>
          <w:szCs w:val="22"/>
        </w:rPr>
      </w:pPr>
      <w:r w:rsidRPr="001B7EAB">
        <w:rPr>
          <w:rFonts w:asciiTheme="minorHAnsi" w:hAnsiTheme="minorHAnsi"/>
          <w:sz w:val="22"/>
          <w:szCs w:val="22"/>
        </w:rPr>
        <w:t>A new installation, where none previously existed, or</w:t>
      </w:r>
    </w:p>
    <w:p w:rsidR="002A24D0" w:rsidRPr="001B7EAB" w:rsidRDefault="002A24D0" w:rsidP="002A24D0">
      <w:pPr>
        <w:widowControl w:val="0"/>
        <w:numPr>
          <w:ilvl w:val="0"/>
          <w:numId w:val="14"/>
        </w:numPr>
        <w:tabs>
          <w:tab w:val="clear" w:pos="936"/>
        </w:tabs>
        <w:autoSpaceDE w:val="0"/>
        <w:autoSpaceDN w:val="0"/>
        <w:adjustRightInd w:val="0"/>
        <w:ind w:left="720" w:hanging="360"/>
        <w:rPr>
          <w:rFonts w:asciiTheme="minorHAnsi" w:hAnsiTheme="minorHAnsi"/>
          <w:sz w:val="22"/>
          <w:szCs w:val="22"/>
        </w:rPr>
      </w:pPr>
      <w:r w:rsidRPr="001B7EAB">
        <w:rPr>
          <w:rFonts w:asciiTheme="minorHAnsi" w:hAnsiTheme="minorHAnsi"/>
          <w:sz w:val="22"/>
          <w:szCs w:val="22"/>
        </w:rPr>
        <w:t>An upgrade of an operating system or other network support software where the desktop computer power management function did not previously exist</w:t>
      </w:r>
    </w:p>
    <w:p w:rsidR="002A24D0" w:rsidRPr="001B7EAB" w:rsidRDefault="002A24D0" w:rsidP="002A24D0">
      <w:pPr>
        <w:rPr>
          <w:rFonts w:asciiTheme="minorHAnsi" w:hAnsiTheme="minorHAnsi"/>
          <w:sz w:val="22"/>
          <w:szCs w:val="22"/>
        </w:rPr>
      </w:pPr>
      <w:r w:rsidRPr="001B7EAB">
        <w:rPr>
          <w:rFonts w:asciiTheme="minorHAnsi" w:hAnsiTheme="minorHAnsi"/>
          <w:sz w:val="22"/>
          <w:szCs w:val="22"/>
        </w:rPr>
        <w:t xml:space="preserve">Qualifying software must be purchased and installed on or after </w:t>
      </w:r>
      <w:r w:rsidR="009F48AC">
        <w:rPr>
          <w:rFonts w:asciiTheme="minorHAnsi" w:hAnsiTheme="minorHAnsi"/>
          <w:sz w:val="22"/>
          <w:szCs w:val="22"/>
        </w:rPr>
        <w:t>January 1, 2013</w:t>
      </w:r>
      <w:r w:rsidRPr="001B7EAB">
        <w:rPr>
          <w:rFonts w:asciiTheme="minorHAnsi" w:hAnsiTheme="minorHAnsi"/>
          <w:sz w:val="22"/>
          <w:szCs w:val="22"/>
        </w:rPr>
        <w:t xml:space="preserve">.  </w:t>
      </w:r>
    </w:p>
    <w:p w:rsidR="002A24D0" w:rsidRPr="001B7EAB" w:rsidRDefault="002A24D0" w:rsidP="002A24D0">
      <w:pPr>
        <w:autoSpaceDE w:val="0"/>
        <w:autoSpaceDN w:val="0"/>
        <w:adjustRightInd w:val="0"/>
        <w:rPr>
          <w:rFonts w:asciiTheme="minorHAnsi" w:hAnsiTheme="minorHAnsi"/>
          <w:sz w:val="22"/>
          <w:szCs w:val="22"/>
        </w:rPr>
      </w:pPr>
      <w:r w:rsidRPr="001B7EAB">
        <w:rPr>
          <w:rFonts w:asciiTheme="minorHAnsi" w:hAnsiTheme="minorHAnsi"/>
          <w:sz w:val="22"/>
          <w:szCs w:val="22"/>
        </w:rPr>
        <w:t>Customer must agree to provide PG&amp;E with 100% of the savings for a period of three (3) years from the receipt of the rebate</w:t>
      </w:r>
    </w:p>
    <w:p w:rsidR="002A24D0" w:rsidRPr="001B7EAB" w:rsidRDefault="002A24D0" w:rsidP="002A24D0">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 xml:space="preserve">Qualifying software must be purchased and installed on or after </w:t>
      </w:r>
      <w:r w:rsidR="009F48AC">
        <w:rPr>
          <w:rFonts w:asciiTheme="minorHAnsi" w:hAnsiTheme="minorHAnsi"/>
          <w:sz w:val="22"/>
          <w:szCs w:val="22"/>
        </w:rPr>
        <w:t>January 1, 2013</w:t>
      </w:r>
    </w:p>
    <w:p w:rsidR="002A24D0" w:rsidRPr="001B7EAB" w:rsidRDefault="002A24D0" w:rsidP="002A24D0">
      <w:pPr>
        <w:widowControl w:val="0"/>
        <w:autoSpaceDE w:val="0"/>
        <w:autoSpaceDN w:val="0"/>
        <w:adjustRightInd w:val="0"/>
        <w:rPr>
          <w:rFonts w:asciiTheme="minorHAnsi" w:hAnsiTheme="minorHAnsi"/>
          <w:sz w:val="22"/>
          <w:szCs w:val="22"/>
        </w:rPr>
      </w:pPr>
      <w:r w:rsidRPr="001B7EAB">
        <w:rPr>
          <w:rFonts w:asciiTheme="minorHAnsi" w:hAnsiTheme="minorHAnsi"/>
          <w:b/>
          <w:sz w:val="22"/>
          <w:szCs w:val="22"/>
        </w:rPr>
        <w:t>Exclusions</w:t>
      </w:r>
      <w:r w:rsidRPr="001B7EAB">
        <w:rPr>
          <w:rFonts w:asciiTheme="minorHAnsi" w:hAnsiTheme="minorHAnsi"/>
          <w:sz w:val="22"/>
          <w:szCs w:val="22"/>
        </w:rPr>
        <w:t>:</w:t>
      </w:r>
    </w:p>
    <w:p w:rsidR="002A24D0" w:rsidRPr="001B7EAB" w:rsidRDefault="002A24D0" w:rsidP="002A24D0">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Not for control of laptop and laptop stations</w:t>
      </w:r>
    </w:p>
    <w:p w:rsidR="002A24D0" w:rsidRPr="001B7EAB" w:rsidRDefault="002A24D0" w:rsidP="002A24D0">
      <w:pPr>
        <w:widowControl w:val="0"/>
        <w:autoSpaceDE w:val="0"/>
        <w:autoSpaceDN w:val="0"/>
        <w:adjustRightInd w:val="0"/>
        <w:rPr>
          <w:rFonts w:asciiTheme="minorHAnsi" w:hAnsiTheme="minorHAnsi"/>
          <w:sz w:val="22"/>
          <w:szCs w:val="22"/>
        </w:rPr>
      </w:pPr>
      <w:r w:rsidRPr="001B7EAB">
        <w:rPr>
          <w:rFonts w:asciiTheme="minorHAnsi" w:hAnsiTheme="minorHAnsi"/>
          <w:b/>
          <w:sz w:val="22"/>
          <w:szCs w:val="22"/>
        </w:rPr>
        <w:t>Application Process</w:t>
      </w:r>
      <w:r w:rsidRPr="001B7EAB">
        <w:rPr>
          <w:rFonts w:asciiTheme="minorHAnsi" w:hAnsiTheme="minorHAnsi"/>
          <w:sz w:val="22"/>
          <w:szCs w:val="22"/>
        </w:rPr>
        <w:t>:</w:t>
      </w:r>
    </w:p>
    <w:p w:rsidR="002A24D0" w:rsidRPr="001B7EAB" w:rsidRDefault="002A24D0" w:rsidP="002A24D0">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The  following documentation must be attached to and included with the application:</w:t>
      </w:r>
    </w:p>
    <w:p w:rsidR="002A24D0" w:rsidRPr="001B7EAB" w:rsidRDefault="002A24D0" w:rsidP="002A24D0">
      <w:pPr>
        <w:widowControl w:val="0"/>
        <w:numPr>
          <w:ilvl w:val="1"/>
          <w:numId w:val="12"/>
        </w:numPr>
        <w:tabs>
          <w:tab w:val="clear" w:pos="144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t>Copy of Software License Agreement,</w:t>
      </w:r>
    </w:p>
    <w:p w:rsidR="002A24D0" w:rsidRPr="001B7EAB" w:rsidRDefault="002A24D0" w:rsidP="002A24D0">
      <w:pPr>
        <w:widowControl w:val="0"/>
        <w:numPr>
          <w:ilvl w:val="1"/>
          <w:numId w:val="12"/>
        </w:numPr>
        <w:tabs>
          <w:tab w:val="clear" w:pos="144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t xml:space="preserve">A report (print-out) directly from the Network Energy Management Software that shows (a) the location and (b) the number of desktop computers that are being controlled by the system </w:t>
      </w:r>
    </w:p>
    <w:p w:rsidR="002A24D0" w:rsidRPr="001B7EAB" w:rsidRDefault="002A24D0" w:rsidP="002A24D0">
      <w:pPr>
        <w:widowControl w:val="0"/>
        <w:numPr>
          <w:ilvl w:val="0"/>
          <w:numId w:val="12"/>
        </w:numPr>
        <w:autoSpaceDE w:val="0"/>
        <w:autoSpaceDN w:val="0"/>
        <w:adjustRightInd w:val="0"/>
        <w:rPr>
          <w:rFonts w:asciiTheme="minorHAnsi" w:hAnsiTheme="minorHAnsi"/>
          <w:sz w:val="22"/>
          <w:szCs w:val="22"/>
        </w:rPr>
      </w:pPr>
      <w:r w:rsidRPr="001B7EAB">
        <w:rPr>
          <w:rFonts w:asciiTheme="minorHAnsi" w:hAnsiTheme="minorHAnsi"/>
          <w:sz w:val="22"/>
          <w:szCs w:val="22"/>
        </w:rPr>
        <w:t>When contacted, customers must allow PG&amp;E access to customers’ property site to verify:</w:t>
      </w:r>
    </w:p>
    <w:p w:rsidR="002A24D0" w:rsidRPr="001B7EAB" w:rsidRDefault="002A24D0" w:rsidP="002A24D0">
      <w:pPr>
        <w:widowControl w:val="0"/>
        <w:numPr>
          <w:ilvl w:val="1"/>
          <w:numId w:val="12"/>
        </w:numPr>
        <w:tabs>
          <w:tab w:val="clear" w:pos="1440"/>
          <w:tab w:val="num" w:pos="90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t>The software installation; and</w:t>
      </w:r>
    </w:p>
    <w:p w:rsidR="002A24D0" w:rsidRPr="001B7EAB" w:rsidRDefault="002A24D0" w:rsidP="001B7EAB">
      <w:pPr>
        <w:widowControl w:val="0"/>
        <w:autoSpaceDE w:val="0"/>
        <w:autoSpaceDN w:val="0"/>
        <w:adjustRightInd w:val="0"/>
        <w:ind w:left="540"/>
        <w:rPr>
          <w:rFonts w:asciiTheme="minorHAnsi" w:hAnsiTheme="minorHAnsi"/>
          <w:sz w:val="22"/>
          <w:szCs w:val="22"/>
        </w:rPr>
      </w:pPr>
      <w:r w:rsidRPr="001B7EAB">
        <w:rPr>
          <w:rFonts w:asciiTheme="minorHAnsi" w:hAnsiTheme="minorHAnsi"/>
          <w:sz w:val="22"/>
          <w:szCs w:val="22"/>
        </w:rPr>
        <w:t>The location of the installed control software (at the server level); and the number of desktop computers controlled by the system</w:t>
      </w:r>
      <w:r w:rsidR="001C5D58">
        <w:rPr>
          <w:rFonts w:asciiTheme="minorHAnsi" w:hAnsiTheme="minorHAnsi"/>
          <w:sz w:val="22"/>
          <w:szCs w:val="22"/>
        </w:rPr>
        <w:t xml:space="preserve"> [</w:t>
      </w:r>
      <w:r w:rsidR="00114F16">
        <w:rPr>
          <w:rFonts w:asciiTheme="minorHAnsi" w:hAnsiTheme="minorHAnsi"/>
          <w:sz w:val="22"/>
          <w:szCs w:val="22"/>
        </w:rPr>
        <w:fldChar w:fldCharType="begin"/>
      </w:r>
      <w:r w:rsidR="00114F16">
        <w:rPr>
          <w:rFonts w:asciiTheme="minorHAnsi" w:hAnsiTheme="minorHAnsi"/>
          <w:sz w:val="22"/>
          <w:szCs w:val="22"/>
        </w:rPr>
        <w:instrText xml:space="preserve"> REF G \h </w:instrText>
      </w:r>
      <w:r w:rsidR="00114F16">
        <w:rPr>
          <w:rFonts w:asciiTheme="minorHAnsi" w:hAnsiTheme="minorHAnsi"/>
          <w:sz w:val="22"/>
          <w:szCs w:val="22"/>
        </w:rPr>
      </w:r>
      <w:r w:rsidR="00114F16">
        <w:rPr>
          <w:rFonts w:asciiTheme="minorHAnsi" w:hAnsiTheme="minorHAnsi"/>
          <w:sz w:val="22"/>
          <w:szCs w:val="22"/>
        </w:rPr>
        <w:fldChar w:fldCharType="separate"/>
      </w:r>
      <w:r w:rsidR="0095321C">
        <w:rPr>
          <w:rFonts w:asciiTheme="minorHAnsi" w:hAnsiTheme="minorHAnsi" w:cs="Calibri"/>
          <w:bCs/>
          <w:noProof/>
          <w:sz w:val="22"/>
          <w:szCs w:val="22"/>
        </w:rPr>
        <w:t>G</w:t>
      </w:r>
      <w:r w:rsidR="00114F16">
        <w:rPr>
          <w:rFonts w:asciiTheme="minorHAnsi" w:hAnsiTheme="minorHAnsi"/>
          <w:sz w:val="22"/>
          <w:szCs w:val="22"/>
        </w:rPr>
        <w:fldChar w:fldCharType="end"/>
      </w:r>
      <w:r w:rsidR="001C5D58">
        <w:rPr>
          <w:rFonts w:asciiTheme="minorHAnsi" w:hAnsiTheme="minorHAnsi"/>
          <w:sz w:val="22"/>
          <w:szCs w:val="22"/>
        </w:rPr>
        <w:t xml:space="preserve">]. </w:t>
      </w:r>
    </w:p>
    <w:p w:rsidR="00FC3C77" w:rsidRDefault="00A040EA" w:rsidP="00FC3C77">
      <w:pPr>
        <w:keepNext/>
        <w:outlineLvl w:val="2"/>
        <w:rPr>
          <w:rFonts w:ascii="Calibri" w:hAnsi="Calibri" w:cs="Calibri"/>
          <w:bCs/>
          <w:sz w:val="22"/>
          <w:szCs w:val="26"/>
        </w:rPr>
      </w:pPr>
      <w:r w:rsidRPr="00A040EA">
        <w:rPr>
          <w:rFonts w:ascii="Calibri" w:hAnsi="Calibri" w:cs="Calibri"/>
          <w:b/>
          <w:bCs/>
          <w:sz w:val="22"/>
          <w:szCs w:val="26"/>
        </w:rPr>
        <w:t>Terms and Conditions</w:t>
      </w:r>
      <w:r w:rsidRPr="00A040EA">
        <w:rPr>
          <w:rFonts w:ascii="Calibri" w:hAnsi="Calibri" w:cs="Calibri"/>
          <w:bCs/>
          <w:sz w:val="22"/>
          <w:szCs w:val="26"/>
        </w:rPr>
        <w:t>: Any non-residential electric account qualifies if facility computer workstations must be linked and controlled by a LAN system that permits the installation and operation of Desktop Computer network software. Other “T&amp;Cs” are listed above.</w:t>
      </w:r>
    </w:p>
    <w:p w:rsidR="00A040EA" w:rsidRPr="00A040EA" w:rsidRDefault="00A040EA" w:rsidP="00FC3C77">
      <w:pPr>
        <w:keepNext/>
        <w:outlineLvl w:val="2"/>
        <w:rPr>
          <w:rFonts w:ascii="Calibri" w:hAnsi="Calibri" w:cs="Calibri"/>
          <w:bCs/>
          <w:sz w:val="22"/>
          <w:szCs w:val="26"/>
        </w:rPr>
      </w:pPr>
      <w:r w:rsidRPr="00A040EA">
        <w:rPr>
          <w:rFonts w:ascii="Calibri" w:hAnsi="Calibri" w:cs="Calibri"/>
          <w:b/>
          <w:bCs/>
          <w:sz w:val="22"/>
          <w:szCs w:val="26"/>
        </w:rPr>
        <w:t>Market Applicability</w:t>
      </w:r>
      <w:r w:rsidRPr="00A040EA">
        <w:rPr>
          <w:rFonts w:ascii="Calibri" w:hAnsi="Calibri" w:cs="Calibri"/>
          <w:bCs/>
          <w:sz w:val="22"/>
          <w:szCs w:val="26"/>
        </w:rPr>
        <w:t>:  All non-residential PG&amp;E electric customers using networked desktop computer workstations.</w:t>
      </w:r>
    </w:p>
    <w:p w:rsidR="002E0295" w:rsidRPr="002E0295" w:rsidRDefault="00A040EA" w:rsidP="001B7EAB">
      <w:pPr>
        <w:spacing w:before="100" w:beforeAutospacing="1" w:after="100" w:afterAutospacing="1"/>
        <w:rPr>
          <w:rFonts w:ascii="Calibri" w:hAnsi="Calibri" w:cs="Calibri"/>
          <w:sz w:val="22"/>
          <w:szCs w:val="22"/>
        </w:rPr>
      </w:pPr>
      <w:r>
        <w:rPr>
          <w:rFonts w:ascii="Calibri" w:hAnsi="Calibri" w:cs="Calibri"/>
          <w:b/>
          <w:bCs/>
          <w:sz w:val="26"/>
          <w:szCs w:val="26"/>
        </w:rPr>
        <w:t>1.1.2 Southern California Edison Requirements</w:t>
      </w:r>
      <w:r w:rsidR="004A3A3A">
        <w:rPr>
          <w:rFonts w:ascii="Calibri" w:hAnsi="Calibri" w:cs="Calibri"/>
          <w:b/>
          <w:bCs/>
          <w:sz w:val="26"/>
          <w:szCs w:val="26"/>
        </w:rPr>
        <w:t xml:space="preserve"> </w:t>
      </w:r>
      <w:r w:rsidR="002E0295" w:rsidRPr="002E0295">
        <w:rPr>
          <w:rFonts w:ascii="Calibri" w:hAnsi="Calibri" w:cs="Calibri"/>
          <w:sz w:val="22"/>
          <w:szCs w:val="22"/>
        </w:rPr>
        <w:t>This work paper assumes that a complete PCPM network software application is used on a Windows PC network. The PCPM network software meets the following minimal requirements:</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accurately monitors, measures, manages, and reports on the electrical demand and energy usage of individual and groups of networked PCs as proven through independent measurement and verification efforts;</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is a client-server application capable of handling a large computer network with thousands of PCs across multiple geographic locations from a single application server in a single location;</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has built-in security that ensures both user privacy, network security, audit trails, and data integrity;</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uses a robust SQL database system and schema with audit trails;</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 xml:space="preserve">The software supports and manages the power options settings in multiple versions of the Windows operating systems, from Windows 95 up to the latest version of Windows </w:t>
      </w:r>
      <w:r w:rsidR="00444F58">
        <w:rPr>
          <w:rFonts w:ascii="Calibri" w:hAnsi="Calibri" w:cs="Calibri"/>
          <w:sz w:val="22"/>
          <w:szCs w:val="22"/>
        </w:rPr>
        <w:t>8</w:t>
      </w:r>
      <w:r w:rsidRPr="002E0295">
        <w:rPr>
          <w:rFonts w:ascii="Calibri" w:hAnsi="Calibri" w:cs="Calibri"/>
          <w:sz w:val="22"/>
          <w:szCs w:val="22"/>
        </w:rPr>
        <w:t>;</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 xml:space="preserve">The software identifies and manages the power option settings on individual and groups of computers, </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supports scheduling to allow the power settings to vary as necessary during the day, night, week, etc. for individual and groups of computers;</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allows for individuals and groups to create their own power option settings if necessary;</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allows for computers running special tasks and applications to override Power Management as needed;</w:t>
      </w:r>
    </w:p>
    <w:p w:rsidR="002E0295" w:rsidRPr="002E0295" w:rsidRDefault="002E0295" w:rsidP="00A040EA">
      <w:pPr>
        <w:numPr>
          <w:ilvl w:val="1"/>
          <w:numId w:val="9"/>
        </w:numPr>
        <w:spacing w:before="100" w:beforeAutospacing="1" w:after="100" w:afterAutospacing="1"/>
        <w:rPr>
          <w:rFonts w:ascii="Calibri" w:hAnsi="Calibri" w:cs="Calibri"/>
          <w:sz w:val="22"/>
          <w:szCs w:val="22"/>
        </w:rPr>
      </w:pPr>
      <w:r w:rsidRPr="002E0295">
        <w:rPr>
          <w:rFonts w:ascii="Calibri" w:hAnsi="Calibri" w:cs="Calibri"/>
          <w:sz w:val="22"/>
          <w:szCs w:val="22"/>
        </w:rPr>
        <w:t>The software can assign and track the values of the power states for computers and monitors − On, Sleep, Stand-by, Hibernate, Off − for individual and groups of computers for use in estimating the demand, energy consumption, and annual savings, i.e., the application does not rely on a hardcoded set of values; and</w:t>
      </w:r>
    </w:p>
    <w:p w:rsidR="002E0295" w:rsidRPr="002E0295" w:rsidRDefault="002E0295" w:rsidP="00A040EA">
      <w:pPr>
        <w:numPr>
          <w:ilvl w:val="1"/>
          <w:numId w:val="9"/>
        </w:numPr>
        <w:spacing w:before="100" w:beforeAutospacing="1"/>
        <w:rPr>
          <w:rFonts w:ascii="Calibri" w:hAnsi="Calibri" w:cs="Calibri"/>
        </w:rPr>
      </w:pPr>
      <w:r w:rsidRPr="002E0295">
        <w:rPr>
          <w:rFonts w:ascii="Calibri" w:hAnsi="Calibri" w:cs="Calibri"/>
          <w:sz w:val="22"/>
          <w:szCs w:val="22"/>
        </w:rPr>
        <w:t>The software has a separate reporting system application that can run on any workstation on the network that allows authorized individuals, besides the system administrator, to query and produce reports from the central data repository database.</w:t>
      </w:r>
    </w:p>
    <w:p w:rsidR="002E0295" w:rsidRPr="002E0295" w:rsidRDefault="002E0295" w:rsidP="00A040EA">
      <w:pPr>
        <w:spacing w:before="100" w:beforeAutospacing="1"/>
        <w:ind w:left="360"/>
        <w:rPr>
          <w:rFonts w:ascii="Calibri" w:hAnsi="Calibri" w:cs="Calibri"/>
          <w:sz w:val="22"/>
          <w:szCs w:val="22"/>
        </w:rPr>
      </w:pPr>
      <w:r w:rsidRPr="002E0295">
        <w:rPr>
          <w:rFonts w:ascii="Calibri" w:hAnsi="Calibri" w:cs="Calibri"/>
          <w:b/>
          <w:sz w:val="22"/>
          <w:szCs w:val="22"/>
        </w:rPr>
        <w:t xml:space="preserve">Eligibility Requirements: </w:t>
      </w:r>
      <w:r w:rsidRPr="002E0295">
        <w:rPr>
          <w:rFonts w:ascii="Calibri" w:hAnsi="Calibri" w:cs="Calibri"/>
          <w:sz w:val="22"/>
          <w:szCs w:val="22"/>
        </w:rPr>
        <w:t xml:space="preserve">Networked personal computers are eligible only if they do not have power management software currently installed. </w:t>
      </w:r>
    </w:p>
    <w:p w:rsidR="00697868" w:rsidRPr="002E0295" w:rsidRDefault="00697868" w:rsidP="00697868">
      <w:pPr>
        <w:pStyle w:val="Reminders"/>
        <w:rPr>
          <w:rFonts w:asciiTheme="minorHAnsi" w:hAnsiTheme="minorHAnsi" w:cstheme="minorHAnsi"/>
          <w:i w:val="0"/>
          <w:color w:val="auto"/>
          <w:sz w:val="22"/>
          <w:szCs w:val="22"/>
        </w:rPr>
      </w:pP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7236AE" w:rsidRPr="007236AE" w:rsidRDefault="007236AE" w:rsidP="007236AE">
      <w:pPr>
        <w:rPr>
          <w:rFonts w:asciiTheme="minorHAnsi" w:hAnsiTheme="minorHAnsi"/>
          <w:sz w:val="22"/>
          <w:szCs w:val="22"/>
        </w:rPr>
      </w:pPr>
      <w:r w:rsidRPr="007236AE">
        <w:rPr>
          <w:rFonts w:asciiTheme="minorHAnsi" w:hAnsiTheme="minorHAnsi"/>
          <w:sz w:val="22"/>
          <w:szCs w:val="22"/>
        </w:rPr>
        <w:t>A number of strategies have evolved to save energy in desktop computers. One class of products uses software implemented at the network level for desktop computers that allows system administrators to manipulate the internal power settings of the central processing unit (CPU) and of the monitor. These power settings</w:t>
      </w:r>
      <w:r w:rsidRPr="007236AE">
        <w:rPr>
          <w:rFonts w:asciiTheme="minorHAnsi" w:hAnsiTheme="minorHAnsi"/>
          <w:sz w:val="22"/>
          <w:szCs w:val="22"/>
        </w:rPr>
        <w:fldChar w:fldCharType="begin"/>
      </w:r>
      <w:r w:rsidRPr="007236AE">
        <w:rPr>
          <w:rFonts w:asciiTheme="minorHAnsi" w:hAnsiTheme="minorHAnsi"/>
          <w:sz w:val="22"/>
          <w:szCs w:val="22"/>
        </w:rPr>
        <w:instrText xml:space="preserve"> XE "power settings" </w:instrText>
      </w:r>
      <w:r w:rsidRPr="007236AE">
        <w:rPr>
          <w:rFonts w:asciiTheme="minorHAnsi" w:hAnsiTheme="minorHAnsi"/>
          <w:sz w:val="22"/>
          <w:szCs w:val="22"/>
        </w:rPr>
        <w:fldChar w:fldCharType="end"/>
      </w:r>
      <w:r w:rsidRPr="007236AE">
        <w:rPr>
          <w:rFonts w:asciiTheme="minorHAnsi" w:hAnsiTheme="minorHAnsi"/>
          <w:sz w:val="22"/>
          <w:szCs w:val="22"/>
        </w:rPr>
        <w:t xml:space="preserve"> are an integral part of a computer’s operating system (most commonly, Microsoft Windows; derived from laptop technologies) including “on”, “standby”, “sleep”, and “off” modes and can be set by users from their individual desktops.</w:t>
      </w:r>
    </w:p>
    <w:p w:rsidR="007236AE" w:rsidRPr="007236AE" w:rsidRDefault="007236AE" w:rsidP="007236AE">
      <w:pPr>
        <w:rPr>
          <w:rFonts w:asciiTheme="minorHAnsi" w:hAnsiTheme="minorHAnsi"/>
          <w:sz w:val="22"/>
          <w:szCs w:val="22"/>
        </w:rPr>
      </w:pPr>
    </w:p>
    <w:p w:rsidR="007236AE" w:rsidRPr="007236AE" w:rsidRDefault="007236AE" w:rsidP="001B7EAB">
      <w:pPr>
        <w:rPr>
          <w:rFonts w:asciiTheme="minorHAnsi" w:hAnsiTheme="minorHAnsi" w:cs="Courier New"/>
          <w:sz w:val="22"/>
          <w:szCs w:val="22"/>
        </w:rPr>
      </w:pPr>
      <w:r w:rsidRPr="007236AE">
        <w:rPr>
          <w:rFonts w:asciiTheme="minorHAnsi" w:hAnsiTheme="minorHAnsi"/>
          <w:sz w:val="22"/>
          <w:szCs w:val="22"/>
        </w:rPr>
        <w:t>Most individual computer users are unfamiliar with these energy saving settings, and hence, settings are normally set by an IT administrator to minimize user complaints related to bringing the computer back from standby, sleep, or off modes.  However, these strategies use a large amount of energy during times when the computer is not in active use. Studies have shown that energy consumed during non-use periods is large, and is often the majority of total energy consumed.</w:t>
      </w:r>
    </w:p>
    <w:p w:rsidR="007236AE" w:rsidRPr="007236AE" w:rsidRDefault="007236AE" w:rsidP="007236AE">
      <w:pPr>
        <w:rPr>
          <w:rFonts w:asciiTheme="minorHAnsi" w:hAnsiTheme="minorHAnsi"/>
          <w:sz w:val="22"/>
          <w:szCs w:val="22"/>
        </w:rPr>
      </w:pPr>
    </w:p>
    <w:p w:rsidR="007236AE" w:rsidRPr="007236AE" w:rsidRDefault="007236AE" w:rsidP="007236AE">
      <w:pPr>
        <w:rPr>
          <w:rFonts w:asciiTheme="minorHAnsi" w:hAnsiTheme="minorHAnsi"/>
          <w:sz w:val="22"/>
          <w:szCs w:val="22"/>
        </w:rPr>
      </w:pPr>
      <w:r w:rsidRPr="007236AE">
        <w:rPr>
          <w:rFonts w:asciiTheme="minorHAnsi" w:hAnsiTheme="minorHAnsi"/>
          <w:sz w:val="22"/>
          <w:szCs w:val="22"/>
        </w:rPr>
        <w:t xml:space="preserve"> IT-based tools are used to control desktop computer and monitor power settings within a network from a central location, allowing administrators to control power consumption. They also may have programming that enables system upgrades to be performed (typically during low-use periods) and energy use evaluation and reporting capabilities. </w:t>
      </w:r>
    </w:p>
    <w:p w:rsidR="007236AE" w:rsidRPr="007236AE" w:rsidRDefault="007236AE" w:rsidP="007236AE">
      <w:pPr>
        <w:pStyle w:val="Heading2"/>
        <w:rPr>
          <w:rFonts w:asciiTheme="minorHAnsi" w:hAnsiTheme="minorHAnsi"/>
          <w:b w:val="0"/>
          <w:smallCaps w:val="0"/>
          <w:sz w:val="22"/>
          <w:szCs w:val="22"/>
        </w:rPr>
      </w:pPr>
      <w:r w:rsidRPr="007236AE">
        <w:rPr>
          <w:rFonts w:asciiTheme="minorHAnsi" w:hAnsiTheme="minorHAnsi"/>
          <w:b w:val="0"/>
          <w:smallCaps w:val="0"/>
          <w:sz w:val="22"/>
          <w:szCs w:val="22"/>
        </w:rPr>
        <w:t>These tools assure th</w:t>
      </w:r>
      <w:r w:rsidR="000179E6">
        <w:rPr>
          <w:rFonts w:asciiTheme="minorHAnsi" w:hAnsiTheme="minorHAnsi"/>
          <w:b w:val="0"/>
          <w:smallCaps w:val="0"/>
          <w:sz w:val="22"/>
          <w:szCs w:val="22"/>
        </w:rPr>
        <w:t>e</w:t>
      </w:r>
      <w:r w:rsidRPr="007236AE">
        <w:rPr>
          <w:rFonts w:asciiTheme="minorHAnsi" w:hAnsiTheme="minorHAnsi"/>
          <w:b w:val="0"/>
          <w:smallCaps w:val="0"/>
          <w:sz w:val="22"/>
          <w:szCs w:val="22"/>
        </w:rPr>
        <w:t xml:space="preserve"> measure’s persistence through network administration; meaning that the local user cannot bypass the energy management settings.  While the software might allow for highly customized user preference settings, the control is ultimately at the network administrator level.  This, coupled with the reporting features built into the software, provides measurement and verification tools that are not present with manual or individually controlled power management options.</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34721D" w:rsidRPr="0034721D" w:rsidRDefault="0034721D" w:rsidP="00697868">
      <w:pPr>
        <w:pStyle w:val="Reminders"/>
        <w:tabs>
          <w:tab w:val="num" w:pos="360"/>
        </w:tabs>
        <w:rPr>
          <w:rFonts w:asciiTheme="minorHAnsi" w:hAnsiTheme="minorHAnsi" w:cstheme="minorHAnsi"/>
          <w:i w:val="0"/>
          <w:color w:val="auto"/>
          <w:sz w:val="18"/>
          <w:szCs w:val="22"/>
        </w:rPr>
      </w:pPr>
      <w:r w:rsidRPr="0034721D">
        <w:rPr>
          <w:rFonts w:ascii="Calibri" w:hAnsi="Calibri" w:cs="Calibri"/>
          <w:i w:val="0"/>
          <w:color w:val="auto"/>
          <w:sz w:val="22"/>
          <w:szCs w:val="22"/>
        </w:rPr>
        <w:t xml:space="preserve">The measure installation type for this work paper is Retrofit Add-on (REA).  </w:t>
      </w:r>
    </w:p>
    <w:p w:rsidR="0034721D" w:rsidRDefault="0034721D" w:rsidP="00697868">
      <w:pPr>
        <w:pStyle w:val="Reminders"/>
        <w:tabs>
          <w:tab w:val="num" w:pos="360"/>
        </w:tabs>
        <w:rPr>
          <w:rFonts w:asciiTheme="minorHAnsi" w:hAnsiTheme="minorHAnsi" w:cstheme="minorHAnsi"/>
          <w:i w:val="0"/>
          <w:color w:val="auto"/>
          <w:sz w:val="18"/>
          <w:szCs w:val="22"/>
        </w:rPr>
      </w:pPr>
    </w:p>
    <w:p w:rsidR="00143193" w:rsidRPr="001B7EAB" w:rsidRDefault="00143193" w:rsidP="00697868">
      <w:pPr>
        <w:pStyle w:val="Reminders"/>
        <w:tabs>
          <w:tab w:val="num" w:pos="360"/>
        </w:tabs>
        <w:rPr>
          <w:rFonts w:asciiTheme="minorHAnsi" w:hAnsiTheme="minorHAnsi" w:cstheme="minorHAnsi"/>
          <w:b/>
          <w:i w:val="0"/>
          <w:color w:val="auto"/>
          <w:sz w:val="22"/>
          <w:szCs w:val="22"/>
        </w:rPr>
      </w:pPr>
      <w:r w:rsidRPr="001B7EAB">
        <w:rPr>
          <w:rFonts w:asciiTheme="minorHAnsi" w:hAnsiTheme="minorHAnsi" w:cstheme="minorHAnsi"/>
          <w:b/>
          <w:i w:val="0"/>
          <w:color w:val="auto"/>
          <w:sz w:val="22"/>
          <w:szCs w:val="22"/>
        </w:rPr>
        <w:t>SCE</w:t>
      </w:r>
    </w:p>
    <w:p w:rsidR="00F83F69" w:rsidRPr="002E0295" w:rsidRDefault="00F83F69" w:rsidP="00F83F69">
      <w:pPr>
        <w:rPr>
          <w:rFonts w:ascii="Calibri" w:hAnsi="Calibri" w:cs="Calibri"/>
          <w:sz w:val="22"/>
          <w:szCs w:val="22"/>
        </w:rPr>
      </w:pPr>
      <w:r w:rsidRPr="002E0295">
        <w:rPr>
          <w:rFonts w:ascii="Calibri" w:hAnsi="Calibri" w:cs="Calibri"/>
          <w:sz w:val="22"/>
          <w:szCs w:val="22"/>
        </w:rPr>
        <w:t xml:space="preserve">The delivery methods are Financial Support </w:t>
      </w:r>
      <w:r w:rsidR="002C560B">
        <w:rPr>
          <w:rFonts w:ascii="Calibri" w:hAnsi="Calibri" w:cs="Calibri"/>
          <w:sz w:val="22"/>
          <w:szCs w:val="22"/>
        </w:rPr>
        <w:t>/</w:t>
      </w:r>
      <w:r w:rsidRPr="002E0295">
        <w:rPr>
          <w:rFonts w:ascii="Calibri" w:hAnsi="Calibri" w:cs="Calibri"/>
          <w:sz w:val="22"/>
          <w:szCs w:val="22"/>
        </w:rPr>
        <w:t xml:space="preserve"> Down-</w:t>
      </w:r>
      <w:r w:rsidR="002C560B">
        <w:rPr>
          <w:rFonts w:ascii="Calibri" w:hAnsi="Calibri" w:cs="Calibri"/>
          <w:sz w:val="22"/>
          <w:szCs w:val="22"/>
        </w:rPr>
        <w:t>S</w:t>
      </w:r>
      <w:r w:rsidRPr="002E0295">
        <w:rPr>
          <w:rFonts w:ascii="Calibri" w:hAnsi="Calibri" w:cs="Calibri"/>
          <w:sz w:val="22"/>
          <w:szCs w:val="22"/>
        </w:rPr>
        <w:t>tream</w:t>
      </w:r>
      <w:r w:rsidR="002C560B">
        <w:rPr>
          <w:rFonts w:ascii="Calibri" w:hAnsi="Calibri" w:cs="Calibri"/>
          <w:sz w:val="22"/>
          <w:szCs w:val="22"/>
        </w:rPr>
        <w:t xml:space="preserve"> Incentive</w:t>
      </w:r>
      <w:r w:rsidRPr="002E0295">
        <w:rPr>
          <w:rFonts w:ascii="Calibri" w:hAnsi="Calibri" w:cs="Calibri"/>
          <w:sz w:val="22"/>
          <w:szCs w:val="22"/>
        </w:rPr>
        <w:t xml:space="preserve"> – Deemed, </w:t>
      </w:r>
      <w:r w:rsidR="00634BBB">
        <w:rPr>
          <w:rFonts w:ascii="Calibri" w:hAnsi="Calibri" w:cs="Calibri"/>
          <w:sz w:val="22"/>
          <w:szCs w:val="22"/>
        </w:rPr>
        <w:t xml:space="preserve">Financial Support </w:t>
      </w:r>
      <w:r w:rsidR="002C560B">
        <w:rPr>
          <w:rFonts w:ascii="Calibri" w:hAnsi="Calibri" w:cs="Calibri"/>
          <w:sz w:val="22"/>
          <w:szCs w:val="22"/>
        </w:rPr>
        <w:t xml:space="preserve">- </w:t>
      </w:r>
      <w:r w:rsidR="00634BBB">
        <w:rPr>
          <w:rFonts w:ascii="Calibri" w:hAnsi="Calibri" w:cs="Calibri"/>
          <w:sz w:val="22"/>
          <w:szCs w:val="22"/>
        </w:rPr>
        <w:t xml:space="preserve">Direct Install, </w:t>
      </w:r>
      <w:r w:rsidRPr="002E0295">
        <w:rPr>
          <w:rFonts w:ascii="Calibri" w:hAnsi="Calibri" w:cs="Calibri"/>
          <w:sz w:val="22"/>
          <w:szCs w:val="22"/>
        </w:rPr>
        <w:t xml:space="preserve">Partnership </w:t>
      </w:r>
      <w:r w:rsidR="002C560B">
        <w:rPr>
          <w:rFonts w:ascii="Calibri" w:hAnsi="Calibri" w:cs="Calibri"/>
          <w:sz w:val="22"/>
          <w:szCs w:val="22"/>
        </w:rPr>
        <w:t xml:space="preserve">/ </w:t>
      </w:r>
      <w:r w:rsidRPr="002E0295">
        <w:rPr>
          <w:rFonts w:ascii="Calibri" w:hAnsi="Calibri" w:cs="Calibri"/>
          <w:sz w:val="22"/>
          <w:szCs w:val="22"/>
        </w:rPr>
        <w:t>Down</w:t>
      </w:r>
      <w:r w:rsidR="00DD46E7">
        <w:rPr>
          <w:rFonts w:ascii="Calibri" w:hAnsi="Calibri" w:cs="Calibri"/>
          <w:sz w:val="22"/>
          <w:szCs w:val="22"/>
        </w:rPr>
        <w:t>-</w:t>
      </w:r>
      <w:r w:rsidR="002C560B">
        <w:rPr>
          <w:rFonts w:ascii="Calibri" w:hAnsi="Calibri" w:cs="Calibri"/>
          <w:sz w:val="22"/>
          <w:szCs w:val="22"/>
        </w:rPr>
        <w:t>S</w:t>
      </w:r>
      <w:r w:rsidRPr="002E0295">
        <w:rPr>
          <w:rFonts w:ascii="Calibri" w:hAnsi="Calibri" w:cs="Calibri"/>
          <w:sz w:val="22"/>
          <w:szCs w:val="22"/>
        </w:rPr>
        <w:t xml:space="preserve">tream Incentive – Deemed, </w:t>
      </w:r>
      <w:r w:rsidR="00634BBB">
        <w:rPr>
          <w:rFonts w:ascii="Calibri" w:hAnsi="Calibri" w:cs="Calibri"/>
          <w:sz w:val="22"/>
          <w:szCs w:val="22"/>
        </w:rPr>
        <w:t xml:space="preserve">and </w:t>
      </w:r>
      <w:r w:rsidRPr="002E0295">
        <w:rPr>
          <w:rFonts w:ascii="Calibri" w:hAnsi="Calibri" w:cs="Calibri"/>
          <w:sz w:val="22"/>
          <w:szCs w:val="22"/>
        </w:rPr>
        <w:t>Partnership - Direct Install.</w:t>
      </w:r>
    </w:p>
    <w:p w:rsidR="007236AE" w:rsidRDefault="007236AE" w:rsidP="007236AE">
      <w:pPr>
        <w:rPr>
          <w:rFonts w:ascii="Calibri" w:hAnsi="Calibri" w:cs="Calibri"/>
          <w:sz w:val="22"/>
          <w:szCs w:val="22"/>
        </w:rPr>
      </w:pPr>
    </w:p>
    <w:p w:rsidR="00143193" w:rsidRPr="001B7EAB" w:rsidRDefault="00143193" w:rsidP="007236AE">
      <w:pPr>
        <w:rPr>
          <w:rFonts w:ascii="Calibri" w:hAnsi="Calibri" w:cs="Calibri"/>
          <w:b/>
          <w:sz w:val="22"/>
          <w:szCs w:val="22"/>
        </w:rPr>
      </w:pPr>
      <w:r w:rsidRPr="001B7EAB">
        <w:rPr>
          <w:rFonts w:ascii="Calibri" w:hAnsi="Calibri" w:cs="Calibri"/>
          <w:b/>
          <w:sz w:val="22"/>
          <w:szCs w:val="22"/>
        </w:rPr>
        <w:t>PG&amp;E</w:t>
      </w:r>
    </w:p>
    <w:p w:rsidR="00F83F69" w:rsidRDefault="004B34AE" w:rsidP="007236AE">
      <w:pPr>
        <w:rPr>
          <w:rFonts w:ascii="Calibri" w:hAnsi="Calibri" w:cs="Calibri"/>
          <w:sz w:val="22"/>
          <w:szCs w:val="22"/>
        </w:rPr>
      </w:pPr>
      <w:r>
        <w:rPr>
          <w:rFonts w:ascii="Calibri" w:hAnsi="Calibri" w:cs="Calibri"/>
          <w:sz w:val="22"/>
          <w:szCs w:val="22"/>
        </w:rPr>
        <w:t>The delivery method</w:t>
      </w:r>
      <w:r w:rsidR="0034721D">
        <w:rPr>
          <w:rFonts w:ascii="Calibri" w:hAnsi="Calibri" w:cs="Calibri"/>
          <w:sz w:val="22"/>
          <w:szCs w:val="22"/>
        </w:rPr>
        <w:t xml:space="preserve">s are </w:t>
      </w:r>
      <w:r w:rsidRPr="002E0295">
        <w:rPr>
          <w:rFonts w:ascii="Calibri" w:hAnsi="Calibri" w:cs="Calibri"/>
          <w:sz w:val="22"/>
          <w:szCs w:val="22"/>
        </w:rPr>
        <w:t xml:space="preserve">Financial Support </w:t>
      </w:r>
      <w:r w:rsidR="002C560B">
        <w:rPr>
          <w:rFonts w:ascii="Calibri" w:hAnsi="Calibri" w:cs="Calibri"/>
          <w:sz w:val="22"/>
          <w:szCs w:val="22"/>
        </w:rPr>
        <w:t>/</w:t>
      </w:r>
      <w:r w:rsidRPr="002E0295">
        <w:rPr>
          <w:rFonts w:ascii="Calibri" w:hAnsi="Calibri" w:cs="Calibri"/>
          <w:sz w:val="22"/>
          <w:szCs w:val="22"/>
        </w:rPr>
        <w:t xml:space="preserve"> Down-</w:t>
      </w:r>
      <w:r w:rsidR="002C560B">
        <w:rPr>
          <w:rFonts w:ascii="Calibri" w:hAnsi="Calibri" w:cs="Calibri"/>
          <w:sz w:val="22"/>
          <w:szCs w:val="22"/>
        </w:rPr>
        <w:t>S</w:t>
      </w:r>
      <w:r w:rsidRPr="002E0295">
        <w:rPr>
          <w:rFonts w:ascii="Calibri" w:hAnsi="Calibri" w:cs="Calibri"/>
          <w:sz w:val="22"/>
          <w:szCs w:val="22"/>
        </w:rPr>
        <w:t>tream</w:t>
      </w:r>
      <w:r w:rsidR="002C560B">
        <w:rPr>
          <w:rFonts w:ascii="Calibri" w:hAnsi="Calibri" w:cs="Calibri"/>
          <w:sz w:val="22"/>
          <w:szCs w:val="22"/>
        </w:rPr>
        <w:t xml:space="preserve"> Incentive</w:t>
      </w:r>
      <w:r w:rsidRPr="002E0295">
        <w:rPr>
          <w:rFonts w:ascii="Calibri" w:hAnsi="Calibri" w:cs="Calibri"/>
          <w:sz w:val="22"/>
          <w:szCs w:val="22"/>
        </w:rPr>
        <w:t xml:space="preserve"> – Deemed</w:t>
      </w:r>
      <w:r w:rsidR="00223218">
        <w:rPr>
          <w:rFonts w:ascii="Calibri" w:hAnsi="Calibri" w:cs="Calibri"/>
          <w:sz w:val="22"/>
          <w:szCs w:val="22"/>
        </w:rPr>
        <w:t xml:space="preserve"> and </w:t>
      </w:r>
      <w:r w:rsidR="00223218" w:rsidRPr="002E0295">
        <w:rPr>
          <w:rFonts w:ascii="Calibri" w:hAnsi="Calibri" w:cs="Calibri"/>
          <w:sz w:val="22"/>
          <w:szCs w:val="22"/>
        </w:rPr>
        <w:t xml:space="preserve">Partnership </w:t>
      </w:r>
      <w:r w:rsidR="002C560B">
        <w:rPr>
          <w:rFonts w:ascii="Calibri" w:hAnsi="Calibri" w:cs="Calibri"/>
          <w:sz w:val="22"/>
          <w:szCs w:val="22"/>
        </w:rPr>
        <w:t>/</w:t>
      </w:r>
      <w:r w:rsidR="00223218" w:rsidRPr="002E0295">
        <w:rPr>
          <w:rFonts w:ascii="Calibri" w:hAnsi="Calibri" w:cs="Calibri"/>
          <w:sz w:val="22"/>
          <w:szCs w:val="22"/>
        </w:rPr>
        <w:t xml:space="preserve"> Down</w:t>
      </w:r>
      <w:r w:rsidR="002C560B">
        <w:rPr>
          <w:rFonts w:ascii="Calibri" w:hAnsi="Calibri" w:cs="Calibri"/>
          <w:sz w:val="22"/>
          <w:szCs w:val="22"/>
        </w:rPr>
        <w:t>-S</w:t>
      </w:r>
      <w:r w:rsidR="00223218" w:rsidRPr="002E0295">
        <w:rPr>
          <w:rFonts w:ascii="Calibri" w:hAnsi="Calibri" w:cs="Calibri"/>
          <w:sz w:val="22"/>
          <w:szCs w:val="22"/>
        </w:rPr>
        <w:t>tream Incentive – Deemed</w:t>
      </w:r>
      <w:r>
        <w:rPr>
          <w:rFonts w:ascii="Calibri" w:hAnsi="Calibri" w:cs="Calibri"/>
          <w:sz w:val="22"/>
          <w:szCs w:val="22"/>
        </w:rPr>
        <w:t xml:space="preserve">. </w:t>
      </w:r>
    </w:p>
    <w:p w:rsidR="007236AE" w:rsidRDefault="007236AE" w:rsidP="007236AE">
      <w:pPr>
        <w:rPr>
          <w:rFonts w:ascii="Calibri" w:hAnsi="Calibri" w:cs="Calibri"/>
          <w:sz w:val="22"/>
          <w:szCs w:val="22"/>
        </w:rPr>
      </w:pPr>
    </w:p>
    <w:p w:rsidR="0034721D" w:rsidRDefault="0034721D" w:rsidP="0034721D">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into SCE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this work</w:t>
      </w:r>
      <w:r>
        <w:rPr>
          <w:rFonts w:asciiTheme="minorHAnsi" w:hAnsiTheme="minorHAnsi" w:cstheme="minorHAnsi"/>
          <w:i w:val="0"/>
          <w:color w:val="auto"/>
          <w:sz w:val="18"/>
          <w:szCs w:val="22"/>
        </w:rPr>
        <w:t xml:space="preserve"> </w:t>
      </w:r>
      <w:r w:rsidRPr="00CE28CF">
        <w:rPr>
          <w:rFonts w:asciiTheme="minorHAnsi" w:hAnsiTheme="minorHAnsi" w:cstheme="minorHAnsi"/>
          <w:i w:val="0"/>
          <w:color w:val="auto"/>
          <w:sz w:val="18"/>
          <w:szCs w:val="22"/>
        </w:rPr>
        <w:t xml:space="preserve">paper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E16609" w:rsidRDefault="00824F1C" w:rsidP="00824F1C">
      <w:pPr>
        <w:pStyle w:val="Heading2"/>
        <w:rPr>
          <w:rFonts w:asciiTheme="minorHAnsi" w:hAnsiTheme="minorHAnsi" w:cstheme="minorHAnsi"/>
        </w:rPr>
      </w:pPr>
      <w:bookmarkStart w:id="8" w:name="_Toc214003084"/>
      <w:r w:rsidRPr="00697868">
        <w:rPr>
          <w:rFonts w:asciiTheme="minorHAnsi" w:hAnsiTheme="minorHAnsi" w:cstheme="minorHAnsi"/>
        </w:rPr>
        <w:t>1.</w:t>
      </w:r>
      <w:r w:rsidR="00697868">
        <w:rPr>
          <w:rFonts w:asciiTheme="minorHAnsi" w:hAnsiTheme="minorHAnsi" w:cstheme="minorHAnsi"/>
        </w:rPr>
        <w:t>4</w:t>
      </w:r>
      <w:r w:rsidR="00A76E77">
        <w:rPr>
          <w:rFonts w:asciiTheme="minorHAnsi" w:hAnsiTheme="minorHAnsi" w:cstheme="minorHAnsi"/>
        </w:rPr>
        <w:t xml:space="preserve"> </w:t>
      </w:r>
      <w:r w:rsidR="00697868">
        <w:rPr>
          <w:rFonts w:asciiTheme="minorHAnsi" w:hAnsiTheme="minorHAnsi" w:cstheme="minorHAnsi"/>
        </w:rPr>
        <w:t>Measure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8"/>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AD3152" w:rsidRDefault="00AD3152" w:rsidP="00AD3152">
      <w:pPr>
        <w:rPr>
          <w:rFonts w:ascii="Calibri" w:hAnsi="Calibri" w:cs="Calibri"/>
          <w:sz w:val="22"/>
          <w:szCs w:val="22"/>
        </w:rPr>
      </w:pPr>
      <w:r w:rsidRPr="007C474A">
        <w:rPr>
          <w:rFonts w:ascii="Calibri" w:hAnsi="Calibri" w:cs="Calibri"/>
          <w:sz w:val="22"/>
          <w:szCs w:val="22"/>
        </w:rPr>
        <w:t xml:space="preserve">This specific measure is not included in the </w:t>
      </w:r>
      <w:r w:rsidR="00F83F69">
        <w:rPr>
          <w:rFonts w:ascii="Calibri" w:hAnsi="Calibri" w:cs="Calibri"/>
          <w:sz w:val="22"/>
          <w:szCs w:val="22"/>
        </w:rPr>
        <w:t xml:space="preserve">2014 </w:t>
      </w:r>
      <w:r w:rsidRPr="007C474A">
        <w:rPr>
          <w:rFonts w:ascii="Calibri" w:hAnsi="Calibri" w:cs="Calibri"/>
          <w:sz w:val="22"/>
          <w:szCs w:val="22"/>
        </w:rPr>
        <w:t>Database for Energy Efficient Resources (DEER</w:t>
      </w:r>
      <w:r w:rsidRPr="007C474A">
        <w:rPr>
          <w:rFonts w:ascii="Calibri" w:hAnsi="Calibri" w:cs="Calibri"/>
          <w:sz w:val="22"/>
          <w:szCs w:val="22"/>
        </w:rPr>
        <w:fldChar w:fldCharType="begin"/>
      </w:r>
      <w:r w:rsidRPr="007C474A">
        <w:rPr>
          <w:rFonts w:ascii="Calibri" w:hAnsi="Calibri" w:cs="Calibri"/>
          <w:sz w:val="22"/>
          <w:szCs w:val="22"/>
        </w:rPr>
        <w:instrText xml:space="preserve"> XE "DEER" </w:instrText>
      </w:r>
      <w:r w:rsidRPr="007C474A">
        <w:rPr>
          <w:rFonts w:ascii="Calibri" w:hAnsi="Calibri" w:cs="Calibri"/>
          <w:sz w:val="22"/>
          <w:szCs w:val="22"/>
        </w:rPr>
        <w:fldChar w:fldCharType="end"/>
      </w:r>
      <w:r w:rsidRPr="007C474A">
        <w:rPr>
          <w:rFonts w:ascii="Calibri" w:hAnsi="Calibri" w:cs="Calibri"/>
          <w:sz w:val="22"/>
          <w:szCs w:val="22"/>
        </w:rPr>
        <w:t xml:space="preserve">) </w:t>
      </w:r>
    </w:p>
    <w:p w:rsidR="009E2883" w:rsidRPr="007C474A" w:rsidRDefault="009E2883" w:rsidP="00AD3152">
      <w:pPr>
        <w:rPr>
          <w:rFonts w:ascii="Calibri" w:hAnsi="Calibri" w:cs="Calibri"/>
          <w:sz w:val="22"/>
          <w:szCs w:val="22"/>
        </w:rPr>
      </w:pPr>
    </w:p>
    <w:p w:rsidR="009E1CDE" w:rsidRPr="00697868" w:rsidRDefault="009E1CDE" w:rsidP="00E16609">
      <w:pPr>
        <w:rPr>
          <w:rFonts w:asciiTheme="minorHAnsi" w:hAnsiTheme="minorHAnsi" w:cstheme="minorHAnsi"/>
          <w:sz w:val="22"/>
          <w:szCs w:val="22"/>
        </w:rPr>
      </w:pPr>
    </w:p>
    <w:p w:rsidR="009E1CDE" w:rsidRPr="00697868" w:rsidRDefault="003C105D" w:rsidP="009E1CDE">
      <w:pPr>
        <w:pStyle w:val="Caption"/>
        <w:keepNext/>
        <w:jc w:val="center"/>
        <w:rPr>
          <w:rFonts w:asciiTheme="minorHAnsi" w:hAnsiTheme="minorHAnsi" w:cstheme="minorHAnsi"/>
          <w:sz w:val="22"/>
          <w:szCs w:val="22"/>
        </w:rPr>
      </w:pPr>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3</w:t>
      </w:r>
      <w:r w:rsidRPr="00BB17FF">
        <w:rPr>
          <w:rFonts w:ascii="Calibri" w:hAnsi="Calibri" w:cs="Calibri"/>
          <w:sz w:val="22"/>
          <w:szCs w:val="22"/>
        </w:rPr>
        <w:fldChar w:fldCharType="end"/>
      </w:r>
      <w:r w:rsidR="00716CFE" w:rsidRPr="00697868">
        <w:rPr>
          <w:rFonts w:asciiTheme="minorHAnsi" w:hAnsiTheme="minorHAnsi" w:cstheme="minorHAnsi"/>
          <w:sz w:val="22"/>
          <w:szCs w:val="22"/>
        </w:rPr>
        <w:t xml:space="preserve"> </w:t>
      </w:r>
      <w:r w:rsidR="009E1CDE" w:rsidRPr="00697868">
        <w:rPr>
          <w:rFonts w:asciiTheme="minorHAnsi" w:hAnsiTheme="minorHAnsi" w:cstheme="minorHAnsi"/>
          <w:sz w:val="22"/>
          <w:szCs w:val="22"/>
        </w:rPr>
        <w:t xml:space="preserve">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rsidR="0046286E" w:rsidRPr="00E24FC9" w:rsidRDefault="0046286E" w:rsidP="0088603B">
            <w:pPr>
              <w:jc w:val="center"/>
              <w:rPr>
                <w:rFonts w:asciiTheme="minorHAnsi" w:hAnsiTheme="minorHAnsi" w:cstheme="minorHAnsi"/>
                <w:b/>
                <w:sz w:val="20"/>
                <w:szCs w:val="20"/>
              </w:rPr>
            </w:pPr>
            <w:r w:rsidRPr="00E24FC9">
              <w:rPr>
                <w:rFonts w:asciiTheme="minorHAnsi" w:hAnsiTheme="minorHAnsi" w:cstheme="minorHAnsi"/>
                <w:sz w:val="20"/>
                <w:szCs w:val="20"/>
              </w:rPr>
              <w:t>No</w:t>
            </w:r>
          </w:p>
        </w:tc>
      </w:tr>
      <w:tr w:rsidR="00447CE5"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447CE5" w:rsidRPr="00E24FC9" w:rsidRDefault="00447CE5" w:rsidP="00E81F3E">
            <w:pPr>
              <w:jc w:val="center"/>
              <w:rPr>
                <w:rFonts w:asciiTheme="minorHAnsi" w:hAnsiTheme="minorHAnsi" w:cstheme="minorHAnsi"/>
                <w:sz w:val="20"/>
                <w:szCs w:val="20"/>
              </w:rPr>
            </w:pPr>
            <w:r w:rsidRPr="00E24FC9">
              <w:rPr>
                <w:rFonts w:asciiTheme="minorHAnsi" w:hAnsiTheme="minorHAnsi" w:cstheme="minorHAnsi"/>
                <w:sz w:val="20"/>
                <w:szCs w:val="20"/>
              </w:rPr>
              <w:t>No</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E81F3E" w:rsidRPr="00E24FC9" w:rsidRDefault="00E81F3E" w:rsidP="00E81F3E">
            <w:pPr>
              <w:jc w:val="center"/>
              <w:rPr>
                <w:rFonts w:asciiTheme="minorHAnsi" w:hAnsiTheme="minorHAnsi" w:cstheme="minorHAnsi"/>
                <w:sz w:val="20"/>
                <w:szCs w:val="20"/>
              </w:rPr>
            </w:pPr>
            <w:r w:rsidRPr="00E24FC9">
              <w:rPr>
                <w:rFonts w:asciiTheme="minorHAnsi" w:hAnsiTheme="minorHAnsi" w:cstheme="minorHAnsi"/>
                <w:sz w:val="20"/>
                <w:szCs w:val="20"/>
              </w:rPr>
              <w:t>No</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E81F3E" w:rsidRPr="00E24FC9" w:rsidRDefault="00E81F3E" w:rsidP="00E81F3E">
            <w:pPr>
              <w:jc w:val="center"/>
              <w:rPr>
                <w:rFonts w:asciiTheme="minorHAnsi" w:hAnsiTheme="minorHAnsi" w:cstheme="minorHAnsi"/>
                <w:sz w:val="20"/>
                <w:szCs w:val="20"/>
              </w:rPr>
            </w:pPr>
            <w:r w:rsidRPr="00E24FC9">
              <w:rPr>
                <w:rFonts w:asciiTheme="minorHAnsi" w:hAnsiTheme="minorHAnsi" w:cstheme="minorHAnsi"/>
                <w:sz w:val="20"/>
                <w:szCs w:val="20"/>
              </w:rPr>
              <w:t>DEER</w:t>
            </w:r>
            <w:r w:rsidR="0045043F">
              <w:rPr>
                <w:rFonts w:asciiTheme="minorHAnsi" w:hAnsiTheme="minorHAnsi" w:cstheme="minorHAnsi"/>
                <w:sz w:val="20"/>
                <w:szCs w:val="20"/>
              </w:rPr>
              <w:t>14</w:t>
            </w:r>
            <w:r w:rsidRPr="00E24FC9">
              <w:rPr>
                <w:rFonts w:asciiTheme="minorHAnsi" w:hAnsiTheme="minorHAnsi" w:cstheme="minorHAnsi"/>
                <w:sz w:val="20"/>
                <w:szCs w:val="20"/>
              </w:rPr>
              <w:t xml:space="preserve"> does not contain this type of measure.</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E81F3E" w:rsidRPr="00E24FC9" w:rsidRDefault="00AD3152" w:rsidP="00D36798">
            <w:pPr>
              <w:jc w:val="center"/>
              <w:rPr>
                <w:rFonts w:asciiTheme="minorHAnsi" w:hAnsiTheme="minorHAnsi" w:cstheme="minorHAnsi"/>
                <w:sz w:val="20"/>
                <w:szCs w:val="20"/>
              </w:rPr>
            </w:pPr>
            <w:r w:rsidRPr="00E24FC9">
              <w:rPr>
                <w:rFonts w:asciiTheme="minorHAnsi" w:hAnsiTheme="minorHAnsi" w:cstheme="minorHAnsi"/>
                <w:sz w:val="20"/>
                <w:szCs w:val="20"/>
              </w:rPr>
              <w:t>N/A</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E81F3E" w:rsidRPr="00E24FC9" w:rsidRDefault="00AD3152" w:rsidP="00E81F3E">
            <w:pPr>
              <w:jc w:val="center"/>
              <w:rPr>
                <w:rFonts w:asciiTheme="minorHAnsi" w:hAnsiTheme="minorHAnsi" w:cstheme="minorHAnsi"/>
                <w:sz w:val="20"/>
                <w:szCs w:val="20"/>
              </w:rPr>
            </w:pPr>
            <w:r w:rsidRPr="00E24FC9">
              <w:rPr>
                <w:rFonts w:asciiTheme="minorHAnsi" w:hAnsiTheme="minorHAnsi" w:cstheme="minorHAnsi"/>
                <w:sz w:val="20"/>
                <w:szCs w:val="20"/>
              </w:rPr>
              <w:t>N/A</w:t>
            </w:r>
          </w:p>
        </w:tc>
      </w:tr>
    </w:tbl>
    <w:p w:rsidR="004D60FF" w:rsidRDefault="004D60FF" w:rsidP="000968C6">
      <w:pPr>
        <w:pStyle w:val="Reminders"/>
        <w:rPr>
          <w:rFonts w:asciiTheme="minorHAnsi" w:hAnsiTheme="minorHAnsi" w:cstheme="minorHAnsi"/>
          <w:b/>
          <w:i w:val="0"/>
          <w:color w:val="auto"/>
          <w:sz w:val="22"/>
          <w:szCs w:val="22"/>
        </w:rPr>
      </w:pPr>
      <w:bookmarkStart w:id="9"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The relevant NTGR for this measure is shown in</w:t>
      </w:r>
      <w:r w:rsidR="00C30CB5">
        <w:rPr>
          <w:rFonts w:asciiTheme="minorHAnsi" w:hAnsiTheme="minorHAnsi" w:cstheme="minorHAnsi"/>
          <w:sz w:val="22"/>
          <w:szCs w:val="22"/>
        </w:rPr>
        <w:t xml:space="preserve"> </w:t>
      </w:r>
      <w:r w:rsidR="00716CFE">
        <w:rPr>
          <w:rFonts w:asciiTheme="minorHAnsi" w:hAnsiTheme="minorHAnsi" w:cstheme="minorHAnsi"/>
          <w:sz w:val="22"/>
          <w:szCs w:val="22"/>
        </w:rPr>
        <w:fldChar w:fldCharType="begin"/>
      </w:r>
      <w:r w:rsidR="00716CFE">
        <w:rPr>
          <w:rFonts w:asciiTheme="minorHAnsi" w:hAnsiTheme="minorHAnsi" w:cstheme="minorHAnsi"/>
          <w:sz w:val="22"/>
          <w:szCs w:val="22"/>
        </w:rPr>
        <w:instrText xml:space="preserve"> REF _Ref377904128 \h </w:instrText>
      </w:r>
      <w:r w:rsidR="00716CFE">
        <w:rPr>
          <w:rFonts w:asciiTheme="minorHAnsi" w:hAnsiTheme="minorHAnsi" w:cstheme="minorHAnsi"/>
          <w:sz w:val="22"/>
          <w:szCs w:val="22"/>
        </w:rPr>
      </w:r>
      <w:r w:rsidR="00716CFE">
        <w:rPr>
          <w:rFonts w:asciiTheme="minorHAnsi" w:hAnsiTheme="minorHAnsi" w:cstheme="minorHAnsi"/>
          <w:sz w:val="22"/>
          <w:szCs w:val="22"/>
        </w:rPr>
        <w:fldChar w:fldCharType="separate"/>
      </w:r>
      <w:r w:rsidR="0095321C" w:rsidRPr="00BB17FF">
        <w:rPr>
          <w:rFonts w:ascii="Calibri" w:hAnsi="Calibri" w:cs="Calibri"/>
          <w:sz w:val="22"/>
          <w:szCs w:val="22"/>
        </w:rPr>
        <w:t xml:space="preserve">Table </w:t>
      </w:r>
      <w:r w:rsidR="0095321C">
        <w:rPr>
          <w:rFonts w:ascii="Calibri" w:hAnsi="Calibri" w:cs="Calibri"/>
          <w:noProof/>
          <w:sz w:val="22"/>
          <w:szCs w:val="22"/>
        </w:rPr>
        <w:t>4</w:t>
      </w:r>
      <w:r w:rsidR="00716CFE">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r w:rsidR="00D82933">
        <w:rPr>
          <w:rFonts w:asciiTheme="minorHAnsi" w:hAnsiTheme="minorHAnsi" w:cstheme="minorHAnsi"/>
          <w:sz w:val="22"/>
          <w:szCs w:val="22"/>
        </w:rPr>
        <w:t xml:space="preserve">  </w:t>
      </w:r>
      <w:r w:rsidR="00D82933" w:rsidRPr="00D82933">
        <w:rPr>
          <w:rFonts w:asciiTheme="minorHAnsi" w:hAnsiTheme="minorHAnsi" w:cstheme="minorHAnsi"/>
          <w:sz w:val="22"/>
          <w:szCs w:val="22"/>
        </w:rPr>
        <w:t>Note that for the direct install delivery mechanism, a distinction between hard to reach and non-hard to reach markets will be made on a project by project basis. This work paper shows the NTG associated with a hard to reach direct install delivery mechanism</w:t>
      </w:r>
      <w:r w:rsidR="00C85E86">
        <w:rPr>
          <w:rFonts w:asciiTheme="minorHAnsi" w:hAnsiTheme="minorHAnsi" w:cstheme="minorHAnsi"/>
          <w:sz w:val="22"/>
          <w:szCs w:val="22"/>
        </w:rPr>
        <w:t xml:space="preserve"> and the defaulted NTG value</w:t>
      </w:r>
      <w:r w:rsidR="00D82933" w:rsidRPr="00D82933">
        <w:rPr>
          <w:rFonts w:asciiTheme="minorHAnsi" w:hAnsiTheme="minorHAnsi" w:cstheme="minorHAnsi"/>
          <w:sz w:val="22"/>
          <w:szCs w:val="22"/>
        </w:rPr>
        <w:t>, where in fact, a measure offered through direct install and is not “hard to reach” will receive a default NTG value.</w:t>
      </w:r>
    </w:p>
    <w:p w:rsidR="000968C6" w:rsidRPr="00697868" w:rsidRDefault="000968C6" w:rsidP="000968C6">
      <w:pPr>
        <w:rPr>
          <w:rFonts w:asciiTheme="minorHAnsi" w:hAnsiTheme="minorHAnsi" w:cstheme="minorHAnsi"/>
          <w:sz w:val="22"/>
          <w:szCs w:val="22"/>
        </w:rPr>
      </w:pPr>
    </w:p>
    <w:p w:rsidR="000968C6" w:rsidRPr="00697868" w:rsidRDefault="006679FE" w:rsidP="000968C6">
      <w:pPr>
        <w:pStyle w:val="Caption"/>
        <w:jc w:val="center"/>
        <w:rPr>
          <w:rFonts w:asciiTheme="minorHAnsi" w:hAnsiTheme="minorHAnsi" w:cstheme="minorHAnsi"/>
          <w:sz w:val="22"/>
          <w:szCs w:val="22"/>
        </w:rPr>
      </w:pPr>
      <w:bookmarkStart w:id="10" w:name="_Ref377904128"/>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4</w:t>
      </w:r>
      <w:r w:rsidRPr="00BB17FF">
        <w:rPr>
          <w:rFonts w:ascii="Calibri" w:hAnsi="Calibri" w:cs="Calibri"/>
          <w:sz w:val="22"/>
          <w:szCs w:val="22"/>
        </w:rPr>
        <w:fldChar w:fldCharType="end"/>
      </w:r>
      <w:bookmarkEnd w:id="10"/>
      <w:r w:rsidR="00716CFE" w:rsidRPr="00697868">
        <w:rPr>
          <w:rFonts w:asciiTheme="minorHAnsi" w:hAnsiTheme="minorHAnsi" w:cstheme="minorHAnsi"/>
          <w:sz w:val="22"/>
          <w:szCs w:val="22"/>
        </w:rPr>
        <w:t xml:space="preserve"> </w:t>
      </w:r>
      <w:r w:rsidR="000968C6" w:rsidRPr="00697868">
        <w:rPr>
          <w:rFonts w:asciiTheme="minorHAnsi" w:hAnsiTheme="minorHAnsi" w:cstheme="minorHAnsi"/>
          <w:sz w:val="22"/>
          <w:szCs w:val="22"/>
        </w:rPr>
        <w:t>Net-to-Gross Ratio</w:t>
      </w:r>
    </w:p>
    <w:tbl>
      <w:tblPr>
        <w:tblStyle w:val="TableContemporary"/>
        <w:tblW w:w="4446" w:type="pct"/>
        <w:jc w:val="center"/>
        <w:tblInd w:w="1186" w:type="dxa"/>
        <w:tblLook w:val="01E0" w:firstRow="1" w:lastRow="1" w:firstColumn="1" w:lastColumn="1" w:noHBand="0" w:noVBand="0"/>
      </w:tblPr>
      <w:tblGrid>
        <w:gridCol w:w="1412"/>
        <w:gridCol w:w="2615"/>
        <w:gridCol w:w="843"/>
        <w:gridCol w:w="1686"/>
        <w:gridCol w:w="1235"/>
        <w:gridCol w:w="724"/>
      </w:tblGrid>
      <w:tr w:rsidR="000968C6" w:rsidRPr="00697868" w:rsidTr="005425ED">
        <w:trPr>
          <w:cnfStyle w:val="100000000000" w:firstRow="1" w:lastRow="0" w:firstColumn="0" w:lastColumn="0" w:oddVBand="0" w:evenVBand="0" w:oddHBand="0" w:evenHBand="0" w:firstRowFirstColumn="0" w:firstRowLastColumn="0" w:lastRowFirstColumn="0" w:lastRowLastColumn="0"/>
          <w:jc w:val="center"/>
        </w:trPr>
        <w:tc>
          <w:tcPr>
            <w:tcW w:w="84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550"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42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0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39"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3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68722C" w:rsidRPr="00697868" w:rsidTr="005425ED">
        <w:trPr>
          <w:cnfStyle w:val="000000100000" w:firstRow="0" w:lastRow="0" w:firstColumn="0" w:lastColumn="0" w:oddVBand="0" w:evenVBand="0" w:oddHBand="1" w:evenHBand="0" w:firstRowFirstColumn="0" w:firstRowLastColumn="0" w:lastRowFirstColumn="0" w:lastRowLastColumn="0"/>
          <w:jc w:val="center"/>
        </w:trPr>
        <w:tc>
          <w:tcPr>
            <w:tcW w:w="844" w:type="pct"/>
            <w:vAlign w:val="center"/>
          </w:tcPr>
          <w:p w:rsidR="0068722C" w:rsidRPr="00672C82" w:rsidRDefault="0068722C" w:rsidP="0040198F">
            <w:pPr>
              <w:jc w:val="center"/>
              <w:rPr>
                <w:rFonts w:ascii="Calibri" w:hAnsi="Calibri" w:cs="Calibri"/>
                <w:sz w:val="20"/>
                <w:szCs w:val="20"/>
              </w:rPr>
            </w:pPr>
            <w:r w:rsidRPr="00672C82">
              <w:rPr>
                <w:rFonts w:ascii="Calibri" w:hAnsi="Calibri" w:cs="Calibri"/>
                <w:sz w:val="20"/>
                <w:szCs w:val="20"/>
              </w:rPr>
              <w:t>Com-Default-HT</w:t>
            </w:r>
            <w:r w:rsidR="0040198F">
              <w:rPr>
                <w:rFonts w:ascii="Calibri" w:hAnsi="Calibri" w:cs="Calibri"/>
                <w:sz w:val="20"/>
                <w:szCs w:val="20"/>
              </w:rPr>
              <w:t>R</w:t>
            </w:r>
            <w:r w:rsidRPr="00672C82">
              <w:rPr>
                <w:rFonts w:ascii="Calibri" w:hAnsi="Calibri" w:cs="Calibri"/>
                <w:sz w:val="20"/>
                <w:szCs w:val="20"/>
              </w:rPr>
              <w:t>-di</w:t>
            </w:r>
          </w:p>
        </w:tc>
        <w:tc>
          <w:tcPr>
            <w:tcW w:w="1550"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All other EEM with no evaluated NTGR; direct install to hard-to-reach only.</w:t>
            </w:r>
          </w:p>
        </w:tc>
        <w:tc>
          <w:tcPr>
            <w:tcW w:w="423"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Com</w:t>
            </w:r>
          </w:p>
        </w:tc>
        <w:tc>
          <w:tcPr>
            <w:tcW w:w="1004"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DirInstall</w:t>
            </w:r>
          </w:p>
        </w:tc>
        <w:tc>
          <w:tcPr>
            <w:tcW w:w="439"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0.85</w:t>
            </w:r>
          </w:p>
        </w:tc>
      </w:tr>
      <w:tr w:rsidR="0068722C" w:rsidRPr="00697868" w:rsidTr="005425ED">
        <w:trPr>
          <w:cnfStyle w:val="000000010000" w:firstRow="0" w:lastRow="0" w:firstColumn="0" w:lastColumn="0" w:oddVBand="0" w:evenVBand="0" w:oddHBand="0" w:evenHBand="1" w:firstRowFirstColumn="0" w:firstRowLastColumn="0" w:lastRowFirstColumn="0" w:lastRowLastColumn="0"/>
          <w:jc w:val="center"/>
        </w:trPr>
        <w:tc>
          <w:tcPr>
            <w:tcW w:w="844"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Com-Default&gt;2yrs</w:t>
            </w:r>
          </w:p>
        </w:tc>
        <w:tc>
          <w:tcPr>
            <w:tcW w:w="1550"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423"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Com</w:t>
            </w:r>
          </w:p>
        </w:tc>
        <w:tc>
          <w:tcPr>
            <w:tcW w:w="1004"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68722C" w:rsidRPr="00672C82" w:rsidRDefault="00EB1EA8" w:rsidP="00D84023">
            <w:pPr>
              <w:jc w:val="center"/>
              <w:rPr>
                <w:rFonts w:ascii="Calibri" w:hAnsi="Calibri" w:cs="Calibri"/>
                <w:sz w:val="20"/>
                <w:szCs w:val="20"/>
              </w:rPr>
            </w:pPr>
            <w:r>
              <w:rPr>
                <w:rFonts w:ascii="Calibri" w:hAnsi="Calibri" w:cs="Calibri"/>
                <w:sz w:val="20"/>
                <w:szCs w:val="20"/>
              </w:rPr>
              <w:t>Any</w:t>
            </w:r>
          </w:p>
        </w:tc>
        <w:tc>
          <w:tcPr>
            <w:tcW w:w="439" w:type="pct"/>
            <w:vAlign w:val="center"/>
          </w:tcPr>
          <w:p w:rsidR="0068722C" w:rsidRPr="00672C82" w:rsidRDefault="0068722C" w:rsidP="00D84023">
            <w:pPr>
              <w:jc w:val="center"/>
              <w:rPr>
                <w:rFonts w:ascii="Calibri" w:hAnsi="Calibri" w:cs="Calibri"/>
                <w:sz w:val="20"/>
                <w:szCs w:val="20"/>
              </w:rPr>
            </w:pPr>
            <w:r w:rsidRPr="00672C82">
              <w:rPr>
                <w:rFonts w:ascii="Calibri" w:hAnsi="Calibri" w:cs="Calibri"/>
                <w:sz w:val="20"/>
                <w:szCs w:val="20"/>
              </w:rPr>
              <w:t>0.6</w:t>
            </w:r>
          </w:p>
        </w:tc>
      </w:tr>
      <w:tr w:rsidR="00361E7F" w:rsidRPr="00697868" w:rsidTr="005425ED">
        <w:trPr>
          <w:cnfStyle w:val="000000100000" w:firstRow="0" w:lastRow="0" w:firstColumn="0" w:lastColumn="0" w:oddVBand="0" w:evenVBand="0" w:oddHBand="1" w:evenHBand="0" w:firstRowFirstColumn="0" w:firstRowLastColumn="0" w:lastRowFirstColumn="0" w:lastRowLastColumn="0"/>
          <w:jc w:val="center"/>
        </w:trPr>
        <w:tc>
          <w:tcPr>
            <w:tcW w:w="844" w:type="pct"/>
            <w:vAlign w:val="center"/>
          </w:tcPr>
          <w:p w:rsidR="00361E7F" w:rsidRPr="00672C82" w:rsidRDefault="00361E7F" w:rsidP="00D84023">
            <w:pPr>
              <w:jc w:val="center"/>
              <w:rPr>
                <w:rFonts w:ascii="Calibri" w:hAnsi="Calibri" w:cs="Calibri"/>
                <w:sz w:val="20"/>
                <w:szCs w:val="20"/>
              </w:rPr>
            </w:pPr>
            <w:r w:rsidRPr="00361E7F">
              <w:rPr>
                <w:rFonts w:ascii="Calibri" w:hAnsi="Calibri" w:cs="Calibri"/>
                <w:sz w:val="20"/>
                <w:szCs w:val="20"/>
              </w:rPr>
              <w:t>Ind-Default-HTR-di</w:t>
            </w:r>
          </w:p>
        </w:tc>
        <w:tc>
          <w:tcPr>
            <w:tcW w:w="1550"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All other EEM with no evaluated NTGR; direct install to hard-to-reach only.</w:t>
            </w:r>
          </w:p>
        </w:tc>
        <w:tc>
          <w:tcPr>
            <w:tcW w:w="423" w:type="pct"/>
            <w:vAlign w:val="center"/>
          </w:tcPr>
          <w:p w:rsidR="00361E7F" w:rsidRPr="001B7EAB" w:rsidRDefault="00361E7F" w:rsidP="00361E7F">
            <w:pPr>
              <w:jc w:val="center"/>
              <w:rPr>
                <w:rFonts w:ascii="Calibri" w:hAnsi="Calibri" w:cs="Calibri"/>
                <w:sz w:val="20"/>
                <w:szCs w:val="20"/>
              </w:rPr>
            </w:pPr>
            <w:r w:rsidRPr="001B7EAB">
              <w:rPr>
                <w:rFonts w:ascii="Calibri" w:hAnsi="Calibri" w:cs="Calibri"/>
                <w:sz w:val="20"/>
                <w:szCs w:val="20"/>
              </w:rPr>
              <w:t>Ind</w:t>
            </w:r>
          </w:p>
        </w:tc>
        <w:tc>
          <w:tcPr>
            <w:tcW w:w="1004"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DirInstall</w:t>
            </w:r>
          </w:p>
        </w:tc>
        <w:tc>
          <w:tcPr>
            <w:tcW w:w="4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0.85</w:t>
            </w:r>
          </w:p>
        </w:tc>
      </w:tr>
      <w:tr w:rsidR="00361E7F" w:rsidRPr="00697868" w:rsidTr="005425ED">
        <w:trPr>
          <w:cnfStyle w:val="000000010000" w:firstRow="0" w:lastRow="0" w:firstColumn="0" w:lastColumn="0" w:oddVBand="0" w:evenVBand="0" w:oddHBand="0" w:evenHBand="1" w:firstRowFirstColumn="0" w:firstRowLastColumn="0" w:lastRowFirstColumn="0" w:lastRowLastColumn="0"/>
          <w:jc w:val="center"/>
        </w:trPr>
        <w:tc>
          <w:tcPr>
            <w:tcW w:w="844" w:type="pct"/>
            <w:vAlign w:val="center"/>
          </w:tcPr>
          <w:p w:rsidR="00361E7F" w:rsidRPr="00672C82" w:rsidRDefault="00361E7F" w:rsidP="00D84023">
            <w:pPr>
              <w:jc w:val="center"/>
              <w:rPr>
                <w:rFonts w:ascii="Calibri" w:hAnsi="Calibri" w:cs="Calibri"/>
                <w:sz w:val="20"/>
                <w:szCs w:val="20"/>
              </w:rPr>
            </w:pPr>
            <w:r w:rsidRPr="00361E7F">
              <w:rPr>
                <w:rFonts w:ascii="Calibri" w:hAnsi="Calibri" w:cs="Calibri"/>
                <w:sz w:val="20"/>
                <w:szCs w:val="20"/>
              </w:rPr>
              <w:t>Ind-Default&gt;2yrs</w:t>
            </w:r>
          </w:p>
        </w:tc>
        <w:tc>
          <w:tcPr>
            <w:tcW w:w="1550"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423" w:type="pct"/>
            <w:vAlign w:val="center"/>
          </w:tcPr>
          <w:p w:rsidR="00361E7F" w:rsidRPr="001B7EAB" w:rsidRDefault="00361E7F" w:rsidP="00361E7F">
            <w:pPr>
              <w:jc w:val="center"/>
              <w:rPr>
                <w:rFonts w:ascii="Calibri" w:hAnsi="Calibri" w:cs="Calibri"/>
                <w:sz w:val="20"/>
                <w:szCs w:val="20"/>
              </w:rPr>
            </w:pPr>
            <w:r w:rsidRPr="001B7EAB">
              <w:rPr>
                <w:rFonts w:ascii="Calibri" w:hAnsi="Calibri" w:cs="Calibri"/>
                <w:sz w:val="20"/>
                <w:szCs w:val="20"/>
              </w:rPr>
              <w:t>Ind</w:t>
            </w:r>
          </w:p>
        </w:tc>
        <w:tc>
          <w:tcPr>
            <w:tcW w:w="1004"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361E7F" w:rsidRPr="00672C82" w:rsidRDefault="003960A1" w:rsidP="00361E7F">
            <w:pPr>
              <w:jc w:val="center"/>
              <w:rPr>
                <w:rFonts w:ascii="Calibri" w:hAnsi="Calibri" w:cs="Calibri"/>
                <w:sz w:val="20"/>
                <w:szCs w:val="20"/>
              </w:rPr>
            </w:pPr>
            <w:r>
              <w:rPr>
                <w:rFonts w:ascii="Calibri" w:hAnsi="Calibri" w:cs="Calibri"/>
                <w:sz w:val="20"/>
                <w:szCs w:val="20"/>
              </w:rPr>
              <w:t>Any</w:t>
            </w:r>
          </w:p>
        </w:tc>
        <w:tc>
          <w:tcPr>
            <w:tcW w:w="4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0.6</w:t>
            </w:r>
          </w:p>
        </w:tc>
      </w:tr>
      <w:tr w:rsidR="00361E7F" w:rsidRPr="00697868" w:rsidTr="005425ED">
        <w:trPr>
          <w:cnfStyle w:val="000000100000" w:firstRow="0" w:lastRow="0" w:firstColumn="0" w:lastColumn="0" w:oddVBand="0" w:evenVBand="0" w:oddHBand="1" w:evenHBand="0" w:firstRowFirstColumn="0" w:firstRowLastColumn="0" w:lastRowFirstColumn="0" w:lastRowLastColumn="0"/>
          <w:trHeight w:val="1341"/>
          <w:jc w:val="center"/>
        </w:trPr>
        <w:tc>
          <w:tcPr>
            <w:tcW w:w="844" w:type="pct"/>
            <w:vAlign w:val="center"/>
          </w:tcPr>
          <w:p w:rsidR="00361E7F" w:rsidRPr="00672C82" w:rsidRDefault="00361E7F" w:rsidP="00D84023">
            <w:pPr>
              <w:jc w:val="center"/>
              <w:rPr>
                <w:rFonts w:ascii="Calibri" w:hAnsi="Calibri" w:cs="Calibri"/>
                <w:sz w:val="20"/>
                <w:szCs w:val="20"/>
              </w:rPr>
            </w:pPr>
            <w:r w:rsidRPr="00361E7F">
              <w:rPr>
                <w:rFonts w:ascii="Calibri" w:hAnsi="Calibri" w:cs="Calibri"/>
                <w:sz w:val="20"/>
                <w:szCs w:val="20"/>
              </w:rPr>
              <w:t>Agricult-Default-HTR-di</w:t>
            </w:r>
          </w:p>
        </w:tc>
        <w:tc>
          <w:tcPr>
            <w:tcW w:w="1550"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All other EEM with no evaluated NTGR; direct install to hard-to-reach only.</w:t>
            </w:r>
          </w:p>
        </w:tc>
        <w:tc>
          <w:tcPr>
            <w:tcW w:w="423" w:type="pct"/>
            <w:vAlign w:val="center"/>
          </w:tcPr>
          <w:p w:rsidR="00361E7F" w:rsidRPr="001B7EAB" w:rsidRDefault="00361E7F" w:rsidP="00361E7F">
            <w:pPr>
              <w:jc w:val="center"/>
              <w:rPr>
                <w:rFonts w:ascii="Calibri" w:hAnsi="Calibri" w:cs="Calibri"/>
                <w:sz w:val="20"/>
                <w:szCs w:val="20"/>
              </w:rPr>
            </w:pPr>
            <w:r w:rsidRPr="001B7EAB">
              <w:rPr>
                <w:rFonts w:ascii="Calibri" w:hAnsi="Calibri" w:cs="Calibri"/>
                <w:sz w:val="20"/>
                <w:szCs w:val="20"/>
              </w:rPr>
              <w:t>Ag</w:t>
            </w:r>
          </w:p>
        </w:tc>
        <w:tc>
          <w:tcPr>
            <w:tcW w:w="1004"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DirInstall</w:t>
            </w:r>
          </w:p>
        </w:tc>
        <w:tc>
          <w:tcPr>
            <w:tcW w:w="4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0.85</w:t>
            </w:r>
          </w:p>
        </w:tc>
      </w:tr>
      <w:tr w:rsidR="00361E7F" w:rsidRPr="00697868" w:rsidTr="005425ED">
        <w:trPr>
          <w:cnfStyle w:val="000000010000" w:firstRow="0" w:lastRow="0" w:firstColumn="0" w:lastColumn="0" w:oddVBand="0" w:evenVBand="0" w:oddHBand="0" w:evenHBand="1" w:firstRowFirstColumn="0" w:firstRowLastColumn="0" w:lastRowFirstColumn="0" w:lastRowLastColumn="0"/>
          <w:jc w:val="center"/>
        </w:trPr>
        <w:tc>
          <w:tcPr>
            <w:tcW w:w="844" w:type="pct"/>
            <w:vAlign w:val="center"/>
          </w:tcPr>
          <w:p w:rsidR="00361E7F" w:rsidRPr="00672C82" w:rsidRDefault="00361E7F" w:rsidP="00D84023">
            <w:pPr>
              <w:jc w:val="center"/>
              <w:rPr>
                <w:rFonts w:ascii="Calibri" w:hAnsi="Calibri" w:cs="Calibri"/>
                <w:sz w:val="20"/>
                <w:szCs w:val="20"/>
              </w:rPr>
            </w:pPr>
            <w:r w:rsidRPr="00361E7F">
              <w:rPr>
                <w:rFonts w:ascii="Calibri" w:hAnsi="Calibri" w:cs="Calibri"/>
                <w:sz w:val="20"/>
                <w:szCs w:val="20"/>
              </w:rPr>
              <w:t>Agric-Default&gt;2yrs</w:t>
            </w:r>
          </w:p>
        </w:tc>
        <w:tc>
          <w:tcPr>
            <w:tcW w:w="1550"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423" w:type="pct"/>
            <w:vAlign w:val="center"/>
          </w:tcPr>
          <w:p w:rsidR="00361E7F" w:rsidRPr="001B7EAB" w:rsidRDefault="00361E7F" w:rsidP="00361E7F">
            <w:pPr>
              <w:jc w:val="center"/>
              <w:rPr>
                <w:rFonts w:ascii="Calibri" w:hAnsi="Calibri" w:cs="Calibri"/>
                <w:sz w:val="20"/>
                <w:szCs w:val="20"/>
              </w:rPr>
            </w:pPr>
            <w:r w:rsidRPr="001B7EAB">
              <w:rPr>
                <w:rFonts w:ascii="Calibri" w:hAnsi="Calibri" w:cs="Calibri"/>
                <w:sz w:val="20"/>
                <w:szCs w:val="20"/>
              </w:rPr>
              <w:t>Ag</w:t>
            </w:r>
          </w:p>
        </w:tc>
        <w:tc>
          <w:tcPr>
            <w:tcW w:w="1004"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Any</w:t>
            </w:r>
          </w:p>
        </w:tc>
        <w:tc>
          <w:tcPr>
            <w:tcW w:w="739" w:type="pct"/>
            <w:vAlign w:val="center"/>
          </w:tcPr>
          <w:p w:rsidR="00361E7F" w:rsidRPr="00672C82" w:rsidRDefault="003960A1" w:rsidP="003960A1">
            <w:pPr>
              <w:jc w:val="center"/>
              <w:rPr>
                <w:rFonts w:ascii="Calibri" w:hAnsi="Calibri" w:cs="Calibri"/>
                <w:sz w:val="20"/>
                <w:szCs w:val="20"/>
              </w:rPr>
            </w:pPr>
            <w:r>
              <w:rPr>
                <w:rFonts w:ascii="Calibri" w:hAnsi="Calibri" w:cs="Calibri"/>
                <w:sz w:val="20"/>
                <w:szCs w:val="20"/>
              </w:rPr>
              <w:t>Any</w:t>
            </w:r>
          </w:p>
        </w:tc>
        <w:tc>
          <w:tcPr>
            <w:tcW w:w="439" w:type="pct"/>
            <w:vAlign w:val="center"/>
          </w:tcPr>
          <w:p w:rsidR="00361E7F" w:rsidRPr="00672C82" w:rsidRDefault="00361E7F" w:rsidP="00361E7F">
            <w:pPr>
              <w:jc w:val="center"/>
              <w:rPr>
                <w:rFonts w:ascii="Calibri" w:hAnsi="Calibri" w:cs="Calibri"/>
                <w:sz w:val="20"/>
                <w:szCs w:val="20"/>
              </w:rPr>
            </w:pPr>
            <w:r w:rsidRPr="00672C82">
              <w:rPr>
                <w:rFonts w:ascii="Calibri" w:hAnsi="Calibri" w:cs="Calibri"/>
                <w:sz w:val="20"/>
                <w:szCs w:val="20"/>
              </w:rPr>
              <w:t>0.6</w:t>
            </w:r>
          </w:p>
        </w:tc>
      </w:tr>
    </w:tbl>
    <w:p w:rsidR="002325F9" w:rsidRDefault="000968C6" w:rsidP="002325F9">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Pr="004600A2" w:rsidRDefault="000968C6" w:rsidP="002325F9">
      <w:pPr>
        <w:rPr>
          <w:rFonts w:asciiTheme="minorHAnsi" w:hAnsiTheme="minorHAnsi" w:cstheme="minorHAnsi"/>
          <w:sz w:val="20"/>
          <w:szCs w:val="20"/>
        </w:rPr>
      </w:pPr>
      <w:r w:rsidRPr="004600A2">
        <w:rPr>
          <w:rFonts w:asciiTheme="minorHAnsi" w:hAnsiTheme="minorHAnsi" w:cstheme="minorHAnsi"/>
          <w:b/>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w:t>
      </w:r>
      <w:r w:rsidR="00EB1EA8">
        <w:rPr>
          <w:rFonts w:asciiTheme="minorHAnsi" w:hAnsiTheme="minorHAnsi" w:cstheme="minorHAnsi"/>
          <w:i w:val="0"/>
          <w:color w:val="auto"/>
          <w:sz w:val="22"/>
          <w:szCs w:val="22"/>
        </w:rPr>
        <w:t xml:space="preserve"> </w:t>
      </w:r>
      <w:r w:rsidR="00240B74">
        <w:rPr>
          <w:rFonts w:asciiTheme="minorHAnsi" w:hAnsiTheme="minorHAnsi" w:cstheme="minorHAnsi"/>
          <w:i w:val="0"/>
          <w:color w:val="auto"/>
          <w:sz w:val="22"/>
          <w:szCs w:val="22"/>
        </w:rPr>
        <w:t>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716CFE">
        <w:rPr>
          <w:rFonts w:asciiTheme="minorHAnsi" w:hAnsiTheme="minorHAnsi" w:cstheme="minorHAnsi"/>
          <w:i w:val="0"/>
          <w:color w:val="auto"/>
          <w:sz w:val="22"/>
          <w:szCs w:val="22"/>
        </w:rPr>
        <w:fldChar w:fldCharType="begin"/>
      </w:r>
      <w:r w:rsidR="00716CFE">
        <w:rPr>
          <w:rFonts w:asciiTheme="minorHAnsi" w:hAnsiTheme="minorHAnsi" w:cstheme="minorHAnsi"/>
          <w:i w:val="0"/>
          <w:color w:val="auto"/>
          <w:sz w:val="22"/>
          <w:szCs w:val="22"/>
        </w:rPr>
        <w:instrText xml:space="preserve"> REF _Ref377965904 \h  \* MERGEFORMAT </w:instrText>
      </w:r>
      <w:r w:rsidR="00716CFE">
        <w:rPr>
          <w:rFonts w:asciiTheme="minorHAnsi" w:hAnsiTheme="minorHAnsi" w:cstheme="minorHAnsi"/>
          <w:i w:val="0"/>
          <w:color w:val="auto"/>
          <w:sz w:val="22"/>
          <w:szCs w:val="22"/>
        </w:rPr>
      </w:r>
      <w:r w:rsidR="00716CFE">
        <w:rPr>
          <w:rFonts w:asciiTheme="minorHAnsi" w:hAnsiTheme="minorHAnsi" w:cstheme="minorHAnsi"/>
          <w:i w:val="0"/>
          <w:color w:val="auto"/>
          <w:sz w:val="22"/>
          <w:szCs w:val="22"/>
        </w:rPr>
        <w:fldChar w:fldCharType="separate"/>
      </w:r>
      <w:r w:rsidR="0095321C" w:rsidRPr="00763536">
        <w:rPr>
          <w:rFonts w:asciiTheme="minorHAnsi" w:hAnsiTheme="minorHAnsi" w:cstheme="minorHAnsi"/>
          <w:i w:val="0"/>
          <w:color w:val="auto"/>
          <w:sz w:val="22"/>
          <w:szCs w:val="22"/>
        </w:rPr>
        <w:t>Table 5</w:t>
      </w:r>
      <w:r w:rsidR="00716CFE">
        <w:rPr>
          <w:rFonts w:asciiTheme="minorHAnsi" w:hAnsiTheme="minorHAnsi" w:cstheme="minorHAnsi"/>
          <w:i w:val="0"/>
          <w:color w:val="auto"/>
          <w:sz w:val="22"/>
          <w:szCs w:val="22"/>
        </w:rPr>
        <w:fldChar w:fldCharType="end"/>
      </w:r>
      <w:r w:rsidR="003C105D">
        <w:rPr>
          <w:rFonts w:asciiTheme="minorHAnsi" w:hAnsiTheme="minorHAnsi" w:cstheme="minorHAnsi"/>
          <w:i w:val="0"/>
          <w:color w:val="auto"/>
          <w:sz w:val="22"/>
          <w:szCs w:val="22"/>
        </w:rPr>
        <w:t xml:space="preserve"> </w:t>
      </w:r>
      <w:r w:rsidR="006B4A48" w:rsidRPr="006B4A48">
        <w:rPr>
          <w:rFonts w:asciiTheme="minorHAnsi" w:hAnsiTheme="minorHAnsi" w:cstheme="minorHAnsi"/>
          <w:i w:val="0"/>
          <w:color w:val="auto"/>
          <w:sz w:val="22"/>
          <w:szCs w:val="22"/>
        </w:rPr>
        <w:t>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6679FE" w:rsidP="00240B74">
      <w:pPr>
        <w:pStyle w:val="Caption"/>
        <w:jc w:val="center"/>
        <w:rPr>
          <w:rFonts w:asciiTheme="minorHAnsi" w:hAnsiTheme="minorHAnsi" w:cstheme="minorHAnsi"/>
          <w:sz w:val="22"/>
          <w:szCs w:val="22"/>
        </w:rPr>
      </w:pPr>
      <w:bookmarkStart w:id="11" w:name="_Ref377965904"/>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5</w:t>
      </w:r>
      <w:r w:rsidRPr="00BB17FF">
        <w:rPr>
          <w:rFonts w:ascii="Calibri" w:hAnsi="Calibri" w:cs="Calibri"/>
          <w:sz w:val="22"/>
          <w:szCs w:val="22"/>
        </w:rPr>
        <w:fldChar w:fldCharType="end"/>
      </w:r>
      <w:bookmarkEnd w:id="11"/>
      <w:r w:rsidR="00716CFE">
        <w:rPr>
          <w:rFonts w:asciiTheme="minorHAnsi" w:hAnsiTheme="minorHAnsi" w:cstheme="minorHAnsi"/>
          <w:sz w:val="22"/>
          <w:szCs w:val="22"/>
        </w:rPr>
        <w:t xml:space="preserve"> </w:t>
      </w:r>
      <w:r w:rsidR="00240B74">
        <w:rPr>
          <w:rFonts w:asciiTheme="minorHAnsi" w:hAnsiTheme="minorHAnsi" w:cstheme="minorHAnsi"/>
          <w:sz w:val="22"/>
          <w:szCs w:val="22"/>
        </w:rPr>
        <w:t>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6B4A48"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697868" w:rsidRDefault="00495D6E" w:rsidP="009824E9">
            <w:pPr>
              <w:jc w:val="center"/>
              <w:rPr>
                <w:rFonts w:asciiTheme="minorHAnsi" w:hAnsiTheme="minorHAnsi" w:cstheme="minorHAnsi"/>
                <w:sz w:val="20"/>
                <w:szCs w:val="20"/>
              </w:rPr>
            </w:pPr>
            <w:r>
              <w:rPr>
                <w:rFonts w:asciiTheme="minorHAnsi" w:hAnsiTheme="minorHAnsi" w:cstheme="minorHAnsi"/>
                <w:sz w:val="20"/>
                <w:szCs w:val="20"/>
              </w:rPr>
              <w:t>Def-GSIA</w:t>
            </w:r>
          </w:p>
        </w:tc>
        <w:tc>
          <w:tcPr>
            <w:tcW w:w="1010" w:type="pct"/>
            <w:vAlign w:val="center"/>
          </w:tcPr>
          <w:p w:rsidR="006B4A48" w:rsidRPr="00697868" w:rsidRDefault="00495D6E" w:rsidP="009824E9">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rsidR="006B4A48" w:rsidRPr="00697868" w:rsidRDefault="00495D6E"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6B4A48" w:rsidRPr="00697868" w:rsidRDefault="00495D6E"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07" w:type="pct"/>
            <w:vAlign w:val="center"/>
          </w:tcPr>
          <w:p w:rsidR="006B4A48" w:rsidRPr="00697868" w:rsidRDefault="00495D6E" w:rsidP="009824E9">
            <w:pPr>
              <w:jc w:val="center"/>
              <w:rPr>
                <w:rFonts w:asciiTheme="minorHAnsi" w:hAnsiTheme="minorHAnsi" w:cstheme="minorHAnsi"/>
                <w:sz w:val="20"/>
                <w:szCs w:val="20"/>
              </w:rPr>
            </w:pPr>
            <w:r>
              <w:rPr>
                <w:rFonts w:asciiTheme="minorHAnsi" w:hAnsiTheme="minorHAnsi" w:cstheme="minorHAnsi"/>
                <w:sz w:val="20"/>
                <w:szCs w:val="20"/>
              </w:rPr>
              <w:t>1</w:t>
            </w:r>
            <w:r w:rsidR="00512FAB">
              <w:rPr>
                <w:rFonts w:asciiTheme="minorHAnsi" w:hAnsiTheme="minorHAnsi" w:cstheme="minorHAnsi"/>
                <w:sz w:val="20"/>
                <w:szCs w:val="20"/>
              </w:rPr>
              <w:t>.0</w:t>
            </w:r>
          </w:p>
        </w:tc>
      </w:tr>
    </w:tbl>
    <w:p w:rsidR="000968C6" w:rsidRDefault="000968C6"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w:t>
      </w:r>
      <w:r w:rsidR="00EB1EA8">
        <w:rPr>
          <w:rFonts w:asciiTheme="minorHAnsi" w:hAnsiTheme="minorHAnsi" w:cstheme="minorHAnsi"/>
          <w:i w:val="0"/>
          <w:color w:val="auto"/>
          <w:sz w:val="22"/>
          <w:szCs w:val="22"/>
        </w:rPr>
        <w:t xml:space="preserve"> </w:t>
      </w:r>
      <w:r w:rsidRPr="000968C6">
        <w:rPr>
          <w:rFonts w:asciiTheme="minorHAnsi" w:hAnsiTheme="minorHAnsi" w:cstheme="minorHAnsi"/>
          <w:i w:val="0"/>
          <w:color w:val="auto"/>
          <w:sz w:val="22"/>
          <w:szCs w:val="22"/>
        </w:rPr>
        <w:t>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sidR="00EB1EA8">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sidR="00EB1EA8">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paper refer the Excel calculation template. </w:t>
      </w:r>
    </w:p>
    <w:p w:rsidR="00240B74" w:rsidRPr="00240B74" w:rsidRDefault="006679FE" w:rsidP="00240B74">
      <w:pPr>
        <w:pStyle w:val="Caption"/>
        <w:jc w:val="center"/>
        <w:rPr>
          <w:rFonts w:asciiTheme="minorHAnsi" w:hAnsiTheme="minorHAnsi" w:cstheme="minorHAnsi"/>
          <w:sz w:val="22"/>
          <w:szCs w:val="22"/>
        </w:rPr>
      </w:pPr>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6</w:t>
      </w:r>
      <w:r w:rsidRPr="00BB17FF">
        <w:rPr>
          <w:rFonts w:ascii="Calibri" w:hAnsi="Calibri" w:cs="Calibri"/>
          <w:sz w:val="22"/>
          <w:szCs w:val="22"/>
        </w:rPr>
        <w:fldChar w:fldCharType="end"/>
      </w:r>
      <w:r w:rsidR="00716CFE" w:rsidRPr="00240B74">
        <w:rPr>
          <w:rFonts w:asciiTheme="minorHAnsi" w:hAnsiTheme="minorHAnsi" w:cstheme="minorHAnsi"/>
          <w:sz w:val="22"/>
          <w:szCs w:val="22"/>
        </w:rPr>
        <w:t xml:space="preserve"> </w:t>
      </w:r>
      <w:proofErr w:type="spellStart"/>
      <w:r w:rsidR="00240B74">
        <w:rPr>
          <w:rFonts w:asciiTheme="minorHAnsi" w:hAnsiTheme="minorHAnsi" w:cstheme="minorHAnsi"/>
          <w:sz w:val="22"/>
          <w:szCs w:val="22"/>
        </w:rPr>
        <w:t>READi</w:t>
      </w:r>
      <w:proofErr w:type="spellEnd"/>
      <w:r w:rsidR="00240B74">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w:t>
            </w:r>
            <w:r w:rsidR="003E1086">
              <w:rPr>
                <w:rFonts w:asciiTheme="minorHAnsi" w:hAnsiTheme="minorHAnsi" w:cstheme="minorHAnsi"/>
                <w:i w:val="0"/>
                <w:color w:val="auto"/>
                <w:sz w:val="20"/>
                <w:szCs w:val="22"/>
              </w:rPr>
              <w:t xml:space="preserve"> </w:t>
            </w:r>
            <w:r w:rsidRPr="00240B74">
              <w:rPr>
                <w:rFonts w:asciiTheme="minorHAnsi" w:hAnsiTheme="minorHAnsi" w:cstheme="minorHAnsi"/>
                <w:i w:val="0"/>
                <w:color w:val="auto"/>
                <w:sz w:val="20"/>
                <w:szCs w:val="22"/>
              </w:rPr>
              <w:t>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AD3152">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e Case UseCategory</w:t>
            </w:r>
          </w:p>
        </w:tc>
        <w:tc>
          <w:tcPr>
            <w:tcW w:w="6030" w:type="dxa"/>
          </w:tcPr>
          <w:p w:rsidR="00240B74" w:rsidRPr="00240B74" w:rsidRDefault="00AD315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AppPlug</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AD315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Office_eq</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3D544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AD315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Software</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B52813"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B52813"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Desktop Computer</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9"/>
    </w:p>
    <w:p w:rsidR="004467D0" w:rsidRPr="007C474A" w:rsidRDefault="004467D0" w:rsidP="004467D0">
      <w:pPr>
        <w:rPr>
          <w:rFonts w:ascii="Calibri" w:hAnsi="Calibri" w:cs="Calibri"/>
          <w:sz w:val="22"/>
          <w:szCs w:val="22"/>
        </w:rPr>
      </w:pPr>
      <w:r w:rsidRPr="007C474A">
        <w:rPr>
          <w:rFonts w:ascii="Calibri" w:hAnsi="Calibri" w:cs="Calibri"/>
          <w:sz w:val="22"/>
          <w:szCs w:val="22"/>
        </w:rPr>
        <w:t xml:space="preserve">There are neither federal nor state codes applicable to </w:t>
      </w:r>
      <w:r w:rsidR="003D5442">
        <w:rPr>
          <w:rFonts w:ascii="Calibri" w:hAnsi="Calibri" w:cs="Calibri"/>
          <w:sz w:val="22"/>
          <w:szCs w:val="22"/>
        </w:rPr>
        <w:t>p</w:t>
      </w:r>
      <w:r w:rsidRPr="007C474A">
        <w:rPr>
          <w:rFonts w:ascii="Calibri" w:hAnsi="Calibri" w:cs="Calibri"/>
          <w:sz w:val="22"/>
          <w:szCs w:val="22"/>
        </w:rPr>
        <w:t xml:space="preserve">ower </w:t>
      </w:r>
      <w:r w:rsidR="003D5442">
        <w:rPr>
          <w:rFonts w:ascii="Calibri" w:hAnsi="Calibri" w:cs="Calibri"/>
          <w:sz w:val="22"/>
          <w:szCs w:val="22"/>
        </w:rPr>
        <w:t>m</w:t>
      </w:r>
      <w:r w:rsidRPr="007C474A">
        <w:rPr>
          <w:rFonts w:ascii="Calibri" w:hAnsi="Calibri" w:cs="Calibri"/>
          <w:sz w:val="22"/>
          <w:szCs w:val="22"/>
        </w:rPr>
        <w:t xml:space="preserve">anagement </w:t>
      </w:r>
      <w:r w:rsidR="003D5442">
        <w:rPr>
          <w:rFonts w:ascii="Calibri" w:hAnsi="Calibri" w:cs="Calibri"/>
          <w:sz w:val="22"/>
          <w:szCs w:val="22"/>
        </w:rPr>
        <w:t>s</w:t>
      </w:r>
      <w:r w:rsidRPr="007C474A">
        <w:rPr>
          <w:rFonts w:ascii="Calibri" w:hAnsi="Calibri" w:cs="Calibri"/>
          <w:sz w:val="22"/>
          <w:szCs w:val="22"/>
        </w:rPr>
        <w:t xml:space="preserve">oftware for </w:t>
      </w:r>
      <w:r w:rsidR="003D5442">
        <w:rPr>
          <w:rFonts w:ascii="Calibri" w:hAnsi="Calibri" w:cs="Calibri"/>
          <w:sz w:val="22"/>
          <w:szCs w:val="22"/>
        </w:rPr>
        <w:t>n</w:t>
      </w:r>
      <w:r w:rsidRPr="007C474A">
        <w:rPr>
          <w:rFonts w:ascii="Calibri" w:hAnsi="Calibri" w:cs="Calibri"/>
          <w:sz w:val="22"/>
          <w:szCs w:val="22"/>
        </w:rPr>
        <w:t xml:space="preserve">etworked </w:t>
      </w:r>
      <w:r w:rsidR="003D5442">
        <w:rPr>
          <w:rFonts w:ascii="Calibri" w:hAnsi="Calibri" w:cs="Calibri"/>
          <w:sz w:val="22"/>
          <w:szCs w:val="22"/>
        </w:rPr>
        <w:t>p</w:t>
      </w:r>
      <w:r w:rsidRPr="007C474A">
        <w:rPr>
          <w:rFonts w:ascii="Calibri" w:hAnsi="Calibri" w:cs="Calibri"/>
          <w:sz w:val="22"/>
          <w:szCs w:val="22"/>
        </w:rPr>
        <w:t xml:space="preserve">ersonal </w:t>
      </w:r>
      <w:r w:rsidR="003D5442">
        <w:rPr>
          <w:rFonts w:ascii="Calibri" w:hAnsi="Calibri" w:cs="Calibri"/>
          <w:sz w:val="22"/>
          <w:szCs w:val="22"/>
        </w:rPr>
        <w:t>c</w:t>
      </w:r>
      <w:r w:rsidRPr="007C474A">
        <w:rPr>
          <w:rFonts w:ascii="Calibri" w:hAnsi="Calibri" w:cs="Calibri"/>
          <w:sz w:val="22"/>
          <w:szCs w:val="22"/>
        </w:rPr>
        <w:t>omputers.</w:t>
      </w:r>
    </w:p>
    <w:p w:rsidR="00B07EE5" w:rsidRPr="00697868" w:rsidRDefault="006679FE" w:rsidP="00B07EE5">
      <w:pPr>
        <w:pStyle w:val="Caption"/>
        <w:keepNext/>
        <w:jc w:val="center"/>
        <w:rPr>
          <w:rFonts w:asciiTheme="minorHAnsi" w:hAnsiTheme="minorHAnsi" w:cstheme="minorHAnsi"/>
          <w:sz w:val="22"/>
          <w:szCs w:val="22"/>
        </w:rPr>
      </w:pPr>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7</w:t>
      </w:r>
      <w:r w:rsidRPr="00BB17FF">
        <w:rPr>
          <w:rFonts w:ascii="Calibri" w:hAnsi="Calibri" w:cs="Calibri"/>
          <w:sz w:val="22"/>
          <w:szCs w:val="22"/>
        </w:rPr>
        <w:fldChar w:fldCharType="end"/>
      </w:r>
      <w:r w:rsidR="00716CFE"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881A42" w:rsidRPr="00697868" w:rsidTr="0068722C">
        <w:trPr>
          <w:cnfStyle w:val="000000100000" w:firstRow="0" w:lastRow="0" w:firstColumn="0" w:lastColumn="0" w:oddVBand="0" w:evenVBand="0" w:oddHBand="1" w:evenHBand="0" w:firstRowFirstColumn="0" w:firstRowLastColumn="0" w:lastRowFirstColumn="0" w:lastRowLastColumn="0"/>
          <w:trHeight w:val="35"/>
          <w:jc w:val="center"/>
        </w:trPr>
        <w:tc>
          <w:tcPr>
            <w:tcW w:w="1854" w:type="dxa"/>
            <w:vAlign w:val="center"/>
          </w:tcPr>
          <w:p w:rsidR="00881A42" w:rsidRPr="0068722C" w:rsidRDefault="00E035F3" w:rsidP="00886997">
            <w:pPr>
              <w:jc w:val="center"/>
              <w:rPr>
                <w:rFonts w:asciiTheme="minorHAnsi" w:hAnsiTheme="minorHAnsi" w:cstheme="minorHAnsi"/>
                <w:sz w:val="20"/>
                <w:szCs w:val="20"/>
              </w:rPr>
            </w:pPr>
            <w:r>
              <w:rPr>
                <w:rFonts w:asciiTheme="minorHAnsi" w:hAnsiTheme="minorHAnsi" w:cstheme="minorHAnsi"/>
                <w:sz w:val="20"/>
                <w:szCs w:val="20"/>
              </w:rPr>
              <w:t>Title 24 (201</w:t>
            </w:r>
            <w:r w:rsidR="00886997">
              <w:rPr>
                <w:rFonts w:asciiTheme="minorHAnsi" w:hAnsiTheme="minorHAnsi" w:cstheme="minorHAnsi"/>
                <w:sz w:val="20"/>
                <w:szCs w:val="20"/>
              </w:rPr>
              <w:t>3</w:t>
            </w:r>
            <w:r w:rsidR="00881A42" w:rsidRPr="0068722C">
              <w:rPr>
                <w:rFonts w:asciiTheme="minorHAnsi" w:hAnsiTheme="minorHAnsi" w:cstheme="minorHAnsi"/>
                <w:sz w:val="20"/>
                <w:szCs w:val="20"/>
              </w:rPr>
              <w:t>)</w:t>
            </w:r>
          </w:p>
        </w:tc>
        <w:tc>
          <w:tcPr>
            <w:tcW w:w="4352" w:type="dxa"/>
            <w:vAlign w:val="center"/>
          </w:tcPr>
          <w:p w:rsidR="00881A42" w:rsidRPr="0068722C" w:rsidRDefault="004467D0" w:rsidP="007E43F8">
            <w:pPr>
              <w:jc w:val="center"/>
              <w:rPr>
                <w:rFonts w:asciiTheme="minorHAnsi" w:hAnsiTheme="minorHAnsi" w:cstheme="minorHAnsi"/>
                <w:sz w:val="20"/>
                <w:szCs w:val="20"/>
              </w:rPr>
            </w:pPr>
            <w:r w:rsidRPr="0068722C">
              <w:rPr>
                <w:rFonts w:asciiTheme="minorHAnsi" w:hAnsiTheme="minorHAnsi" w:cstheme="minorHAnsi"/>
                <w:sz w:val="20"/>
                <w:szCs w:val="20"/>
              </w:rPr>
              <w:t>N/A</w:t>
            </w:r>
          </w:p>
        </w:tc>
        <w:tc>
          <w:tcPr>
            <w:tcW w:w="1821" w:type="dxa"/>
            <w:vAlign w:val="center"/>
          </w:tcPr>
          <w:p w:rsidR="00881A42" w:rsidRPr="0068722C" w:rsidRDefault="00881A42" w:rsidP="007E43F8">
            <w:pPr>
              <w:jc w:val="center"/>
              <w:rPr>
                <w:rFonts w:asciiTheme="minorHAnsi" w:hAnsiTheme="minorHAnsi" w:cstheme="minorHAnsi"/>
                <w:sz w:val="20"/>
                <w:szCs w:val="20"/>
              </w:rPr>
            </w:pPr>
            <w:r w:rsidRPr="0068722C">
              <w:rPr>
                <w:rFonts w:asciiTheme="minorHAnsi" w:hAnsiTheme="minorHAnsi" w:cstheme="minorHAnsi"/>
                <w:sz w:val="20"/>
                <w:szCs w:val="20"/>
              </w:rPr>
              <w:t>N/A</w:t>
            </w:r>
          </w:p>
        </w:tc>
      </w:tr>
      <w:tr w:rsidR="00881A42" w:rsidRPr="00697868" w:rsidTr="0068722C">
        <w:trPr>
          <w:cnfStyle w:val="000000010000" w:firstRow="0" w:lastRow="0" w:firstColumn="0" w:lastColumn="0" w:oddVBand="0" w:evenVBand="0" w:oddHBand="0" w:evenHBand="1" w:firstRowFirstColumn="0" w:firstRowLastColumn="0" w:lastRowFirstColumn="0" w:lastRowLastColumn="0"/>
          <w:trHeight w:val="35"/>
          <w:jc w:val="center"/>
        </w:trPr>
        <w:tc>
          <w:tcPr>
            <w:tcW w:w="1854" w:type="dxa"/>
            <w:vAlign w:val="center"/>
          </w:tcPr>
          <w:p w:rsidR="00881A42" w:rsidRPr="0068722C" w:rsidRDefault="002C6C7A" w:rsidP="00512FAB">
            <w:pPr>
              <w:jc w:val="center"/>
              <w:rPr>
                <w:rFonts w:asciiTheme="minorHAnsi" w:hAnsiTheme="minorHAnsi" w:cstheme="minorHAnsi"/>
                <w:sz w:val="20"/>
                <w:szCs w:val="20"/>
              </w:rPr>
            </w:pPr>
            <w:r w:rsidRPr="0068722C">
              <w:rPr>
                <w:rFonts w:asciiTheme="minorHAnsi" w:hAnsiTheme="minorHAnsi" w:cstheme="minorHAnsi"/>
                <w:sz w:val="20"/>
                <w:szCs w:val="20"/>
              </w:rPr>
              <w:t>Title 20 (201</w:t>
            </w:r>
            <w:r w:rsidR="00512FAB">
              <w:rPr>
                <w:rFonts w:asciiTheme="minorHAnsi" w:hAnsiTheme="minorHAnsi" w:cstheme="minorHAnsi"/>
                <w:sz w:val="20"/>
                <w:szCs w:val="20"/>
              </w:rPr>
              <w:t>4</w:t>
            </w:r>
            <w:r w:rsidRPr="0068722C">
              <w:rPr>
                <w:rFonts w:asciiTheme="minorHAnsi" w:hAnsiTheme="minorHAnsi" w:cstheme="minorHAnsi"/>
                <w:sz w:val="20"/>
                <w:szCs w:val="20"/>
              </w:rPr>
              <w:t>)</w:t>
            </w:r>
          </w:p>
        </w:tc>
        <w:tc>
          <w:tcPr>
            <w:tcW w:w="4352" w:type="dxa"/>
            <w:vAlign w:val="center"/>
          </w:tcPr>
          <w:p w:rsidR="00881A42" w:rsidRPr="0068722C" w:rsidRDefault="004467D0" w:rsidP="00AB3386">
            <w:pPr>
              <w:jc w:val="center"/>
              <w:rPr>
                <w:rFonts w:asciiTheme="minorHAnsi" w:hAnsiTheme="minorHAnsi" w:cstheme="minorHAnsi"/>
                <w:sz w:val="20"/>
                <w:szCs w:val="20"/>
              </w:rPr>
            </w:pPr>
            <w:r w:rsidRPr="0068722C">
              <w:rPr>
                <w:rFonts w:asciiTheme="minorHAnsi" w:hAnsiTheme="minorHAnsi" w:cstheme="minorHAnsi"/>
                <w:sz w:val="20"/>
                <w:szCs w:val="20"/>
              </w:rPr>
              <w:t>N/A</w:t>
            </w:r>
          </w:p>
        </w:tc>
        <w:tc>
          <w:tcPr>
            <w:tcW w:w="1821" w:type="dxa"/>
            <w:vAlign w:val="center"/>
          </w:tcPr>
          <w:p w:rsidR="00881A42" w:rsidRPr="0068722C" w:rsidRDefault="00881A42" w:rsidP="007E43F8">
            <w:pPr>
              <w:jc w:val="center"/>
              <w:rPr>
                <w:rFonts w:asciiTheme="minorHAnsi" w:hAnsiTheme="minorHAnsi" w:cstheme="minorHAnsi"/>
                <w:sz w:val="20"/>
                <w:szCs w:val="20"/>
              </w:rPr>
            </w:pPr>
            <w:r w:rsidRPr="0068722C">
              <w:rPr>
                <w:rFonts w:asciiTheme="minorHAnsi" w:hAnsiTheme="minorHAnsi" w:cstheme="minorHAnsi"/>
                <w:sz w:val="20"/>
                <w:szCs w:val="20"/>
              </w:rPr>
              <w:t>N/A</w:t>
            </w:r>
          </w:p>
        </w:tc>
      </w:tr>
      <w:tr w:rsidR="004467D0" w:rsidRPr="00697868" w:rsidTr="0068722C">
        <w:trPr>
          <w:cnfStyle w:val="000000100000" w:firstRow="0" w:lastRow="0" w:firstColumn="0" w:lastColumn="0" w:oddVBand="0" w:evenVBand="0" w:oddHBand="1" w:evenHBand="0" w:firstRowFirstColumn="0" w:firstRowLastColumn="0" w:lastRowFirstColumn="0" w:lastRowLastColumn="0"/>
          <w:trHeight w:val="35"/>
          <w:jc w:val="center"/>
        </w:trPr>
        <w:tc>
          <w:tcPr>
            <w:tcW w:w="1854" w:type="dxa"/>
            <w:vAlign w:val="center"/>
          </w:tcPr>
          <w:p w:rsidR="004467D0" w:rsidRPr="0068722C" w:rsidRDefault="004467D0" w:rsidP="007E43F8">
            <w:pPr>
              <w:jc w:val="center"/>
              <w:rPr>
                <w:rFonts w:asciiTheme="minorHAnsi" w:hAnsiTheme="minorHAnsi" w:cstheme="minorHAnsi"/>
                <w:sz w:val="20"/>
                <w:szCs w:val="20"/>
              </w:rPr>
            </w:pPr>
            <w:r w:rsidRPr="0068722C">
              <w:rPr>
                <w:rFonts w:asciiTheme="minorHAnsi" w:hAnsiTheme="minorHAnsi" w:cstheme="minorHAnsi"/>
                <w:sz w:val="20"/>
                <w:szCs w:val="20"/>
              </w:rPr>
              <w:t>Federal Standards</w:t>
            </w:r>
          </w:p>
        </w:tc>
        <w:tc>
          <w:tcPr>
            <w:tcW w:w="4352" w:type="dxa"/>
            <w:vAlign w:val="center"/>
          </w:tcPr>
          <w:p w:rsidR="004467D0" w:rsidRPr="0068722C" w:rsidRDefault="004467D0" w:rsidP="00D84023">
            <w:pPr>
              <w:jc w:val="center"/>
              <w:rPr>
                <w:rFonts w:asciiTheme="minorHAnsi" w:hAnsiTheme="minorHAnsi" w:cstheme="minorHAnsi"/>
                <w:sz w:val="20"/>
                <w:szCs w:val="20"/>
              </w:rPr>
            </w:pPr>
            <w:r w:rsidRPr="0068722C">
              <w:rPr>
                <w:rFonts w:asciiTheme="minorHAnsi" w:hAnsiTheme="minorHAnsi" w:cstheme="minorHAnsi"/>
                <w:sz w:val="20"/>
                <w:szCs w:val="20"/>
              </w:rPr>
              <w:t>N/A</w:t>
            </w:r>
          </w:p>
        </w:tc>
        <w:tc>
          <w:tcPr>
            <w:tcW w:w="1821" w:type="dxa"/>
            <w:vAlign w:val="center"/>
          </w:tcPr>
          <w:p w:rsidR="004467D0" w:rsidRPr="0068722C" w:rsidRDefault="004467D0" w:rsidP="00D84023">
            <w:pPr>
              <w:jc w:val="center"/>
              <w:rPr>
                <w:rFonts w:asciiTheme="minorHAnsi" w:hAnsiTheme="minorHAnsi" w:cstheme="minorHAnsi"/>
                <w:sz w:val="20"/>
                <w:szCs w:val="20"/>
              </w:rPr>
            </w:pPr>
            <w:r w:rsidRPr="0068722C">
              <w:rPr>
                <w:rFonts w:asciiTheme="minorHAnsi" w:hAnsiTheme="minorHAnsi" w:cstheme="minorHAnsi"/>
                <w:sz w:val="20"/>
                <w:szCs w:val="20"/>
              </w:rPr>
              <w:t>N/A</w:t>
            </w:r>
          </w:p>
        </w:tc>
      </w:tr>
    </w:tbl>
    <w:p w:rsidR="00B07EE5" w:rsidRPr="00697868" w:rsidRDefault="00B07EE5" w:rsidP="00E16609">
      <w:pPr>
        <w:pStyle w:val="Reminders"/>
        <w:rPr>
          <w:rFonts w:asciiTheme="minorHAnsi" w:hAnsiTheme="minorHAnsi" w:cstheme="minorHAnsi"/>
          <w:sz w:val="22"/>
          <w:szCs w:val="22"/>
        </w:rPr>
      </w:pPr>
    </w:p>
    <w:p w:rsidR="006329B6" w:rsidRDefault="006329B6" w:rsidP="006329B6">
      <w:pPr>
        <w:pStyle w:val="Heading3"/>
        <w:rPr>
          <w:rFonts w:asciiTheme="minorHAnsi" w:hAnsiTheme="minorHAnsi"/>
        </w:rPr>
      </w:pPr>
      <w:bookmarkStart w:id="12" w:name="_Toc214003088"/>
      <w:r w:rsidRPr="00AB21F5">
        <w:rPr>
          <w:rFonts w:asciiTheme="minorHAnsi" w:hAnsiTheme="minorHAnsi"/>
        </w:rPr>
        <w:t xml:space="preserve">1.4.3 </w:t>
      </w:r>
      <w:r>
        <w:rPr>
          <w:rFonts w:asciiTheme="minorHAnsi" w:hAnsiTheme="minorHAnsi"/>
        </w:rPr>
        <w:t xml:space="preserve">SCE </w:t>
      </w:r>
      <w:r w:rsidRPr="00AB21F5">
        <w:rPr>
          <w:rFonts w:asciiTheme="minorHAnsi" w:hAnsiTheme="minorHAnsi"/>
        </w:rPr>
        <w:t>Non-DEER Study Review</w:t>
      </w:r>
    </w:p>
    <w:p w:rsidR="006329B6" w:rsidRPr="004467D0" w:rsidRDefault="001C647D" w:rsidP="006329B6">
      <w:pPr>
        <w:rPr>
          <w:rFonts w:asciiTheme="minorHAnsi" w:hAnsiTheme="minorHAnsi"/>
          <w:b/>
          <w:i/>
          <w:sz w:val="22"/>
        </w:rPr>
      </w:pPr>
      <w:r w:rsidRPr="001C647D">
        <w:rPr>
          <w:rFonts w:ascii="Calibri" w:hAnsi="Calibri" w:cs="Calibri"/>
          <w:sz w:val="22"/>
          <w:szCs w:val="22"/>
        </w:rPr>
        <w:t>The LBNL</w:t>
      </w:r>
      <w:r w:rsidR="00621848">
        <w:rPr>
          <w:rFonts w:ascii="Calibri" w:hAnsi="Calibri" w:cs="Calibri"/>
          <w:sz w:val="22"/>
          <w:szCs w:val="22"/>
        </w:rPr>
        <w:t xml:space="preserve"> 1096E</w:t>
      </w:r>
      <w:r w:rsidR="00180161">
        <w:rPr>
          <w:rFonts w:ascii="Calibri" w:hAnsi="Calibri" w:cs="Calibri"/>
          <w:sz w:val="22"/>
          <w:szCs w:val="22"/>
        </w:rPr>
        <w:t xml:space="preserve"> [H,J]</w:t>
      </w:r>
      <w:r w:rsidR="00621848">
        <w:rPr>
          <w:rFonts w:ascii="Calibri" w:hAnsi="Calibri" w:cs="Calibri"/>
          <w:sz w:val="22"/>
          <w:szCs w:val="22"/>
        </w:rPr>
        <w:t>, LBNL-37383</w:t>
      </w:r>
      <w:r w:rsidR="00180161">
        <w:rPr>
          <w:rFonts w:ascii="Calibri" w:hAnsi="Calibri" w:cs="Calibri"/>
          <w:sz w:val="22"/>
          <w:szCs w:val="22"/>
        </w:rPr>
        <w:t xml:space="preserve"> [C]</w:t>
      </w:r>
      <w:r w:rsidR="00621848">
        <w:rPr>
          <w:rFonts w:ascii="Calibri" w:hAnsi="Calibri" w:cs="Calibri"/>
          <w:sz w:val="22"/>
          <w:szCs w:val="22"/>
        </w:rPr>
        <w:t xml:space="preserve"> and the LBNL 45917</w:t>
      </w:r>
      <w:r w:rsidR="00180161">
        <w:rPr>
          <w:rFonts w:ascii="Calibri" w:hAnsi="Calibri" w:cs="Calibri"/>
          <w:sz w:val="22"/>
          <w:szCs w:val="22"/>
        </w:rPr>
        <w:t xml:space="preserve"> [B]</w:t>
      </w:r>
      <w:r w:rsidRPr="001C647D">
        <w:rPr>
          <w:rFonts w:ascii="Calibri" w:hAnsi="Calibri" w:cs="Calibri"/>
          <w:sz w:val="22"/>
          <w:szCs w:val="22"/>
        </w:rPr>
        <w:t xml:space="preserve"> were used to determine the EUL for this measure. </w:t>
      </w:r>
      <w:r w:rsidR="00621848">
        <w:rPr>
          <w:rFonts w:ascii="Calibri" w:hAnsi="Calibri" w:cs="Calibri"/>
          <w:sz w:val="22"/>
          <w:szCs w:val="22"/>
        </w:rPr>
        <w:t xml:space="preserve">LBNL 1096E was </w:t>
      </w:r>
      <w:r w:rsidR="00356C9F">
        <w:rPr>
          <w:rFonts w:ascii="Calibri" w:hAnsi="Calibri" w:cs="Calibri"/>
          <w:sz w:val="22"/>
          <w:szCs w:val="22"/>
        </w:rPr>
        <w:t>a</w:t>
      </w:r>
      <w:r w:rsidR="00621848">
        <w:rPr>
          <w:rFonts w:ascii="Calibri" w:hAnsi="Calibri" w:cs="Calibri"/>
          <w:sz w:val="22"/>
          <w:szCs w:val="22"/>
        </w:rPr>
        <w:t xml:space="preserve"> study </w:t>
      </w:r>
      <w:r w:rsidR="00356C9F">
        <w:rPr>
          <w:rFonts w:ascii="Calibri" w:hAnsi="Calibri" w:cs="Calibri"/>
          <w:sz w:val="22"/>
          <w:szCs w:val="22"/>
        </w:rPr>
        <w:t xml:space="preserve">to determine </w:t>
      </w:r>
      <w:r w:rsidR="00621848">
        <w:rPr>
          <w:rFonts w:ascii="Calibri" w:hAnsi="Calibri" w:cs="Calibri"/>
          <w:sz w:val="22"/>
          <w:szCs w:val="22"/>
        </w:rPr>
        <w:t>the “lifetime” value for computer monitors.</w:t>
      </w:r>
      <w:r w:rsidR="00621848" w:rsidRPr="001C647D">
        <w:rPr>
          <w:rFonts w:ascii="Calibri" w:hAnsi="Calibri" w:cs="Calibri"/>
          <w:sz w:val="22"/>
          <w:szCs w:val="22"/>
        </w:rPr>
        <w:t xml:space="preserve"> </w:t>
      </w:r>
      <w:r w:rsidR="00356C9F">
        <w:rPr>
          <w:rFonts w:ascii="Calibri" w:hAnsi="Calibri" w:cs="Calibri"/>
          <w:sz w:val="22"/>
          <w:szCs w:val="22"/>
        </w:rPr>
        <w:t xml:space="preserve">The </w:t>
      </w:r>
      <w:r w:rsidR="00621848">
        <w:rPr>
          <w:rFonts w:ascii="Calibri" w:hAnsi="Calibri" w:cs="Calibri"/>
          <w:sz w:val="22"/>
          <w:szCs w:val="22"/>
        </w:rPr>
        <w:t>LBNL 45917</w:t>
      </w:r>
      <w:r w:rsidR="00356C9F">
        <w:rPr>
          <w:rFonts w:ascii="Calibri" w:hAnsi="Calibri" w:cs="Calibri"/>
          <w:sz w:val="22"/>
          <w:szCs w:val="22"/>
        </w:rPr>
        <w:t xml:space="preserve"> study</w:t>
      </w:r>
      <w:r w:rsidR="00621848">
        <w:rPr>
          <w:rFonts w:ascii="Calibri" w:hAnsi="Calibri" w:cs="Calibri"/>
          <w:sz w:val="22"/>
          <w:szCs w:val="22"/>
        </w:rPr>
        <w:t xml:space="preserve"> was used</w:t>
      </w:r>
      <w:r w:rsidR="00356C9F">
        <w:rPr>
          <w:rFonts w:ascii="Calibri" w:hAnsi="Calibri" w:cs="Calibri"/>
          <w:sz w:val="22"/>
          <w:szCs w:val="22"/>
        </w:rPr>
        <w:t xml:space="preserve"> to determine the EUL</w:t>
      </w:r>
      <w:r w:rsidR="00621848">
        <w:rPr>
          <w:rFonts w:ascii="Calibri" w:hAnsi="Calibri" w:cs="Calibri"/>
          <w:sz w:val="22"/>
          <w:szCs w:val="22"/>
        </w:rPr>
        <w:t xml:space="preserve"> for </w:t>
      </w:r>
      <w:r w:rsidR="00621848" w:rsidRPr="001C647D">
        <w:rPr>
          <w:rFonts w:ascii="Calibri" w:hAnsi="Calibri" w:cs="Calibri"/>
          <w:sz w:val="22"/>
          <w:szCs w:val="22"/>
        </w:rPr>
        <w:t>off</w:t>
      </w:r>
      <w:r w:rsidR="00621848">
        <w:rPr>
          <w:rFonts w:ascii="Calibri" w:hAnsi="Calibri" w:cs="Calibri"/>
          <w:sz w:val="22"/>
          <w:szCs w:val="22"/>
        </w:rPr>
        <w:t xml:space="preserve">ice and network equipment and </w:t>
      </w:r>
      <w:r w:rsidR="00356C9F">
        <w:rPr>
          <w:rFonts w:ascii="Calibri" w:hAnsi="Calibri" w:cs="Calibri"/>
          <w:sz w:val="22"/>
          <w:szCs w:val="22"/>
        </w:rPr>
        <w:t xml:space="preserve">the </w:t>
      </w:r>
      <w:r w:rsidR="00621848" w:rsidRPr="001C647D">
        <w:rPr>
          <w:rFonts w:ascii="Calibri" w:hAnsi="Calibri" w:cs="Calibri"/>
          <w:sz w:val="22"/>
          <w:szCs w:val="22"/>
        </w:rPr>
        <w:t>LBNL-37383</w:t>
      </w:r>
      <w:r w:rsidR="00621848">
        <w:rPr>
          <w:rFonts w:ascii="Calibri" w:hAnsi="Calibri" w:cs="Calibri"/>
          <w:sz w:val="22"/>
          <w:szCs w:val="22"/>
        </w:rPr>
        <w:t xml:space="preserve"> </w:t>
      </w:r>
      <w:r w:rsidR="00180161">
        <w:rPr>
          <w:rFonts w:ascii="Calibri" w:hAnsi="Calibri" w:cs="Calibri"/>
          <w:sz w:val="22"/>
          <w:szCs w:val="22"/>
        </w:rPr>
        <w:t xml:space="preserve">study </w:t>
      </w:r>
      <w:r w:rsidR="00356C9F">
        <w:rPr>
          <w:rFonts w:ascii="Calibri" w:hAnsi="Calibri" w:cs="Calibri"/>
          <w:sz w:val="22"/>
          <w:szCs w:val="22"/>
        </w:rPr>
        <w:t>was used to determine</w:t>
      </w:r>
      <w:r w:rsidR="00621848">
        <w:rPr>
          <w:rFonts w:ascii="Calibri" w:hAnsi="Calibri" w:cs="Calibri"/>
          <w:sz w:val="22"/>
          <w:szCs w:val="22"/>
        </w:rPr>
        <w:t xml:space="preserve"> life cycle of the</w:t>
      </w:r>
      <w:r w:rsidR="00621848" w:rsidRPr="001C647D">
        <w:rPr>
          <w:rFonts w:ascii="Calibri" w:hAnsi="Calibri" w:cs="Calibri"/>
          <w:sz w:val="22"/>
          <w:szCs w:val="22"/>
        </w:rPr>
        <w:t xml:space="preserve"> network computer and server</w:t>
      </w:r>
      <w:r w:rsidR="00621848">
        <w:rPr>
          <w:rFonts w:ascii="Calibri" w:hAnsi="Calibri" w:cs="Calibri"/>
          <w:sz w:val="22"/>
          <w:szCs w:val="22"/>
        </w:rPr>
        <w:t xml:space="preserve">. </w:t>
      </w:r>
    </w:p>
    <w:p w:rsidR="00E16609" w:rsidRPr="00F06CCF" w:rsidRDefault="00824F1C" w:rsidP="00F06CCF">
      <w:pPr>
        <w:pStyle w:val="Heading3"/>
        <w:rPr>
          <w:rFonts w:asciiTheme="minorHAnsi" w:hAnsiTheme="minorHAnsi"/>
        </w:rPr>
      </w:pPr>
      <w:r w:rsidRPr="00F06CCF">
        <w:rPr>
          <w:rFonts w:asciiTheme="minorHAnsi" w:hAnsiTheme="minorHAnsi"/>
        </w:rPr>
        <w:t>1.4</w:t>
      </w:r>
      <w:r w:rsidR="00F06CCF">
        <w:rPr>
          <w:rFonts w:asciiTheme="minorHAnsi" w:hAnsiTheme="minorHAnsi"/>
        </w:rPr>
        <w:t>.</w:t>
      </w:r>
      <w:r w:rsidR="00AB21F5">
        <w:rPr>
          <w:rFonts w:asciiTheme="minorHAnsi" w:hAnsiTheme="minorHAnsi"/>
        </w:rPr>
        <w:t>4</w:t>
      </w:r>
      <w:r w:rsidR="003864D2">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2"/>
    </w:p>
    <w:p w:rsidR="007F49D8" w:rsidRPr="00697868" w:rsidRDefault="007F49D8" w:rsidP="007F49D8">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7F49D8" w:rsidRPr="00697868" w:rsidRDefault="007F49D8" w:rsidP="007F49D8">
      <w:pPr>
        <w:rPr>
          <w:rFonts w:asciiTheme="minorHAnsi" w:hAnsiTheme="minorHAnsi" w:cstheme="minorHAnsi"/>
          <w:sz w:val="22"/>
          <w:szCs w:val="22"/>
        </w:rPr>
      </w:pPr>
    </w:p>
    <w:p w:rsidR="000811DB" w:rsidRDefault="007F49D8" w:rsidP="000811DB">
      <w:pPr>
        <w:rPr>
          <w:rFonts w:ascii="Calibri" w:hAnsi="Calibri" w:cs="Calibri"/>
          <w:sz w:val="22"/>
          <w:szCs w:val="22"/>
        </w:rPr>
      </w:pPr>
      <w:r w:rsidRPr="00697868">
        <w:rPr>
          <w:rFonts w:asciiTheme="minorHAnsi" w:hAnsiTheme="minorHAnsi" w:cstheme="minorHAnsi"/>
          <w:sz w:val="22"/>
          <w:szCs w:val="22"/>
        </w:rPr>
        <w:t>To obtain the EUL value the 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 [213], was consulted.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_Ref296591307 \h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separate"/>
      </w:r>
      <w:r w:rsidRPr="001D683E">
        <w:rPr>
          <w:rFonts w:asciiTheme="minorHAnsi" w:hAnsiTheme="minorHAnsi" w:cstheme="minorHAnsi"/>
          <w:sz w:val="22"/>
          <w:szCs w:val="22"/>
        </w:rPr>
        <w:t xml:space="preserve">Table </w:t>
      </w:r>
      <w:r w:rsidRPr="001D683E">
        <w:rPr>
          <w:rFonts w:asciiTheme="minorHAnsi" w:hAnsiTheme="minorHAnsi" w:cstheme="minorHAnsi"/>
          <w:noProof/>
          <w:sz w:val="22"/>
          <w:szCs w:val="22"/>
        </w:rPr>
        <w:t>8</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6679FE" w:rsidP="005B28C1">
      <w:pPr>
        <w:pStyle w:val="Caption"/>
        <w:jc w:val="center"/>
        <w:rPr>
          <w:rFonts w:asciiTheme="minorHAnsi" w:hAnsiTheme="minorHAnsi" w:cstheme="minorHAnsi"/>
          <w:sz w:val="22"/>
          <w:szCs w:val="22"/>
        </w:rPr>
      </w:pPr>
      <w:bookmarkStart w:id="13" w:name="_Ref296591307"/>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8</w:t>
      </w:r>
      <w:r w:rsidRPr="00BB17FF">
        <w:rPr>
          <w:rFonts w:ascii="Calibri" w:hAnsi="Calibri" w:cs="Calibri"/>
          <w:sz w:val="22"/>
          <w:szCs w:val="22"/>
        </w:rPr>
        <w:fldChar w:fldCharType="end"/>
      </w:r>
      <w:bookmarkEnd w:id="13"/>
      <w:r w:rsidR="00716CFE" w:rsidRPr="00697868">
        <w:rPr>
          <w:rFonts w:asciiTheme="minorHAnsi" w:hAnsiTheme="minorHAnsi" w:cstheme="minorHAnsi"/>
          <w:sz w:val="22"/>
          <w:szCs w:val="22"/>
        </w:rPr>
        <w:t xml:space="preserve"> </w:t>
      </w:r>
      <w:r w:rsidR="005B28C1" w:rsidRPr="00697868">
        <w:rPr>
          <w:rFonts w:asciiTheme="minorHAnsi" w:hAnsiTheme="minorHAnsi" w:cstheme="minorHAnsi"/>
          <w:sz w:val="22"/>
          <w:szCs w:val="22"/>
        </w:rPr>
        <w:t>DEER</w:t>
      </w:r>
      <w:r w:rsidR="003832D2">
        <w:rPr>
          <w:rFonts w:asciiTheme="minorHAnsi" w:hAnsiTheme="minorHAnsi" w:cstheme="minorHAnsi"/>
          <w:sz w:val="22"/>
          <w:szCs w:val="22"/>
        </w:rPr>
        <w:t>14</w:t>
      </w:r>
      <w:r w:rsidR="005B28C1" w:rsidRPr="00697868">
        <w:rPr>
          <w:rFonts w:asciiTheme="minorHAnsi" w:hAnsiTheme="minorHAnsi" w:cstheme="minorHAnsi"/>
          <w:sz w:val="22"/>
          <w:szCs w:val="22"/>
        </w:rPr>
        <w:t xml:space="preserve"> EUL Value/Methodology</w:t>
      </w:r>
    </w:p>
    <w:tbl>
      <w:tblPr>
        <w:tblStyle w:val="TableContemporary"/>
        <w:tblW w:w="9552" w:type="dxa"/>
        <w:jc w:val="center"/>
        <w:tblLook w:val="04A0" w:firstRow="1" w:lastRow="0" w:firstColumn="1" w:lastColumn="0" w:noHBand="0" w:noVBand="1"/>
      </w:tblPr>
      <w:tblGrid>
        <w:gridCol w:w="1388"/>
        <w:gridCol w:w="1525"/>
        <w:gridCol w:w="1591"/>
        <w:gridCol w:w="2750"/>
        <w:gridCol w:w="1107"/>
        <w:gridCol w:w="1191"/>
      </w:tblGrid>
      <w:tr w:rsidR="001C5A94" w:rsidRPr="00697868" w:rsidTr="000177BE">
        <w:trPr>
          <w:cnfStyle w:val="100000000000" w:firstRow="1" w:lastRow="0" w:firstColumn="0" w:lastColumn="0" w:oddVBand="0" w:evenVBand="0" w:oddHBand="0" w:evenHBand="0" w:firstRowFirstColumn="0" w:firstRowLastColumn="0" w:lastRowFirstColumn="0" w:lastRowLastColumn="0"/>
          <w:jc w:val="center"/>
        </w:trPr>
        <w:tc>
          <w:tcPr>
            <w:tcW w:w="1388"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525"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59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750"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107"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19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796B8F" w:rsidRPr="00697868" w:rsidTr="000177BE">
        <w:trPr>
          <w:cnfStyle w:val="000000100000" w:firstRow="0" w:lastRow="0" w:firstColumn="0" w:lastColumn="0" w:oddVBand="0" w:evenVBand="0" w:oddHBand="1" w:evenHBand="0" w:firstRowFirstColumn="0" w:firstRowLastColumn="0" w:lastRowFirstColumn="0" w:lastRowLastColumn="0"/>
          <w:trHeight w:val="243"/>
          <w:jc w:val="center"/>
        </w:trPr>
        <w:tc>
          <w:tcPr>
            <w:tcW w:w="1388" w:type="dxa"/>
          </w:tcPr>
          <w:p w:rsidR="00796B8F" w:rsidRPr="001B7EAB" w:rsidRDefault="00796B8F" w:rsidP="003D7195">
            <w:pPr>
              <w:rPr>
                <w:rFonts w:asciiTheme="minorHAnsi" w:hAnsiTheme="minorHAnsi" w:cstheme="minorHAnsi"/>
                <w:sz w:val="20"/>
                <w:szCs w:val="20"/>
                <w:highlight w:val="yellow"/>
              </w:rPr>
            </w:pPr>
            <w:r>
              <w:rPr>
                <w:rFonts w:asciiTheme="minorHAnsi" w:hAnsiTheme="minorHAnsi" w:cstheme="minorHAnsi"/>
                <w:sz w:val="20"/>
                <w:szCs w:val="20"/>
              </w:rPr>
              <w:t>Plug-Software</w:t>
            </w:r>
          </w:p>
        </w:tc>
        <w:tc>
          <w:tcPr>
            <w:tcW w:w="1525" w:type="dxa"/>
          </w:tcPr>
          <w:p w:rsidR="00796B8F" w:rsidRPr="00697868" w:rsidRDefault="00796B8F" w:rsidP="003D7195">
            <w:pPr>
              <w:rPr>
                <w:rFonts w:asciiTheme="minorHAnsi" w:hAnsiTheme="minorHAnsi" w:cstheme="minorHAnsi"/>
                <w:sz w:val="20"/>
                <w:szCs w:val="20"/>
              </w:rPr>
            </w:pPr>
            <w:r w:rsidRPr="00697868">
              <w:rPr>
                <w:rFonts w:asciiTheme="minorHAnsi" w:hAnsiTheme="minorHAnsi" w:cstheme="minorHAnsi"/>
                <w:sz w:val="20"/>
                <w:szCs w:val="20"/>
              </w:rPr>
              <w:t>Non-Residential</w:t>
            </w:r>
          </w:p>
        </w:tc>
        <w:tc>
          <w:tcPr>
            <w:tcW w:w="1591" w:type="dxa"/>
          </w:tcPr>
          <w:p w:rsidR="00796B8F" w:rsidRPr="00697868" w:rsidRDefault="00796B8F" w:rsidP="003D7195">
            <w:pPr>
              <w:rPr>
                <w:rFonts w:asciiTheme="minorHAnsi" w:hAnsiTheme="minorHAnsi" w:cstheme="minorHAnsi"/>
                <w:sz w:val="20"/>
                <w:szCs w:val="20"/>
              </w:rPr>
            </w:pPr>
            <w:r w:rsidRPr="00672C82">
              <w:rPr>
                <w:rFonts w:ascii="Calibri" w:hAnsi="Calibri" w:cs="Calibri"/>
                <w:sz w:val="20"/>
                <w:szCs w:val="20"/>
              </w:rPr>
              <w:t>Office Equipment</w:t>
            </w:r>
          </w:p>
        </w:tc>
        <w:tc>
          <w:tcPr>
            <w:tcW w:w="2750" w:type="dxa"/>
          </w:tcPr>
          <w:p w:rsidR="00796B8F" w:rsidRPr="00697868" w:rsidRDefault="00796B8F" w:rsidP="003D7195">
            <w:pPr>
              <w:rPr>
                <w:rFonts w:asciiTheme="minorHAnsi" w:hAnsiTheme="minorHAnsi" w:cstheme="minorHAnsi"/>
                <w:sz w:val="20"/>
                <w:szCs w:val="20"/>
              </w:rPr>
            </w:pPr>
            <w:r>
              <w:rPr>
                <w:rFonts w:asciiTheme="minorHAnsi" w:hAnsiTheme="minorHAnsi" w:cstheme="minorHAnsi"/>
                <w:sz w:val="20"/>
                <w:szCs w:val="20"/>
              </w:rPr>
              <w:t>Power Management Software</w:t>
            </w:r>
          </w:p>
        </w:tc>
        <w:tc>
          <w:tcPr>
            <w:tcW w:w="1107" w:type="dxa"/>
          </w:tcPr>
          <w:p w:rsidR="00796B8F" w:rsidRPr="00697868" w:rsidRDefault="00796B8F" w:rsidP="003D7195">
            <w:pPr>
              <w:rPr>
                <w:rFonts w:asciiTheme="minorHAnsi" w:hAnsiTheme="minorHAnsi" w:cstheme="minorHAnsi"/>
                <w:sz w:val="20"/>
                <w:szCs w:val="20"/>
              </w:rPr>
            </w:pPr>
            <w:r>
              <w:rPr>
                <w:rFonts w:asciiTheme="minorHAnsi" w:hAnsiTheme="minorHAnsi" w:cstheme="minorHAnsi"/>
                <w:sz w:val="20"/>
                <w:szCs w:val="20"/>
              </w:rPr>
              <w:t>5</w:t>
            </w:r>
          </w:p>
        </w:tc>
        <w:tc>
          <w:tcPr>
            <w:tcW w:w="1191" w:type="dxa"/>
          </w:tcPr>
          <w:p w:rsidR="00796B8F" w:rsidRPr="00697868" w:rsidRDefault="00796B8F" w:rsidP="003D7195">
            <w:pPr>
              <w:rPr>
                <w:rFonts w:asciiTheme="minorHAnsi" w:hAnsiTheme="minorHAnsi" w:cstheme="minorHAnsi"/>
                <w:sz w:val="20"/>
                <w:szCs w:val="20"/>
              </w:rPr>
            </w:pPr>
            <w:r>
              <w:rPr>
                <w:rFonts w:asciiTheme="minorHAnsi" w:hAnsiTheme="minorHAnsi" w:cstheme="minorHAnsi"/>
                <w:sz w:val="20"/>
                <w:szCs w:val="20"/>
              </w:rPr>
              <w:t>N/A</w:t>
            </w:r>
          </w:p>
        </w:tc>
      </w:tr>
    </w:tbl>
    <w:p w:rsidR="002325F9" w:rsidRDefault="002325F9" w:rsidP="00560934">
      <w:pPr>
        <w:pStyle w:val="Heading1"/>
        <w:keepNext w:val="0"/>
        <w:rPr>
          <w:rFonts w:ascii="Times New Roman" w:hAnsi="Times New Roman" w:cs="Times New Roman"/>
          <w:b w:val="0"/>
          <w:bCs w:val="0"/>
          <w:smallCaps w:val="0"/>
          <w:kern w:val="0"/>
          <w:sz w:val="24"/>
          <w:szCs w:val="24"/>
        </w:rPr>
      </w:pPr>
      <w:bookmarkStart w:id="14" w:name="_Toc214003090"/>
    </w:p>
    <w:p w:rsidR="00E16609" w:rsidRPr="00697868" w:rsidRDefault="00E16609" w:rsidP="00560934">
      <w:pPr>
        <w:pStyle w:val="Heading1"/>
        <w:keepNext w:val="0"/>
        <w:rPr>
          <w:rFonts w:asciiTheme="minorHAnsi" w:hAnsiTheme="minorHAnsi" w:cstheme="minorHAnsi"/>
        </w:rPr>
      </w:pPr>
      <w:r w:rsidRPr="00697868">
        <w:rPr>
          <w:rFonts w:asciiTheme="minorHAnsi" w:hAnsiTheme="minorHAnsi" w:cstheme="minorHAnsi"/>
        </w:rPr>
        <w:t>Section 2. Energy Savings &amp; Demand Reduction Calculations</w:t>
      </w:r>
      <w:bookmarkEnd w:id="14"/>
    </w:p>
    <w:p w:rsidR="00495D6E" w:rsidRPr="00495D6E" w:rsidRDefault="0095615E" w:rsidP="00495D6E">
      <w:pPr>
        <w:pStyle w:val="Heading2"/>
        <w:numPr>
          <w:ilvl w:val="1"/>
          <w:numId w:val="17"/>
        </w:numPr>
        <w:rPr>
          <w:rFonts w:asciiTheme="minorHAnsi" w:hAnsiTheme="minorHAnsi"/>
        </w:rPr>
      </w:pPr>
      <w:r>
        <w:rPr>
          <w:rFonts w:asciiTheme="minorHAnsi" w:hAnsiTheme="minorHAnsi"/>
        </w:rPr>
        <w:t xml:space="preserve"> </w:t>
      </w:r>
      <w:r w:rsidR="00495D6E">
        <w:rPr>
          <w:rFonts w:asciiTheme="minorHAnsi" w:hAnsiTheme="minorHAnsi"/>
        </w:rPr>
        <w:t xml:space="preserve">Energy Savings &amp; </w:t>
      </w:r>
      <w:r w:rsidR="00495D6E" w:rsidRPr="00697868">
        <w:rPr>
          <w:rFonts w:asciiTheme="minorHAnsi" w:hAnsiTheme="minorHAnsi"/>
        </w:rPr>
        <w:t>De</w:t>
      </w:r>
      <w:r w:rsidR="00495D6E">
        <w:rPr>
          <w:rFonts w:asciiTheme="minorHAnsi" w:hAnsiTheme="minorHAnsi"/>
        </w:rPr>
        <w:t>mand</w:t>
      </w:r>
      <w:r w:rsidR="00495D6E" w:rsidRPr="00697868">
        <w:rPr>
          <w:rFonts w:asciiTheme="minorHAnsi" w:hAnsiTheme="minorHAnsi"/>
        </w:rPr>
        <w:t xml:space="preserve"> </w:t>
      </w:r>
      <w:r w:rsidR="00495D6E">
        <w:rPr>
          <w:rFonts w:asciiTheme="minorHAnsi" w:hAnsiTheme="minorHAnsi"/>
        </w:rPr>
        <w:t>Reduction Calculations</w:t>
      </w:r>
      <w:bookmarkStart w:id="15" w:name="_GoBack"/>
      <w:bookmarkEnd w:id="15"/>
    </w:p>
    <w:p w:rsidR="0095321C" w:rsidRDefault="003C105D" w:rsidP="00A9598B">
      <w:pPr>
        <w:pStyle w:val="Caption"/>
        <w:keepLines/>
        <w:jc w:val="center"/>
        <w:rPr>
          <w:rFonts w:ascii="Calibri" w:hAnsi="Calibri" w:cs="Calibri"/>
          <w:sz w:val="22"/>
          <w:szCs w:val="22"/>
        </w:rPr>
      </w:pPr>
      <w:r>
        <w:fldChar w:fldCharType="begin"/>
      </w:r>
      <w:r>
        <w:instrText xml:space="preserve"> REF _Ref390251278 \h </w:instrText>
      </w:r>
      <w:r>
        <w:fldChar w:fldCharType="separate"/>
      </w:r>
    </w:p>
    <w:p w:rsidR="00424075" w:rsidRDefault="0095321C" w:rsidP="001B7EAB">
      <w:pPr>
        <w:rPr>
          <w:rFonts w:ascii="Calibri" w:hAnsi="Calibri" w:cs="Calibri"/>
          <w:b/>
          <w:bCs/>
          <w:szCs w:val="3276"/>
        </w:rPr>
      </w:pPr>
      <w:r w:rsidRPr="00BB17FF">
        <w:rPr>
          <w:rFonts w:ascii="Calibri" w:hAnsi="Calibri" w:cs="Calibri"/>
          <w:sz w:val="22"/>
          <w:szCs w:val="22"/>
        </w:rPr>
        <w:t xml:space="preserve">Table </w:t>
      </w:r>
      <w:r>
        <w:rPr>
          <w:rFonts w:ascii="Calibri" w:hAnsi="Calibri" w:cs="Calibri"/>
          <w:noProof/>
          <w:sz w:val="22"/>
          <w:szCs w:val="22"/>
        </w:rPr>
        <w:t>9</w:t>
      </w:r>
      <w:r w:rsidR="003C105D">
        <w:fldChar w:fldCharType="end"/>
      </w:r>
      <w:r w:rsidR="003C105D">
        <w:t xml:space="preserve"> </w:t>
      </w:r>
      <w:r w:rsidR="00A9598B" w:rsidRPr="001B7EAB">
        <w:rPr>
          <w:rFonts w:asciiTheme="minorHAnsi" w:hAnsiTheme="minorHAnsi" w:cs="Calibri"/>
          <w:sz w:val="22"/>
          <w:szCs w:val="22"/>
        </w:rPr>
        <w:t xml:space="preserve">summarizes the unit energy savings values from the monitoring studies reviewed for this work paper.  </w:t>
      </w:r>
      <w:r w:rsidR="00D037C7">
        <w:rPr>
          <w:rFonts w:asciiTheme="minorHAnsi" w:hAnsiTheme="minorHAnsi" w:cs="Calibri"/>
          <w:sz w:val="22"/>
          <w:szCs w:val="22"/>
        </w:rPr>
        <w:t>Please see attachment 2 for a</w:t>
      </w:r>
      <w:r w:rsidR="00A9598B" w:rsidRPr="001B7EAB">
        <w:rPr>
          <w:rFonts w:asciiTheme="minorHAnsi" w:hAnsiTheme="minorHAnsi" w:cs="Calibri"/>
          <w:sz w:val="22"/>
          <w:szCs w:val="22"/>
        </w:rPr>
        <w:t xml:space="preserve"> full discussion of these studies</w:t>
      </w:r>
      <w:r w:rsidR="00D037C7">
        <w:rPr>
          <w:rFonts w:asciiTheme="minorHAnsi" w:hAnsiTheme="minorHAnsi" w:cs="Calibri"/>
          <w:sz w:val="22"/>
          <w:szCs w:val="22"/>
        </w:rPr>
        <w:t xml:space="preserve"> </w:t>
      </w:r>
      <w:r w:rsidR="000F0237">
        <w:rPr>
          <w:rFonts w:ascii="Calibri" w:hAnsi="Calibri" w:cs="Calibri"/>
          <w:sz w:val="22"/>
          <w:szCs w:val="22"/>
        </w:rPr>
        <w:t>[</w:t>
      </w:r>
      <w:r w:rsidR="00E9710C">
        <w:rPr>
          <w:rFonts w:ascii="Calibri" w:hAnsi="Calibri" w:cs="Calibri"/>
          <w:sz w:val="22"/>
          <w:szCs w:val="22"/>
        </w:rPr>
        <w:fldChar w:fldCharType="begin"/>
      </w:r>
      <w:r w:rsidR="00E9710C">
        <w:rPr>
          <w:rFonts w:ascii="Calibri" w:hAnsi="Calibri" w:cs="Calibri"/>
          <w:sz w:val="22"/>
          <w:szCs w:val="22"/>
        </w:rPr>
        <w:instrText xml:space="preserve"> REF _Ref387409680 \h  \* MERGEFORMAT </w:instrText>
      </w:r>
      <w:r w:rsidR="00E9710C">
        <w:rPr>
          <w:rFonts w:ascii="Calibri" w:hAnsi="Calibri" w:cs="Calibri"/>
          <w:sz w:val="22"/>
          <w:szCs w:val="22"/>
        </w:rPr>
      </w:r>
      <w:r w:rsidR="00E9710C">
        <w:rPr>
          <w:rFonts w:ascii="Calibri" w:hAnsi="Calibri" w:cs="Calibri"/>
          <w:sz w:val="22"/>
          <w:szCs w:val="22"/>
        </w:rPr>
        <w:fldChar w:fldCharType="separate"/>
      </w:r>
      <w:r w:rsidRPr="00763536">
        <w:rPr>
          <w:rFonts w:ascii="Calibri" w:hAnsi="Calibri" w:cs="Calibri"/>
          <w:sz w:val="22"/>
          <w:szCs w:val="22"/>
        </w:rPr>
        <w:t>E</w:t>
      </w:r>
      <w:r w:rsidR="00E9710C">
        <w:rPr>
          <w:rFonts w:ascii="Calibri" w:hAnsi="Calibri" w:cs="Calibri"/>
          <w:sz w:val="22"/>
          <w:szCs w:val="22"/>
        </w:rPr>
        <w:fldChar w:fldCharType="end"/>
      </w:r>
      <w:r w:rsidR="000F0237">
        <w:rPr>
          <w:rFonts w:ascii="Calibri" w:hAnsi="Calibri" w:cs="Calibri"/>
          <w:sz w:val="22"/>
          <w:szCs w:val="22"/>
        </w:rPr>
        <w:t>].</w:t>
      </w:r>
      <w:r w:rsidR="000F0237" w:rsidRPr="007C474A">
        <w:rPr>
          <w:rFonts w:ascii="Calibri" w:hAnsi="Calibri" w:cs="Calibri"/>
          <w:sz w:val="22"/>
          <w:szCs w:val="22"/>
        </w:rPr>
        <w:t xml:space="preserve"> </w:t>
      </w:r>
      <w:r w:rsidR="00A9598B" w:rsidRPr="001B7EAB">
        <w:rPr>
          <w:rFonts w:asciiTheme="minorHAnsi" w:hAnsiTheme="minorHAnsi" w:cs="Calibri"/>
          <w:sz w:val="22"/>
          <w:szCs w:val="22"/>
        </w:rPr>
        <w:t xml:space="preserve">These values form the basis for the deemed values in this work paper. </w:t>
      </w:r>
      <w:bookmarkStart w:id="16" w:name="_Ref284334529"/>
      <w:bookmarkStart w:id="17" w:name="_Toc222454096"/>
    </w:p>
    <w:p w:rsidR="002325F9" w:rsidRDefault="002325F9" w:rsidP="00A9598B">
      <w:pPr>
        <w:pStyle w:val="Caption"/>
        <w:keepLines/>
        <w:jc w:val="center"/>
        <w:rPr>
          <w:rFonts w:ascii="Calibri" w:hAnsi="Calibri" w:cs="Calibri"/>
        </w:rPr>
      </w:pPr>
    </w:p>
    <w:p w:rsidR="002325F9" w:rsidRDefault="002325F9" w:rsidP="00A9598B">
      <w:pPr>
        <w:pStyle w:val="Caption"/>
        <w:keepLines/>
        <w:jc w:val="center"/>
        <w:rPr>
          <w:rFonts w:ascii="Calibri" w:hAnsi="Calibri" w:cs="Calibri"/>
        </w:rPr>
      </w:pPr>
    </w:p>
    <w:p w:rsidR="002325F9" w:rsidRDefault="002325F9" w:rsidP="00A9598B">
      <w:pPr>
        <w:pStyle w:val="Caption"/>
        <w:keepLines/>
        <w:jc w:val="center"/>
        <w:rPr>
          <w:rFonts w:ascii="Calibri" w:hAnsi="Calibri" w:cs="Calibri"/>
        </w:rPr>
      </w:pPr>
    </w:p>
    <w:p w:rsidR="002325F9" w:rsidRDefault="002325F9" w:rsidP="00A9598B">
      <w:pPr>
        <w:pStyle w:val="Caption"/>
        <w:keepLines/>
        <w:jc w:val="center"/>
        <w:rPr>
          <w:rFonts w:ascii="Calibri" w:hAnsi="Calibri" w:cs="Calibri"/>
        </w:rPr>
      </w:pPr>
    </w:p>
    <w:p w:rsidR="002325F9" w:rsidRDefault="002325F9" w:rsidP="00A9598B">
      <w:pPr>
        <w:pStyle w:val="Caption"/>
        <w:keepLines/>
        <w:jc w:val="center"/>
        <w:rPr>
          <w:rFonts w:ascii="Calibri" w:hAnsi="Calibri" w:cs="Calibri"/>
        </w:rPr>
      </w:pPr>
    </w:p>
    <w:p w:rsidR="002325F9" w:rsidRDefault="002325F9" w:rsidP="00A9598B">
      <w:pPr>
        <w:pStyle w:val="Caption"/>
        <w:keepLines/>
        <w:jc w:val="center"/>
        <w:rPr>
          <w:rFonts w:ascii="Calibri" w:hAnsi="Calibri" w:cs="Calibri"/>
        </w:rPr>
      </w:pPr>
    </w:p>
    <w:p w:rsidR="00D037C7" w:rsidRDefault="00D037C7" w:rsidP="00A9598B">
      <w:pPr>
        <w:pStyle w:val="Caption"/>
        <w:keepLines/>
        <w:jc w:val="center"/>
        <w:rPr>
          <w:rFonts w:ascii="Calibri" w:hAnsi="Calibri" w:cs="Calibri"/>
        </w:rPr>
      </w:pPr>
    </w:p>
    <w:p w:rsidR="00D037C7" w:rsidRDefault="00D037C7" w:rsidP="00A9598B">
      <w:pPr>
        <w:pStyle w:val="Caption"/>
        <w:keepLines/>
        <w:jc w:val="center"/>
        <w:rPr>
          <w:rFonts w:ascii="Calibri" w:hAnsi="Calibri" w:cs="Calibri"/>
        </w:rPr>
      </w:pPr>
    </w:p>
    <w:p w:rsidR="004600A2" w:rsidRDefault="004600A2" w:rsidP="00A9598B">
      <w:pPr>
        <w:pStyle w:val="Caption"/>
        <w:keepLines/>
        <w:jc w:val="center"/>
        <w:rPr>
          <w:rFonts w:ascii="Calibri" w:hAnsi="Calibri" w:cs="Calibri"/>
          <w:sz w:val="22"/>
          <w:szCs w:val="22"/>
        </w:rPr>
      </w:pPr>
    </w:p>
    <w:p w:rsidR="004600A2" w:rsidRDefault="004600A2" w:rsidP="00A9598B">
      <w:pPr>
        <w:pStyle w:val="Caption"/>
        <w:keepLines/>
        <w:jc w:val="center"/>
        <w:rPr>
          <w:rFonts w:ascii="Calibri" w:hAnsi="Calibri" w:cs="Calibri"/>
          <w:sz w:val="22"/>
          <w:szCs w:val="22"/>
        </w:rPr>
      </w:pPr>
    </w:p>
    <w:p w:rsidR="003C105D" w:rsidRDefault="003C105D" w:rsidP="00A9598B">
      <w:pPr>
        <w:pStyle w:val="Caption"/>
        <w:keepLines/>
        <w:jc w:val="center"/>
        <w:rPr>
          <w:rFonts w:ascii="Calibri" w:hAnsi="Calibri" w:cs="Calibri"/>
          <w:sz w:val="22"/>
          <w:szCs w:val="22"/>
        </w:rPr>
      </w:pPr>
      <w:bookmarkStart w:id="18" w:name="_Ref390251278"/>
    </w:p>
    <w:p w:rsidR="00763536" w:rsidRDefault="00763536" w:rsidP="00A9598B">
      <w:pPr>
        <w:pStyle w:val="Caption"/>
        <w:keepLines/>
        <w:jc w:val="center"/>
        <w:rPr>
          <w:rFonts w:ascii="Calibri" w:hAnsi="Calibri" w:cs="Calibri"/>
          <w:sz w:val="22"/>
          <w:szCs w:val="22"/>
        </w:rPr>
      </w:pPr>
      <w:bookmarkStart w:id="19" w:name="_Ref390251338"/>
    </w:p>
    <w:p w:rsidR="00763536" w:rsidRDefault="00763536" w:rsidP="00A9598B">
      <w:pPr>
        <w:pStyle w:val="Caption"/>
        <w:keepLines/>
        <w:jc w:val="center"/>
        <w:rPr>
          <w:rFonts w:ascii="Calibri" w:hAnsi="Calibri" w:cs="Calibri"/>
          <w:sz w:val="22"/>
          <w:szCs w:val="22"/>
        </w:rPr>
      </w:pPr>
    </w:p>
    <w:p w:rsidR="00763536" w:rsidRDefault="00763536" w:rsidP="00A9598B">
      <w:pPr>
        <w:pStyle w:val="Caption"/>
        <w:keepLines/>
        <w:jc w:val="center"/>
        <w:rPr>
          <w:rFonts w:ascii="Calibri" w:hAnsi="Calibri" w:cs="Calibri"/>
          <w:sz w:val="22"/>
          <w:szCs w:val="22"/>
        </w:rPr>
      </w:pPr>
    </w:p>
    <w:p w:rsidR="00763536" w:rsidRDefault="00763536" w:rsidP="00A9598B">
      <w:pPr>
        <w:pStyle w:val="Caption"/>
        <w:keepLines/>
        <w:jc w:val="center"/>
        <w:rPr>
          <w:rFonts w:ascii="Calibri" w:hAnsi="Calibri" w:cs="Calibri"/>
          <w:sz w:val="22"/>
          <w:szCs w:val="22"/>
        </w:rPr>
      </w:pPr>
    </w:p>
    <w:p w:rsidR="00763536" w:rsidRDefault="00763536" w:rsidP="00A9598B">
      <w:pPr>
        <w:pStyle w:val="Caption"/>
        <w:keepLines/>
        <w:jc w:val="center"/>
        <w:rPr>
          <w:rFonts w:ascii="Calibri" w:hAnsi="Calibri" w:cs="Calibri"/>
          <w:sz w:val="22"/>
          <w:szCs w:val="22"/>
        </w:rPr>
      </w:pPr>
    </w:p>
    <w:p w:rsidR="00763536" w:rsidRDefault="00763536" w:rsidP="00A9598B">
      <w:pPr>
        <w:pStyle w:val="Caption"/>
        <w:keepLines/>
        <w:jc w:val="center"/>
        <w:rPr>
          <w:rFonts w:ascii="Calibri" w:hAnsi="Calibri" w:cs="Calibri"/>
          <w:sz w:val="22"/>
          <w:szCs w:val="22"/>
        </w:rPr>
      </w:pPr>
    </w:p>
    <w:p w:rsidR="00A9598B" w:rsidRPr="00BB17FF" w:rsidRDefault="006679FE" w:rsidP="00A9598B">
      <w:pPr>
        <w:pStyle w:val="Caption"/>
        <w:keepLines/>
        <w:jc w:val="center"/>
        <w:rPr>
          <w:rFonts w:ascii="Calibri" w:hAnsi="Calibri" w:cs="Calibri"/>
          <w:sz w:val="22"/>
          <w:szCs w:val="22"/>
        </w:rPr>
      </w:pPr>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9</w:t>
      </w:r>
      <w:r w:rsidRPr="00BB17FF">
        <w:rPr>
          <w:rFonts w:ascii="Calibri" w:hAnsi="Calibri" w:cs="Calibri"/>
          <w:sz w:val="22"/>
          <w:szCs w:val="22"/>
        </w:rPr>
        <w:fldChar w:fldCharType="end"/>
      </w:r>
      <w:bookmarkEnd w:id="18"/>
      <w:bookmarkEnd w:id="19"/>
      <w:bookmarkEnd w:id="16"/>
      <w:r w:rsidR="00A9598B" w:rsidRPr="00BB17FF">
        <w:rPr>
          <w:rFonts w:ascii="Calibri" w:hAnsi="Calibri" w:cs="Calibri"/>
          <w:b w:val="0"/>
          <w:sz w:val="22"/>
          <w:szCs w:val="22"/>
        </w:rPr>
        <w:t xml:space="preserve"> </w:t>
      </w:r>
      <w:r w:rsidR="00A9598B" w:rsidRPr="00BB17FF">
        <w:rPr>
          <w:rFonts w:ascii="Calibri" w:hAnsi="Calibri" w:cs="Calibri"/>
          <w:sz w:val="22"/>
          <w:szCs w:val="22"/>
        </w:rPr>
        <w:t>Summary of Documented Unit Energy Savings for PCPM Network Software</w:t>
      </w:r>
      <w:bookmarkEnd w:id="17"/>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3214"/>
        <w:gridCol w:w="1980"/>
        <w:gridCol w:w="3734"/>
      </w:tblGrid>
      <w:tr w:rsidR="00C26FCA" w:rsidRPr="00521841" w:rsidTr="00A9598B">
        <w:trPr>
          <w:cantSplit/>
          <w:tblHeader/>
          <w:jc w:val="center"/>
        </w:trPr>
        <w:tc>
          <w:tcPr>
            <w:tcW w:w="3214" w:type="dxa"/>
            <w:tcBorders>
              <w:top w:val="nil"/>
            </w:tcBorders>
            <w:shd w:val="pct20" w:color="000000" w:fill="FFFFFF"/>
            <w:vAlign w:val="center"/>
          </w:tcPr>
          <w:p w:rsidR="00A9598B" w:rsidRPr="00521841" w:rsidRDefault="00A9598B" w:rsidP="00D84023">
            <w:pPr>
              <w:keepNext/>
              <w:keepLines/>
              <w:jc w:val="center"/>
              <w:rPr>
                <w:rFonts w:ascii="Calibri" w:hAnsi="Calibri" w:cs="Calibri"/>
                <w:b/>
                <w:bCs/>
                <w:sz w:val="20"/>
                <w:szCs w:val="20"/>
              </w:rPr>
            </w:pPr>
            <w:r w:rsidRPr="00521841">
              <w:rPr>
                <w:rFonts w:ascii="Calibri" w:hAnsi="Calibri" w:cs="Calibri"/>
                <w:b/>
                <w:bCs/>
                <w:sz w:val="20"/>
                <w:szCs w:val="20"/>
              </w:rPr>
              <w:t>Cases</w:t>
            </w:r>
          </w:p>
        </w:tc>
        <w:tc>
          <w:tcPr>
            <w:tcW w:w="1980" w:type="dxa"/>
            <w:tcBorders>
              <w:top w:val="nil"/>
            </w:tcBorders>
            <w:shd w:val="pct20" w:color="000000" w:fill="FFFFFF"/>
            <w:vAlign w:val="center"/>
          </w:tcPr>
          <w:p w:rsidR="00A9598B" w:rsidRPr="00521841" w:rsidRDefault="00A9598B" w:rsidP="00D84023">
            <w:pPr>
              <w:keepNext/>
              <w:keepLines/>
              <w:jc w:val="center"/>
              <w:rPr>
                <w:rFonts w:ascii="Calibri" w:hAnsi="Calibri" w:cs="Calibri"/>
                <w:b/>
                <w:bCs/>
                <w:sz w:val="20"/>
                <w:szCs w:val="20"/>
              </w:rPr>
            </w:pPr>
            <w:r w:rsidRPr="00521841">
              <w:rPr>
                <w:rFonts w:ascii="Calibri" w:hAnsi="Calibri" w:cs="Calibri"/>
                <w:b/>
                <w:bCs/>
                <w:sz w:val="20"/>
                <w:szCs w:val="20"/>
              </w:rPr>
              <w:t>Building Type</w:t>
            </w:r>
          </w:p>
        </w:tc>
        <w:tc>
          <w:tcPr>
            <w:tcW w:w="3734" w:type="dxa"/>
            <w:tcBorders>
              <w:top w:val="nil"/>
            </w:tcBorders>
            <w:shd w:val="pct20" w:color="000000" w:fill="FFFFFF"/>
            <w:vAlign w:val="center"/>
          </w:tcPr>
          <w:p w:rsidR="00A9598B" w:rsidRPr="00521841" w:rsidRDefault="00A9598B" w:rsidP="00D84023">
            <w:pPr>
              <w:keepNext/>
              <w:keepLines/>
              <w:jc w:val="center"/>
              <w:rPr>
                <w:rFonts w:ascii="Calibri" w:hAnsi="Calibri" w:cs="Calibri"/>
                <w:b/>
                <w:bCs/>
                <w:sz w:val="20"/>
                <w:szCs w:val="20"/>
              </w:rPr>
            </w:pPr>
            <w:r w:rsidRPr="00521841">
              <w:rPr>
                <w:rFonts w:ascii="Calibri" w:hAnsi="Calibri" w:cs="Calibri"/>
                <w:b/>
                <w:bCs/>
                <w:sz w:val="20"/>
                <w:szCs w:val="20"/>
              </w:rPr>
              <w:t>Annual Energy Savings per Workstation</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bookmarkStart w:id="20" w:name="_Hlk288813650"/>
            <w:r w:rsidRPr="00521841">
              <w:rPr>
                <w:rFonts w:ascii="Calibri" w:hAnsi="Calibri" w:cs="Calibri"/>
                <w:sz w:val="20"/>
                <w:szCs w:val="20"/>
              </w:rPr>
              <w:t>Quantec &amp; EZConserve PEP</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165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Puget Sound Energy</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Office</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176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SCE Preliminary Evaluation</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323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Portland Metro Government</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Office</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34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Energy Savers Participant 3</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235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Issaquah School District</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211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Robert Batemen School</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253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Energy Savers Participant 1</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133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Energy Savers Participant 2</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168 kWh/year</w:t>
            </w:r>
          </w:p>
        </w:tc>
      </w:tr>
      <w:tr w:rsidR="00777747" w:rsidRPr="00521841" w:rsidTr="00777747">
        <w:trPr>
          <w:jc w:val="center"/>
        </w:trPr>
        <w:tc>
          <w:tcPr>
            <w:tcW w:w="3214" w:type="dxa"/>
            <w:shd w:val="clear" w:color="auto" w:fill="D9D9D9" w:themeFill="background1" w:themeFillShade="D9"/>
            <w:vAlign w:val="center"/>
          </w:tcPr>
          <w:p w:rsidR="00777747" w:rsidRPr="00521841" w:rsidRDefault="00777747" w:rsidP="00D84023">
            <w:pPr>
              <w:keepNext/>
              <w:keepLines/>
              <w:rPr>
                <w:rFonts w:ascii="Calibri" w:hAnsi="Calibri" w:cs="Calibri"/>
                <w:sz w:val="20"/>
                <w:szCs w:val="20"/>
              </w:rPr>
            </w:pPr>
            <w:r>
              <w:rPr>
                <w:rFonts w:ascii="Calibri" w:hAnsi="Calibri" w:cs="Calibri"/>
                <w:sz w:val="20"/>
                <w:szCs w:val="20"/>
              </w:rPr>
              <w:t>CSU San Bernardino</w:t>
            </w:r>
          </w:p>
        </w:tc>
        <w:tc>
          <w:tcPr>
            <w:tcW w:w="1980" w:type="dxa"/>
            <w:shd w:val="clear" w:color="auto" w:fill="D9D9D9" w:themeFill="background1" w:themeFillShade="D9"/>
            <w:vAlign w:val="center"/>
          </w:tcPr>
          <w:p w:rsidR="00777747" w:rsidRPr="00521841" w:rsidRDefault="003B4739" w:rsidP="00D84023">
            <w:pPr>
              <w:keepNext/>
              <w:keepLines/>
              <w:rPr>
                <w:rFonts w:ascii="Calibri" w:hAnsi="Calibri" w:cs="Calibri"/>
                <w:sz w:val="20"/>
                <w:szCs w:val="20"/>
              </w:rPr>
            </w:pPr>
            <w:r w:rsidRPr="001B7EAB">
              <w:rPr>
                <w:rFonts w:ascii="Calibri" w:hAnsi="Calibri" w:cs="Calibri"/>
                <w:sz w:val="20"/>
                <w:szCs w:val="20"/>
              </w:rPr>
              <w:t>College</w:t>
            </w:r>
          </w:p>
        </w:tc>
        <w:tc>
          <w:tcPr>
            <w:tcW w:w="3734" w:type="dxa"/>
            <w:shd w:val="clear" w:color="auto" w:fill="D9D9D9" w:themeFill="background1" w:themeFillShade="D9"/>
            <w:vAlign w:val="center"/>
          </w:tcPr>
          <w:p w:rsidR="00777747" w:rsidRPr="00521841" w:rsidRDefault="00777747" w:rsidP="00D84023">
            <w:pPr>
              <w:keepNext/>
              <w:keepLines/>
              <w:tabs>
                <w:tab w:val="decimal" w:pos="432"/>
              </w:tabs>
              <w:rPr>
                <w:rFonts w:ascii="Calibri" w:hAnsi="Calibri" w:cs="Calibri"/>
                <w:sz w:val="20"/>
                <w:szCs w:val="20"/>
              </w:rPr>
            </w:pPr>
            <w:r>
              <w:rPr>
                <w:rFonts w:ascii="Calibri" w:hAnsi="Calibri" w:cs="Calibri"/>
                <w:sz w:val="20"/>
                <w:szCs w:val="20"/>
              </w:rPr>
              <w:t>137 kWh/year</w:t>
            </w:r>
          </w:p>
        </w:tc>
      </w:tr>
      <w:tr w:rsidR="00777747" w:rsidRPr="00521841" w:rsidTr="00A9598B">
        <w:trPr>
          <w:jc w:val="center"/>
        </w:trPr>
        <w:tc>
          <w:tcPr>
            <w:tcW w:w="3214" w:type="dxa"/>
            <w:shd w:val="pct5" w:color="auto" w:fill="auto"/>
            <w:vAlign w:val="center"/>
          </w:tcPr>
          <w:p w:rsidR="00777747" w:rsidRPr="00521841" w:rsidRDefault="00777747" w:rsidP="00D84023">
            <w:pPr>
              <w:keepNext/>
              <w:keepLines/>
              <w:rPr>
                <w:rFonts w:ascii="Calibri" w:hAnsi="Calibri" w:cs="Calibri"/>
                <w:sz w:val="20"/>
                <w:szCs w:val="20"/>
              </w:rPr>
            </w:pPr>
            <w:r>
              <w:rPr>
                <w:rFonts w:ascii="Calibri" w:hAnsi="Calibri" w:cs="Calibri"/>
                <w:sz w:val="20"/>
                <w:szCs w:val="20"/>
              </w:rPr>
              <w:t>Cerritos College</w:t>
            </w:r>
          </w:p>
        </w:tc>
        <w:tc>
          <w:tcPr>
            <w:tcW w:w="1980" w:type="dxa"/>
            <w:shd w:val="pct5" w:color="auto" w:fill="auto"/>
            <w:vAlign w:val="center"/>
          </w:tcPr>
          <w:p w:rsidR="00777747" w:rsidRPr="00521841" w:rsidRDefault="00C30E6C" w:rsidP="00D84023">
            <w:pPr>
              <w:keepNext/>
              <w:keepLines/>
              <w:rPr>
                <w:rFonts w:ascii="Calibri" w:hAnsi="Calibri" w:cs="Calibri"/>
                <w:sz w:val="20"/>
                <w:szCs w:val="20"/>
              </w:rPr>
            </w:pPr>
            <w:r w:rsidRPr="001B7EAB">
              <w:rPr>
                <w:rFonts w:ascii="Calibri" w:hAnsi="Calibri" w:cs="Calibri"/>
                <w:sz w:val="20"/>
                <w:szCs w:val="20"/>
              </w:rPr>
              <w:t>College</w:t>
            </w:r>
          </w:p>
        </w:tc>
        <w:tc>
          <w:tcPr>
            <w:tcW w:w="3734" w:type="dxa"/>
            <w:shd w:val="pct5" w:color="auto" w:fill="auto"/>
            <w:vAlign w:val="center"/>
          </w:tcPr>
          <w:p w:rsidR="00777747" w:rsidRPr="00521841" w:rsidRDefault="00777747" w:rsidP="00D84023">
            <w:pPr>
              <w:keepNext/>
              <w:keepLines/>
              <w:tabs>
                <w:tab w:val="decimal" w:pos="432"/>
              </w:tabs>
              <w:rPr>
                <w:rFonts w:ascii="Calibri" w:hAnsi="Calibri" w:cs="Calibri"/>
                <w:sz w:val="20"/>
                <w:szCs w:val="20"/>
              </w:rPr>
            </w:pPr>
            <w:r>
              <w:rPr>
                <w:rFonts w:ascii="Calibri" w:hAnsi="Calibri" w:cs="Calibri"/>
                <w:sz w:val="20"/>
                <w:szCs w:val="20"/>
              </w:rPr>
              <w:t>314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LBNL-1096E</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236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TIAX 2004</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A9598B" w:rsidRPr="00521841" w:rsidRDefault="00A9598B" w:rsidP="00D84023">
            <w:pPr>
              <w:keepNext/>
              <w:keepLines/>
              <w:tabs>
                <w:tab w:val="decimal" w:pos="412"/>
              </w:tabs>
              <w:rPr>
                <w:rFonts w:ascii="Calibri" w:hAnsi="Calibri" w:cs="Calibri"/>
                <w:sz w:val="20"/>
                <w:szCs w:val="20"/>
              </w:rPr>
            </w:pPr>
            <w:r w:rsidRPr="00521841">
              <w:rPr>
                <w:rFonts w:ascii="Calibri" w:hAnsi="Calibri" w:cs="Calibri"/>
                <w:sz w:val="20"/>
                <w:szCs w:val="20"/>
              </w:rPr>
              <w:t>245 kWh/year Auto Off Strategy</w:t>
            </w:r>
          </w:p>
          <w:p w:rsidR="00A9598B" w:rsidRPr="00521841" w:rsidRDefault="00A9598B" w:rsidP="00D84023">
            <w:pPr>
              <w:keepNext/>
              <w:keepLines/>
              <w:tabs>
                <w:tab w:val="decimal" w:pos="412"/>
              </w:tabs>
              <w:rPr>
                <w:rFonts w:ascii="Calibri" w:hAnsi="Calibri" w:cs="Calibri"/>
                <w:sz w:val="20"/>
                <w:szCs w:val="20"/>
              </w:rPr>
            </w:pPr>
            <w:r w:rsidRPr="00521841">
              <w:rPr>
                <w:rFonts w:ascii="Calibri" w:hAnsi="Calibri" w:cs="Calibri"/>
                <w:sz w:val="20"/>
                <w:szCs w:val="20"/>
              </w:rPr>
              <w:t>163 kWh/year Auto Sleep Strategy</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Intel 2007</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250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NEEA 2003</w:t>
            </w:r>
            <w:r w:rsidR="00777747" w:rsidRPr="00777747">
              <w:rPr>
                <w:rFonts w:ascii="Calibri" w:hAnsi="Calibri" w:cs="Calibri"/>
                <w:sz w:val="20"/>
                <w:szCs w:val="20"/>
                <w:vertAlign w:val="superscript"/>
              </w:rPr>
              <w:t>**</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200 kWh/year</w:t>
            </w:r>
          </w:p>
        </w:tc>
      </w:tr>
      <w:tr w:rsidR="00C26FCA" w:rsidRPr="00521841" w:rsidTr="00A9598B">
        <w:trPr>
          <w:jc w:val="center"/>
        </w:trPr>
        <w:tc>
          <w:tcPr>
            <w:tcW w:w="3214"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NEEA 2005</w:t>
            </w:r>
          </w:p>
        </w:tc>
        <w:tc>
          <w:tcPr>
            <w:tcW w:w="1980" w:type="dxa"/>
            <w:shd w:val="pct1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200 kWh/year</w:t>
            </w:r>
          </w:p>
        </w:tc>
      </w:tr>
      <w:tr w:rsidR="00C26FCA" w:rsidRPr="00521841" w:rsidTr="00A9598B">
        <w:trPr>
          <w:jc w:val="center"/>
        </w:trPr>
        <w:tc>
          <w:tcPr>
            <w:tcW w:w="3214"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NEEA 2008</w:t>
            </w:r>
            <w:r w:rsidRPr="00521841">
              <w:rPr>
                <w:rFonts w:ascii="Calibri" w:hAnsi="Calibri" w:cs="Calibri"/>
                <w:sz w:val="20"/>
                <w:szCs w:val="20"/>
                <w:vertAlign w:val="superscript"/>
              </w:rPr>
              <w:t>**</w:t>
            </w:r>
            <w:r w:rsidR="00777747">
              <w:rPr>
                <w:rFonts w:ascii="Calibri" w:hAnsi="Calibri" w:cs="Calibri"/>
                <w:sz w:val="20"/>
                <w:szCs w:val="20"/>
                <w:vertAlign w:val="superscript"/>
              </w:rPr>
              <w:t>*</w:t>
            </w:r>
          </w:p>
        </w:tc>
        <w:tc>
          <w:tcPr>
            <w:tcW w:w="1980" w:type="dxa"/>
            <w:shd w:val="pct5" w:color="auto" w:fill="auto"/>
            <w:vAlign w:val="center"/>
          </w:tcPr>
          <w:p w:rsidR="00A9598B" w:rsidRPr="00521841" w:rsidRDefault="00A9598B" w:rsidP="00D84023">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A9598B" w:rsidRPr="00521841" w:rsidRDefault="00A9598B" w:rsidP="00D84023">
            <w:pPr>
              <w:keepNext/>
              <w:keepLines/>
              <w:tabs>
                <w:tab w:val="decimal" w:pos="432"/>
              </w:tabs>
              <w:rPr>
                <w:rFonts w:ascii="Calibri" w:hAnsi="Calibri" w:cs="Calibri"/>
                <w:sz w:val="20"/>
                <w:szCs w:val="20"/>
              </w:rPr>
            </w:pPr>
            <w:r w:rsidRPr="00521841">
              <w:rPr>
                <w:rFonts w:ascii="Calibri" w:hAnsi="Calibri" w:cs="Calibri"/>
                <w:sz w:val="20"/>
                <w:szCs w:val="20"/>
              </w:rPr>
              <w:t>180 kWh/year</w:t>
            </w:r>
          </w:p>
        </w:tc>
      </w:tr>
    </w:tbl>
    <w:bookmarkEnd w:id="20"/>
    <w:p w:rsidR="00777747" w:rsidRDefault="00777747" w:rsidP="000053B3">
      <w:pPr>
        <w:keepLines/>
        <w:ind w:left="630" w:hanging="360"/>
        <w:rPr>
          <w:rFonts w:ascii="Calibri" w:hAnsi="Calibri" w:cs="Calibri"/>
          <w:sz w:val="18"/>
          <w:szCs w:val="18"/>
        </w:rPr>
      </w:pPr>
      <w:r>
        <w:rPr>
          <w:rFonts w:ascii="Calibri" w:hAnsi="Calibri" w:cs="Calibri"/>
          <w:sz w:val="18"/>
          <w:szCs w:val="18"/>
        </w:rPr>
        <w:t xml:space="preserve">** </w:t>
      </w:r>
      <w:r w:rsidR="00C30E6C">
        <w:rPr>
          <w:rFonts w:ascii="Calibri" w:hAnsi="Calibri" w:cs="Calibri"/>
          <w:sz w:val="18"/>
          <w:szCs w:val="18"/>
        </w:rPr>
        <w:t xml:space="preserve">Queensborough Community </w:t>
      </w:r>
      <w:r w:rsidR="00E57C6F">
        <w:rPr>
          <w:rFonts w:ascii="Calibri" w:hAnsi="Calibri" w:cs="Calibri"/>
          <w:sz w:val="18"/>
          <w:szCs w:val="18"/>
        </w:rPr>
        <w:t>C</w:t>
      </w:r>
      <w:r w:rsidR="00C30E6C">
        <w:rPr>
          <w:rFonts w:ascii="Calibri" w:hAnsi="Calibri" w:cs="Calibri"/>
          <w:sz w:val="18"/>
          <w:szCs w:val="18"/>
        </w:rPr>
        <w:t>ollege is summarized in NEEA 2003</w:t>
      </w:r>
    </w:p>
    <w:p w:rsidR="00A9598B" w:rsidRPr="00521841" w:rsidRDefault="00A9598B" w:rsidP="000053B3">
      <w:pPr>
        <w:keepLines/>
        <w:ind w:left="630" w:hanging="360"/>
        <w:rPr>
          <w:rFonts w:ascii="Calibri" w:hAnsi="Calibri" w:cs="Calibri"/>
          <w:sz w:val="18"/>
          <w:szCs w:val="18"/>
          <w:vertAlign w:val="superscript"/>
        </w:rPr>
      </w:pPr>
      <w:r w:rsidRPr="00521841">
        <w:rPr>
          <w:rFonts w:ascii="Calibri" w:hAnsi="Calibri" w:cs="Calibri"/>
          <w:sz w:val="18"/>
          <w:szCs w:val="18"/>
        </w:rPr>
        <w:t>**</w:t>
      </w:r>
      <w:r w:rsidR="00777747">
        <w:rPr>
          <w:rFonts w:ascii="Calibri" w:hAnsi="Calibri" w:cs="Calibri"/>
          <w:sz w:val="18"/>
          <w:szCs w:val="18"/>
        </w:rPr>
        <w:t>*</w:t>
      </w:r>
      <w:r w:rsidRPr="00521841">
        <w:rPr>
          <w:rFonts w:ascii="Calibri" w:hAnsi="Calibri" w:cs="Calibri"/>
          <w:sz w:val="18"/>
          <w:szCs w:val="18"/>
        </w:rPr>
        <w:tab/>
        <w:t xml:space="preserve">Reduced NEEA 2005 value by 10% as recommended in the 2005 MPER </w:t>
      </w:r>
      <w:r w:rsidR="00777747">
        <w:rPr>
          <w:rFonts w:ascii="Calibri" w:hAnsi="Calibri" w:cs="Calibri"/>
          <w:sz w:val="18"/>
          <w:szCs w:val="18"/>
        </w:rPr>
        <w:t>[</w:t>
      </w:r>
      <w:r>
        <w:rPr>
          <w:rFonts w:ascii="Calibri" w:hAnsi="Calibri" w:cs="Calibri"/>
          <w:sz w:val="18"/>
          <w:szCs w:val="18"/>
        </w:rPr>
        <w:t>G</w:t>
      </w:r>
      <w:r w:rsidRPr="00521841">
        <w:rPr>
          <w:rFonts w:ascii="Calibri" w:hAnsi="Calibri" w:cs="Calibri"/>
          <w:sz w:val="18"/>
          <w:szCs w:val="18"/>
        </w:rPr>
        <w:t>]</w:t>
      </w:r>
    </w:p>
    <w:p w:rsidR="00A9598B" w:rsidRPr="00521841" w:rsidRDefault="00A9598B" w:rsidP="00A9598B">
      <w:pPr>
        <w:ind w:left="360" w:hanging="360"/>
        <w:rPr>
          <w:rFonts w:ascii="Calibri" w:hAnsi="Calibri" w:cs="Calibri"/>
          <w:sz w:val="18"/>
          <w:szCs w:val="18"/>
        </w:rPr>
      </w:pPr>
    </w:p>
    <w:p w:rsidR="00A9598B" w:rsidRPr="001B7EAB" w:rsidRDefault="00A9598B" w:rsidP="00A9598B">
      <w:pPr>
        <w:pStyle w:val="Caption"/>
        <w:rPr>
          <w:rFonts w:asciiTheme="minorHAnsi" w:hAnsiTheme="minorHAnsi" w:cs="Calibri"/>
          <w:b w:val="0"/>
          <w:bCs w:val="0"/>
          <w:sz w:val="22"/>
          <w:szCs w:val="22"/>
        </w:rPr>
      </w:pPr>
      <w:r w:rsidRPr="001B7EAB">
        <w:rPr>
          <w:rFonts w:asciiTheme="minorHAnsi" w:hAnsiTheme="minorHAnsi" w:cs="Calibri"/>
          <w:b w:val="0"/>
          <w:bCs w:val="0"/>
          <w:sz w:val="22"/>
          <w:szCs w:val="22"/>
        </w:rPr>
        <w:t xml:space="preserve">These monitoring studies took place between 2000-06, and were installed primarily on desktop computers with </w:t>
      </w:r>
      <w:r w:rsidR="00551899">
        <w:rPr>
          <w:rFonts w:asciiTheme="minorHAnsi" w:hAnsiTheme="minorHAnsi" w:cs="Calibri"/>
          <w:b w:val="0"/>
          <w:bCs w:val="0"/>
          <w:sz w:val="22"/>
          <w:szCs w:val="22"/>
        </w:rPr>
        <w:t>Cathode Ray Tube</w:t>
      </w:r>
      <w:r w:rsidR="00551899" w:rsidRPr="001B7EAB">
        <w:rPr>
          <w:rFonts w:asciiTheme="minorHAnsi" w:hAnsiTheme="minorHAnsi" w:cs="Calibri"/>
          <w:b w:val="0"/>
          <w:bCs w:val="0"/>
          <w:sz w:val="22"/>
          <w:szCs w:val="22"/>
        </w:rPr>
        <w:t xml:space="preserve"> </w:t>
      </w:r>
      <w:r w:rsidR="00C94D4E">
        <w:rPr>
          <w:rFonts w:asciiTheme="minorHAnsi" w:hAnsiTheme="minorHAnsi" w:cs="Calibri"/>
          <w:b w:val="0"/>
          <w:bCs w:val="0"/>
          <w:sz w:val="22"/>
          <w:szCs w:val="22"/>
        </w:rPr>
        <w:t xml:space="preserve">(CRT) </w:t>
      </w:r>
      <w:r w:rsidRPr="001B7EAB">
        <w:rPr>
          <w:rFonts w:asciiTheme="minorHAnsi" w:hAnsiTheme="minorHAnsi" w:cs="Calibri"/>
          <w:b w:val="0"/>
          <w:bCs w:val="0"/>
          <w:sz w:val="22"/>
          <w:szCs w:val="22"/>
        </w:rPr>
        <w:t>monitors. While the duty cycle data from these studies is likely to be still valid, there have been notable changes in monitor and desktop energy use since 2006. These changes have been primarily driven by the transition from CRT to LCD monitors and improvements in LCD monitor efficiency. Desktop computers have seen significant improvements in Sleep Mode Power, but have had limited gains in Active Mode energy use. Assuming an even stock turnover cycle, the average age of the installed desktop and monitor base is two years, or half of the EUL. This suggests that in the currently installed base, the average computer and desktop were purchased in 201</w:t>
      </w:r>
      <w:r w:rsidR="00E50AE0">
        <w:rPr>
          <w:rFonts w:asciiTheme="minorHAnsi" w:hAnsiTheme="minorHAnsi" w:cs="Calibri"/>
          <w:b w:val="0"/>
          <w:bCs w:val="0"/>
          <w:sz w:val="22"/>
          <w:szCs w:val="22"/>
        </w:rPr>
        <w:t>4</w:t>
      </w:r>
      <w:r w:rsidRPr="001B7EAB">
        <w:rPr>
          <w:rFonts w:asciiTheme="minorHAnsi" w:hAnsiTheme="minorHAnsi" w:cs="Calibri"/>
          <w:b w:val="0"/>
          <w:bCs w:val="0"/>
          <w:sz w:val="22"/>
          <w:szCs w:val="22"/>
        </w:rPr>
        <w:t>.</w:t>
      </w:r>
    </w:p>
    <w:p w:rsidR="00A9598B" w:rsidRPr="001B7EAB" w:rsidRDefault="00A9598B" w:rsidP="00A9598B">
      <w:pPr>
        <w:rPr>
          <w:rFonts w:asciiTheme="minorHAnsi" w:hAnsiTheme="minorHAnsi"/>
          <w:sz w:val="22"/>
          <w:szCs w:val="22"/>
        </w:rPr>
      </w:pPr>
    </w:p>
    <w:p w:rsidR="00A9598B" w:rsidRPr="001B7EAB" w:rsidRDefault="00A9598B" w:rsidP="00A9598B">
      <w:pPr>
        <w:pStyle w:val="Caption"/>
        <w:rPr>
          <w:rFonts w:asciiTheme="minorHAnsi" w:hAnsiTheme="minorHAnsi" w:cs="Calibri"/>
          <w:b w:val="0"/>
          <w:bCs w:val="0"/>
          <w:sz w:val="22"/>
          <w:szCs w:val="22"/>
        </w:rPr>
      </w:pPr>
      <w:r w:rsidRPr="001B7EAB">
        <w:rPr>
          <w:rFonts w:asciiTheme="minorHAnsi" w:hAnsiTheme="minorHAnsi" w:cs="Calibri"/>
          <w:b w:val="0"/>
          <w:bCs w:val="0"/>
          <w:sz w:val="22"/>
          <w:szCs w:val="22"/>
        </w:rPr>
        <w:t>To account for these improvements from 2006 to 201</w:t>
      </w:r>
      <w:r w:rsidR="00C94D4E">
        <w:rPr>
          <w:rFonts w:asciiTheme="minorHAnsi" w:hAnsiTheme="minorHAnsi" w:cs="Calibri"/>
          <w:b w:val="0"/>
          <w:bCs w:val="0"/>
          <w:sz w:val="22"/>
          <w:szCs w:val="22"/>
        </w:rPr>
        <w:t>4,</w:t>
      </w:r>
      <w:r w:rsidRPr="001B7EAB">
        <w:rPr>
          <w:rFonts w:asciiTheme="minorHAnsi" w:hAnsiTheme="minorHAnsi" w:cs="Calibri"/>
          <w:b w:val="0"/>
          <w:bCs w:val="0"/>
          <w:sz w:val="22"/>
          <w:szCs w:val="22"/>
        </w:rPr>
        <w:t xml:space="preserve"> we estimated a 5% annual reduction in savings, which corresponds to </w:t>
      </w:r>
      <w:r w:rsidR="003D42D6" w:rsidRPr="0045043F">
        <w:rPr>
          <w:rFonts w:asciiTheme="minorHAnsi" w:hAnsiTheme="minorHAnsi" w:cs="Calibri"/>
          <w:b w:val="0"/>
          <w:bCs w:val="0"/>
          <w:sz w:val="22"/>
          <w:szCs w:val="22"/>
        </w:rPr>
        <w:t>a</w:t>
      </w:r>
      <w:r w:rsidRPr="001B7EAB">
        <w:rPr>
          <w:rFonts w:asciiTheme="minorHAnsi" w:hAnsiTheme="minorHAnsi" w:cs="Calibri"/>
          <w:b w:val="0"/>
          <w:bCs w:val="0"/>
          <w:sz w:val="22"/>
          <w:szCs w:val="22"/>
        </w:rPr>
        <w:t xml:space="preserve"> </w:t>
      </w:r>
      <w:r w:rsidR="00C94D4E">
        <w:rPr>
          <w:rFonts w:asciiTheme="minorHAnsi" w:hAnsiTheme="minorHAnsi" w:cs="Calibri"/>
          <w:b w:val="0"/>
          <w:bCs w:val="0"/>
          <w:sz w:val="22"/>
          <w:szCs w:val="22"/>
        </w:rPr>
        <w:t>40</w:t>
      </w:r>
      <w:r w:rsidRPr="001B7EAB">
        <w:rPr>
          <w:rFonts w:asciiTheme="minorHAnsi" w:hAnsiTheme="minorHAnsi" w:cs="Calibri"/>
          <w:b w:val="0"/>
          <w:bCs w:val="0"/>
          <w:sz w:val="22"/>
          <w:szCs w:val="22"/>
        </w:rPr>
        <w:t>% decrease in energy savings over the 2006-</w:t>
      </w:r>
      <w:r w:rsidR="00C94D4E" w:rsidRPr="001B7EAB">
        <w:rPr>
          <w:rFonts w:asciiTheme="minorHAnsi" w:hAnsiTheme="minorHAnsi" w:cs="Calibri"/>
          <w:b w:val="0"/>
          <w:bCs w:val="0"/>
          <w:sz w:val="22"/>
          <w:szCs w:val="22"/>
        </w:rPr>
        <w:t>201</w:t>
      </w:r>
      <w:r w:rsidR="00C94D4E">
        <w:rPr>
          <w:rFonts w:asciiTheme="minorHAnsi" w:hAnsiTheme="minorHAnsi" w:cs="Calibri"/>
          <w:b w:val="0"/>
          <w:bCs w:val="0"/>
          <w:sz w:val="22"/>
          <w:szCs w:val="22"/>
        </w:rPr>
        <w:t>4</w:t>
      </w:r>
      <w:r w:rsidR="00C85E86">
        <w:rPr>
          <w:rFonts w:asciiTheme="minorHAnsi" w:hAnsiTheme="minorHAnsi" w:cs="Calibri"/>
          <w:b w:val="0"/>
          <w:bCs w:val="0"/>
          <w:sz w:val="22"/>
          <w:szCs w:val="22"/>
        </w:rPr>
        <w:t xml:space="preserve"> </w:t>
      </w:r>
      <w:proofErr w:type="gramStart"/>
      <w:r w:rsidRPr="001B7EAB">
        <w:rPr>
          <w:rFonts w:asciiTheme="minorHAnsi" w:hAnsiTheme="minorHAnsi" w:cs="Calibri"/>
          <w:b w:val="0"/>
          <w:bCs w:val="0"/>
          <w:sz w:val="22"/>
          <w:szCs w:val="22"/>
        </w:rPr>
        <w:t>period</w:t>
      </w:r>
      <w:proofErr w:type="gramEnd"/>
      <w:r w:rsidRPr="001B7EAB">
        <w:rPr>
          <w:rFonts w:asciiTheme="minorHAnsi" w:hAnsiTheme="minorHAnsi" w:cs="Calibri"/>
          <w:b w:val="0"/>
          <w:bCs w:val="0"/>
          <w:sz w:val="22"/>
          <w:szCs w:val="22"/>
        </w:rPr>
        <w:t>. This 5% figure is derived from average On Mode Power values taken from Energy Star Monitor lists during the 2006-</w:t>
      </w:r>
      <w:r w:rsidR="00C94D4E" w:rsidRPr="001B7EAB">
        <w:rPr>
          <w:rFonts w:asciiTheme="minorHAnsi" w:hAnsiTheme="minorHAnsi" w:cs="Calibri"/>
          <w:b w:val="0"/>
          <w:bCs w:val="0"/>
          <w:sz w:val="22"/>
          <w:szCs w:val="22"/>
        </w:rPr>
        <w:t>201</w:t>
      </w:r>
      <w:r w:rsidR="00C26FCA">
        <w:rPr>
          <w:rFonts w:asciiTheme="minorHAnsi" w:hAnsiTheme="minorHAnsi" w:cs="Calibri"/>
          <w:b w:val="0"/>
          <w:bCs w:val="0"/>
          <w:sz w:val="22"/>
          <w:szCs w:val="22"/>
        </w:rPr>
        <w:t>0</w:t>
      </w:r>
      <w:r w:rsidR="00C94D4E">
        <w:rPr>
          <w:rFonts w:asciiTheme="minorHAnsi" w:hAnsiTheme="minorHAnsi" w:cs="Calibri"/>
          <w:b w:val="0"/>
          <w:bCs w:val="0"/>
          <w:sz w:val="22"/>
          <w:szCs w:val="22"/>
        </w:rPr>
        <w:t xml:space="preserve"> </w:t>
      </w:r>
      <w:r w:rsidRPr="001B7EAB">
        <w:rPr>
          <w:rFonts w:asciiTheme="minorHAnsi" w:hAnsiTheme="minorHAnsi" w:cs="Calibri"/>
          <w:b w:val="0"/>
          <w:bCs w:val="0"/>
          <w:sz w:val="22"/>
          <w:szCs w:val="22"/>
        </w:rPr>
        <w:t xml:space="preserve">period. </w:t>
      </w:r>
    </w:p>
    <w:p w:rsidR="00A9598B" w:rsidRPr="001B7EAB" w:rsidRDefault="00A9598B" w:rsidP="00A9598B">
      <w:pPr>
        <w:rPr>
          <w:rFonts w:asciiTheme="minorHAnsi" w:hAnsiTheme="minorHAnsi"/>
          <w:sz w:val="22"/>
          <w:szCs w:val="22"/>
        </w:rPr>
      </w:pPr>
    </w:p>
    <w:p w:rsidR="00A9598B" w:rsidRPr="001B7EAB" w:rsidRDefault="00A9598B" w:rsidP="00BC123D">
      <w:pPr>
        <w:pStyle w:val="Caption"/>
        <w:rPr>
          <w:rFonts w:asciiTheme="minorHAnsi" w:hAnsiTheme="minorHAnsi" w:cs="Calibri"/>
          <w:b w:val="0"/>
          <w:sz w:val="22"/>
          <w:szCs w:val="22"/>
        </w:rPr>
      </w:pPr>
      <w:r w:rsidRPr="001B7EAB">
        <w:rPr>
          <w:rFonts w:asciiTheme="minorHAnsi" w:hAnsiTheme="minorHAnsi" w:cs="Calibri"/>
          <w:b w:val="0"/>
          <w:bCs w:val="0"/>
          <w:sz w:val="22"/>
          <w:szCs w:val="22"/>
        </w:rPr>
        <w:t xml:space="preserve">For Offices and K-12 Schools, the recommended deemed savings summarized in </w:t>
      </w:r>
      <w:r w:rsidR="003C105D" w:rsidRPr="00BC123D">
        <w:rPr>
          <w:rFonts w:asciiTheme="minorHAnsi" w:hAnsiTheme="minorHAnsi" w:cs="Calibri"/>
          <w:sz w:val="22"/>
          <w:szCs w:val="22"/>
        </w:rPr>
        <w:fldChar w:fldCharType="begin"/>
      </w:r>
      <w:r w:rsidR="003C105D" w:rsidRPr="003C105D">
        <w:rPr>
          <w:rFonts w:asciiTheme="minorHAnsi" w:hAnsiTheme="minorHAnsi" w:cs="Calibri"/>
          <w:sz w:val="22"/>
          <w:szCs w:val="22"/>
        </w:rPr>
        <w:instrText xml:space="preserve"> REF _Ref390251325 \h </w:instrText>
      </w:r>
      <w:r w:rsidR="003C105D" w:rsidRPr="00763536">
        <w:rPr>
          <w:rFonts w:asciiTheme="minorHAnsi" w:hAnsiTheme="minorHAnsi" w:cs="Calibri"/>
          <w:b w:val="0"/>
          <w:sz w:val="22"/>
          <w:szCs w:val="22"/>
        </w:rPr>
        <w:instrText xml:space="preserve"> \* MERGEFORMAT </w:instrText>
      </w:r>
      <w:r w:rsidR="003C105D" w:rsidRPr="00BC123D">
        <w:rPr>
          <w:rFonts w:asciiTheme="minorHAnsi" w:hAnsiTheme="minorHAnsi" w:cs="Calibri"/>
          <w:sz w:val="22"/>
          <w:szCs w:val="22"/>
        </w:rPr>
      </w:r>
      <w:r w:rsidR="003C105D" w:rsidRPr="00BC123D">
        <w:rPr>
          <w:rFonts w:asciiTheme="minorHAnsi" w:hAnsiTheme="minorHAnsi" w:cs="Calibri"/>
          <w:sz w:val="22"/>
          <w:szCs w:val="22"/>
        </w:rPr>
        <w:fldChar w:fldCharType="separate"/>
      </w:r>
      <w:r w:rsidR="0095321C" w:rsidRPr="00763536">
        <w:rPr>
          <w:rFonts w:ascii="Calibri" w:hAnsi="Calibri" w:cs="Calibri"/>
          <w:b w:val="0"/>
          <w:bCs w:val="0"/>
          <w:sz w:val="22"/>
          <w:szCs w:val="22"/>
        </w:rPr>
        <w:t xml:space="preserve">Table </w:t>
      </w:r>
      <w:r w:rsidR="0095321C" w:rsidRPr="00763536">
        <w:rPr>
          <w:rFonts w:ascii="Calibri" w:hAnsi="Calibri" w:cs="Calibri"/>
          <w:b w:val="0"/>
          <w:bCs w:val="0"/>
          <w:noProof/>
          <w:sz w:val="22"/>
          <w:szCs w:val="22"/>
        </w:rPr>
        <w:t>10</w:t>
      </w:r>
      <w:r w:rsidR="003C105D" w:rsidRPr="00BC123D">
        <w:rPr>
          <w:rFonts w:asciiTheme="minorHAnsi" w:hAnsiTheme="minorHAnsi" w:cs="Calibri"/>
          <w:sz w:val="22"/>
          <w:szCs w:val="22"/>
        </w:rPr>
        <w:fldChar w:fldCharType="end"/>
      </w:r>
      <w:r w:rsidR="003C105D">
        <w:rPr>
          <w:rFonts w:asciiTheme="minorHAnsi" w:hAnsiTheme="minorHAnsi" w:cs="Calibri"/>
          <w:b w:val="0"/>
          <w:bCs w:val="0"/>
          <w:sz w:val="22"/>
          <w:szCs w:val="22"/>
        </w:rPr>
        <w:t xml:space="preserve"> </w:t>
      </w:r>
      <w:r w:rsidRPr="001B7EAB">
        <w:rPr>
          <w:rFonts w:asciiTheme="minorHAnsi" w:hAnsiTheme="minorHAnsi" w:cs="Calibri"/>
          <w:b w:val="0"/>
          <w:bCs w:val="0"/>
          <w:sz w:val="22"/>
          <w:szCs w:val="22"/>
        </w:rPr>
        <w:t>were derived by averaging each of the Building Type values in</w:t>
      </w:r>
      <w:r w:rsidRPr="001B7EAB">
        <w:rPr>
          <w:rFonts w:asciiTheme="minorHAnsi" w:hAnsiTheme="minorHAnsi" w:cs="Calibri"/>
          <w:b w:val="0"/>
          <w:sz w:val="22"/>
          <w:szCs w:val="22"/>
        </w:rPr>
        <w:t xml:space="preserve"> </w:t>
      </w:r>
      <w:r w:rsidR="003C105D" w:rsidRPr="00BC123D">
        <w:rPr>
          <w:rFonts w:asciiTheme="minorHAnsi" w:hAnsiTheme="minorHAnsi" w:cs="Calibri"/>
          <w:bCs w:val="0"/>
          <w:sz w:val="22"/>
          <w:szCs w:val="22"/>
        </w:rPr>
        <w:fldChar w:fldCharType="begin"/>
      </w:r>
      <w:r w:rsidR="003C105D" w:rsidRPr="003C105D">
        <w:rPr>
          <w:rFonts w:asciiTheme="minorHAnsi" w:hAnsiTheme="minorHAnsi" w:cs="Calibri"/>
          <w:bCs w:val="0"/>
          <w:sz w:val="22"/>
          <w:szCs w:val="22"/>
        </w:rPr>
        <w:instrText xml:space="preserve"> REF _Ref390251338 \h </w:instrText>
      </w:r>
      <w:r w:rsidR="003C105D" w:rsidRPr="00763536">
        <w:rPr>
          <w:rFonts w:asciiTheme="minorHAnsi" w:hAnsiTheme="minorHAnsi" w:cs="Calibri"/>
          <w:b w:val="0"/>
          <w:bCs w:val="0"/>
          <w:sz w:val="22"/>
          <w:szCs w:val="22"/>
        </w:rPr>
        <w:instrText xml:space="preserve"> \* MERGEFORMAT </w:instrText>
      </w:r>
      <w:r w:rsidR="003C105D" w:rsidRPr="00BC123D">
        <w:rPr>
          <w:rFonts w:asciiTheme="minorHAnsi" w:hAnsiTheme="minorHAnsi" w:cs="Calibri"/>
          <w:bCs w:val="0"/>
          <w:sz w:val="22"/>
          <w:szCs w:val="22"/>
        </w:rPr>
      </w:r>
      <w:r w:rsidR="003C105D" w:rsidRPr="00BC123D">
        <w:rPr>
          <w:rFonts w:asciiTheme="minorHAnsi" w:hAnsiTheme="minorHAnsi" w:cs="Calibri"/>
          <w:bCs w:val="0"/>
          <w:sz w:val="22"/>
          <w:szCs w:val="22"/>
        </w:rPr>
        <w:fldChar w:fldCharType="separate"/>
      </w:r>
      <w:r w:rsidR="0095321C" w:rsidRPr="00763536">
        <w:rPr>
          <w:rFonts w:ascii="Calibri" w:hAnsi="Calibri" w:cs="Calibri"/>
          <w:b w:val="0"/>
          <w:bCs w:val="0"/>
          <w:sz w:val="22"/>
          <w:szCs w:val="22"/>
        </w:rPr>
        <w:t xml:space="preserve">Table </w:t>
      </w:r>
      <w:r w:rsidR="0095321C" w:rsidRPr="00763536">
        <w:rPr>
          <w:rFonts w:ascii="Calibri" w:hAnsi="Calibri" w:cs="Calibri"/>
          <w:b w:val="0"/>
          <w:bCs w:val="0"/>
          <w:noProof/>
          <w:sz w:val="22"/>
          <w:szCs w:val="22"/>
        </w:rPr>
        <w:t>9</w:t>
      </w:r>
      <w:r w:rsidR="003C105D" w:rsidRPr="00BC123D">
        <w:rPr>
          <w:rFonts w:asciiTheme="minorHAnsi" w:hAnsiTheme="minorHAnsi" w:cs="Calibri"/>
          <w:bCs w:val="0"/>
          <w:sz w:val="22"/>
          <w:szCs w:val="22"/>
        </w:rPr>
        <w:fldChar w:fldCharType="end"/>
      </w:r>
      <w:r w:rsidR="003C105D" w:rsidRPr="00BC123D">
        <w:rPr>
          <w:rFonts w:asciiTheme="minorHAnsi" w:hAnsiTheme="minorHAnsi" w:cs="Calibri"/>
          <w:b w:val="0"/>
          <w:sz w:val="22"/>
          <w:szCs w:val="22"/>
        </w:rPr>
        <w:t xml:space="preserve"> </w:t>
      </w:r>
      <w:r w:rsidRPr="001B7EAB">
        <w:rPr>
          <w:rFonts w:asciiTheme="minorHAnsi" w:hAnsiTheme="minorHAnsi" w:cs="Calibri"/>
          <w:b w:val="0"/>
          <w:bCs w:val="0"/>
          <w:sz w:val="22"/>
          <w:szCs w:val="22"/>
        </w:rPr>
        <w:t xml:space="preserve">and then adjusting savings values downwards by </w:t>
      </w:r>
      <w:r w:rsidR="00C94D4E">
        <w:rPr>
          <w:rFonts w:asciiTheme="minorHAnsi" w:hAnsiTheme="minorHAnsi" w:cs="Calibri"/>
          <w:b w:val="0"/>
          <w:bCs w:val="0"/>
          <w:sz w:val="22"/>
          <w:szCs w:val="22"/>
        </w:rPr>
        <w:t>40</w:t>
      </w:r>
      <w:r w:rsidRPr="001B7EAB">
        <w:rPr>
          <w:rFonts w:asciiTheme="minorHAnsi" w:hAnsiTheme="minorHAnsi" w:cs="Calibri"/>
          <w:b w:val="0"/>
          <w:bCs w:val="0"/>
          <w:sz w:val="22"/>
          <w:szCs w:val="22"/>
        </w:rPr>
        <w:t xml:space="preserve">%. These savings values are found in </w:t>
      </w:r>
      <w:r w:rsidR="003C105D" w:rsidRPr="00BC123D">
        <w:rPr>
          <w:rFonts w:asciiTheme="minorHAnsi" w:hAnsiTheme="minorHAnsi" w:cs="Calibri"/>
          <w:sz w:val="22"/>
          <w:szCs w:val="22"/>
        </w:rPr>
        <w:fldChar w:fldCharType="begin"/>
      </w:r>
      <w:r w:rsidR="003C105D" w:rsidRPr="003C105D">
        <w:rPr>
          <w:rFonts w:asciiTheme="minorHAnsi" w:hAnsiTheme="minorHAnsi" w:cs="Calibri"/>
          <w:sz w:val="22"/>
          <w:szCs w:val="22"/>
        </w:rPr>
        <w:instrText xml:space="preserve"> REF _Ref390251325 \h </w:instrText>
      </w:r>
      <w:r w:rsidR="003C105D" w:rsidRPr="00763536">
        <w:rPr>
          <w:rFonts w:asciiTheme="minorHAnsi" w:hAnsiTheme="minorHAnsi" w:cs="Calibri"/>
          <w:b w:val="0"/>
          <w:sz w:val="22"/>
          <w:szCs w:val="22"/>
        </w:rPr>
        <w:instrText xml:space="preserve"> \* MERGEFORMAT </w:instrText>
      </w:r>
      <w:r w:rsidR="003C105D" w:rsidRPr="00BC123D">
        <w:rPr>
          <w:rFonts w:asciiTheme="minorHAnsi" w:hAnsiTheme="minorHAnsi" w:cs="Calibri"/>
          <w:sz w:val="22"/>
          <w:szCs w:val="22"/>
        </w:rPr>
      </w:r>
      <w:r w:rsidR="003C105D" w:rsidRPr="00BC123D">
        <w:rPr>
          <w:rFonts w:asciiTheme="minorHAnsi" w:hAnsiTheme="minorHAnsi" w:cs="Calibri"/>
          <w:sz w:val="22"/>
          <w:szCs w:val="22"/>
        </w:rPr>
        <w:fldChar w:fldCharType="separate"/>
      </w:r>
      <w:r w:rsidR="0095321C" w:rsidRPr="00763536">
        <w:rPr>
          <w:rFonts w:ascii="Calibri" w:hAnsi="Calibri" w:cs="Calibri"/>
          <w:b w:val="0"/>
          <w:bCs w:val="0"/>
          <w:sz w:val="22"/>
          <w:szCs w:val="22"/>
        </w:rPr>
        <w:t xml:space="preserve">Table </w:t>
      </w:r>
      <w:r w:rsidR="0095321C" w:rsidRPr="00763536">
        <w:rPr>
          <w:rFonts w:ascii="Calibri" w:hAnsi="Calibri" w:cs="Calibri"/>
          <w:b w:val="0"/>
          <w:bCs w:val="0"/>
          <w:noProof/>
          <w:sz w:val="22"/>
          <w:szCs w:val="22"/>
        </w:rPr>
        <w:t>10</w:t>
      </w:r>
      <w:r w:rsidR="003C105D" w:rsidRPr="00BC123D">
        <w:rPr>
          <w:rFonts w:asciiTheme="minorHAnsi" w:hAnsiTheme="minorHAnsi" w:cs="Calibri"/>
          <w:sz w:val="22"/>
          <w:szCs w:val="22"/>
        </w:rPr>
        <w:fldChar w:fldCharType="end"/>
      </w:r>
      <w:r w:rsidRPr="001B7EAB">
        <w:rPr>
          <w:rFonts w:asciiTheme="minorHAnsi" w:hAnsiTheme="minorHAnsi" w:cs="Calibri"/>
          <w:b w:val="0"/>
          <w:bCs w:val="0"/>
          <w:sz w:val="22"/>
          <w:szCs w:val="22"/>
        </w:rPr>
        <w:t xml:space="preserve"> under the column “Unit Energy Savings”. </w:t>
      </w:r>
      <w:r w:rsidR="00EC5693">
        <w:rPr>
          <w:rFonts w:asciiTheme="minorHAnsi" w:hAnsiTheme="minorHAnsi" w:cs="Calibri"/>
          <w:b w:val="0"/>
          <w:bCs w:val="0"/>
          <w:sz w:val="22"/>
          <w:szCs w:val="22"/>
        </w:rPr>
        <w:t xml:space="preserve">The Average Unit Energy Savings </w:t>
      </w:r>
      <w:r w:rsidR="00D251D5">
        <w:rPr>
          <w:rFonts w:asciiTheme="minorHAnsi" w:hAnsiTheme="minorHAnsi" w:cs="Calibri"/>
          <w:b w:val="0"/>
          <w:bCs w:val="0"/>
          <w:sz w:val="22"/>
          <w:szCs w:val="22"/>
        </w:rPr>
        <w:t>was derived by</w:t>
      </w:r>
      <w:r w:rsidR="00EC5693">
        <w:rPr>
          <w:rFonts w:asciiTheme="minorHAnsi" w:hAnsiTheme="minorHAnsi" w:cs="Calibri"/>
          <w:b w:val="0"/>
          <w:bCs w:val="0"/>
          <w:sz w:val="22"/>
          <w:szCs w:val="22"/>
        </w:rPr>
        <w:t xml:space="preserve"> averag</w:t>
      </w:r>
      <w:r w:rsidR="00D251D5">
        <w:rPr>
          <w:rFonts w:asciiTheme="minorHAnsi" w:hAnsiTheme="minorHAnsi" w:cs="Calibri"/>
          <w:b w:val="0"/>
          <w:bCs w:val="0"/>
          <w:sz w:val="22"/>
          <w:szCs w:val="22"/>
        </w:rPr>
        <w:t>ing</w:t>
      </w:r>
      <w:r w:rsidR="00EC5693">
        <w:rPr>
          <w:rFonts w:asciiTheme="minorHAnsi" w:hAnsiTheme="minorHAnsi" w:cs="Calibri"/>
          <w:b w:val="0"/>
          <w:bCs w:val="0"/>
          <w:sz w:val="22"/>
          <w:szCs w:val="22"/>
        </w:rPr>
        <w:t xml:space="preserve"> the </w:t>
      </w:r>
      <w:r w:rsidR="00D251D5">
        <w:rPr>
          <w:rFonts w:asciiTheme="minorHAnsi" w:hAnsiTheme="minorHAnsi" w:cs="Calibri"/>
          <w:b w:val="0"/>
          <w:bCs w:val="0"/>
          <w:sz w:val="22"/>
          <w:szCs w:val="22"/>
        </w:rPr>
        <w:t>values</w:t>
      </w:r>
      <w:r w:rsidR="00EC5693">
        <w:rPr>
          <w:rFonts w:asciiTheme="minorHAnsi" w:hAnsiTheme="minorHAnsi" w:cs="Calibri"/>
          <w:b w:val="0"/>
          <w:bCs w:val="0"/>
          <w:sz w:val="22"/>
          <w:szCs w:val="22"/>
        </w:rPr>
        <w:t xml:space="preserve"> for </w:t>
      </w:r>
      <w:r w:rsidR="00D251D5">
        <w:rPr>
          <w:rFonts w:asciiTheme="minorHAnsi" w:hAnsiTheme="minorHAnsi" w:cs="Calibri"/>
          <w:b w:val="0"/>
          <w:bCs w:val="0"/>
          <w:sz w:val="22"/>
          <w:szCs w:val="22"/>
        </w:rPr>
        <w:t>the building types in Table 10.</w:t>
      </w:r>
    </w:p>
    <w:p w:rsidR="002325F9" w:rsidRDefault="002325F9" w:rsidP="002325F9">
      <w:bookmarkStart w:id="21" w:name="_Ref284334602"/>
      <w:bookmarkStart w:id="22" w:name="_Toc222454097"/>
    </w:p>
    <w:p w:rsidR="00DA31DA" w:rsidRDefault="00DA31DA" w:rsidP="002325F9"/>
    <w:p w:rsidR="00DA31DA" w:rsidRDefault="00DA31DA" w:rsidP="002325F9"/>
    <w:p w:rsidR="00384A45" w:rsidRDefault="00384A45" w:rsidP="002325F9"/>
    <w:p w:rsidR="00384A45" w:rsidRDefault="00384A45" w:rsidP="002325F9"/>
    <w:p w:rsidR="00EC5693" w:rsidRPr="00EC5693" w:rsidRDefault="00EC5693" w:rsidP="008420A3">
      <w:pPr>
        <w:jc w:val="center"/>
      </w:pPr>
    </w:p>
    <w:p w:rsidR="00A770FF" w:rsidRPr="00BB17FF" w:rsidRDefault="00A9598B" w:rsidP="00EC5693">
      <w:pPr>
        <w:pStyle w:val="Caption"/>
        <w:jc w:val="center"/>
        <w:rPr>
          <w:rFonts w:asciiTheme="minorHAnsi" w:hAnsiTheme="minorHAnsi"/>
          <w:sz w:val="22"/>
          <w:szCs w:val="22"/>
        </w:rPr>
      </w:pPr>
      <w:bookmarkStart w:id="23" w:name="_Ref390251325"/>
      <w:proofErr w:type="gramStart"/>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10</w:t>
      </w:r>
      <w:r w:rsidRPr="00BB17FF">
        <w:rPr>
          <w:rFonts w:ascii="Calibri" w:hAnsi="Calibri" w:cs="Calibri"/>
          <w:sz w:val="22"/>
          <w:szCs w:val="22"/>
        </w:rPr>
        <w:fldChar w:fldCharType="end"/>
      </w:r>
      <w:bookmarkEnd w:id="21"/>
      <w:bookmarkEnd w:id="23"/>
      <w:r w:rsidRPr="00BB17FF">
        <w:rPr>
          <w:rFonts w:ascii="Calibri" w:hAnsi="Calibri" w:cs="Calibri"/>
          <w:b w:val="0"/>
          <w:sz w:val="22"/>
          <w:szCs w:val="22"/>
        </w:rPr>
        <w:t>.</w:t>
      </w:r>
      <w:proofErr w:type="gramEnd"/>
      <w:r w:rsidRPr="00BB17FF">
        <w:rPr>
          <w:rFonts w:ascii="Calibri" w:hAnsi="Calibri" w:cs="Calibri"/>
          <w:sz w:val="22"/>
          <w:szCs w:val="22"/>
        </w:rPr>
        <w:t xml:space="preserve"> Energy Savings per Networked Computer</w:t>
      </w:r>
      <w:bookmarkEnd w:id="22"/>
    </w:p>
    <w:tbl>
      <w:tblPr>
        <w:tblStyle w:val="TableContemporary"/>
        <w:tblW w:w="6035" w:type="dxa"/>
        <w:jc w:val="center"/>
        <w:tblInd w:w="-5971" w:type="dxa"/>
        <w:tblLook w:val="04A0" w:firstRow="1" w:lastRow="0" w:firstColumn="1" w:lastColumn="0" w:noHBand="0" w:noVBand="1"/>
      </w:tblPr>
      <w:tblGrid>
        <w:gridCol w:w="3454"/>
        <w:gridCol w:w="2581"/>
      </w:tblGrid>
      <w:tr w:rsidR="00443D42" w:rsidRPr="00697868" w:rsidTr="00512FAB">
        <w:trPr>
          <w:cnfStyle w:val="100000000000" w:firstRow="1" w:lastRow="0" w:firstColumn="0" w:lastColumn="0" w:oddVBand="0" w:evenVBand="0" w:oddHBand="0" w:evenHBand="0" w:firstRowFirstColumn="0" w:firstRowLastColumn="0" w:lastRowFirstColumn="0" w:lastRowLastColumn="0"/>
          <w:jc w:val="center"/>
        </w:trPr>
        <w:tc>
          <w:tcPr>
            <w:tcW w:w="3454" w:type="dxa"/>
          </w:tcPr>
          <w:p w:rsidR="00443D42" w:rsidRPr="00697868" w:rsidRDefault="00443D42" w:rsidP="00443D42">
            <w:pPr>
              <w:jc w:val="center"/>
              <w:rPr>
                <w:rFonts w:asciiTheme="minorHAnsi" w:hAnsiTheme="minorHAnsi" w:cstheme="minorHAnsi"/>
                <w:sz w:val="20"/>
                <w:szCs w:val="20"/>
              </w:rPr>
            </w:pPr>
            <w:r>
              <w:rPr>
                <w:rFonts w:asciiTheme="minorHAnsi" w:hAnsiTheme="minorHAnsi" w:cstheme="minorHAnsi"/>
                <w:sz w:val="20"/>
                <w:szCs w:val="20"/>
              </w:rPr>
              <w:t>Building Type</w:t>
            </w:r>
          </w:p>
        </w:tc>
        <w:tc>
          <w:tcPr>
            <w:tcW w:w="2581" w:type="dxa"/>
          </w:tcPr>
          <w:p w:rsidR="00443D42" w:rsidRPr="00697868" w:rsidRDefault="00443D42" w:rsidP="00443D42">
            <w:pPr>
              <w:jc w:val="center"/>
              <w:rPr>
                <w:rFonts w:asciiTheme="minorHAnsi" w:hAnsiTheme="minorHAnsi" w:cstheme="minorHAnsi"/>
                <w:sz w:val="20"/>
                <w:szCs w:val="20"/>
              </w:rPr>
            </w:pPr>
            <w:r>
              <w:rPr>
                <w:rFonts w:asciiTheme="minorHAnsi" w:hAnsiTheme="minorHAnsi" w:cstheme="minorHAnsi"/>
                <w:sz w:val="20"/>
                <w:szCs w:val="20"/>
              </w:rPr>
              <w:t>Unit Energy Savings (kWh/year)</w:t>
            </w:r>
          </w:p>
        </w:tc>
      </w:tr>
      <w:tr w:rsidR="00443D42" w:rsidRPr="0068722C" w:rsidTr="00512FAB">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443D42" w:rsidRPr="0068722C" w:rsidRDefault="00443D42" w:rsidP="00443D42">
            <w:pPr>
              <w:jc w:val="center"/>
              <w:rPr>
                <w:rFonts w:asciiTheme="minorHAnsi" w:hAnsiTheme="minorHAnsi" w:cstheme="minorHAnsi"/>
                <w:sz w:val="20"/>
                <w:szCs w:val="20"/>
              </w:rPr>
            </w:pPr>
            <w:r w:rsidRPr="00521841">
              <w:rPr>
                <w:rFonts w:ascii="Calibri" w:hAnsi="Calibri" w:cs="Calibri"/>
                <w:sz w:val="20"/>
                <w:szCs w:val="20"/>
              </w:rPr>
              <w:t>Offices</w:t>
            </w:r>
          </w:p>
        </w:tc>
        <w:tc>
          <w:tcPr>
            <w:tcW w:w="2581" w:type="dxa"/>
            <w:vAlign w:val="center"/>
          </w:tcPr>
          <w:p w:rsidR="00443D42" w:rsidRPr="0068722C" w:rsidRDefault="00443D42" w:rsidP="00443D42">
            <w:pPr>
              <w:jc w:val="center"/>
              <w:rPr>
                <w:rFonts w:asciiTheme="minorHAnsi" w:hAnsiTheme="minorHAnsi" w:cstheme="minorHAnsi"/>
                <w:sz w:val="20"/>
                <w:szCs w:val="20"/>
              </w:rPr>
            </w:pPr>
            <w:r>
              <w:rPr>
                <w:rFonts w:asciiTheme="minorHAnsi" w:hAnsiTheme="minorHAnsi" w:cstheme="minorHAnsi"/>
                <w:sz w:val="20"/>
                <w:szCs w:val="20"/>
              </w:rPr>
              <w:t>111.96</w:t>
            </w:r>
          </w:p>
        </w:tc>
      </w:tr>
      <w:tr w:rsidR="00443D42" w:rsidRPr="0068722C" w:rsidTr="00512FAB">
        <w:trPr>
          <w:cnfStyle w:val="000000010000" w:firstRow="0" w:lastRow="0" w:firstColumn="0" w:lastColumn="0" w:oddVBand="0" w:evenVBand="0" w:oddHBand="0" w:evenHBand="1" w:firstRowFirstColumn="0" w:firstRowLastColumn="0" w:lastRowFirstColumn="0" w:lastRowLastColumn="0"/>
          <w:trHeight w:val="35"/>
          <w:jc w:val="center"/>
        </w:trPr>
        <w:tc>
          <w:tcPr>
            <w:tcW w:w="3454" w:type="dxa"/>
          </w:tcPr>
          <w:p w:rsidR="00443D42" w:rsidRPr="0068722C" w:rsidRDefault="00443D42" w:rsidP="00443D42">
            <w:pPr>
              <w:jc w:val="center"/>
              <w:rPr>
                <w:rFonts w:asciiTheme="minorHAnsi" w:hAnsiTheme="minorHAnsi" w:cstheme="minorHAnsi"/>
                <w:sz w:val="20"/>
                <w:szCs w:val="20"/>
              </w:rPr>
            </w:pPr>
            <w:r w:rsidRPr="00521841">
              <w:rPr>
                <w:rFonts w:ascii="Calibri" w:hAnsi="Calibri" w:cs="Calibri"/>
                <w:sz w:val="20"/>
                <w:szCs w:val="20"/>
              </w:rPr>
              <w:t>K-12 Schools</w:t>
            </w:r>
          </w:p>
        </w:tc>
        <w:tc>
          <w:tcPr>
            <w:tcW w:w="2581" w:type="dxa"/>
            <w:vAlign w:val="center"/>
          </w:tcPr>
          <w:p w:rsidR="00443D42" w:rsidRPr="0068722C" w:rsidRDefault="00443D42" w:rsidP="00443D42">
            <w:pPr>
              <w:jc w:val="center"/>
              <w:rPr>
                <w:rFonts w:asciiTheme="minorHAnsi" w:hAnsiTheme="minorHAnsi" w:cstheme="minorHAnsi"/>
                <w:sz w:val="20"/>
                <w:szCs w:val="20"/>
              </w:rPr>
            </w:pPr>
            <w:r>
              <w:rPr>
                <w:rFonts w:asciiTheme="minorHAnsi" w:hAnsiTheme="minorHAnsi" w:cstheme="minorHAnsi"/>
                <w:sz w:val="20"/>
                <w:szCs w:val="20"/>
              </w:rPr>
              <w:t>114.75</w:t>
            </w:r>
          </w:p>
        </w:tc>
      </w:tr>
      <w:tr w:rsidR="00C30E6C" w:rsidRPr="0068722C" w:rsidTr="00512FAB">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C30E6C" w:rsidRPr="00D5755D" w:rsidRDefault="00C30E6C" w:rsidP="00F47CCC">
            <w:pPr>
              <w:jc w:val="center"/>
              <w:rPr>
                <w:rFonts w:ascii="Calibri" w:hAnsi="Calibri" w:cs="Calibri"/>
                <w:sz w:val="20"/>
                <w:szCs w:val="20"/>
              </w:rPr>
            </w:pPr>
            <w:r>
              <w:rPr>
                <w:rFonts w:ascii="Calibri" w:hAnsi="Calibri" w:cs="Calibri"/>
                <w:sz w:val="20"/>
                <w:szCs w:val="20"/>
              </w:rPr>
              <w:t>College</w:t>
            </w:r>
          </w:p>
        </w:tc>
        <w:tc>
          <w:tcPr>
            <w:tcW w:w="2581" w:type="dxa"/>
            <w:vAlign w:val="center"/>
          </w:tcPr>
          <w:p w:rsidR="00C30E6C" w:rsidRDefault="00C30E6C" w:rsidP="00443D42">
            <w:pPr>
              <w:jc w:val="center"/>
              <w:rPr>
                <w:rFonts w:asciiTheme="minorHAnsi" w:hAnsiTheme="minorHAnsi" w:cstheme="minorHAnsi"/>
                <w:sz w:val="20"/>
                <w:szCs w:val="20"/>
              </w:rPr>
            </w:pPr>
            <w:r>
              <w:rPr>
                <w:rFonts w:asciiTheme="minorHAnsi" w:hAnsiTheme="minorHAnsi" w:cstheme="minorHAnsi"/>
                <w:sz w:val="20"/>
                <w:szCs w:val="20"/>
              </w:rPr>
              <w:t>135.3</w:t>
            </w:r>
            <w:r w:rsidR="003C7166">
              <w:rPr>
                <w:rFonts w:asciiTheme="minorHAnsi" w:hAnsiTheme="minorHAnsi" w:cstheme="minorHAnsi"/>
                <w:sz w:val="20"/>
                <w:szCs w:val="20"/>
              </w:rPr>
              <w:t>0</w:t>
            </w:r>
          </w:p>
        </w:tc>
      </w:tr>
      <w:tr w:rsidR="00443D42" w:rsidRPr="0068722C" w:rsidTr="00512FAB">
        <w:trPr>
          <w:cnfStyle w:val="000000010000" w:firstRow="0" w:lastRow="0" w:firstColumn="0" w:lastColumn="0" w:oddVBand="0" w:evenVBand="0" w:oddHBand="0" w:evenHBand="1" w:firstRowFirstColumn="0" w:firstRowLastColumn="0" w:lastRowFirstColumn="0" w:lastRowLastColumn="0"/>
          <w:trHeight w:val="35"/>
          <w:jc w:val="center"/>
        </w:trPr>
        <w:tc>
          <w:tcPr>
            <w:tcW w:w="3454" w:type="dxa"/>
          </w:tcPr>
          <w:p w:rsidR="00443D42" w:rsidRPr="0068722C" w:rsidRDefault="00443D42" w:rsidP="00443D42">
            <w:pPr>
              <w:jc w:val="center"/>
              <w:rPr>
                <w:rFonts w:asciiTheme="minorHAnsi" w:hAnsiTheme="minorHAnsi" w:cstheme="minorHAnsi"/>
                <w:sz w:val="20"/>
                <w:szCs w:val="20"/>
              </w:rPr>
            </w:pPr>
            <w:r w:rsidRPr="00D5755D">
              <w:rPr>
                <w:rFonts w:ascii="Calibri" w:hAnsi="Calibri" w:cs="Calibri"/>
                <w:sz w:val="20"/>
                <w:szCs w:val="20"/>
              </w:rPr>
              <w:t>Misc. Commercial</w:t>
            </w:r>
          </w:p>
        </w:tc>
        <w:tc>
          <w:tcPr>
            <w:tcW w:w="2581" w:type="dxa"/>
            <w:vAlign w:val="center"/>
          </w:tcPr>
          <w:p w:rsidR="00443D42" w:rsidRPr="0068722C" w:rsidRDefault="00443D42" w:rsidP="00443D42">
            <w:pPr>
              <w:jc w:val="center"/>
              <w:rPr>
                <w:rFonts w:asciiTheme="minorHAnsi" w:hAnsiTheme="minorHAnsi" w:cstheme="minorHAnsi"/>
                <w:sz w:val="20"/>
                <w:szCs w:val="20"/>
              </w:rPr>
            </w:pPr>
            <w:r>
              <w:rPr>
                <w:rFonts w:asciiTheme="minorHAnsi" w:hAnsiTheme="minorHAnsi" w:cstheme="minorHAnsi"/>
                <w:sz w:val="20"/>
                <w:szCs w:val="20"/>
              </w:rPr>
              <w:t>108.90</w:t>
            </w:r>
          </w:p>
        </w:tc>
      </w:tr>
      <w:tr w:rsidR="00443D42" w:rsidRPr="0068722C" w:rsidTr="00512FAB">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443D42" w:rsidRPr="0068722C" w:rsidRDefault="00443D42" w:rsidP="00443D42">
            <w:pPr>
              <w:jc w:val="center"/>
              <w:rPr>
                <w:rFonts w:asciiTheme="minorHAnsi" w:hAnsiTheme="minorHAnsi" w:cstheme="minorHAnsi"/>
                <w:sz w:val="20"/>
                <w:szCs w:val="20"/>
              </w:rPr>
            </w:pPr>
            <w:r>
              <w:rPr>
                <w:rFonts w:ascii="Calibri" w:hAnsi="Calibri" w:cs="Calibri"/>
                <w:sz w:val="20"/>
                <w:szCs w:val="20"/>
              </w:rPr>
              <w:t xml:space="preserve">Average </w:t>
            </w:r>
          </w:p>
        </w:tc>
        <w:tc>
          <w:tcPr>
            <w:tcW w:w="2581" w:type="dxa"/>
            <w:vAlign w:val="center"/>
          </w:tcPr>
          <w:p w:rsidR="00443D42" w:rsidRPr="0068722C" w:rsidRDefault="00443D42" w:rsidP="00F47CCC">
            <w:pPr>
              <w:jc w:val="center"/>
              <w:rPr>
                <w:rFonts w:asciiTheme="minorHAnsi" w:hAnsiTheme="minorHAnsi" w:cstheme="minorHAnsi"/>
                <w:sz w:val="20"/>
                <w:szCs w:val="20"/>
              </w:rPr>
            </w:pPr>
            <w:r>
              <w:rPr>
                <w:rFonts w:asciiTheme="minorHAnsi" w:hAnsiTheme="minorHAnsi" w:cstheme="minorHAnsi"/>
                <w:sz w:val="20"/>
                <w:szCs w:val="20"/>
              </w:rPr>
              <w:t>11</w:t>
            </w:r>
            <w:r w:rsidR="00C30E6C">
              <w:rPr>
                <w:rFonts w:asciiTheme="minorHAnsi" w:hAnsiTheme="minorHAnsi" w:cstheme="minorHAnsi"/>
                <w:sz w:val="20"/>
                <w:szCs w:val="20"/>
              </w:rPr>
              <w:t>7.73</w:t>
            </w:r>
          </w:p>
        </w:tc>
      </w:tr>
    </w:tbl>
    <w:p w:rsidR="00443D42" w:rsidRDefault="00443D42" w:rsidP="00A9598B">
      <w:pPr>
        <w:rPr>
          <w:rFonts w:asciiTheme="minorHAnsi" w:hAnsiTheme="minorHAnsi" w:cs="Calibri"/>
          <w:sz w:val="22"/>
          <w:szCs w:val="22"/>
        </w:rPr>
      </w:pPr>
    </w:p>
    <w:p w:rsidR="00A9598B" w:rsidRPr="0057499F" w:rsidRDefault="00A9598B" w:rsidP="00BC123D">
      <w:pPr>
        <w:rPr>
          <w:rFonts w:asciiTheme="minorHAnsi" w:hAnsiTheme="minorHAnsi" w:cs="Calibri"/>
          <w:sz w:val="22"/>
          <w:szCs w:val="22"/>
        </w:rPr>
      </w:pPr>
      <w:r w:rsidRPr="001B7EAB">
        <w:rPr>
          <w:rFonts w:asciiTheme="minorHAnsi" w:hAnsiTheme="minorHAnsi" w:cs="Calibri"/>
          <w:sz w:val="22"/>
          <w:szCs w:val="22"/>
        </w:rPr>
        <w:t>The data did not provide a differentiation between large and small offices, nor between primary and secondary schools</w:t>
      </w:r>
      <w:r w:rsidR="0057499F">
        <w:rPr>
          <w:rFonts w:asciiTheme="minorHAnsi" w:hAnsiTheme="minorHAnsi" w:cs="Calibri"/>
          <w:sz w:val="22"/>
          <w:szCs w:val="22"/>
        </w:rPr>
        <w:t xml:space="preserve">.  </w:t>
      </w:r>
      <w:r w:rsidRPr="001B7EAB">
        <w:rPr>
          <w:rFonts w:asciiTheme="minorHAnsi" w:hAnsiTheme="minorHAnsi" w:cs="Calibri"/>
          <w:sz w:val="22"/>
          <w:szCs w:val="22"/>
        </w:rPr>
        <w:t>A conservative deemed value to represent unknown commercial building type applications and all other building types (Misc. Commercial) is derived by averaging the NEEA 2005 cases and the TIAX 2004 Auto Sleep Strategy [</w:t>
      </w:r>
      <w:r w:rsidR="00BC123D">
        <w:rPr>
          <w:rFonts w:asciiTheme="minorHAnsi" w:hAnsiTheme="minorHAnsi" w:cs="Calibri"/>
          <w:sz w:val="22"/>
          <w:szCs w:val="22"/>
        </w:rPr>
        <w:fldChar w:fldCharType="begin"/>
      </w:r>
      <w:r w:rsidR="00BC123D">
        <w:rPr>
          <w:rFonts w:asciiTheme="minorHAnsi" w:hAnsiTheme="minorHAnsi" w:cs="Calibri"/>
          <w:sz w:val="22"/>
          <w:szCs w:val="22"/>
        </w:rPr>
        <w:instrText xml:space="preserve"> REF H \h </w:instrText>
      </w:r>
      <w:r w:rsidR="00BC123D">
        <w:rPr>
          <w:rFonts w:asciiTheme="minorHAnsi" w:hAnsiTheme="minorHAnsi" w:cs="Calibri"/>
          <w:sz w:val="22"/>
          <w:szCs w:val="22"/>
        </w:rPr>
      </w:r>
      <w:r w:rsidR="00BC123D">
        <w:rPr>
          <w:rFonts w:asciiTheme="minorHAnsi" w:hAnsiTheme="minorHAnsi" w:cs="Calibri"/>
          <w:sz w:val="22"/>
          <w:szCs w:val="22"/>
        </w:rPr>
        <w:fldChar w:fldCharType="separate"/>
      </w:r>
      <w:r w:rsidR="0095321C">
        <w:rPr>
          <w:rFonts w:asciiTheme="minorHAnsi" w:hAnsiTheme="minorHAnsi" w:cs="Calibri"/>
          <w:bCs/>
          <w:noProof/>
          <w:sz w:val="22"/>
          <w:szCs w:val="22"/>
        </w:rPr>
        <w:t>H</w:t>
      </w:r>
      <w:r w:rsidR="00BC123D">
        <w:rPr>
          <w:rFonts w:asciiTheme="minorHAnsi" w:hAnsiTheme="minorHAnsi" w:cs="Calibri"/>
          <w:sz w:val="22"/>
          <w:szCs w:val="22"/>
        </w:rPr>
        <w:fldChar w:fldCharType="end"/>
      </w:r>
      <w:proofErr w:type="gramStart"/>
      <w:r w:rsidR="00740D6B">
        <w:rPr>
          <w:rFonts w:asciiTheme="minorHAnsi" w:hAnsiTheme="minorHAnsi" w:cs="Calibri"/>
          <w:sz w:val="22"/>
          <w:szCs w:val="22"/>
        </w:rPr>
        <w:t xml:space="preserve">, </w:t>
      </w:r>
      <w:proofErr w:type="gramEnd"/>
      <w:r w:rsidR="00740D6B">
        <w:rPr>
          <w:rFonts w:asciiTheme="minorHAnsi" w:hAnsiTheme="minorHAnsi" w:cs="Calibri"/>
          <w:sz w:val="22"/>
          <w:szCs w:val="22"/>
        </w:rPr>
        <w:fldChar w:fldCharType="begin"/>
      </w:r>
      <w:r w:rsidR="00740D6B">
        <w:rPr>
          <w:rFonts w:asciiTheme="minorHAnsi" w:hAnsiTheme="minorHAnsi" w:cs="Calibri"/>
          <w:sz w:val="22"/>
          <w:szCs w:val="22"/>
        </w:rPr>
        <w:instrText xml:space="preserve"> REF I \h </w:instrText>
      </w:r>
      <w:r w:rsidR="0095321C">
        <w:rPr>
          <w:rFonts w:asciiTheme="minorHAnsi" w:hAnsiTheme="minorHAnsi" w:cs="Calibri"/>
          <w:b/>
          <w:bCs/>
          <w:noProof/>
          <w:sz w:val="22"/>
          <w:szCs w:val="22"/>
        </w:rPr>
        <w:instrText>I</w:instrText>
      </w:r>
      <w:r w:rsidR="00740D6B">
        <w:rPr>
          <w:rFonts w:asciiTheme="minorHAnsi" w:hAnsiTheme="minorHAnsi" w:cs="Calibri"/>
          <w:sz w:val="22"/>
          <w:szCs w:val="22"/>
        </w:rPr>
      </w:r>
      <w:r w:rsidR="00740D6B">
        <w:rPr>
          <w:rFonts w:asciiTheme="minorHAnsi" w:hAnsiTheme="minorHAnsi" w:cs="Calibri"/>
          <w:sz w:val="22"/>
          <w:szCs w:val="22"/>
        </w:rPr>
        <w:fldChar w:fldCharType="end"/>
      </w:r>
      <w:r w:rsidR="00E9710C">
        <w:rPr>
          <w:rFonts w:asciiTheme="minorHAnsi" w:hAnsiTheme="minorHAnsi" w:cs="Calibri"/>
          <w:sz w:val="22"/>
          <w:szCs w:val="22"/>
        </w:rPr>
        <w:fldChar w:fldCharType="begin"/>
      </w:r>
      <w:r w:rsidR="00E9710C">
        <w:rPr>
          <w:rFonts w:asciiTheme="minorHAnsi" w:hAnsiTheme="minorHAnsi" w:cs="Calibri"/>
          <w:sz w:val="22"/>
          <w:szCs w:val="22"/>
        </w:rPr>
        <w:instrText xml:space="preserve"> REF _Ref387409910 \h  \* MERGEFORMAT </w:instrText>
      </w:r>
      <w:r w:rsidR="00E9710C">
        <w:rPr>
          <w:rFonts w:asciiTheme="minorHAnsi" w:hAnsiTheme="minorHAnsi" w:cs="Calibri"/>
          <w:sz w:val="22"/>
          <w:szCs w:val="22"/>
        </w:rPr>
      </w:r>
      <w:r w:rsidR="00E9710C">
        <w:rPr>
          <w:rFonts w:asciiTheme="minorHAnsi" w:hAnsiTheme="minorHAnsi" w:cs="Calibri"/>
          <w:sz w:val="22"/>
          <w:szCs w:val="22"/>
        </w:rPr>
        <w:fldChar w:fldCharType="end"/>
      </w:r>
      <w:r w:rsidRPr="001B7EAB">
        <w:rPr>
          <w:rFonts w:asciiTheme="minorHAnsi" w:hAnsiTheme="minorHAnsi" w:cs="Calibri"/>
          <w:sz w:val="22"/>
          <w:szCs w:val="22"/>
        </w:rPr>
        <w:t xml:space="preserve">] </w:t>
      </w:r>
      <w:r w:rsidRPr="00512FAB">
        <w:rPr>
          <w:rFonts w:asciiTheme="minorHAnsi" w:hAnsiTheme="minorHAnsi" w:cs="Calibri"/>
          <w:sz w:val="22"/>
          <w:szCs w:val="22"/>
        </w:rPr>
        <w:t>from</w:t>
      </w:r>
      <w:r w:rsidR="002676C1">
        <w:rPr>
          <w:rFonts w:asciiTheme="minorHAnsi" w:hAnsiTheme="minorHAnsi" w:cs="Calibri"/>
          <w:sz w:val="22"/>
          <w:szCs w:val="22"/>
        </w:rPr>
        <w:t xml:space="preserve"> </w:t>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_Ref390251338 \h </w:instrText>
      </w:r>
      <w:r w:rsidR="002676C1">
        <w:rPr>
          <w:rFonts w:asciiTheme="minorHAnsi" w:hAnsiTheme="minorHAnsi" w:cs="Calibri"/>
          <w:sz w:val="22"/>
          <w:szCs w:val="22"/>
        </w:rPr>
      </w:r>
      <w:r w:rsidR="002676C1">
        <w:rPr>
          <w:rFonts w:asciiTheme="minorHAnsi" w:hAnsiTheme="minorHAnsi" w:cs="Calibri"/>
          <w:sz w:val="22"/>
          <w:szCs w:val="22"/>
        </w:rPr>
        <w:fldChar w:fldCharType="separate"/>
      </w:r>
      <w:r w:rsidR="0095321C" w:rsidRPr="00BB17FF">
        <w:rPr>
          <w:rFonts w:ascii="Calibri" w:hAnsi="Calibri" w:cs="Calibri"/>
          <w:sz w:val="22"/>
          <w:szCs w:val="22"/>
        </w:rPr>
        <w:t xml:space="preserve">Table </w:t>
      </w:r>
      <w:r w:rsidR="0095321C">
        <w:rPr>
          <w:rFonts w:ascii="Calibri" w:hAnsi="Calibri" w:cs="Calibri"/>
          <w:noProof/>
          <w:sz w:val="22"/>
          <w:szCs w:val="22"/>
        </w:rPr>
        <w:t>9</w:t>
      </w:r>
      <w:r w:rsidR="002676C1">
        <w:rPr>
          <w:rFonts w:asciiTheme="minorHAnsi" w:hAnsiTheme="minorHAnsi" w:cs="Calibri"/>
          <w:sz w:val="22"/>
          <w:szCs w:val="22"/>
        </w:rPr>
        <w:fldChar w:fldCharType="end"/>
      </w:r>
      <w:r w:rsidRPr="00512FAB">
        <w:rPr>
          <w:rFonts w:asciiTheme="minorHAnsi" w:hAnsiTheme="minorHAnsi" w:cs="Calibri"/>
          <w:sz w:val="22"/>
          <w:szCs w:val="22"/>
        </w:rPr>
        <w:t>.</w:t>
      </w:r>
      <w:r w:rsidRPr="001B7EAB">
        <w:rPr>
          <w:rFonts w:asciiTheme="minorHAnsi" w:hAnsiTheme="minorHAnsi" w:cs="Calibri"/>
          <w:sz w:val="22"/>
          <w:szCs w:val="22"/>
        </w:rPr>
        <w:t xml:space="preserve">   </w:t>
      </w:r>
    </w:p>
    <w:p w:rsidR="00A9598B" w:rsidRPr="001B7EAB" w:rsidRDefault="00A9598B" w:rsidP="00A9598B">
      <w:pPr>
        <w:rPr>
          <w:rFonts w:asciiTheme="minorHAnsi" w:hAnsiTheme="minorHAnsi" w:cs="Calibri"/>
          <w:sz w:val="22"/>
          <w:szCs w:val="22"/>
        </w:rPr>
      </w:pPr>
    </w:p>
    <w:p w:rsidR="00A9598B" w:rsidRPr="001B7EAB" w:rsidRDefault="00A9598B" w:rsidP="00A9598B">
      <w:pPr>
        <w:autoSpaceDE w:val="0"/>
        <w:autoSpaceDN w:val="0"/>
        <w:adjustRightInd w:val="0"/>
        <w:rPr>
          <w:rFonts w:asciiTheme="minorHAnsi" w:hAnsiTheme="minorHAnsi" w:cs="Calibri"/>
          <w:sz w:val="22"/>
          <w:szCs w:val="22"/>
        </w:rPr>
      </w:pPr>
      <w:r w:rsidRPr="001B7EAB">
        <w:rPr>
          <w:rFonts w:asciiTheme="minorHAnsi" w:hAnsiTheme="minorHAnsi" w:cs="Calibri"/>
          <w:sz w:val="22"/>
          <w:szCs w:val="22"/>
        </w:rPr>
        <w:t>All of the EM&amp;V studies and work papers used to determine these savings consider the possibility of peak demand reduction values to be either negligible or non-existent.  As the TIAX report indicated in its analysis, most PCs in the commercial sector are in use during peak demand periods [</w:t>
      </w:r>
      <w:r w:rsidR="00DA6AC3">
        <w:rPr>
          <w:rFonts w:asciiTheme="minorHAnsi" w:hAnsiTheme="minorHAnsi" w:cs="Calibri"/>
          <w:sz w:val="22"/>
          <w:szCs w:val="22"/>
        </w:rPr>
        <w:fldChar w:fldCharType="begin"/>
      </w:r>
      <w:r w:rsidR="00DA6AC3">
        <w:rPr>
          <w:rFonts w:asciiTheme="minorHAnsi" w:hAnsiTheme="minorHAnsi" w:cs="Calibri"/>
          <w:sz w:val="22"/>
          <w:szCs w:val="22"/>
        </w:rPr>
        <w:instrText xml:space="preserve"> REF K \h </w:instrText>
      </w:r>
      <w:r w:rsidR="00DA6AC3">
        <w:rPr>
          <w:rFonts w:asciiTheme="minorHAnsi" w:hAnsiTheme="minorHAnsi" w:cs="Calibri"/>
          <w:sz w:val="22"/>
          <w:szCs w:val="22"/>
        </w:rPr>
      </w:r>
      <w:r w:rsidR="00DA6AC3">
        <w:rPr>
          <w:rFonts w:asciiTheme="minorHAnsi" w:hAnsiTheme="minorHAnsi" w:cs="Calibri"/>
          <w:sz w:val="22"/>
          <w:szCs w:val="22"/>
        </w:rPr>
        <w:fldChar w:fldCharType="separate"/>
      </w:r>
      <w:r w:rsidR="0095321C">
        <w:rPr>
          <w:rFonts w:asciiTheme="minorHAnsi" w:hAnsiTheme="minorHAnsi" w:cs="Calibri"/>
          <w:bCs/>
          <w:noProof/>
          <w:sz w:val="22"/>
          <w:szCs w:val="22"/>
        </w:rPr>
        <w:t>K</w:t>
      </w:r>
      <w:r w:rsidR="00DA6AC3">
        <w:rPr>
          <w:rFonts w:asciiTheme="minorHAnsi" w:hAnsiTheme="minorHAnsi" w:cs="Calibri"/>
          <w:sz w:val="22"/>
          <w:szCs w:val="22"/>
        </w:rPr>
        <w:fldChar w:fldCharType="end"/>
      </w:r>
      <w:r w:rsidR="00DA6AC3">
        <w:rPr>
          <w:rFonts w:asciiTheme="minorHAnsi" w:hAnsiTheme="minorHAnsi" w:cs="Calibri"/>
          <w:sz w:val="22"/>
          <w:szCs w:val="22"/>
        </w:rPr>
        <w:fldChar w:fldCharType="begin"/>
      </w:r>
      <w:r w:rsidR="00DA6AC3">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DA6AC3">
        <w:rPr>
          <w:rFonts w:asciiTheme="minorHAnsi" w:hAnsiTheme="minorHAnsi" w:cs="Calibri"/>
          <w:sz w:val="22"/>
          <w:szCs w:val="22"/>
        </w:rPr>
      </w:r>
      <w:r w:rsidR="00DA6AC3">
        <w:rPr>
          <w:rFonts w:asciiTheme="minorHAnsi" w:hAnsiTheme="minorHAnsi" w:cs="Calibri"/>
          <w:sz w:val="22"/>
          <w:szCs w:val="22"/>
        </w:rPr>
        <w:fldChar w:fldCharType="end"/>
      </w:r>
      <w:r w:rsidR="00DA6AC3">
        <w:rPr>
          <w:rFonts w:asciiTheme="minorHAnsi" w:hAnsiTheme="minorHAnsi" w:cs="Calibri"/>
          <w:sz w:val="22"/>
          <w:szCs w:val="22"/>
        </w:rPr>
        <w:fldChar w:fldCharType="begin"/>
      </w:r>
      <w:r w:rsidR="00DA6AC3">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DA6AC3">
        <w:rPr>
          <w:rFonts w:asciiTheme="minorHAnsi" w:hAnsiTheme="minorHAnsi" w:cs="Calibri"/>
          <w:sz w:val="22"/>
          <w:szCs w:val="22"/>
        </w:rPr>
      </w:r>
      <w:r w:rsidR="00DA6AC3">
        <w:rPr>
          <w:rFonts w:asciiTheme="minorHAnsi" w:hAnsiTheme="minorHAnsi" w:cs="Calibri"/>
          <w:sz w:val="22"/>
          <w:szCs w:val="22"/>
        </w:rPr>
        <w:fldChar w:fldCharType="end"/>
      </w:r>
      <w:r w:rsidR="00DA6AC3">
        <w:rPr>
          <w:rFonts w:asciiTheme="minorHAnsi" w:hAnsiTheme="minorHAnsi" w:cs="Calibri"/>
          <w:sz w:val="22"/>
          <w:szCs w:val="22"/>
        </w:rPr>
        <w:fldChar w:fldCharType="begin"/>
      </w:r>
      <w:r w:rsidR="00DA6AC3">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DA6AC3">
        <w:rPr>
          <w:rFonts w:asciiTheme="minorHAnsi" w:hAnsiTheme="minorHAnsi" w:cs="Calibri"/>
          <w:sz w:val="22"/>
          <w:szCs w:val="22"/>
        </w:rPr>
      </w:r>
      <w:r w:rsidR="00DA6AC3">
        <w:rPr>
          <w:rFonts w:asciiTheme="minorHAnsi" w:hAnsiTheme="minorHAnsi" w:cs="Calibri"/>
          <w:sz w:val="22"/>
          <w:szCs w:val="22"/>
        </w:rPr>
        <w:fldChar w:fldCharType="end"/>
      </w:r>
      <w:r w:rsidR="00DA6AC3">
        <w:rPr>
          <w:rFonts w:asciiTheme="minorHAnsi" w:hAnsiTheme="minorHAnsi" w:cs="Calibri"/>
          <w:sz w:val="22"/>
          <w:szCs w:val="22"/>
        </w:rPr>
        <w:fldChar w:fldCharType="begin"/>
      </w:r>
      <w:r w:rsidR="00DA6AC3">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DA6AC3">
        <w:rPr>
          <w:rFonts w:asciiTheme="minorHAnsi" w:hAnsiTheme="minorHAnsi" w:cs="Calibri"/>
          <w:sz w:val="22"/>
          <w:szCs w:val="22"/>
        </w:rPr>
      </w:r>
      <w:r w:rsidR="00DA6AC3">
        <w:rPr>
          <w:rFonts w:asciiTheme="minorHAnsi" w:hAnsiTheme="minorHAnsi" w:cs="Calibri"/>
          <w:sz w:val="22"/>
          <w:szCs w:val="22"/>
        </w:rPr>
        <w:fldChar w:fldCharType="end"/>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2676C1">
        <w:rPr>
          <w:rFonts w:asciiTheme="minorHAnsi" w:hAnsiTheme="minorHAnsi" w:cs="Calibri"/>
          <w:sz w:val="22"/>
          <w:szCs w:val="22"/>
        </w:rPr>
      </w:r>
      <w:r w:rsidR="002676C1">
        <w:rPr>
          <w:rFonts w:asciiTheme="minorHAnsi" w:hAnsiTheme="minorHAnsi" w:cs="Calibri"/>
          <w:sz w:val="22"/>
          <w:szCs w:val="22"/>
        </w:rPr>
        <w:fldChar w:fldCharType="end"/>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2676C1">
        <w:rPr>
          <w:rFonts w:asciiTheme="minorHAnsi" w:hAnsiTheme="minorHAnsi" w:cs="Calibri"/>
          <w:sz w:val="22"/>
          <w:szCs w:val="22"/>
        </w:rPr>
      </w:r>
      <w:r w:rsidR="002676C1">
        <w:rPr>
          <w:rFonts w:asciiTheme="minorHAnsi" w:hAnsiTheme="minorHAnsi" w:cs="Calibri"/>
          <w:sz w:val="22"/>
          <w:szCs w:val="22"/>
        </w:rPr>
        <w:fldChar w:fldCharType="end"/>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2676C1">
        <w:rPr>
          <w:rFonts w:asciiTheme="minorHAnsi" w:hAnsiTheme="minorHAnsi" w:cs="Calibri"/>
          <w:sz w:val="22"/>
          <w:szCs w:val="22"/>
        </w:rPr>
      </w:r>
      <w:r w:rsidR="002676C1">
        <w:rPr>
          <w:rFonts w:asciiTheme="minorHAnsi" w:hAnsiTheme="minorHAnsi" w:cs="Calibri"/>
          <w:sz w:val="22"/>
          <w:szCs w:val="22"/>
        </w:rPr>
        <w:fldChar w:fldCharType="end"/>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2676C1">
        <w:rPr>
          <w:rFonts w:asciiTheme="minorHAnsi" w:hAnsiTheme="minorHAnsi" w:cs="Calibri"/>
          <w:sz w:val="22"/>
          <w:szCs w:val="22"/>
        </w:rPr>
      </w:r>
      <w:r w:rsidR="002676C1">
        <w:rPr>
          <w:rFonts w:asciiTheme="minorHAnsi" w:hAnsiTheme="minorHAnsi" w:cs="Calibri"/>
          <w:sz w:val="22"/>
          <w:szCs w:val="22"/>
        </w:rPr>
        <w:fldChar w:fldCharType="end"/>
      </w:r>
      <w:r w:rsidR="002676C1">
        <w:rPr>
          <w:rFonts w:asciiTheme="minorHAnsi" w:hAnsiTheme="minorHAnsi" w:cs="Calibri"/>
          <w:sz w:val="22"/>
          <w:szCs w:val="22"/>
        </w:rPr>
        <w:fldChar w:fldCharType="begin"/>
      </w:r>
      <w:r w:rsidR="002676C1">
        <w:rPr>
          <w:rFonts w:asciiTheme="minorHAnsi" w:hAnsiTheme="minorHAnsi" w:cs="Calibri"/>
          <w:sz w:val="22"/>
          <w:szCs w:val="22"/>
        </w:rPr>
        <w:instrText xml:space="preserve"> REF K \h </w:instrText>
      </w:r>
      <w:r w:rsidR="0095321C">
        <w:rPr>
          <w:rFonts w:asciiTheme="minorHAnsi" w:hAnsiTheme="minorHAnsi" w:cs="Calibri"/>
          <w:bCs/>
          <w:noProof/>
          <w:sz w:val="22"/>
          <w:szCs w:val="22"/>
        </w:rPr>
        <w:instrText>K</w:instrText>
      </w:r>
      <w:r w:rsidR="002676C1">
        <w:rPr>
          <w:rFonts w:asciiTheme="minorHAnsi" w:hAnsiTheme="minorHAnsi" w:cs="Calibri"/>
          <w:sz w:val="22"/>
          <w:szCs w:val="22"/>
        </w:rPr>
      </w:r>
      <w:r w:rsidR="002676C1">
        <w:rPr>
          <w:rFonts w:asciiTheme="minorHAnsi" w:hAnsiTheme="minorHAnsi" w:cs="Calibri"/>
          <w:sz w:val="22"/>
          <w:szCs w:val="22"/>
        </w:rPr>
        <w:fldChar w:fldCharType="end"/>
      </w:r>
      <w:r w:rsidRPr="001B7EAB">
        <w:rPr>
          <w:rFonts w:asciiTheme="minorHAnsi" w:hAnsiTheme="minorHAnsi" w:cs="Calibri"/>
          <w:sz w:val="22"/>
          <w:szCs w:val="22"/>
        </w:rPr>
        <w:t xml:space="preserve">].  However, this point of view fails to recognize that a runtime change, which is the main effect of PCPM Network Software, changes the demand timing of the controlled networked computers.  </w:t>
      </w:r>
    </w:p>
    <w:p w:rsidR="00A9598B" w:rsidRPr="001B7EAB" w:rsidRDefault="00A9598B" w:rsidP="00A9598B">
      <w:pPr>
        <w:autoSpaceDE w:val="0"/>
        <w:autoSpaceDN w:val="0"/>
        <w:adjustRightInd w:val="0"/>
        <w:rPr>
          <w:rFonts w:asciiTheme="minorHAnsi" w:hAnsiTheme="minorHAnsi" w:cs="Calibri"/>
          <w:sz w:val="22"/>
          <w:szCs w:val="22"/>
        </w:rPr>
      </w:pPr>
    </w:p>
    <w:p w:rsidR="00A9598B" w:rsidRPr="001B7EAB" w:rsidRDefault="00A9598B" w:rsidP="00A9598B">
      <w:pPr>
        <w:rPr>
          <w:rFonts w:asciiTheme="minorHAnsi" w:hAnsiTheme="minorHAnsi"/>
          <w:sz w:val="22"/>
          <w:szCs w:val="22"/>
        </w:rPr>
      </w:pPr>
      <w:r w:rsidRPr="001B7EAB">
        <w:rPr>
          <w:rFonts w:asciiTheme="minorHAnsi" w:hAnsiTheme="minorHAnsi" w:cs="Calibri"/>
          <w:sz w:val="22"/>
          <w:szCs w:val="22"/>
        </w:rPr>
        <w:t>A change in timing can lead to peak demand reductions for large measure groups.  The effect only becomes evident when a large population is analyzed with before and after hourly demand load profiles. A</w:t>
      </w:r>
      <w:r w:rsidRPr="001B7EAB">
        <w:rPr>
          <w:rFonts w:asciiTheme="minorHAnsi" w:hAnsiTheme="minorHAnsi"/>
          <w:sz w:val="22"/>
          <w:szCs w:val="22"/>
        </w:rPr>
        <w:t xml:space="preserve"> 2010 power management study by Barr et al [</w:t>
      </w:r>
      <w:r w:rsidR="00E9710C">
        <w:rPr>
          <w:rFonts w:asciiTheme="minorHAnsi" w:hAnsiTheme="minorHAnsi"/>
          <w:sz w:val="22"/>
          <w:szCs w:val="22"/>
        </w:rPr>
        <w:fldChar w:fldCharType="begin"/>
      </w:r>
      <w:r w:rsidR="00E9710C">
        <w:rPr>
          <w:rFonts w:asciiTheme="minorHAnsi" w:hAnsiTheme="minorHAnsi"/>
          <w:sz w:val="22"/>
          <w:szCs w:val="22"/>
        </w:rPr>
        <w:instrText xml:space="preserve"> REF _Ref387409946 \h  \* MERGEFORMAT </w:instrText>
      </w:r>
      <w:r w:rsidR="00E9710C">
        <w:rPr>
          <w:rFonts w:asciiTheme="minorHAnsi" w:hAnsiTheme="minorHAnsi"/>
          <w:sz w:val="22"/>
          <w:szCs w:val="22"/>
        </w:rPr>
      </w:r>
      <w:r w:rsidR="00E9710C">
        <w:rPr>
          <w:rFonts w:asciiTheme="minorHAnsi" w:hAnsiTheme="minorHAnsi"/>
          <w:sz w:val="22"/>
          <w:szCs w:val="22"/>
        </w:rPr>
        <w:fldChar w:fldCharType="separate"/>
      </w:r>
      <w:r w:rsidR="0095321C" w:rsidRPr="00763536">
        <w:rPr>
          <w:rFonts w:asciiTheme="minorHAnsi" w:hAnsiTheme="minorHAnsi"/>
          <w:sz w:val="22"/>
          <w:szCs w:val="22"/>
        </w:rPr>
        <w:t>F</w:t>
      </w:r>
      <w:r w:rsidR="00E9710C">
        <w:rPr>
          <w:rFonts w:asciiTheme="minorHAnsi" w:hAnsiTheme="minorHAnsi"/>
          <w:sz w:val="22"/>
          <w:szCs w:val="22"/>
        </w:rPr>
        <w:fldChar w:fldCharType="end"/>
      </w:r>
      <w:r w:rsidRPr="001B7EAB">
        <w:rPr>
          <w:rFonts w:asciiTheme="minorHAnsi" w:hAnsiTheme="minorHAnsi"/>
          <w:sz w:val="22"/>
          <w:szCs w:val="22"/>
        </w:rPr>
        <w:t xml:space="preserve">] has the most available profile data. The study covered over 90,000 desktop computers in the construction, education, financial, government, healthcare, manufacturing, retail, and transportation sectors. </w:t>
      </w:r>
      <w:r w:rsidR="0080065C">
        <w:rPr>
          <w:rFonts w:asciiTheme="minorHAnsi" w:hAnsiTheme="minorHAnsi"/>
          <w:sz w:val="22"/>
          <w:szCs w:val="22"/>
        </w:rPr>
        <w:t xml:space="preserve"> </w:t>
      </w:r>
      <w:r w:rsidRPr="001B7EAB">
        <w:rPr>
          <w:rFonts w:asciiTheme="minorHAnsi" w:hAnsiTheme="minorHAnsi"/>
          <w:sz w:val="22"/>
          <w:szCs w:val="22"/>
        </w:rPr>
        <w:t>Based on the usages profiles found in the study, 2.3% of energy savings from power management software occur during weekdays between 2-5 PM</w:t>
      </w:r>
      <w:r w:rsidR="00F47CCC">
        <w:rPr>
          <w:rFonts w:asciiTheme="minorHAnsi" w:hAnsiTheme="minorHAnsi"/>
          <w:sz w:val="22"/>
          <w:szCs w:val="22"/>
        </w:rPr>
        <w:t>.</w:t>
      </w:r>
    </w:p>
    <w:p w:rsidR="00A9598B" w:rsidRPr="001B7EAB" w:rsidRDefault="00A9598B" w:rsidP="00A9598B">
      <w:pPr>
        <w:rPr>
          <w:rFonts w:asciiTheme="minorHAnsi" w:hAnsiTheme="minorHAnsi"/>
          <w:sz w:val="22"/>
          <w:szCs w:val="22"/>
        </w:rPr>
      </w:pPr>
      <w:r w:rsidRPr="001B7EAB">
        <w:rPr>
          <w:rFonts w:asciiTheme="minorHAnsi" w:hAnsiTheme="minorHAnsi"/>
          <w:sz w:val="22"/>
          <w:szCs w:val="22"/>
        </w:rPr>
        <w:t>For estimated demand reduction:</w:t>
      </w:r>
    </w:p>
    <w:p w:rsidR="00A9598B" w:rsidRPr="001B7EAB" w:rsidRDefault="00A9598B" w:rsidP="00A9598B">
      <w:pPr>
        <w:rPr>
          <w:rFonts w:asciiTheme="minorHAnsi" w:hAnsiTheme="minorHAnsi"/>
          <w:sz w:val="22"/>
          <w:szCs w:val="22"/>
        </w:rPr>
      </w:pPr>
    </w:p>
    <w:p w:rsidR="00A9598B" w:rsidRPr="001B7EAB" w:rsidRDefault="00A9598B" w:rsidP="00A9598B">
      <w:pPr>
        <w:rPr>
          <w:rFonts w:asciiTheme="minorHAnsi" w:hAnsiTheme="minorHAnsi"/>
          <w:sz w:val="22"/>
          <w:szCs w:val="22"/>
        </w:rPr>
      </w:pPr>
      <w:r w:rsidRPr="001B7EAB">
        <w:rPr>
          <w:rFonts w:asciiTheme="minorHAnsi" w:hAnsiTheme="minorHAnsi"/>
          <w:sz w:val="22"/>
          <w:szCs w:val="22"/>
        </w:rPr>
        <w:t xml:space="preserve">Peak Demand Reduction </w:t>
      </w:r>
    </w:p>
    <w:p w:rsidR="00A9598B" w:rsidRPr="001B7EAB" w:rsidRDefault="00A9598B" w:rsidP="008E6544">
      <w:pPr>
        <w:ind w:left="720" w:firstLine="720"/>
        <w:rPr>
          <w:rFonts w:asciiTheme="minorHAnsi" w:hAnsiTheme="minorHAnsi"/>
          <w:sz w:val="22"/>
          <w:szCs w:val="22"/>
        </w:rPr>
      </w:pPr>
      <w:r w:rsidRPr="001B7EAB">
        <w:rPr>
          <w:rFonts w:asciiTheme="minorHAnsi" w:hAnsiTheme="minorHAnsi"/>
          <w:sz w:val="22"/>
          <w:szCs w:val="22"/>
        </w:rPr>
        <w:t>= (2.3% X Annual Unit Energy Averaged Savings) / Operating Hour by Building Type</w:t>
      </w:r>
    </w:p>
    <w:p w:rsidR="00A9598B" w:rsidRPr="001B7EAB" w:rsidRDefault="00A9598B" w:rsidP="00A9598B">
      <w:pPr>
        <w:rPr>
          <w:rFonts w:asciiTheme="minorHAnsi" w:hAnsiTheme="minorHAnsi"/>
          <w:sz w:val="22"/>
          <w:szCs w:val="22"/>
        </w:rPr>
      </w:pPr>
    </w:p>
    <w:p w:rsidR="00A9598B" w:rsidRDefault="00A9598B" w:rsidP="00A9598B">
      <w:pPr>
        <w:rPr>
          <w:rFonts w:asciiTheme="minorHAnsi" w:hAnsiTheme="minorHAnsi"/>
          <w:sz w:val="22"/>
          <w:szCs w:val="22"/>
        </w:rPr>
      </w:pPr>
      <w:r w:rsidRPr="001B7EAB">
        <w:rPr>
          <w:rFonts w:asciiTheme="minorHAnsi" w:hAnsiTheme="minorHAnsi"/>
          <w:sz w:val="22"/>
          <w:szCs w:val="22"/>
        </w:rPr>
        <w:t>And the values are shown in</w:t>
      </w:r>
      <w:r w:rsidR="008E6544" w:rsidRPr="001B7EAB">
        <w:rPr>
          <w:rFonts w:asciiTheme="minorHAnsi" w:hAnsiTheme="minorHAnsi"/>
          <w:sz w:val="22"/>
          <w:szCs w:val="22"/>
        </w:rPr>
        <w:t xml:space="preserve"> </w:t>
      </w:r>
      <w:r w:rsidR="008E6544" w:rsidRPr="001B7EAB">
        <w:rPr>
          <w:rFonts w:asciiTheme="minorHAnsi" w:hAnsiTheme="minorHAnsi"/>
          <w:sz w:val="22"/>
          <w:szCs w:val="22"/>
        </w:rPr>
        <w:fldChar w:fldCharType="begin"/>
      </w:r>
      <w:r w:rsidR="008E6544" w:rsidRPr="001B7EAB">
        <w:rPr>
          <w:rFonts w:asciiTheme="minorHAnsi" w:hAnsiTheme="minorHAnsi"/>
          <w:sz w:val="22"/>
          <w:szCs w:val="22"/>
        </w:rPr>
        <w:instrText xml:space="preserve"> REF _Ref379291488 \h </w:instrText>
      </w:r>
      <w:r w:rsidR="0045043F" w:rsidRPr="0045043F">
        <w:rPr>
          <w:rFonts w:asciiTheme="minorHAnsi" w:hAnsiTheme="minorHAnsi"/>
          <w:sz w:val="22"/>
          <w:szCs w:val="22"/>
        </w:rPr>
        <w:instrText xml:space="preserve"> \* MERGEFORMAT </w:instrText>
      </w:r>
      <w:r w:rsidR="008E6544" w:rsidRPr="001B7EAB">
        <w:rPr>
          <w:rFonts w:asciiTheme="minorHAnsi" w:hAnsiTheme="minorHAnsi"/>
          <w:sz w:val="22"/>
          <w:szCs w:val="22"/>
        </w:rPr>
      </w:r>
      <w:r w:rsidR="008E6544" w:rsidRPr="001B7EAB">
        <w:rPr>
          <w:rFonts w:asciiTheme="minorHAnsi" w:hAnsiTheme="minorHAnsi"/>
          <w:sz w:val="22"/>
          <w:szCs w:val="22"/>
        </w:rPr>
        <w:fldChar w:fldCharType="separate"/>
      </w:r>
      <w:r w:rsidR="0095321C" w:rsidRPr="00763536">
        <w:rPr>
          <w:rFonts w:asciiTheme="minorHAnsi" w:hAnsiTheme="minorHAnsi" w:cs="Calibri"/>
          <w:sz w:val="22"/>
          <w:szCs w:val="22"/>
        </w:rPr>
        <w:t xml:space="preserve">Table </w:t>
      </w:r>
      <w:r w:rsidR="0095321C" w:rsidRPr="00763536">
        <w:rPr>
          <w:rFonts w:asciiTheme="minorHAnsi" w:hAnsiTheme="minorHAnsi" w:cs="Calibri"/>
          <w:noProof/>
          <w:sz w:val="22"/>
          <w:szCs w:val="22"/>
        </w:rPr>
        <w:t>11</w:t>
      </w:r>
      <w:r w:rsidR="008E6544" w:rsidRPr="001B7EAB">
        <w:rPr>
          <w:rFonts w:asciiTheme="minorHAnsi" w:hAnsiTheme="minorHAnsi"/>
          <w:sz w:val="22"/>
          <w:szCs w:val="22"/>
        </w:rPr>
        <w:fldChar w:fldCharType="end"/>
      </w:r>
      <w:r w:rsidRPr="001B7EAB">
        <w:rPr>
          <w:rFonts w:asciiTheme="minorHAnsi" w:hAnsiTheme="minorHAnsi"/>
          <w:sz w:val="22"/>
          <w:szCs w:val="22"/>
        </w:rPr>
        <w:t>.</w:t>
      </w:r>
      <w:r w:rsidR="00F47CCC" w:rsidRPr="001B7EAB">
        <w:rPr>
          <w:rFonts w:asciiTheme="minorHAnsi" w:hAnsiTheme="minorHAnsi"/>
          <w:sz w:val="22"/>
          <w:szCs w:val="22"/>
        </w:rPr>
        <w:t xml:space="preserve"> </w:t>
      </w:r>
      <w:r w:rsidR="00F47CCC">
        <w:rPr>
          <w:rFonts w:asciiTheme="minorHAnsi" w:hAnsiTheme="minorHAnsi"/>
          <w:sz w:val="22"/>
          <w:szCs w:val="22"/>
        </w:rPr>
        <w:t xml:space="preserve"> The average value of unit energy savings and peak demand reduction have been applied to all 30 building types </w:t>
      </w:r>
      <w:r w:rsidR="00F74603">
        <w:rPr>
          <w:rFonts w:asciiTheme="minorHAnsi" w:hAnsiTheme="minorHAnsi"/>
          <w:sz w:val="22"/>
          <w:szCs w:val="22"/>
        </w:rPr>
        <w:t>in</w:t>
      </w:r>
      <w:r w:rsidR="00F47CCC">
        <w:rPr>
          <w:rFonts w:asciiTheme="minorHAnsi" w:hAnsiTheme="minorHAnsi"/>
          <w:sz w:val="22"/>
          <w:szCs w:val="22"/>
        </w:rPr>
        <w:t xml:space="preserve"> Attachment 1. </w:t>
      </w:r>
    </w:p>
    <w:p w:rsidR="00F502C5" w:rsidRDefault="00F502C5" w:rsidP="00A9598B">
      <w:pPr>
        <w:rPr>
          <w:rFonts w:asciiTheme="minorHAnsi" w:hAnsiTheme="minorHAnsi"/>
          <w:sz w:val="22"/>
          <w:szCs w:val="22"/>
        </w:rPr>
      </w:pPr>
    </w:p>
    <w:p w:rsidR="00A9598B" w:rsidRPr="00BB17FF" w:rsidRDefault="00A9598B" w:rsidP="00A9598B">
      <w:pPr>
        <w:pStyle w:val="Caption"/>
        <w:jc w:val="center"/>
        <w:rPr>
          <w:rFonts w:ascii="Calibri" w:hAnsi="Calibri" w:cs="Calibri"/>
          <w:sz w:val="22"/>
          <w:szCs w:val="22"/>
        </w:rPr>
      </w:pPr>
      <w:bookmarkStart w:id="24" w:name="_Ref379291488"/>
      <w:bookmarkStart w:id="25" w:name="_Ref379291481"/>
      <w:proofErr w:type="gramStart"/>
      <w:r w:rsidRPr="00BB17FF">
        <w:rPr>
          <w:rFonts w:ascii="Calibri" w:hAnsi="Calibri" w:cs="Calibri"/>
          <w:sz w:val="22"/>
          <w:szCs w:val="22"/>
        </w:rPr>
        <w:t xml:space="preserve">Table </w:t>
      </w:r>
      <w:r w:rsidRPr="00BB17FF">
        <w:rPr>
          <w:rFonts w:ascii="Calibri" w:hAnsi="Calibri" w:cs="Calibri"/>
          <w:sz w:val="22"/>
          <w:szCs w:val="22"/>
        </w:rPr>
        <w:fldChar w:fldCharType="begin"/>
      </w:r>
      <w:r w:rsidRPr="00BB17FF">
        <w:rPr>
          <w:rFonts w:ascii="Calibri" w:hAnsi="Calibri" w:cs="Calibri"/>
          <w:sz w:val="22"/>
          <w:szCs w:val="22"/>
        </w:rPr>
        <w:instrText xml:space="preserve"> SEQ Table \* ARABIC </w:instrText>
      </w:r>
      <w:r w:rsidRPr="00BB17FF">
        <w:rPr>
          <w:rFonts w:ascii="Calibri" w:hAnsi="Calibri" w:cs="Calibri"/>
          <w:sz w:val="22"/>
          <w:szCs w:val="22"/>
        </w:rPr>
        <w:fldChar w:fldCharType="separate"/>
      </w:r>
      <w:r w:rsidR="0095321C">
        <w:rPr>
          <w:rFonts w:ascii="Calibri" w:hAnsi="Calibri" w:cs="Calibri"/>
          <w:noProof/>
          <w:sz w:val="22"/>
          <w:szCs w:val="22"/>
        </w:rPr>
        <w:t>11</w:t>
      </w:r>
      <w:r w:rsidRPr="00BB17FF">
        <w:rPr>
          <w:rFonts w:ascii="Calibri" w:hAnsi="Calibri" w:cs="Calibri"/>
          <w:sz w:val="22"/>
          <w:szCs w:val="22"/>
        </w:rPr>
        <w:fldChar w:fldCharType="end"/>
      </w:r>
      <w:bookmarkEnd w:id="24"/>
      <w:r w:rsidRPr="00BB17FF">
        <w:rPr>
          <w:rFonts w:ascii="Calibri" w:hAnsi="Calibri" w:cs="Calibri"/>
          <w:b w:val="0"/>
          <w:sz w:val="22"/>
          <w:szCs w:val="22"/>
        </w:rPr>
        <w:t>.</w:t>
      </w:r>
      <w:proofErr w:type="gramEnd"/>
      <w:r w:rsidRPr="00BB17FF">
        <w:rPr>
          <w:rFonts w:ascii="Calibri" w:hAnsi="Calibri" w:cs="Calibri"/>
          <w:sz w:val="22"/>
          <w:szCs w:val="22"/>
        </w:rPr>
        <w:t xml:space="preserve"> Peak Demand Reduction per Networked Compute</w:t>
      </w:r>
      <w:r w:rsidR="00EC5693" w:rsidRPr="00BB17FF">
        <w:rPr>
          <w:rFonts w:ascii="Calibri" w:hAnsi="Calibri" w:cs="Calibri"/>
          <w:sz w:val="22"/>
          <w:szCs w:val="22"/>
        </w:rPr>
        <w:t>r</w:t>
      </w:r>
      <w:bookmarkEnd w:id="25"/>
    </w:p>
    <w:tbl>
      <w:tblPr>
        <w:tblStyle w:val="TableContemporary"/>
        <w:tblW w:w="4999" w:type="pct"/>
        <w:tblLook w:val="01E0" w:firstRow="1" w:lastRow="1" w:firstColumn="1" w:lastColumn="1" w:noHBand="0" w:noVBand="0"/>
      </w:tblPr>
      <w:tblGrid>
        <w:gridCol w:w="2356"/>
        <w:gridCol w:w="2736"/>
        <w:gridCol w:w="2242"/>
        <w:gridCol w:w="2240"/>
      </w:tblGrid>
      <w:tr w:rsidR="00C30E6C" w:rsidRPr="00521841" w:rsidTr="00620C86">
        <w:trPr>
          <w:cnfStyle w:val="100000000000" w:firstRow="1" w:lastRow="0" w:firstColumn="0" w:lastColumn="0" w:oddVBand="0" w:evenVBand="0" w:oddHBand="0" w:evenHBand="0" w:firstRowFirstColumn="0" w:firstRowLastColumn="0" w:lastRowFirstColumn="0" w:lastRowLastColumn="0"/>
          <w:trHeight w:val="531"/>
        </w:trPr>
        <w:tc>
          <w:tcPr>
            <w:tcW w:w="1230" w:type="pct"/>
          </w:tcPr>
          <w:p w:rsidR="00C30E6C" w:rsidRPr="001B7EAB" w:rsidRDefault="00C30E6C" w:rsidP="00D84023">
            <w:pPr>
              <w:keepNext/>
              <w:keepLines/>
              <w:jc w:val="center"/>
              <w:rPr>
                <w:rFonts w:ascii="Calibri" w:hAnsi="Calibri" w:cs="Calibri"/>
                <w:bCs w:val="0"/>
                <w:sz w:val="20"/>
                <w:szCs w:val="20"/>
              </w:rPr>
            </w:pPr>
            <w:r w:rsidRPr="0045043F">
              <w:rPr>
                <w:rFonts w:ascii="Calibri" w:hAnsi="Calibri" w:cs="Calibri"/>
                <w:sz w:val="20"/>
                <w:szCs w:val="20"/>
              </w:rPr>
              <w:t>Building Type</w:t>
            </w:r>
          </w:p>
        </w:tc>
        <w:tc>
          <w:tcPr>
            <w:tcW w:w="1429" w:type="pct"/>
          </w:tcPr>
          <w:p w:rsidR="00C30E6C" w:rsidRPr="00C30E6C" w:rsidRDefault="00C30E6C" w:rsidP="00D84023">
            <w:pPr>
              <w:keepNext/>
              <w:keepLines/>
              <w:jc w:val="center"/>
              <w:rPr>
                <w:rFonts w:ascii="Calibri" w:hAnsi="Calibri" w:cs="Calibri"/>
                <w:sz w:val="20"/>
                <w:szCs w:val="20"/>
              </w:rPr>
            </w:pPr>
            <w:r w:rsidRPr="00620C86">
              <w:rPr>
                <w:rFonts w:ascii="Calibri" w:hAnsi="Calibri" w:cs="Calibri"/>
                <w:sz w:val="20"/>
                <w:szCs w:val="20"/>
              </w:rPr>
              <w:t>Unit Energy Savings (kWh/year)</w:t>
            </w:r>
          </w:p>
        </w:tc>
        <w:tc>
          <w:tcPr>
            <w:tcW w:w="1171" w:type="pct"/>
          </w:tcPr>
          <w:p w:rsidR="00C30E6C" w:rsidRPr="001B7EAB" w:rsidRDefault="00C30E6C" w:rsidP="00D84023">
            <w:pPr>
              <w:keepNext/>
              <w:keepLines/>
              <w:jc w:val="center"/>
              <w:rPr>
                <w:rFonts w:ascii="Calibri" w:hAnsi="Calibri" w:cs="Calibri"/>
                <w:bCs w:val="0"/>
                <w:sz w:val="20"/>
                <w:szCs w:val="20"/>
              </w:rPr>
            </w:pPr>
            <w:r w:rsidRPr="0045043F">
              <w:rPr>
                <w:rFonts w:ascii="Calibri" w:hAnsi="Calibri" w:cs="Calibri"/>
                <w:sz w:val="20"/>
                <w:szCs w:val="20"/>
              </w:rPr>
              <w:t>Annual Operating Hours</w:t>
            </w:r>
          </w:p>
        </w:tc>
        <w:tc>
          <w:tcPr>
            <w:tcW w:w="1170" w:type="pct"/>
          </w:tcPr>
          <w:p w:rsidR="00C30E6C" w:rsidRPr="001B7EAB" w:rsidRDefault="00C30E6C" w:rsidP="00D84023">
            <w:pPr>
              <w:keepNext/>
              <w:keepLines/>
              <w:jc w:val="center"/>
              <w:rPr>
                <w:rFonts w:ascii="Calibri" w:hAnsi="Calibri" w:cs="Calibri"/>
                <w:bCs w:val="0"/>
                <w:sz w:val="20"/>
                <w:szCs w:val="20"/>
              </w:rPr>
            </w:pPr>
            <w:r w:rsidRPr="0045043F">
              <w:rPr>
                <w:rFonts w:ascii="Calibri" w:hAnsi="Calibri" w:cs="Calibri"/>
                <w:sz w:val="20"/>
                <w:szCs w:val="20"/>
              </w:rPr>
              <w:t>Peak Demand Reduction (kW)</w:t>
            </w:r>
          </w:p>
        </w:tc>
      </w:tr>
      <w:tr w:rsidR="00C30E6C" w:rsidRPr="00521841" w:rsidTr="00620C86">
        <w:trPr>
          <w:cnfStyle w:val="000000100000" w:firstRow="0" w:lastRow="0" w:firstColumn="0" w:lastColumn="0" w:oddVBand="0" w:evenVBand="0" w:oddHBand="1" w:evenHBand="0" w:firstRowFirstColumn="0" w:firstRowLastColumn="0" w:lastRowFirstColumn="0" w:lastRowLastColumn="0"/>
        </w:trPr>
        <w:tc>
          <w:tcPr>
            <w:tcW w:w="1230" w:type="pct"/>
          </w:tcPr>
          <w:p w:rsidR="00C30E6C" w:rsidRPr="00521841" w:rsidRDefault="00C30E6C" w:rsidP="00D84023">
            <w:pPr>
              <w:keepNext/>
              <w:keepLines/>
              <w:rPr>
                <w:rFonts w:ascii="Calibri" w:hAnsi="Calibri" w:cs="Calibri"/>
                <w:sz w:val="20"/>
                <w:szCs w:val="20"/>
              </w:rPr>
            </w:pPr>
            <w:r w:rsidRPr="00521841">
              <w:rPr>
                <w:rFonts w:ascii="Calibri" w:hAnsi="Calibri" w:cs="Calibri"/>
                <w:sz w:val="20"/>
                <w:szCs w:val="20"/>
              </w:rPr>
              <w:t>Offices</w:t>
            </w:r>
          </w:p>
        </w:tc>
        <w:tc>
          <w:tcPr>
            <w:tcW w:w="1429" w:type="pct"/>
          </w:tcPr>
          <w:p w:rsidR="00C30E6C" w:rsidRPr="00C30E6C" w:rsidRDefault="00C30E6C" w:rsidP="00C30E6C">
            <w:pPr>
              <w:jc w:val="center"/>
              <w:rPr>
                <w:rFonts w:asciiTheme="minorHAnsi" w:hAnsiTheme="minorHAnsi" w:cstheme="minorHAnsi"/>
                <w:sz w:val="20"/>
                <w:szCs w:val="20"/>
              </w:rPr>
            </w:pPr>
            <w:r w:rsidRPr="00620C86">
              <w:rPr>
                <w:rFonts w:asciiTheme="minorHAnsi" w:hAnsiTheme="minorHAnsi" w:cstheme="minorHAnsi"/>
                <w:sz w:val="20"/>
                <w:szCs w:val="20"/>
              </w:rPr>
              <w:t>111.96</w:t>
            </w:r>
          </w:p>
        </w:tc>
        <w:tc>
          <w:tcPr>
            <w:tcW w:w="1171" w:type="pct"/>
          </w:tcPr>
          <w:p w:rsidR="00C30E6C" w:rsidRPr="005818A7" w:rsidRDefault="00C30E6C" w:rsidP="005818A7">
            <w:pPr>
              <w:jc w:val="center"/>
              <w:rPr>
                <w:rFonts w:asciiTheme="minorHAnsi" w:hAnsiTheme="minorHAnsi" w:cstheme="minorHAnsi"/>
                <w:sz w:val="20"/>
                <w:szCs w:val="20"/>
              </w:rPr>
            </w:pPr>
            <w:r w:rsidRPr="005818A7">
              <w:rPr>
                <w:rFonts w:asciiTheme="minorHAnsi" w:hAnsiTheme="minorHAnsi" w:cstheme="minorHAnsi"/>
                <w:sz w:val="20"/>
                <w:szCs w:val="20"/>
              </w:rPr>
              <w:t>2640</w:t>
            </w:r>
          </w:p>
        </w:tc>
        <w:tc>
          <w:tcPr>
            <w:tcW w:w="1170" w:type="pct"/>
            <w:vAlign w:val="bottom"/>
          </w:tcPr>
          <w:p w:rsidR="00C30E6C" w:rsidRPr="005818A7" w:rsidRDefault="00C30E6C" w:rsidP="005818A7">
            <w:pPr>
              <w:jc w:val="center"/>
              <w:rPr>
                <w:rFonts w:asciiTheme="minorHAnsi" w:hAnsiTheme="minorHAnsi" w:cstheme="minorHAnsi"/>
                <w:sz w:val="20"/>
                <w:szCs w:val="20"/>
              </w:rPr>
            </w:pPr>
            <w:r w:rsidRPr="00620C86">
              <w:rPr>
                <w:rFonts w:asciiTheme="minorHAnsi" w:hAnsiTheme="minorHAnsi" w:cstheme="minorHAnsi"/>
                <w:sz w:val="20"/>
                <w:szCs w:val="20"/>
              </w:rPr>
              <w:t>0.000975</w:t>
            </w:r>
          </w:p>
        </w:tc>
      </w:tr>
      <w:tr w:rsidR="00C30E6C" w:rsidRPr="00521841" w:rsidTr="00620C86">
        <w:trPr>
          <w:cnfStyle w:val="000000010000" w:firstRow="0" w:lastRow="0" w:firstColumn="0" w:lastColumn="0" w:oddVBand="0" w:evenVBand="0" w:oddHBand="0" w:evenHBand="1" w:firstRowFirstColumn="0" w:firstRowLastColumn="0" w:lastRowFirstColumn="0" w:lastRowLastColumn="0"/>
        </w:trPr>
        <w:tc>
          <w:tcPr>
            <w:tcW w:w="1230" w:type="pct"/>
          </w:tcPr>
          <w:p w:rsidR="00C30E6C" w:rsidRPr="00521841" w:rsidRDefault="00C30E6C" w:rsidP="00D84023">
            <w:pPr>
              <w:keepNext/>
              <w:keepLines/>
              <w:rPr>
                <w:rFonts w:ascii="Calibri" w:hAnsi="Calibri" w:cs="Calibri"/>
                <w:sz w:val="20"/>
                <w:szCs w:val="20"/>
              </w:rPr>
            </w:pPr>
            <w:r w:rsidRPr="00521841">
              <w:rPr>
                <w:rFonts w:ascii="Calibri" w:hAnsi="Calibri" w:cs="Calibri"/>
                <w:sz w:val="20"/>
                <w:szCs w:val="20"/>
              </w:rPr>
              <w:t>K-12 Schools</w:t>
            </w:r>
          </w:p>
        </w:tc>
        <w:tc>
          <w:tcPr>
            <w:tcW w:w="1429" w:type="pct"/>
          </w:tcPr>
          <w:p w:rsidR="00C30E6C" w:rsidRPr="00C30E6C" w:rsidRDefault="00C30E6C" w:rsidP="00C30E6C">
            <w:pPr>
              <w:jc w:val="center"/>
              <w:rPr>
                <w:rFonts w:asciiTheme="minorHAnsi" w:hAnsiTheme="minorHAnsi" w:cstheme="minorHAnsi"/>
                <w:sz w:val="20"/>
                <w:szCs w:val="20"/>
              </w:rPr>
            </w:pPr>
            <w:r w:rsidRPr="00620C86">
              <w:rPr>
                <w:rFonts w:asciiTheme="minorHAnsi" w:hAnsiTheme="minorHAnsi" w:cstheme="minorHAnsi"/>
                <w:sz w:val="20"/>
                <w:szCs w:val="20"/>
              </w:rPr>
              <w:t>114.75</w:t>
            </w:r>
          </w:p>
        </w:tc>
        <w:tc>
          <w:tcPr>
            <w:tcW w:w="1171" w:type="pct"/>
          </w:tcPr>
          <w:p w:rsidR="00C30E6C" w:rsidRPr="005818A7" w:rsidRDefault="00C30E6C" w:rsidP="005818A7">
            <w:pPr>
              <w:jc w:val="center"/>
              <w:rPr>
                <w:rFonts w:asciiTheme="minorHAnsi" w:hAnsiTheme="minorHAnsi" w:cstheme="minorHAnsi"/>
                <w:sz w:val="20"/>
                <w:szCs w:val="20"/>
              </w:rPr>
            </w:pPr>
            <w:r w:rsidRPr="005818A7">
              <w:rPr>
                <w:rFonts w:asciiTheme="minorHAnsi" w:hAnsiTheme="minorHAnsi" w:cstheme="minorHAnsi"/>
                <w:sz w:val="20"/>
                <w:szCs w:val="20"/>
              </w:rPr>
              <w:t>2140</w:t>
            </w:r>
          </w:p>
        </w:tc>
        <w:tc>
          <w:tcPr>
            <w:tcW w:w="1170" w:type="pct"/>
            <w:vAlign w:val="bottom"/>
          </w:tcPr>
          <w:p w:rsidR="00C30E6C" w:rsidRPr="005818A7" w:rsidRDefault="00C30E6C" w:rsidP="005818A7">
            <w:pPr>
              <w:jc w:val="center"/>
              <w:rPr>
                <w:rFonts w:asciiTheme="minorHAnsi" w:hAnsiTheme="minorHAnsi" w:cstheme="minorHAnsi"/>
                <w:sz w:val="20"/>
                <w:szCs w:val="20"/>
              </w:rPr>
            </w:pPr>
            <w:r w:rsidRPr="00620C86">
              <w:rPr>
                <w:rFonts w:asciiTheme="minorHAnsi" w:hAnsiTheme="minorHAnsi" w:cstheme="minorHAnsi"/>
                <w:sz w:val="20"/>
                <w:szCs w:val="20"/>
              </w:rPr>
              <w:t>0.001233</w:t>
            </w:r>
          </w:p>
        </w:tc>
      </w:tr>
      <w:tr w:rsidR="00C30E6C" w:rsidRPr="00521841" w:rsidTr="00C30E6C">
        <w:trPr>
          <w:cnfStyle w:val="000000100000" w:firstRow="0" w:lastRow="0" w:firstColumn="0" w:lastColumn="0" w:oddVBand="0" w:evenVBand="0" w:oddHBand="1" w:evenHBand="0" w:firstRowFirstColumn="0" w:firstRowLastColumn="0" w:lastRowFirstColumn="0" w:lastRowLastColumn="0"/>
        </w:trPr>
        <w:tc>
          <w:tcPr>
            <w:tcW w:w="1230" w:type="pct"/>
          </w:tcPr>
          <w:p w:rsidR="00C30E6C" w:rsidRPr="004A6116" w:rsidRDefault="00C30E6C" w:rsidP="00F74603">
            <w:pPr>
              <w:keepNext/>
              <w:keepLines/>
              <w:rPr>
                <w:rFonts w:ascii="Calibri" w:hAnsi="Calibri" w:cs="Calibri"/>
                <w:sz w:val="20"/>
                <w:szCs w:val="20"/>
              </w:rPr>
            </w:pPr>
            <w:r>
              <w:rPr>
                <w:rFonts w:ascii="Calibri" w:hAnsi="Calibri" w:cs="Calibri"/>
                <w:sz w:val="20"/>
                <w:szCs w:val="20"/>
              </w:rPr>
              <w:t>College</w:t>
            </w:r>
          </w:p>
        </w:tc>
        <w:tc>
          <w:tcPr>
            <w:tcW w:w="1429" w:type="pct"/>
          </w:tcPr>
          <w:p w:rsidR="00C30E6C" w:rsidRPr="00F47CCC" w:rsidRDefault="00C30E6C" w:rsidP="00C30E6C">
            <w:pPr>
              <w:jc w:val="center"/>
              <w:rPr>
                <w:rFonts w:asciiTheme="minorHAnsi" w:hAnsiTheme="minorHAnsi" w:cstheme="minorHAnsi"/>
                <w:sz w:val="20"/>
                <w:szCs w:val="20"/>
              </w:rPr>
            </w:pPr>
            <w:r>
              <w:rPr>
                <w:rFonts w:asciiTheme="minorHAnsi" w:hAnsiTheme="minorHAnsi" w:cstheme="minorHAnsi"/>
                <w:sz w:val="20"/>
                <w:szCs w:val="20"/>
              </w:rPr>
              <w:t>135.3</w:t>
            </w:r>
            <w:r w:rsidR="00810462">
              <w:rPr>
                <w:rFonts w:asciiTheme="minorHAnsi" w:hAnsiTheme="minorHAnsi" w:cstheme="minorHAnsi"/>
                <w:sz w:val="20"/>
                <w:szCs w:val="20"/>
              </w:rPr>
              <w:t>0</w:t>
            </w:r>
          </w:p>
        </w:tc>
        <w:tc>
          <w:tcPr>
            <w:tcW w:w="1171" w:type="pct"/>
          </w:tcPr>
          <w:p w:rsidR="00C30E6C" w:rsidRPr="005818A7" w:rsidRDefault="00810462" w:rsidP="005818A7">
            <w:pPr>
              <w:jc w:val="center"/>
              <w:rPr>
                <w:rFonts w:asciiTheme="minorHAnsi" w:hAnsiTheme="minorHAnsi" w:cstheme="minorHAnsi"/>
                <w:sz w:val="20"/>
                <w:szCs w:val="20"/>
              </w:rPr>
            </w:pPr>
            <w:r>
              <w:rPr>
                <w:rFonts w:asciiTheme="minorHAnsi" w:hAnsiTheme="minorHAnsi" w:cstheme="minorHAnsi"/>
                <w:sz w:val="20"/>
                <w:szCs w:val="20"/>
              </w:rPr>
              <w:t xml:space="preserve"> </w:t>
            </w:r>
            <w:r w:rsidR="003B4739">
              <w:rPr>
                <w:rFonts w:asciiTheme="minorHAnsi" w:hAnsiTheme="minorHAnsi" w:cstheme="minorHAnsi"/>
                <w:sz w:val="20"/>
                <w:szCs w:val="20"/>
              </w:rPr>
              <w:t>2285</w:t>
            </w:r>
            <w:r w:rsidR="003B4739" w:rsidRPr="00620C86">
              <w:rPr>
                <w:rStyle w:val="FootnoteReference"/>
                <w:rFonts w:asciiTheme="minorHAnsi" w:hAnsiTheme="minorHAnsi" w:cstheme="minorHAnsi"/>
                <w:sz w:val="18"/>
                <w:szCs w:val="20"/>
              </w:rPr>
              <w:footnoteReference w:id="1"/>
            </w:r>
          </w:p>
        </w:tc>
        <w:tc>
          <w:tcPr>
            <w:tcW w:w="1170" w:type="pct"/>
            <w:vAlign w:val="bottom"/>
          </w:tcPr>
          <w:p w:rsidR="00C30E6C" w:rsidRPr="00F47CCC" w:rsidRDefault="00810462" w:rsidP="005818A7">
            <w:pPr>
              <w:jc w:val="center"/>
              <w:rPr>
                <w:rFonts w:asciiTheme="minorHAnsi" w:hAnsiTheme="minorHAnsi" w:cstheme="minorHAnsi"/>
                <w:sz w:val="20"/>
                <w:szCs w:val="20"/>
              </w:rPr>
            </w:pPr>
            <w:r>
              <w:rPr>
                <w:rFonts w:asciiTheme="minorHAnsi" w:hAnsiTheme="minorHAnsi" w:cstheme="minorHAnsi"/>
                <w:sz w:val="20"/>
                <w:szCs w:val="20"/>
              </w:rPr>
              <w:t>0.001362</w:t>
            </w:r>
          </w:p>
        </w:tc>
      </w:tr>
      <w:tr w:rsidR="00C30E6C" w:rsidRPr="00521841" w:rsidTr="00620C86">
        <w:trPr>
          <w:cnfStyle w:val="000000010000" w:firstRow="0" w:lastRow="0" w:firstColumn="0" w:lastColumn="0" w:oddVBand="0" w:evenVBand="0" w:oddHBand="0" w:evenHBand="1" w:firstRowFirstColumn="0" w:firstRowLastColumn="0" w:lastRowFirstColumn="0" w:lastRowLastColumn="0"/>
        </w:trPr>
        <w:tc>
          <w:tcPr>
            <w:tcW w:w="1230" w:type="pct"/>
          </w:tcPr>
          <w:p w:rsidR="00C30E6C" w:rsidRPr="004A6116" w:rsidRDefault="00C30E6C" w:rsidP="00D84023">
            <w:pPr>
              <w:keepNext/>
              <w:keepLines/>
              <w:rPr>
                <w:rFonts w:ascii="Calibri" w:hAnsi="Calibri" w:cs="Calibri"/>
                <w:sz w:val="20"/>
                <w:szCs w:val="20"/>
              </w:rPr>
            </w:pPr>
            <w:r w:rsidRPr="004A6116">
              <w:rPr>
                <w:rFonts w:ascii="Calibri" w:hAnsi="Calibri" w:cs="Calibri"/>
                <w:sz w:val="20"/>
                <w:szCs w:val="20"/>
              </w:rPr>
              <w:t>Misc. Commercial</w:t>
            </w:r>
          </w:p>
        </w:tc>
        <w:tc>
          <w:tcPr>
            <w:tcW w:w="1429" w:type="pct"/>
          </w:tcPr>
          <w:p w:rsidR="00C30E6C" w:rsidRPr="00C30E6C" w:rsidRDefault="00C30E6C" w:rsidP="00C30E6C">
            <w:pPr>
              <w:jc w:val="center"/>
              <w:rPr>
                <w:rFonts w:asciiTheme="minorHAnsi" w:hAnsiTheme="minorHAnsi" w:cstheme="minorHAnsi"/>
                <w:sz w:val="20"/>
                <w:szCs w:val="20"/>
              </w:rPr>
            </w:pPr>
            <w:r w:rsidRPr="00620C86">
              <w:rPr>
                <w:rFonts w:asciiTheme="minorHAnsi" w:hAnsiTheme="minorHAnsi" w:cstheme="minorHAnsi"/>
                <w:sz w:val="20"/>
                <w:szCs w:val="20"/>
              </w:rPr>
              <w:t>108.90</w:t>
            </w:r>
          </w:p>
        </w:tc>
        <w:tc>
          <w:tcPr>
            <w:tcW w:w="1171" w:type="pct"/>
          </w:tcPr>
          <w:p w:rsidR="00C30E6C" w:rsidRPr="005818A7" w:rsidRDefault="00C30E6C" w:rsidP="005818A7">
            <w:pPr>
              <w:jc w:val="center"/>
              <w:rPr>
                <w:rFonts w:asciiTheme="minorHAnsi" w:hAnsiTheme="minorHAnsi" w:cstheme="minorHAnsi"/>
                <w:sz w:val="20"/>
                <w:szCs w:val="20"/>
              </w:rPr>
            </w:pPr>
            <w:r w:rsidRPr="005818A7">
              <w:rPr>
                <w:rFonts w:asciiTheme="minorHAnsi" w:hAnsiTheme="minorHAnsi" w:cstheme="minorHAnsi"/>
                <w:sz w:val="20"/>
                <w:szCs w:val="20"/>
              </w:rPr>
              <w:t>3600</w:t>
            </w:r>
          </w:p>
        </w:tc>
        <w:tc>
          <w:tcPr>
            <w:tcW w:w="1170" w:type="pct"/>
            <w:vAlign w:val="bottom"/>
          </w:tcPr>
          <w:p w:rsidR="00C30E6C" w:rsidRPr="005818A7" w:rsidRDefault="00C30E6C" w:rsidP="005818A7">
            <w:pPr>
              <w:jc w:val="center"/>
              <w:rPr>
                <w:rFonts w:asciiTheme="minorHAnsi" w:hAnsiTheme="minorHAnsi" w:cstheme="minorHAnsi"/>
                <w:sz w:val="20"/>
                <w:szCs w:val="20"/>
              </w:rPr>
            </w:pPr>
            <w:r w:rsidRPr="00620C86">
              <w:rPr>
                <w:rFonts w:asciiTheme="minorHAnsi" w:hAnsiTheme="minorHAnsi" w:cstheme="minorHAnsi"/>
                <w:sz w:val="20"/>
                <w:szCs w:val="20"/>
              </w:rPr>
              <w:t>0.000696</w:t>
            </w:r>
          </w:p>
        </w:tc>
      </w:tr>
      <w:tr w:rsidR="00C30E6C" w:rsidRPr="00521841" w:rsidTr="00620C86">
        <w:trPr>
          <w:cnfStyle w:val="000000100000" w:firstRow="0" w:lastRow="0" w:firstColumn="0" w:lastColumn="0" w:oddVBand="0" w:evenVBand="0" w:oddHBand="1" w:evenHBand="0" w:firstRowFirstColumn="0" w:firstRowLastColumn="0" w:lastRowFirstColumn="0" w:lastRowLastColumn="0"/>
        </w:trPr>
        <w:tc>
          <w:tcPr>
            <w:tcW w:w="1230" w:type="pct"/>
          </w:tcPr>
          <w:p w:rsidR="00C30E6C" w:rsidRPr="004A6116" w:rsidRDefault="00C30E6C" w:rsidP="00D84023">
            <w:pPr>
              <w:keepNext/>
              <w:keepLines/>
              <w:rPr>
                <w:rFonts w:ascii="Calibri" w:hAnsi="Calibri" w:cs="Calibri"/>
                <w:sz w:val="20"/>
                <w:szCs w:val="20"/>
              </w:rPr>
            </w:pPr>
            <w:r>
              <w:rPr>
                <w:rFonts w:ascii="Calibri" w:hAnsi="Calibri" w:cs="Calibri"/>
                <w:sz w:val="20"/>
                <w:szCs w:val="20"/>
              </w:rPr>
              <w:t>Average</w:t>
            </w:r>
          </w:p>
        </w:tc>
        <w:tc>
          <w:tcPr>
            <w:tcW w:w="1429" w:type="pct"/>
          </w:tcPr>
          <w:p w:rsidR="00C30E6C" w:rsidRPr="00C30E6C" w:rsidRDefault="00C30E6C" w:rsidP="00C30E6C">
            <w:pPr>
              <w:jc w:val="center"/>
              <w:rPr>
                <w:rFonts w:asciiTheme="minorHAnsi" w:hAnsiTheme="minorHAnsi" w:cstheme="minorHAnsi"/>
                <w:sz w:val="20"/>
                <w:szCs w:val="20"/>
              </w:rPr>
            </w:pPr>
            <w:r>
              <w:rPr>
                <w:rFonts w:asciiTheme="minorHAnsi" w:hAnsiTheme="minorHAnsi" w:cstheme="minorHAnsi"/>
                <w:sz w:val="20"/>
                <w:szCs w:val="20"/>
              </w:rPr>
              <w:t>117.73</w:t>
            </w:r>
          </w:p>
        </w:tc>
        <w:tc>
          <w:tcPr>
            <w:tcW w:w="1171" w:type="pct"/>
          </w:tcPr>
          <w:p w:rsidR="00C30E6C" w:rsidRPr="005818A7" w:rsidRDefault="00C30E6C" w:rsidP="005818A7">
            <w:pPr>
              <w:jc w:val="center"/>
              <w:rPr>
                <w:rFonts w:asciiTheme="minorHAnsi" w:hAnsiTheme="minorHAnsi" w:cstheme="minorHAnsi"/>
                <w:sz w:val="20"/>
                <w:szCs w:val="20"/>
              </w:rPr>
            </w:pPr>
          </w:p>
        </w:tc>
        <w:tc>
          <w:tcPr>
            <w:tcW w:w="1170" w:type="pct"/>
            <w:vAlign w:val="bottom"/>
          </w:tcPr>
          <w:p w:rsidR="00C30E6C" w:rsidRPr="005818A7" w:rsidRDefault="00810462" w:rsidP="005818A7">
            <w:pPr>
              <w:jc w:val="center"/>
              <w:rPr>
                <w:rFonts w:asciiTheme="minorHAnsi" w:hAnsiTheme="minorHAnsi" w:cstheme="minorHAnsi"/>
                <w:sz w:val="20"/>
                <w:szCs w:val="20"/>
              </w:rPr>
            </w:pPr>
            <w:r>
              <w:rPr>
                <w:rFonts w:asciiTheme="minorHAnsi" w:hAnsiTheme="minorHAnsi" w:cstheme="minorHAnsi"/>
                <w:sz w:val="20"/>
                <w:szCs w:val="20"/>
              </w:rPr>
              <w:t>0.001067</w:t>
            </w:r>
          </w:p>
        </w:tc>
      </w:tr>
    </w:tbl>
    <w:p w:rsidR="00EC5693" w:rsidRDefault="00EC5693" w:rsidP="00E16609">
      <w:pPr>
        <w:pStyle w:val="Heading1"/>
        <w:keepNext w:val="0"/>
        <w:rPr>
          <w:rFonts w:asciiTheme="minorHAnsi" w:hAnsiTheme="minorHAnsi" w:cstheme="minorHAnsi"/>
        </w:rPr>
      </w:pPr>
      <w:bookmarkStart w:id="26" w:name="_Toc214003093"/>
    </w:p>
    <w:p w:rsidR="00E16609" w:rsidRPr="00697868" w:rsidRDefault="00E16609" w:rsidP="00E16609">
      <w:pPr>
        <w:pStyle w:val="Heading1"/>
        <w:keepNext w:val="0"/>
        <w:rPr>
          <w:rFonts w:asciiTheme="minorHAnsi" w:hAnsiTheme="minorHAnsi" w:cstheme="minorHAnsi"/>
        </w:rPr>
      </w:pPr>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26"/>
      <w:r w:rsidRPr="00697868">
        <w:rPr>
          <w:rFonts w:asciiTheme="minorHAnsi" w:hAnsiTheme="minorHAnsi" w:cstheme="minorHAnsi"/>
        </w:rPr>
        <w:t>s</w:t>
      </w:r>
    </w:p>
    <w:p w:rsidR="00E16609" w:rsidRPr="00697868" w:rsidRDefault="00E16609">
      <w:pPr>
        <w:rPr>
          <w:rFonts w:asciiTheme="minorHAnsi" w:hAnsiTheme="minorHAnsi" w:cstheme="minorHAnsi"/>
          <w:sz w:val="22"/>
          <w:szCs w:val="22"/>
        </w:rPr>
      </w:pPr>
      <w:r w:rsidRPr="0069786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for this measure is the </w:t>
      </w:r>
      <w:r w:rsidR="009E3946">
        <w:rPr>
          <w:rFonts w:asciiTheme="minorHAnsi" w:hAnsiTheme="minorHAnsi" w:cstheme="minorHAnsi"/>
          <w:sz w:val="22"/>
          <w:szCs w:val="22"/>
        </w:rPr>
        <w:t>Occupancy Sensor</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load shape.  See </w:t>
      </w:r>
      <w:r w:rsidR="00DA6AC3">
        <w:rPr>
          <w:rFonts w:asciiTheme="minorHAnsi" w:hAnsiTheme="minorHAnsi" w:cstheme="minorHAnsi"/>
          <w:sz w:val="22"/>
          <w:szCs w:val="22"/>
        </w:rPr>
        <w:fldChar w:fldCharType="begin"/>
      </w:r>
      <w:r w:rsidR="00DA6AC3">
        <w:rPr>
          <w:rFonts w:asciiTheme="minorHAnsi" w:hAnsiTheme="minorHAnsi" w:cstheme="minorHAnsi"/>
          <w:sz w:val="22"/>
          <w:szCs w:val="22"/>
        </w:rPr>
        <w:instrText xml:space="preserve"> REF _Ref390257284 \h </w:instrText>
      </w:r>
      <w:r w:rsidR="00DA6AC3">
        <w:rPr>
          <w:rFonts w:asciiTheme="minorHAnsi" w:hAnsiTheme="minorHAnsi" w:cstheme="minorHAnsi"/>
          <w:sz w:val="22"/>
          <w:szCs w:val="22"/>
        </w:rPr>
      </w:r>
      <w:r w:rsidR="00DA6AC3">
        <w:rPr>
          <w:rFonts w:asciiTheme="minorHAnsi" w:hAnsiTheme="minorHAnsi" w:cstheme="minorHAnsi"/>
          <w:sz w:val="22"/>
          <w:szCs w:val="22"/>
        </w:rPr>
        <w:fldChar w:fldCharType="separate"/>
      </w:r>
      <w:r w:rsidR="0095321C" w:rsidRPr="00697868">
        <w:rPr>
          <w:rFonts w:asciiTheme="minorHAnsi" w:hAnsiTheme="minorHAnsi" w:cstheme="minorHAnsi"/>
          <w:sz w:val="22"/>
          <w:szCs w:val="22"/>
        </w:rPr>
        <w:t xml:space="preserve">Table </w:t>
      </w:r>
      <w:r w:rsidR="0095321C">
        <w:rPr>
          <w:rFonts w:asciiTheme="minorHAnsi" w:hAnsiTheme="minorHAnsi" w:cstheme="minorHAnsi"/>
          <w:noProof/>
          <w:sz w:val="22"/>
          <w:szCs w:val="22"/>
        </w:rPr>
        <w:t>12</w:t>
      </w:r>
      <w:r w:rsidR="00DA6AC3">
        <w:rPr>
          <w:rFonts w:asciiTheme="minorHAnsi" w:hAnsiTheme="minorHAnsi" w:cstheme="minorHAnsi"/>
          <w:sz w:val="22"/>
          <w:szCs w:val="22"/>
        </w:rPr>
        <w:fldChar w:fldCharType="end"/>
      </w:r>
      <w:r w:rsidR="00DA6AC3">
        <w:rPr>
          <w:rFonts w:asciiTheme="minorHAnsi" w:hAnsiTheme="minorHAnsi" w:cstheme="minorHAnsi"/>
          <w:sz w:val="22"/>
          <w:szCs w:val="22"/>
        </w:rPr>
        <w:t xml:space="preserve"> </w:t>
      </w:r>
      <w:r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60589D" w:rsidRDefault="0060589D" w:rsidP="003F0623">
      <w:pPr>
        <w:pStyle w:val="Caption"/>
        <w:jc w:val="center"/>
        <w:rPr>
          <w:rFonts w:asciiTheme="minorHAnsi" w:hAnsiTheme="minorHAnsi" w:cstheme="minorHAnsi"/>
          <w:sz w:val="22"/>
          <w:szCs w:val="22"/>
        </w:rPr>
      </w:pPr>
      <w:bookmarkStart w:id="27" w:name="_Ref296597958"/>
    </w:p>
    <w:p w:rsidR="00E16609" w:rsidRPr="00697868" w:rsidRDefault="003F0623" w:rsidP="003F0623">
      <w:pPr>
        <w:pStyle w:val="Caption"/>
        <w:jc w:val="center"/>
        <w:rPr>
          <w:rFonts w:asciiTheme="minorHAnsi" w:hAnsiTheme="minorHAnsi" w:cstheme="minorHAnsi"/>
          <w:b w:val="0"/>
          <w:sz w:val="22"/>
          <w:szCs w:val="22"/>
        </w:rPr>
      </w:pPr>
      <w:bookmarkStart w:id="28" w:name="_Ref390257284"/>
      <w:r w:rsidRPr="00697868">
        <w:rPr>
          <w:rFonts w:asciiTheme="minorHAnsi" w:hAnsiTheme="minorHAnsi" w:cstheme="minorHAnsi"/>
          <w:sz w:val="22"/>
          <w:szCs w:val="22"/>
        </w:rPr>
        <w:t xml:space="preserve">Table </w:t>
      </w:r>
      <w:bookmarkEnd w:id="27"/>
      <w:r w:rsidR="00716CFE" w:rsidRPr="00697868">
        <w:rPr>
          <w:rFonts w:asciiTheme="minorHAnsi" w:hAnsiTheme="minorHAnsi" w:cstheme="minorHAnsi"/>
          <w:sz w:val="22"/>
          <w:szCs w:val="22"/>
        </w:rPr>
        <w:fldChar w:fldCharType="begin"/>
      </w:r>
      <w:r w:rsidR="00716CFE" w:rsidRPr="00697868">
        <w:rPr>
          <w:rFonts w:asciiTheme="minorHAnsi" w:hAnsiTheme="minorHAnsi" w:cstheme="minorHAnsi"/>
          <w:sz w:val="22"/>
          <w:szCs w:val="22"/>
        </w:rPr>
        <w:instrText xml:space="preserve"> SEQ Table \* ARABIC </w:instrText>
      </w:r>
      <w:r w:rsidR="00716CFE" w:rsidRPr="00697868">
        <w:rPr>
          <w:rFonts w:asciiTheme="minorHAnsi" w:hAnsiTheme="minorHAnsi" w:cstheme="minorHAnsi"/>
          <w:sz w:val="22"/>
          <w:szCs w:val="22"/>
        </w:rPr>
        <w:fldChar w:fldCharType="separate"/>
      </w:r>
      <w:r w:rsidR="0095321C">
        <w:rPr>
          <w:rFonts w:asciiTheme="minorHAnsi" w:hAnsiTheme="minorHAnsi" w:cstheme="minorHAnsi"/>
          <w:noProof/>
          <w:sz w:val="22"/>
          <w:szCs w:val="22"/>
        </w:rPr>
        <w:t>12</w:t>
      </w:r>
      <w:r w:rsidR="00716CFE" w:rsidRPr="00697868">
        <w:rPr>
          <w:rFonts w:asciiTheme="minorHAnsi" w:hAnsiTheme="minorHAnsi" w:cstheme="minorHAnsi"/>
          <w:sz w:val="22"/>
          <w:szCs w:val="22"/>
        </w:rPr>
        <w:fldChar w:fldCharType="end"/>
      </w:r>
      <w:bookmarkEnd w:id="28"/>
      <w:r w:rsidR="00716CFE"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758" w:type="pct"/>
        <w:jc w:val="center"/>
        <w:tblInd w:w="108" w:type="dxa"/>
        <w:tblLook w:val="01E0" w:firstRow="1" w:lastRow="1" w:firstColumn="1" w:lastColumn="1" w:noHBand="0" w:noVBand="0"/>
      </w:tblPr>
      <w:tblGrid>
        <w:gridCol w:w="2827"/>
        <w:gridCol w:w="3999"/>
        <w:gridCol w:w="2287"/>
      </w:tblGrid>
      <w:tr w:rsidR="00E16609" w:rsidRPr="00697868" w:rsidTr="001B7EAB">
        <w:trPr>
          <w:cnfStyle w:val="100000000000" w:firstRow="1" w:lastRow="0" w:firstColumn="0" w:lastColumn="0" w:oddVBand="0" w:evenVBand="0" w:oddHBand="0" w:evenHBand="0" w:firstRowFirstColumn="0" w:firstRowLastColumn="0" w:lastRowFirstColumn="0" w:lastRowLastColumn="0"/>
          <w:jc w:val="center"/>
        </w:trPr>
        <w:tc>
          <w:tcPr>
            <w:tcW w:w="1551"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2194"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256" w:type="pct"/>
          </w:tcPr>
          <w:p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Agricultural</w:t>
            </w:r>
          </w:p>
        </w:tc>
        <w:tc>
          <w:tcPr>
            <w:tcW w:w="2194" w:type="pct"/>
          </w:tcPr>
          <w:p w:rsidR="00E9710C" w:rsidRPr="00117A1E" w:rsidRDefault="00E9710C">
            <w:pPr>
              <w:jc w:val="center"/>
              <w:rPr>
                <w:rFonts w:ascii="Calibri" w:hAnsi="Calibri" w:cs="Calibri"/>
                <w:sz w:val="20"/>
                <w:szCs w:val="20"/>
              </w:rPr>
            </w:pPr>
            <w:r w:rsidRPr="00117A1E">
              <w:rPr>
                <w:rFonts w:ascii="Calibri" w:hAnsi="Calibri" w:cs="Calibri"/>
                <w:sz w:val="20"/>
                <w:szCs w:val="20"/>
              </w:rPr>
              <w:t>Agricultural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521841">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Assembly</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Education - Community College</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K_thru_12_School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Education - Primary School</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K_thru_12_School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Education - Relocatable Classroom</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K_thru_12_School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Education - Secondary School</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K_thru_12_School</w:t>
            </w:r>
          </w:p>
        </w:tc>
        <w:tc>
          <w:tcPr>
            <w:tcW w:w="1256" w:type="pct"/>
            <w:vAlign w:val="center"/>
          </w:tcPr>
          <w:p w:rsidR="00E9710C" w:rsidRPr="00697868" w:rsidRDefault="00E9710C" w:rsidP="007048AC">
            <w:pPr>
              <w:jc w:val="center"/>
              <w:rPr>
                <w:rFonts w:asciiTheme="minorHAnsi" w:hAnsiTheme="minorHAnsi" w:cstheme="minorHAnsi"/>
                <w:sz w:val="20"/>
                <w:szCs w:val="20"/>
              </w:rPr>
            </w:pPr>
            <w:bookmarkStart w:id="29" w:name="OLE_LINK1"/>
            <w:r w:rsidRPr="00E026AC">
              <w:rPr>
                <w:rFonts w:ascii="Calibri" w:hAnsi="Calibri" w:cs="Calibri"/>
                <w:sz w:val="20"/>
                <w:szCs w:val="20"/>
              </w:rPr>
              <w:t>Occupancy Sensor</w:t>
            </w:r>
            <w:bookmarkEnd w:id="29"/>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Education - University</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K_thru_12_School</w:t>
            </w:r>
          </w:p>
        </w:tc>
        <w:tc>
          <w:tcPr>
            <w:tcW w:w="1256" w:type="pct"/>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Food Store</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Grocery</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Health/Medical - Clinic</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Health/Medical - Hospital</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vAlign w:val="center"/>
          </w:tcPr>
          <w:p w:rsidR="00E9710C" w:rsidRPr="00697868" w:rsidRDefault="00E9710C" w:rsidP="007048AC">
            <w:pPr>
              <w:jc w:val="center"/>
              <w:rPr>
                <w:rFonts w:asciiTheme="minorHAnsi" w:hAnsiTheme="minorHAnsi" w:cstheme="minorHAnsi"/>
                <w:sz w:val="20"/>
                <w:szCs w:val="20"/>
              </w:rPr>
            </w:pPr>
            <w:r w:rsidRPr="00E026AC">
              <w:rPr>
                <w:rFonts w:ascii="Calibri" w:hAnsi="Calibri" w:cs="Calibri"/>
                <w:sz w:val="20"/>
                <w:szCs w:val="20"/>
              </w:rPr>
              <w:t>Occupancy Sensor</w:t>
            </w:r>
          </w:p>
        </w:tc>
      </w:tr>
      <w:tr w:rsidR="00E9710C" w:rsidRPr="00697868" w:rsidTr="00117A1E">
        <w:trPr>
          <w:cnfStyle w:val="000000010000" w:firstRow="0" w:lastRow="0" w:firstColumn="0" w:lastColumn="0" w:oddVBand="0" w:evenVBand="0" w:oddHBand="0" w:evenHBand="1" w:firstRowFirstColumn="0" w:firstRowLastColumn="0" w:lastRowFirstColumn="0" w:lastRowLastColumn="0"/>
          <w:trHeight w:val="333"/>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Health/Medical - Nursing Home</w:t>
            </w:r>
          </w:p>
        </w:tc>
        <w:tc>
          <w:tcPr>
            <w:tcW w:w="2194" w:type="pct"/>
          </w:tcPr>
          <w:p w:rsidR="00E9710C" w:rsidRPr="001B7EAB"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vAlign w:val="center"/>
          </w:tcPr>
          <w:p w:rsidR="00E9710C" w:rsidRPr="00117A1E" w:rsidRDefault="00E9710C" w:rsidP="00117A1E">
            <w:pPr>
              <w:jc w:val="center"/>
              <w:rPr>
                <w:rFonts w:ascii="Calibri" w:hAnsi="Calibri" w:cs="Calibri"/>
                <w:sz w:val="20"/>
                <w:szCs w:val="20"/>
              </w:rPr>
            </w:pPr>
            <w:r w:rsidRPr="00E026AC">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E026AC" w:rsidRDefault="00E9710C">
            <w:pPr>
              <w:rPr>
                <w:rFonts w:ascii="Calibri" w:hAnsi="Calibri" w:cs="Calibri"/>
                <w:sz w:val="20"/>
                <w:szCs w:val="20"/>
              </w:rPr>
            </w:pPr>
            <w:r w:rsidRPr="001B7EAB">
              <w:rPr>
                <w:rFonts w:ascii="Calibri" w:hAnsi="Calibri" w:cs="Calibri"/>
                <w:sz w:val="20"/>
                <w:szCs w:val="20"/>
              </w:rPr>
              <w:t>Industrial</w:t>
            </w:r>
          </w:p>
        </w:tc>
        <w:tc>
          <w:tcPr>
            <w:tcW w:w="2194" w:type="pct"/>
          </w:tcPr>
          <w:p w:rsidR="00E9710C" w:rsidRPr="00E026AC" w:rsidRDefault="00E9710C">
            <w:pPr>
              <w:jc w:val="center"/>
              <w:rPr>
                <w:rFonts w:ascii="Calibri" w:hAnsi="Calibri" w:cs="Calibri"/>
                <w:sz w:val="20"/>
                <w:szCs w:val="20"/>
              </w:rPr>
            </w:pPr>
            <w:r w:rsidRPr="001B7EAB">
              <w:rPr>
                <w:rFonts w:ascii="Calibri" w:hAnsi="Calibri" w:cs="Calibri"/>
                <w:sz w:val="20"/>
                <w:szCs w:val="20"/>
              </w:rPr>
              <w:t>Industrial</w:t>
            </w:r>
          </w:p>
        </w:tc>
        <w:tc>
          <w:tcPr>
            <w:tcW w:w="1256" w:type="pct"/>
          </w:tcPr>
          <w:p w:rsidR="00E9710C" w:rsidRPr="00E026A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Lodging - Guest Rooms</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Hotel_Motel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Lodging - Hotel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Hotel_Motel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Lodging - Motel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Hotel_Motel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Manufacturing - Bio/Tech</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Industrial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Manufacturing - Light Industrial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Industrial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Misc - Commercial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Office - Large</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Large_Office</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Office - Small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Small_Office</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Restaurant - Fast-Food</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Restaurant - Sit-Down</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Retail - Multistory Large</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Large_Retail_Store</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Retail - Single-Story Large</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Large_Retail_Store</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Retail - Small</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Small_Retail_Store</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Storage - Conditioned</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Storage - Unconditioned</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100000" w:firstRow="0" w:lastRow="0" w:firstColumn="0" w:lastColumn="0" w:oddVBand="0" w:evenVBand="0" w:oddHBand="1" w:evenHBand="0" w:firstRowFirstColumn="0" w:firstRowLastColumn="0" w:lastRowFirstColumn="0" w:lastRowLastColumn="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Transportation - Communication - Utilities</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Trans_Comm_Util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r w:rsidR="00E9710C" w:rsidRPr="00697868" w:rsidTr="001B7EAB">
        <w:trPr>
          <w:cnfStyle w:val="000000010000" w:firstRow="0" w:lastRow="0" w:firstColumn="0" w:lastColumn="0" w:oddVBand="0" w:evenVBand="0" w:oddHBand="0" w:evenHBand="1" w:firstRowFirstColumn="0" w:firstRowLastColumn="0" w:lastRowFirstColumn="0" w:lastRowLastColumn="0"/>
          <w:trHeight w:val="360"/>
          <w:jc w:val="center"/>
        </w:trPr>
        <w:tc>
          <w:tcPr>
            <w:tcW w:w="1551" w:type="pct"/>
          </w:tcPr>
          <w:p w:rsidR="00E9710C" w:rsidRPr="001B7EAB" w:rsidRDefault="00E9710C">
            <w:pPr>
              <w:rPr>
                <w:rFonts w:ascii="Calibri" w:hAnsi="Calibri" w:cs="Calibri"/>
                <w:sz w:val="20"/>
                <w:szCs w:val="20"/>
              </w:rPr>
            </w:pPr>
            <w:r w:rsidRPr="001B7EAB">
              <w:rPr>
                <w:rFonts w:ascii="Calibri" w:hAnsi="Calibri" w:cs="Calibri"/>
                <w:sz w:val="20"/>
                <w:szCs w:val="20"/>
              </w:rPr>
              <w:t>Warehouse - Refrigerated</w:t>
            </w:r>
          </w:p>
        </w:tc>
        <w:tc>
          <w:tcPr>
            <w:tcW w:w="2194" w:type="pct"/>
          </w:tcPr>
          <w:p w:rsidR="00E9710C" w:rsidRDefault="00E9710C">
            <w:pPr>
              <w:jc w:val="center"/>
              <w:rPr>
                <w:rFonts w:ascii="Calibri" w:hAnsi="Calibri" w:cs="Calibri"/>
                <w:sz w:val="20"/>
                <w:szCs w:val="20"/>
              </w:rPr>
            </w:pPr>
            <w:r w:rsidRPr="001B7EAB">
              <w:rPr>
                <w:rFonts w:ascii="Calibri" w:hAnsi="Calibri" w:cs="Calibri"/>
                <w:sz w:val="20"/>
                <w:szCs w:val="20"/>
              </w:rPr>
              <w:t>Misc._Commercial</w:t>
            </w:r>
          </w:p>
        </w:tc>
        <w:tc>
          <w:tcPr>
            <w:tcW w:w="1256" w:type="pct"/>
          </w:tcPr>
          <w:p w:rsidR="00E9710C" w:rsidRDefault="00E9710C" w:rsidP="007048AC">
            <w:pPr>
              <w:jc w:val="center"/>
              <w:rPr>
                <w:rFonts w:ascii="Calibri" w:hAnsi="Calibri" w:cs="Calibri"/>
                <w:sz w:val="20"/>
                <w:szCs w:val="20"/>
              </w:rPr>
            </w:pPr>
            <w:r w:rsidRPr="00FB74E4">
              <w:rPr>
                <w:rFonts w:ascii="Calibri" w:hAnsi="Calibri" w:cs="Calibri"/>
                <w:sz w:val="20"/>
                <w:szCs w:val="20"/>
              </w:rPr>
              <w:t>Occupancy Sensor</w:t>
            </w:r>
          </w:p>
        </w:tc>
      </w:tr>
    </w:tbl>
    <w:p w:rsidR="00277F3B" w:rsidRDefault="00277F3B" w:rsidP="00E16609">
      <w:pPr>
        <w:pStyle w:val="Heading1"/>
        <w:keepNext w:val="0"/>
        <w:rPr>
          <w:rFonts w:asciiTheme="minorHAnsi" w:hAnsiTheme="minorHAnsi" w:cstheme="minorHAnsi"/>
        </w:rPr>
      </w:pPr>
      <w:bookmarkStart w:id="30" w:name="_Toc214003096"/>
    </w:p>
    <w:p w:rsidR="00E16609" w:rsidRPr="00697868" w:rsidRDefault="00E16609" w:rsidP="00E16609">
      <w:pPr>
        <w:pStyle w:val="Heading1"/>
        <w:keepNext w:val="0"/>
        <w:rPr>
          <w:rFonts w:asciiTheme="minorHAnsi" w:hAnsiTheme="minorHAnsi" w:cstheme="minorHAnsi"/>
        </w:rPr>
      </w:pPr>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30"/>
    </w:p>
    <w:p w:rsidR="00E16609" w:rsidRPr="00697868" w:rsidRDefault="00E16609" w:rsidP="00824F1C">
      <w:pPr>
        <w:pStyle w:val="Heading2"/>
        <w:rPr>
          <w:rFonts w:asciiTheme="minorHAnsi" w:hAnsiTheme="minorHAnsi" w:cstheme="minorHAnsi"/>
        </w:rPr>
      </w:pPr>
      <w:bookmarkStart w:id="31" w:name="_MON_1399297811"/>
      <w:bookmarkStart w:id="32" w:name="_Toc214003097"/>
      <w:bookmarkEnd w:id="31"/>
      <w:r w:rsidRPr="00697868">
        <w:rPr>
          <w:rFonts w:asciiTheme="minorHAnsi" w:hAnsiTheme="minorHAnsi" w:cstheme="minorHAnsi"/>
        </w:rPr>
        <w:t>4.1 Base Case Cost</w:t>
      </w:r>
      <w:bookmarkEnd w:id="32"/>
    </w:p>
    <w:p w:rsidR="00D84023" w:rsidRDefault="00D84023" w:rsidP="00D84023">
      <w:pPr>
        <w:rPr>
          <w:rFonts w:ascii="Calibri" w:hAnsi="Calibri" w:cs="Calibri"/>
          <w:sz w:val="22"/>
          <w:szCs w:val="22"/>
        </w:rPr>
      </w:pPr>
      <w:bookmarkStart w:id="33" w:name="_Toc214003098"/>
      <w:r w:rsidRPr="00B4346E">
        <w:rPr>
          <w:rFonts w:ascii="Calibri" w:hAnsi="Calibri" w:cs="Calibri"/>
          <w:sz w:val="22"/>
          <w:szCs w:val="22"/>
        </w:rPr>
        <w:t>For</w:t>
      </w:r>
      <w:r w:rsidR="002516F8">
        <w:rPr>
          <w:rFonts w:ascii="Calibri" w:hAnsi="Calibri" w:cs="Calibri"/>
          <w:sz w:val="22"/>
          <w:szCs w:val="22"/>
        </w:rPr>
        <w:t xml:space="preserve"> retrofit add</w:t>
      </w:r>
      <w:r w:rsidR="00BF734E">
        <w:rPr>
          <w:rFonts w:ascii="Calibri" w:hAnsi="Calibri" w:cs="Calibri"/>
          <w:sz w:val="22"/>
          <w:szCs w:val="22"/>
        </w:rPr>
        <w:t>-</w:t>
      </w:r>
      <w:r w:rsidR="002516F8">
        <w:rPr>
          <w:rFonts w:ascii="Calibri" w:hAnsi="Calibri" w:cs="Calibri"/>
          <w:sz w:val="22"/>
          <w:szCs w:val="22"/>
        </w:rPr>
        <w:t xml:space="preserve">on </w:t>
      </w:r>
      <w:r w:rsidR="00855C4C">
        <w:rPr>
          <w:rFonts w:ascii="Calibri" w:hAnsi="Calibri" w:cs="Calibri"/>
          <w:sz w:val="22"/>
          <w:szCs w:val="22"/>
        </w:rPr>
        <w:t>measures</w:t>
      </w:r>
      <w:r w:rsidRPr="00B4346E">
        <w:rPr>
          <w:rFonts w:ascii="Calibri" w:hAnsi="Calibri" w:cs="Calibri"/>
          <w:sz w:val="22"/>
          <w:szCs w:val="22"/>
        </w:rPr>
        <w:t>, the base case cost is assumed to be zero because these are discretionary modifications to the customers’ existing equipment</w:t>
      </w:r>
      <w:r w:rsidR="002516F8">
        <w:rPr>
          <w:rFonts w:ascii="Calibri" w:hAnsi="Calibri" w:cs="Calibri"/>
          <w:sz w:val="22"/>
          <w:szCs w:val="22"/>
        </w:rPr>
        <w:t xml:space="preserve"> and new equipment</w:t>
      </w:r>
      <w:r w:rsidRPr="00B4346E">
        <w:rPr>
          <w:rFonts w:ascii="Calibri" w:hAnsi="Calibri" w:cs="Calibri"/>
          <w:sz w:val="22"/>
          <w:szCs w:val="22"/>
        </w:rPr>
        <w:t xml:space="preserve">.  Their alternative is to make no changes to their existing </w:t>
      </w:r>
      <w:r w:rsidR="002516F8">
        <w:rPr>
          <w:rFonts w:ascii="Calibri" w:hAnsi="Calibri" w:cs="Calibri"/>
          <w:sz w:val="22"/>
          <w:szCs w:val="22"/>
        </w:rPr>
        <w:t>system or expansions to their system</w:t>
      </w:r>
      <w:r w:rsidRPr="00B4346E">
        <w:rPr>
          <w:rFonts w:ascii="Calibri" w:hAnsi="Calibri" w:cs="Calibri"/>
          <w:sz w:val="22"/>
          <w:szCs w:val="22"/>
        </w:rPr>
        <w:t xml:space="preserve">.  </w:t>
      </w:r>
    </w:p>
    <w:p w:rsidR="005A0E53" w:rsidRPr="00697868" w:rsidRDefault="005A0E53" w:rsidP="005A0E53">
      <w:pPr>
        <w:pStyle w:val="Heading2"/>
        <w:rPr>
          <w:rFonts w:asciiTheme="minorHAnsi" w:hAnsiTheme="minorHAnsi" w:cstheme="minorHAnsi"/>
        </w:rPr>
      </w:pPr>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D84023" w:rsidRPr="00D84023" w:rsidRDefault="00E477B2" w:rsidP="00D84023">
      <w:pPr>
        <w:rPr>
          <w:rFonts w:asciiTheme="minorHAnsi" w:hAnsiTheme="minorHAnsi"/>
          <w:sz w:val="22"/>
        </w:rPr>
      </w:pPr>
      <w:r w:rsidRPr="001B7EAB">
        <w:rPr>
          <w:rFonts w:asciiTheme="minorHAnsi" w:hAnsiTheme="minorHAnsi" w:cs="Calibri"/>
          <w:sz w:val="22"/>
          <w:szCs w:val="22"/>
        </w:rPr>
        <w:t>For the PCPM Network Software</w:t>
      </w:r>
      <w:r>
        <w:rPr>
          <w:rFonts w:asciiTheme="minorHAnsi" w:hAnsiTheme="minorHAnsi" w:cs="Calibri"/>
          <w:sz w:val="22"/>
          <w:szCs w:val="22"/>
        </w:rPr>
        <w:t xml:space="preserve"> </w:t>
      </w:r>
      <w:r w:rsidRPr="001B7EAB">
        <w:rPr>
          <w:rFonts w:asciiTheme="minorHAnsi" w:hAnsiTheme="minorHAnsi" w:cs="Calibri"/>
          <w:sz w:val="22"/>
          <w:szCs w:val="22"/>
        </w:rPr>
        <w:t xml:space="preserve">measure, the “equipment” measure costs may be interpreted as the per computer licensing charge for commercial software.  </w:t>
      </w:r>
      <w:r w:rsidR="00D84023" w:rsidRPr="00D84023">
        <w:rPr>
          <w:rFonts w:asciiTheme="minorHAnsi" w:hAnsiTheme="minorHAnsi"/>
          <w:sz w:val="22"/>
        </w:rPr>
        <w:t xml:space="preserve">The </w:t>
      </w:r>
      <w:r w:rsidR="00E66D30">
        <w:rPr>
          <w:rFonts w:asciiTheme="minorHAnsi" w:hAnsiTheme="minorHAnsi"/>
          <w:sz w:val="22"/>
        </w:rPr>
        <w:t xml:space="preserve">equipment </w:t>
      </w:r>
      <w:r w:rsidR="00D84023" w:rsidRPr="00D84023">
        <w:rPr>
          <w:rFonts w:asciiTheme="minorHAnsi" w:hAnsiTheme="minorHAnsi"/>
          <w:sz w:val="22"/>
        </w:rPr>
        <w:t>retail price</w:t>
      </w:r>
      <w:r w:rsidR="008B4786">
        <w:rPr>
          <w:rFonts w:asciiTheme="minorHAnsi" w:hAnsiTheme="minorHAnsi"/>
          <w:sz w:val="22"/>
        </w:rPr>
        <w:t>s</w:t>
      </w:r>
      <w:r w:rsidR="00D84023" w:rsidRPr="00D84023">
        <w:rPr>
          <w:rFonts w:asciiTheme="minorHAnsi" w:hAnsiTheme="minorHAnsi"/>
          <w:sz w:val="22"/>
        </w:rPr>
        <w:t xml:space="preserve"> of </w:t>
      </w:r>
      <w:r w:rsidR="00897108">
        <w:rPr>
          <w:rFonts w:asciiTheme="minorHAnsi" w:hAnsiTheme="minorHAnsi"/>
          <w:sz w:val="22"/>
        </w:rPr>
        <w:t>vendor</w:t>
      </w:r>
      <w:r w:rsidR="005B22E0">
        <w:rPr>
          <w:rFonts w:asciiTheme="minorHAnsi" w:hAnsiTheme="minorHAnsi"/>
          <w:sz w:val="22"/>
        </w:rPr>
        <w:t xml:space="preserve">s’ </w:t>
      </w:r>
      <w:r w:rsidR="00D84023" w:rsidRPr="00D84023">
        <w:rPr>
          <w:rFonts w:asciiTheme="minorHAnsi" w:hAnsiTheme="minorHAnsi"/>
          <w:sz w:val="22"/>
        </w:rPr>
        <w:t xml:space="preserve">software </w:t>
      </w:r>
      <w:r w:rsidR="005B22E0">
        <w:rPr>
          <w:rFonts w:asciiTheme="minorHAnsi" w:hAnsiTheme="minorHAnsi"/>
          <w:sz w:val="22"/>
        </w:rPr>
        <w:t>range from $1</w:t>
      </w:r>
      <w:r w:rsidR="000E0FF4">
        <w:rPr>
          <w:rFonts w:asciiTheme="minorHAnsi" w:hAnsiTheme="minorHAnsi"/>
          <w:sz w:val="22"/>
        </w:rPr>
        <w:t>5</w:t>
      </w:r>
      <w:r w:rsidR="005B22E0">
        <w:rPr>
          <w:rFonts w:asciiTheme="minorHAnsi" w:hAnsiTheme="minorHAnsi"/>
          <w:sz w:val="22"/>
        </w:rPr>
        <w:t xml:space="preserve"> - </w:t>
      </w:r>
      <w:r w:rsidR="00D84023" w:rsidRPr="00D84023">
        <w:rPr>
          <w:rFonts w:asciiTheme="minorHAnsi" w:hAnsiTheme="minorHAnsi"/>
          <w:sz w:val="22"/>
        </w:rPr>
        <w:t>$20 per workstation license</w:t>
      </w:r>
      <w:r w:rsidR="000F4067">
        <w:rPr>
          <w:rFonts w:asciiTheme="minorHAnsi" w:hAnsiTheme="minorHAnsi"/>
          <w:sz w:val="22"/>
        </w:rPr>
        <w:t xml:space="preserve"> [</w:t>
      </w:r>
      <w:r w:rsidR="000F4067">
        <w:rPr>
          <w:rFonts w:asciiTheme="minorHAnsi" w:hAnsiTheme="minorHAnsi"/>
          <w:sz w:val="22"/>
        </w:rPr>
        <w:fldChar w:fldCharType="begin"/>
      </w:r>
      <w:r w:rsidR="000F4067">
        <w:rPr>
          <w:rFonts w:asciiTheme="minorHAnsi" w:hAnsiTheme="minorHAnsi"/>
          <w:sz w:val="22"/>
        </w:rPr>
        <w:instrText xml:space="preserve"> REF _Ref387410221 \h </w:instrText>
      </w:r>
      <w:r w:rsidR="000F4067">
        <w:rPr>
          <w:rFonts w:asciiTheme="minorHAnsi" w:hAnsiTheme="minorHAnsi"/>
          <w:sz w:val="22"/>
        </w:rPr>
      </w:r>
      <w:r w:rsidR="000F4067">
        <w:rPr>
          <w:rFonts w:asciiTheme="minorHAnsi" w:hAnsiTheme="minorHAnsi"/>
          <w:sz w:val="22"/>
        </w:rPr>
        <w:fldChar w:fldCharType="separate"/>
      </w:r>
      <w:r w:rsidR="0095321C">
        <w:rPr>
          <w:rFonts w:ascii="Calibri" w:hAnsi="Calibri" w:cs="Calibri"/>
          <w:noProof/>
          <w:sz w:val="22"/>
        </w:rPr>
        <w:t>D</w:t>
      </w:r>
      <w:r w:rsidR="000F4067">
        <w:rPr>
          <w:rFonts w:asciiTheme="minorHAnsi" w:hAnsiTheme="minorHAnsi"/>
          <w:sz w:val="22"/>
        </w:rPr>
        <w:fldChar w:fldCharType="end"/>
      </w:r>
      <w:r w:rsidR="000F4067">
        <w:rPr>
          <w:rFonts w:asciiTheme="minorHAnsi" w:hAnsiTheme="minorHAnsi"/>
          <w:sz w:val="22"/>
        </w:rPr>
        <w:t>]</w:t>
      </w:r>
      <w:r w:rsidR="00D84023" w:rsidRPr="00D84023">
        <w:rPr>
          <w:rFonts w:asciiTheme="minorHAnsi" w:hAnsiTheme="minorHAnsi"/>
          <w:sz w:val="22"/>
        </w:rPr>
        <w:t xml:space="preserve">.  </w:t>
      </w:r>
      <w:r>
        <w:rPr>
          <w:rFonts w:asciiTheme="minorHAnsi" w:hAnsiTheme="minorHAnsi"/>
          <w:sz w:val="22"/>
        </w:rPr>
        <w:t>See Section 4.3 for the measure equipment costs selected for this work paper.</w:t>
      </w: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33"/>
    </w:p>
    <w:p w:rsidR="006154AA" w:rsidRPr="001B7EAB" w:rsidRDefault="006154AA" w:rsidP="006154AA">
      <w:pPr>
        <w:rPr>
          <w:rFonts w:asciiTheme="minorHAnsi" w:hAnsiTheme="minorHAnsi" w:cs="Calibri"/>
          <w:sz w:val="22"/>
          <w:szCs w:val="22"/>
        </w:rPr>
      </w:pPr>
      <w:r w:rsidRPr="001B7EAB">
        <w:rPr>
          <w:rFonts w:asciiTheme="minorHAnsi" w:hAnsiTheme="minorHAnsi" w:cs="Calibri"/>
          <w:sz w:val="22"/>
          <w:szCs w:val="22"/>
        </w:rPr>
        <w:t>Some of the EM&amp;V studies and work papers reviewed provided either direct per computer software licensing and installation cost data, or enough information that allowed per computer costs to be estimated.   The available data is summarized in</w:t>
      </w:r>
      <w:r w:rsidR="00DA6AC3">
        <w:rPr>
          <w:rFonts w:asciiTheme="minorHAnsi" w:hAnsiTheme="minorHAnsi"/>
          <w:sz w:val="22"/>
          <w:szCs w:val="22"/>
        </w:rPr>
        <w:t xml:space="preserve"> </w:t>
      </w:r>
      <w:r w:rsidR="00DA6AC3" w:rsidRPr="00BC123D">
        <w:rPr>
          <w:rFonts w:asciiTheme="minorHAnsi" w:hAnsiTheme="minorHAnsi"/>
          <w:sz w:val="22"/>
          <w:szCs w:val="22"/>
        </w:rPr>
        <w:fldChar w:fldCharType="begin"/>
      </w:r>
      <w:r w:rsidR="00DA6AC3" w:rsidRPr="00DA6AC3">
        <w:rPr>
          <w:rFonts w:asciiTheme="minorHAnsi" w:hAnsiTheme="minorHAnsi"/>
          <w:sz w:val="22"/>
          <w:szCs w:val="22"/>
        </w:rPr>
        <w:instrText xml:space="preserve"> REF _Ref390257437 \h </w:instrText>
      </w:r>
      <w:r w:rsidR="00DA6AC3">
        <w:rPr>
          <w:rFonts w:asciiTheme="minorHAnsi" w:hAnsiTheme="minorHAnsi"/>
          <w:sz w:val="22"/>
          <w:szCs w:val="22"/>
        </w:rPr>
        <w:instrText xml:space="preserve"> \* MERGEFORMAT </w:instrText>
      </w:r>
      <w:r w:rsidR="00DA6AC3" w:rsidRPr="00BC123D">
        <w:rPr>
          <w:rFonts w:asciiTheme="minorHAnsi" w:hAnsiTheme="minorHAnsi"/>
          <w:sz w:val="22"/>
          <w:szCs w:val="22"/>
        </w:rPr>
      </w:r>
      <w:r w:rsidR="00DA6AC3" w:rsidRPr="00BC123D">
        <w:rPr>
          <w:rFonts w:asciiTheme="minorHAnsi" w:hAnsiTheme="minorHAnsi"/>
          <w:sz w:val="22"/>
          <w:szCs w:val="22"/>
        </w:rPr>
        <w:fldChar w:fldCharType="separate"/>
      </w:r>
      <w:r w:rsidR="0095321C" w:rsidRPr="00763536">
        <w:rPr>
          <w:rFonts w:ascii="Calibri" w:hAnsi="Calibri" w:cs="Calibri"/>
          <w:sz w:val="22"/>
          <w:szCs w:val="22"/>
        </w:rPr>
        <w:t xml:space="preserve">Table </w:t>
      </w:r>
      <w:r w:rsidR="0095321C" w:rsidRPr="00763536">
        <w:rPr>
          <w:rFonts w:ascii="Calibri" w:hAnsi="Calibri" w:cs="Calibri"/>
          <w:noProof/>
          <w:sz w:val="22"/>
          <w:szCs w:val="22"/>
        </w:rPr>
        <w:t>13</w:t>
      </w:r>
      <w:r w:rsidR="00DA6AC3" w:rsidRPr="00BC123D">
        <w:rPr>
          <w:rFonts w:asciiTheme="minorHAnsi" w:hAnsiTheme="minorHAnsi"/>
          <w:sz w:val="22"/>
          <w:szCs w:val="22"/>
        </w:rPr>
        <w:fldChar w:fldCharType="end"/>
      </w:r>
      <w:r w:rsidRPr="001B7EAB">
        <w:rPr>
          <w:rFonts w:asciiTheme="minorHAnsi" w:hAnsiTheme="minorHAnsi" w:cs="Calibri"/>
          <w:sz w:val="22"/>
          <w:szCs w:val="22"/>
        </w:rPr>
        <w:t>.</w:t>
      </w:r>
    </w:p>
    <w:p w:rsidR="006154AA" w:rsidRPr="00521841" w:rsidRDefault="006154AA" w:rsidP="006154AA">
      <w:pPr>
        <w:rPr>
          <w:rFonts w:ascii="Calibri" w:hAnsi="Calibri" w:cs="Calibri"/>
        </w:rPr>
      </w:pPr>
    </w:p>
    <w:p w:rsidR="006154AA" w:rsidRPr="00521841" w:rsidRDefault="006154AA" w:rsidP="006154AA">
      <w:pPr>
        <w:pStyle w:val="Caption"/>
        <w:jc w:val="center"/>
        <w:rPr>
          <w:rFonts w:ascii="Calibri" w:hAnsi="Calibri" w:cs="Calibri"/>
          <w:b w:val="0"/>
        </w:rPr>
      </w:pPr>
      <w:bookmarkStart w:id="34" w:name="_Ref284337334"/>
      <w:bookmarkStart w:id="35" w:name="_Ref390257437"/>
      <w:bookmarkStart w:id="36" w:name="_Toc222454099"/>
      <w:proofErr w:type="gramStart"/>
      <w:r w:rsidRPr="00521841">
        <w:rPr>
          <w:rFonts w:ascii="Calibri" w:hAnsi="Calibri" w:cs="Calibri"/>
        </w:rPr>
        <w:t xml:space="preserve">Table </w:t>
      </w:r>
      <w:bookmarkEnd w:id="34"/>
      <w:r w:rsidR="00716CFE" w:rsidRPr="00521841">
        <w:rPr>
          <w:rFonts w:ascii="Calibri" w:hAnsi="Calibri" w:cs="Calibri"/>
        </w:rPr>
        <w:fldChar w:fldCharType="begin"/>
      </w:r>
      <w:r w:rsidR="00716CFE" w:rsidRPr="00521841">
        <w:rPr>
          <w:rFonts w:ascii="Calibri" w:hAnsi="Calibri" w:cs="Calibri"/>
        </w:rPr>
        <w:instrText xml:space="preserve"> SEQ Table \* ARABIC </w:instrText>
      </w:r>
      <w:r w:rsidR="00716CFE" w:rsidRPr="00521841">
        <w:rPr>
          <w:rFonts w:ascii="Calibri" w:hAnsi="Calibri" w:cs="Calibri"/>
        </w:rPr>
        <w:fldChar w:fldCharType="separate"/>
      </w:r>
      <w:r w:rsidR="0095321C">
        <w:rPr>
          <w:rFonts w:ascii="Calibri" w:hAnsi="Calibri" w:cs="Calibri"/>
          <w:noProof/>
        </w:rPr>
        <w:t>13</w:t>
      </w:r>
      <w:r w:rsidR="00716CFE" w:rsidRPr="00521841">
        <w:rPr>
          <w:rFonts w:ascii="Calibri" w:hAnsi="Calibri" w:cs="Calibri"/>
        </w:rPr>
        <w:fldChar w:fldCharType="end"/>
      </w:r>
      <w:bookmarkEnd w:id="35"/>
      <w:r w:rsidRPr="00521841">
        <w:rPr>
          <w:rFonts w:ascii="Calibri" w:hAnsi="Calibri" w:cs="Calibri"/>
          <w:b w:val="0"/>
          <w:sz w:val="22"/>
          <w:szCs w:val="22"/>
        </w:rPr>
        <w:t>.</w:t>
      </w:r>
      <w:proofErr w:type="gramEnd"/>
      <w:r w:rsidRPr="00521841">
        <w:rPr>
          <w:rFonts w:ascii="Calibri" w:hAnsi="Calibri" w:cs="Calibri"/>
          <w:b w:val="0"/>
          <w:sz w:val="22"/>
          <w:szCs w:val="22"/>
        </w:rPr>
        <w:t xml:space="preserve"> </w:t>
      </w:r>
      <w:r w:rsidRPr="00521841">
        <w:rPr>
          <w:rFonts w:ascii="Calibri" w:hAnsi="Calibri" w:cs="Calibri"/>
          <w:sz w:val="22"/>
          <w:szCs w:val="22"/>
        </w:rPr>
        <w:t>Available Measure and Installation Cost Data.</w:t>
      </w:r>
      <w:bookmarkEnd w:id="36"/>
    </w:p>
    <w:tbl>
      <w:tblPr>
        <w:tblStyle w:val="TableContemporary"/>
        <w:tblW w:w="5000" w:type="pct"/>
        <w:tblLook w:val="01E0" w:firstRow="1" w:lastRow="1" w:firstColumn="1" w:lastColumn="1" w:noHBand="0" w:noVBand="0"/>
      </w:tblPr>
      <w:tblGrid>
        <w:gridCol w:w="3586"/>
        <w:gridCol w:w="2995"/>
        <w:gridCol w:w="2995"/>
      </w:tblGrid>
      <w:tr w:rsidR="006154AA" w:rsidRPr="00521841" w:rsidTr="00361E7F">
        <w:trPr>
          <w:cnfStyle w:val="100000000000" w:firstRow="1" w:lastRow="0" w:firstColumn="0" w:lastColumn="0" w:oddVBand="0" w:evenVBand="0" w:oddHBand="0" w:evenHBand="0" w:firstRowFirstColumn="0" w:firstRowLastColumn="0" w:lastRowFirstColumn="0" w:lastRowLastColumn="0"/>
        </w:trPr>
        <w:tc>
          <w:tcPr>
            <w:tcW w:w="1872" w:type="pct"/>
          </w:tcPr>
          <w:p w:rsidR="006154AA" w:rsidRPr="00417BEA" w:rsidRDefault="006154AA" w:rsidP="00361E7F">
            <w:pPr>
              <w:jc w:val="center"/>
              <w:rPr>
                <w:rFonts w:ascii="Calibri" w:hAnsi="Calibri" w:cs="Calibri"/>
                <w:b w:val="0"/>
                <w:bCs w:val="0"/>
                <w:sz w:val="20"/>
                <w:szCs w:val="20"/>
              </w:rPr>
            </w:pPr>
            <w:r w:rsidRPr="00417BEA">
              <w:rPr>
                <w:rFonts w:ascii="Calibri" w:hAnsi="Calibri" w:cs="Calibri"/>
                <w:sz w:val="20"/>
                <w:szCs w:val="20"/>
              </w:rPr>
              <w:t>Case</w:t>
            </w:r>
          </w:p>
        </w:tc>
        <w:tc>
          <w:tcPr>
            <w:tcW w:w="1564" w:type="pct"/>
          </w:tcPr>
          <w:p w:rsidR="006154AA" w:rsidRPr="001B7EAB" w:rsidRDefault="00E66D30" w:rsidP="00E66D30">
            <w:pPr>
              <w:jc w:val="center"/>
              <w:rPr>
                <w:rFonts w:ascii="Calibri" w:hAnsi="Calibri" w:cs="Calibri"/>
                <w:bCs w:val="0"/>
                <w:sz w:val="20"/>
                <w:szCs w:val="20"/>
              </w:rPr>
            </w:pPr>
            <w:r>
              <w:rPr>
                <w:rFonts w:ascii="Calibri" w:hAnsi="Calibri" w:cs="Calibri"/>
                <w:sz w:val="20"/>
                <w:szCs w:val="20"/>
              </w:rPr>
              <w:t>Equipment</w:t>
            </w:r>
            <w:r w:rsidR="006154AA" w:rsidRPr="0045043F">
              <w:rPr>
                <w:rFonts w:ascii="Calibri" w:hAnsi="Calibri" w:cs="Calibri"/>
                <w:sz w:val="20"/>
                <w:szCs w:val="20"/>
              </w:rPr>
              <w:t xml:space="preserve"> Costs per Workstation</w:t>
            </w:r>
          </w:p>
        </w:tc>
        <w:tc>
          <w:tcPr>
            <w:tcW w:w="1564" w:type="pct"/>
          </w:tcPr>
          <w:p w:rsidR="006154AA" w:rsidRPr="001B7EAB" w:rsidRDefault="006154AA" w:rsidP="00361E7F">
            <w:pPr>
              <w:jc w:val="center"/>
              <w:rPr>
                <w:rFonts w:ascii="Calibri" w:hAnsi="Calibri" w:cs="Calibri"/>
                <w:bCs w:val="0"/>
                <w:sz w:val="20"/>
                <w:szCs w:val="20"/>
              </w:rPr>
            </w:pPr>
            <w:r w:rsidRPr="0045043F">
              <w:rPr>
                <w:rFonts w:ascii="Calibri" w:hAnsi="Calibri" w:cs="Calibri"/>
                <w:sz w:val="20"/>
                <w:szCs w:val="20"/>
              </w:rPr>
              <w:t>Installation Costs per Workstation</w:t>
            </w:r>
          </w:p>
        </w:tc>
      </w:tr>
      <w:tr w:rsidR="006154AA" w:rsidRPr="00521841" w:rsidTr="00361E7F">
        <w:trPr>
          <w:cnfStyle w:val="000000100000" w:firstRow="0" w:lastRow="0" w:firstColumn="0" w:lastColumn="0" w:oddVBand="0" w:evenVBand="0" w:oddHBand="1" w:evenHBand="0" w:firstRowFirstColumn="0" w:firstRowLastColumn="0" w:lastRowFirstColumn="0" w:lastRowLastColumn="0"/>
        </w:trPr>
        <w:tc>
          <w:tcPr>
            <w:tcW w:w="1872" w:type="pct"/>
          </w:tcPr>
          <w:p w:rsidR="006154AA" w:rsidRPr="00417BEA" w:rsidRDefault="006154AA" w:rsidP="00BC123D">
            <w:pPr>
              <w:rPr>
                <w:rFonts w:ascii="Calibri" w:hAnsi="Calibri" w:cs="Calibri"/>
                <w:sz w:val="20"/>
                <w:szCs w:val="20"/>
              </w:rPr>
            </w:pPr>
            <w:r w:rsidRPr="00417BEA">
              <w:rPr>
                <w:rFonts w:ascii="Calibri" w:hAnsi="Calibri" w:cs="Calibri"/>
                <w:sz w:val="20"/>
                <w:szCs w:val="20"/>
              </w:rPr>
              <w:t>LNBL-1096E [</w:t>
            </w:r>
            <w:r w:rsidR="00DA6AC3">
              <w:rPr>
                <w:rFonts w:ascii="Calibri" w:hAnsi="Calibri" w:cs="Calibri"/>
                <w:sz w:val="20"/>
                <w:szCs w:val="20"/>
              </w:rPr>
              <w:fldChar w:fldCharType="begin"/>
            </w:r>
            <w:r w:rsidR="00DA6AC3">
              <w:rPr>
                <w:rFonts w:ascii="Calibri" w:hAnsi="Calibri" w:cs="Calibri"/>
                <w:sz w:val="20"/>
                <w:szCs w:val="20"/>
              </w:rPr>
              <w:instrText xml:space="preserve"> REF J \h </w:instrText>
            </w:r>
            <w:r w:rsidR="00DA6AC3">
              <w:rPr>
                <w:rFonts w:ascii="Calibri" w:hAnsi="Calibri" w:cs="Calibri"/>
                <w:sz w:val="20"/>
                <w:szCs w:val="20"/>
              </w:rPr>
            </w:r>
            <w:r w:rsidR="00DA6AC3">
              <w:rPr>
                <w:rFonts w:ascii="Calibri" w:hAnsi="Calibri" w:cs="Calibri"/>
                <w:sz w:val="20"/>
                <w:szCs w:val="20"/>
              </w:rPr>
              <w:fldChar w:fldCharType="separate"/>
            </w:r>
            <w:r w:rsidR="0095321C">
              <w:rPr>
                <w:rFonts w:asciiTheme="minorHAnsi" w:hAnsiTheme="minorHAnsi" w:cs="Calibri"/>
                <w:b/>
                <w:bCs/>
                <w:noProof/>
                <w:sz w:val="22"/>
                <w:szCs w:val="22"/>
              </w:rPr>
              <w:t>J</w:t>
            </w:r>
            <w:r w:rsidR="00DA6AC3">
              <w:rPr>
                <w:rFonts w:ascii="Calibri" w:hAnsi="Calibri" w:cs="Calibri"/>
                <w:sz w:val="20"/>
                <w:szCs w:val="20"/>
              </w:rPr>
              <w:fldChar w:fldCharType="end"/>
            </w:r>
            <w:r w:rsidR="00417BEA" w:rsidRPr="00356C9F">
              <w:rPr>
                <w:rFonts w:ascii="Calibri" w:hAnsi="Calibri" w:cs="Calibri"/>
                <w:sz w:val="20"/>
                <w:szCs w:val="20"/>
              </w:rPr>
              <w:fldChar w:fldCharType="begin"/>
            </w:r>
            <w:r w:rsidR="00417BEA" w:rsidRPr="00417BEA">
              <w:rPr>
                <w:rFonts w:ascii="Calibri" w:hAnsi="Calibri" w:cs="Calibri"/>
                <w:sz w:val="20"/>
                <w:szCs w:val="20"/>
              </w:rPr>
              <w:instrText xml:space="preserve"> REF _Ref387410335 \h </w:instrText>
            </w:r>
            <w:r w:rsidR="00417BEA" w:rsidRPr="001B7EAB">
              <w:rPr>
                <w:rFonts w:ascii="Calibri" w:hAnsi="Calibri" w:cs="Calibri"/>
                <w:sz w:val="20"/>
                <w:szCs w:val="20"/>
              </w:rPr>
              <w:instrText xml:space="preserve"> \* MERGEFORMAT </w:instrText>
            </w:r>
            <w:r w:rsidR="00417BEA" w:rsidRPr="00356C9F">
              <w:rPr>
                <w:rFonts w:ascii="Calibri" w:hAnsi="Calibri" w:cs="Calibri"/>
                <w:sz w:val="20"/>
                <w:szCs w:val="20"/>
              </w:rPr>
            </w:r>
            <w:r w:rsidR="00417BEA" w:rsidRPr="00356C9F">
              <w:rPr>
                <w:rFonts w:ascii="Calibri" w:hAnsi="Calibri" w:cs="Calibri"/>
                <w:sz w:val="20"/>
                <w:szCs w:val="20"/>
              </w:rPr>
              <w:fldChar w:fldCharType="end"/>
            </w:r>
            <w:r w:rsidRPr="00417BEA">
              <w:rPr>
                <w:rFonts w:ascii="Calibri" w:hAnsi="Calibri" w:cs="Calibri"/>
                <w:sz w:val="20"/>
                <w:szCs w:val="20"/>
              </w:rPr>
              <w:t>]</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$19.98</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$9.00</w:t>
            </w:r>
          </w:p>
        </w:tc>
      </w:tr>
      <w:tr w:rsidR="006154AA" w:rsidRPr="008A17ED" w:rsidTr="00361E7F">
        <w:trPr>
          <w:cnfStyle w:val="000000010000" w:firstRow="0" w:lastRow="0" w:firstColumn="0" w:lastColumn="0" w:oddVBand="0" w:evenVBand="0" w:oddHBand="0" w:evenHBand="1" w:firstRowFirstColumn="0" w:firstRowLastColumn="0" w:lastRowFirstColumn="0" w:lastRowLastColumn="0"/>
        </w:trPr>
        <w:tc>
          <w:tcPr>
            <w:tcW w:w="1872" w:type="pct"/>
          </w:tcPr>
          <w:p w:rsidR="006154AA" w:rsidRPr="00417BEA" w:rsidRDefault="006154AA" w:rsidP="00BC123D">
            <w:pPr>
              <w:rPr>
                <w:rFonts w:ascii="Calibri" w:hAnsi="Calibri" w:cs="Calibri"/>
                <w:sz w:val="20"/>
                <w:szCs w:val="20"/>
              </w:rPr>
            </w:pPr>
            <w:r w:rsidRPr="00417BEA">
              <w:rPr>
                <w:rFonts w:ascii="Calibri" w:hAnsi="Calibri" w:cs="Calibri"/>
                <w:sz w:val="20"/>
                <w:szCs w:val="20"/>
              </w:rPr>
              <w:t>TIAX 2004 [</w:t>
            </w:r>
            <w:r w:rsidR="00DA6AC3">
              <w:rPr>
                <w:rFonts w:ascii="Calibri" w:hAnsi="Calibri" w:cs="Calibri"/>
                <w:sz w:val="20"/>
                <w:szCs w:val="20"/>
              </w:rPr>
              <w:fldChar w:fldCharType="begin"/>
            </w:r>
            <w:r w:rsidR="00DA6AC3">
              <w:rPr>
                <w:rFonts w:ascii="Calibri" w:hAnsi="Calibri" w:cs="Calibri"/>
                <w:sz w:val="20"/>
                <w:szCs w:val="20"/>
              </w:rPr>
              <w:instrText xml:space="preserve"> REF K \h </w:instrText>
            </w:r>
            <w:r w:rsidR="00DA6AC3">
              <w:rPr>
                <w:rFonts w:ascii="Calibri" w:hAnsi="Calibri" w:cs="Calibri"/>
                <w:sz w:val="20"/>
                <w:szCs w:val="20"/>
              </w:rPr>
            </w:r>
            <w:r w:rsidR="00DA6AC3">
              <w:rPr>
                <w:rFonts w:ascii="Calibri" w:hAnsi="Calibri" w:cs="Calibri"/>
                <w:sz w:val="20"/>
                <w:szCs w:val="20"/>
              </w:rPr>
              <w:fldChar w:fldCharType="separate"/>
            </w:r>
            <w:r w:rsidR="0095321C">
              <w:rPr>
                <w:rFonts w:asciiTheme="minorHAnsi" w:hAnsiTheme="minorHAnsi" w:cs="Calibri"/>
                <w:bCs/>
                <w:noProof/>
                <w:sz w:val="22"/>
                <w:szCs w:val="22"/>
              </w:rPr>
              <w:t>K</w:t>
            </w:r>
            <w:r w:rsidR="00DA6AC3">
              <w:rPr>
                <w:rFonts w:ascii="Calibri" w:hAnsi="Calibri" w:cs="Calibri"/>
                <w:sz w:val="20"/>
                <w:szCs w:val="20"/>
              </w:rPr>
              <w:fldChar w:fldCharType="end"/>
            </w:r>
            <w:r w:rsidRPr="00417BEA">
              <w:rPr>
                <w:rFonts w:ascii="Calibri" w:hAnsi="Calibri" w:cs="Calibri"/>
                <w:sz w:val="20"/>
                <w:szCs w:val="20"/>
              </w:rPr>
              <w:t>]</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$8.00 to $20.00</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$9.00</w:t>
            </w:r>
          </w:p>
        </w:tc>
      </w:tr>
      <w:tr w:rsidR="006154AA" w:rsidRPr="002D67D1" w:rsidTr="00361E7F">
        <w:trPr>
          <w:cnfStyle w:val="000000100000" w:firstRow="0" w:lastRow="0" w:firstColumn="0" w:lastColumn="0" w:oddVBand="0" w:evenVBand="0" w:oddHBand="1" w:evenHBand="0" w:firstRowFirstColumn="0" w:firstRowLastColumn="0" w:lastRowFirstColumn="0" w:lastRowLastColumn="0"/>
        </w:trPr>
        <w:tc>
          <w:tcPr>
            <w:tcW w:w="1872" w:type="pct"/>
          </w:tcPr>
          <w:p w:rsidR="006154AA" w:rsidRPr="00417BEA" w:rsidRDefault="006154AA" w:rsidP="00BC123D">
            <w:pPr>
              <w:rPr>
                <w:rFonts w:ascii="Calibri" w:hAnsi="Calibri" w:cs="Calibri"/>
                <w:sz w:val="20"/>
                <w:szCs w:val="20"/>
              </w:rPr>
            </w:pPr>
            <w:r w:rsidRPr="00417BEA">
              <w:rPr>
                <w:rFonts w:ascii="Calibri" w:hAnsi="Calibri" w:cs="Calibri"/>
                <w:sz w:val="20"/>
                <w:szCs w:val="20"/>
              </w:rPr>
              <w:t>NEEA 2003 [</w:t>
            </w:r>
            <w:r w:rsidR="00DA6AC3">
              <w:rPr>
                <w:rFonts w:ascii="Calibri" w:hAnsi="Calibri" w:cs="Calibri"/>
                <w:sz w:val="20"/>
                <w:szCs w:val="20"/>
              </w:rPr>
              <w:fldChar w:fldCharType="begin"/>
            </w:r>
            <w:r w:rsidR="00DA6AC3">
              <w:rPr>
                <w:rFonts w:ascii="Calibri" w:hAnsi="Calibri" w:cs="Calibri"/>
                <w:sz w:val="20"/>
                <w:szCs w:val="20"/>
              </w:rPr>
              <w:instrText xml:space="preserve"> REF L \h </w:instrText>
            </w:r>
            <w:r w:rsidR="00DA6AC3">
              <w:rPr>
                <w:rFonts w:ascii="Calibri" w:hAnsi="Calibri" w:cs="Calibri"/>
                <w:sz w:val="20"/>
                <w:szCs w:val="20"/>
              </w:rPr>
            </w:r>
            <w:r w:rsidR="00DA6AC3">
              <w:rPr>
                <w:rFonts w:ascii="Calibri" w:hAnsi="Calibri" w:cs="Calibri"/>
                <w:sz w:val="20"/>
                <w:szCs w:val="20"/>
              </w:rPr>
              <w:fldChar w:fldCharType="separate"/>
            </w:r>
            <w:r w:rsidR="0095321C">
              <w:rPr>
                <w:rFonts w:asciiTheme="minorHAnsi" w:hAnsiTheme="minorHAnsi" w:cs="Calibri"/>
                <w:bCs/>
                <w:noProof/>
                <w:sz w:val="22"/>
                <w:szCs w:val="22"/>
              </w:rPr>
              <w:t>L</w:t>
            </w:r>
            <w:r w:rsidR="00DA6AC3">
              <w:rPr>
                <w:rFonts w:ascii="Calibri" w:hAnsi="Calibri" w:cs="Calibri"/>
                <w:sz w:val="20"/>
                <w:szCs w:val="20"/>
              </w:rPr>
              <w:fldChar w:fldCharType="end"/>
            </w:r>
            <w:r w:rsidR="00DA6AC3">
              <w:rPr>
                <w:rFonts w:ascii="Calibri" w:hAnsi="Calibri" w:cs="Calibri"/>
                <w:sz w:val="20"/>
                <w:szCs w:val="20"/>
              </w:rPr>
              <w:t>]</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$15.00</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$2.50</w:t>
            </w:r>
          </w:p>
        </w:tc>
      </w:tr>
      <w:tr w:rsidR="006154AA" w:rsidRPr="008A17ED" w:rsidTr="00361E7F">
        <w:trPr>
          <w:cnfStyle w:val="000000010000" w:firstRow="0" w:lastRow="0" w:firstColumn="0" w:lastColumn="0" w:oddVBand="0" w:evenVBand="0" w:oddHBand="0" w:evenHBand="1" w:firstRowFirstColumn="0" w:firstRowLastColumn="0" w:lastRowFirstColumn="0" w:lastRowLastColumn="0"/>
        </w:trPr>
        <w:tc>
          <w:tcPr>
            <w:tcW w:w="1872" w:type="pct"/>
          </w:tcPr>
          <w:p w:rsidR="006154AA" w:rsidRPr="00417BEA" w:rsidRDefault="006154AA" w:rsidP="00BC123D">
            <w:pPr>
              <w:rPr>
                <w:rFonts w:ascii="Calibri" w:hAnsi="Calibri" w:cs="Calibri"/>
                <w:sz w:val="20"/>
                <w:szCs w:val="20"/>
              </w:rPr>
            </w:pPr>
            <w:r w:rsidRPr="00417BEA">
              <w:rPr>
                <w:rFonts w:ascii="Calibri" w:hAnsi="Calibri" w:cs="Calibri"/>
                <w:sz w:val="20"/>
                <w:szCs w:val="20"/>
              </w:rPr>
              <w:t>NEEA 2005 [</w:t>
            </w:r>
            <w:r w:rsidR="00DA6AC3">
              <w:rPr>
                <w:rFonts w:ascii="Calibri" w:hAnsi="Calibri" w:cs="Calibri"/>
                <w:sz w:val="20"/>
                <w:szCs w:val="20"/>
              </w:rPr>
              <w:fldChar w:fldCharType="begin"/>
            </w:r>
            <w:r w:rsidR="00DA6AC3">
              <w:rPr>
                <w:rFonts w:ascii="Calibri" w:hAnsi="Calibri" w:cs="Calibri"/>
                <w:sz w:val="20"/>
                <w:szCs w:val="20"/>
              </w:rPr>
              <w:instrText xml:space="preserve"> REF M \h </w:instrText>
            </w:r>
            <w:r w:rsidR="00DA6AC3">
              <w:rPr>
                <w:rFonts w:ascii="Calibri" w:hAnsi="Calibri" w:cs="Calibri"/>
                <w:sz w:val="20"/>
                <w:szCs w:val="20"/>
              </w:rPr>
            </w:r>
            <w:r w:rsidR="00DA6AC3">
              <w:rPr>
                <w:rFonts w:ascii="Calibri" w:hAnsi="Calibri" w:cs="Calibri"/>
                <w:sz w:val="20"/>
                <w:szCs w:val="20"/>
              </w:rPr>
              <w:fldChar w:fldCharType="separate"/>
            </w:r>
            <w:r w:rsidR="0095321C">
              <w:rPr>
                <w:rFonts w:asciiTheme="minorHAnsi" w:hAnsiTheme="minorHAnsi" w:cs="Calibri"/>
                <w:b/>
                <w:bCs/>
                <w:noProof/>
                <w:sz w:val="22"/>
                <w:szCs w:val="22"/>
              </w:rPr>
              <w:t>M</w:t>
            </w:r>
            <w:r w:rsidR="00DA6AC3">
              <w:rPr>
                <w:rFonts w:ascii="Calibri" w:hAnsi="Calibri" w:cs="Calibri"/>
                <w:sz w:val="20"/>
                <w:szCs w:val="20"/>
              </w:rPr>
              <w:fldChar w:fldCharType="end"/>
            </w:r>
            <w:r w:rsidR="00417BEA" w:rsidRPr="00356C9F">
              <w:rPr>
                <w:rStyle w:val="EndnoteReference"/>
                <w:rFonts w:ascii="Calibri" w:hAnsi="Calibri" w:cs="Calibri"/>
                <w:sz w:val="20"/>
                <w:szCs w:val="20"/>
                <w:vertAlign w:val="baseline"/>
              </w:rPr>
              <w:fldChar w:fldCharType="begin"/>
            </w:r>
            <w:r w:rsidR="00417BEA" w:rsidRPr="00417BEA">
              <w:rPr>
                <w:rFonts w:ascii="Calibri" w:hAnsi="Calibri" w:cs="Calibri"/>
                <w:sz w:val="20"/>
                <w:szCs w:val="20"/>
              </w:rPr>
              <w:instrText xml:space="preserve"> REF _Ref387410357 \h </w:instrText>
            </w:r>
            <w:r w:rsidR="00417BEA" w:rsidRPr="001B7EAB">
              <w:rPr>
                <w:rStyle w:val="EndnoteReference"/>
                <w:rFonts w:ascii="Calibri" w:hAnsi="Calibri" w:cs="Calibri"/>
                <w:sz w:val="20"/>
                <w:szCs w:val="20"/>
                <w:vertAlign w:val="baseline"/>
              </w:rPr>
              <w:instrText xml:space="preserve"> \* MERGEFORMAT </w:instrText>
            </w:r>
            <w:r w:rsidR="00417BEA" w:rsidRPr="00356C9F">
              <w:rPr>
                <w:rStyle w:val="EndnoteReference"/>
                <w:rFonts w:ascii="Calibri" w:hAnsi="Calibri" w:cs="Calibri"/>
                <w:sz w:val="20"/>
                <w:szCs w:val="20"/>
                <w:vertAlign w:val="baseline"/>
              </w:rPr>
            </w:r>
            <w:r w:rsidR="00417BEA" w:rsidRPr="00356C9F">
              <w:rPr>
                <w:rStyle w:val="EndnoteReference"/>
                <w:rFonts w:ascii="Calibri" w:hAnsi="Calibri" w:cs="Calibri"/>
                <w:sz w:val="20"/>
                <w:szCs w:val="20"/>
                <w:vertAlign w:val="baseline"/>
              </w:rPr>
              <w:fldChar w:fldCharType="end"/>
            </w:r>
            <w:r w:rsidRPr="00417BEA">
              <w:rPr>
                <w:rFonts w:ascii="Calibri" w:hAnsi="Calibri" w:cs="Calibri"/>
                <w:sz w:val="20"/>
                <w:szCs w:val="20"/>
              </w:rPr>
              <w:t>]</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$18.00 Average</w:t>
            </w:r>
          </w:p>
        </w:tc>
        <w:tc>
          <w:tcPr>
            <w:tcW w:w="1564" w:type="pct"/>
          </w:tcPr>
          <w:p w:rsidR="006154AA" w:rsidRPr="00C96F5E" w:rsidRDefault="006154AA" w:rsidP="00C96F5E">
            <w:pPr>
              <w:jc w:val="center"/>
              <w:rPr>
                <w:rFonts w:asciiTheme="minorHAnsi" w:hAnsiTheme="minorHAnsi" w:cstheme="minorHAnsi"/>
                <w:sz w:val="20"/>
                <w:szCs w:val="20"/>
              </w:rPr>
            </w:pPr>
            <w:r w:rsidRPr="00C96F5E">
              <w:rPr>
                <w:rFonts w:asciiTheme="minorHAnsi" w:hAnsiTheme="minorHAnsi" w:cstheme="minorHAnsi"/>
                <w:sz w:val="20"/>
                <w:szCs w:val="20"/>
              </w:rPr>
              <w:t>$5.00</w:t>
            </w:r>
          </w:p>
        </w:tc>
      </w:tr>
    </w:tbl>
    <w:p w:rsidR="006154AA" w:rsidRPr="008A17ED" w:rsidRDefault="006154AA" w:rsidP="006154AA">
      <w:pPr>
        <w:rPr>
          <w:rFonts w:ascii="Calibri" w:hAnsi="Calibri" w:cs="Calibri"/>
        </w:rPr>
      </w:pPr>
    </w:p>
    <w:p w:rsidR="006154AA" w:rsidRPr="001B7EAB" w:rsidRDefault="006154AA" w:rsidP="006154AA">
      <w:pPr>
        <w:rPr>
          <w:rFonts w:asciiTheme="minorHAnsi" w:hAnsiTheme="minorHAnsi" w:cs="Calibri"/>
          <w:sz w:val="22"/>
          <w:szCs w:val="22"/>
        </w:rPr>
      </w:pPr>
      <w:r w:rsidRPr="001B7EAB">
        <w:rPr>
          <w:rFonts w:asciiTheme="minorHAnsi" w:hAnsiTheme="minorHAnsi" w:cs="Calibri"/>
          <w:sz w:val="22"/>
          <w:szCs w:val="22"/>
        </w:rPr>
        <w:t xml:space="preserve">Given the wide range of costs listed in </w:t>
      </w:r>
      <w:r w:rsidR="00DA6AC3" w:rsidRPr="00BC123D">
        <w:rPr>
          <w:rFonts w:asciiTheme="minorHAnsi" w:hAnsiTheme="minorHAnsi" w:cs="Calibri"/>
          <w:sz w:val="22"/>
          <w:szCs w:val="22"/>
        </w:rPr>
        <w:fldChar w:fldCharType="begin"/>
      </w:r>
      <w:r w:rsidR="00DA6AC3" w:rsidRPr="00DA6AC3">
        <w:rPr>
          <w:rFonts w:asciiTheme="minorHAnsi" w:hAnsiTheme="minorHAnsi" w:cs="Calibri"/>
          <w:sz w:val="22"/>
          <w:szCs w:val="22"/>
        </w:rPr>
        <w:instrText xml:space="preserve"> REF _Ref390257437 \h </w:instrText>
      </w:r>
      <w:r w:rsidR="00DA6AC3">
        <w:rPr>
          <w:rFonts w:asciiTheme="minorHAnsi" w:hAnsiTheme="minorHAnsi" w:cs="Calibri"/>
          <w:sz w:val="22"/>
          <w:szCs w:val="22"/>
        </w:rPr>
        <w:instrText xml:space="preserve"> \* MERGEFORMAT </w:instrText>
      </w:r>
      <w:r w:rsidR="00DA6AC3" w:rsidRPr="00BC123D">
        <w:rPr>
          <w:rFonts w:asciiTheme="minorHAnsi" w:hAnsiTheme="minorHAnsi" w:cs="Calibri"/>
          <w:sz w:val="22"/>
          <w:szCs w:val="22"/>
        </w:rPr>
      </w:r>
      <w:r w:rsidR="00DA6AC3" w:rsidRPr="00BC123D">
        <w:rPr>
          <w:rFonts w:asciiTheme="minorHAnsi" w:hAnsiTheme="minorHAnsi" w:cs="Calibri"/>
          <w:sz w:val="22"/>
          <w:szCs w:val="22"/>
        </w:rPr>
        <w:fldChar w:fldCharType="separate"/>
      </w:r>
      <w:r w:rsidR="0095321C" w:rsidRPr="00763536">
        <w:rPr>
          <w:rFonts w:ascii="Calibri" w:hAnsi="Calibri" w:cs="Calibri"/>
          <w:sz w:val="22"/>
          <w:szCs w:val="22"/>
        </w:rPr>
        <w:t xml:space="preserve">Table </w:t>
      </w:r>
      <w:r w:rsidR="0095321C" w:rsidRPr="00763536">
        <w:rPr>
          <w:rFonts w:ascii="Calibri" w:hAnsi="Calibri" w:cs="Calibri"/>
          <w:noProof/>
          <w:sz w:val="22"/>
          <w:szCs w:val="22"/>
        </w:rPr>
        <w:t>13</w:t>
      </w:r>
      <w:r w:rsidR="00DA6AC3" w:rsidRPr="00BC123D">
        <w:rPr>
          <w:rFonts w:asciiTheme="minorHAnsi" w:hAnsiTheme="minorHAnsi" w:cs="Calibri"/>
          <w:sz w:val="22"/>
          <w:szCs w:val="22"/>
        </w:rPr>
        <w:fldChar w:fldCharType="end"/>
      </w:r>
      <w:r w:rsidR="00DA6AC3">
        <w:rPr>
          <w:rFonts w:asciiTheme="minorHAnsi" w:hAnsiTheme="minorHAnsi" w:cs="Calibri"/>
          <w:sz w:val="22"/>
          <w:szCs w:val="22"/>
        </w:rPr>
        <w:t xml:space="preserve">, </w:t>
      </w:r>
      <w:r w:rsidRPr="001B7EAB">
        <w:rPr>
          <w:rFonts w:asciiTheme="minorHAnsi" w:hAnsiTheme="minorHAnsi" w:cs="Calibri"/>
          <w:sz w:val="22"/>
          <w:szCs w:val="22"/>
        </w:rPr>
        <w:t>this work paper selected the LBNL-1096E report values that were used for estimating the U.S. commercial market potential, rounded to the nearest whole number:</w:t>
      </w:r>
    </w:p>
    <w:p w:rsidR="006154AA" w:rsidRPr="001B7EAB" w:rsidRDefault="006154AA" w:rsidP="006154AA">
      <w:pPr>
        <w:rPr>
          <w:rFonts w:asciiTheme="minorHAnsi" w:hAnsiTheme="minorHAnsi" w:cs="Calibri"/>
          <w:sz w:val="22"/>
          <w:szCs w:val="22"/>
        </w:rPr>
      </w:pPr>
    </w:p>
    <w:p w:rsidR="006154AA" w:rsidRPr="001B7EAB" w:rsidRDefault="006154AA" w:rsidP="006154AA">
      <w:pPr>
        <w:rPr>
          <w:rFonts w:asciiTheme="minorHAnsi" w:hAnsiTheme="minorHAnsi" w:cs="Calibri"/>
          <w:sz w:val="22"/>
          <w:szCs w:val="22"/>
        </w:rPr>
      </w:pPr>
      <w:r w:rsidRPr="001B7EAB">
        <w:rPr>
          <w:rFonts w:asciiTheme="minorHAnsi" w:hAnsiTheme="minorHAnsi" w:cs="Calibri"/>
          <w:sz w:val="22"/>
          <w:szCs w:val="22"/>
        </w:rPr>
        <w:tab/>
        <w:t xml:space="preserve">Measure Equipment Cost </w:t>
      </w:r>
      <w:r w:rsidRPr="001B7EAB">
        <w:rPr>
          <w:rFonts w:asciiTheme="minorHAnsi" w:hAnsiTheme="minorHAnsi"/>
          <w:noProof/>
          <w:sz w:val="22"/>
          <w:szCs w:val="22"/>
        </w:rPr>
        <w:drawing>
          <wp:inline distT="0" distB="0" distL="0" distR="0" wp14:anchorId="525C5EA1" wp14:editId="3CA71CCE">
            <wp:extent cx="71120" cy="71120"/>
            <wp:effectExtent l="0" t="0" r="5080" b="5080"/>
            <wp:docPr id="1" name="Picture 2" descr="\appro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rox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120" cy="71120"/>
                    </a:xfrm>
                    <a:prstGeom prst="rect">
                      <a:avLst/>
                    </a:prstGeom>
                    <a:noFill/>
                    <a:ln>
                      <a:noFill/>
                    </a:ln>
                  </pic:spPr>
                </pic:pic>
              </a:graphicData>
            </a:graphic>
          </wp:inline>
        </w:drawing>
      </w:r>
      <w:r w:rsidRPr="001B7EAB">
        <w:rPr>
          <w:rFonts w:asciiTheme="minorHAnsi" w:hAnsiTheme="minorHAnsi" w:cs="Calibri"/>
          <w:sz w:val="22"/>
          <w:szCs w:val="22"/>
        </w:rPr>
        <w:t xml:space="preserve"> $20.00 per computer</w:t>
      </w:r>
    </w:p>
    <w:p w:rsidR="006154AA" w:rsidRPr="001B7EAB" w:rsidRDefault="006154AA" w:rsidP="006154AA">
      <w:pPr>
        <w:rPr>
          <w:rFonts w:asciiTheme="minorHAnsi" w:hAnsiTheme="minorHAnsi"/>
          <w:sz w:val="22"/>
          <w:szCs w:val="22"/>
        </w:rPr>
      </w:pPr>
      <w:r w:rsidRPr="001B7EAB">
        <w:rPr>
          <w:rFonts w:asciiTheme="minorHAnsi" w:hAnsiTheme="minorHAnsi" w:cs="Calibri"/>
          <w:sz w:val="22"/>
          <w:szCs w:val="22"/>
        </w:rPr>
        <w:tab/>
      </w:r>
    </w:p>
    <w:p w:rsidR="002516F8" w:rsidRPr="001B7EAB" w:rsidRDefault="006154AA" w:rsidP="006154AA">
      <w:pPr>
        <w:rPr>
          <w:rFonts w:asciiTheme="minorHAnsi" w:hAnsiTheme="minorHAnsi"/>
          <w:sz w:val="22"/>
          <w:szCs w:val="22"/>
        </w:rPr>
      </w:pPr>
      <w:r w:rsidRPr="001B7EAB">
        <w:rPr>
          <w:rFonts w:asciiTheme="minorHAnsi" w:hAnsiTheme="minorHAnsi"/>
          <w:sz w:val="22"/>
          <w:szCs w:val="22"/>
        </w:rPr>
        <w:tab/>
      </w:r>
      <w:r w:rsidRPr="001B7EAB">
        <w:rPr>
          <w:rFonts w:asciiTheme="minorHAnsi" w:hAnsiTheme="minorHAnsi" w:cs="Calibri"/>
          <w:sz w:val="22"/>
          <w:szCs w:val="22"/>
        </w:rPr>
        <w:t>Installation Labor Cost = $9.00 per computer</w:t>
      </w:r>
    </w:p>
    <w:p w:rsidR="002516F8" w:rsidRDefault="002516F8" w:rsidP="006154AA">
      <w:pPr>
        <w:rPr>
          <w:sz w:val="22"/>
          <w:szCs w:val="22"/>
        </w:rPr>
      </w:pPr>
    </w:p>
    <w:p w:rsidR="005A0E53" w:rsidRDefault="005A0E53" w:rsidP="005A0E53">
      <w:pPr>
        <w:pStyle w:val="Heading3"/>
        <w:rPr>
          <w:rFonts w:asciiTheme="minorHAnsi" w:hAnsiTheme="minorHAnsi"/>
        </w:rPr>
      </w:pPr>
      <w:r w:rsidRPr="005A0E53">
        <w:rPr>
          <w:rFonts w:asciiTheme="minorHAnsi" w:hAnsiTheme="minorHAnsi"/>
        </w:rPr>
        <w:t>4.3.1 Gross Measure Cost</w:t>
      </w:r>
    </w:p>
    <w:p w:rsidR="00424075" w:rsidRPr="005133EC" w:rsidRDefault="008E0269" w:rsidP="00424075">
      <w:pPr>
        <w:rPr>
          <w:rFonts w:ascii="Calibri" w:hAnsi="Calibri" w:cs="Calibri"/>
          <w:sz w:val="22"/>
          <w:szCs w:val="22"/>
        </w:rPr>
      </w:pPr>
      <w:r w:rsidRPr="005133EC">
        <w:rPr>
          <w:rFonts w:ascii="Calibri" w:hAnsi="Calibri" w:cs="Calibri"/>
          <w:sz w:val="22"/>
          <w:szCs w:val="22"/>
        </w:rPr>
        <w:t xml:space="preserve">For </w:t>
      </w:r>
      <w:r w:rsidR="00964364" w:rsidRPr="005133EC">
        <w:rPr>
          <w:rFonts w:ascii="Calibri" w:hAnsi="Calibri" w:cs="Calibri"/>
          <w:sz w:val="22"/>
          <w:szCs w:val="22"/>
        </w:rPr>
        <w:t xml:space="preserve">REA </w:t>
      </w:r>
      <w:r w:rsidRPr="005133EC">
        <w:rPr>
          <w:rFonts w:ascii="Calibri" w:hAnsi="Calibri" w:cs="Calibri"/>
          <w:sz w:val="22"/>
          <w:szCs w:val="22"/>
        </w:rPr>
        <w:t xml:space="preserve">measures,  </w:t>
      </w:r>
    </w:p>
    <w:p w:rsidR="00424075" w:rsidRPr="001B7EAB" w:rsidRDefault="00424075" w:rsidP="00424075">
      <w:pPr>
        <w:rPr>
          <w:sz w:val="22"/>
          <w:szCs w:val="22"/>
        </w:rPr>
      </w:pPr>
    </w:p>
    <w:p w:rsidR="006154AA" w:rsidRPr="0045043F" w:rsidRDefault="006154AA" w:rsidP="006154AA">
      <w:pPr>
        <w:ind w:firstLine="720"/>
        <w:rPr>
          <w:rFonts w:ascii="Calibri" w:hAnsi="Calibri" w:cs="Calibri"/>
          <w:sz w:val="22"/>
          <w:szCs w:val="22"/>
        </w:rPr>
      </w:pPr>
      <w:bookmarkStart w:id="37" w:name="_Toc214003099"/>
      <w:r w:rsidRPr="0045043F">
        <w:rPr>
          <w:rFonts w:ascii="Calibri" w:hAnsi="Calibri" w:cs="Calibri"/>
          <w:sz w:val="22"/>
          <w:szCs w:val="22"/>
        </w:rPr>
        <w:t>Gross Measure Cost = Measure Equipment Cost + Installation Labor Cost</w:t>
      </w:r>
    </w:p>
    <w:p w:rsidR="006154AA" w:rsidRPr="00AE313D" w:rsidRDefault="006154AA" w:rsidP="006154AA">
      <w:pPr>
        <w:rPr>
          <w:rFonts w:ascii="Calibri" w:hAnsi="Calibri" w:cs="Calibri"/>
          <w:sz w:val="22"/>
          <w:szCs w:val="22"/>
        </w:rPr>
      </w:pPr>
      <w:r w:rsidRPr="00AE313D">
        <w:rPr>
          <w:rFonts w:ascii="Calibri" w:hAnsi="Calibri" w:cs="Calibri"/>
          <w:sz w:val="22"/>
          <w:szCs w:val="22"/>
        </w:rPr>
        <w:tab/>
      </w:r>
      <w:r w:rsidRPr="00AE313D">
        <w:rPr>
          <w:rFonts w:ascii="Calibri" w:hAnsi="Calibri" w:cs="Calibri"/>
          <w:sz w:val="22"/>
          <w:szCs w:val="22"/>
        </w:rPr>
        <w:tab/>
      </w:r>
      <w:r w:rsidRPr="00AE313D">
        <w:rPr>
          <w:rFonts w:ascii="Calibri" w:hAnsi="Calibri" w:cs="Calibri"/>
          <w:sz w:val="22"/>
          <w:szCs w:val="22"/>
        </w:rPr>
        <w:tab/>
        <w:t xml:space="preserve">        = $20.00 + $9.00 = $29.00 per computer</w:t>
      </w:r>
    </w:p>
    <w:p w:rsidR="006154AA" w:rsidRPr="0045043F" w:rsidRDefault="006154AA" w:rsidP="006154AA">
      <w:pPr>
        <w:rPr>
          <w:rFonts w:ascii="Calibri" w:hAnsi="Calibri" w:cs="Calibri"/>
          <w:sz w:val="22"/>
          <w:szCs w:val="22"/>
        </w:rPr>
      </w:pPr>
    </w:p>
    <w:p w:rsidR="00424075" w:rsidRPr="0045043F" w:rsidRDefault="00424075" w:rsidP="006154AA">
      <w:pPr>
        <w:rPr>
          <w:rFonts w:ascii="Calibri" w:hAnsi="Calibri" w:cs="Calibri"/>
          <w:sz w:val="22"/>
          <w:szCs w:val="22"/>
        </w:rPr>
      </w:pPr>
    </w:p>
    <w:p w:rsidR="006154AA" w:rsidRPr="001B7EAB" w:rsidRDefault="006154AA" w:rsidP="006154AA">
      <w:pPr>
        <w:rPr>
          <w:rFonts w:ascii="Calibri" w:hAnsi="Calibri" w:cs="Calibri"/>
          <w:sz w:val="22"/>
          <w:szCs w:val="22"/>
        </w:rPr>
      </w:pPr>
      <w:r w:rsidRPr="001B7EAB">
        <w:rPr>
          <w:rFonts w:ascii="Calibri" w:hAnsi="Calibri" w:cs="Calibri"/>
          <w:b/>
          <w:sz w:val="22"/>
          <w:szCs w:val="22"/>
        </w:rPr>
        <w:t>Direct Install</w:t>
      </w:r>
    </w:p>
    <w:p w:rsidR="006154AA" w:rsidRPr="00AE313D" w:rsidRDefault="006154AA" w:rsidP="006154AA">
      <w:pPr>
        <w:rPr>
          <w:rFonts w:ascii="Calibri" w:hAnsi="Calibri" w:cs="Calibri"/>
          <w:sz w:val="22"/>
          <w:szCs w:val="22"/>
        </w:rPr>
      </w:pPr>
      <w:r w:rsidRPr="0045043F">
        <w:rPr>
          <w:rFonts w:ascii="Calibri" w:hAnsi="Calibri" w:cs="Calibri"/>
          <w:sz w:val="22"/>
          <w:szCs w:val="22"/>
        </w:rPr>
        <w:t>SCE directly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w:t>
      </w:r>
      <w:r w:rsidRPr="00AE313D">
        <w:rPr>
          <w:rFonts w:ascii="Calibri" w:hAnsi="Calibri" w:cs="Calibri"/>
          <w:sz w:val="22"/>
          <w:szCs w:val="22"/>
        </w:rPr>
        <w:t>rogram tracking system is the only source for this data.</w:t>
      </w:r>
    </w:p>
    <w:p w:rsidR="005A0E53" w:rsidRPr="005A0E53" w:rsidRDefault="005A0E53" w:rsidP="005A0E53">
      <w:pPr>
        <w:pStyle w:val="Heading3"/>
        <w:rPr>
          <w:rFonts w:asciiTheme="minorHAnsi" w:hAnsiTheme="minorHAnsi"/>
        </w:rPr>
      </w:pPr>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FB486F" w:rsidRDefault="00424075">
      <w:pPr>
        <w:spacing w:after="200" w:line="276" w:lineRule="auto"/>
        <w:rPr>
          <w:rFonts w:asciiTheme="minorHAnsi" w:hAnsiTheme="minorHAnsi" w:cstheme="minorHAnsi"/>
          <w:b/>
          <w:bCs/>
          <w:smallCaps/>
          <w:kern w:val="32"/>
          <w:sz w:val="36"/>
          <w:szCs w:val="32"/>
        </w:rPr>
      </w:pPr>
      <w:r w:rsidRPr="00B4346E">
        <w:rPr>
          <w:rFonts w:ascii="Calibri" w:hAnsi="Calibri" w:cs="Calibri"/>
          <w:sz w:val="22"/>
          <w:szCs w:val="22"/>
        </w:rPr>
        <w:t xml:space="preserve">For </w:t>
      </w:r>
      <w:r w:rsidR="005471B6">
        <w:rPr>
          <w:rFonts w:ascii="Calibri" w:hAnsi="Calibri" w:cs="Calibri"/>
          <w:sz w:val="22"/>
          <w:szCs w:val="22"/>
        </w:rPr>
        <w:t xml:space="preserve">REA </w:t>
      </w:r>
      <w:r w:rsidR="00826ED8">
        <w:rPr>
          <w:rFonts w:ascii="Calibri" w:hAnsi="Calibri" w:cs="Calibri"/>
          <w:sz w:val="22"/>
          <w:szCs w:val="22"/>
        </w:rPr>
        <w:t>measures</w:t>
      </w:r>
      <w:r w:rsidR="003D42D6">
        <w:rPr>
          <w:rFonts w:ascii="Calibri" w:hAnsi="Calibri" w:cs="Calibri"/>
          <w:sz w:val="22"/>
          <w:szCs w:val="22"/>
        </w:rPr>
        <w:t>,</w:t>
      </w:r>
      <w:r w:rsidR="004209DC">
        <w:rPr>
          <w:rFonts w:ascii="Calibri" w:hAnsi="Calibri" w:cs="Calibri"/>
          <w:sz w:val="22"/>
          <w:szCs w:val="22"/>
        </w:rPr>
        <w:t xml:space="preserve"> </w:t>
      </w:r>
      <w:r w:rsidR="006154AA" w:rsidRPr="00B4346E">
        <w:rPr>
          <w:rFonts w:ascii="Calibri" w:hAnsi="Calibri" w:cs="Calibri"/>
          <w:sz w:val="22"/>
          <w:szCs w:val="22"/>
        </w:rPr>
        <w:t xml:space="preserve">the </w:t>
      </w:r>
      <w:r w:rsidR="00826ED8">
        <w:rPr>
          <w:rFonts w:ascii="Calibri" w:hAnsi="Calibri" w:cs="Calibri"/>
          <w:sz w:val="22"/>
          <w:szCs w:val="22"/>
        </w:rPr>
        <w:t>i</w:t>
      </w:r>
      <w:r w:rsidR="006154AA" w:rsidRPr="00B4346E">
        <w:rPr>
          <w:rFonts w:ascii="Calibri" w:hAnsi="Calibri" w:cs="Calibri"/>
          <w:sz w:val="22"/>
          <w:szCs w:val="22"/>
        </w:rPr>
        <w:t xml:space="preserve">ncremental </w:t>
      </w:r>
      <w:r w:rsidR="00826ED8">
        <w:rPr>
          <w:rFonts w:ascii="Calibri" w:hAnsi="Calibri" w:cs="Calibri"/>
          <w:sz w:val="22"/>
          <w:szCs w:val="22"/>
        </w:rPr>
        <w:t>m</w:t>
      </w:r>
      <w:r w:rsidR="006154AA" w:rsidRPr="00B4346E">
        <w:rPr>
          <w:rFonts w:ascii="Calibri" w:hAnsi="Calibri" w:cs="Calibri"/>
          <w:sz w:val="22"/>
          <w:szCs w:val="22"/>
        </w:rPr>
        <w:t xml:space="preserve">easure </w:t>
      </w:r>
      <w:r w:rsidR="004209DC">
        <w:rPr>
          <w:rFonts w:ascii="Calibri" w:hAnsi="Calibri" w:cs="Calibri"/>
          <w:sz w:val="22"/>
          <w:szCs w:val="22"/>
        </w:rPr>
        <w:t>c</w:t>
      </w:r>
      <w:r w:rsidR="006154AA" w:rsidRPr="00B4346E">
        <w:rPr>
          <w:rFonts w:ascii="Calibri" w:hAnsi="Calibri" w:cs="Calibri"/>
          <w:sz w:val="22"/>
          <w:szCs w:val="22"/>
        </w:rPr>
        <w:t>ost is equal to the Gross Measure Cost</w:t>
      </w:r>
      <w:r w:rsidR="00826ED8">
        <w:rPr>
          <w:rFonts w:ascii="Calibri" w:hAnsi="Calibri" w:cs="Calibri"/>
          <w:sz w:val="22"/>
          <w:szCs w:val="22"/>
        </w:rPr>
        <w:t>.</w:t>
      </w:r>
      <w:bookmarkEnd w:id="37"/>
    </w:p>
    <w:p w:rsidR="0095321C" w:rsidRDefault="0095321C">
      <w:pPr>
        <w:spacing w:after="200" w:line="276" w:lineRule="auto"/>
        <w:rPr>
          <w:rFonts w:asciiTheme="minorHAnsi" w:hAnsiTheme="minorHAnsi" w:cstheme="minorHAnsi"/>
          <w:b/>
          <w:bCs/>
          <w:smallCaps/>
          <w:kern w:val="32"/>
          <w:sz w:val="36"/>
          <w:szCs w:val="32"/>
        </w:rPr>
      </w:pPr>
      <w:r>
        <w:rPr>
          <w:rFonts w:asciiTheme="minorHAnsi" w:hAnsiTheme="minorHAnsi" w:cstheme="minorHAnsi"/>
          <w:b/>
          <w:bCs/>
          <w:smallCaps/>
          <w:kern w:val="32"/>
          <w:sz w:val="36"/>
          <w:szCs w:val="32"/>
        </w:rPr>
        <w:br w:type="page"/>
      </w:r>
    </w:p>
    <w:p w:rsidR="000917C1" w:rsidRDefault="000917C1" w:rsidP="0096171E">
      <w:pPr>
        <w:spacing w:after="200" w:line="276" w:lineRule="auto"/>
        <w:rPr>
          <w:rFonts w:asciiTheme="minorHAnsi" w:hAnsiTheme="minorHAnsi" w:cstheme="minorHAnsi"/>
        </w:rPr>
      </w:pPr>
      <w:r w:rsidRPr="0096171E">
        <w:rPr>
          <w:rFonts w:asciiTheme="minorHAnsi" w:hAnsiTheme="minorHAnsi" w:cstheme="minorHAnsi"/>
          <w:b/>
          <w:bCs/>
          <w:smallCaps/>
          <w:kern w:val="32"/>
          <w:sz w:val="36"/>
          <w:szCs w:val="32"/>
        </w:rPr>
        <w:t>References</w:t>
      </w:r>
    </w:p>
    <w:p w:rsidR="00F77947" w:rsidRPr="00F77947" w:rsidRDefault="00F77947" w:rsidP="00763536">
      <w:pPr>
        <w:pStyle w:val="Caption"/>
        <w:keepNext/>
        <w:rPr>
          <w:rFonts w:ascii="Calibri" w:hAnsi="Calibri" w:cs="Calibri"/>
          <w:sz w:val="22"/>
          <w:szCs w:val="24"/>
        </w:rPr>
      </w:pPr>
      <w:r w:rsidRPr="001B7EAB">
        <w:rPr>
          <w:rFonts w:ascii="Calibri" w:hAnsi="Calibri" w:cs="Calibri"/>
          <w:b w:val="0"/>
          <w:bCs w:val="0"/>
          <w:sz w:val="22"/>
          <w:szCs w:val="24"/>
        </w:rPr>
        <w:t xml:space="preserve"> </w:t>
      </w:r>
      <w:bookmarkStart w:id="38" w:name="A"/>
      <w:r w:rsidRPr="001B7EAB">
        <w:rPr>
          <w:rFonts w:ascii="Calibri" w:hAnsi="Calibri" w:cs="Calibri"/>
          <w:b w:val="0"/>
          <w:bCs w:val="0"/>
          <w:sz w:val="22"/>
          <w:szCs w:val="24"/>
        </w:rPr>
        <w:fldChar w:fldCharType="begin"/>
      </w:r>
      <w:r w:rsidRPr="001B7EAB">
        <w:rPr>
          <w:rFonts w:ascii="Calibri" w:hAnsi="Calibri" w:cs="Calibri"/>
          <w:b w:val="0"/>
          <w:bCs w:val="0"/>
          <w:sz w:val="22"/>
          <w:szCs w:val="24"/>
        </w:rPr>
        <w:instrText xml:space="preserve"> SEQ References \* ALPHABETIC </w:instrText>
      </w:r>
      <w:r w:rsidRPr="001B7EAB">
        <w:rPr>
          <w:rFonts w:ascii="Calibri" w:hAnsi="Calibri" w:cs="Calibri"/>
          <w:b w:val="0"/>
          <w:bCs w:val="0"/>
          <w:sz w:val="22"/>
          <w:szCs w:val="24"/>
        </w:rPr>
        <w:fldChar w:fldCharType="separate"/>
      </w:r>
      <w:bookmarkStart w:id="39" w:name="_Ref389061737"/>
      <w:r w:rsidR="0095321C">
        <w:rPr>
          <w:rFonts w:ascii="Calibri" w:hAnsi="Calibri" w:cs="Calibri"/>
          <w:b w:val="0"/>
          <w:bCs w:val="0"/>
          <w:noProof/>
          <w:sz w:val="22"/>
          <w:szCs w:val="24"/>
        </w:rPr>
        <w:t>A</w:t>
      </w:r>
      <w:bookmarkEnd w:id="39"/>
      <w:r w:rsidRPr="001B7EAB">
        <w:rPr>
          <w:rFonts w:ascii="Calibri" w:hAnsi="Calibri" w:cs="Calibri"/>
          <w:b w:val="0"/>
          <w:bCs w:val="0"/>
          <w:sz w:val="22"/>
          <w:szCs w:val="24"/>
        </w:rPr>
        <w:fldChar w:fldCharType="end"/>
      </w:r>
      <w:bookmarkEnd w:id="38"/>
      <w:r w:rsidR="00C276C5">
        <w:rPr>
          <w:rFonts w:ascii="Calibri" w:hAnsi="Calibri" w:cs="Calibri"/>
          <w:b w:val="0"/>
          <w:bCs w:val="0"/>
          <w:sz w:val="22"/>
          <w:szCs w:val="24"/>
        </w:rPr>
        <w:t>.</w:t>
      </w:r>
      <w:r w:rsidRPr="001B7EAB">
        <w:rPr>
          <w:rFonts w:ascii="Calibri" w:hAnsi="Calibri" w:cs="Calibri"/>
          <w:b w:val="0"/>
          <w:bCs w:val="0"/>
          <w:sz w:val="22"/>
          <w:szCs w:val="24"/>
        </w:rPr>
        <w:t xml:space="preserve"> </w:t>
      </w:r>
      <w:r w:rsidRPr="00F77947">
        <w:rPr>
          <w:rFonts w:ascii="Calibri" w:hAnsi="Calibri" w:cs="Calibri"/>
          <w:b w:val="0"/>
          <w:bCs w:val="0"/>
          <w:sz w:val="22"/>
          <w:szCs w:val="24"/>
        </w:rPr>
        <w:t>LBNL-1096E, Note C</w:t>
      </w:r>
      <w:r w:rsidR="001953AB">
        <w:rPr>
          <w:rFonts w:ascii="Calibri" w:hAnsi="Calibri" w:cs="Calibri"/>
          <w:b w:val="0"/>
          <w:bCs w:val="0"/>
          <w:sz w:val="22"/>
          <w:szCs w:val="24"/>
        </w:rPr>
        <w:t>2</w:t>
      </w:r>
      <w:r w:rsidRPr="00F77947">
        <w:rPr>
          <w:rFonts w:ascii="Calibri" w:hAnsi="Calibri" w:cs="Calibri"/>
          <w:b w:val="0"/>
          <w:bCs w:val="0"/>
          <w:sz w:val="22"/>
          <w:szCs w:val="24"/>
        </w:rPr>
        <w:t xml:space="preserve">, page 10. </w:t>
      </w:r>
    </w:p>
    <w:p w:rsidR="00F77947" w:rsidRDefault="00F77947" w:rsidP="001B7EAB">
      <w:pPr>
        <w:pStyle w:val="EndnoteText"/>
        <w:keepNext/>
      </w:pPr>
    </w:p>
    <w:bookmarkStart w:id="40" w:name="B"/>
    <w:p w:rsidR="00F77947" w:rsidRPr="001B7EAB" w:rsidRDefault="00F77947" w:rsidP="001B7EAB">
      <w:pPr>
        <w:pStyle w:val="Caption"/>
        <w:rPr>
          <w:rFonts w:ascii="Calibri" w:hAnsi="Calibri" w:cs="Calibri"/>
          <w:noProof/>
          <w:sz w:val="22"/>
          <w:szCs w:val="24"/>
        </w:rPr>
      </w:pPr>
      <w:r w:rsidRPr="001B7EAB">
        <w:rPr>
          <w:rFonts w:ascii="Calibri" w:hAnsi="Calibri" w:cs="Calibri"/>
          <w:b w:val="0"/>
          <w:bCs w:val="0"/>
          <w:noProof/>
          <w:sz w:val="22"/>
          <w:szCs w:val="24"/>
        </w:rPr>
        <w:fldChar w:fldCharType="begin"/>
      </w:r>
      <w:r w:rsidRPr="001B7EAB">
        <w:rPr>
          <w:rFonts w:ascii="Calibri" w:hAnsi="Calibri" w:cs="Calibri"/>
          <w:b w:val="0"/>
          <w:bCs w:val="0"/>
          <w:noProof/>
          <w:sz w:val="22"/>
          <w:szCs w:val="24"/>
        </w:rPr>
        <w:instrText xml:space="preserve"> SEQ References \* ALPHABETIC </w:instrText>
      </w:r>
      <w:r w:rsidRPr="001B7EAB">
        <w:rPr>
          <w:rFonts w:ascii="Calibri" w:hAnsi="Calibri" w:cs="Calibri"/>
          <w:b w:val="0"/>
          <w:bCs w:val="0"/>
          <w:noProof/>
          <w:sz w:val="22"/>
          <w:szCs w:val="24"/>
        </w:rPr>
        <w:fldChar w:fldCharType="separate"/>
      </w:r>
      <w:bookmarkStart w:id="41" w:name="_Ref387842879"/>
      <w:r w:rsidR="0095321C">
        <w:rPr>
          <w:rFonts w:ascii="Calibri" w:hAnsi="Calibri" w:cs="Calibri"/>
          <w:b w:val="0"/>
          <w:bCs w:val="0"/>
          <w:noProof/>
          <w:sz w:val="22"/>
          <w:szCs w:val="24"/>
        </w:rPr>
        <w:t>B</w:t>
      </w:r>
      <w:bookmarkEnd w:id="41"/>
      <w:r w:rsidRPr="001B7EAB">
        <w:rPr>
          <w:rFonts w:ascii="Calibri" w:hAnsi="Calibri" w:cs="Calibri"/>
          <w:b w:val="0"/>
          <w:bCs w:val="0"/>
          <w:noProof/>
          <w:sz w:val="22"/>
          <w:szCs w:val="24"/>
        </w:rPr>
        <w:fldChar w:fldCharType="end"/>
      </w:r>
      <w:bookmarkEnd w:id="40"/>
      <w:r w:rsidR="00C276C5">
        <w:rPr>
          <w:rFonts w:ascii="Calibri" w:hAnsi="Calibri" w:cs="Calibri"/>
          <w:b w:val="0"/>
          <w:bCs w:val="0"/>
          <w:noProof/>
          <w:sz w:val="22"/>
          <w:szCs w:val="24"/>
        </w:rPr>
        <w:t>.</w:t>
      </w:r>
      <w:r w:rsidRPr="001B7EAB">
        <w:rPr>
          <w:rFonts w:ascii="Calibri" w:hAnsi="Calibri" w:cs="Calibri"/>
          <w:b w:val="0"/>
          <w:bCs w:val="0"/>
          <w:noProof/>
          <w:sz w:val="22"/>
          <w:szCs w:val="24"/>
        </w:rPr>
        <w:t xml:space="preserve"> Ernest Orlando Lawrence Berkeley National Laboratory, “Electricity Used by Office Equipment and Network Equipment in the U.S.: Detailed Report and Appendices,” LBNL-45917, Kaoru Kawamoto, Jonathan G. Koomey, Bruce Nordman, Richard E. Brown, Mary Ann Piette, Michael Ting, and Alan K. Meier, February 2001, page 15.</w:t>
      </w:r>
    </w:p>
    <w:p w:rsidR="00F77947" w:rsidRPr="001B7EAB" w:rsidRDefault="00F77947" w:rsidP="00F77947">
      <w:pPr>
        <w:pStyle w:val="EndnoteText"/>
        <w:rPr>
          <w:rFonts w:ascii="Calibri" w:hAnsi="Calibri" w:cs="Calibri"/>
          <w:noProof/>
          <w:sz w:val="22"/>
          <w:szCs w:val="24"/>
        </w:rPr>
      </w:pPr>
    </w:p>
    <w:bookmarkStart w:id="42" w:name="C"/>
    <w:p w:rsidR="000917C1" w:rsidRPr="001B7EAB" w:rsidRDefault="00C276C5" w:rsidP="001B7EAB">
      <w:pPr>
        <w:pStyle w:val="Caption"/>
        <w:rPr>
          <w:rFonts w:ascii="Calibri" w:hAnsi="Calibri" w:cs="Calibri"/>
          <w:noProof/>
          <w:sz w:val="22"/>
        </w:rPr>
      </w:pPr>
      <w:r w:rsidRPr="001B7EAB">
        <w:rPr>
          <w:rFonts w:ascii="Calibri" w:hAnsi="Calibri" w:cs="Calibri"/>
          <w:b w:val="0"/>
          <w:bCs w:val="0"/>
          <w:noProof/>
          <w:sz w:val="22"/>
          <w:szCs w:val="24"/>
        </w:rPr>
        <w:fldChar w:fldCharType="begin"/>
      </w:r>
      <w:r w:rsidRPr="001B7EAB">
        <w:rPr>
          <w:rFonts w:ascii="Calibri" w:hAnsi="Calibri" w:cs="Calibri"/>
          <w:b w:val="0"/>
          <w:bCs w:val="0"/>
          <w:noProof/>
          <w:sz w:val="22"/>
          <w:szCs w:val="24"/>
        </w:rPr>
        <w:instrText xml:space="preserve"> SEQ References \* ALPHABETIC </w:instrText>
      </w:r>
      <w:r w:rsidRPr="001B7EAB">
        <w:rPr>
          <w:rFonts w:ascii="Calibri" w:hAnsi="Calibri" w:cs="Calibri"/>
          <w:b w:val="0"/>
          <w:bCs w:val="0"/>
          <w:noProof/>
          <w:sz w:val="22"/>
          <w:szCs w:val="24"/>
        </w:rPr>
        <w:fldChar w:fldCharType="separate"/>
      </w:r>
      <w:bookmarkStart w:id="43" w:name="_Ref387842846"/>
      <w:r w:rsidR="0095321C">
        <w:rPr>
          <w:rFonts w:ascii="Calibri" w:hAnsi="Calibri" w:cs="Calibri"/>
          <w:b w:val="0"/>
          <w:bCs w:val="0"/>
          <w:noProof/>
          <w:sz w:val="22"/>
          <w:szCs w:val="24"/>
        </w:rPr>
        <w:t>C</w:t>
      </w:r>
      <w:bookmarkEnd w:id="43"/>
      <w:r w:rsidRPr="001B7EAB">
        <w:rPr>
          <w:rFonts w:ascii="Calibri" w:hAnsi="Calibri" w:cs="Calibri"/>
          <w:b w:val="0"/>
          <w:bCs w:val="0"/>
          <w:noProof/>
          <w:sz w:val="22"/>
          <w:szCs w:val="24"/>
        </w:rPr>
        <w:fldChar w:fldCharType="end"/>
      </w:r>
      <w:bookmarkEnd w:id="42"/>
      <w:r>
        <w:rPr>
          <w:rFonts w:ascii="Calibri" w:hAnsi="Calibri" w:cs="Calibri"/>
          <w:b w:val="0"/>
          <w:bCs w:val="0"/>
          <w:noProof/>
          <w:sz w:val="22"/>
          <w:szCs w:val="24"/>
        </w:rPr>
        <w:t>.</w:t>
      </w:r>
      <w:r w:rsidRPr="001B7EAB">
        <w:rPr>
          <w:rFonts w:ascii="Calibri" w:hAnsi="Calibri" w:cs="Calibri"/>
          <w:b w:val="0"/>
          <w:bCs w:val="0"/>
          <w:noProof/>
          <w:sz w:val="22"/>
          <w:szCs w:val="24"/>
        </w:rPr>
        <w:t xml:space="preserve"> </w:t>
      </w:r>
      <w:r w:rsidR="00F77947" w:rsidRPr="001B7EAB">
        <w:rPr>
          <w:rFonts w:ascii="Calibri" w:hAnsi="Calibri" w:cs="Calibri"/>
          <w:b w:val="0"/>
          <w:bCs w:val="0"/>
          <w:noProof/>
          <w:sz w:val="22"/>
          <w:szCs w:val="24"/>
        </w:rPr>
        <w:t>Ernest Orlando Lawrence Berkeley National Laboratory, “Efficiency Improvements in U.S. Office Equipment: Expected Policy Impacts and Uncertainties,” LBNL-37383, J.G. Koomey, M. Cramer, M.A. Piette, and J.H. Eto, 1995.</w:t>
      </w:r>
    </w:p>
    <w:p w:rsidR="000E0FF4" w:rsidRDefault="000E0FF4" w:rsidP="001B7EAB">
      <w:pPr>
        <w:tabs>
          <w:tab w:val="left" w:pos="360"/>
        </w:tabs>
      </w:pPr>
    </w:p>
    <w:bookmarkStart w:id="44" w:name="D"/>
    <w:p w:rsidR="00FA768F" w:rsidRDefault="00FA768F" w:rsidP="001B7EAB">
      <w:pPr>
        <w:tabs>
          <w:tab w:val="left" w:pos="360"/>
        </w:tabs>
        <w:rPr>
          <w:rFonts w:ascii="Calibri" w:hAnsi="Calibri" w:cs="Calibri"/>
          <w:noProof/>
          <w:sz w:val="22"/>
        </w:rPr>
      </w:pPr>
      <w:r>
        <w:rPr>
          <w:rFonts w:ascii="Calibri" w:hAnsi="Calibri" w:cs="Calibri"/>
          <w:noProof/>
          <w:sz w:val="22"/>
        </w:rPr>
        <w:fldChar w:fldCharType="begin"/>
      </w:r>
      <w:r>
        <w:rPr>
          <w:rFonts w:ascii="Calibri" w:hAnsi="Calibri" w:cs="Calibri"/>
          <w:noProof/>
          <w:sz w:val="22"/>
        </w:rPr>
        <w:instrText xml:space="preserve"> SEQ References \* ALPHABETIC </w:instrText>
      </w:r>
      <w:r>
        <w:rPr>
          <w:rFonts w:ascii="Calibri" w:hAnsi="Calibri" w:cs="Calibri"/>
          <w:noProof/>
          <w:sz w:val="22"/>
        </w:rPr>
        <w:fldChar w:fldCharType="separate"/>
      </w:r>
      <w:bookmarkStart w:id="45" w:name="_Ref387410221"/>
      <w:r w:rsidR="0095321C">
        <w:rPr>
          <w:rFonts w:ascii="Calibri" w:hAnsi="Calibri" w:cs="Calibri"/>
          <w:noProof/>
          <w:sz w:val="22"/>
        </w:rPr>
        <w:t>D</w:t>
      </w:r>
      <w:bookmarkEnd w:id="45"/>
      <w:r>
        <w:rPr>
          <w:rFonts w:ascii="Calibri" w:hAnsi="Calibri" w:cs="Calibri"/>
          <w:noProof/>
          <w:sz w:val="22"/>
        </w:rPr>
        <w:fldChar w:fldCharType="end"/>
      </w:r>
      <w:bookmarkEnd w:id="44"/>
      <w:r w:rsidR="00990982">
        <w:rPr>
          <w:rFonts w:ascii="Calibri" w:hAnsi="Calibri" w:cs="Calibri"/>
          <w:noProof/>
          <w:sz w:val="22"/>
        </w:rPr>
        <w:t xml:space="preserve">. </w:t>
      </w:r>
      <w:r w:rsidR="00990982" w:rsidRPr="00990982">
        <w:rPr>
          <w:rFonts w:ascii="Calibri" w:hAnsi="Calibri" w:cs="Calibri"/>
          <w:noProof/>
          <w:sz w:val="22"/>
        </w:rPr>
        <w:t>THE 451 GROU</w:t>
      </w:r>
      <w:r w:rsidR="00990982">
        <w:rPr>
          <w:rFonts w:ascii="Calibri" w:hAnsi="Calibri" w:cs="Calibri"/>
          <w:noProof/>
          <w:sz w:val="22"/>
        </w:rPr>
        <w:t xml:space="preserve">P: ECO-EFFICIENT IT. </w:t>
      </w:r>
      <w:r w:rsidR="00990982" w:rsidRPr="00990982">
        <w:rPr>
          <w:rFonts w:ascii="Calibri" w:hAnsi="Calibri" w:cs="Calibri"/>
          <w:noProof/>
          <w:sz w:val="22"/>
        </w:rPr>
        <w:t>2010 THE 451 GROUP, LLC, TIER1 RESEARCH, LLC, AND/OR ITS AFFILIATES</w:t>
      </w:r>
    </w:p>
    <w:p w:rsidR="00224372" w:rsidRDefault="00224372" w:rsidP="001B7EAB">
      <w:pPr>
        <w:tabs>
          <w:tab w:val="left" w:pos="360"/>
        </w:tabs>
        <w:rPr>
          <w:rFonts w:ascii="Calibri" w:hAnsi="Calibri" w:cs="Calibri"/>
          <w:noProof/>
          <w:sz w:val="22"/>
        </w:rPr>
      </w:pPr>
    </w:p>
    <w:bookmarkStart w:id="46" w:name="E"/>
    <w:p w:rsidR="00224372" w:rsidRPr="001B7EAB" w:rsidRDefault="00224372" w:rsidP="001B7EAB">
      <w:pPr>
        <w:pStyle w:val="Caption"/>
        <w:rPr>
          <w:rFonts w:ascii="Calibri" w:hAnsi="Calibri" w:cs="Calibri"/>
          <w:noProof/>
          <w:sz w:val="22"/>
        </w:rPr>
      </w:pPr>
      <w:r w:rsidRPr="00EE4EFD">
        <w:rPr>
          <w:rFonts w:ascii="Calibri" w:hAnsi="Calibri" w:cs="Calibri"/>
          <w:b w:val="0"/>
          <w:bCs w:val="0"/>
          <w:noProof/>
          <w:sz w:val="22"/>
          <w:szCs w:val="24"/>
        </w:rPr>
        <w:fldChar w:fldCharType="begin"/>
      </w:r>
      <w:r w:rsidRPr="00EE4EFD">
        <w:rPr>
          <w:rFonts w:ascii="Calibri" w:hAnsi="Calibri" w:cs="Calibri"/>
          <w:b w:val="0"/>
          <w:bCs w:val="0"/>
          <w:noProof/>
          <w:sz w:val="22"/>
          <w:szCs w:val="24"/>
        </w:rPr>
        <w:instrText xml:space="preserve"> SEQ References \* ALPHABETIC </w:instrText>
      </w:r>
      <w:r w:rsidRPr="00EE4EFD">
        <w:rPr>
          <w:rFonts w:ascii="Calibri" w:hAnsi="Calibri" w:cs="Calibri"/>
          <w:b w:val="0"/>
          <w:bCs w:val="0"/>
          <w:noProof/>
          <w:sz w:val="22"/>
          <w:szCs w:val="24"/>
        </w:rPr>
        <w:fldChar w:fldCharType="separate"/>
      </w:r>
      <w:bookmarkStart w:id="47" w:name="_Ref387409680"/>
      <w:r w:rsidR="0095321C">
        <w:rPr>
          <w:rFonts w:ascii="Calibri" w:hAnsi="Calibri" w:cs="Calibri"/>
          <w:b w:val="0"/>
          <w:bCs w:val="0"/>
          <w:noProof/>
          <w:sz w:val="22"/>
          <w:szCs w:val="24"/>
        </w:rPr>
        <w:t>E</w:t>
      </w:r>
      <w:bookmarkEnd w:id="47"/>
      <w:r w:rsidRPr="00EE4EFD">
        <w:rPr>
          <w:rFonts w:ascii="Calibri" w:hAnsi="Calibri" w:cs="Calibri"/>
          <w:b w:val="0"/>
          <w:bCs w:val="0"/>
          <w:noProof/>
          <w:sz w:val="22"/>
          <w:szCs w:val="24"/>
        </w:rPr>
        <w:fldChar w:fldCharType="end"/>
      </w:r>
      <w:bookmarkEnd w:id="46"/>
      <w:r w:rsidRPr="00EE4EFD">
        <w:rPr>
          <w:rFonts w:ascii="Calibri" w:hAnsi="Calibri" w:cs="Calibri"/>
          <w:b w:val="0"/>
          <w:bCs w:val="0"/>
          <w:noProof/>
          <w:sz w:val="22"/>
          <w:szCs w:val="24"/>
        </w:rPr>
        <w:t xml:space="preserve">. Attachment </w:t>
      </w:r>
      <w:r>
        <w:rPr>
          <w:rFonts w:ascii="Calibri" w:hAnsi="Calibri" w:cs="Calibri"/>
          <w:b w:val="0"/>
          <w:bCs w:val="0"/>
          <w:noProof/>
          <w:sz w:val="22"/>
          <w:szCs w:val="24"/>
        </w:rPr>
        <w:t>2</w:t>
      </w:r>
      <w:r w:rsidRPr="00EE4EFD">
        <w:rPr>
          <w:rFonts w:ascii="Calibri" w:hAnsi="Calibri" w:cs="Calibri"/>
          <w:b w:val="0"/>
          <w:bCs w:val="0"/>
          <w:noProof/>
          <w:sz w:val="22"/>
          <w:szCs w:val="24"/>
        </w:rPr>
        <w:t xml:space="preserve">  – Summary of Studies.pdf</w:t>
      </w:r>
      <w:r w:rsidRPr="00EE4EFD">
        <w:rPr>
          <w:rFonts w:ascii="Calibri" w:hAnsi="Calibri" w:cs="Calibri"/>
          <w:b w:val="0"/>
          <w:bCs w:val="0"/>
          <w:noProof/>
          <w:sz w:val="22"/>
          <w:szCs w:val="24"/>
        </w:rPr>
        <w:fldChar w:fldCharType="begin"/>
      </w:r>
      <w:r w:rsidRPr="00EE4EFD">
        <w:rPr>
          <w:rFonts w:ascii="Calibri" w:hAnsi="Calibri" w:cs="Calibri"/>
          <w:b w:val="0"/>
          <w:bCs w:val="0"/>
          <w:noProof/>
          <w:sz w:val="22"/>
          <w:szCs w:val="24"/>
        </w:rPr>
        <w:instrText xml:space="preserve"> XE "E. Attachment 3  – Summary of Studies.pdf" \t "[G]" </w:instrText>
      </w:r>
      <w:r w:rsidRPr="00EE4EFD">
        <w:rPr>
          <w:rFonts w:ascii="Calibri" w:hAnsi="Calibri" w:cs="Calibri"/>
          <w:b w:val="0"/>
          <w:bCs w:val="0"/>
          <w:noProof/>
          <w:sz w:val="22"/>
          <w:szCs w:val="24"/>
        </w:rPr>
        <w:fldChar w:fldCharType="end"/>
      </w:r>
    </w:p>
    <w:p w:rsidR="000E0FF4" w:rsidRDefault="00337572" w:rsidP="001B7EAB">
      <w:pPr>
        <w:pStyle w:val="Caption"/>
        <w:rPr>
          <w:rFonts w:ascii="Calibri" w:hAnsi="Calibri" w:cs="Calibri"/>
          <w:noProof/>
          <w:sz w:val="22"/>
          <w:szCs w:val="24"/>
        </w:rPr>
      </w:pPr>
      <w:r w:rsidRPr="001B7EAB">
        <w:rPr>
          <w:rFonts w:ascii="Calibri" w:hAnsi="Calibri" w:cs="Calibri"/>
          <w:b w:val="0"/>
          <w:bCs w:val="0"/>
          <w:noProof/>
          <w:sz w:val="22"/>
          <w:szCs w:val="24"/>
        </w:rPr>
        <w:fldChar w:fldCharType="begin"/>
      </w:r>
      <w:r w:rsidRPr="001B7EAB">
        <w:rPr>
          <w:rFonts w:ascii="Calibri" w:hAnsi="Calibri" w:cs="Calibri"/>
          <w:b w:val="0"/>
          <w:bCs w:val="0"/>
          <w:noProof/>
          <w:sz w:val="22"/>
          <w:szCs w:val="24"/>
        </w:rPr>
        <w:instrText xml:space="preserve"> XE "E. Attachment 3  – Summary of Studies.pdf" \t "[G]" </w:instrText>
      </w:r>
      <w:r w:rsidRPr="001B7EAB">
        <w:rPr>
          <w:rFonts w:ascii="Calibri" w:hAnsi="Calibri" w:cs="Calibri"/>
          <w:b w:val="0"/>
          <w:bCs w:val="0"/>
          <w:noProof/>
          <w:sz w:val="22"/>
          <w:szCs w:val="24"/>
        </w:rPr>
        <w:fldChar w:fldCharType="end"/>
      </w:r>
    </w:p>
    <w:p w:rsidR="00114F16" w:rsidRDefault="00114F16" w:rsidP="001B7EAB">
      <w:pPr>
        <w:pStyle w:val="Caption"/>
        <w:rPr>
          <w:rFonts w:asciiTheme="minorHAnsi" w:hAnsiTheme="minorHAnsi" w:cs="Calibri"/>
          <w:b w:val="0"/>
          <w:bCs w:val="0"/>
          <w:noProof/>
          <w:sz w:val="22"/>
          <w:szCs w:val="22"/>
        </w:rPr>
      </w:pPr>
      <w:bookmarkStart w:id="48" w:name="F"/>
    </w:p>
    <w:p w:rsidR="005B656F" w:rsidRPr="001B7EAB" w:rsidRDefault="00990982" w:rsidP="001B7EAB">
      <w:pPr>
        <w:pStyle w:val="Caption"/>
        <w:rPr>
          <w:rFonts w:asciiTheme="minorHAnsi" w:hAnsiTheme="minorHAnsi" w:cs="Calibri"/>
          <w:b w:val="0"/>
          <w:bCs w:val="0"/>
          <w:noProof/>
          <w:sz w:val="22"/>
          <w:szCs w:val="22"/>
        </w:rPr>
      </w:pPr>
      <w:r w:rsidRPr="001B7EAB">
        <w:rPr>
          <w:rFonts w:asciiTheme="minorHAnsi" w:hAnsiTheme="minorHAnsi" w:cs="Calibri"/>
          <w:b w:val="0"/>
          <w:bCs w:val="0"/>
          <w:noProof/>
          <w:sz w:val="22"/>
          <w:szCs w:val="22"/>
        </w:rPr>
        <w:fldChar w:fldCharType="begin"/>
      </w:r>
      <w:r w:rsidRPr="001B7EAB">
        <w:rPr>
          <w:rFonts w:asciiTheme="minorHAnsi" w:hAnsiTheme="minorHAnsi" w:cs="Calibri"/>
          <w:b w:val="0"/>
          <w:bCs w:val="0"/>
          <w:noProof/>
          <w:sz w:val="22"/>
          <w:szCs w:val="22"/>
        </w:rPr>
        <w:instrText xml:space="preserve"> SEQ References \* ALPHABETIC </w:instrText>
      </w:r>
      <w:r w:rsidRPr="001B7EAB">
        <w:rPr>
          <w:rFonts w:asciiTheme="minorHAnsi" w:hAnsiTheme="minorHAnsi" w:cs="Calibri"/>
          <w:b w:val="0"/>
          <w:bCs w:val="0"/>
          <w:noProof/>
          <w:sz w:val="22"/>
          <w:szCs w:val="22"/>
        </w:rPr>
        <w:fldChar w:fldCharType="separate"/>
      </w:r>
      <w:bookmarkStart w:id="49" w:name="_Ref387409946"/>
      <w:r w:rsidR="0095321C">
        <w:rPr>
          <w:rFonts w:asciiTheme="minorHAnsi" w:hAnsiTheme="minorHAnsi" w:cs="Calibri"/>
          <w:b w:val="0"/>
          <w:bCs w:val="0"/>
          <w:noProof/>
          <w:sz w:val="22"/>
          <w:szCs w:val="22"/>
        </w:rPr>
        <w:t>F</w:t>
      </w:r>
      <w:bookmarkEnd w:id="49"/>
      <w:r w:rsidRPr="001B7EAB">
        <w:rPr>
          <w:rFonts w:asciiTheme="minorHAnsi" w:hAnsiTheme="minorHAnsi" w:cs="Calibri"/>
          <w:b w:val="0"/>
          <w:bCs w:val="0"/>
          <w:noProof/>
          <w:sz w:val="22"/>
          <w:szCs w:val="22"/>
        </w:rPr>
        <w:fldChar w:fldCharType="end"/>
      </w:r>
      <w:bookmarkEnd w:id="48"/>
      <w:r w:rsidRPr="001B7EAB">
        <w:rPr>
          <w:rFonts w:asciiTheme="minorHAnsi" w:hAnsiTheme="minorHAnsi" w:cs="Calibri"/>
          <w:b w:val="0"/>
          <w:bCs w:val="0"/>
          <w:noProof/>
          <w:sz w:val="22"/>
          <w:szCs w:val="22"/>
        </w:rPr>
        <w:t xml:space="preserve">. </w:t>
      </w:r>
      <w:r w:rsidR="005B656F" w:rsidRPr="001B7EAB">
        <w:rPr>
          <w:rFonts w:asciiTheme="minorHAnsi" w:hAnsiTheme="minorHAnsi" w:cs="Calibri"/>
          <w:b w:val="0"/>
          <w:bCs w:val="0"/>
          <w:noProof/>
          <w:sz w:val="22"/>
          <w:szCs w:val="22"/>
        </w:rPr>
        <w:t xml:space="preserve">Barr, M., C. Harty, and J. Nero. Thin Client Investigation including PC and Imaging State Data. Draft submitted to PG&amp;E Emerging Technologies Program. June 2010. </w:t>
      </w:r>
      <w:hyperlink r:id="rId13" w:history="1">
        <w:r w:rsidR="005B656F" w:rsidRPr="00763536">
          <w:rPr>
            <w:rFonts w:asciiTheme="minorHAnsi" w:hAnsiTheme="minorHAnsi"/>
            <w:b w:val="0"/>
            <w:noProof/>
            <w:szCs w:val="22"/>
          </w:rPr>
          <w:t>http://www.etcc-ca.com/component/content/article/48-Commercial/2977-thin-client-investigation-including-pc-and-imaging-state-data</w:t>
        </w:r>
      </w:hyperlink>
    </w:p>
    <w:p w:rsidR="005B656F" w:rsidRPr="00AB47D7" w:rsidRDefault="005B656F" w:rsidP="005B656F">
      <w:pPr>
        <w:pStyle w:val="EndnoteText"/>
        <w:rPr>
          <w:rStyle w:val="Hyperlink"/>
          <w:sz w:val="18"/>
        </w:rPr>
      </w:pPr>
    </w:p>
    <w:bookmarkStart w:id="50" w:name="G"/>
    <w:bookmarkStart w:id="51" w:name="_Ref387407064"/>
    <w:p w:rsidR="005B656F" w:rsidRPr="001B7EAB" w:rsidRDefault="002676C1" w:rsidP="001B7EAB">
      <w:pPr>
        <w:pStyle w:val="EndnoteText"/>
        <w:keepNext/>
        <w:rPr>
          <w:rFonts w:ascii="Calibri" w:hAnsi="Calibri" w:cs="Calibri"/>
          <w:noProof/>
          <w:sz w:val="22"/>
          <w:szCs w:val="24"/>
        </w:rPr>
      </w:pPr>
      <w:r w:rsidRPr="00763536">
        <w:rPr>
          <w:rFonts w:asciiTheme="minorHAnsi" w:hAnsiTheme="minorHAnsi" w:cs="Calibri"/>
          <w:bCs/>
          <w:noProof/>
          <w:sz w:val="22"/>
          <w:szCs w:val="22"/>
        </w:rPr>
        <w:fldChar w:fldCharType="begin"/>
      </w:r>
      <w:r w:rsidRPr="00763536">
        <w:rPr>
          <w:rFonts w:asciiTheme="minorHAnsi" w:hAnsiTheme="minorHAnsi" w:cs="Calibri"/>
          <w:bCs/>
          <w:noProof/>
          <w:sz w:val="22"/>
          <w:szCs w:val="22"/>
        </w:rPr>
        <w:instrText xml:space="preserve"> SEQ References \* ALPHABETIC </w:instrText>
      </w:r>
      <w:r w:rsidRPr="00763536">
        <w:rPr>
          <w:rFonts w:asciiTheme="minorHAnsi" w:hAnsiTheme="minorHAnsi" w:cs="Calibri"/>
          <w:bCs/>
          <w:noProof/>
          <w:sz w:val="22"/>
          <w:szCs w:val="22"/>
        </w:rPr>
        <w:fldChar w:fldCharType="separate"/>
      </w:r>
      <w:r w:rsidR="0095321C">
        <w:rPr>
          <w:rFonts w:asciiTheme="minorHAnsi" w:hAnsiTheme="minorHAnsi" w:cs="Calibri"/>
          <w:bCs/>
          <w:noProof/>
          <w:sz w:val="22"/>
          <w:szCs w:val="22"/>
        </w:rPr>
        <w:t>G</w:t>
      </w:r>
      <w:r w:rsidRPr="00763536">
        <w:rPr>
          <w:rFonts w:asciiTheme="minorHAnsi" w:hAnsiTheme="minorHAnsi" w:cs="Calibri"/>
          <w:bCs/>
          <w:noProof/>
          <w:sz w:val="22"/>
          <w:szCs w:val="22"/>
        </w:rPr>
        <w:fldChar w:fldCharType="end"/>
      </w:r>
      <w:bookmarkEnd w:id="50"/>
      <w:r w:rsidR="00990982" w:rsidRPr="001B7EAB">
        <w:rPr>
          <w:rFonts w:ascii="Calibri" w:hAnsi="Calibri" w:cs="Calibri"/>
          <w:noProof/>
          <w:sz w:val="22"/>
          <w:szCs w:val="24"/>
        </w:rPr>
        <w:t xml:space="preserve">. </w:t>
      </w:r>
      <w:r w:rsidR="005B656F" w:rsidRPr="00AB47D7">
        <w:rPr>
          <w:rFonts w:ascii="Calibri" w:hAnsi="Calibri" w:cs="Calibri"/>
          <w:noProof/>
          <w:sz w:val="22"/>
          <w:szCs w:val="24"/>
        </w:rPr>
        <w:t>Quantec 2005, page VI-3</w:t>
      </w:r>
      <w:bookmarkEnd w:id="51"/>
    </w:p>
    <w:p w:rsidR="005B656F" w:rsidRPr="00AB47D7" w:rsidRDefault="005B656F" w:rsidP="001B7EAB">
      <w:pPr>
        <w:pStyle w:val="EndnoteText"/>
        <w:keepNext/>
        <w:rPr>
          <w:rFonts w:ascii="Calibri" w:hAnsi="Calibri" w:cs="Calibri"/>
          <w:noProof/>
          <w:sz w:val="22"/>
          <w:szCs w:val="24"/>
        </w:rPr>
      </w:pPr>
    </w:p>
    <w:bookmarkStart w:id="52" w:name="H"/>
    <w:p w:rsidR="005B656F" w:rsidRPr="001B7EAB" w:rsidRDefault="002676C1" w:rsidP="001B7EAB">
      <w:pPr>
        <w:pStyle w:val="EndnoteText"/>
        <w:keepNext/>
        <w:rPr>
          <w:rFonts w:ascii="Calibri" w:hAnsi="Calibri" w:cs="Calibri"/>
          <w:noProof/>
          <w:sz w:val="22"/>
          <w:szCs w:val="24"/>
        </w:rPr>
      </w:pPr>
      <w:r w:rsidRPr="00763536">
        <w:rPr>
          <w:rFonts w:asciiTheme="minorHAnsi" w:hAnsiTheme="minorHAnsi" w:cs="Calibri"/>
          <w:bCs/>
          <w:noProof/>
          <w:sz w:val="22"/>
          <w:szCs w:val="22"/>
        </w:rPr>
        <w:fldChar w:fldCharType="begin"/>
      </w:r>
      <w:r w:rsidRPr="00763536">
        <w:rPr>
          <w:rFonts w:asciiTheme="minorHAnsi" w:hAnsiTheme="minorHAnsi" w:cs="Calibri"/>
          <w:bCs/>
          <w:noProof/>
          <w:sz w:val="22"/>
          <w:szCs w:val="22"/>
        </w:rPr>
        <w:instrText xml:space="preserve"> SEQ References \* ALPHABETIC </w:instrText>
      </w:r>
      <w:r w:rsidRPr="00763536">
        <w:rPr>
          <w:rFonts w:asciiTheme="minorHAnsi" w:hAnsiTheme="minorHAnsi" w:cs="Calibri"/>
          <w:bCs/>
          <w:noProof/>
          <w:sz w:val="22"/>
          <w:szCs w:val="22"/>
        </w:rPr>
        <w:fldChar w:fldCharType="separate"/>
      </w:r>
      <w:r w:rsidR="0095321C">
        <w:rPr>
          <w:rFonts w:asciiTheme="minorHAnsi" w:hAnsiTheme="minorHAnsi" w:cs="Calibri"/>
          <w:bCs/>
          <w:noProof/>
          <w:sz w:val="22"/>
          <w:szCs w:val="22"/>
        </w:rPr>
        <w:t>H</w:t>
      </w:r>
      <w:r w:rsidRPr="00763536">
        <w:rPr>
          <w:rFonts w:asciiTheme="minorHAnsi" w:hAnsiTheme="minorHAnsi" w:cs="Calibri"/>
          <w:bCs/>
          <w:noProof/>
          <w:sz w:val="22"/>
          <w:szCs w:val="22"/>
        </w:rPr>
        <w:fldChar w:fldCharType="end"/>
      </w:r>
      <w:bookmarkEnd w:id="52"/>
      <w:r w:rsidR="005B656F" w:rsidRPr="001B7EAB">
        <w:rPr>
          <w:rFonts w:ascii="Calibri" w:hAnsi="Calibri" w:cs="Calibri"/>
          <w:noProof/>
          <w:sz w:val="22"/>
          <w:szCs w:val="24"/>
        </w:rPr>
        <w:t>. LBNL-1096E, page 4-83</w:t>
      </w:r>
    </w:p>
    <w:p w:rsidR="005B656F" w:rsidRPr="00AB47D7" w:rsidRDefault="005B656F" w:rsidP="005B656F">
      <w:pPr>
        <w:pStyle w:val="EndnoteText"/>
        <w:rPr>
          <w:rFonts w:ascii="Calibri" w:hAnsi="Calibri" w:cs="Calibri"/>
          <w:sz w:val="22"/>
          <w:szCs w:val="24"/>
        </w:rPr>
      </w:pPr>
    </w:p>
    <w:bookmarkStart w:id="53" w:name="I"/>
    <w:p w:rsidR="005B656F" w:rsidRPr="001B7EAB" w:rsidRDefault="002676C1" w:rsidP="001B7EAB">
      <w:pPr>
        <w:pStyle w:val="Caption"/>
        <w:rPr>
          <w:rFonts w:ascii="Calibri" w:hAnsi="Calibri" w:cs="Calibri"/>
          <w:noProof/>
          <w:sz w:val="22"/>
          <w:szCs w:val="24"/>
        </w:rPr>
      </w:pPr>
      <w:r w:rsidRPr="001B7EAB">
        <w:rPr>
          <w:rFonts w:asciiTheme="minorHAnsi" w:hAnsiTheme="minorHAnsi" w:cs="Calibri"/>
          <w:b w:val="0"/>
          <w:bCs w:val="0"/>
          <w:noProof/>
          <w:sz w:val="22"/>
          <w:szCs w:val="22"/>
        </w:rPr>
        <w:fldChar w:fldCharType="begin"/>
      </w:r>
      <w:r w:rsidRPr="001B7EAB">
        <w:rPr>
          <w:rFonts w:asciiTheme="minorHAnsi" w:hAnsiTheme="minorHAnsi" w:cs="Calibri"/>
          <w:b w:val="0"/>
          <w:bCs w:val="0"/>
          <w:noProof/>
          <w:sz w:val="22"/>
          <w:szCs w:val="22"/>
        </w:rPr>
        <w:instrText xml:space="preserve"> SEQ References \* ALPHABETIC </w:instrText>
      </w:r>
      <w:r w:rsidRPr="001B7EAB">
        <w:rPr>
          <w:rFonts w:asciiTheme="minorHAnsi" w:hAnsiTheme="minorHAnsi" w:cs="Calibri"/>
          <w:b w:val="0"/>
          <w:bCs w:val="0"/>
          <w:noProof/>
          <w:sz w:val="22"/>
          <w:szCs w:val="22"/>
        </w:rPr>
        <w:fldChar w:fldCharType="separate"/>
      </w:r>
      <w:r w:rsidR="0095321C">
        <w:rPr>
          <w:rFonts w:asciiTheme="minorHAnsi" w:hAnsiTheme="minorHAnsi" w:cs="Calibri"/>
          <w:b w:val="0"/>
          <w:bCs w:val="0"/>
          <w:noProof/>
          <w:sz w:val="22"/>
          <w:szCs w:val="22"/>
        </w:rPr>
        <w:t>I</w:t>
      </w:r>
      <w:r w:rsidRPr="001B7EAB">
        <w:rPr>
          <w:rFonts w:asciiTheme="minorHAnsi" w:hAnsiTheme="minorHAnsi" w:cs="Calibri"/>
          <w:b w:val="0"/>
          <w:bCs w:val="0"/>
          <w:noProof/>
          <w:sz w:val="22"/>
          <w:szCs w:val="22"/>
        </w:rPr>
        <w:fldChar w:fldCharType="end"/>
      </w:r>
      <w:bookmarkEnd w:id="53"/>
      <w:r w:rsidR="00990982" w:rsidRPr="001B7EAB">
        <w:rPr>
          <w:rFonts w:ascii="Calibri" w:hAnsi="Calibri" w:cs="Calibri"/>
          <w:b w:val="0"/>
          <w:bCs w:val="0"/>
          <w:noProof/>
          <w:sz w:val="22"/>
          <w:szCs w:val="24"/>
        </w:rPr>
        <w:t xml:space="preserve">. </w:t>
      </w:r>
      <w:r w:rsidR="005B656F" w:rsidRPr="001B7EAB">
        <w:rPr>
          <w:rFonts w:ascii="Calibri" w:hAnsi="Calibri" w:cs="Calibri"/>
          <w:b w:val="0"/>
          <w:bCs w:val="0"/>
          <w:noProof/>
          <w:sz w:val="22"/>
          <w:szCs w:val="24"/>
        </w:rPr>
        <w:t>Quantec 2005, page VI-1 and VI-2</w:t>
      </w:r>
    </w:p>
    <w:p w:rsidR="005B656F" w:rsidRPr="00AB47D7" w:rsidRDefault="005B656F" w:rsidP="005B656F">
      <w:pPr>
        <w:pStyle w:val="EndnoteText"/>
        <w:rPr>
          <w:rFonts w:ascii="Calibri" w:hAnsi="Calibri" w:cs="Calibri"/>
          <w:sz w:val="22"/>
          <w:szCs w:val="24"/>
        </w:rPr>
      </w:pPr>
    </w:p>
    <w:bookmarkStart w:id="54" w:name="J"/>
    <w:p w:rsidR="005B656F" w:rsidRPr="001B7EAB" w:rsidRDefault="002676C1" w:rsidP="001B7EAB">
      <w:pPr>
        <w:pStyle w:val="Caption"/>
      </w:pPr>
      <w:r w:rsidRPr="001B7EAB">
        <w:rPr>
          <w:rFonts w:asciiTheme="minorHAnsi" w:hAnsiTheme="minorHAnsi" w:cs="Calibri"/>
          <w:b w:val="0"/>
          <w:bCs w:val="0"/>
          <w:noProof/>
          <w:sz w:val="22"/>
          <w:szCs w:val="22"/>
        </w:rPr>
        <w:fldChar w:fldCharType="begin"/>
      </w:r>
      <w:r w:rsidRPr="001B7EAB">
        <w:rPr>
          <w:rFonts w:asciiTheme="minorHAnsi" w:hAnsiTheme="minorHAnsi" w:cs="Calibri"/>
          <w:b w:val="0"/>
          <w:bCs w:val="0"/>
          <w:noProof/>
          <w:sz w:val="22"/>
          <w:szCs w:val="22"/>
        </w:rPr>
        <w:instrText xml:space="preserve"> SEQ References \* ALPHABETIC </w:instrText>
      </w:r>
      <w:r w:rsidRPr="001B7EAB">
        <w:rPr>
          <w:rFonts w:asciiTheme="minorHAnsi" w:hAnsiTheme="minorHAnsi" w:cs="Calibri"/>
          <w:b w:val="0"/>
          <w:bCs w:val="0"/>
          <w:noProof/>
          <w:sz w:val="22"/>
          <w:szCs w:val="22"/>
        </w:rPr>
        <w:fldChar w:fldCharType="separate"/>
      </w:r>
      <w:r w:rsidR="0095321C">
        <w:rPr>
          <w:rFonts w:asciiTheme="minorHAnsi" w:hAnsiTheme="minorHAnsi" w:cs="Calibri"/>
          <w:b w:val="0"/>
          <w:bCs w:val="0"/>
          <w:noProof/>
          <w:sz w:val="22"/>
          <w:szCs w:val="22"/>
        </w:rPr>
        <w:t>J</w:t>
      </w:r>
      <w:r w:rsidRPr="001B7EAB">
        <w:rPr>
          <w:rFonts w:asciiTheme="minorHAnsi" w:hAnsiTheme="minorHAnsi" w:cs="Calibri"/>
          <w:b w:val="0"/>
          <w:bCs w:val="0"/>
          <w:noProof/>
          <w:sz w:val="22"/>
          <w:szCs w:val="22"/>
        </w:rPr>
        <w:fldChar w:fldCharType="end"/>
      </w:r>
      <w:bookmarkEnd w:id="54"/>
      <w:r w:rsidR="00990982" w:rsidRPr="001B7EAB">
        <w:rPr>
          <w:rFonts w:ascii="Calibri" w:hAnsi="Calibri" w:cs="Calibri"/>
          <w:b w:val="0"/>
          <w:bCs w:val="0"/>
          <w:noProof/>
          <w:sz w:val="22"/>
          <w:szCs w:val="24"/>
        </w:rPr>
        <w:t xml:space="preserve">. </w:t>
      </w:r>
      <w:r w:rsidR="005B656F" w:rsidRPr="001B7EAB">
        <w:rPr>
          <w:rFonts w:ascii="Calibri" w:hAnsi="Calibri" w:cs="Calibri"/>
          <w:b w:val="0"/>
          <w:bCs w:val="0"/>
          <w:noProof/>
          <w:sz w:val="22"/>
          <w:szCs w:val="24"/>
        </w:rPr>
        <w:t>LBNL-1096E, Note C2, page 10.</w:t>
      </w:r>
    </w:p>
    <w:p w:rsidR="005B656F" w:rsidRPr="00AB47D7" w:rsidRDefault="005B656F" w:rsidP="005B656F">
      <w:pPr>
        <w:pStyle w:val="EndnoteText"/>
        <w:rPr>
          <w:rFonts w:ascii="Calibri" w:hAnsi="Calibri" w:cs="Calibri"/>
          <w:sz w:val="22"/>
          <w:szCs w:val="24"/>
        </w:rPr>
      </w:pPr>
    </w:p>
    <w:bookmarkStart w:id="55" w:name="K"/>
    <w:p w:rsidR="005B656F" w:rsidRPr="001B7EAB" w:rsidRDefault="002676C1" w:rsidP="001B7EAB">
      <w:pPr>
        <w:pStyle w:val="EndnoteText"/>
        <w:keepNext/>
        <w:rPr>
          <w:rFonts w:ascii="Calibri" w:hAnsi="Calibri" w:cs="Calibri"/>
          <w:noProof/>
          <w:sz w:val="22"/>
          <w:szCs w:val="24"/>
        </w:rPr>
      </w:pPr>
      <w:r w:rsidRPr="00763536">
        <w:rPr>
          <w:rFonts w:asciiTheme="minorHAnsi" w:hAnsiTheme="minorHAnsi" w:cs="Calibri"/>
          <w:bCs/>
          <w:noProof/>
          <w:sz w:val="22"/>
          <w:szCs w:val="22"/>
        </w:rPr>
        <w:fldChar w:fldCharType="begin"/>
      </w:r>
      <w:r w:rsidRPr="00763536">
        <w:rPr>
          <w:rFonts w:asciiTheme="minorHAnsi" w:hAnsiTheme="minorHAnsi" w:cs="Calibri"/>
          <w:bCs/>
          <w:noProof/>
          <w:sz w:val="22"/>
          <w:szCs w:val="22"/>
        </w:rPr>
        <w:instrText xml:space="preserve"> SEQ References \* ALPHABETIC </w:instrText>
      </w:r>
      <w:r w:rsidRPr="00763536">
        <w:rPr>
          <w:rFonts w:asciiTheme="minorHAnsi" w:hAnsiTheme="minorHAnsi" w:cs="Calibri"/>
          <w:bCs/>
          <w:noProof/>
          <w:sz w:val="22"/>
          <w:szCs w:val="22"/>
        </w:rPr>
        <w:fldChar w:fldCharType="separate"/>
      </w:r>
      <w:r w:rsidR="0095321C">
        <w:rPr>
          <w:rFonts w:asciiTheme="minorHAnsi" w:hAnsiTheme="minorHAnsi" w:cs="Calibri"/>
          <w:bCs/>
          <w:noProof/>
          <w:sz w:val="22"/>
          <w:szCs w:val="22"/>
        </w:rPr>
        <w:t>K</w:t>
      </w:r>
      <w:r w:rsidRPr="00763536">
        <w:rPr>
          <w:rFonts w:asciiTheme="minorHAnsi" w:hAnsiTheme="minorHAnsi" w:cs="Calibri"/>
          <w:bCs/>
          <w:noProof/>
          <w:sz w:val="22"/>
          <w:szCs w:val="22"/>
        </w:rPr>
        <w:fldChar w:fldCharType="end"/>
      </w:r>
      <w:bookmarkEnd w:id="55"/>
      <w:r w:rsidR="00990982" w:rsidRPr="001B7EAB">
        <w:rPr>
          <w:rFonts w:ascii="Calibri" w:hAnsi="Calibri" w:cs="Calibri"/>
          <w:noProof/>
          <w:sz w:val="22"/>
          <w:szCs w:val="24"/>
        </w:rPr>
        <w:t xml:space="preserve">. </w:t>
      </w:r>
      <w:r w:rsidR="005B656F" w:rsidRPr="00AB47D7">
        <w:rPr>
          <w:rFonts w:ascii="Calibri" w:hAnsi="Calibri" w:cs="Calibri"/>
          <w:noProof/>
          <w:sz w:val="22"/>
          <w:szCs w:val="24"/>
        </w:rPr>
        <w:t>Roth et al., December 2004, pages 4-83</w:t>
      </w:r>
    </w:p>
    <w:p w:rsidR="005B656F" w:rsidRPr="00AB47D7" w:rsidRDefault="005B656F" w:rsidP="005B656F">
      <w:pPr>
        <w:pStyle w:val="EndnoteText"/>
        <w:rPr>
          <w:rFonts w:ascii="Calibri" w:hAnsi="Calibri" w:cs="Calibri"/>
          <w:sz w:val="22"/>
          <w:szCs w:val="24"/>
        </w:rPr>
      </w:pPr>
    </w:p>
    <w:bookmarkStart w:id="56" w:name="L"/>
    <w:p w:rsidR="005B656F" w:rsidRPr="001B7EAB" w:rsidRDefault="002676C1" w:rsidP="001B7EAB">
      <w:pPr>
        <w:pStyle w:val="EndnoteText"/>
        <w:keepNext/>
        <w:rPr>
          <w:rFonts w:ascii="Calibri" w:hAnsi="Calibri" w:cs="Calibri"/>
          <w:noProof/>
          <w:sz w:val="22"/>
          <w:szCs w:val="24"/>
        </w:rPr>
      </w:pPr>
      <w:r w:rsidRPr="00763536">
        <w:rPr>
          <w:rFonts w:asciiTheme="minorHAnsi" w:hAnsiTheme="minorHAnsi" w:cs="Calibri"/>
          <w:bCs/>
          <w:noProof/>
          <w:sz w:val="22"/>
          <w:szCs w:val="22"/>
        </w:rPr>
        <w:fldChar w:fldCharType="begin"/>
      </w:r>
      <w:r w:rsidRPr="00763536">
        <w:rPr>
          <w:rFonts w:asciiTheme="minorHAnsi" w:hAnsiTheme="minorHAnsi" w:cs="Calibri"/>
          <w:bCs/>
          <w:noProof/>
          <w:sz w:val="22"/>
          <w:szCs w:val="22"/>
        </w:rPr>
        <w:instrText xml:space="preserve"> SEQ References \* ALPHABETIC </w:instrText>
      </w:r>
      <w:r w:rsidRPr="00763536">
        <w:rPr>
          <w:rFonts w:asciiTheme="minorHAnsi" w:hAnsiTheme="minorHAnsi" w:cs="Calibri"/>
          <w:bCs/>
          <w:noProof/>
          <w:sz w:val="22"/>
          <w:szCs w:val="22"/>
        </w:rPr>
        <w:fldChar w:fldCharType="separate"/>
      </w:r>
      <w:r w:rsidR="0095321C">
        <w:rPr>
          <w:rFonts w:asciiTheme="minorHAnsi" w:hAnsiTheme="minorHAnsi" w:cs="Calibri"/>
          <w:bCs/>
          <w:noProof/>
          <w:sz w:val="22"/>
          <w:szCs w:val="22"/>
        </w:rPr>
        <w:t>L</w:t>
      </w:r>
      <w:r w:rsidRPr="00763536">
        <w:rPr>
          <w:rFonts w:asciiTheme="minorHAnsi" w:hAnsiTheme="minorHAnsi" w:cs="Calibri"/>
          <w:bCs/>
          <w:noProof/>
          <w:sz w:val="22"/>
          <w:szCs w:val="22"/>
        </w:rPr>
        <w:fldChar w:fldCharType="end"/>
      </w:r>
      <w:bookmarkEnd w:id="56"/>
      <w:r w:rsidR="00990982" w:rsidRPr="001B7EAB">
        <w:rPr>
          <w:rFonts w:ascii="Calibri" w:hAnsi="Calibri" w:cs="Calibri"/>
          <w:noProof/>
          <w:sz w:val="22"/>
          <w:szCs w:val="24"/>
        </w:rPr>
        <w:t xml:space="preserve">. </w:t>
      </w:r>
      <w:r w:rsidR="005B656F" w:rsidRPr="00AB47D7">
        <w:rPr>
          <w:rFonts w:ascii="Calibri" w:hAnsi="Calibri" w:cs="Calibri"/>
          <w:noProof/>
          <w:sz w:val="22"/>
          <w:szCs w:val="24"/>
        </w:rPr>
        <w:t>Quantec 2003, page VI-1</w:t>
      </w:r>
    </w:p>
    <w:p w:rsidR="00990982" w:rsidRDefault="00990982" w:rsidP="001B7EAB">
      <w:pPr>
        <w:pStyle w:val="EndnoteText"/>
        <w:keepNext/>
      </w:pPr>
    </w:p>
    <w:bookmarkStart w:id="57" w:name="M"/>
    <w:p w:rsidR="005B656F" w:rsidRPr="00AB47D7" w:rsidRDefault="002676C1" w:rsidP="00B01D3E">
      <w:pPr>
        <w:pStyle w:val="Caption"/>
        <w:rPr>
          <w:rFonts w:ascii="Calibri" w:hAnsi="Calibri" w:cs="Calibri"/>
          <w:sz w:val="22"/>
          <w:szCs w:val="24"/>
        </w:rPr>
      </w:pPr>
      <w:r w:rsidRPr="001B7EAB">
        <w:rPr>
          <w:rFonts w:asciiTheme="minorHAnsi" w:hAnsiTheme="minorHAnsi" w:cs="Calibri"/>
          <w:b w:val="0"/>
          <w:bCs w:val="0"/>
          <w:noProof/>
          <w:sz w:val="22"/>
          <w:szCs w:val="22"/>
        </w:rPr>
        <w:fldChar w:fldCharType="begin"/>
      </w:r>
      <w:r w:rsidRPr="001B7EAB">
        <w:rPr>
          <w:rFonts w:asciiTheme="minorHAnsi" w:hAnsiTheme="minorHAnsi" w:cs="Calibri"/>
          <w:b w:val="0"/>
          <w:bCs w:val="0"/>
          <w:noProof/>
          <w:sz w:val="22"/>
          <w:szCs w:val="22"/>
        </w:rPr>
        <w:instrText xml:space="preserve"> SEQ References \* ALPHABETIC </w:instrText>
      </w:r>
      <w:r w:rsidRPr="001B7EAB">
        <w:rPr>
          <w:rFonts w:asciiTheme="minorHAnsi" w:hAnsiTheme="minorHAnsi" w:cs="Calibri"/>
          <w:b w:val="0"/>
          <w:bCs w:val="0"/>
          <w:noProof/>
          <w:sz w:val="22"/>
          <w:szCs w:val="22"/>
        </w:rPr>
        <w:fldChar w:fldCharType="separate"/>
      </w:r>
      <w:r w:rsidR="0095321C">
        <w:rPr>
          <w:rFonts w:asciiTheme="minorHAnsi" w:hAnsiTheme="minorHAnsi" w:cs="Calibri"/>
          <w:b w:val="0"/>
          <w:bCs w:val="0"/>
          <w:noProof/>
          <w:sz w:val="22"/>
          <w:szCs w:val="22"/>
        </w:rPr>
        <w:t>M</w:t>
      </w:r>
      <w:r w:rsidRPr="001B7EAB">
        <w:rPr>
          <w:rFonts w:asciiTheme="minorHAnsi" w:hAnsiTheme="minorHAnsi" w:cs="Calibri"/>
          <w:b w:val="0"/>
          <w:bCs w:val="0"/>
          <w:noProof/>
          <w:sz w:val="22"/>
          <w:szCs w:val="22"/>
        </w:rPr>
        <w:fldChar w:fldCharType="end"/>
      </w:r>
      <w:bookmarkEnd w:id="57"/>
      <w:r w:rsidR="00990982" w:rsidRPr="001B7EAB">
        <w:rPr>
          <w:rFonts w:ascii="Calibri" w:hAnsi="Calibri" w:cs="Calibri"/>
          <w:b w:val="0"/>
          <w:bCs w:val="0"/>
          <w:noProof/>
          <w:sz w:val="22"/>
          <w:szCs w:val="24"/>
        </w:rPr>
        <w:t xml:space="preserve">. </w:t>
      </w:r>
      <w:r w:rsidR="005B656F" w:rsidRPr="001B7EAB">
        <w:rPr>
          <w:rFonts w:ascii="Calibri" w:hAnsi="Calibri" w:cs="Calibri"/>
          <w:b w:val="0"/>
          <w:bCs w:val="0"/>
          <w:noProof/>
          <w:sz w:val="22"/>
          <w:szCs w:val="24"/>
        </w:rPr>
        <w:t>Quantec 2005, page V-13</w:t>
      </w:r>
    </w:p>
    <w:p w:rsidR="00B81FC7" w:rsidRPr="001B7EAB" w:rsidRDefault="00B81FC7" w:rsidP="00763536">
      <w:pPr>
        <w:tabs>
          <w:tab w:val="left" w:pos="360"/>
        </w:tabs>
        <w:rPr>
          <w:rFonts w:ascii="Calibri" w:hAnsi="Calibri" w:cs="Calibri"/>
          <w:iCs/>
          <w:color w:val="0000FF" w:themeColor="hyperlink"/>
          <w:sz w:val="22"/>
          <w:u w:val="single"/>
        </w:rPr>
        <w:sectPr w:rsidR="00B81FC7" w:rsidRPr="001B7EAB" w:rsidSect="000917C1">
          <w:footerReference w:type="default" r:id="rId14"/>
          <w:pgSz w:w="12240" w:h="15840"/>
          <w:pgMar w:top="1440" w:right="1440" w:bottom="1440" w:left="1440" w:header="720" w:footer="720" w:gutter="0"/>
          <w:cols w:space="720"/>
          <w:docGrid w:linePitch="360"/>
        </w:sectPr>
      </w:pPr>
    </w:p>
    <w:p w:rsidR="000917C1" w:rsidRPr="009824E9" w:rsidRDefault="000917C1" w:rsidP="000917C1">
      <w:pPr>
        <w:pStyle w:val="Heading1"/>
        <w:rPr>
          <w:rFonts w:asciiTheme="minorHAnsi" w:hAnsiTheme="minorHAnsi" w:cstheme="minorHAnsi"/>
        </w:rPr>
      </w:pPr>
      <w:r w:rsidRPr="009824E9">
        <w:rPr>
          <w:rFonts w:asciiTheme="minorHAnsi" w:hAnsiTheme="minorHAnsi" w:cstheme="minorHAnsi"/>
        </w:rPr>
        <w:t xml:space="preserve">Appendix </w:t>
      </w:r>
      <w:r>
        <w:rPr>
          <w:rFonts w:asciiTheme="minorHAnsi" w:hAnsiTheme="minorHAnsi" w:cstheme="minorHAnsi"/>
        </w:rPr>
        <w:t xml:space="preserve">A – SCE/ED Application Types </w:t>
      </w:r>
    </w:p>
    <w:tbl>
      <w:tblPr>
        <w:tblStyle w:val="TableContemporary"/>
        <w:tblpPr w:leftFromText="180" w:rightFromText="180" w:vertAnchor="page" w:horzAnchor="margin" w:tblpY="2281"/>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0917C1" w:rsidRPr="009824E9" w:rsidTr="00B02B97">
        <w:trPr>
          <w:cnfStyle w:val="100000000000" w:firstRow="1" w:lastRow="0" w:firstColumn="0" w:lastColumn="0" w:oddVBand="0" w:evenVBand="0" w:oddHBand="0" w:evenHBand="0" w:firstRowFirstColumn="0" w:firstRowLastColumn="0" w:lastRowFirstColumn="0" w:lastRowLastColumn="0"/>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0917C1" w:rsidRPr="009824E9" w:rsidTr="00B02B97">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New</w:t>
            </w:r>
          </w:p>
        </w:tc>
        <w:tc>
          <w:tcPr>
            <w:tcW w:w="1800" w:type="dxa"/>
          </w:tcPr>
          <w:p w:rsidR="000917C1" w:rsidRPr="009824E9" w:rsidRDefault="000917C1" w:rsidP="00B02B97">
            <w:pPr>
              <w:rPr>
                <w:rFonts w:asciiTheme="minorHAnsi" w:hAnsiTheme="minorHAnsi"/>
                <w:sz w:val="20"/>
                <w:szCs w:val="20"/>
              </w:rPr>
            </w:pPr>
            <w:r>
              <w:rPr>
                <w:rFonts w:asciiTheme="minorHAnsi" w:hAnsiTheme="minorHAnsi"/>
                <w:sz w:val="20"/>
                <w:szCs w:val="20"/>
              </w:rPr>
              <w:t>New Construction (Nc)</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Code/Standard</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Incremental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EUL</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0</w:t>
            </w:r>
          </w:p>
        </w:tc>
      </w:tr>
      <w:tr w:rsidR="000917C1" w:rsidRPr="009824E9" w:rsidTr="00B02B97">
        <w:trPr>
          <w:cnfStyle w:val="000000010000" w:firstRow="0" w:lastRow="0" w:firstColumn="0" w:lastColumn="0" w:oddVBand="0" w:evenVBand="0" w:oddHBand="0" w:evenHBand="1" w:firstRowFirstColumn="0" w:firstRowLastColumn="0" w:lastRowFirstColumn="0" w:lastRowLastColumn="0"/>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Code/Standard</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Incremental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EUL</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0</w:t>
            </w:r>
          </w:p>
        </w:tc>
      </w:tr>
      <w:tr w:rsidR="000917C1" w:rsidRPr="009824E9" w:rsidTr="00B02B97">
        <w:trPr>
          <w:cnfStyle w:val="000000100000" w:firstRow="0" w:lastRow="0" w:firstColumn="0" w:lastColumn="0" w:oddVBand="0" w:evenVBand="0" w:oddHBand="1" w:evenHBand="0" w:firstRowFirstColumn="0" w:firstRowLastColumn="0" w:lastRowFirstColumn="0" w:lastRowLastColumn="0"/>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Retrofit (RET)</w:t>
            </w:r>
          </w:p>
        </w:tc>
        <w:tc>
          <w:tcPr>
            <w:tcW w:w="1800" w:type="dxa"/>
          </w:tcPr>
          <w:p w:rsidR="000917C1" w:rsidRPr="009824E9" w:rsidRDefault="000917C1" w:rsidP="00B02B97">
            <w:pPr>
              <w:rPr>
                <w:rFonts w:asciiTheme="minorHAnsi" w:hAnsiTheme="minorHAnsi"/>
                <w:sz w:val="20"/>
                <w:szCs w:val="20"/>
              </w:rPr>
            </w:pPr>
            <w:r>
              <w:rPr>
                <w:rFonts w:asciiTheme="minorHAnsi" w:hAnsiTheme="minorHAnsi"/>
                <w:sz w:val="20"/>
                <w:szCs w:val="20"/>
              </w:rPr>
              <w:t>Early Replacement (ER)</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Cust. Existing</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Code/Standard</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Full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Incremental Cost</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RUL</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EUL-RUL</w:t>
            </w:r>
          </w:p>
        </w:tc>
      </w:tr>
      <w:tr w:rsidR="000917C1" w:rsidRPr="009824E9" w:rsidTr="00B02B97">
        <w:trPr>
          <w:cnfStyle w:val="000000010000" w:firstRow="0" w:lastRow="0" w:firstColumn="0" w:lastColumn="0" w:oddVBand="0" w:evenVBand="0" w:oddHBand="0" w:evenHBand="1" w:firstRowFirstColumn="0" w:firstRowLastColumn="0" w:lastRowFirstColumn="0" w:lastRowLastColumn="0"/>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0917C1" w:rsidRPr="009824E9" w:rsidRDefault="000917C1" w:rsidP="00B02B97">
            <w:pPr>
              <w:rPr>
                <w:rFonts w:asciiTheme="minorHAnsi" w:hAnsiTheme="minorHAnsi"/>
                <w:sz w:val="20"/>
                <w:szCs w:val="20"/>
              </w:rPr>
            </w:pPr>
            <w:r>
              <w:rPr>
                <w:rFonts w:asciiTheme="minorHAnsi" w:hAnsiTheme="minorHAnsi"/>
                <w:sz w:val="20"/>
                <w:szCs w:val="20"/>
              </w:rPr>
              <w:t>Early Replacement RUL (ErRul)</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Cust. Existing</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Full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EUL</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0</w:t>
            </w:r>
          </w:p>
        </w:tc>
      </w:tr>
      <w:tr w:rsidR="000917C1" w:rsidRPr="009824E9" w:rsidTr="00B02B97">
        <w:trPr>
          <w:cnfStyle w:val="000000100000" w:firstRow="0" w:lastRow="0" w:firstColumn="0" w:lastColumn="0" w:oddVBand="0" w:evenVBand="0" w:oddHBand="1" w:evenHBand="0" w:firstRowFirstColumn="0" w:firstRowLastColumn="0" w:lastRowFirstColumn="0" w:lastRowLastColumn="0"/>
        </w:trPr>
        <w:tc>
          <w:tcPr>
            <w:tcW w:w="1818" w:type="dxa"/>
          </w:tcPr>
          <w:p w:rsidR="000917C1" w:rsidRPr="009824E9" w:rsidRDefault="000917C1" w:rsidP="00B02B97">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Above Cust. Existing</w:t>
            </w:r>
          </w:p>
        </w:tc>
        <w:tc>
          <w:tcPr>
            <w:tcW w:w="189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Full Cost</w:t>
            </w:r>
          </w:p>
        </w:tc>
        <w:tc>
          <w:tcPr>
            <w:tcW w:w="1620" w:type="dxa"/>
          </w:tcPr>
          <w:p w:rsidR="000917C1" w:rsidRPr="009824E9" w:rsidRDefault="000917C1" w:rsidP="00B02B97">
            <w:pPr>
              <w:rPr>
                <w:rFonts w:asciiTheme="minorHAnsi" w:hAnsiTheme="minorHAnsi"/>
                <w:sz w:val="20"/>
                <w:szCs w:val="20"/>
              </w:rPr>
            </w:pPr>
            <w:r>
              <w:rPr>
                <w:rFonts w:asciiTheme="minorHAnsi" w:hAnsiTheme="minorHAnsi"/>
                <w:sz w:val="20"/>
                <w:szCs w:val="20"/>
              </w:rPr>
              <w:t>N/A</w:t>
            </w:r>
          </w:p>
        </w:tc>
        <w:tc>
          <w:tcPr>
            <w:tcW w:w="1170" w:type="dxa"/>
          </w:tcPr>
          <w:p w:rsidR="000917C1" w:rsidRDefault="000917C1" w:rsidP="00B02B97">
            <w:pPr>
              <w:rPr>
                <w:rFonts w:asciiTheme="minorHAnsi" w:hAnsiTheme="minorHAnsi"/>
                <w:sz w:val="20"/>
                <w:szCs w:val="20"/>
              </w:rPr>
            </w:pPr>
            <w:r>
              <w:rPr>
                <w:rFonts w:asciiTheme="minorHAnsi" w:hAnsiTheme="minorHAnsi"/>
                <w:sz w:val="20"/>
                <w:szCs w:val="20"/>
              </w:rPr>
              <w:t>EUL</w:t>
            </w:r>
          </w:p>
        </w:tc>
        <w:tc>
          <w:tcPr>
            <w:tcW w:w="1260" w:type="dxa"/>
          </w:tcPr>
          <w:p w:rsidR="000917C1" w:rsidRDefault="000917C1" w:rsidP="00B02B97">
            <w:pPr>
              <w:rPr>
                <w:rFonts w:asciiTheme="minorHAnsi" w:hAnsiTheme="minorHAnsi"/>
                <w:sz w:val="20"/>
                <w:szCs w:val="20"/>
              </w:rPr>
            </w:pPr>
            <w:r>
              <w:rPr>
                <w:rFonts w:asciiTheme="minorHAnsi" w:hAnsiTheme="minorHAnsi"/>
                <w:sz w:val="20"/>
                <w:szCs w:val="20"/>
              </w:rPr>
              <w:t>0</w:t>
            </w:r>
          </w:p>
        </w:tc>
      </w:tr>
    </w:tbl>
    <w:p w:rsidR="0045043F" w:rsidRPr="0045043F" w:rsidRDefault="0045043F" w:rsidP="0045043F">
      <w:pPr>
        <w:pStyle w:val="EndnoteText"/>
        <w:rPr>
          <w:rFonts w:asciiTheme="minorHAnsi" w:hAnsiTheme="minorHAnsi"/>
          <w:sz w:val="22"/>
          <w:szCs w:val="22"/>
        </w:rPr>
      </w:pPr>
    </w:p>
    <w:sectPr w:rsidR="0045043F" w:rsidRPr="0045043F" w:rsidSect="001B7EAB">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A8F" w:rsidRDefault="004F7A8F" w:rsidP="00447D6E">
      <w:r>
        <w:separator/>
      </w:r>
    </w:p>
  </w:endnote>
  <w:endnote w:type="continuationSeparator" w:id="0">
    <w:p w:rsidR="004F7A8F" w:rsidRDefault="004F7A8F"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8F" w:rsidRPr="009500DC" w:rsidRDefault="004F7A8F" w:rsidP="00447D6E">
    <w:pPr>
      <w:pStyle w:val="Footer"/>
      <w:jc w:val="right"/>
      <w:rPr>
        <w:rFonts w:asciiTheme="minorHAnsi" w:hAnsiTheme="minorHAnsi" w:cstheme="minorHAnsi"/>
      </w:rPr>
    </w:pPr>
    <w:r>
      <w:rPr>
        <w:rFonts w:asciiTheme="minorHAnsi" w:hAnsiTheme="minorHAnsi" w:cstheme="minorHAnsi"/>
        <w:b/>
        <w:sz w:val="36"/>
        <w:szCs w:val="36"/>
      </w:rPr>
      <w:t>March 5,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8F" w:rsidRPr="009500DC" w:rsidRDefault="004F7A8F"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SCE13OE001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Pr>
        <w:rFonts w:asciiTheme="minorHAnsi" w:hAnsiTheme="minorHAnsi" w:cstheme="minorHAnsi"/>
        <w:b/>
        <w:sz w:val="20"/>
        <w:szCs w:val="20"/>
      </w:rPr>
      <w:fldChar w:fldCharType="begin"/>
    </w:r>
    <w:r>
      <w:rPr>
        <w:rFonts w:asciiTheme="minorHAnsi" w:hAnsiTheme="minorHAnsi" w:cstheme="minorHAnsi"/>
        <w:b/>
        <w:sz w:val="20"/>
        <w:szCs w:val="20"/>
      </w:rPr>
      <w:instrText xml:space="preserve"> PAGE  \* roman  \* MERGEFORMAT </w:instrText>
    </w:r>
    <w:r>
      <w:rPr>
        <w:rFonts w:asciiTheme="minorHAnsi" w:hAnsiTheme="minorHAnsi" w:cstheme="minorHAnsi"/>
        <w:b/>
        <w:sz w:val="20"/>
        <w:szCs w:val="20"/>
      </w:rPr>
      <w:fldChar w:fldCharType="separate"/>
    </w:r>
    <w:r w:rsidR="00796B8F">
      <w:rPr>
        <w:rFonts w:asciiTheme="minorHAnsi" w:hAnsiTheme="minorHAnsi" w:cstheme="minorHAnsi"/>
        <w:b/>
        <w:noProof/>
        <w:sz w:val="20"/>
        <w:szCs w:val="20"/>
      </w:rPr>
      <w:t>iii</w:t>
    </w:r>
    <w:r>
      <w:rPr>
        <w:rFonts w:asciiTheme="minorHAnsi" w:hAnsiTheme="minorHAnsi" w:cstheme="minorHAnsi"/>
        <w:b/>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March 5, 2014</w:t>
    </w:r>
  </w:p>
  <w:p w:rsidR="004F7A8F" w:rsidRPr="009500DC" w:rsidRDefault="004F7A8F"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8F" w:rsidRPr="009500DC" w:rsidRDefault="004F7A8F" w:rsidP="001B7EAB">
    <w:pPr>
      <w:pStyle w:val="Footer"/>
      <w:pBdr>
        <w:top w:val="single" w:sz="4" w:space="1" w:color="auto"/>
      </w:pBdr>
      <w:tabs>
        <w:tab w:val="clear" w:pos="9360"/>
        <w:tab w:val="left" w:pos="7260"/>
      </w:tabs>
      <w:rPr>
        <w:rFonts w:asciiTheme="minorHAnsi" w:hAnsiTheme="minorHAnsi" w:cstheme="minorHAnsi"/>
        <w:b/>
        <w:sz w:val="20"/>
        <w:szCs w:val="20"/>
      </w:rPr>
    </w:pPr>
    <w:r>
      <w:rPr>
        <w:rFonts w:asciiTheme="minorHAnsi" w:hAnsiTheme="minorHAnsi" w:cstheme="minorHAnsi"/>
        <w:b/>
        <w:sz w:val="20"/>
        <w:szCs w:val="20"/>
      </w:rPr>
      <w:t>SCE13OE001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796B8F">
      <w:rPr>
        <w:rFonts w:asciiTheme="minorHAnsi" w:hAnsiTheme="minorHAnsi" w:cstheme="minorHAnsi"/>
        <w:b/>
        <w:noProof/>
        <w:sz w:val="20"/>
        <w:szCs w:val="20"/>
      </w:rPr>
      <w:t>9</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b/>
      <w:t>March 5, 2014</w:t>
    </w:r>
  </w:p>
  <w:p w:rsidR="004F7A8F" w:rsidRPr="009500DC" w:rsidRDefault="004F7A8F"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8F" w:rsidRPr="009500DC" w:rsidRDefault="004F7A8F" w:rsidP="001B7EAB">
    <w:pPr>
      <w:pStyle w:val="Footer"/>
      <w:pBdr>
        <w:top w:val="single" w:sz="4" w:space="1" w:color="auto"/>
      </w:pBdr>
      <w:tabs>
        <w:tab w:val="clear" w:pos="4680"/>
        <w:tab w:val="clear" w:pos="9360"/>
        <w:tab w:val="center" w:pos="6480"/>
        <w:tab w:val="left" w:pos="10800"/>
        <w:tab w:val="right" w:pos="12960"/>
      </w:tabs>
      <w:rPr>
        <w:rFonts w:asciiTheme="minorHAnsi" w:hAnsiTheme="minorHAnsi" w:cstheme="minorHAnsi"/>
        <w:b/>
        <w:sz w:val="20"/>
        <w:szCs w:val="20"/>
      </w:rPr>
    </w:pPr>
    <w:r>
      <w:rPr>
        <w:rFonts w:asciiTheme="minorHAnsi" w:hAnsiTheme="minorHAnsi" w:cstheme="minorHAnsi"/>
        <w:b/>
        <w:sz w:val="20"/>
        <w:szCs w:val="20"/>
      </w:rPr>
      <w:t>SCE13OE001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796B8F">
      <w:rPr>
        <w:rFonts w:asciiTheme="minorHAnsi" w:hAnsiTheme="minorHAnsi" w:cstheme="minorHAnsi"/>
        <w:b/>
        <w:noProof/>
        <w:sz w:val="20"/>
        <w:szCs w:val="20"/>
      </w:rPr>
      <w:t>16</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b/>
      <w:t>March 5, 2014</w:t>
    </w:r>
  </w:p>
  <w:p w:rsidR="004F7A8F" w:rsidRPr="009500DC" w:rsidRDefault="004F7A8F"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A8F" w:rsidRDefault="004F7A8F" w:rsidP="00447D6E">
      <w:r>
        <w:separator/>
      </w:r>
    </w:p>
  </w:footnote>
  <w:footnote w:type="continuationSeparator" w:id="0">
    <w:p w:rsidR="004F7A8F" w:rsidRDefault="004F7A8F" w:rsidP="00447D6E">
      <w:r>
        <w:continuationSeparator/>
      </w:r>
    </w:p>
  </w:footnote>
  <w:footnote w:id="1">
    <w:p w:rsidR="004F7A8F" w:rsidRDefault="004F7A8F">
      <w:pPr>
        <w:pStyle w:val="FootnoteText"/>
      </w:pPr>
      <w:r>
        <w:rPr>
          <w:rStyle w:val="FootnoteReference"/>
        </w:rPr>
        <w:footnoteRef/>
      </w:r>
      <w:r>
        <w:t xml:space="preserve"> </w:t>
      </w:r>
      <w:r w:rsidRPr="00620C86">
        <w:rPr>
          <w:sz w:val="18"/>
        </w:rPr>
        <w:t>Annual Operating Hours</w:t>
      </w:r>
      <w:r>
        <w:rPr>
          <w:sz w:val="18"/>
        </w:rPr>
        <w:t xml:space="preserve"> is the average of the DEER 2014 Education - University and Education – Community College building types.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8F" w:rsidRDefault="004F7A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4F125E"/>
    <w:multiLevelType w:val="hybridMultilevel"/>
    <w:tmpl w:val="EBE67164"/>
    <w:lvl w:ilvl="0" w:tplc="04090001">
      <w:start w:val="1"/>
      <w:numFmt w:val="bullet"/>
      <w:lvlText w:val=""/>
      <w:lvlJc w:val="left"/>
      <w:pPr>
        <w:tabs>
          <w:tab w:val="num" w:pos="504"/>
        </w:tabs>
        <w:ind w:left="288" w:hanging="72"/>
      </w:pPr>
      <w:rPr>
        <w:rFonts w:ascii="Symbol" w:hAnsi="Symbol" w:hint="default"/>
      </w:rPr>
    </w:lvl>
    <w:lvl w:ilvl="1" w:tplc="9F7E387A">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F741ED"/>
    <w:multiLevelType w:val="hybridMultilevel"/>
    <w:tmpl w:val="D46CD970"/>
    <w:lvl w:ilvl="0" w:tplc="209EA520">
      <w:start w:val="1"/>
      <w:numFmt w:val="bullet"/>
      <w:lvlText w:val=""/>
      <w:lvlJc w:val="left"/>
      <w:pPr>
        <w:tabs>
          <w:tab w:val="num" w:pos="936"/>
        </w:tabs>
        <w:ind w:left="936"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04A4342"/>
    <w:multiLevelType w:val="hybridMultilevel"/>
    <w:tmpl w:val="D29C403C"/>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224"/>
        </w:tabs>
        <w:ind w:left="122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F66B78"/>
    <w:multiLevelType w:val="multilevel"/>
    <w:tmpl w:val="53C2B25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FEA309C"/>
    <w:multiLevelType w:val="hybridMultilevel"/>
    <w:tmpl w:val="2998175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9463C16"/>
    <w:multiLevelType w:val="hybridMultilevel"/>
    <w:tmpl w:val="9FF038BC"/>
    <w:lvl w:ilvl="0" w:tplc="04090001">
      <w:start w:val="1"/>
      <w:numFmt w:val="bullet"/>
      <w:lvlText w:val=""/>
      <w:lvlJc w:val="left"/>
      <w:pPr>
        <w:tabs>
          <w:tab w:val="num" w:pos="504"/>
        </w:tabs>
        <w:ind w:left="288" w:hanging="7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041133"/>
    <w:multiLevelType w:val="multilevel"/>
    <w:tmpl w:val="FB50CB24"/>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C9D0A93"/>
    <w:multiLevelType w:val="multilevel"/>
    <w:tmpl w:val="5EFEBA90"/>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1F47E88"/>
    <w:multiLevelType w:val="multilevel"/>
    <w:tmpl w:val="A03E08C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7"/>
  </w:num>
  <w:num w:numId="3">
    <w:abstractNumId w:val="6"/>
  </w:num>
  <w:num w:numId="4">
    <w:abstractNumId w:val="3"/>
  </w:num>
  <w:num w:numId="5">
    <w:abstractNumId w:val="3"/>
  </w:num>
  <w:num w:numId="6">
    <w:abstractNumId w:val="0"/>
  </w:num>
  <w:num w:numId="7">
    <w:abstractNumId w:val="8"/>
  </w:num>
  <w:num w:numId="8">
    <w:abstractNumId w:val="4"/>
  </w:num>
  <w:num w:numId="9">
    <w:abstractNumId w:val="10"/>
  </w:num>
  <w:num w:numId="10">
    <w:abstractNumId w:val="9"/>
  </w:num>
  <w:num w:numId="11">
    <w:abstractNumId w:val="11"/>
  </w:num>
  <w:num w:numId="12">
    <w:abstractNumId w:val="1"/>
  </w:num>
  <w:num w:numId="13">
    <w:abstractNumId w:val="5"/>
  </w:num>
  <w:num w:numId="14">
    <w:abstractNumId w:val="2"/>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3B3"/>
    <w:rsid w:val="00005902"/>
    <w:rsid w:val="00010D57"/>
    <w:rsid w:val="0001287E"/>
    <w:rsid w:val="000177BE"/>
    <w:rsid w:val="000179E6"/>
    <w:rsid w:val="00022375"/>
    <w:rsid w:val="00023E0E"/>
    <w:rsid w:val="00027183"/>
    <w:rsid w:val="00033EA1"/>
    <w:rsid w:val="000351D8"/>
    <w:rsid w:val="0003636C"/>
    <w:rsid w:val="0005680A"/>
    <w:rsid w:val="00056947"/>
    <w:rsid w:val="00060D43"/>
    <w:rsid w:val="000612C2"/>
    <w:rsid w:val="00076DF4"/>
    <w:rsid w:val="000811DB"/>
    <w:rsid w:val="00083D80"/>
    <w:rsid w:val="0009074D"/>
    <w:rsid w:val="000917C1"/>
    <w:rsid w:val="0009592B"/>
    <w:rsid w:val="000968C6"/>
    <w:rsid w:val="00097018"/>
    <w:rsid w:val="000A1C4D"/>
    <w:rsid w:val="000A63C9"/>
    <w:rsid w:val="000B1799"/>
    <w:rsid w:val="000B6D57"/>
    <w:rsid w:val="000C0000"/>
    <w:rsid w:val="000C18CC"/>
    <w:rsid w:val="000C26DB"/>
    <w:rsid w:val="000C5338"/>
    <w:rsid w:val="000D2A1E"/>
    <w:rsid w:val="000D3E3F"/>
    <w:rsid w:val="000E0FF4"/>
    <w:rsid w:val="000E1413"/>
    <w:rsid w:val="000E41DE"/>
    <w:rsid w:val="000F0237"/>
    <w:rsid w:val="000F130A"/>
    <w:rsid w:val="000F3668"/>
    <w:rsid w:val="000F4067"/>
    <w:rsid w:val="000F5842"/>
    <w:rsid w:val="00107242"/>
    <w:rsid w:val="00107B5C"/>
    <w:rsid w:val="001142AA"/>
    <w:rsid w:val="00114F16"/>
    <w:rsid w:val="00115A91"/>
    <w:rsid w:val="00117A1E"/>
    <w:rsid w:val="00117AED"/>
    <w:rsid w:val="001206F7"/>
    <w:rsid w:val="00123245"/>
    <w:rsid w:val="00123781"/>
    <w:rsid w:val="001320DC"/>
    <w:rsid w:val="00134737"/>
    <w:rsid w:val="0014007A"/>
    <w:rsid w:val="00141BB8"/>
    <w:rsid w:val="00143193"/>
    <w:rsid w:val="00146895"/>
    <w:rsid w:val="00147155"/>
    <w:rsid w:val="00152BE6"/>
    <w:rsid w:val="001537BF"/>
    <w:rsid w:val="00153CB3"/>
    <w:rsid w:val="00154927"/>
    <w:rsid w:val="0016396E"/>
    <w:rsid w:val="00165357"/>
    <w:rsid w:val="00170C77"/>
    <w:rsid w:val="00176B6E"/>
    <w:rsid w:val="00180161"/>
    <w:rsid w:val="001811EE"/>
    <w:rsid w:val="001953AB"/>
    <w:rsid w:val="00195CFB"/>
    <w:rsid w:val="001A0EB4"/>
    <w:rsid w:val="001A5F62"/>
    <w:rsid w:val="001B618B"/>
    <w:rsid w:val="001B7EAB"/>
    <w:rsid w:val="001C034B"/>
    <w:rsid w:val="001C1CC0"/>
    <w:rsid w:val="001C4140"/>
    <w:rsid w:val="001C4834"/>
    <w:rsid w:val="001C5A94"/>
    <w:rsid w:val="001C5D58"/>
    <w:rsid w:val="001C647D"/>
    <w:rsid w:val="001C7A2E"/>
    <w:rsid w:val="001D04FC"/>
    <w:rsid w:val="001D1ABA"/>
    <w:rsid w:val="001D7134"/>
    <w:rsid w:val="001E0829"/>
    <w:rsid w:val="001E5B1B"/>
    <w:rsid w:val="001F05CE"/>
    <w:rsid w:val="001F4A65"/>
    <w:rsid w:val="00203FC4"/>
    <w:rsid w:val="00207378"/>
    <w:rsid w:val="00207762"/>
    <w:rsid w:val="0021075A"/>
    <w:rsid w:val="002132E7"/>
    <w:rsid w:val="00213B79"/>
    <w:rsid w:val="00213EF9"/>
    <w:rsid w:val="002150D9"/>
    <w:rsid w:val="00217304"/>
    <w:rsid w:val="00220109"/>
    <w:rsid w:val="00220B23"/>
    <w:rsid w:val="00223107"/>
    <w:rsid w:val="00223218"/>
    <w:rsid w:val="00223584"/>
    <w:rsid w:val="00224372"/>
    <w:rsid w:val="00230501"/>
    <w:rsid w:val="00230580"/>
    <w:rsid w:val="0023254A"/>
    <w:rsid w:val="002325F9"/>
    <w:rsid w:val="00240B74"/>
    <w:rsid w:val="00242C3D"/>
    <w:rsid w:val="00244AB9"/>
    <w:rsid w:val="002516F8"/>
    <w:rsid w:val="0026021A"/>
    <w:rsid w:val="002639D7"/>
    <w:rsid w:val="002676C1"/>
    <w:rsid w:val="00270681"/>
    <w:rsid w:val="00273DFC"/>
    <w:rsid w:val="00274FBE"/>
    <w:rsid w:val="002762E1"/>
    <w:rsid w:val="00276891"/>
    <w:rsid w:val="00277F3B"/>
    <w:rsid w:val="002811BC"/>
    <w:rsid w:val="00283175"/>
    <w:rsid w:val="00283DE8"/>
    <w:rsid w:val="002854D0"/>
    <w:rsid w:val="00285966"/>
    <w:rsid w:val="00290ED8"/>
    <w:rsid w:val="00291592"/>
    <w:rsid w:val="00292766"/>
    <w:rsid w:val="002A24D0"/>
    <w:rsid w:val="002A3D26"/>
    <w:rsid w:val="002A4C2C"/>
    <w:rsid w:val="002A663D"/>
    <w:rsid w:val="002B1ADF"/>
    <w:rsid w:val="002B2272"/>
    <w:rsid w:val="002C444C"/>
    <w:rsid w:val="002C560B"/>
    <w:rsid w:val="002C6C7A"/>
    <w:rsid w:val="002C7AF4"/>
    <w:rsid w:val="002D3F14"/>
    <w:rsid w:val="002E0295"/>
    <w:rsid w:val="002E297D"/>
    <w:rsid w:val="002F1437"/>
    <w:rsid w:val="002F1D08"/>
    <w:rsid w:val="002F3943"/>
    <w:rsid w:val="0030363A"/>
    <w:rsid w:val="0031399F"/>
    <w:rsid w:val="0031415C"/>
    <w:rsid w:val="00315F33"/>
    <w:rsid w:val="00323578"/>
    <w:rsid w:val="00324FC0"/>
    <w:rsid w:val="003266D8"/>
    <w:rsid w:val="00332700"/>
    <w:rsid w:val="00333BB8"/>
    <w:rsid w:val="00337572"/>
    <w:rsid w:val="00342087"/>
    <w:rsid w:val="0034345B"/>
    <w:rsid w:val="00345A39"/>
    <w:rsid w:val="00345D80"/>
    <w:rsid w:val="0034655F"/>
    <w:rsid w:val="003471D4"/>
    <w:rsid w:val="0034721D"/>
    <w:rsid w:val="00350EEE"/>
    <w:rsid w:val="003560BA"/>
    <w:rsid w:val="00356C9F"/>
    <w:rsid w:val="00361E7F"/>
    <w:rsid w:val="00366698"/>
    <w:rsid w:val="00372C3C"/>
    <w:rsid w:val="003832D2"/>
    <w:rsid w:val="00384848"/>
    <w:rsid w:val="00384A45"/>
    <w:rsid w:val="003864D2"/>
    <w:rsid w:val="00386842"/>
    <w:rsid w:val="003960A1"/>
    <w:rsid w:val="003B1DC8"/>
    <w:rsid w:val="003B2758"/>
    <w:rsid w:val="003B4739"/>
    <w:rsid w:val="003B6387"/>
    <w:rsid w:val="003C105D"/>
    <w:rsid w:val="003C7166"/>
    <w:rsid w:val="003D2871"/>
    <w:rsid w:val="003D361F"/>
    <w:rsid w:val="003D42D6"/>
    <w:rsid w:val="003D5442"/>
    <w:rsid w:val="003D5B83"/>
    <w:rsid w:val="003E1086"/>
    <w:rsid w:val="003E5D86"/>
    <w:rsid w:val="003E5E85"/>
    <w:rsid w:val="003E6E47"/>
    <w:rsid w:val="003F0623"/>
    <w:rsid w:val="003F5BD9"/>
    <w:rsid w:val="0040198F"/>
    <w:rsid w:val="004030BE"/>
    <w:rsid w:val="00413337"/>
    <w:rsid w:val="00413CDB"/>
    <w:rsid w:val="004154C4"/>
    <w:rsid w:val="00417BEA"/>
    <w:rsid w:val="004200FE"/>
    <w:rsid w:val="00420285"/>
    <w:rsid w:val="004209DC"/>
    <w:rsid w:val="00420D6B"/>
    <w:rsid w:val="00421183"/>
    <w:rsid w:val="0042352B"/>
    <w:rsid w:val="00424075"/>
    <w:rsid w:val="00424BB7"/>
    <w:rsid w:val="004254E5"/>
    <w:rsid w:val="00431A2F"/>
    <w:rsid w:val="00434DB6"/>
    <w:rsid w:val="00441957"/>
    <w:rsid w:val="00442677"/>
    <w:rsid w:val="00443D32"/>
    <w:rsid w:val="00443D42"/>
    <w:rsid w:val="00444F58"/>
    <w:rsid w:val="00445EA6"/>
    <w:rsid w:val="004467D0"/>
    <w:rsid w:val="00447CE5"/>
    <w:rsid w:val="00447D6E"/>
    <w:rsid w:val="0045017E"/>
    <w:rsid w:val="0045043F"/>
    <w:rsid w:val="00450D4B"/>
    <w:rsid w:val="00453FC4"/>
    <w:rsid w:val="004600A2"/>
    <w:rsid w:val="0046286E"/>
    <w:rsid w:val="00470D1B"/>
    <w:rsid w:val="00471234"/>
    <w:rsid w:val="00472DA1"/>
    <w:rsid w:val="00472F01"/>
    <w:rsid w:val="0047660B"/>
    <w:rsid w:val="00476B61"/>
    <w:rsid w:val="00476EDF"/>
    <w:rsid w:val="00477522"/>
    <w:rsid w:val="00477FB6"/>
    <w:rsid w:val="004827BD"/>
    <w:rsid w:val="0048324B"/>
    <w:rsid w:val="004906F8"/>
    <w:rsid w:val="00492253"/>
    <w:rsid w:val="00492DFB"/>
    <w:rsid w:val="00492F94"/>
    <w:rsid w:val="00493457"/>
    <w:rsid w:val="00494628"/>
    <w:rsid w:val="00495D6E"/>
    <w:rsid w:val="004A3A3A"/>
    <w:rsid w:val="004B2687"/>
    <w:rsid w:val="004B34AE"/>
    <w:rsid w:val="004B3D2B"/>
    <w:rsid w:val="004B4594"/>
    <w:rsid w:val="004B4A3A"/>
    <w:rsid w:val="004B5B86"/>
    <w:rsid w:val="004B64F5"/>
    <w:rsid w:val="004B76DC"/>
    <w:rsid w:val="004C23F1"/>
    <w:rsid w:val="004C4ED5"/>
    <w:rsid w:val="004D60FF"/>
    <w:rsid w:val="004E01F5"/>
    <w:rsid w:val="004E76CA"/>
    <w:rsid w:val="004F4CE2"/>
    <w:rsid w:val="004F7A8F"/>
    <w:rsid w:val="0050351A"/>
    <w:rsid w:val="00505437"/>
    <w:rsid w:val="0051020F"/>
    <w:rsid w:val="0051177D"/>
    <w:rsid w:val="00512E6B"/>
    <w:rsid w:val="00512FAB"/>
    <w:rsid w:val="005133EC"/>
    <w:rsid w:val="005159A7"/>
    <w:rsid w:val="005210DF"/>
    <w:rsid w:val="0052512A"/>
    <w:rsid w:val="00533666"/>
    <w:rsid w:val="00535AFC"/>
    <w:rsid w:val="00541907"/>
    <w:rsid w:val="00542482"/>
    <w:rsid w:val="005425ED"/>
    <w:rsid w:val="00542772"/>
    <w:rsid w:val="005471B6"/>
    <w:rsid w:val="00547FAB"/>
    <w:rsid w:val="005506CC"/>
    <w:rsid w:val="00551899"/>
    <w:rsid w:val="00560934"/>
    <w:rsid w:val="0056261E"/>
    <w:rsid w:val="00564960"/>
    <w:rsid w:val="005662F0"/>
    <w:rsid w:val="00570546"/>
    <w:rsid w:val="00571F98"/>
    <w:rsid w:val="005734A4"/>
    <w:rsid w:val="0057499F"/>
    <w:rsid w:val="00574C4E"/>
    <w:rsid w:val="005818A7"/>
    <w:rsid w:val="005A0E53"/>
    <w:rsid w:val="005A1078"/>
    <w:rsid w:val="005A1A02"/>
    <w:rsid w:val="005A1E45"/>
    <w:rsid w:val="005A3DFB"/>
    <w:rsid w:val="005B22E0"/>
    <w:rsid w:val="005B28C1"/>
    <w:rsid w:val="005B31F4"/>
    <w:rsid w:val="005B3A5B"/>
    <w:rsid w:val="005B656F"/>
    <w:rsid w:val="005B7307"/>
    <w:rsid w:val="005C2E48"/>
    <w:rsid w:val="005C3DBF"/>
    <w:rsid w:val="005D4DD7"/>
    <w:rsid w:val="005E12A9"/>
    <w:rsid w:val="005E200F"/>
    <w:rsid w:val="005E386B"/>
    <w:rsid w:val="005E5243"/>
    <w:rsid w:val="005E7F39"/>
    <w:rsid w:val="005F4AD4"/>
    <w:rsid w:val="00602799"/>
    <w:rsid w:val="0060589D"/>
    <w:rsid w:val="00612041"/>
    <w:rsid w:val="006154AA"/>
    <w:rsid w:val="00620C86"/>
    <w:rsid w:val="006210E6"/>
    <w:rsid w:val="00621848"/>
    <w:rsid w:val="006222DE"/>
    <w:rsid w:val="00627599"/>
    <w:rsid w:val="006329B6"/>
    <w:rsid w:val="00632A70"/>
    <w:rsid w:val="00634BBB"/>
    <w:rsid w:val="006404E6"/>
    <w:rsid w:val="00644142"/>
    <w:rsid w:val="00647ABE"/>
    <w:rsid w:val="00652AF3"/>
    <w:rsid w:val="00660C38"/>
    <w:rsid w:val="00664B05"/>
    <w:rsid w:val="006679FE"/>
    <w:rsid w:val="006714EB"/>
    <w:rsid w:val="006731FE"/>
    <w:rsid w:val="00682B70"/>
    <w:rsid w:val="00686291"/>
    <w:rsid w:val="0068722C"/>
    <w:rsid w:val="00697645"/>
    <w:rsid w:val="00697868"/>
    <w:rsid w:val="006A055F"/>
    <w:rsid w:val="006A5293"/>
    <w:rsid w:val="006B0DF3"/>
    <w:rsid w:val="006B4A48"/>
    <w:rsid w:val="006C052F"/>
    <w:rsid w:val="006C0EF4"/>
    <w:rsid w:val="006C1C9A"/>
    <w:rsid w:val="006C41D5"/>
    <w:rsid w:val="006C430A"/>
    <w:rsid w:val="006C4977"/>
    <w:rsid w:val="006D2809"/>
    <w:rsid w:val="006D43D5"/>
    <w:rsid w:val="006E3342"/>
    <w:rsid w:val="006E4B12"/>
    <w:rsid w:val="007048AC"/>
    <w:rsid w:val="00704DCF"/>
    <w:rsid w:val="0071026A"/>
    <w:rsid w:val="00712559"/>
    <w:rsid w:val="007130E5"/>
    <w:rsid w:val="0071650C"/>
    <w:rsid w:val="00716CFE"/>
    <w:rsid w:val="007236AE"/>
    <w:rsid w:val="00731D43"/>
    <w:rsid w:val="00733C7D"/>
    <w:rsid w:val="007345B2"/>
    <w:rsid w:val="00740761"/>
    <w:rsid w:val="00740D6B"/>
    <w:rsid w:val="00745F77"/>
    <w:rsid w:val="00756650"/>
    <w:rsid w:val="00757FEE"/>
    <w:rsid w:val="00763536"/>
    <w:rsid w:val="00764D0D"/>
    <w:rsid w:val="007655F7"/>
    <w:rsid w:val="007740FD"/>
    <w:rsid w:val="00777747"/>
    <w:rsid w:val="00780CF8"/>
    <w:rsid w:val="00791383"/>
    <w:rsid w:val="007933F1"/>
    <w:rsid w:val="00796A72"/>
    <w:rsid w:val="00796B8F"/>
    <w:rsid w:val="007A1FC2"/>
    <w:rsid w:val="007A2B34"/>
    <w:rsid w:val="007A57B7"/>
    <w:rsid w:val="007B1934"/>
    <w:rsid w:val="007B2112"/>
    <w:rsid w:val="007B7661"/>
    <w:rsid w:val="007C114E"/>
    <w:rsid w:val="007D3137"/>
    <w:rsid w:val="007E33BF"/>
    <w:rsid w:val="007E3EAE"/>
    <w:rsid w:val="007E4103"/>
    <w:rsid w:val="007E43F8"/>
    <w:rsid w:val="007E64E6"/>
    <w:rsid w:val="007E656B"/>
    <w:rsid w:val="007F3F30"/>
    <w:rsid w:val="007F49D8"/>
    <w:rsid w:val="007F4DC9"/>
    <w:rsid w:val="007F50E8"/>
    <w:rsid w:val="007F7FBA"/>
    <w:rsid w:val="00800319"/>
    <w:rsid w:val="0080065C"/>
    <w:rsid w:val="00801F7F"/>
    <w:rsid w:val="00802DC6"/>
    <w:rsid w:val="00804DB8"/>
    <w:rsid w:val="00810462"/>
    <w:rsid w:val="00817EB1"/>
    <w:rsid w:val="00822D99"/>
    <w:rsid w:val="00824F1C"/>
    <w:rsid w:val="00826ED8"/>
    <w:rsid w:val="0082771C"/>
    <w:rsid w:val="00836646"/>
    <w:rsid w:val="008420A3"/>
    <w:rsid w:val="00846E17"/>
    <w:rsid w:val="0085212E"/>
    <w:rsid w:val="00855C4C"/>
    <w:rsid w:val="008566E2"/>
    <w:rsid w:val="00872ED4"/>
    <w:rsid w:val="00881A42"/>
    <w:rsid w:val="00882812"/>
    <w:rsid w:val="00885E0A"/>
    <w:rsid w:val="0088603B"/>
    <w:rsid w:val="00886997"/>
    <w:rsid w:val="008910F4"/>
    <w:rsid w:val="00893720"/>
    <w:rsid w:val="00893FC3"/>
    <w:rsid w:val="0089577B"/>
    <w:rsid w:val="00897108"/>
    <w:rsid w:val="008B28F6"/>
    <w:rsid w:val="008B4786"/>
    <w:rsid w:val="008C1C15"/>
    <w:rsid w:val="008C2E0E"/>
    <w:rsid w:val="008C40D2"/>
    <w:rsid w:val="008C4B5D"/>
    <w:rsid w:val="008E0269"/>
    <w:rsid w:val="008E072A"/>
    <w:rsid w:val="008E17CC"/>
    <w:rsid w:val="008E3A55"/>
    <w:rsid w:val="008E49F2"/>
    <w:rsid w:val="008E5F64"/>
    <w:rsid w:val="008E6544"/>
    <w:rsid w:val="008E6AD9"/>
    <w:rsid w:val="008E6CBB"/>
    <w:rsid w:val="008F33B4"/>
    <w:rsid w:val="008F62B5"/>
    <w:rsid w:val="008F65AD"/>
    <w:rsid w:val="0090077A"/>
    <w:rsid w:val="00905DC7"/>
    <w:rsid w:val="009138A0"/>
    <w:rsid w:val="009176D8"/>
    <w:rsid w:val="009224CB"/>
    <w:rsid w:val="00922B85"/>
    <w:rsid w:val="00946AB7"/>
    <w:rsid w:val="0094783B"/>
    <w:rsid w:val="009500DC"/>
    <w:rsid w:val="0095162D"/>
    <w:rsid w:val="00951923"/>
    <w:rsid w:val="0095321C"/>
    <w:rsid w:val="009539A6"/>
    <w:rsid w:val="0095615E"/>
    <w:rsid w:val="0096171E"/>
    <w:rsid w:val="00961F7D"/>
    <w:rsid w:val="00962C79"/>
    <w:rsid w:val="00964364"/>
    <w:rsid w:val="00965C42"/>
    <w:rsid w:val="00972C81"/>
    <w:rsid w:val="00980E0E"/>
    <w:rsid w:val="009824E9"/>
    <w:rsid w:val="00986B58"/>
    <w:rsid w:val="00990982"/>
    <w:rsid w:val="0099192D"/>
    <w:rsid w:val="00995CB0"/>
    <w:rsid w:val="00996822"/>
    <w:rsid w:val="00997E77"/>
    <w:rsid w:val="009A1D28"/>
    <w:rsid w:val="009A2734"/>
    <w:rsid w:val="009B146C"/>
    <w:rsid w:val="009B272F"/>
    <w:rsid w:val="009B34BB"/>
    <w:rsid w:val="009B5B7B"/>
    <w:rsid w:val="009B70E8"/>
    <w:rsid w:val="009C1777"/>
    <w:rsid w:val="009C2C86"/>
    <w:rsid w:val="009C2F42"/>
    <w:rsid w:val="009D0753"/>
    <w:rsid w:val="009D1CD1"/>
    <w:rsid w:val="009D71D0"/>
    <w:rsid w:val="009E1802"/>
    <w:rsid w:val="009E1CDE"/>
    <w:rsid w:val="009E2883"/>
    <w:rsid w:val="009E3946"/>
    <w:rsid w:val="009E51E2"/>
    <w:rsid w:val="009F1580"/>
    <w:rsid w:val="009F22B8"/>
    <w:rsid w:val="009F48AC"/>
    <w:rsid w:val="009F7A61"/>
    <w:rsid w:val="009F7AF4"/>
    <w:rsid w:val="00A040EA"/>
    <w:rsid w:val="00A11C16"/>
    <w:rsid w:val="00A1423E"/>
    <w:rsid w:val="00A15D41"/>
    <w:rsid w:val="00A17FD2"/>
    <w:rsid w:val="00A303AC"/>
    <w:rsid w:val="00A315F7"/>
    <w:rsid w:val="00A36CC1"/>
    <w:rsid w:val="00A370DE"/>
    <w:rsid w:val="00A436F6"/>
    <w:rsid w:val="00A500D6"/>
    <w:rsid w:val="00A540E9"/>
    <w:rsid w:val="00A7052A"/>
    <w:rsid w:val="00A74764"/>
    <w:rsid w:val="00A76E77"/>
    <w:rsid w:val="00A770FF"/>
    <w:rsid w:val="00A80057"/>
    <w:rsid w:val="00A80EC0"/>
    <w:rsid w:val="00A837CF"/>
    <w:rsid w:val="00A86DA2"/>
    <w:rsid w:val="00A91F65"/>
    <w:rsid w:val="00A9368F"/>
    <w:rsid w:val="00A9598B"/>
    <w:rsid w:val="00A97804"/>
    <w:rsid w:val="00AA0247"/>
    <w:rsid w:val="00AA1D1F"/>
    <w:rsid w:val="00AA58AE"/>
    <w:rsid w:val="00AA696B"/>
    <w:rsid w:val="00AB21F5"/>
    <w:rsid w:val="00AB3386"/>
    <w:rsid w:val="00AB5D6B"/>
    <w:rsid w:val="00AC4A4C"/>
    <w:rsid w:val="00AC5309"/>
    <w:rsid w:val="00AC73EC"/>
    <w:rsid w:val="00AD0FF4"/>
    <w:rsid w:val="00AD3152"/>
    <w:rsid w:val="00AD4DD0"/>
    <w:rsid w:val="00AE313D"/>
    <w:rsid w:val="00AE36F0"/>
    <w:rsid w:val="00AE5188"/>
    <w:rsid w:val="00AE5771"/>
    <w:rsid w:val="00AE5A3A"/>
    <w:rsid w:val="00AF065D"/>
    <w:rsid w:val="00AF1CF8"/>
    <w:rsid w:val="00AF6342"/>
    <w:rsid w:val="00AF7E8E"/>
    <w:rsid w:val="00B01D3E"/>
    <w:rsid w:val="00B02B97"/>
    <w:rsid w:val="00B053FB"/>
    <w:rsid w:val="00B07EE5"/>
    <w:rsid w:val="00B11B3E"/>
    <w:rsid w:val="00B14E7F"/>
    <w:rsid w:val="00B162A6"/>
    <w:rsid w:val="00B26778"/>
    <w:rsid w:val="00B26B83"/>
    <w:rsid w:val="00B32479"/>
    <w:rsid w:val="00B33C2B"/>
    <w:rsid w:val="00B34565"/>
    <w:rsid w:val="00B403ED"/>
    <w:rsid w:val="00B436FA"/>
    <w:rsid w:val="00B52813"/>
    <w:rsid w:val="00B534E9"/>
    <w:rsid w:val="00B55167"/>
    <w:rsid w:val="00B66A89"/>
    <w:rsid w:val="00B67919"/>
    <w:rsid w:val="00B7418A"/>
    <w:rsid w:val="00B75025"/>
    <w:rsid w:val="00B81FC7"/>
    <w:rsid w:val="00B840E1"/>
    <w:rsid w:val="00B844AC"/>
    <w:rsid w:val="00B854F4"/>
    <w:rsid w:val="00B866B4"/>
    <w:rsid w:val="00BA590A"/>
    <w:rsid w:val="00BB0B39"/>
    <w:rsid w:val="00BB17FF"/>
    <w:rsid w:val="00BB5F75"/>
    <w:rsid w:val="00BB7D24"/>
    <w:rsid w:val="00BC123D"/>
    <w:rsid w:val="00BC7D50"/>
    <w:rsid w:val="00BD3931"/>
    <w:rsid w:val="00BD5B88"/>
    <w:rsid w:val="00BE7669"/>
    <w:rsid w:val="00BF3BC8"/>
    <w:rsid w:val="00BF734E"/>
    <w:rsid w:val="00C06B57"/>
    <w:rsid w:val="00C107D4"/>
    <w:rsid w:val="00C20978"/>
    <w:rsid w:val="00C22ED0"/>
    <w:rsid w:val="00C24D03"/>
    <w:rsid w:val="00C25E61"/>
    <w:rsid w:val="00C26FCA"/>
    <w:rsid w:val="00C276C5"/>
    <w:rsid w:val="00C30CB5"/>
    <w:rsid w:val="00C30E6C"/>
    <w:rsid w:val="00C3228D"/>
    <w:rsid w:val="00C44565"/>
    <w:rsid w:val="00C46AD0"/>
    <w:rsid w:val="00C54EFF"/>
    <w:rsid w:val="00C72B8B"/>
    <w:rsid w:val="00C759D0"/>
    <w:rsid w:val="00C76F52"/>
    <w:rsid w:val="00C80E90"/>
    <w:rsid w:val="00C8308D"/>
    <w:rsid w:val="00C85E86"/>
    <w:rsid w:val="00C90F17"/>
    <w:rsid w:val="00C91D3B"/>
    <w:rsid w:val="00C92FC5"/>
    <w:rsid w:val="00C9398D"/>
    <w:rsid w:val="00C94D4E"/>
    <w:rsid w:val="00C95014"/>
    <w:rsid w:val="00C95868"/>
    <w:rsid w:val="00C96F5E"/>
    <w:rsid w:val="00C97973"/>
    <w:rsid w:val="00CA2AB4"/>
    <w:rsid w:val="00CB0100"/>
    <w:rsid w:val="00CC10CC"/>
    <w:rsid w:val="00CC55FD"/>
    <w:rsid w:val="00CD6A3F"/>
    <w:rsid w:val="00CE0E06"/>
    <w:rsid w:val="00CE28CF"/>
    <w:rsid w:val="00CE2E85"/>
    <w:rsid w:val="00CE5BEB"/>
    <w:rsid w:val="00CE69E9"/>
    <w:rsid w:val="00CF0DBB"/>
    <w:rsid w:val="00CF2F9B"/>
    <w:rsid w:val="00D0344A"/>
    <w:rsid w:val="00D037C7"/>
    <w:rsid w:val="00D03E41"/>
    <w:rsid w:val="00D13237"/>
    <w:rsid w:val="00D21CD4"/>
    <w:rsid w:val="00D25074"/>
    <w:rsid w:val="00D251D5"/>
    <w:rsid w:val="00D26518"/>
    <w:rsid w:val="00D26CEA"/>
    <w:rsid w:val="00D36170"/>
    <w:rsid w:val="00D36798"/>
    <w:rsid w:val="00D42C8A"/>
    <w:rsid w:val="00D43067"/>
    <w:rsid w:val="00D536FA"/>
    <w:rsid w:val="00D5755D"/>
    <w:rsid w:val="00D633F9"/>
    <w:rsid w:val="00D7380B"/>
    <w:rsid w:val="00D75D77"/>
    <w:rsid w:val="00D76644"/>
    <w:rsid w:val="00D82933"/>
    <w:rsid w:val="00D832C2"/>
    <w:rsid w:val="00D83384"/>
    <w:rsid w:val="00D84023"/>
    <w:rsid w:val="00D919A5"/>
    <w:rsid w:val="00DA11A0"/>
    <w:rsid w:val="00DA20B3"/>
    <w:rsid w:val="00DA31DA"/>
    <w:rsid w:val="00DA604F"/>
    <w:rsid w:val="00DA690B"/>
    <w:rsid w:val="00DA6AC3"/>
    <w:rsid w:val="00DB476D"/>
    <w:rsid w:val="00DB7DB1"/>
    <w:rsid w:val="00DC3EBB"/>
    <w:rsid w:val="00DC44A2"/>
    <w:rsid w:val="00DC5CBE"/>
    <w:rsid w:val="00DD0BAB"/>
    <w:rsid w:val="00DD46E7"/>
    <w:rsid w:val="00DE0E3E"/>
    <w:rsid w:val="00DE3BC0"/>
    <w:rsid w:val="00DF0E6E"/>
    <w:rsid w:val="00DF1C94"/>
    <w:rsid w:val="00DF2CCF"/>
    <w:rsid w:val="00DF2D3A"/>
    <w:rsid w:val="00DF2EE9"/>
    <w:rsid w:val="00DF63DD"/>
    <w:rsid w:val="00E035F3"/>
    <w:rsid w:val="00E064D4"/>
    <w:rsid w:val="00E06617"/>
    <w:rsid w:val="00E07752"/>
    <w:rsid w:val="00E16609"/>
    <w:rsid w:val="00E16F08"/>
    <w:rsid w:val="00E233F3"/>
    <w:rsid w:val="00E2408A"/>
    <w:rsid w:val="00E24D96"/>
    <w:rsid w:val="00E24FC9"/>
    <w:rsid w:val="00E35D60"/>
    <w:rsid w:val="00E36C03"/>
    <w:rsid w:val="00E37F72"/>
    <w:rsid w:val="00E42A30"/>
    <w:rsid w:val="00E477B2"/>
    <w:rsid w:val="00E47959"/>
    <w:rsid w:val="00E47EC8"/>
    <w:rsid w:val="00E50A00"/>
    <w:rsid w:val="00E50AE0"/>
    <w:rsid w:val="00E52563"/>
    <w:rsid w:val="00E57C6F"/>
    <w:rsid w:val="00E616BB"/>
    <w:rsid w:val="00E62DAD"/>
    <w:rsid w:val="00E65091"/>
    <w:rsid w:val="00E66D30"/>
    <w:rsid w:val="00E773CF"/>
    <w:rsid w:val="00E777AE"/>
    <w:rsid w:val="00E77EE6"/>
    <w:rsid w:val="00E80ACA"/>
    <w:rsid w:val="00E81F3E"/>
    <w:rsid w:val="00E859BD"/>
    <w:rsid w:val="00E85CAE"/>
    <w:rsid w:val="00E96759"/>
    <w:rsid w:val="00E9710C"/>
    <w:rsid w:val="00EA5842"/>
    <w:rsid w:val="00EB1EA8"/>
    <w:rsid w:val="00EB34FC"/>
    <w:rsid w:val="00EB4833"/>
    <w:rsid w:val="00EB76E1"/>
    <w:rsid w:val="00EC2CFA"/>
    <w:rsid w:val="00EC5693"/>
    <w:rsid w:val="00EE59DE"/>
    <w:rsid w:val="00EF5416"/>
    <w:rsid w:val="00EF615E"/>
    <w:rsid w:val="00EF77C7"/>
    <w:rsid w:val="00F06CCF"/>
    <w:rsid w:val="00F1065D"/>
    <w:rsid w:val="00F16DF8"/>
    <w:rsid w:val="00F207C6"/>
    <w:rsid w:val="00F20DCF"/>
    <w:rsid w:val="00F20E9B"/>
    <w:rsid w:val="00F27AEC"/>
    <w:rsid w:val="00F31330"/>
    <w:rsid w:val="00F32065"/>
    <w:rsid w:val="00F360CD"/>
    <w:rsid w:val="00F4752B"/>
    <w:rsid w:val="00F47CCC"/>
    <w:rsid w:val="00F502C5"/>
    <w:rsid w:val="00F52C36"/>
    <w:rsid w:val="00F56792"/>
    <w:rsid w:val="00F60052"/>
    <w:rsid w:val="00F60E32"/>
    <w:rsid w:val="00F60EF7"/>
    <w:rsid w:val="00F669C1"/>
    <w:rsid w:val="00F66D25"/>
    <w:rsid w:val="00F7242E"/>
    <w:rsid w:val="00F74603"/>
    <w:rsid w:val="00F77947"/>
    <w:rsid w:val="00F81C98"/>
    <w:rsid w:val="00F8211E"/>
    <w:rsid w:val="00F82743"/>
    <w:rsid w:val="00F83F69"/>
    <w:rsid w:val="00F93DF5"/>
    <w:rsid w:val="00F9652B"/>
    <w:rsid w:val="00FA2D8D"/>
    <w:rsid w:val="00FA768F"/>
    <w:rsid w:val="00FB486F"/>
    <w:rsid w:val="00FB7B6C"/>
    <w:rsid w:val="00FC3C77"/>
    <w:rsid w:val="00FD003E"/>
    <w:rsid w:val="00FD06D1"/>
    <w:rsid w:val="00FD5A8C"/>
    <w:rsid w:val="00FE3233"/>
    <w:rsid w:val="00FE6FEC"/>
    <w:rsid w:val="00FF1161"/>
    <w:rsid w:val="00FF6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uiPriority w:val="99"/>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2A24D0"/>
    <w:pPr>
      <w:ind w:left="720"/>
      <w:contextualSpacing/>
    </w:pPr>
  </w:style>
  <w:style w:type="paragraph" w:styleId="EndnoteText">
    <w:name w:val="endnote text"/>
    <w:basedOn w:val="Normal"/>
    <w:link w:val="EndnoteTextChar"/>
    <w:uiPriority w:val="99"/>
    <w:semiHidden/>
    <w:rsid w:val="002A24D0"/>
    <w:rPr>
      <w:sz w:val="20"/>
      <w:szCs w:val="20"/>
    </w:rPr>
  </w:style>
  <w:style w:type="character" w:customStyle="1" w:styleId="EndnoteTextChar">
    <w:name w:val="Endnote Text Char"/>
    <w:basedOn w:val="DefaultParagraphFont"/>
    <w:link w:val="EndnoteText"/>
    <w:uiPriority w:val="99"/>
    <w:semiHidden/>
    <w:rsid w:val="002A24D0"/>
    <w:rPr>
      <w:rFonts w:ascii="Times New Roman" w:eastAsia="Times New Roman" w:hAnsi="Times New Roman" w:cs="Times New Roman"/>
      <w:sz w:val="20"/>
      <w:szCs w:val="20"/>
    </w:rPr>
  </w:style>
  <w:style w:type="character" w:styleId="EndnoteReference">
    <w:name w:val="endnote reference"/>
    <w:uiPriority w:val="99"/>
    <w:semiHidden/>
    <w:rsid w:val="002A24D0"/>
    <w:rPr>
      <w:vertAlign w:val="superscript"/>
    </w:rPr>
  </w:style>
  <w:style w:type="character" w:styleId="FollowedHyperlink">
    <w:name w:val="FollowedHyperlink"/>
    <w:basedOn w:val="DefaultParagraphFont"/>
    <w:uiPriority w:val="99"/>
    <w:semiHidden/>
    <w:unhideWhenUsed/>
    <w:rsid w:val="007A57B7"/>
    <w:rPr>
      <w:color w:val="800080" w:themeColor="followedHyperlink"/>
      <w:u w:val="single"/>
    </w:rPr>
  </w:style>
  <w:style w:type="paragraph" w:styleId="Revision">
    <w:name w:val="Revision"/>
    <w:hidden/>
    <w:uiPriority w:val="99"/>
    <w:semiHidden/>
    <w:rsid w:val="00EF615E"/>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B4739"/>
    <w:rPr>
      <w:sz w:val="20"/>
      <w:szCs w:val="20"/>
    </w:rPr>
  </w:style>
  <w:style w:type="character" w:customStyle="1" w:styleId="FootnoteTextChar">
    <w:name w:val="Footnote Text Char"/>
    <w:basedOn w:val="DefaultParagraphFont"/>
    <w:link w:val="FootnoteText"/>
    <w:uiPriority w:val="99"/>
    <w:semiHidden/>
    <w:rsid w:val="003B473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B4739"/>
    <w:rPr>
      <w:vertAlign w:val="superscript"/>
    </w:rPr>
  </w:style>
  <w:style w:type="paragraph" w:styleId="TOCHeading">
    <w:name w:val="TOC Heading"/>
    <w:basedOn w:val="Heading1"/>
    <w:next w:val="Normal"/>
    <w:uiPriority w:val="39"/>
    <w:semiHidden/>
    <w:unhideWhenUsed/>
    <w:qFormat/>
    <w:rsid w:val="006679FE"/>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rsid w:val="006679FE"/>
    <w:pPr>
      <w:spacing w:after="100"/>
    </w:pPr>
  </w:style>
  <w:style w:type="paragraph" w:styleId="TOC3">
    <w:name w:val="toc 3"/>
    <w:basedOn w:val="Normal"/>
    <w:next w:val="Normal"/>
    <w:autoRedefine/>
    <w:uiPriority w:val="39"/>
    <w:unhideWhenUsed/>
    <w:rsid w:val="006679FE"/>
    <w:pPr>
      <w:spacing w:after="100"/>
      <w:ind w:left="480"/>
    </w:pPr>
  </w:style>
  <w:style w:type="paragraph" w:styleId="TOC2">
    <w:name w:val="toc 2"/>
    <w:basedOn w:val="Normal"/>
    <w:next w:val="Normal"/>
    <w:autoRedefine/>
    <w:uiPriority w:val="39"/>
    <w:unhideWhenUsed/>
    <w:rsid w:val="006679FE"/>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uiPriority w:val="99"/>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2A24D0"/>
    <w:pPr>
      <w:ind w:left="720"/>
      <w:contextualSpacing/>
    </w:pPr>
  </w:style>
  <w:style w:type="paragraph" w:styleId="EndnoteText">
    <w:name w:val="endnote text"/>
    <w:basedOn w:val="Normal"/>
    <w:link w:val="EndnoteTextChar"/>
    <w:uiPriority w:val="99"/>
    <w:semiHidden/>
    <w:rsid w:val="002A24D0"/>
    <w:rPr>
      <w:sz w:val="20"/>
      <w:szCs w:val="20"/>
    </w:rPr>
  </w:style>
  <w:style w:type="character" w:customStyle="1" w:styleId="EndnoteTextChar">
    <w:name w:val="Endnote Text Char"/>
    <w:basedOn w:val="DefaultParagraphFont"/>
    <w:link w:val="EndnoteText"/>
    <w:uiPriority w:val="99"/>
    <w:semiHidden/>
    <w:rsid w:val="002A24D0"/>
    <w:rPr>
      <w:rFonts w:ascii="Times New Roman" w:eastAsia="Times New Roman" w:hAnsi="Times New Roman" w:cs="Times New Roman"/>
      <w:sz w:val="20"/>
      <w:szCs w:val="20"/>
    </w:rPr>
  </w:style>
  <w:style w:type="character" w:styleId="EndnoteReference">
    <w:name w:val="endnote reference"/>
    <w:uiPriority w:val="99"/>
    <w:semiHidden/>
    <w:rsid w:val="002A24D0"/>
    <w:rPr>
      <w:vertAlign w:val="superscript"/>
    </w:rPr>
  </w:style>
  <w:style w:type="character" w:styleId="FollowedHyperlink">
    <w:name w:val="FollowedHyperlink"/>
    <w:basedOn w:val="DefaultParagraphFont"/>
    <w:uiPriority w:val="99"/>
    <w:semiHidden/>
    <w:unhideWhenUsed/>
    <w:rsid w:val="007A57B7"/>
    <w:rPr>
      <w:color w:val="800080" w:themeColor="followedHyperlink"/>
      <w:u w:val="single"/>
    </w:rPr>
  </w:style>
  <w:style w:type="paragraph" w:styleId="Revision">
    <w:name w:val="Revision"/>
    <w:hidden/>
    <w:uiPriority w:val="99"/>
    <w:semiHidden/>
    <w:rsid w:val="00EF615E"/>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B4739"/>
    <w:rPr>
      <w:sz w:val="20"/>
      <w:szCs w:val="20"/>
    </w:rPr>
  </w:style>
  <w:style w:type="character" w:customStyle="1" w:styleId="FootnoteTextChar">
    <w:name w:val="Footnote Text Char"/>
    <w:basedOn w:val="DefaultParagraphFont"/>
    <w:link w:val="FootnoteText"/>
    <w:uiPriority w:val="99"/>
    <w:semiHidden/>
    <w:rsid w:val="003B473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B4739"/>
    <w:rPr>
      <w:vertAlign w:val="superscript"/>
    </w:rPr>
  </w:style>
  <w:style w:type="paragraph" w:styleId="TOCHeading">
    <w:name w:val="TOC Heading"/>
    <w:basedOn w:val="Heading1"/>
    <w:next w:val="Normal"/>
    <w:uiPriority w:val="39"/>
    <w:semiHidden/>
    <w:unhideWhenUsed/>
    <w:qFormat/>
    <w:rsid w:val="006679FE"/>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rsid w:val="006679FE"/>
    <w:pPr>
      <w:spacing w:after="100"/>
    </w:pPr>
  </w:style>
  <w:style w:type="paragraph" w:styleId="TOC3">
    <w:name w:val="toc 3"/>
    <w:basedOn w:val="Normal"/>
    <w:next w:val="Normal"/>
    <w:autoRedefine/>
    <w:uiPriority w:val="39"/>
    <w:unhideWhenUsed/>
    <w:rsid w:val="006679FE"/>
    <w:pPr>
      <w:spacing w:after="100"/>
      <w:ind w:left="480"/>
    </w:pPr>
  </w:style>
  <w:style w:type="paragraph" w:styleId="TOC2">
    <w:name w:val="toc 2"/>
    <w:basedOn w:val="Normal"/>
    <w:next w:val="Normal"/>
    <w:autoRedefine/>
    <w:uiPriority w:val="39"/>
    <w:unhideWhenUsed/>
    <w:rsid w:val="006679F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31363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3257347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20566772">
      <w:bodyDiv w:val="1"/>
      <w:marLeft w:val="0"/>
      <w:marRight w:val="0"/>
      <w:marTop w:val="0"/>
      <w:marBottom w:val="0"/>
      <w:divBdr>
        <w:top w:val="none" w:sz="0" w:space="0" w:color="auto"/>
        <w:left w:val="none" w:sz="0" w:space="0" w:color="auto"/>
        <w:bottom w:val="none" w:sz="0" w:space="0" w:color="auto"/>
        <w:right w:val="none" w:sz="0" w:space="0" w:color="auto"/>
      </w:divBdr>
    </w:div>
    <w:div w:id="1588269177">
      <w:bodyDiv w:val="1"/>
      <w:marLeft w:val="0"/>
      <w:marRight w:val="0"/>
      <w:marTop w:val="0"/>
      <w:marBottom w:val="0"/>
      <w:divBdr>
        <w:top w:val="none" w:sz="0" w:space="0" w:color="auto"/>
        <w:left w:val="none" w:sz="0" w:space="0" w:color="auto"/>
        <w:bottom w:val="none" w:sz="0" w:space="0" w:color="auto"/>
        <w:right w:val="none" w:sz="0" w:space="0" w:color="auto"/>
      </w:divBdr>
    </w:div>
    <w:div w:id="18283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cc-ca.com/component/content/article/48-Commercial/2977-thin-client-investigation-including-pc-and-imaging-state-dat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146A9-3573-4177-A3B5-9ADD137E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4344</Words>
  <Characters>24766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Huang, Jia Chang</cp:lastModifiedBy>
  <cp:revision>4</cp:revision>
  <dcterms:created xsi:type="dcterms:W3CDTF">2014-07-07T21:20:00Z</dcterms:created>
  <dcterms:modified xsi:type="dcterms:W3CDTF">2014-07-07T22:35:00Z</dcterms:modified>
</cp:coreProperties>
</file>