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100BE8" w14:textId="6B021F16" w:rsidR="00002A7A" w:rsidRDefault="008D277C" w:rsidP="0027321C">
      <w:pPr>
        <w:tabs>
          <w:tab w:val="left" w:pos="900"/>
        </w:tabs>
        <w:spacing w:after="20"/>
      </w:pPr>
      <w:r w:rsidRPr="002F52B5">
        <w:rPr>
          <w:rStyle w:val="Semibold"/>
        </w:rPr>
        <w:t>To:</w:t>
      </w:r>
      <w:r>
        <w:rPr>
          <w:b/>
        </w:rPr>
        <w:tab/>
      </w:r>
      <w:r w:rsidR="0027321C">
        <w:t>PG&amp;E</w:t>
      </w:r>
    </w:p>
    <w:p w14:paraId="17A57244" w14:textId="77777777" w:rsidR="008D277C" w:rsidRPr="00727285" w:rsidRDefault="008D277C" w:rsidP="008D277C">
      <w:pPr>
        <w:rPr>
          <w:sz w:val="18"/>
          <w:szCs w:val="18"/>
        </w:rPr>
      </w:pPr>
    </w:p>
    <w:p w14:paraId="736D29F5" w14:textId="18D629D1" w:rsidR="0024208D" w:rsidRDefault="008D277C" w:rsidP="00F43A7D">
      <w:pPr>
        <w:tabs>
          <w:tab w:val="left" w:pos="900"/>
        </w:tabs>
        <w:spacing w:after="20"/>
        <w:outlineLvl w:val="0"/>
      </w:pPr>
      <w:r w:rsidRPr="002F52B5">
        <w:rPr>
          <w:rStyle w:val="Semibold"/>
        </w:rPr>
        <w:t>From:</w:t>
      </w:r>
      <w:r>
        <w:rPr>
          <w:b/>
        </w:rPr>
        <w:t xml:space="preserve"> </w:t>
      </w:r>
      <w:r>
        <w:tab/>
      </w:r>
      <w:r w:rsidR="00905BF5">
        <w:t xml:space="preserve">Michael Hamilton, </w:t>
      </w:r>
      <w:r w:rsidR="0027321C">
        <w:t>EMI Consulting</w:t>
      </w:r>
    </w:p>
    <w:p w14:paraId="6B0EFECC" w14:textId="13D3BF9D" w:rsidR="00905BF5" w:rsidRDefault="00905BF5" w:rsidP="0027321C">
      <w:pPr>
        <w:tabs>
          <w:tab w:val="left" w:pos="900"/>
        </w:tabs>
        <w:spacing w:after="20"/>
      </w:pPr>
      <w:r>
        <w:tab/>
        <w:t>Andrea Salazar, EMI Consulting</w:t>
      </w:r>
    </w:p>
    <w:p w14:paraId="3951D7E2" w14:textId="77777777" w:rsidR="00905BF5" w:rsidRDefault="00905BF5" w:rsidP="0027321C">
      <w:pPr>
        <w:tabs>
          <w:tab w:val="left" w:pos="900"/>
        </w:tabs>
        <w:spacing w:after="20"/>
      </w:pPr>
    </w:p>
    <w:p w14:paraId="3D6A9A97" w14:textId="441C9404" w:rsidR="00905BF5" w:rsidRDefault="00905BF5" w:rsidP="0027321C">
      <w:pPr>
        <w:tabs>
          <w:tab w:val="left" w:pos="900"/>
        </w:tabs>
        <w:spacing w:after="20"/>
      </w:pPr>
      <w:r w:rsidRPr="00905BF5">
        <w:rPr>
          <w:rFonts w:asciiTheme="majorHAnsi" w:hAnsiTheme="majorHAnsi"/>
        </w:rPr>
        <w:t>cc:</w:t>
      </w:r>
      <w:r>
        <w:tab/>
        <w:t xml:space="preserve">Todd </w:t>
      </w:r>
      <w:proofErr w:type="spellStart"/>
      <w:r>
        <w:t>Malinick</w:t>
      </w:r>
      <w:proofErr w:type="spellEnd"/>
      <w:r>
        <w:t>, EMI Consulting</w:t>
      </w:r>
    </w:p>
    <w:p w14:paraId="46A5B038" w14:textId="55BDC3A5" w:rsidR="008D277C" w:rsidRPr="0027321C" w:rsidRDefault="00002A7A" w:rsidP="0027321C">
      <w:pPr>
        <w:spacing w:after="20"/>
        <w:ind w:left="900" w:hanging="900"/>
      </w:pPr>
      <w:r>
        <w:tab/>
      </w:r>
    </w:p>
    <w:p w14:paraId="5D6637EC" w14:textId="7FC46300" w:rsidR="008D277C" w:rsidRPr="00727285" w:rsidRDefault="008D277C" w:rsidP="008D277C">
      <w:pPr>
        <w:tabs>
          <w:tab w:val="left" w:pos="900"/>
        </w:tabs>
        <w:rPr>
          <w:szCs w:val="20"/>
        </w:rPr>
      </w:pPr>
      <w:r w:rsidRPr="002F52B5">
        <w:rPr>
          <w:rStyle w:val="Semibold"/>
        </w:rPr>
        <w:t>Date:</w:t>
      </w:r>
      <w:r>
        <w:rPr>
          <w:b/>
          <w:szCs w:val="20"/>
        </w:rPr>
        <w:tab/>
      </w:r>
      <w:r w:rsidR="002271A4">
        <w:rPr>
          <w:szCs w:val="20"/>
        </w:rPr>
        <w:t>December 30</w:t>
      </w:r>
      <w:r w:rsidR="00183602">
        <w:rPr>
          <w:szCs w:val="20"/>
        </w:rPr>
        <w:t>, 2016</w:t>
      </w:r>
    </w:p>
    <w:p w14:paraId="357C41EF" w14:textId="77777777" w:rsidR="008D277C" w:rsidRPr="00727285" w:rsidRDefault="008D277C" w:rsidP="008D277C">
      <w:pPr>
        <w:rPr>
          <w:sz w:val="18"/>
          <w:szCs w:val="18"/>
        </w:rPr>
      </w:pPr>
    </w:p>
    <w:p w14:paraId="7AFA488F" w14:textId="57B35CC2" w:rsidR="008D277C" w:rsidRPr="003543A0" w:rsidRDefault="008D277C" w:rsidP="00002A7A">
      <w:pPr>
        <w:tabs>
          <w:tab w:val="left" w:pos="900"/>
        </w:tabs>
        <w:spacing w:after="20"/>
        <w:ind w:left="900" w:hanging="900"/>
        <w:rPr>
          <w:b/>
          <w:szCs w:val="20"/>
        </w:rPr>
      </w:pPr>
      <w:r w:rsidRPr="002F52B5">
        <w:rPr>
          <w:rStyle w:val="Semibold"/>
        </w:rPr>
        <w:t>RE:</w:t>
      </w:r>
      <w:r>
        <w:rPr>
          <w:b/>
          <w:szCs w:val="20"/>
        </w:rPr>
        <w:tab/>
      </w:r>
      <w:r w:rsidR="00002A7A" w:rsidRPr="005B357F">
        <w:t xml:space="preserve">2016 PG&amp;E Retail Products Platform (RPP) – </w:t>
      </w:r>
      <w:r w:rsidR="00002A7A">
        <w:t>Air Cleaner</w:t>
      </w:r>
      <w:r w:rsidR="00002A7A" w:rsidRPr="005B357F">
        <w:t xml:space="preserve"> </w:t>
      </w:r>
      <w:r w:rsidR="009737B8">
        <w:t xml:space="preserve">Hours of Use </w:t>
      </w:r>
      <w:r w:rsidR="00002A7A" w:rsidRPr="005B357F">
        <w:t xml:space="preserve">Research </w:t>
      </w:r>
      <w:r w:rsidR="00C5657D">
        <w:t>Results</w:t>
      </w:r>
    </w:p>
    <w:p w14:paraId="6EBE94E0" w14:textId="77777777" w:rsidR="008D277C" w:rsidRPr="00A32EE5" w:rsidRDefault="008D277C" w:rsidP="00F44652">
      <w:pPr>
        <w:pBdr>
          <w:bottom w:val="single" w:sz="18" w:space="1" w:color="D9D9D9" w:themeColor="background1" w:themeShade="D9"/>
        </w:pBdr>
        <w:rPr>
          <w:sz w:val="24"/>
        </w:rPr>
      </w:pPr>
    </w:p>
    <w:p w14:paraId="20624A31" w14:textId="77777777" w:rsidR="00AC11D5" w:rsidRDefault="001217DF" w:rsidP="00F43A7D">
      <w:pPr>
        <w:pStyle w:val="ESMemoHeading1"/>
        <w:outlineLvl w:val="0"/>
      </w:pPr>
      <w:r w:rsidRPr="00E96529">
        <w:t>Introduction</w:t>
      </w:r>
    </w:p>
    <w:p w14:paraId="0113D1DF" w14:textId="1C7BF22F" w:rsidR="005075CF" w:rsidRDefault="005075CF" w:rsidP="005075CF">
      <w:r>
        <w:t xml:space="preserve">The Pacific Gas and Electric Company (PG&amp;E) submitted a </w:t>
      </w:r>
      <w:proofErr w:type="spellStart"/>
      <w:r>
        <w:t>workpaper</w:t>
      </w:r>
      <w:proofErr w:type="spellEnd"/>
      <w:r>
        <w:t xml:space="preserve"> for the Retail Products Platform (RPP) Program in </w:t>
      </w:r>
      <w:r w:rsidR="002E2FD4">
        <w:t>December 2015</w:t>
      </w:r>
      <w:r>
        <w:t xml:space="preserve">. </w:t>
      </w:r>
      <w:r w:rsidR="00C174BA">
        <w:t xml:space="preserve">In its </w:t>
      </w:r>
      <w:proofErr w:type="spellStart"/>
      <w:r w:rsidR="00C174BA">
        <w:t>workpaper</w:t>
      </w:r>
      <w:proofErr w:type="spellEnd"/>
      <w:r w:rsidR="00C174BA">
        <w:t xml:space="preserve"> disposition the California Public Utilities Commission – Energy Division (CPUC-ED) identified the need for further research to support the unit energy savings (UES) values for room air cleaners</w:t>
      </w:r>
      <w:r w:rsidR="00A55E90">
        <w:t>.</w:t>
      </w:r>
      <w:r w:rsidR="0074188D">
        <w:rPr>
          <w:rStyle w:val="FootnoteReference"/>
        </w:rPr>
        <w:footnoteReference w:id="2"/>
      </w:r>
      <w:r w:rsidR="0074188D">
        <w:t xml:space="preserve"> </w:t>
      </w:r>
      <w:r>
        <w:t>Resultantly, PG&amp;E is currently conducting two distinct but related research efforts on room air cleaners:</w:t>
      </w:r>
    </w:p>
    <w:p w14:paraId="706700B2" w14:textId="77777777" w:rsidR="005075CF" w:rsidRDefault="005075CF" w:rsidP="005075CF"/>
    <w:p w14:paraId="3A929EB5" w14:textId="5A06B968" w:rsidR="005075CF" w:rsidRDefault="005075CF" w:rsidP="005075CF">
      <w:pPr>
        <w:pStyle w:val="ListParagraph"/>
        <w:numPr>
          <w:ilvl w:val="0"/>
          <w:numId w:val="57"/>
        </w:numPr>
        <w:rPr>
          <w:b/>
        </w:rPr>
      </w:pPr>
      <w:r w:rsidRPr="00F654B8">
        <w:rPr>
          <w:b/>
        </w:rPr>
        <w:t xml:space="preserve">Lab testing of non-ENERGY STAR </w:t>
      </w:r>
      <w:r>
        <w:rPr>
          <w:b/>
        </w:rPr>
        <w:t xml:space="preserve">air cleaners to </w:t>
      </w:r>
      <w:r w:rsidR="00555116">
        <w:rPr>
          <w:b/>
        </w:rPr>
        <w:t xml:space="preserve">measure power draw and efficiency and </w:t>
      </w:r>
      <w:r w:rsidR="00F43A7D">
        <w:rPr>
          <w:b/>
        </w:rPr>
        <w:t xml:space="preserve">to </w:t>
      </w:r>
      <w:r w:rsidR="00555116">
        <w:rPr>
          <w:b/>
        </w:rPr>
        <w:t>determine if any models meet ENERGY STAR criteri</w:t>
      </w:r>
      <w:r w:rsidR="00294380">
        <w:rPr>
          <w:b/>
        </w:rPr>
        <w:t>a.</w:t>
      </w:r>
      <w:r w:rsidRPr="00F654B8">
        <w:rPr>
          <w:b/>
        </w:rPr>
        <w:t xml:space="preserve"> </w:t>
      </w:r>
      <w:r>
        <w:t>In this research effort, PG&amp;E has partnered with Intertek, an EPA-certified third-party test lab, to test and meter room air cleaner models that are not ENERGY STAR certified.</w:t>
      </w:r>
      <w:bookmarkStart w:id="0" w:name="_GoBack"/>
      <w:bookmarkEnd w:id="0"/>
    </w:p>
    <w:p w14:paraId="25DF564E" w14:textId="159096DA" w:rsidR="005075CF" w:rsidRPr="00B337D1" w:rsidRDefault="005075CF" w:rsidP="005075CF">
      <w:pPr>
        <w:pStyle w:val="ListParagraph"/>
        <w:numPr>
          <w:ilvl w:val="0"/>
          <w:numId w:val="57"/>
        </w:numPr>
        <w:rPr>
          <w:b/>
        </w:rPr>
      </w:pPr>
      <w:r>
        <w:rPr>
          <w:b/>
        </w:rPr>
        <w:t xml:space="preserve">Surveys to determine hours of use (HOU) and coincident demand factor (CDF) for air cleaners. </w:t>
      </w:r>
      <w:r w:rsidRPr="00F654B8">
        <w:t xml:space="preserve">For this effort, PG&amp;E and EMI Consulting are conducting a survey of </w:t>
      </w:r>
      <w:r>
        <w:t>PG&amp;E residential customers</w:t>
      </w:r>
      <w:r w:rsidRPr="00F654B8">
        <w:t xml:space="preserve"> </w:t>
      </w:r>
      <w:r>
        <w:t>to derive more accurate and reliable HOU and CDF estimates.</w:t>
      </w:r>
    </w:p>
    <w:p w14:paraId="1B207D78" w14:textId="2245865B" w:rsidR="00C174BA" w:rsidRDefault="00E00B7D" w:rsidP="00E00B7D">
      <w:pPr>
        <w:pStyle w:val="ESMemoHeading1"/>
      </w:pPr>
      <w:r>
        <w:rPr>
          <w:rFonts w:asciiTheme="minorHAnsi" w:hAnsiTheme="minorHAnsi"/>
          <w:color w:val="auto"/>
          <w:sz w:val="22"/>
        </w:rPr>
        <w:t xml:space="preserve">For the first effort described above, </w:t>
      </w:r>
      <w:r w:rsidR="005A6850">
        <w:rPr>
          <w:rFonts w:asciiTheme="minorHAnsi" w:hAnsiTheme="minorHAnsi"/>
          <w:color w:val="auto"/>
          <w:sz w:val="22"/>
        </w:rPr>
        <w:t xml:space="preserve">please refer to the </w:t>
      </w:r>
      <w:r>
        <w:rPr>
          <w:rFonts w:asciiTheme="minorHAnsi" w:hAnsiTheme="minorHAnsi"/>
          <w:color w:val="auto"/>
          <w:sz w:val="22"/>
        </w:rPr>
        <w:t xml:space="preserve">separate memo detailing the results of the lab testing. </w:t>
      </w:r>
      <w:r w:rsidR="005075CF" w:rsidRPr="00C63819">
        <w:rPr>
          <w:rFonts w:asciiTheme="minorHAnsi" w:hAnsiTheme="minorHAnsi"/>
          <w:i/>
          <w:color w:val="auto"/>
          <w:sz w:val="22"/>
          <w:u w:val="single"/>
        </w:rPr>
        <w:t xml:space="preserve">This memo </w:t>
      </w:r>
      <w:r w:rsidR="002E2FD4" w:rsidRPr="00C63819">
        <w:rPr>
          <w:rFonts w:asciiTheme="minorHAnsi" w:hAnsiTheme="minorHAnsi"/>
          <w:i/>
          <w:color w:val="auto"/>
          <w:sz w:val="22"/>
          <w:u w:val="single"/>
        </w:rPr>
        <w:t xml:space="preserve">only </w:t>
      </w:r>
      <w:r w:rsidR="005075CF" w:rsidRPr="00C63819">
        <w:rPr>
          <w:rFonts w:asciiTheme="minorHAnsi" w:hAnsiTheme="minorHAnsi"/>
          <w:i/>
          <w:color w:val="auto"/>
          <w:sz w:val="22"/>
          <w:u w:val="single"/>
        </w:rPr>
        <w:t>summarizes the results of the second effort</w:t>
      </w:r>
      <w:r w:rsidRPr="00C63819">
        <w:rPr>
          <w:rFonts w:asciiTheme="minorHAnsi" w:hAnsiTheme="minorHAnsi"/>
          <w:i/>
          <w:color w:val="auto"/>
          <w:sz w:val="22"/>
          <w:u w:val="single"/>
        </w:rPr>
        <w:t xml:space="preserve"> (HOU and CDF survey results)</w:t>
      </w:r>
      <w:r w:rsidR="005075CF" w:rsidRPr="00C63819">
        <w:rPr>
          <w:rFonts w:asciiTheme="minorHAnsi" w:hAnsiTheme="minorHAnsi"/>
          <w:i/>
          <w:color w:val="auto"/>
          <w:sz w:val="22"/>
          <w:u w:val="single"/>
        </w:rPr>
        <w:t>.</w:t>
      </w:r>
    </w:p>
    <w:p w14:paraId="10338E1E" w14:textId="04C4DD41" w:rsidR="00C174BA" w:rsidRDefault="00C174BA" w:rsidP="00C174BA">
      <w:r>
        <w:t xml:space="preserve">For room air cleaners, the HOU and active mode power draw (which is a function of unit size in </w:t>
      </w:r>
      <w:r w:rsidR="005075CF">
        <w:t>terms of the clean air delivery rate (</w:t>
      </w:r>
      <w:r>
        <w:t>CADR</w:t>
      </w:r>
      <w:r w:rsidR="005075CF">
        <w:t>)</w:t>
      </w:r>
      <w:r>
        <w:t xml:space="preserve"> and unit efficiency) are the two most important parameters affecting the unit energy consumption (UEC) and, in turn, the unit energy savings (UES). In its submitted </w:t>
      </w:r>
      <w:proofErr w:type="spellStart"/>
      <w:r>
        <w:t>workpaper</w:t>
      </w:r>
      <w:proofErr w:type="spellEnd"/>
      <w:r>
        <w:t>, PG&amp;E cited three existing research studies that provide HOU estimates for room air cleaners.</w:t>
      </w:r>
      <w:r>
        <w:rPr>
          <w:rStyle w:val="FootnoteReference"/>
        </w:rPr>
        <w:footnoteReference w:id="3"/>
      </w:r>
      <w:r w:rsidRPr="00A50B23">
        <w:rPr>
          <w:szCs w:val="22"/>
          <w:vertAlign w:val="superscript"/>
        </w:rPr>
        <w:t>,</w:t>
      </w:r>
      <w:r>
        <w:rPr>
          <w:rStyle w:val="FootnoteReference"/>
        </w:rPr>
        <w:footnoteReference w:id="4"/>
      </w:r>
      <w:r w:rsidRPr="00A50B23">
        <w:rPr>
          <w:szCs w:val="22"/>
          <w:vertAlign w:val="superscript"/>
        </w:rPr>
        <w:t>,</w:t>
      </w:r>
      <w:r>
        <w:rPr>
          <w:rStyle w:val="FootnoteReference"/>
        </w:rPr>
        <w:footnoteReference w:id="5"/>
      </w:r>
      <w:r>
        <w:t xml:space="preserve"> Of the three studies, PG&amp;E felt the 2004 Association of Home Appliance Manufacturers’ </w:t>
      </w:r>
      <w:r>
        <w:lastRenderedPageBreak/>
        <w:t xml:space="preserve">(AHAM) report was the most robust and substantiated data source and </w:t>
      </w:r>
      <w:r w:rsidR="005075CF">
        <w:t xml:space="preserve">it </w:t>
      </w:r>
      <w:r>
        <w:t xml:space="preserve">also provided the most conservative estimate. Therefore, AHAM’s values of 2,921 hours per year in active mode and 5,839 hours per year in idle mode were used in the </w:t>
      </w:r>
      <w:proofErr w:type="spellStart"/>
      <w:r w:rsidR="00E04366">
        <w:t>workpaper</w:t>
      </w:r>
      <w:proofErr w:type="spellEnd"/>
      <w:r w:rsidR="00E04366">
        <w:t xml:space="preserve"> for the </w:t>
      </w:r>
      <w:r>
        <w:t>room air cleaner UEC calculation for both the baseline and the measure-case.</w:t>
      </w:r>
    </w:p>
    <w:p w14:paraId="24DFD317" w14:textId="77777777" w:rsidR="00C174BA" w:rsidRDefault="00C174BA" w:rsidP="00C174BA"/>
    <w:p w14:paraId="2863E3A2" w14:textId="7D12DC72" w:rsidR="00C174BA" w:rsidRDefault="00C174BA" w:rsidP="00F654B8">
      <w:r>
        <w:t>However, the CPUC-ED noted that the 2004 AHAM study, as well as all the other reports, rely on customer self-reported HOU estimates that may or may not apply to California-specific usage. The CPUC-ED question</w:t>
      </w:r>
      <w:r w:rsidR="005075CF">
        <w:t>ed</w:t>
      </w:r>
      <w:r>
        <w:t xml:space="preserve"> the accuracy</w:t>
      </w:r>
      <w:r w:rsidR="005075CF">
        <w:t xml:space="preserve"> and </w:t>
      </w:r>
      <w:r>
        <w:t>reliability</w:t>
      </w:r>
      <w:r w:rsidR="005075CF">
        <w:t xml:space="preserve"> of the HOU </w:t>
      </w:r>
      <w:r w:rsidR="00330B19">
        <w:t>estimate</w:t>
      </w:r>
      <w:r w:rsidR="005075CF">
        <w:t xml:space="preserve"> as well as its </w:t>
      </w:r>
      <w:r>
        <w:t xml:space="preserve">applicability to the California </w:t>
      </w:r>
      <w:r w:rsidR="005075CF">
        <w:t>market</w:t>
      </w:r>
      <w:r>
        <w:t>. In response, PG&amp;E agreed to conduct a study with residential customers to derive California-specific estimates of room air cleaner HOU by mode. In addition, this study collect</w:t>
      </w:r>
      <w:r w:rsidR="005075CF">
        <w:t>ed</w:t>
      </w:r>
      <w:r>
        <w:t xml:space="preserve"> data on usage patterns </w:t>
      </w:r>
      <w:r w:rsidR="00335267">
        <w:t>to</w:t>
      </w:r>
      <w:r>
        <w:t xml:space="preserve"> estimate a more accurate coincident demand factor (CDF) to use in calculating the demand reduction attributable to room air cleaners.</w:t>
      </w:r>
    </w:p>
    <w:p w14:paraId="7A38349F" w14:textId="2B372DDA" w:rsidR="00013769" w:rsidRDefault="00B71D3E" w:rsidP="00F43A7D">
      <w:pPr>
        <w:pStyle w:val="ESMemoHeading1"/>
        <w:outlineLvl w:val="0"/>
      </w:pPr>
      <w:r>
        <w:t>Research Objectives</w:t>
      </w:r>
    </w:p>
    <w:p w14:paraId="73F0B94C" w14:textId="0F68AF4D" w:rsidR="00C82DBC" w:rsidRDefault="00335267" w:rsidP="00B71D3E">
      <w:r>
        <w:t xml:space="preserve">From </w:t>
      </w:r>
      <w:r w:rsidR="00566DD7">
        <w:t xml:space="preserve">September </w:t>
      </w:r>
      <w:r w:rsidR="005075CF">
        <w:t xml:space="preserve">through </w:t>
      </w:r>
      <w:r w:rsidR="00566DD7">
        <w:t>October 2016, PG&amp;E and EMI Consulting conducted</w:t>
      </w:r>
      <w:r w:rsidR="00566DD7" w:rsidRPr="00F654B8">
        <w:t xml:space="preserve"> a survey of </w:t>
      </w:r>
      <w:r w:rsidR="00566DD7">
        <w:t>PG&amp;E residential customers</w:t>
      </w:r>
      <w:r w:rsidR="00566DD7" w:rsidRPr="00F654B8">
        <w:t xml:space="preserve"> </w:t>
      </w:r>
      <w:r w:rsidR="00566DD7">
        <w:t>in order to derive more accurate and reliable HOU and CDF estimates for room air cleaners.</w:t>
      </w:r>
      <w:r w:rsidR="00566DD7" w:rsidRPr="00566DD7">
        <w:rPr>
          <w:b/>
        </w:rPr>
        <w:t xml:space="preserve"> </w:t>
      </w:r>
      <w:r w:rsidR="00B0644D">
        <w:t>The research approach for this study consisted of</w:t>
      </w:r>
      <w:r w:rsidR="00566DD7">
        <w:t xml:space="preserve"> an online</w:t>
      </w:r>
      <w:r w:rsidR="00B0644D">
        <w:t xml:space="preserve"> survey with residential customers in the PG&amp;E service territory</w:t>
      </w:r>
      <w:r w:rsidR="00566DD7">
        <w:t xml:space="preserve"> using PG&amp;E’s internal </w:t>
      </w:r>
      <w:r w:rsidR="009737B8">
        <w:t>C</w:t>
      </w:r>
      <w:r w:rsidR="00566DD7">
        <w:t xml:space="preserve">ustomer </w:t>
      </w:r>
      <w:r w:rsidR="009737B8">
        <w:t>I</w:t>
      </w:r>
      <w:r w:rsidR="00566DD7">
        <w:t xml:space="preserve">nsights </w:t>
      </w:r>
      <w:r w:rsidR="009737B8">
        <w:t>P</w:t>
      </w:r>
      <w:r w:rsidR="00566DD7">
        <w:t>anel</w:t>
      </w:r>
      <w:r w:rsidR="00B0644D">
        <w:t xml:space="preserve">. </w:t>
      </w:r>
      <w:r w:rsidR="00566DD7">
        <w:t>Below we</w:t>
      </w:r>
      <w:r w:rsidR="00B0644D">
        <w:t xml:space="preserve"> detail the </w:t>
      </w:r>
      <w:r w:rsidR="00566DD7">
        <w:t xml:space="preserve">research questions and objectives </w:t>
      </w:r>
      <w:r>
        <w:t>of</w:t>
      </w:r>
      <w:r w:rsidR="00566DD7">
        <w:t xml:space="preserve"> this study</w:t>
      </w:r>
      <w:r w:rsidR="00B0644D">
        <w:t>.</w:t>
      </w:r>
    </w:p>
    <w:p w14:paraId="75018614" w14:textId="691EFE1A" w:rsidR="00C82DBC" w:rsidRPr="00C82DBC" w:rsidRDefault="008063CA" w:rsidP="00F43A7D">
      <w:pPr>
        <w:pStyle w:val="ESMemoHeading3"/>
        <w:outlineLvl w:val="0"/>
      </w:pPr>
      <w:r>
        <w:t>Research Questions/Objectives</w:t>
      </w:r>
    </w:p>
    <w:p w14:paraId="65E958C2" w14:textId="02FF13AE" w:rsidR="00BC062E" w:rsidRPr="00FF693A" w:rsidRDefault="005075CF" w:rsidP="006676F7">
      <w:pPr>
        <w:pStyle w:val="EMIBulletSpacingL1"/>
      </w:pPr>
      <w:r w:rsidRPr="00E62520">
        <w:t>Determine h</w:t>
      </w:r>
      <w:r w:rsidR="003558FA" w:rsidRPr="00E62520">
        <w:t xml:space="preserve">ow many air cleaners </w:t>
      </w:r>
      <w:r w:rsidR="00BC062E" w:rsidRPr="00E62520">
        <w:t>customers have in their home</w:t>
      </w:r>
      <w:r w:rsidR="003F3AA4" w:rsidRPr="00713C75">
        <w:t>s</w:t>
      </w:r>
      <w:r w:rsidR="00E04366">
        <w:t>.</w:t>
      </w:r>
    </w:p>
    <w:p w14:paraId="43FEF7CC" w14:textId="139A5758" w:rsidR="00BC062E" w:rsidRPr="00FF693A" w:rsidRDefault="005075CF" w:rsidP="006676F7">
      <w:pPr>
        <w:pStyle w:val="EMIBulletSpacingL1"/>
      </w:pPr>
      <w:r w:rsidRPr="00FF693A">
        <w:t>Assess s</w:t>
      </w:r>
      <w:r w:rsidR="00BC062E" w:rsidRPr="00FF693A">
        <w:t>easonal use of the air cleaners (e.g., all year or only during some months of the year)</w:t>
      </w:r>
      <w:r w:rsidR="00E04366">
        <w:t>.</w:t>
      </w:r>
    </w:p>
    <w:p w14:paraId="2775277A" w14:textId="0DF9468D" w:rsidR="00BC062E" w:rsidRPr="00FF693A" w:rsidRDefault="005075CF" w:rsidP="006676F7">
      <w:pPr>
        <w:pStyle w:val="EMIBulletSpacingL1"/>
      </w:pPr>
      <w:r w:rsidRPr="00FF693A">
        <w:t>Compute a</w:t>
      </w:r>
      <w:r w:rsidR="00BC062E" w:rsidRPr="00FF693A">
        <w:t>verage daily usage of air cleaners</w:t>
      </w:r>
      <w:r w:rsidR="00E04366">
        <w:t>.</w:t>
      </w:r>
    </w:p>
    <w:p w14:paraId="5478290B" w14:textId="372D2041" w:rsidR="00BC062E" w:rsidRPr="00FF693A" w:rsidRDefault="005075CF" w:rsidP="006676F7">
      <w:pPr>
        <w:pStyle w:val="EMIBulletSpacingL1"/>
      </w:pPr>
      <w:r w:rsidRPr="00FF693A">
        <w:t>Determine w</w:t>
      </w:r>
      <w:r w:rsidR="00BC062E" w:rsidRPr="00FF693A">
        <w:t xml:space="preserve">hen </w:t>
      </w:r>
      <w:r w:rsidRPr="00FF693A">
        <w:t xml:space="preserve">in </w:t>
      </w:r>
      <w:r w:rsidR="00BC062E" w:rsidRPr="00FF693A">
        <w:t>the day customers tend to use their air cleaners (to inform CDF)</w:t>
      </w:r>
      <w:r w:rsidR="00E04366">
        <w:t>.</w:t>
      </w:r>
    </w:p>
    <w:p w14:paraId="01F8CA1F" w14:textId="5AEFF96C" w:rsidR="005146E6" w:rsidRPr="00FF693A" w:rsidRDefault="005075CF" w:rsidP="006676F7">
      <w:pPr>
        <w:pStyle w:val="EMIBulletSpacingL1"/>
      </w:pPr>
      <w:r w:rsidRPr="00FF693A">
        <w:t>Determine typical o</w:t>
      </w:r>
      <w:r w:rsidR="00BC062E" w:rsidRPr="00FF693A">
        <w:t>perating mode</w:t>
      </w:r>
      <w:r w:rsidRPr="00FF693A">
        <w:t>s</w:t>
      </w:r>
      <w:r w:rsidR="00BC062E" w:rsidRPr="00FF693A">
        <w:t xml:space="preserve"> of air cleaners (e.g., low, medium, high and/or auto)</w:t>
      </w:r>
      <w:r w:rsidR="00E04366">
        <w:t>.</w:t>
      </w:r>
    </w:p>
    <w:p w14:paraId="7AA800F6" w14:textId="7757BA00" w:rsidR="0076389A" w:rsidRDefault="005075CF" w:rsidP="006676F7">
      <w:pPr>
        <w:pStyle w:val="EMIBulletSpacingL1"/>
      </w:pPr>
      <w:r w:rsidRPr="00FF693A">
        <w:t>Assess s</w:t>
      </w:r>
      <w:r w:rsidR="0076389A" w:rsidRPr="00FF693A">
        <w:t>easonal variability in usage (typical operating mode by season, etc.)</w:t>
      </w:r>
      <w:r w:rsidRPr="00FF693A">
        <w:t>.</w:t>
      </w:r>
    </w:p>
    <w:p w14:paraId="03770AAB" w14:textId="08E0E138" w:rsidR="00C70885" w:rsidRPr="00FF693A" w:rsidRDefault="00C70885" w:rsidP="006676F7">
      <w:pPr>
        <w:pStyle w:val="EMIBulletSpacingL1"/>
      </w:pPr>
      <w:r>
        <w:t>Determine how often customers unplug their air cleaners</w:t>
      </w:r>
    </w:p>
    <w:p w14:paraId="2591CDA2" w14:textId="77777777" w:rsidR="00B0644D" w:rsidRDefault="00B0644D" w:rsidP="00B0644D">
      <w:pPr>
        <w:pStyle w:val="EMIBulletSpacingL1"/>
        <w:numPr>
          <w:ilvl w:val="0"/>
          <w:numId w:val="0"/>
        </w:numPr>
      </w:pPr>
    </w:p>
    <w:p w14:paraId="0E6E0D0C" w14:textId="7B879353" w:rsidR="00B0644D" w:rsidRDefault="00B0644D" w:rsidP="00B0644D">
      <w:bookmarkStart w:id="1" w:name="_Ref191914477"/>
      <w:bookmarkStart w:id="2" w:name="_Ref191914463"/>
      <w:bookmarkStart w:id="3" w:name="_Toc214538325"/>
      <w:r>
        <w:t xml:space="preserve">Overall, several improvements over the existing research were targeted through this </w:t>
      </w:r>
      <w:r w:rsidR="005075CF">
        <w:t>study</w:t>
      </w:r>
      <w:r>
        <w:t>, including:</w:t>
      </w:r>
    </w:p>
    <w:p w14:paraId="2EF750F7" w14:textId="2025430E" w:rsidR="00B0644D" w:rsidRPr="00FF693A" w:rsidRDefault="00B0644D" w:rsidP="006676F7">
      <w:pPr>
        <w:pStyle w:val="EMIBulletSpacingL1"/>
      </w:pPr>
      <w:r w:rsidRPr="00E62520">
        <w:t>Developing more current information</w:t>
      </w:r>
      <w:r w:rsidR="005075CF" w:rsidRPr="00E62520">
        <w:t xml:space="preserve"> on customer usage of air cleaners</w:t>
      </w:r>
      <w:r w:rsidR="00E04366">
        <w:t>.</w:t>
      </w:r>
    </w:p>
    <w:p w14:paraId="60E9D1C5" w14:textId="5F85D158" w:rsidR="00B0644D" w:rsidRPr="00E62520" w:rsidRDefault="00B0644D" w:rsidP="006676F7">
      <w:pPr>
        <w:pStyle w:val="EMIBulletSpacingL1"/>
      </w:pPr>
      <w:r w:rsidRPr="00E62520">
        <w:t>Developing Ca</w:t>
      </w:r>
      <w:r w:rsidR="00E04366">
        <w:t>lifornia-specific HOU estimates.</w:t>
      </w:r>
    </w:p>
    <w:p w14:paraId="05215BB2" w14:textId="0D2C9FAA" w:rsidR="00B0644D" w:rsidRPr="00FF693A" w:rsidRDefault="00B0644D" w:rsidP="006676F7">
      <w:pPr>
        <w:pStyle w:val="EMIBulletSpacingL1"/>
      </w:pPr>
      <w:r w:rsidRPr="00FF693A">
        <w:t>Developing Ca</w:t>
      </w:r>
      <w:r w:rsidR="00E04366">
        <w:t>lifornia-specific CDF estimates.</w:t>
      </w:r>
    </w:p>
    <w:p w14:paraId="6BC76911" w14:textId="45510F36" w:rsidR="00B0644D" w:rsidRPr="00FF693A" w:rsidRDefault="00B0644D" w:rsidP="006676F7">
      <w:pPr>
        <w:pStyle w:val="EMIBulletSpacingL1"/>
      </w:pPr>
      <w:r w:rsidRPr="00FF693A">
        <w:t>Providing a clearer explanation of research methods</w:t>
      </w:r>
      <w:r w:rsidR="00DA07F8" w:rsidRPr="00FF693A">
        <w:t xml:space="preserve"> and final confidence/precision</w:t>
      </w:r>
      <w:r w:rsidR="00E04366">
        <w:t>.</w:t>
      </w:r>
    </w:p>
    <w:p w14:paraId="568195A4" w14:textId="399C252B" w:rsidR="00C82DBC" w:rsidRPr="00FF693A" w:rsidRDefault="00B0644D" w:rsidP="006676F7">
      <w:pPr>
        <w:pStyle w:val="EMIBulletSpacingL1"/>
      </w:pPr>
      <w:r w:rsidRPr="00FF693A">
        <w:t>Providing greater clarity on variability both across seasons as well as across users.</w:t>
      </w:r>
      <w:bookmarkEnd w:id="1"/>
      <w:bookmarkEnd w:id="2"/>
      <w:bookmarkEnd w:id="3"/>
    </w:p>
    <w:p w14:paraId="22824B2B" w14:textId="77777777" w:rsidR="00713FAD" w:rsidRDefault="00713FAD" w:rsidP="00F43A7D">
      <w:pPr>
        <w:pStyle w:val="ESMemoHeading1"/>
        <w:outlineLvl w:val="0"/>
      </w:pPr>
      <w:r>
        <w:lastRenderedPageBreak/>
        <w:t>Summary of Key Findings</w:t>
      </w:r>
    </w:p>
    <w:p w14:paraId="55BF6B9D" w14:textId="2949B7B7" w:rsidR="00713FAD" w:rsidRDefault="00713FAD" w:rsidP="00713FAD">
      <w:pPr>
        <w:pStyle w:val="EMIBulletSpacingL1"/>
      </w:pPr>
      <w:r>
        <w:t xml:space="preserve">Across all respondents, we calculated a </w:t>
      </w:r>
      <w:r w:rsidRPr="00793FE5">
        <w:rPr>
          <w:b/>
        </w:rPr>
        <w:t>mean annual HOU value for air cleaners of</w:t>
      </w:r>
      <w:r>
        <w:t xml:space="preserve"> </w:t>
      </w:r>
      <w:r w:rsidR="00821F17">
        <w:rPr>
          <w:b/>
        </w:rPr>
        <w:t>3,641</w:t>
      </w:r>
      <w:r w:rsidRPr="0080395A">
        <w:t>.</w:t>
      </w:r>
      <w:r>
        <w:rPr>
          <w:rStyle w:val="FootnoteReference"/>
        </w:rPr>
        <w:footnoteReference w:id="6"/>
      </w:r>
      <w:r>
        <w:t xml:space="preserve"> This is higher than the current </w:t>
      </w:r>
      <w:proofErr w:type="spellStart"/>
      <w:r>
        <w:t>workpaper</w:t>
      </w:r>
      <w:proofErr w:type="spellEnd"/>
      <w:r>
        <w:t xml:space="preserve"> assumption of 2,921, which is based on the 2004 AHAM report, and lower than the ENERGY STAR calculator assumption of 5,840.</w:t>
      </w:r>
      <w:r>
        <w:rPr>
          <w:rStyle w:val="FootnoteReference"/>
        </w:rPr>
        <w:footnoteReference w:id="7"/>
      </w:r>
    </w:p>
    <w:p w14:paraId="202A8F45" w14:textId="13F0A7CD" w:rsidR="00104879" w:rsidRDefault="00104879" w:rsidP="00713FAD">
      <w:pPr>
        <w:pStyle w:val="EMIBulletSpacingL1"/>
      </w:pPr>
      <w:r>
        <w:t xml:space="preserve">Across all respondents, we calculated a </w:t>
      </w:r>
      <w:r w:rsidRPr="00793FE5">
        <w:rPr>
          <w:b/>
        </w:rPr>
        <w:t>mean annual number of hours that air cleaners are unplugged (off) of 1</w:t>
      </w:r>
      <w:r w:rsidR="00724DE4">
        <w:rPr>
          <w:b/>
        </w:rPr>
        <w:t>,</w:t>
      </w:r>
      <w:r w:rsidRPr="00793FE5">
        <w:rPr>
          <w:b/>
        </w:rPr>
        <w:t>332</w:t>
      </w:r>
      <w:r>
        <w:t xml:space="preserve">, which is higher than the current </w:t>
      </w:r>
      <w:proofErr w:type="spellStart"/>
      <w:r>
        <w:t>workpaper</w:t>
      </w:r>
      <w:proofErr w:type="spellEnd"/>
      <w:r>
        <w:t xml:space="preserve"> assumption of 0.</w:t>
      </w:r>
    </w:p>
    <w:p w14:paraId="2B9045DF" w14:textId="77777777" w:rsidR="00713FAD" w:rsidRDefault="00713FAD" w:rsidP="00713FAD">
      <w:pPr>
        <w:pStyle w:val="EMIBulletSpacingL1"/>
      </w:pPr>
      <w:r>
        <w:t xml:space="preserve">We calculated a </w:t>
      </w:r>
      <w:r w:rsidRPr="00793FE5">
        <w:rPr>
          <w:b/>
        </w:rPr>
        <w:t>mean CDF of</w:t>
      </w:r>
      <w:r>
        <w:t xml:space="preserve"> </w:t>
      </w:r>
      <w:r w:rsidRPr="00CC4987">
        <w:rPr>
          <w:b/>
        </w:rPr>
        <w:t>31.9%</w:t>
      </w:r>
      <w:r>
        <w:t xml:space="preserve">, slightly lower than the current </w:t>
      </w:r>
      <w:proofErr w:type="spellStart"/>
      <w:r>
        <w:t>workpaper</w:t>
      </w:r>
      <w:proofErr w:type="spellEnd"/>
      <w:r>
        <w:t xml:space="preserve"> assumption of 33%.</w:t>
      </w:r>
    </w:p>
    <w:p w14:paraId="58D53BB3" w14:textId="00A56BCC" w:rsidR="00713FAD" w:rsidRDefault="00713FAD" w:rsidP="00713FAD">
      <w:pPr>
        <w:pStyle w:val="EMIBulletSpacingL1"/>
      </w:pPr>
      <w:r>
        <w:t>Nearly two-thirds (65.8%) of respondents only own one air cleaner, in agreement with previous PG&amp;E-sponsored research.</w:t>
      </w:r>
      <w:r>
        <w:rPr>
          <w:rStyle w:val="FootnoteReference"/>
        </w:rPr>
        <w:footnoteReference w:id="8"/>
      </w:r>
    </w:p>
    <w:p w14:paraId="07602B01" w14:textId="77777777" w:rsidR="00713FAD" w:rsidRDefault="00713FAD" w:rsidP="00713FAD">
      <w:pPr>
        <w:pStyle w:val="EMIBulletSpacingL1"/>
      </w:pPr>
      <w:r>
        <w:t>Three-quarters (75.3%) of respondents reported using their air cleaner(s) every day of the week.</w:t>
      </w:r>
    </w:p>
    <w:p w14:paraId="508AD168" w14:textId="400A6F1B" w:rsidR="00713FAD" w:rsidRPr="00713FAD" w:rsidRDefault="00713FAD" w:rsidP="00E00B7D">
      <w:pPr>
        <w:pStyle w:val="EMIBulletSpacingL1"/>
      </w:pPr>
      <w:r>
        <w:t>Just over two-thirds of respondents (67.7%) reported using their air cleaner(s) year-round, slightly lower than indicated by previous PG&amp;E-sponsored research (which indicated that approximately three quarters used air cleaners year round).</w:t>
      </w:r>
      <w:r>
        <w:rPr>
          <w:rStyle w:val="FootnoteReference"/>
        </w:rPr>
        <w:footnoteReference w:id="9"/>
      </w:r>
      <w:r>
        <w:t xml:space="preserve"> The most </w:t>
      </w:r>
      <w:r w:rsidR="00335267">
        <w:t xml:space="preserve">common </w:t>
      </w:r>
      <w:r>
        <w:t>months of use were May through August, with just over 80% of respondents reporting usage during these months.</w:t>
      </w:r>
    </w:p>
    <w:p w14:paraId="459E285B" w14:textId="20D75D01" w:rsidR="00C82DBC" w:rsidRPr="00B71D3E" w:rsidRDefault="008063CA" w:rsidP="00F43A7D">
      <w:pPr>
        <w:pStyle w:val="ESMemoHeading1"/>
        <w:outlineLvl w:val="0"/>
      </w:pPr>
      <w:r w:rsidRPr="00B71D3E">
        <w:t>Research Approach</w:t>
      </w:r>
    </w:p>
    <w:p w14:paraId="53150224" w14:textId="54C3C82E" w:rsidR="001079BD" w:rsidRDefault="001079BD" w:rsidP="00A47248">
      <w:r>
        <w:t xml:space="preserve">To answer the research questions for this study, </w:t>
      </w:r>
      <w:r w:rsidR="00B0644D">
        <w:t xml:space="preserve">EMI Consulting conducted </w:t>
      </w:r>
      <w:r>
        <w:t>online s</w:t>
      </w:r>
      <w:r w:rsidRPr="00CE7BD8">
        <w:t>urveys with residential customer</w:t>
      </w:r>
      <w:r>
        <w:t>s in the PG&amp;E service territory</w:t>
      </w:r>
      <w:r w:rsidR="00B0644D">
        <w:t xml:space="preserve"> using PG&amp;E’s internal</w:t>
      </w:r>
      <w:r>
        <w:t xml:space="preserve"> Customer </w:t>
      </w:r>
      <w:r w:rsidR="00B0644D">
        <w:t>Insights</w:t>
      </w:r>
      <w:r>
        <w:t xml:space="preserve"> Panel for recruitment.</w:t>
      </w:r>
      <w:r w:rsidR="00686EE0">
        <w:t xml:space="preserve"> </w:t>
      </w:r>
      <w:r w:rsidR="00EE4E73" w:rsidRPr="00EE4E73">
        <w:t>This online panel consists of a universe of about 10,200 PG&amp;E residential customers with email addresses who have elected to participate in online surveys and discussions</w:t>
      </w:r>
      <w:r w:rsidR="00EE4E73">
        <w:t xml:space="preserve"> without compensation</w:t>
      </w:r>
      <w:r w:rsidR="00EE4E73" w:rsidRPr="00EE4E73">
        <w:t>.</w:t>
      </w:r>
      <w:r w:rsidR="00EE4E73">
        <w:t xml:space="preserve"> </w:t>
      </w:r>
    </w:p>
    <w:p w14:paraId="14F01B88" w14:textId="77777777" w:rsidR="00A47248" w:rsidRPr="000A4F44" w:rsidRDefault="00A47248" w:rsidP="00A47248"/>
    <w:p w14:paraId="31EC77AD" w14:textId="16968D32" w:rsidR="00BC062E" w:rsidRDefault="001079BD" w:rsidP="008063CA">
      <w:r w:rsidRPr="00BF11A1">
        <w:t xml:space="preserve">The study </w:t>
      </w:r>
      <w:r w:rsidR="00B0644D">
        <w:t xml:space="preserve">was </w:t>
      </w:r>
      <w:r w:rsidRPr="00BF11A1">
        <w:t>design</w:t>
      </w:r>
      <w:r w:rsidR="00B0644D">
        <w:t>ed</w:t>
      </w:r>
      <w:r w:rsidRPr="00BF11A1">
        <w:t xml:space="preserve"> to attain 90/10 confidence/precision for the final </w:t>
      </w:r>
      <w:r w:rsidR="00387525">
        <w:t xml:space="preserve">annual </w:t>
      </w:r>
      <w:r w:rsidRPr="00BF11A1">
        <w:t>HOU</w:t>
      </w:r>
      <w:r w:rsidR="00387525">
        <w:t xml:space="preserve"> </w:t>
      </w:r>
      <w:r w:rsidRPr="00BF11A1">
        <w:t>estimate</w:t>
      </w:r>
      <w:r>
        <w:t>s</w:t>
      </w:r>
      <w:r w:rsidRPr="00BF11A1">
        <w:t xml:space="preserve"> in a cost-effective manner. As</w:t>
      </w:r>
      <w:r>
        <w:t>suming a coefficient of variation</w:t>
      </w:r>
      <w:r w:rsidRPr="00BF11A1">
        <w:t xml:space="preserve"> of 1</w:t>
      </w:r>
      <w:r>
        <w:t>,</w:t>
      </w:r>
      <w:r w:rsidRPr="00BF11A1">
        <w:t xml:space="preserve"> </w:t>
      </w:r>
      <w:r>
        <w:t>we estimate</w:t>
      </w:r>
      <w:r w:rsidR="00B0644D">
        <w:t>d</w:t>
      </w:r>
      <w:r>
        <w:t xml:space="preserve"> </w:t>
      </w:r>
      <w:r w:rsidRPr="00BF11A1">
        <w:t xml:space="preserve">the sample </w:t>
      </w:r>
      <w:r>
        <w:t xml:space="preserve">size would need to be approximately </w:t>
      </w:r>
      <w:r w:rsidRPr="00BF11A1">
        <w:t xml:space="preserve">270 </w:t>
      </w:r>
      <w:r w:rsidR="00B0644D">
        <w:t>completed surveys.</w:t>
      </w:r>
      <w:r w:rsidR="00E6012C">
        <w:rPr>
          <w:rStyle w:val="FootnoteReference"/>
        </w:rPr>
        <w:footnoteReference w:id="10"/>
      </w:r>
      <w:r w:rsidR="0032058F">
        <w:t xml:space="preserve"> A</w:t>
      </w:r>
      <w:r w:rsidR="0032058F" w:rsidRPr="002E684F">
        <w:t xml:space="preserve"> soft launch </w:t>
      </w:r>
      <w:r w:rsidR="0032058F">
        <w:t xml:space="preserve">of the survey </w:t>
      </w:r>
      <w:r w:rsidR="0032058F" w:rsidRPr="002E684F">
        <w:t>was conducted from September 23-27</w:t>
      </w:r>
      <w:r w:rsidR="0032058F">
        <w:t>, 2016</w:t>
      </w:r>
      <w:r w:rsidR="0032058F" w:rsidRPr="002E684F">
        <w:t>.</w:t>
      </w:r>
      <w:r w:rsidR="0032058F">
        <w:t xml:space="preserve"> </w:t>
      </w:r>
      <w:r w:rsidR="0032058F" w:rsidRPr="002E684F">
        <w:t>The main launch was conducted from October 3-10, with a reminder sent on October 6 to boost response</w:t>
      </w:r>
      <w:r w:rsidR="0032058F">
        <w:t>s</w:t>
      </w:r>
      <w:r w:rsidR="0032058F" w:rsidRPr="002E684F">
        <w:t>.</w:t>
      </w:r>
      <w:r w:rsidR="004B42C8">
        <w:t xml:space="preserve"> We provide detailed demographic information in the following section.</w:t>
      </w:r>
    </w:p>
    <w:p w14:paraId="234B2A86" w14:textId="77777777" w:rsidR="004B42C8" w:rsidRPr="00CC4987" w:rsidRDefault="004B42C8" w:rsidP="00F43A7D">
      <w:pPr>
        <w:pStyle w:val="ESMemoHeading1"/>
        <w:outlineLvl w:val="0"/>
      </w:pPr>
      <w:r w:rsidRPr="00CC4987">
        <w:t>Demographics</w:t>
      </w:r>
    </w:p>
    <w:p w14:paraId="15AB0A3C" w14:textId="7F52626B" w:rsidR="004B42C8" w:rsidRPr="00CC4987" w:rsidRDefault="004B42C8" w:rsidP="004B42C8">
      <w:pPr>
        <w:keepNext/>
        <w:contextualSpacing/>
        <w:rPr>
          <w:szCs w:val="22"/>
        </w:rPr>
      </w:pPr>
      <w:r>
        <w:rPr>
          <w:szCs w:val="22"/>
        </w:rPr>
        <w:t xml:space="preserve">The PG&amp;E Customer Insight Panel has been designed to be representative of customers in the PG&amp;E territory with a valid email address. To inform the reader of the </w:t>
      </w:r>
      <w:r w:rsidRPr="00CC4987">
        <w:rPr>
          <w:szCs w:val="22"/>
        </w:rPr>
        <w:t xml:space="preserve">demographic information on survey </w:t>
      </w:r>
      <w:r w:rsidRPr="00CC4987">
        <w:rPr>
          <w:szCs w:val="22"/>
        </w:rPr>
        <w:lastRenderedPageBreak/>
        <w:t xml:space="preserve">respondents, </w:t>
      </w:r>
      <w:r>
        <w:rPr>
          <w:szCs w:val="22"/>
        </w:rPr>
        <w:t xml:space="preserve">the tables below </w:t>
      </w:r>
      <w:r w:rsidRPr="00CC4987">
        <w:rPr>
          <w:szCs w:val="22"/>
        </w:rPr>
        <w:t>includ</w:t>
      </w:r>
      <w:r>
        <w:rPr>
          <w:szCs w:val="22"/>
        </w:rPr>
        <w:t xml:space="preserve">e detailed </w:t>
      </w:r>
      <w:r w:rsidRPr="00CC4987">
        <w:rPr>
          <w:szCs w:val="22"/>
        </w:rPr>
        <w:t>information on gender, age, ethnicity, and household income.</w:t>
      </w:r>
    </w:p>
    <w:p w14:paraId="5DB45213" w14:textId="77777777" w:rsidR="004B42C8" w:rsidRPr="00CC4987" w:rsidRDefault="004B42C8" w:rsidP="004B42C8">
      <w:pPr>
        <w:keepNext/>
        <w:contextualSpacing/>
        <w:rPr>
          <w:szCs w:val="22"/>
        </w:rPr>
      </w:pPr>
    </w:p>
    <w:p w14:paraId="69BD782B" w14:textId="77777777" w:rsidR="004B42C8" w:rsidRPr="00CC4987" w:rsidRDefault="004B42C8" w:rsidP="004B42C8">
      <w:pPr>
        <w:keepNext/>
        <w:contextualSpacing/>
        <w:rPr>
          <w:szCs w:val="22"/>
        </w:rPr>
      </w:pPr>
      <w:r w:rsidRPr="00CC4987">
        <w:rPr>
          <w:szCs w:val="22"/>
        </w:rPr>
        <w:t>A slight majority of respondents (</w:t>
      </w:r>
      <w:r w:rsidRPr="00E00B7D">
        <w:rPr>
          <w:i/>
          <w:szCs w:val="22"/>
        </w:rPr>
        <w:t>n</w:t>
      </w:r>
      <w:r w:rsidRPr="00CC4987">
        <w:rPr>
          <w:szCs w:val="22"/>
        </w:rPr>
        <w:t xml:space="preserve"> = 401, 57.9%) were male while female respondents comprised just under half of the sample (</w:t>
      </w:r>
      <w:r w:rsidRPr="00E00B7D">
        <w:rPr>
          <w:i/>
          <w:szCs w:val="22"/>
        </w:rPr>
        <w:t>n</w:t>
      </w:r>
      <w:r w:rsidRPr="00CC4987">
        <w:rPr>
          <w:szCs w:val="22"/>
        </w:rPr>
        <w:t xml:space="preserve"> = 291, 42.1%)</w:t>
      </w:r>
      <w:r>
        <w:rPr>
          <w:szCs w:val="22"/>
        </w:rPr>
        <w:t xml:space="preserve"> (results not shown)</w:t>
      </w:r>
      <w:r w:rsidRPr="00CC4987">
        <w:rPr>
          <w:szCs w:val="22"/>
        </w:rPr>
        <w:t xml:space="preserve">. </w:t>
      </w:r>
      <w:r w:rsidRPr="00F800BF">
        <w:rPr>
          <w:b/>
          <w:szCs w:val="22"/>
        </w:rPr>
        <w:fldChar w:fldCharType="begin"/>
      </w:r>
      <w:r w:rsidRPr="00F800BF">
        <w:rPr>
          <w:b/>
          <w:szCs w:val="22"/>
        </w:rPr>
        <w:instrText xml:space="preserve"> REF _Ref465932080 \h  \* MERGEFORMAT </w:instrText>
      </w:r>
      <w:r w:rsidRPr="00F800BF">
        <w:rPr>
          <w:b/>
          <w:szCs w:val="22"/>
        </w:rPr>
      </w:r>
      <w:r w:rsidRPr="00F800BF">
        <w:rPr>
          <w:b/>
          <w:szCs w:val="22"/>
        </w:rPr>
        <w:fldChar w:fldCharType="separate"/>
      </w:r>
      <w:r w:rsidR="00BF6769" w:rsidRPr="00BF6769">
        <w:rPr>
          <w:rFonts w:ascii="Proxima Nova" w:hAnsi="Proxima Nova"/>
          <w:b/>
          <w:color w:val="191919" w:themeColor="text1"/>
          <w:szCs w:val="20"/>
        </w:rPr>
        <w:t xml:space="preserve">Table </w:t>
      </w:r>
      <w:r w:rsidR="00BF6769" w:rsidRPr="00BF6769">
        <w:rPr>
          <w:rFonts w:ascii="Proxima Nova" w:hAnsi="Proxima Nova"/>
          <w:b/>
          <w:noProof/>
          <w:color w:val="191919" w:themeColor="text1"/>
          <w:szCs w:val="20"/>
        </w:rPr>
        <w:t>1</w:t>
      </w:r>
      <w:r w:rsidRPr="00F800BF">
        <w:rPr>
          <w:b/>
          <w:szCs w:val="22"/>
        </w:rPr>
        <w:fldChar w:fldCharType="end"/>
      </w:r>
      <w:r>
        <w:rPr>
          <w:szCs w:val="22"/>
        </w:rPr>
        <w:t xml:space="preserve"> presents the age distribution of respondents, showing that </w:t>
      </w:r>
      <w:r w:rsidRPr="00CC4987">
        <w:rPr>
          <w:szCs w:val="22"/>
        </w:rPr>
        <w:t>two-thirds of respondents (</w:t>
      </w:r>
      <w:r w:rsidRPr="00E00B7D">
        <w:rPr>
          <w:i/>
          <w:szCs w:val="22"/>
        </w:rPr>
        <w:t>n</w:t>
      </w:r>
      <w:r w:rsidRPr="00CC4987">
        <w:rPr>
          <w:szCs w:val="22"/>
        </w:rPr>
        <w:t xml:space="preserve"> = 461, 66.5%) were between the ages of 35 and 64. </w:t>
      </w:r>
    </w:p>
    <w:p w14:paraId="24B7FE96" w14:textId="77777777" w:rsidR="004B42C8" w:rsidRDefault="004B42C8" w:rsidP="004B42C8">
      <w:pPr>
        <w:keepNext/>
        <w:contextualSpacing/>
        <w:rPr>
          <w:szCs w:val="22"/>
        </w:rPr>
      </w:pPr>
    </w:p>
    <w:p w14:paraId="41AE88B9" w14:textId="023241E4" w:rsidR="004B42C8" w:rsidRDefault="004B42C8" w:rsidP="00F43A7D">
      <w:pPr>
        <w:pStyle w:val="Caption"/>
        <w:spacing w:before="0" w:after="0"/>
        <w:contextualSpacing/>
        <w:outlineLvl w:val="0"/>
        <w:rPr>
          <w:szCs w:val="20"/>
        </w:rPr>
      </w:pPr>
      <w:bookmarkStart w:id="4" w:name="_Ref465932080"/>
      <w:r w:rsidRPr="002E684F">
        <w:rPr>
          <w:rFonts w:ascii="Proxima Nova" w:hAnsi="Proxima Nova"/>
          <w:color w:val="191919" w:themeColor="text1"/>
          <w:szCs w:val="20"/>
        </w:rPr>
        <w:t xml:space="preserve">Table </w:t>
      </w:r>
      <w:r w:rsidR="00AB4885">
        <w:rPr>
          <w:rFonts w:ascii="Proxima Nova" w:hAnsi="Proxima Nova"/>
          <w:color w:val="191919" w:themeColor="text1"/>
          <w:szCs w:val="20"/>
        </w:rPr>
        <w:fldChar w:fldCharType="begin"/>
      </w:r>
      <w:r w:rsidR="00AB4885">
        <w:rPr>
          <w:rFonts w:ascii="Proxima Nova" w:hAnsi="Proxima Nova"/>
          <w:color w:val="191919" w:themeColor="text1"/>
          <w:szCs w:val="20"/>
        </w:rPr>
        <w:instrText xml:space="preserve"> SEQ Table \* ARABIC </w:instrText>
      </w:r>
      <w:r w:rsidR="00AB4885">
        <w:rPr>
          <w:rFonts w:ascii="Proxima Nova" w:hAnsi="Proxima Nova"/>
          <w:color w:val="191919" w:themeColor="text1"/>
          <w:szCs w:val="20"/>
        </w:rPr>
        <w:fldChar w:fldCharType="separate"/>
      </w:r>
      <w:r w:rsidR="00BF6769">
        <w:rPr>
          <w:rFonts w:ascii="Proxima Nova" w:hAnsi="Proxima Nova"/>
          <w:noProof/>
          <w:color w:val="191919" w:themeColor="text1"/>
          <w:szCs w:val="20"/>
        </w:rPr>
        <w:t>1</w:t>
      </w:r>
      <w:r w:rsidR="00AB4885">
        <w:rPr>
          <w:rFonts w:ascii="Proxima Nova" w:hAnsi="Proxima Nova"/>
          <w:color w:val="191919" w:themeColor="text1"/>
          <w:szCs w:val="20"/>
        </w:rPr>
        <w:fldChar w:fldCharType="end"/>
      </w:r>
      <w:bookmarkEnd w:id="4"/>
      <w:r w:rsidRPr="002E684F">
        <w:rPr>
          <w:rFonts w:ascii="Proxima Nova" w:hAnsi="Proxima Nova"/>
          <w:color w:val="191919" w:themeColor="text1"/>
          <w:szCs w:val="20"/>
        </w:rPr>
        <w:t>.</w:t>
      </w:r>
      <w:r w:rsidRPr="002E684F">
        <w:rPr>
          <w:rFonts w:ascii="Proxima Nova" w:hAnsi="Proxima Nova"/>
          <w:b w:val="0"/>
          <w:color w:val="191919" w:themeColor="text1"/>
          <w:szCs w:val="20"/>
        </w:rPr>
        <w:t xml:space="preserve"> </w:t>
      </w:r>
      <w:r>
        <w:rPr>
          <w:szCs w:val="20"/>
        </w:rPr>
        <w:t>Respondent Age</w:t>
      </w:r>
    </w:p>
    <w:tbl>
      <w:tblPr>
        <w:tblStyle w:val="EMITable"/>
        <w:tblW w:w="0" w:type="auto"/>
        <w:tblLook w:val="04A0" w:firstRow="1" w:lastRow="0" w:firstColumn="1" w:lastColumn="0" w:noHBand="0" w:noVBand="1"/>
      </w:tblPr>
      <w:tblGrid>
        <w:gridCol w:w="5868"/>
        <w:gridCol w:w="1890"/>
        <w:gridCol w:w="1818"/>
      </w:tblGrid>
      <w:tr w:rsidR="004B42C8" w14:paraId="5772CD61" w14:textId="77777777" w:rsidTr="006B706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868" w:type="dxa"/>
          </w:tcPr>
          <w:p w14:paraId="5FBFFEF1" w14:textId="4F03BDCC" w:rsidR="004B42C8" w:rsidRDefault="00F43A7D" w:rsidP="006B7060">
            <w:pPr>
              <w:contextualSpacing/>
              <w:rPr>
                <w:sz w:val="20"/>
                <w:szCs w:val="20"/>
              </w:rPr>
            </w:pPr>
            <w:r>
              <w:rPr>
                <w:sz w:val="20"/>
                <w:szCs w:val="20"/>
              </w:rPr>
              <w:t>Age Range</w:t>
            </w:r>
          </w:p>
        </w:tc>
        <w:tc>
          <w:tcPr>
            <w:tcW w:w="1890" w:type="dxa"/>
          </w:tcPr>
          <w:p w14:paraId="63A4464E" w14:textId="77777777" w:rsidR="004B42C8" w:rsidRPr="00654363" w:rsidRDefault="004B42C8" w:rsidP="006B7060">
            <w:pPr>
              <w:contextualSpacing/>
              <w:cnfStyle w:val="100000000000" w:firstRow="1" w:lastRow="0" w:firstColumn="0" w:lastColumn="0" w:oddVBand="0" w:evenVBand="0" w:oddHBand="0" w:evenHBand="0" w:firstRowFirstColumn="0" w:firstRowLastColumn="0" w:lastRowFirstColumn="0" w:lastRowLastColumn="0"/>
              <w:rPr>
                <w:b w:val="0"/>
                <w:i/>
                <w:sz w:val="20"/>
                <w:szCs w:val="20"/>
              </w:rPr>
            </w:pPr>
            <w:r>
              <w:rPr>
                <w:i/>
                <w:sz w:val="20"/>
                <w:szCs w:val="20"/>
              </w:rPr>
              <w:t xml:space="preserve">n </w:t>
            </w:r>
          </w:p>
        </w:tc>
        <w:tc>
          <w:tcPr>
            <w:tcW w:w="1818" w:type="dxa"/>
          </w:tcPr>
          <w:p w14:paraId="302A079D" w14:textId="3A462BFA" w:rsidR="004B42C8" w:rsidRPr="00654363" w:rsidRDefault="00F43A7D" w:rsidP="006B7060">
            <w:pPr>
              <w:contextualSpacing/>
              <w:cnfStyle w:val="100000000000" w:firstRow="1" w:lastRow="0" w:firstColumn="0" w:lastColumn="0" w:oddVBand="0" w:evenVBand="0" w:oddHBand="0" w:evenHBand="0" w:firstRowFirstColumn="0" w:firstRowLastColumn="0" w:lastRowFirstColumn="0" w:lastRowLastColumn="0"/>
              <w:rPr>
                <w:b w:val="0"/>
                <w:sz w:val="20"/>
                <w:szCs w:val="20"/>
              </w:rPr>
            </w:pPr>
            <w:r>
              <w:rPr>
                <w:sz w:val="20"/>
                <w:szCs w:val="20"/>
              </w:rPr>
              <w:t>Percent</w:t>
            </w:r>
          </w:p>
        </w:tc>
      </w:tr>
      <w:tr w:rsidR="004B42C8" w14:paraId="24579965"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6A3DD6AE" w14:textId="77777777" w:rsidR="004B42C8" w:rsidRDefault="004B42C8" w:rsidP="006B7060">
            <w:pPr>
              <w:contextualSpacing/>
              <w:rPr>
                <w:sz w:val="20"/>
                <w:szCs w:val="20"/>
              </w:rPr>
            </w:pPr>
            <w:r>
              <w:rPr>
                <w:sz w:val="20"/>
                <w:szCs w:val="20"/>
              </w:rPr>
              <w:t>Ages 18-34</w:t>
            </w:r>
          </w:p>
        </w:tc>
        <w:tc>
          <w:tcPr>
            <w:tcW w:w="1890" w:type="dxa"/>
          </w:tcPr>
          <w:p w14:paraId="6161C63F" w14:textId="77777777" w:rsidR="004B42C8" w:rsidRDefault="004B42C8" w:rsidP="006B7060">
            <w:pPr>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44</w:t>
            </w:r>
          </w:p>
        </w:tc>
        <w:tc>
          <w:tcPr>
            <w:tcW w:w="1818" w:type="dxa"/>
          </w:tcPr>
          <w:p w14:paraId="7EFF5472" w14:textId="77777777" w:rsidR="004B42C8" w:rsidRDefault="004B42C8" w:rsidP="006B7060">
            <w:pPr>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6.3%</w:t>
            </w:r>
          </w:p>
        </w:tc>
      </w:tr>
      <w:tr w:rsidR="004B42C8" w14:paraId="4984C4A8" w14:textId="77777777" w:rsidTr="006B70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4FA47475" w14:textId="77777777" w:rsidR="004B42C8" w:rsidRDefault="004B42C8" w:rsidP="006B7060">
            <w:pPr>
              <w:contextualSpacing/>
              <w:rPr>
                <w:sz w:val="20"/>
                <w:szCs w:val="20"/>
              </w:rPr>
            </w:pPr>
            <w:r>
              <w:rPr>
                <w:sz w:val="20"/>
                <w:szCs w:val="20"/>
              </w:rPr>
              <w:t>Ages 35-49</w:t>
            </w:r>
          </w:p>
        </w:tc>
        <w:tc>
          <w:tcPr>
            <w:tcW w:w="1890" w:type="dxa"/>
          </w:tcPr>
          <w:p w14:paraId="73149241" w14:textId="77777777" w:rsidR="004B42C8" w:rsidRDefault="004B42C8" w:rsidP="006B7060">
            <w:pPr>
              <w:contextualSpacing/>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187</w:t>
            </w:r>
          </w:p>
        </w:tc>
        <w:tc>
          <w:tcPr>
            <w:tcW w:w="1818" w:type="dxa"/>
          </w:tcPr>
          <w:p w14:paraId="773BBB13" w14:textId="77777777" w:rsidR="004B42C8" w:rsidRDefault="004B42C8" w:rsidP="006B7060">
            <w:pPr>
              <w:contextualSpacing/>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27.0%</w:t>
            </w:r>
          </w:p>
        </w:tc>
      </w:tr>
      <w:tr w:rsidR="004B42C8" w14:paraId="7D8426F7"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05794B82" w14:textId="77777777" w:rsidR="004B42C8" w:rsidRDefault="004B42C8" w:rsidP="006B7060">
            <w:pPr>
              <w:contextualSpacing/>
              <w:rPr>
                <w:sz w:val="20"/>
                <w:szCs w:val="20"/>
              </w:rPr>
            </w:pPr>
            <w:r>
              <w:rPr>
                <w:sz w:val="20"/>
                <w:szCs w:val="20"/>
              </w:rPr>
              <w:t>Ages 50-64</w:t>
            </w:r>
          </w:p>
        </w:tc>
        <w:tc>
          <w:tcPr>
            <w:tcW w:w="1890" w:type="dxa"/>
          </w:tcPr>
          <w:p w14:paraId="195271FA" w14:textId="77777777" w:rsidR="004B42C8" w:rsidRDefault="004B42C8" w:rsidP="006B7060">
            <w:pPr>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274</w:t>
            </w:r>
          </w:p>
        </w:tc>
        <w:tc>
          <w:tcPr>
            <w:tcW w:w="1818" w:type="dxa"/>
          </w:tcPr>
          <w:p w14:paraId="0AEB3CB2" w14:textId="77777777" w:rsidR="004B42C8" w:rsidRDefault="004B42C8" w:rsidP="006B7060">
            <w:pPr>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39.5%</w:t>
            </w:r>
          </w:p>
        </w:tc>
      </w:tr>
      <w:tr w:rsidR="004B42C8" w14:paraId="626B3184" w14:textId="77777777" w:rsidTr="006B70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51D7DBAC" w14:textId="77777777" w:rsidR="004B42C8" w:rsidRDefault="004B42C8" w:rsidP="006B7060">
            <w:pPr>
              <w:contextualSpacing/>
              <w:rPr>
                <w:sz w:val="20"/>
                <w:szCs w:val="20"/>
              </w:rPr>
            </w:pPr>
            <w:r>
              <w:rPr>
                <w:sz w:val="20"/>
                <w:szCs w:val="20"/>
              </w:rPr>
              <w:t>Ages 65+</w:t>
            </w:r>
          </w:p>
        </w:tc>
        <w:tc>
          <w:tcPr>
            <w:tcW w:w="1890" w:type="dxa"/>
          </w:tcPr>
          <w:p w14:paraId="61133EC2" w14:textId="77777777" w:rsidR="004B42C8" w:rsidRDefault="004B42C8" w:rsidP="006B7060">
            <w:pPr>
              <w:contextualSpacing/>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188</w:t>
            </w:r>
          </w:p>
        </w:tc>
        <w:tc>
          <w:tcPr>
            <w:tcW w:w="1818" w:type="dxa"/>
          </w:tcPr>
          <w:p w14:paraId="3A5B7A2F" w14:textId="77777777" w:rsidR="004B42C8" w:rsidRDefault="004B42C8" w:rsidP="006B7060">
            <w:pPr>
              <w:contextualSpacing/>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27.2%</w:t>
            </w:r>
          </w:p>
        </w:tc>
      </w:tr>
      <w:tr w:rsidR="004B42C8" w14:paraId="01F7B72C"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455789FE" w14:textId="77777777" w:rsidR="004B42C8" w:rsidRPr="00656BC3" w:rsidRDefault="004B42C8" w:rsidP="006B7060">
            <w:pPr>
              <w:contextualSpacing/>
              <w:rPr>
                <w:rFonts w:asciiTheme="majorHAnsi" w:hAnsiTheme="majorHAnsi"/>
                <w:sz w:val="20"/>
                <w:szCs w:val="20"/>
              </w:rPr>
            </w:pPr>
            <w:r w:rsidRPr="00656BC3">
              <w:rPr>
                <w:rFonts w:asciiTheme="majorHAnsi" w:hAnsiTheme="majorHAnsi"/>
                <w:sz w:val="20"/>
                <w:szCs w:val="20"/>
              </w:rPr>
              <w:t>Total</w:t>
            </w:r>
          </w:p>
        </w:tc>
        <w:tc>
          <w:tcPr>
            <w:tcW w:w="1890" w:type="dxa"/>
          </w:tcPr>
          <w:p w14:paraId="4A55A479" w14:textId="77777777" w:rsidR="004B42C8" w:rsidRPr="00656BC3" w:rsidRDefault="004B42C8" w:rsidP="006B7060">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656BC3">
              <w:rPr>
                <w:rFonts w:asciiTheme="majorHAnsi" w:hAnsiTheme="majorHAnsi"/>
                <w:sz w:val="20"/>
                <w:szCs w:val="20"/>
              </w:rPr>
              <w:t>693</w:t>
            </w:r>
          </w:p>
        </w:tc>
        <w:tc>
          <w:tcPr>
            <w:tcW w:w="1818" w:type="dxa"/>
          </w:tcPr>
          <w:p w14:paraId="52938F92" w14:textId="77777777" w:rsidR="004B42C8" w:rsidRPr="00656BC3" w:rsidRDefault="004B42C8" w:rsidP="006B7060">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656BC3">
              <w:rPr>
                <w:rFonts w:asciiTheme="majorHAnsi" w:hAnsiTheme="majorHAnsi"/>
                <w:sz w:val="20"/>
                <w:szCs w:val="20"/>
              </w:rPr>
              <w:t>100%</w:t>
            </w:r>
          </w:p>
        </w:tc>
      </w:tr>
    </w:tbl>
    <w:p w14:paraId="173AD260" w14:textId="77777777" w:rsidR="004B42C8" w:rsidRPr="00272344" w:rsidRDefault="004B42C8" w:rsidP="004B42C8">
      <w:pPr>
        <w:keepNext/>
        <w:contextualSpacing/>
        <w:rPr>
          <w:szCs w:val="22"/>
        </w:rPr>
      </w:pPr>
    </w:p>
    <w:p w14:paraId="46A579FA" w14:textId="73DDBA37" w:rsidR="004B42C8" w:rsidRDefault="004B42C8" w:rsidP="00F43A7D">
      <w:pPr>
        <w:keepNext/>
        <w:contextualSpacing/>
        <w:outlineLvl w:val="0"/>
        <w:rPr>
          <w:szCs w:val="22"/>
        </w:rPr>
      </w:pPr>
      <w:r w:rsidRPr="008364B1">
        <w:rPr>
          <w:szCs w:val="22"/>
        </w:rPr>
        <w:t>Respondents</w:t>
      </w:r>
      <w:r>
        <w:rPr>
          <w:szCs w:val="22"/>
        </w:rPr>
        <w:t xml:space="preserve">’ ethnicity information is reported in </w:t>
      </w:r>
      <w:r w:rsidRPr="00EF5989">
        <w:rPr>
          <w:b/>
          <w:szCs w:val="22"/>
        </w:rPr>
        <w:fldChar w:fldCharType="begin"/>
      </w:r>
      <w:r w:rsidRPr="00EF5989">
        <w:rPr>
          <w:b/>
          <w:szCs w:val="22"/>
        </w:rPr>
        <w:instrText xml:space="preserve"> REF _Ref466640608 \h </w:instrText>
      </w:r>
      <w:r w:rsidR="00EF5989">
        <w:rPr>
          <w:b/>
          <w:szCs w:val="22"/>
        </w:rPr>
        <w:instrText xml:space="preserve"> \* MERGEFORMAT </w:instrText>
      </w:r>
      <w:r w:rsidRPr="00EF5989">
        <w:rPr>
          <w:b/>
          <w:szCs w:val="22"/>
        </w:rPr>
      </w:r>
      <w:r w:rsidRPr="00EF5989">
        <w:rPr>
          <w:b/>
          <w:szCs w:val="22"/>
        </w:rPr>
        <w:fldChar w:fldCharType="separate"/>
      </w:r>
      <w:r w:rsidR="00BF6769" w:rsidRPr="00BF6769">
        <w:rPr>
          <w:b/>
        </w:rPr>
        <w:t xml:space="preserve">Table </w:t>
      </w:r>
      <w:r w:rsidR="00BF6769" w:rsidRPr="00BF6769">
        <w:rPr>
          <w:b/>
          <w:noProof/>
        </w:rPr>
        <w:t>2</w:t>
      </w:r>
      <w:r w:rsidRPr="00EF5989">
        <w:rPr>
          <w:b/>
          <w:szCs w:val="22"/>
        </w:rPr>
        <w:fldChar w:fldCharType="end"/>
      </w:r>
      <w:r w:rsidRPr="00EF5989">
        <w:rPr>
          <w:b/>
          <w:szCs w:val="22"/>
        </w:rPr>
        <w:t>.</w:t>
      </w:r>
    </w:p>
    <w:p w14:paraId="55455924" w14:textId="77777777" w:rsidR="004B42C8" w:rsidRDefault="004B42C8" w:rsidP="004B42C8">
      <w:pPr>
        <w:keepNext/>
        <w:contextualSpacing/>
        <w:rPr>
          <w:szCs w:val="22"/>
        </w:rPr>
      </w:pPr>
    </w:p>
    <w:p w14:paraId="60799471" w14:textId="3C1FB479" w:rsidR="004B42C8" w:rsidRDefault="004B42C8" w:rsidP="00F43A7D">
      <w:pPr>
        <w:pStyle w:val="Caption"/>
        <w:spacing w:before="0" w:after="0"/>
        <w:contextualSpacing/>
        <w:outlineLvl w:val="0"/>
        <w:rPr>
          <w:szCs w:val="20"/>
        </w:rPr>
      </w:pPr>
      <w:bookmarkStart w:id="5" w:name="_Ref466640608"/>
      <w:bookmarkStart w:id="6" w:name="_Ref465933229"/>
      <w:r>
        <w:t xml:space="preserve">Table </w:t>
      </w:r>
      <w:r w:rsidR="002271A4">
        <w:fldChar w:fldCharType="begin"/>
      </w:r>
      <w:r w:rsidR="002271A4">
        <w:instrText xml:space="preserve"> SEQ Table \* ARABIC </w:instrText>
      </w:r>
      <w:r w:rsidR="002271A4">
        <w:fldChar w:fldCharType="separate"/>
      </w:r>
      <w:r w:rsidR="00BF6769">
        <w:rPr>
          <w:noProof/>
        </w:rPr>
        <w:t>2</w:t>
      </w:r>
      <w:r w:rsidR="002271A4">
        <w:rPr>
          <w:noProof/>
        </w:rPr>
        <w:fldChar w:fldCharType="end"/>
      </w:r>
      <w:bookmarkEnd w:id="5"/>
      <w:r>
        <w:t>. Respondent Ethnicity</w:t>
      </w:r>
      <w:bookmarkEnd w:id="6"/>
    </w:p>
    <w:tbl>
      <w:tblPr>
        <w:tblStyle w:val="EMITable"/>
        <w:tblW w:w="0" w:type="auto"/>
        <w:tblLook w:val="04A0" w:firstRow="1" w:lastRow="0" w:firstColumn="1" w:lastColumn="0" w:noHBand="0" w:noVBand="1"/>
      </w:tblPr>
      <w:tblGrid>
        <w:gridCol w:w="5868"/>
        <w:gridCol w:w="1890"/>
        <w:gridCol w:w="1818"/>
      </w:tblGrid>
      <w:tr w:rsidR="004B42C8" w14:paraId="775F8222" w14:textId="77777777" w:rsidTr="006B706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868" w:type="dxa"/>
          </w:tcPr>
          <w:p w14:paraId="33408F24" w14:textId="79E9F0C4" w:rsidR="004B42C8" w:rsidRPr="00656BC3" w:rsidRDefault="00F43A7D" w:rsidP="006B7060">
            <w:pPr>
              <w:rPr>
                <w:sz w:val="20"/>
                <w:szCs w:val="20"/>
              </w:rPr>
            </w:pPr>
            <w:r>
              <w:rPr>
                <w:sz w:val="20"/>
                <w:szCs w:val="20"/>
              </w:rPr>
              <w:t>Ethnicity</w:t>
            </w:r>
          </w:p>
        </w:tc>
        <w:tc>
          <w:tcPr>
            <w:tcW w:w="1890" w:type="dxa"/>
          </w:tcPr>
          <w:p w14:paraId="4EC0149F" w14:textId="77777777" w:rsidR="004B42C8" w:rsidRPr="00656BC3" w:rsidRDefault="004B42C8" w:rsidP="006B7060">
            <w:pPr>
              <w:cnfStyle w:val="100000000000" w:firstRow="1" w:lastRow="0" w:firstColumn="0" w:lastColumn="0" w:oddVBand="0" w:evenVBand="0" w:oddHBand="0" w:evenHBand="0" w:firstRowFirstColumn="0" w:firstRowLastColumn="0" w:lastRowFirstColumn="0" w:lastRowLastColumn="0"/>
              <w:rPr>
                <w:sz w:val="20"/>
                <w:szCs w:val="20"/>
              </w:rPr>
            </w:pPr>
            <w:r w:rsidRPr="00656BC3">
              <w:rPr>
                <w:i/>
                <w:sz w:val="20"/>
                <w:szCs w:val="20"/>
              </w:rPr>
              <w:t>n</w:t>
            </w:r>
          </w:p>
        </w:tc>
        <w:tc>
          <w:tcPr>
            <w:tcW w:w="1818" w:type="dxa"/>
          </w:tcPr>
          <w:p w14:paraId="39E3E89C" w14:textId="1804597E" w:rsidR="004B42C8" w:rsidRPr="00656BC3" w:rsidRDefault="00F43A7D" w:rsidP="006B7060">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Percent</w:t>
            </w:r>
          </w:p>
        </w:tc>
      </w:tr>
      <w:tr w:rsidR="004B42C8" w14:paraId="29D2C5B2"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26104DE9" w14:textId="77777777" w:rsidR="004B42C8" w:rsidRPr="00656BC3" w:rsidRDefault="004B42C8" w:rsidP="006B7060">
            <w:pPr>
              <w:rPr>
                <w:sz w:val="20"/>
                <w:szCs w:val="20"/>
              </w:rPr>
            </w:pPr>
            <w:r w:rsidRPr="00656BC3">
              <w:rPr>
                <w:sz w:val="20"/>
                <w:szCs w:val="20"/>
              </w:rPr>
              <w:t>Caucasian</w:t>
            </w:r>
          </w:p>
        </w:tc>
        <w:tc>
          <w:tcPr>
            <w:tcW w:w="1890" w:type="dxa"/>
          </w:tcPr>
          <w:p w14:paraId="5A89AB5A"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494</w:t>
            </w:r>
          </w:p>
        </w:tc>
        <w:tc>
          <w:tcPr>
            <w:tcW w:w="1818" w:type="dxa"/>
          </w:tcPr>
          <w:p w14:paraId="6E7F6F03"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71.3%</w:t>
            </w:r>
          </w:p>
        </w:tc>
      </w:tr>
      <w:tr w:rsidR="004B42C8" w14:paraId="5855F42E" w14:textId="77777777" w:rsidTr="006B70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15F6FE08" w14:textId="77777777" w:rsidR="004B42C8" w:rsidRPr="00656BC3" w:rsidRDefault="004B42C8" w:rsidP="006B7060">
            <w:pPr>
              <w:rPr>
                <w:sz w:val="20"/>
                <w:szCs w:val="20"/>
              </w:rPr>
            </w:pPr>
            <w:r w:rsidRPr="00656BC3">
              <w:rPr>
                <w:sz w:val="20"/>
                <w:szCs w:val="20"/>
              </w:rPr>
              <w:t>Asian / Pacific Islander</w:t>
            </w:r>
          </w:p>
        </w:tc>
        <w:tc>
          <w:tcPr>
            <w:tcW w:w="1890" w:type="dxa"/>
          </w:tcPr>
          <w:p w14:paraId="3F7C2D82"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65</w:t>
            </w:r>
          </w:p>
        </w:tc>
        <w:tc>
          <w:tcPr>
            <w:tcW w:w="1818" w:type="dxa"/>
          </w:tcPr>
          <w:p w14:paraId="19EA9B56"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9.4%</w:t>
            </w:r>
          </w:p>
        </w:tc>
      </w:tr>
      <w:tr w:rsidR="004B42C8" w14:paraId="2029FFE0"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74855C8E" w14:textId="77777777" w:rsidR="004B42C8" w:rsidRPr="00656BC3" w:rsidRDefault="004B42C8" w:rsidP="006B7060">
            <w:pPr>
              <w:rPr>
                <w:sz w:val="20"/>
                <w:szCs w:val="20"/>
              </w:rPr>
            </w:pPr>
            <w:r w:rsidRPr="00656BC3">
              <w:rPr>
                <w:sz w:val="20"/>
                <w:szCs w:val="20"/>
              </w:rPr>
              <w:t>Latino/a</w:t>
            </w:r>
          </w:p>
        </w:tc>
        <w:tc>
          <w:tcPr>
            <w:tcW w:w="1890" w:type="dxa"/>
          </w:tcPr>
          <w:p w14:paraId="3B3C973E"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35</w:t>
            </w:r>
          </w:p>
        </w:tc>
        <w:tc>
          <w:tcPr>
            <w:tcW w:w="1818" w:type="dxa"/>
          </w:tcPr>
          <w:p w14:paraId="1E82EF7B"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5.1%</w:t>
            </w:r>
          </w:p>
        </w:tc>
      </w:tr>
      <w:tr w:rsidR="004B42C8" w14:paraId="09B141F1" w14:textId="77777777" w:rsidTr="006B70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064A0514" w14:textId="77777777" w:rsidR="004B42C8" w:rsidRPr="00656BC3" w:rsidRDefault="004B42C8" w:rsidP="006B7060">
            <w:pPr>
              <w:rPr>
                <w:sz w:val="20"/>
                <w:szCs w:val="20"/>
              </w:rPr>
            </w:pPr>
            <w:r w:rsidRPr="00656BC3">
              <w:rPr>
                <w:sz w:val="20"/>
                <w:szCs w:val="20"/>
              </w:rPr>
              <w:t>Multi-racial</w:t>
            </w:r>
          </w:p>
        </w:tc>
        <w:tc>
          <w:tcPr>
            <w:tcW w:w="1890" w:type="dxa"/>
          </w:tcPr>
          <w:p w14:paraId="60B1756E"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27</w:t>
            </w:r>
          </w:p>
        </w:tc>
        <w:tc>
          <w:tcPr>
            <w:tcW w:w="1818" w:type="dxa"/>
          </w:tcPr>
          <w:p w14:paraId="12F2DA66"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3.9%</w:t>
            </w:r>
          </w:p>
        </w:tc>
      </w:tr>
      <w:tr w:rsidR="004B42C8" w14:paraId="5D6DE84C"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703B6794" w14:textId="77777777" w:rsidR="004B42C8" w:rsidRPr="00656BC3" w:rsidRDefault="004B42C8" w:rsidP="006B7060">
            <w:pPr>
              <w:rPr>
                <w:sz w:val="20"/>
                <w:szCs w:val="20"/>
              </w:rPr>
            </w:pPr>
            <w:r w:rsidRPr="00656BC3">
              <w:rPr>
                <w:sz w:val="20"/>
                <w:szCs w:val="20"/>
              </w:rPr>
              <w:t>African American</w:t>
            </w:r>
          </w:p>
        </w:tc>
        <w:tc>
          <w:tcPr>
            <w:tcW w:w="1890" w:type="dxa"/>
          </w:tcPr>
          <w:p w14:paraId="32019F57"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16</w:t>
            </w:r>
          </w:p>
        </w:tc>
        <w:tc>
          <w:tcPr>
            <w:tcW w:w="1818" w:type="dxa"/>
          </w:tcPr>
          <w:p w14:paraId="034A88C7"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2.3%</w:t>
            </w:r>
          </w:p>
        </w:tc>
      </w:tr>
      <w:tr w:rsidR="004B42C8" w14:paraId="0F714208" w14:textId="77777777" w:rsidTr="006B70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5C7599AE" w14:textId="77777777" w:rsidR="004B42C8" w:rsidRPr="00656BC3" w:rsidRDefault="004B42C8" w:rsidP="006B7060">
            <w:pPr>
              <w:rPr>
                <w:sz w:val="20"/>
                <w:szCs w:val="20"/>
              </w:rPr>
            </w:pPr>
            <w:r w:rsidRPr="00656BC3">
              <w:rPr>
                <w:sz w:val="20"/>
                <w:szCs w:val="20"/>
              </w:rPr>
              <w:t>Other</w:t>
            </w:r>
          </w:p>
        </w:tc>
        <w:tc>
          <w:tcPr>
            <w:tcW w:w="1890" w:type="dxa"/>
          </w:tcPr>
          <w:p w14:paraId="26959289"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4</w:t>
            </w:r>
          </w:p>
        </w:tc>
        <w:tc>
          <w:tcPr>
            <w:tcW w:w="1818" w:type="dxa"/>
          </w:tcPr>
          <w:p w14:paraId="532361F1"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0.5%</w:t>
            </w:r>
          </w:p>
        </w:tc>
      </w:tr>
      <w:tr w:rsidR="004B42C8" w14:paraId="1CAD6DA6"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06FEDA77" w14:textId="77777777" w:rsidR="004B42C8" w:rsidRPr="00656BC3" w:rsidRDefault="004B42C8" w:rsidP="006B7060">
            <w:pPr>
              <w:rPr>
                <w:sz w:val="20"/>
                <w:szCs w:val="20"/>
              </w:rPr>
            </w:pPr>
            <w:r w:rsidRPr="00656BC3">
              <w:rPr>
                <w:sz w:val="20"/>
                <w:szCs w:val="20"/>
              </w:rPr>
              <w:t>Prefer not to answer</w:t>
            </w:r>
          </w:p>
        </w:tc>
        <w:tc>
          <w:tcPr>
            <w:tcW w:w="1890" w:type="dxa"/>
          </w:tcPr>
          <w:p w14:paraId="7A0FCB7D"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52</w:t>
            </w:r>
          </w:p>
        </w:tc>
        <w:tc>
          <w:tcPr>
            <w:tcW w:w="1818" w:type="dxa"/>
          </w:tcPr>
          <w:p w14:paraId="4AFE6675"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7.5%</w:t>
            </w:r>
          </w:p>
        </w:tc>
      </w:tr>
      <w:tr w:rsidR="004B42C8" w14:paraId="5A822542" w14:textId="77777777" w:rsidTr="006B70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4454364C" w14:textId="77777777" w:rsidR="004B42C8" w:rsidRPr="00656BC3" w:rsidRDefault="004B42C8" w:rsidP="006B7060">
            <w:pPr>
              <w:rPr>
                <w:rFonts w:asciiTheme="majorHAnsi" w:hAnsiTheme="majorHAnsi"/>
                <w:sz w:val="20"/>
                <w:szCs w:val="20"/>
              </w:rPr>
            </w:pPr>
            <w:r w:rsidRPr="00656BC3">
              <w:rPr>
                <w:rFonts w:asciiTheme="majorHAnsi" w:hAnsiTheme="majorHAnsi"/>
                <w:sz w:val="20"/>
                <w:szCs w:val="20"/>
              </w:rPr>
              <w:t>Total</w:t>
            </w:r>
          </w:p>
        </w:tc>
        <w:tc>
          <w:tcPr>
            <w:tcW w:w="1890" w:type="dxa"/>
          </w:tcPr>
          <w:p w14:paraId="6DB3D5E7"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rFonts w:asciiTheme="majorHAnsi" w:hAnsiTheme="majorHAnsi"/>
                <w:sz w:val="20"/>
                <w:szCs w:val="20"/>
              </w:rPr>
            </w:pPr>
            <w:r w:rsidRPr="00656BC3">
              <w:rPr>
                <w:rFonts w:asciiTheme="majorHAnsi" w:hAnsiTheme="majorHAnsi"/>
                <w:sz w:val="20"/>
                <w:szCs w:val="20"/>
              </w:rPr>
              <w:t>693</w:t>
            </w:r>
          </w:p>
        </w:tc>
        <w:tc>
          <w:tcPr>
            <w:tcW w:w="1818" w:type="dxa"/>
          </w:tcPr>
          <w:p w14:paraId="2721E605"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rFonts w:asciiTheme="majorHAnsi" w:hAnsiTheme="majorHAnsi"/>
                <w:sz w:val="20"/>
                <w:szCs w:val="20"/>
              </w:rPr>
            </w:pPr>
            <w:r w:rsidRPr="00656BC3">
              <w:rPr>
                <w:rFonts w:asciiTheme="majorHAnsi" w:hAnsiTheme="majorHAnsi"/>
                <w:sz w:val="20"/>
                <w:szCs w:val="20"/>
              </w:rPr>
              <w:t>100%</w:t>
            </w:r>
          </w:p>
        </w:tc>
      </w:tr>
    </w:tbl>
    <w:p w14:paraId="4DDC2DD7" w14:textId="77777777" w:rsidR="004B42C8" w:rsidRPr="00615A59" w:rsidRDefault="004B42C8" w:rsidP="004B42C8">
      <w:pPr>
        <w:rPr>
          <w:szCs w:val="22"/>
        </w:rPr>
      </w:pPr>
    </w:p>
    <w:p w14:paraId="12D77B48" w14:textId="77777777" w:rsidR="004B42C8" w:rsidRDefault="004B42C8" w:rsidP="004B42C8">
      <w:pPr>
        <w:rPr>
          <w:szCs w:val="22"/>
        </w:rPr>
      </w:pPr>
      <w:r w:rsidRPr="00CC4987">
        <w:rPr>
          <w:szCs w:val="22"/>
        </w:rPr>
        <w:t xml:space="preserve">PG&amp;E service areas were relatively equally represented in the sample. </w:t>
      </w:r>
      <w:r>
        <w:rPr>
          <w:szCs w:val="22"/>
        </w:rPr>
        <w:t>Of the total respondents, 241</w:t>
      </w:r>
      <w:r w:rsidRPr="00CC4987">
        <w:rPr>
          <w:szCs w:val="22"/>
        </w:rPr>
        <w:t xml:space="preserve"> (34.8%) were in the Central Coast, 173 (25.0%) in the Bay, 104 (15.0%) in the Central Valley, and 175 (25.3%) in the Northern area. </w:t>
      </w:r>
    </w:p>
    <w:p w14:paraId="6FA13B64" w14:textId="77777777" w:rsidR="004B42C8" w:rsidRDefault="004B42C8" w:rsidP="004B42C8">
      <w:pPr>
        <w:rPr>
          <w:szCs w:val="22"/>
        </w:rPr>
      </w:pPr>
    </w:p>
    <w:p w14:paraId="17705B0D" w14:textId="693A1252" w:rsidR="004B42C8" w:rsidRPr="00CC4987" w:rsidRDefault="004B42C8" w:rsidP="004B42C8">
      <w:pPr>
        <w:rPr>
          <w:szCs w:val="22"/>
        </w:rPr>
      </w:pPr>
      <w:r w:rsidRPr="00EF5989">
        <w:rPr>
          <w:b/>
          <w:szCs w:val="22"/>
        </w:rPr>
        <w:fldChar w:fldCharType="begin"/>
      </w:r>
      <w:r w:rsidRPr="00EF5989">
        <w:rPr>
          <w:b/>
          <w:szCs w:val="22"/>
        </w:rPr>
        <w:instrText xml:space="preserve"> REF _Ref465932213 \h  \* MERGEFORMAT </w:instrText>
      </w:r>
      <w:r w:rsidRPr="00EF5989">
        <w:rPr>
          <w:b/>
          <w:szCs w:val="22"/>
        </w:rPr>
      </w:r>
      <w:r w:rsidRPr="00EF5989">
        <w:rPr>
          <w:b/>
          <w:szCs w:val="22"/>
        </w:rPr>
        <w:fldChar w:fldCharType="separate"/>
      </w:r>
      <w:r w:rsidR="00BF6769" w:rsidRPr="00BF6769">
        <w:rPr>
          <w:b/>
        </w:rPr>
        <w:t xml:space="preserve">Table </w:t>
      </w:r>
      <w:r w:rsidR="00BF6769" w:rsidRPr="00BF6769">
        <w:rPr>
          <w:b/>
          <w:noProof/>
        </w:rPr>
        <w:t>3</w:t>
      </w:r>
      <w:r w:rsidRPr="00EF5989">
        <w:rPr>
          <w:b/>
          <w:szCs w:val="22"/>
        </w:rPr>
        <w:fldChar w:fldCharType="end"/>
      </w:r>
      <w:r>
        <w:rPr>
          <w:szCs w:val="22"/>
        </w:rPr>
        <w:t xml:space="preserve"> shows that i</w:t>
      </w:r>
      <w:r w:rsidRPr="00CC4987">
        <w:rPr>
          <w:szCs w:val="22"/>
        </w:rPr>
        <w:t>ncome levels were also fairly evenly distributed, with the most represented income category being $100,000 to less than $150,000 (</w:t>
      </w:r>
      <w:r w:rsidRPr="00E00B7D">
        <w:rPr>
          <w:i/>
          <w:szCs w:val="22"/>
        </w:rPr>
        <w:t>n</w:t>
      </w:r>
      <w:r w:rsidRPr="00CC4987">
        <w:rPr>
          <w:szCs w:val="22"/>
        </w:rPr>
        <w:t xml:space="preserve"> = 118</w:t>
      </w:r>
      <w:r>
        <w:rPr>
          <w:szCs w:val="22"/>
        </w:rPr>
        <w:t>; 17.0%)</w:t>
      </w:r>
      <w:r w:rsidRPr="00CC4987">
        <w:rPr>
          <w:szCs w:val="22"/>
        </w:rPr>
        <w:t>.</w:t>
      </w:r>
    </w:p>
    <w:p w14:paraId="4C61AE9B" w14:textId="77777777" w:rsidR="004B42C8" w:rsidRDefault="004B42C8" w:rsidP="004B42C8">
      <w:pPr>
        <w:rPr>
          <w:szCs w:val="22"/>
        </w:rPr>
      </w:pPr>
    </w:p>
    <w:p w14:paraId="5A744294" w14:textId="3E7B03F7" w:rsidR="004B42C8" w:rsidRPr="00375CDF" w:rsidRDefault="004B42C8" w:rsidP="00F43A7D">
      <w:pPr>
        <w:pStyle w:val="Caption"/>
        <w:spacing w:before="0" w:after="0"/>
        <w:outlineLvl w:val="0"/>
      </w:pPr>
      <w:bookmarkStart w:id="7" w:name="_Ref465932213"/>
      <w:bookmarkStart w:id="8" w:name="_Ref465933264"/>
      <w:r>
        <w:lastRenderedPageBreak/>
        <w:t xml:space="preserve">Table </w:t>
      </w:r>
      <w:r w:rsidR="002271A4">
        <w:fldChar w:fldCharType="begin"/>
      </w:r>
      <w:r w:rsidR="002271A4">
        <w:instrText xml:space="preserve"> SEQ Table \* ARABIC </w:instrText>
      </w:r>
      <w:r w:rsidR="002271A4">
        <w:fldChar w:fldCharType="separate"/>
      </w:r>
      <w:r w:rsidR="00BF6769">
        <w:rPr>
          <w:noProof/>
        </w:rPr>
        <w:t>3</w:t>
      </w:r>
      <w:r w:rsidR="002271A4">
        <w:rPr>
          <w:noProof/>
        </w:rPr>
        <w:fldChar w:fldCharType="end"/>
      </w:r>
      <w:bookmarkEnd w:id="7"/>
      <w:r>
        <w:t>. Household Income</w:t>
      </w:r>
      <w:bookmarkEnd w:id="8"/>
    </w:p>
    <w:tbl>
      <w:tblPr>
        <w:tblStyle w:val="EMITable"/>
        <w:tblW w:w="0" w:type="auto"/>
        <w:tblLook w:val="04A0" w:firstRow="1" w:lastRow="0" w:firstColumn="1" w:lastColumn="0" w:noHBand="0" w:noVBand="1"/>
      </w:tblPr>
      <w:tblGrid>
        <w:gridCol w:w="5868"/>
        <w:gridCol w:w="1890"/>
        <w:gridCol w:w="1818"/>
      </w:tblGrid>
      <w:tr w:rsidR="004B42C8" w14:paraId="0D652975" w14:textId="77777777" w:rsidTr="006B706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868" w:type="dxa"/>
          </w:tcPr>
          <w:p w14:paraId="392B128A" w14:textId="1EC67FAC" w:rsidR="004B42C8" w:rsidRPr="00656BC3" w:rsidRDefault="00F43A7D" w:rsidP="006B7060">
            <w:pPr>
              <w:rPr>
                <w:sz w:val="20"/>
                <w:szCs w:val="20"/>
              </w:rPr>
            </w:pPr>
            <w:r>
              <w:rPr>
                <w:sz w:val="20"/>
                <w:szCs w:val="20"/>
              </w:rPr>
              <w:t>Income Range</w:t>
            </w:r>
          </w:p>
        </w:tc>
        <w:tc>
          <w:tcPr>
            <w:tcW w:w="1890" w:type="dxa"/>
          </w:tcPr>
          <w:p w14:paraId="44730BC1" w14:textId="77777777" w:rsidR="004B42C8" w:rsidRPr="00656BC3" w:rsidRDefault="004B42C8" w:rsidP="006B7060">
            <w:pPr>
              <w:cnfStyle w:val="100000000000" w:firstRow="1" w:lastRow="0" w:firstColumn="0" w:lastColumn="0" w:oddVBand="0" w:evenVBand="0" w:oddHBand="0" w:evenHBand="0" w:firstRowFirstColumn="0" w:firstRowLastColumn="0" w:lastRowFirstColumn="0" w:lastRowLastColumn="0"/>
              <w:rPr>
                <w:b w:val="0"/>
                <w:i/>
                <w:sz w:val="20"/>
                <w:szCs w:val="20"/>
              </w:rPr>
            </w:pPr>
            <w:r w:rsidRPr="00656BC3">
              <w:rPr>
                <w:i/>
                <w:sz w:val="20"/>
                <w:szCs w:val="20"/>
              </w:rPr>
              <w:t>n</w:t>
            </w:r>
          </w:p>
        </w:tc>
        <w:tc>
          <w:tcPr>
            <w:tcW w:w="1818" w:type="dxa"/>
          </w:tcPr>
          <w:p w14:paraId="0C96B9DE" w14:textId="2872F05D" w:rsidR="004B42C8" w:rsidRPr="00656BC3" w:rsidRDefault="00F43A7D" w:rsidP="006B7060">
            <w:pPr>
              <w:cnfStyle w:val="100000000000" w:firstRow="1" w:lastRow="0" w:firstColumn="0" w:lastColumn="0" w:oddVBand="0" w:evenVBand="0" w:oddHBand="0" w:evenHBand="0" w:firstRowFirstColumn="0" w:firstRowLastColumn="0" w:lastRowFirstColumn="0" w:lastRowLastColumn="0"/>
              <w:rPr>
                <w:b w:val="0"/>
                <w:sz w:val="20"/>
                <w:szCs w:val="20"/>
              </w:rPr>
            </w:pPr>
            <w:r>
              <w:rPr>
                <w:sz w:val="20"/>
                <w:szCs w:val="20"/>
              </w:rPr>
              <w:t>Percent</w:t>
            </w:r>
          </w:p>
        </w:tc>
      </w:tr>
      <w:tr w:rsidR="004B42C8" w14:paraId="344CCCBE"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7CF41CA1" w14:textId="77777777" w:rsidR="004B42C8" w:rsidRPr="00656BC3" w:rsidRDefault="004B42C8" w:rsidP="006B7060">
            <w:pPr>
              <w:rPr>
                <w:sz w:val="20"/>
                <w:szCs w:val="20"/>
              </w:rPr>
            </w:pPr>
            <w:r w:rsidRPr="00656BC3">
              <w:rPr>
                <w:sz w:val="20"/>
                <w:szCs w:val="20"/>
              </w:rPr>
              <w:t>&lt; $30,000</w:t>
            </w:r>
          </w:p>
        </w:tc>
        <w:tc>
          <w:tcPr>
            <w:tcW w:w="1890" w:type="dxa"/>
          </w:tcPr>
          <w:p w14:paraId="3BFB565B"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51</w:t>
            </w:r>
          </w:p>
        </w:tc>
        <w:tc>
          <w:tcPr>
            <w:tcW w:w="1818" w:type="dxa"/>
          </w:tcPr>
          <w:p w14:paraId="342CC34A"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7.4%</w:t>
            </w:r>
          </w:p>
        </w:tc>
      </w:tr>
      <w:tr w:rsidR="004B42C8" w14:paraId="1F1734F6" w14:textId="77777777" w:rsidTr="006B70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01576D38" w14:textId="77777777" w:rsidR="004B42C8" w:rsidRPr="00656BC3" w:rsidRDefault="004B42C8" w:rsidP="006B7060">
            <w:pPr>
              <w:rPr>
                <w:sz w:val="20"/>
                <w:szCs w:val="20"/>
              </w:rPr>
            </w:pPr>
            <w:r w:rsidRPr="00656BC3">
              <w:rPr>
                <w:sz w:val="20"/>
                <w:szCs w:val="20"/>
              </w:rPr>
              <w:t xml:space="preserve">   $30,000 - &lt; $50,000</w:t>
            </w:r>
          </w:p>
        </w:tc>
        <w:tc>
          <w:tcPr>
            <w:tcW w:w="1890" w:type="dxa"/>
          </w:tcPr>
          <w:p w14:paraId="1205A8CE"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56</w:t>
            </w:r>
          </w:p>
        </w:tc>
        <w:tc>
          <w:tcPr>
            <w:tcW w:w="1818" w:type="dxa"/>
          </w:tcPr>
          <w:p w14:paraId="7E29A7CC"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8.1%</w:t>
            </w:r>
          </w:p>
        </w:tc>
      </w:tr>
      <w:tr w:rsidR="004B42C8" w14:paraId="0C90E779"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58577631" w14:textId="77777777" w:rsidR="004B42C8" w:rsidRPr="00656BC3" w:rsidRDefault="004B42C8" w:rsidP="006B7060">
            <w:pPr>
              <w:rPr>
                <w:sz w:val="20"/>
                <w:szCs w:val="20"/>
              </w:rPr>
            </w:pPr>
            <w:r w:rsidRPr="00656BC3">
              <w:rPr>
                <w:sz w:val="20"/>
                <w:szCs w:val="20"/>
              </w:rPr>
              <w:t xml:space="preserve">   $50,000 - &lt; $75,000</w:t>
            </w:r>
          </w:p>
        </w:tc>
        <w:tc>
          <w:tcPr>
            <w:tcW w:w="1890" w:type="dxa"/>
          </w:tcPr>
          <w:p w14:paraId="2E5E11D0"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85</w:t>
            </w:r>
          </w:p>
        </w:tc>
        <w:tc>
          <w:tcPr>
            <w:tcW w:w="1818" w:type="dxa"/>
          </w:tcPr>
          <w:p w14:paraId="69DE347F"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12.3%</w:t>
            </w:r>
          </w:p>
        </w:tc>
      </w:tr>
      <w:tr w:rsidR="004B42C8" w14:paraId="614593BD" w14:textId="77777777" w:rsidTr="006B70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2E0CBFAF" w14:textId="77777777" w:rsidR="004B42C8" w:rsidRPr="00656BC3" w:rsidRDefault="004B42C8" w:rsidP="006B7060">
            <w:pPr>
              <w:rPr>
                <w:sz w:val="20"/>
                <w:szCs w:val="20"/>
              </w:rPr>
            </w:pPr>
            <w:r w:rsidRPr="00656BC3">
              <w:rPr>
                <w:sz w:val="20"/>
                <w:szCs w:val="20"/>
              </w:rPr>
              <w:t xml:space="preserve">   $75,000 - &lt; $100,000</w:t>
            </w:r>
          </w:p>
        </w:tc>
        <w:tc>
          <w:tcPr>
            <w:tcW w:w="1890" w:type="dxa"/>
          </w:tcPr>
          <w:p w14:paraId="3A22754A"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80</w:t>
            </w:r>
          </w:p>
        </w:tc>
        <w:tc>
          <w:tcPr>
            <w:tcW w:w="1818" w:type="dxa"/>
          </w:tcPr>
          <w:p w14:paraId="56FA741E"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11.5%</w:t>
            </w:r>
          </w:p>
        </w:tc>
      </w:tr>
      <w:tr w:rsidR="004B42C8" w14:paraId="20417649"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4541A8A1" w14:textId="77777777" w:rsidR="004B42C8" w:rsidRPr="00656BC3" w:rsidRDefault="004B42C8" w:rsidP="006B7060">
            <w:pPr>
              <w:rPr>
                <w:sz w:val="20"/>
                <w:szCs w:val="20"/>
              </w:rPr>
            </w:pPr>
            <w:r w:rsidRPr="00656BC3">
              <w:rPr>
                <w:sz w:val="20"/>
                <w:szCs w:val="20"/>
              </w:rPr>
              <w:t xml:space="preserve">   $100,000 - &lt; $150,000</w:t>
            </w:r>
          </w:p>
        </w:tc>
        <w:tc>
          <w:tcPr>
            <w:tcW w:w="1890" w:type="dxa"/>
          </w:tcPr>
          <w:p w14:paraId="02EF02B5"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118</w:t>
            </w:r>
          </w:p>
        </w:tc>
        <w:tc>
          <w:tcPr>
            <w:tcW w:w="1818" w:type="dxa"/>
          </w:tcPr>
          <w:p w14:paraId="2647818B"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17.0%</w:t>
            </w:r>
          </w:p>
        </w:tc>
      </w:tr>
      <w:tr w:rsidR="004B42C8" w14:paraId="289E7179" w14:textId="77777777" w:rsidTr="006B70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0A638F43" w14:textId="77777777" w:rsidR="004B42C8" w:rsidRPr="00656BC3" w:rsidRDefault="004B42C8" w:rsidP="006B7060">
            <w:pPr>
              <w:rPr>
                <w:sz w:val="20"/>
                <w:szCs w:val="20"/>
              </w:rPr>
            </w:pPr>
            <w:r w:rsidRPr="00656BC3">
              <w:rPr>
                <w:sz w:val="20"/>
                <w:szCs w:val="20"/>
              </w:rPr>
              <w:t xml:space="preserve">   $150,000 - &lt; $200,000</w:t>
            </w:r>
          </w:p>
        </w:tc>
        <w:tc>
          <w:tcPr>
            <w:tcW w:w="1890" w:type="dxa"/>
          </w:tcPr>
          <w:p w14:paraId="287BAE6B"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67</w:t>
            </w:r>
          </w:p>
        </w:tc>
        <w:tc>
          <w:tcPr>
            <w:tcW w:w="1818" w:type="dxa"/>
          </w:tcPr>
          <w:p w14:paraId="2BDF17BD"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9.7%</w:t>
            </w:r>
          </w:p>
        </w:tc>
      </w:tr>
      <w:tr w:rsidR="004B42C8" w14:paraId="258E17B7"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6173F131" w14:textId="77777777" w:rsidR="004B42C8" w:rsidRPr="00656BC3" w:rsidRDefault="004B42C8" w:rsidP="006B7060">
            <w:pPr>
              <w:rPr>
                <w:sz w:val="20"/>
                <w:szCs w:val="20"/>
              </w:rPr>
            </w:pPr>
            <w:r w:rsidRPr="00656BC3">
              <w:rPr>
                <w:sz w:val="20"/>
                <w:szCs w:val="20"/>
              </w:rPr>
              <w:t xml:space="preserve">   $200,000 or More</w:t>
            </w:r>
          </w:p>
        </w:tc>
        <w:tc>
          <w:tcPr>
            <w:tcW w:w="1890" w:type="dxa"/>
          </w:tcPr>
          <w:p w14:paraId="37F8D485"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95</w:t>
            </w:r>
          </w:p>
        </w:tc>
        <w:tc>
          <w:tcPr>
            <w:tcW w:w="1818" w:type="dxa"/>
          </w:tcPr>
          <w:p w14:paraId="5FFDC57C"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13.7%</w:t>
            </w:r>
          </w:p>
        </w:tc>
      </w:tr>
      <w:tr w:rsidR="004B42C8" w14:paraId="5CE21383" w14:textId="77777777" w:rsidTr="006B706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57309003" w14:textId="77777777" w:rsidR="004B42C8" w:rsidRPr="00656BC3" w:rsidRDefault="004B42C8" w:rsidP="006B7060">
            <w:pPr>
              <w:rPr>
                <w:sz w:val="20"/>
                <w:szCs w:val="20"/>
              </w:rPr>
            </w:pPr>
            <w:r w:rsidRPr="00656BC3">
              <w:rPr>
                <w:sz w:val="20"/>
                <w:szCs w:val="20"/>
              </w:rPr>
              <w:t>Refused</w:t>
            </w:r>
          </w:p>
        </w:tc>
        <w:tc>
          <w:tcPr>
            <w:tcW w:w="1890" w:type="dxa"/>
          </w:tcPr>
          <w:p w14:paraId="7D119655"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141</w:t>
            </w:r>
          </w:p>
        </w:tc>
        <w:tc>
          <w:tcPr>
            <w:tcW w:w="1818" w:type="dxa"/>
          </w:tcPr>
          <w:p w14:paraId="26C13384" w14:textId="77777777" w:rsidR="004B42C8" w:rsidRPr="00656BC3" w:rsidRDefault="004B42C8" w:rsidP="006B7060">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20.3%</w:t>
            </w:r>
          </w:p>
        </w:tc>
      </w:tr>
      <w:tr w:rsidR="004B42C8" w14:paraId="1FD25CA3" w14:textId="77777777" w:rsidTr="006B70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68136A25" w14:textId="77777777" w:rsidR="004B42C8" w:rsidRPr="00656BC3" w:rsidRDefault="004B42C8" w:rsidP="006B7060">
            <w:pPr>
              <w:rPr>
                <w:rFonts w:asciiTheme="majorHAnsi" w:hAnsiTheme="majorHAnsi"/>
                <w:sz w:val="20"/>
                <w:szCs w:val="20"/>
              </w:rPr>
            </w:pPr>
            <w:r w:rsidRPr="00656BC3">
              <w:rPr>
                <w:rFonts w:asciiTheme="majorHAnsi" w:hAnsiTheme="majorHAnsi"/>
                <w:sz w:val="20"/>
                <w:szCs w:val="20"/>
              </w:rPr>
              <w:t>Total</w:t>
            </w:r>
          </w:p>
        </w:tc>
        <w:tc>
          <w:tcPr>
            <w:tcW w:w="1890" w:type="dxa"/>
          </w:tcPr>
          <w:p w14:paraId="4BDBFA50"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656BC3">
              <w:rPr>
                <w:rFonts w:asciiTheme="majorHAnsi" w:hAnsiTheme="majorHAnsi"/>
                <w:sz w:val="20"/>
                <w:szCs w:val="20"/>
              </w:rPr>
              <w:t>693</w:t>
            </w:r>
          </w:p>
        </w:tc>
        <w:tc>
          <w:tcPr>
            <w:tcW w:w="1818" w:type="dxa"/>
          </w:tcPr>
          <w:p w14:paraId="511EA5FB" w14:textId="77777777" w:rsidR="004B42C8" w:rsidRPr="00656BC3" w:rsidRDefault="004B42C8" w:rsidP="006B7060">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656BC3">
              <w:rPr>
                <w:rFonts w:asciiTheme="majorHAnsi" w:hAnsiTheme="majorHAnsi"/>
                <w:sz w:val="20"/>
                <w:szCs w:val="20"/>
              </w:rPr>
              <w:t>100%</w:t>
            </w:r>
          </w:p>
        </w:tc>
      </w:tr>
    </w:tbl>
    <w:p w14:paraId="0931FE18" w14:textId="4CAAF94E" w:rsidR="000C0365" w:rsidRDefault="000C0365" w:rsidP="00297E80">
      <w:pPr>
        <w:pStyle w:val="ESMemoHeading1"/>
      </w:pPr>
      <w:r>
        <w:t>Results</w:t>
      </w:r>
    </w:p>
    <w:p w14:paraId="59C19E30" w14:textId="5C7BE7F1" w:rsidR="00F2136E" w:rsidRDefault="00140F3D" w:rsidP="00297E80">
      <w:r>
        <w:t xml:space="preserve">The following sections detail </w:t>
      </w:r>
      <w:r w:rsidR="00D643EC">
        <w:t xml:space="preserve">survey results, including sample characteristics, </w:t>
      </w:r>
      <w:r w:rsidR="00F96707">
        <w:t xml:space="preserve">number of air cleaners owned by respondents, </w:t>
      </w:r>
      <w:r w:rsidR="00F43A7D">
        <w:t xml:space="preserve">their </w:t>
      </w:r>
      <w:r w:rsidR="00F96707">
        <w:t xml:space="preserve">manners of use, </w:t>
      </w:r>
      <w:r w:rsidR="00E04366">
        <w:t>and time</w:t>
      </w:r>
      <w:r w:rsidR="00F96707">
        <w:t>r usage</w:t>
      </w:r>
      <w:r w:rsidR="006676F7">
        <w:t>. Next we discuss</w:t>
      </w:r>
      <w:r w:rsidR="00F96707">
        <w:t xml:space="preserve"> </w:t>
      </w:r>
      <w:r w:rsidR="002018F5">
        <w:t>seasonal usage</w:t>
      </w:r>
      <w:r w:rsidR="006676F7">
        <w:t xml:space="preserve"> and </w:t>
      </w:r>
      <w:r w:rsidR="002018F5">
        <w:t xml:space="preserve">daily </w:t>
      </w:r>
      <w:r w:rsidR="00D643EC">
        <w:t>usage</w:t>
      </w:r>
      <w:r w:rsidR="006676F7">
        <w:t xml:space="preserve"> patterns. Finally, we provide </w:t>
      </w:r>
      <w:r w:rsidR="002018F5">
        <w:t xml:space="preserve">estimates of </w:t>
      </w:r>
      <w:r w:rsidR="00CD7BFB">
        <w:t xml:space="preserve">HOU </w:t>
      </w:r>
      <w:r w:rsidR="00821F17">
        <w:t>and CDF</w:t>
      </w:r>
      <w:r w:rsidR="00FE53FE">
        <w:t>.</w:t>
      </w:r>
    </w:p>
    <w:p w14:paraId="5C9033EB" w14:textId="210366FE" w:rsidR="000D5049" w:rsidRPr="008364B1" w:rsidRDefault="000D5049" w:rsidP="00F43A7D">
      <w:pPr>
        <w:pStyle w:val="ESMemoHeading3"/>
        <w:outlineLvl w:val="0"/>
        <w:rPr>
          <w:szCs w:val="22"/>
        </w:rPr>
      </w:pPr>
      <w:r>
        <w:t>Response Summary</w:t>
      </w:r>
    </w:p>
    <w:p w14:paraId="02EAD6AA" w14:textId="74B3F127" w:rsidR="00CD7BFB" w:rsidRDefault="0032058F" w:rsidP="00B71D3E">
      <w:r w:rsidRPr="00BF6769">
        <w:rPr>
          <w:b/>
        </w:rPr>
        <w:fldChar w:fldCharType="begin"/>
      </w:r>
      <w:r w:rsidRPr="00BF6769">
        <w:rPr>
          <w:b/>
        </w:rPr>
        <w:instrText xml:space="preserve"> REF _Ref465934018 \h  \* MERGEFORMAT </w:instrText>
      </w:r>
      <w:r w:rsidRPr="00BF6769">
        <w:rPr>
          <w:b/>
        </w:rPr>
      </w:r>
      <w:r w:rsidRPr="00BF6769">
        <w:rPr>
          <w:b/>
        </w:rPr>
        <w:fldChar w:fldCharType="separate"/>
      </w:r>
      <w:r w:rsidR="00BF6769" w:rsidRPr="00BF6769">
        <w:rPr>
          <w:b/>
        </w:rPr>
        <w:t xml:space="preserve">Table </w:t>
      </w:r>
      <w:r w:rsidR="00BF6769" w:rsidRPr="00BF6769">
        <w:rPr>
          <w:b/>
          <w:noProof/>
        </w:rPr>
        <w:t>4</w:t>
      </w:r>
      <w:r w:rsidRPr="00BF6769">
        <w:rPr>
          <w:b/>
        </w:rPr>
        <w:fldChar w:fldCharType="end"/>
      </w:r>
      <w:r>
        <w:t xml:space="preserve"> presents the final dispositions of all surveys. </w:t>
      </w:r>
      <w:r w:rsidR="00776A3A">
        <w:t>In all, 4,298 respondents began the survey, of which 3,460 respondents were disqualified because they did not own any air cleaners. Of the</w:t>
      </w:r>
      <w:r w:rsidR="00CD7BFB">
        <w:t xml:space="preserve"> </w:t>
      </w:r>
      <w:r w:rsidR="007057E0">
        <w:t>838</w:t>
      </w:r>
      <w:r w:rsidR="00776A3A">
        <w:t xml:space="preserve"> respondents who began the survey and were not disqualified,</w:t>
      </w:r>
      <w:r w:rsidR="00CD7BFB">
        <w:t xml:space="preserve"> </w:t>
      </w:r>
      <w:r w:rsidR="007057E0">
        <w:t>693 respondents completed the survey</w:t>
      </w:r>
      <w:r w:rsidR="00776A3A">
        <w:t xml:space="preserve"> in its entirety</w:t>
      </w:r>
      <w:r w:rsidR="00CD7BFB">
        <w:t>.</w:t>
      </w:r>
      <w:r w:rsidR="001A0D40">
        <w:t xml:space="preserve"> </w:t>
      </w:r>
      <w:r w:rsidR="00644621">
        <w:t>Only data from these 693 respondents were used in calculating the results presented in this memo.</w:t>
      </w:r>
    </w:p>
    <w:p w14:paraId="223D0E3F" w14:textId="77777777" w:rsidR="0083038A" w:rsidRPr="00375CDF" w:rsidRDefault="0083038A" w:rsidP="007F3642">
      <w:pPr>
        <w:widowControl w:val="0"/>
        <w:autoSpaceDE w:val="0"/>
        <w:autoSpaceDN w:val="0"/>
        <w:adjustRightInd w:val="0"/>
        <w:spacing w:line="240" w:lineRule="auto"/>
      </w:pPr>
    </w:p>
    <w:p w14:paraId="333FCB99" w14:textId="6ACA70CD" w:rsidR="00FB7A4E" w:rsidRPr="007F3642" w:rsidRDefault="003873C4" w:rsidP="00F43A7D">
      <w:pPr>
        <w:pStyle w:val="Caption"/>
        <w:spacing w:before="0" w:after="0"/>
        <w:outlineLvl w:val="0"/>
        <w:rPr>
          <w:sz w:val="22"/>
          <w:szCs w:val="24"/>
        </w:rPr>
      </w:pPr>
      <w:bookmarkStart w:id="9" w:name="_Ref465934018"/>
      <w:r>
        <w:t xml:space="preserve">Table </w:t>
      </w:r>
      <w:r w:rsidR="002271A4">
        <w:fldChar w:fldCharType="begin"/>
      </w:r>
      <w:r w:rsidR="002271A4">
        <w:instrText xml:space="preserve"> SEQ Table \* ARABIC </w:instrText>
      </w:r>
      <w:r w:rsidR="002271A4">
        <w:fldChar w:fldCharType="separate"/>
      </w:r>
      <w:r w:rsidR="00BF6769">
        <w:rPr>
          <w:noProof/>
        </w:rPr>
        <w:t>4</w:t>
      </w:r>
      <w:r w:rsidR="002271A4">
        <w:rPr>
          <w:noProof/>
        </w:rPr>
        <w:fldChar w:fldCharType="end"/>
      </w:r>
      <w:bookmarkEnd w:id="9"/>
      <w:r>
        <w:t>. Survey Dispositions</w:t>
      </w:r>
      <w:r w:rsidR="00FB7A4E" w:rsidRPr="007F3642">
        <w:rPr>
          <w:sz w:val="22"/>
          <w:szCs w:val="24"/>
        </w:rPr>
        <w:t> </w:t>
      </w:r>
    </w:p>
    <w:tbl>
      <w:tblPr>
        <w:tblStyle w:val="EMITable"/>
        <w:tblW w:w="0" w:type="auto"/>
        <w:tblLayout w:type="fixed"/>
        <w:tblLook w:val="0020" w:firstRow="1" w:lastRow="0" w:firstColumn="0" w:lastColumn="0" w:noHBand="0" w:noVBand="0"/>
      </w:tblPr>
      <w:tblGrid>
        <w:gridCol w:w="3812"/>
        <w:gridCol w:w="1606"/>
        <w:gridCol w:w="1620"/>
      </w:tblGrid>
      <w:tr w:rsidR="00776A3A" w:rsidRPr="00776A3A" w14:paraId="11EB53EF" w14:textId="77777777" w:rsidTr="00CC0299">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12" w:type="dxa"/>
          </w:tcPr>
          <w:p w14:paraId="31726BE6" w14:textId="33F2662D" w:rsidR="00FB7A4E" w:rsidRPr="00656BC3" w:rsidRDefault="001A0D40">
            <w:pPr>
              <w:widowControl w:val="0"/>
              <w:autoSpaceDE w:val="0"/>
              <w:autoSpaceDN w:val="0"/>
              <w:adjustRightInd w:val="0"/>
              <w:spacing w:line="240" w:lineRule="auto"/>
              <w:rPr>
                <w:rFonts w:cs="Times New Roman"/>
                <w:sz w:val="20"/>
                <w:szCs w:val="20"/>
              </w:rPr>
            </w:pPr>
            <w:r w:rsidRPr="00656BC3">
              <w:rPr>
                <w:rFonts w:cs="Times New Roman"/>
                <w:sz w:val="20"/>
                <w:szCs w:val="20"/>
              </w:rPr>
              <w:t>Status</w:t>
            </w:r>
          </w:p>
        </w:tc>
        <w:tc>
          <w:tcPr>
            <w:cnfStyle w:val="000001000000" w:firstRow="0" w:lastRow="0" w:firstColumn="0" w:lastColumn="0" w:oddVBand="0" w:evenVBand="1" w:oddHBand="0" w:evenHBand="0" w:firstRowFirstColumn="0" w:firstRowLastColumn="0" w:lastRowFirstColumn="0" w:lastRowLastColumn="0"/>
            <w:tcW w:w="1606" w:type="dxa"/>
          </w:tcPr>
          <w:p w14:paraId="0DA21CB1" w14:textId="03D11424" w:rsidR="00FB7A4E" w:rsidRPr="006676F7" w:rsidRDefault="00713C75">
            <w:pPr>
              <w:widowControl w:val="0"/>
              <w:autoSpaceDE w:val="0"/>
              <w:autoSpaceDN w:val="0"/>
              <w:adjustRightInd w:val="0"/>
              <w:spacing w:line="240" w:lineRule="auto"/>
              <w:rPr>
                <w:rFonts w:cs="Times New Roman"/>
                <w:i/>
                <w:sz w:val="20"/>
                <w:szCs w:val="20"/>
              </w:rPr>
            </w:pPr>
            <w:r w:rsidRPr="006676F7">
              <w:rPr>
                <w:rFonts w:cs="Times New Roman"/>
                <w:i/>
                <w:sz w:val="20"/>
                <w:szCs w:val="20"/>
              </w:rPr>
              <w:t>n</w:t>
            </w:r>
          </w:p>
        </w:tc>
        <w:tc>
          <w:tcPr>
            <w:cnfStyle w:val="000010000000" w:firstRow="0" w:lastRow="0" w:firstColumn="0" w:lastColumn="0" w:oddVBand="1" w:evenVBand="0" w:oddHBand="0" w:evenHBand="0" w:firstRowFirstColumn="0" w:firstRowLastColumn="0" w:lastRowFirstColumn="0" w:lastRowLastColumn="0"/>
            <w:tcW w:w="1620" w:type="dxa"/>
          </w:tcPr>
          <w:p w14:paraId="1F336661" w14:textId="2B0AD30A" w:rsidR="00FB7A4E" w:rsidRPr="00656BC3" w:rsidRDefault="001A0D40">
            <w:pPr>
              <w:widowControl w:val="0"/>
              <w:autoSpaceDE w:val="0"/>
              <w:autoSpaceDN w:val="0"/>
              <w:adjustRightInd w:val="0"/>
              <w:spacing w:line="240" w:lineRule="auto"/>
              <w:rPr>
                <w:rFonts w:cs="Times New Roman"/>
                <w:sz w:val="20"/>
                <w:szCs w:val="20"/>
              </w:rPr>
            </w:pPr>
            <w:r w:rsidRPr="00656BC3">
              <w:rPr>
                <w:rFonts w:cs="Times New Roman"/>
                <w:sz w:val="20"/>
                <w:szCs w:val="20"/>
              </w:rPr>
              <w:t>Percent</w:t>
            </w:r>
          </w:p>
        </w:tc>
      </w:tr>
      <w:tr w:rsidR="00776A3A" w:rsidRPr="00776A3A" w14:paraId="7623698F" w14:textId="77777777" w:rsidTr="00CC029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12" w:type="dxa"/>
          </w:tcPr>
          <w:p w14:paraId="0BFFB040" w14:textId="7CE4F1DF" w:rsidR="003873C4" w:rsidRPr="00656BC3" w:rsidRDefault="003873C4" w:rsidP="007F3642">
            <w:pPr>
              <w:widowControl w:val="0"/>
              <w:autoSpaceDE w:val="0"/>
              <w:autoSpaceDN w:val="0"/>
              <w:adjustRightInd w:val="0"/>
              <w:spacing w:line="240" w:lineRule="auto"/>
              <w:jc w:val="left"/>
              <w:rPr>
                <w:rFonts w:cs="Times New Roman"/>
                <w:sz w:val="20"/>
                <w:szCs w:val="20"/>
              </w:rPr>
            </w:pPr>
            <w:r w:rsidRPr="00656BC3">
              <w:rPr>
                <w:rFonts w:cs="Calibri"/>
                <w:sz w:val="20"/>
                <w:szCs w:val="20"/>
              </w:rPr>
              <w:t>Invite</w:t>
            </w:r>
            <w:r w:rsidR="001A0D40" w:rsidRPr="00656BC3">
              <w:rPr>
                <w:rFonts w:cs="Calibri"/>
                <w:sz w:val="20"/>
                <w:szCs w:val="20"/>
              </w:rPr>
              <w:t>s Sent</w:t>
            </w:r>
          </w:p>
        </w:tc>
        <w:tc>
          <w:tcPr>
            <w:cnfStyle w:val="000001000000" w:firstRow="0" w:lastRow="0" w:firstColumn="0" w:lastColumn="0" w:oddVBand="0" w:evenVBand="1" w:oddHBand="0" w:evenHBand="0" w:firstRowFirstColumn="0" w:firstRowLastColumn="0" w:lastRowFirstColumn="0" w:lastRowLastColumn="0"/>
            <w:tcW w:w="1606" w:type="dxa"/>
          </w:tcPr>
          <w:p w14:paraId="6B19321B" w14:textId="669AC608" w:rsidR="003873C4" w:rsidRPr="00656BC3" w:rsidRDefault="003873C4">
            <w:pPr>
              <w:widowControl w:val="0"/>
              <w:autoSpaceDE w:val="0"/>
              <w:autoSpaceDN w:val="0"/>
              <w:adjustRightInd w:val="0"/>
              <w:spacing w:line="240" w:lineRule="auto"/>
              <w:rPr>
                <w:rFonts w:cs="Times New Roman"/>
                <w:sz w:val="20"/>
                <w:szCs w:val="20"/>
              </w:rPr>
            </w:pPr>
            <w:r w:rsidRPr="00656BC3">
              <w:rPr>
                <w:rFonts w:cs="Calibri"/>
                <w:sz w:val="20"/>
                <w:szCs w:val="20"/>
              </w:rPr>
              <w:t>10,195</w:t>
            </w:r>
          </w:p>
        </w:tc>
        <w:tc>
          <w:tcPr>
            <w:cnfStyle w:val="000010000000" w:firstRow="0" w:lastRow="0" w:firstColumn="0" w:lastColumn="0" w:oddVBand="1" w:evenVBand="0" w:oddHBand="0" w:evenHBand="0" w:firstRowFirstColumn="0" w:firstRowLastColumn="0" w:lastRowFirstColumn="0" w:lastRowLastColumn="0"/>
            <w:tcW w:w="1620" w:type="dxa"/>
          </w:tcPr>
          <w:p w14:paraId="40A4321D" w14:textId="509C4B9D" w:rsidR="003873C4" w:rsidRPr="00656BC3" w:rsidRDefault="007057E0">
            <w:pPr>
              <w:widowControl w:val="0"/>
              <w:autoSpaceDE w:val="0"/>
              <w:autoSpaceDN w:val="0"/>
              <w:adjustRightInd w:val="0"/>
              <w:spacing w:line="240" w:lineRule="auto"/>
              <w:rPr>
                <w:rFonts w:cs="Times New Roman"/>
                <w:sz w:val="20"/>
                <w:szCs w:val="20"/>
              </w:rPr>
            </w:pPr>
            <w:r w:rsidRPr="00656BC3">
              <w:rPr>
                <w:rFonts w:cs="Times New Roman"/>
                <w:sz w:val="20"/>
                <w:szCs w:val="20"/>
              </w:rPr>
              <w:t>100%</w:t>
            </w:r>
          </w:p>
        </w:tc>
      </w:tr>
      <w:tr w:rsidR="00776A3A" w:rsidRPr="00776A3A" w14:paraId="21DD760E" w14:textId="77777777" w:rsidTr="00CC0299">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12" w:type="dxa"/>
          </w:tcPr>
          <w:p w14:paraId="3910FADE" w14:textId="3ABE3E2B" w:rsidR="007057E0" w:rsidRPr="00656BC3" w:rsidRDefault="007057E0" w:rsidP="007F3642">
            <w:pPr>
              <w:widowControl w:val="0"/>
              <w:autoSpaceDE w:val="0"/>
              <w:autoSpaceDN w:val="0"/>
              <w:adjustRightInd w:val="0"/>
              <w:spacing w:line="240" w:lineRule="auto"/>
              <w:jc w:val="left"/>
              <w:rPr>
                <w:rFonts w:cs="Calibri"/>
                <w:sz w:val="20"/>
                <w:szCs w:val="20"/>
              </w:rPr>
            </w:pPr>
            <w:r w:rsidRPr="00656BC3">
              <w:rPr>
                <w:rFonts w:cs="Calibri"/>
                <w:sz w:val="20"/>
                <w:szCs w:val="20"/>
              </w:rPr>
              <w:t>Started</w:t>
            </w:r>
          </w:p>
        </w:tc>
        <w:tc>
          <w:tcPr>
            <w:cnfStyle w:val="000001000000" w:firstRow="0" w:lastRow="0" w:firstColumn="0" w:lastColumn="0" w:oddVBand="0" w:evenVBand="1" w:oddHBand="0" w:evenHBand="0" w:firstRowFirstColumn="0" w:firstRowLastColumn="0" w:lastRowFirstColumn="0" w:lastRowLastColumn="0"/>
            <w:tcW w:w="1606" w:type="dxa"/>
          </w:tcPr>
          <w:p w14:paraId="5B74DA88" w14:textId="555EF44D" w:rsidR="007057E0" w:rsidRPr="00656BC3" w:rsidRDefault="007057E0">
            <w:pPr>
              <w:widowControl w:val="0"/>
              <w:autoSpaceDE w:val="0"/>
              <w:autoSpaceDN w:val="0"/>
              <w:adjustRightInd w:val="0"/>
              <w:spacing w:line="240" w:lineRule="auto"/>
              <w:rPr>
                <w:rFonts w:cs="Calibri"/>
                <w:sz w:val="20"/>
                <w:szCs w:val="20"/>
              </w:rPr>
            </w:pPr>
            <w:r w:rsidRPr="00656BC3">
              <w:rPr>
                <w:rFonts w:cs="Calibri"/>
                <w:sz w:val="20"/>
                <w:szCs w:val="20"/>
              </w:rPr>
              <w:t>4,298</w:t>
            </w:r>
          </w:p>
        </w:tc>
        <w:tc>
          <w:tcPr>
            <w:cnfStyle w:val="000010000000" w:firstRow="0" w:lastRow="0" w:firstColumn="0" w:lastColumn="0" w:oddVBand="1" w:evenVBand="0" w:oddHBand="0" w:evenHBand="0" w:firstRowFirstColumn="0" w:firstRowLastColumn="0" w:lastRowFirstColumn="0" w:lastRowLastColumn="0"/>
            <w:tcW w:w="1620" w:type="dxa"/>
          </w:tcPr>
          <w:p w14:paraId="2CF082FA" w14:textId="4C3F2A46" w:rsidR="007057E0" w:rsidRPr="00656BC3" w:rsidRDefault="00A909EE">
            <w:pPr>
              <w:widowControl w:val="0"/>
              <w:autoSpaceDE w:val="0"/>
              <w:autoSpaceDN w:val="0"/>
              <w:adjustRightInd w:val="0"/>
              <w:spacing w:line="240" w:lineRule="auto"/>
              <w:rPr>
                <w:rFonts w:cs="Calibri"/>
                <w:sz w:val="20"/>
                <w:szCs w:val="20"/>
              </w:rPr>
            </w:pPr>
            <w:r w:rsidRPr="00656BC3">
              <w:rPr>
                <w:rFonts w:cs="Calibri"/>
                <w:sz w:val="20"/>
                <w:szCs w:val="20"/>
              </w:rPr>
              <w:t>42.1%</w:t>
            </w:r>
          </w:p>
        </w:tc>
      </w:tr>
      <w:tr w:rsidR="00776A3A" w:rsidRPr="00776A3A" w14:paraId="747E3DCB" w14:textId="77777777" w:rsidTr="00CC029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12" w:type="dxa"/>
          </w:tcPr>
          <w:p w14:paraId="479589C9" w14:textId="1FC4054D" w:rsidR="007057E0" w:rsidRPr="00656BC3" w:rsidRDefault="007057E0" w:rsidP="007F3642">
            <w:pPr>
              <w:widowControl w:val="0"/>
              <w:autoSpaceDE w:val="0"/>
              <w:autoSpaceDN w:val="0"/>
              <w:adjustRightInd w:val="0"/>
              <w:spacing w:line="240" w:lineRule="auto"/>
              <w:jc w:val="left"/>
              <w:rPr>
                <w:rFonts w:cs="Times New Roman"/>
                <w:sz w:val="20"/>
                <w:szCs w:val="20"/>
              </w:rPr>
            </w:pPr>
            <w:r w:rsidRPr="00656BC3">
              <w:rPr>
                <w:rFonts w:cs="Calibri"/>
                <w:sz w:val="20"/>
                <w:szCs w:val="20"/>
              </w:rPr>
              <w:t xml:space="preserve">  - Disqualified</w:t>
            </w:r>
          </w:p>
        </w:tc>
        <w:tc>
          <w:tcPr>
            <w:cnfStyle w:val="000001000000" w:firstRow="0" w:lastRow="0" w:firstColumn="0" w:lastColumn="0" w:oddVBand="0" w:evenVBand="1" w:oddHBand="0" w:evenHBand="0" w:firstRowFirstColumn="0" w:firstRowLastColumn="0" w:lastRowFirstColumn="0" w:lastRowLastColumn="0"/>
            <w:tcW w:w="1606" w:type="dxa"/>
          </w:tcPr>
          <w:p w14:paraId="4ED3C128" w14:textId="77777777" w:rsidR="007057E0" w:rsidRPr="00656BC3" w:rsidRDefault="007057E0">
            <w:pPr>
              <w:widowControl w:val="0"/>
              <w:autoSpaceDE w:val="0"/>
              <w:autoSpaceDN w:val="0"/>
              <w:adjustRightInd w:val="0"/>
              <w:spacing w:line="240" w:lineRule="auto"/>
              <w:rPr>
                <w:rFonts w:cs="Times New Roman"/>
                <w:sz w:val="20"/>
                <w:szCs w:val="20"/>
              </w:rPr>
            </w:pPr>
            <w:r w:rsidRPr="00656BC3">
              <w:rPr>
                <w:rFonts w:cs="Calibri"/>
                <w:sz w:val="20"/>
                <w:szCs w:val="20"/>
              </w:rPr>
              <w:t>3,460</w:t>
            </w:r>
          </w:p>
        </w:tc>
        <w:tc>
          <w:tcPr>
            <w:cnfStyle w:val="000010000000" w:firstRow="0" w:lastRow="0" w:firstColumn="0" w:lastColumn="0" w:oddVBand="1" w:evenVBand="0" w:oddHBand="0" w:evenHBand="0" w:firstRowFirstColumn="0" w:firstRowLastColumn="0" w:lastRowFirstColumn="0" w:lastRowLastColumn="0"/>
            <w:tcW w:w="1620" w:type="dxa"/>
          </w:tcPr>
          <w:p w14:paraId="2CA5ECE8" w14:textId="2E459154" w:rsidR="007057E0" w:rsidRPr="00656BC3" w:rsidRDefault="00A909EE">
            <w:pPr>
              <w:widowControl w:val="0"/>
              <w:autoSpaceDE w:val="0"/>
              <w:autoSpaceDN w:val="0"/>
              <w:adjustRightInd w:val="0"/>
              <w:spacing w:line="240" w:lineRule="auto"/>
              <w:rPr>
                <w:rFonts w:cs="Times New Roman"/>
                <w:sz w:val="20"/>
                <w:szCs w:val="20"/>
              </w:rPr>
            </w:pPr>
            <w:r w:rsidRPr="00656BC3">
              <w:rPr>
                <w:rFonts w:cs="Times New Roman"/>
                <w:sz w:val="20"/>
                <w:szCs w:val="20"/>
              </w:rPr>
              <w:t>33.9%</w:t>
            </w:r>
          </w:p>
        </w:tc>
      </w:tr>
      <w:tr w:rsidR="00776A3A" w:rsidRPr="00776A3A" w14:paraId="6A274A7D" w14:textId="77777777" w:rsidTr="00CC0299">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12" w:type="dxa"/>
          </w:tcPr>
          <w:p w14:paraId="39975D12" w14:textId="576DF477" w:rsidR="007057E0" w:rsidRPr="00656BC3" w:rsidRDefault="007057E0" w:rsidP="007F3642">
            <w:pPr>
              <w:widowControl w:val="0"/>
              <w:autoSpaceDE w:val="0"/>
              <w:autoSpaceDN w:val="0"/>
              <w:adjustRightInd w:val="0"/>
              <w:spacing w:line="240" w:lineRule="auto"/>
              <w:jc w:val="left"/>
              <w:rPr>
                <w:rFonts w:cs="Times New Roman"/>
                <w:sz w:val="20"/>
                <w:szCs w:val="20"/>
              </w:rPr>
            </w:pPr>
            <w:r w:rsidRPr="00656BC3">
              <w:rPr>
                <w:rFonts w:cs="Calibri"/>
                <w:sz w:val="20"/>
                <w:szCs w:val="20"/>
              </w:rPr>
              <w:t xml:space="preserve">  - Started/Qualified</w:t>
            </w:r>
          </w:p>
        </w:tc>
        <w:tc>
          <w:tcPr>
            <w:cnfStyle w:val="000001000000" w:firstRow="0" w:lastRow="0" w:firstColumn="0" w:lastColumn="0" w:oddVBand="0" w:evenVBand="1" w:oddHBand="0" w:evenHBand="0" w:firstRowFirstColumn="0" w:firstRowLastColumn="0" w:lastRowFirstColumn="0" w:lastRowLastColumn="0"/>
            <w:tcW w:w="1606" w:type="dxa"/>
          </w:tcPr>
          <w:p w14:paraId="7EDA4AE2" w14:textId="77777777" w:rsidR="007057E0" w:rsidRPr="00656BC3" w:rsidRDefault="007057E0">
            <w:pPr>
              <w:widowControl w:val="0"/>
              <w:autoSpaceDE w:val="0"/>
              <w:autoSpaceDN w:val="0"/>
              <w:adjustRightInd w:val="0"/>
              <w:spacing w:line="240" w:lineRule="auto"/>
              <w:rPr>
                <w:rFonts w:cs="Times New Roman"/>
                <w:sz w:val="20"/>
                <w:szCs w:val="20"/>
              </w:rPr>
            </w:pPr>
            <w:r w:rsidRPr="00656BC3">
              <w:rPr>
                <w:rFonts w:cs="Calibri"/>
                <w:sz w:val="20"/>
                <w:szCs w:val="20"/>
              </w:rPr>
              <w:t>838</w:t>
            </w:r>
          </w:p>
        </w:tc>
        <w:tc>
          <w:tcPr>
            <w:cnfStyle w:val="000010000000" w:firstRow="0" w:lastRow="0" w:firstColumn="0" w:lastColumn="0" w:oddVBand="1" w:evenVBand="0" w:oddHBand="0" w:evenHBand="0" w:firstRowFirstColumn="0" w:firstRowLastColumn="0" w:lastRowFirstColumn="0" w:lastRowLastColumn="0"/>
            <w:tcW w:w="1620" w:type="dxa"/>
          </w:tcPr>
          <w:p w14:paraId="1777CE05" w14:textId="3DE50B72" w:rsidR="007057E0" w:rsidRPr="00656BC3" w:rsidRDefault="007057E0">
            <w:pPr>
              <w:widowControl w:val="0"/>
              <w:autoSpaceDE w:val="0"/>
              <w:autoSpaceDN w:val="0"/>
              <w:adjustRightInd w:val="0"/>
              <w:spacing w:line="240" w:lineRule="auto"/>
              <w:rPr>
                <w:rFonts w:cs="Times New Roman"/>
                <w:sz w:val="20"/>
                <w:szCs w:val="20"/>
              </w:rPr>
            </w:pPr>
            <w:r w:rsidRPr="00656BC3">
              <w:rPr>
                <w:rFonts w:cs="Calibri"/>
                <w:sz w:val="20"/>
                <w:szCs w:val="20"/>
              </w:rPr>
              <w:t> </w:t>
            </w:r>
            <w:r w:rsidR="00A909EE" w:rsidRPr="00656BC3">
              <w:rPr>
                <w:rFonts w:cs="Calibri"/>
                <w:sz w:val="20"/>
                <w:szCs w:val="20"/>
              </w:rPr>
              <w:t>8.2%</w:t>
            </w:r>
          </w:p>
        </w:tc>
      </w:tr>
      <w:tr w:rsidR="00776A3A" w:rsidRPr="00776A3A" w14:paraId="651A0834" w14:textId="77777777" w:rsidTr="00CC029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12" w:type="dxa"/>
          </w:tcPr>
          <w:p w14:paraId="6213F91C" w14:textId="75B2A40F" w:rsidR="007057E0" w:rsidRPr="00656BC3" w:rsidRDefault="007057E0" w:rsidP="007F3642">
            <w:pPr>
              <w:widowControl w:val="0"/>
              <w:autoSpaceDE w:val="0"/>
              <w:autoSpaceDN w:val="0"/>
              <w:adjustRightInd w:val="0"/>
              <w:spacing w:line="240" w:lineRule="auto"/>
              <w:jc w:val="left"/>
              <w:rPr>
                <w:rFonts w:cs="Times New Roman"/>
                <w:sz w:val="20"/>
                <w:szCs w:val="20"/>
              </w:rPr>
            </w:pPr>
            <w:r w:rsidRPr="00656BC3">
              <w:rPr>
                <w:rFonts w:cs="Calibri"/>
                <w:sz w:val="20"/>
                <w:szCs w:val="20"/>
              </w:rPr>
              <w:t xml:space="preserve">  - Started/Completed</w:t>
            </w:r>
          </w:p>
        </w:tc>
        <w:tc>
          <w:tcPr>
            <w:cnfStyle w:val="000001000000" w:firstRow="0" w:lastRow="0" w:firstColumn="0" w:lastColumn="0" w:oddVBand="0" w:evenVBand="1" w:oddHBand="0" w:evenHBand="0" w:firstRowFirstColumn="0" w:firstRowLastColumn="0" w:lastRowFirstColumn="0" w:lastRowLastColumn="0"/>
            <w:tcW w:w="1606" w:type="dxa"/>
          </w:tcPr>
          <w:p w14:paraId="33488E0D" w14:textId="004682B1" w:rsidR="007057E0" w:rsidRPr="00656BC3" w:rsidRDefault="007057E0">
            <w:pPr>
              <w:widowControl w:val="0"/>
              <w:autoSpaceDE w:val="0"/>
              <w:autoSpaceDN w:val="0"/>
              <w:adjustRightInd w:val="0"/>
              <w:spacing w:line="240" w:lineRule="auto"/>
              <w:rPr>
                <w:rFonts w:cs="Times New Roman"/>
                <w:sz w:val="20"/>
                <w:szCs w:val="20"/>
              </w:rPr>
            </w:pPr>
            <w:r w:rsidRPr="00656BC3">
              <w:rPr>
                <w:rFonts w:cs="Calibri"/>
                <w:sz w:val="20"/>
                <w:szCs w:val="20"/>
              </w:rPr>
              <w:t>693</w:t>
            </w:r>
          </w:p>
        </w:tc>
        <w:tc>
          <w:tcPr>
            <w:cnfStyle w:val="000010000000" w:firstRow="0" w:lastRow="0" w:firstColumn="0" w:lastColumn="0" w:oddVBand="1" w:evenVBand="0" w:oddHBand="0" w:evenHBand="0" w:firstRowFirstColumn="0" w:firstRowLastColumn="0" w:lastRowFirstColumn="0" w:lastRowLastColumn="0"/>
            <w:tcW w:w="1620" w:type="dxa"/>
          </w:tcPr>
          <w:p w14:paraId="017E4B43" w14:textId="16F4FCA4" w:rsidR="007057E0" w:rsidRPr="00656BC3" w:rsidRDefault="007057E0">
            <w:pPr>
              <w:widowControl w:val="0"/>
              <w:autoSpaceDE w:val="0"/>
              <w:autoSpaceDN w:val="0"/>
              <w:adjustRightInd w:val="0"/>
              <w:spacing w:line="240" w:lineRule="auto"/>
              <w:rPr>
                <w:rFonts w:cs="Times New Roman"/>
                <w:sz w:val="20"/>
                <w:szCs w:val="20"/>
              </w:rPr>
            </w:pPr>
            <w:r w:rsidRPr="00656BC3">
              <w:rPr>
                <w:rFonts w:cs="Calibri"/>
                <w:sz w:val="20"/>
                <w:szCs w:val="20"/>
              </w:rPr>
              <w:t> </w:t>
            </w:r>
            <w:r w:rsidR="00A909EE" w:rsidRPr="00656BC3">
              <w:rPr>
                <w:rFonts w:cs="Calibri"/>
                <w:sz w:val="20"/>
                <w:szCs w:val="20"/>
              </w:rPr>
              <w:t>6.8%</w:t>
            </w:r>
          </w:p>
        </w:tc>
      </w:tr>
    </w:tbl>
    <w:p w14:paraId="1AC5F74F" w14:textId="699CAD3B" w:rsidR="00767F1D" w:rsidRDefault="00F2136E" w:rsidP="00E04366">
      <w:pPr>
        <w:pStyle w:val="ESMemoHeading3"/>
      </w:pPr>
      <w:r>
        <w:t>Number of Air Cleaners</w:t>
      </w:r>
      <w:r w:rsidR="000D5049">
        <w:t xml:space="preserve"> </w:t>
      </w:r>
      <w:r>
        <w:t>and Operating Mode</w:t>
      </w:r>
      <w:r w:rsidR="000D5049">
        <w:t xml:space="preserve"> Usage</w:t>
      </w:r>
    </w:p>
    <w:p w14:paraId="2B28A8B6" w14:textId="4111F7A6" w:rsidR="006C4114" w:rsidRDefault="0032058F" w:rsidP="00B71D3E">
      <w:r w:rsidRPr="00BF6769">
        <w:rPr>
          <w:b/>
        </w:rPr>
        <w:fldChar w:fldCharType="begin"/>
      </w:r>
      <w:r w:rsidRPr="00BF6769">
        <w:rPr>
          <w:b/>
        </w:rPr>
        <w:instrText xml:space="preserve"> REF _Ref465932012 \h  \* MERGEFORMAT </w:instrText>
      </w:r>
      <w:r w:rsidRPr="00BF6769">
        <w:rPr>
          <w:b/>
        </w:rPr>
      </w:r>
      <w:r w:rsidRPr="00BF6769">
        <w:rPr>
          <w:b/>
        </w:rPr>
        <w:fldChar w:fldCharType="separate"/>
      </w:r>
      <w:r w:rsidR="00BF6769" w:rsidRPr="00BF6769">
        <w:rPr>
          <w:b/>
        </w:rPr>
        <w:t>Table 5</w:t>
      </w:r>
      <w:r w:rsidRPr="00BF6769">
        <w:rPr>
          <w:b/>
        </w:rPr>
        <w:fldChar w:fldCharType="end"/>
      </w:r>
      <w:r>
        <w:t xml:space="preserve"> shows how many air cleaners customers reported having in their homes.</w:t>
      </w:r>
      <w:r w:rsidR="00120537">
        <w:t xml:space="preserve"> </w:t>
      </w:r>
      <w:r w:rsidR="00503D0A">
        <w:t>Nearly two-thirds (</w:t>
      </w:r>
      <w:r w:rsidRPr="00E00B7D">
        <w:rPr>
          <w:i/>
        </w:rPr>
        <w:t>n</w:t>
      </w:r>
      <w:r>
        <w:t xml:space="preserve"> = 456; </w:t>
      </w:r>
      <w:r w:rsidR="00503D0A">
        <w:t>65.8%) of respondents</w:t>
      </w:r>
      <w:r>
        <w:t xml:space="preserve"> reported </w:t>
      </w:r>
      <w:r w:rsidR="00503D0A">
        <w:t>own</w:t>
      </w:r>
      <w:r>
        <w:t>ing</w:t>
      </w:r>
      <w:r w:rsidR="00503D0A">
        <w:t xml:space="preserve"> only one air cleaner, while an additional 23.4% </w:t>
      </w:r>
      <w:r>
        <w:t>(</w:t>
      </w:r>
      <w:r w:rsidRPr="00E00B7D">
        <w:rPr>
          <w:i/>
        </w:rPr>
        <w:t>n</w:t>
      </w:r>
      <w:r>
        <w:t xml:space="preserve"> = 162) indicated </w:t>
      </w:r>
      <w:r w:rsidR="00503D0A">
        <w:t>two units. Overall, r</w:t>
      </w:r>
      <w:r w:rsidR="00767F1D">
        <w:t>espondents reported owning an average of 1.5 air cleaners</w:t>
      </w:r>
      <w:r w:rsidR="00801690">
        <w:t xml:space="preserve"> (SD = 0.8)</w:t>
      </w:r>
      <w:r>
        <w:t>.</w:t>
      </w:r>
      <w:r w:rsidR="00CC0299">
        <w:t xml:space="preserve"> However, in this survey, respondents reported on the single air cleaner that they had most recently purchased.</w:t>
      </w:r>
    </w:p>
    <w:p w14:paraId="5B79E2A0" w14:textId="77777777" w:rsidR="009012EA" w:rsidRDefault="009012EA" w:rsidP="00297E80">
      <w:pPr>
        <w:rPr>
          <w:szCs w:val="22"/>
        </w:rPr>
      </w:pPr>
    </w:p>
    <w:p w14:paraId="5B4B9015" w14:textId="4EBF288D" w:rsidR="009012EA" w:rsidRPr="009012EA" w:rsidRDefault="00827A3F" w:rsidP="00F43A7D">
      <w:pPr>
        <w:keepNext/>
        <w:outlineLvl w:val="0"/>
        <w:rPr>
          <w:sz w:val="20"/>
          <w:szCs w:val="20"/>
        </w:rPr>
      </w:pPr>
      <w:bookmarkStart w:id="10" w:name="_Ref465932012"/>
      <w:r w:rsidRPr="007F3642">
        <w:rPr>
          <w:b/>
          <w:sz w:val="20"/>
          <w:szCs w:val="20"/>
        </w:rPr>
        <w:lastRenderedPageBreak/>
        <w:t xml:space="preserve">Table </w:t>
      </w:r>
      <w:r w:rsidR="00AB4885">
        <w:rPr>
          <w:b/>
          <w:sz w:val="20"/>
          <w:szCs w:val="20"/>
        </w:rPr>
        <w:fldChar w:fldCharType="begin"/>
      </w:r>
      <w:r w:rsidR="00AB4885">
        <w:rPr>
          <w:b/>
          <w:sz w:val="20"/>
          <w:szCs w:val="20"/>
        </w:rPr>
        <w:instrText xml:space="preserve"> SEQ Table \* ARABIC </w:instrText>
      </w:r>
      <w:r w:rsidR="00AB4885">
        <w:rPr>
          <w:b/>
          <w:sz w:val="20"/>
          <w:szCs w:val="20"/>
        </w:rPr>
        <w:fldChar w:fldCharType="separate"/>
      </w:r>
      <w:r w:rsidR="00BF6769">
        <w:rPr>
          <w:b/>
          <w:noProof/>
          <w:sz w:val="20"/>
          <w:szCs w:val="20"/>
        </w:rPr>
        <w:t>5</w:t>
      </w:r>
      <w:r w:rsidR="00AB4885">
        <w:rPr>
          <w:b/>
          <w:sz w:val="20"/>
          <w:szCs w:val="20"/>
        </w:rPr>
        <w:fldChar w:fldCharType="end"/>
      </w:r>
      <w:bookmarkEnd w:id="10"/>
      <w:r w:rsidRPr="007F3642">
        <w:rPr>
          <w:b/>
          <w:sz w:val="20"/>
          <w:szCs w:val="20"/>
        </w:rPr>
        <w:t>.</w:t>
      </w:r>
      <w:r>
        <w:rPr>
          <w:b/>
          <w:sz w:val="20"/>
          <w:szCs w:val="20"/>
        </w:rPr>
        <w:t xml:space="preserve"> </w:t>
      </w:r>
      <w:r w:rsidR="009012EA" w:rsidRPr="009012EA">
        <w:rPr>
          <w:b/>
          <w:sz w:val="20"/>
          <w:szCs w:val="20"/>
        </w:rPr>
        <w:t>Number of Air Cleaners</w:t>
      </w:r>
    </w:p>
    <w:tbl>
      <w:tblPr>
        <w:tblStyle w:val="EMITable"/>
        <w:tblW w:w="0" w:type="auto"/>
        <w:tblLook w:val="04A0" w:firstRow="1" w:lastRow="0" w:firstColumn="1" w:lastColumn="0" w:noHBand="0" w:noVBand="1"/>
      </w:tblPr>
      <w:tblGrid>
        <w:gridCol w:w="5868"/>
        <w:gridCol w:w="1890"/>
        <w:gridCol w:w="1818"/>
      </w:tblGrid>
      <w:tr w:rsidR="00DE3B2F" w14:paraId="449EBADD" w14:textId="77777777" w:rsidTr="00CC029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868" w:type="dxa"/>
          </w:tcPr>
          <w:p w14:paraId="64D06692" w14:textId="187DDF52" w:rsidR="009012EA" w:rsidRPr="00656BC3" w:rsidRDefault="00F43A7D" w:rsidP="00297E80">
            <w:pPr>
              <w:rPr>
                <w:sz w:val="20"/>
                <w:szCs w:val="20"/>
              </w:rPr>
            </w:pPr>
            <w:r>
              <w:rPr>
                <w:sz w:val="20"/>
                <w:szCs w:val="20"/>
              </w:rPr>
              <w:t>Number</w:t>
            </w:r>
          </w:p>
        </w:tc>
        <w:tc>
          <w:tcPr>
            <w:tcW w:w="1890" w:type="dxa"/>
          </w:tcPr>
          <w:p w14:paraId="29FBE98C" w14:textId="204E825C" w:rsidR="009012EA" w:rsidRPr="00656BC3" w:rsidRDefault="009012EA" w:rsidP="009012EA">
            <w:pPr>
              <w:cnfStyle w:val="100000000000" w:firstRow="1" w:lastRow="0" w:firstColumn="0" w:lastColumn="0" w:oddVBand="0" w:evenVBand="0" w:oddHBand="0" w:evenHBand="0" w:firstRowFirstColumn="0" w:firstRowLastColumn="0" w:lastRowFirstColumn="0" w:lastRowLastColumn="0"/>
              <w:rPr>
                <w:b w:val="0"/>
                <w:i/>
                <w:sz w:val="20"/>
                <w:szCs w:val="20"/>
              </w:rPr>
            </w:pPr>
            <w:r w:rsidRPr="00656BC3">
              <w:rPr>
                <w:i/>
                <w:sz w:val="20"/>
                <w:szCs w:val="20"/>
              </w:rPr>
              <w:t>n</w:t>
            </w:r>
          </w:p>
        </w:tc>
        <w:tc>
          <w:tcPr>
            <w:tcW w:w="1818" w:type="dxa"/>
          </w:tcPr>
          <w:p w14:paraId="403B7906" w14:textId="2F0E966C" w:rsidR="009012EA" w:rsidRPr="00656BC3" w:rsidRDefault="00713C75" w:rsidP="009012EA">
            <w:pPr>
              <w:cnfStyle w:val="100000000000" w:firstRow="1" w:lastRow="0" w:firstColumn="0" w:lastColumn="0" w:oddVBand="0" w:evenVBand="0" w:oddHBand="0" w:evenHBand="0" w:firstRowFirstColumn="0" w:firstRowLastColumn="0" w:lastRowFirstColumn="0" w:lastRowLastColumn="0"/>
              <w:rPr>
                <w:b w:val="0"/>
                <w:sz w:val="20"/>
                <w:szCs w:val="20"/>
              </w:rPr>
            </w:pPr>
            <w:r>
              <w:rPr>
                <w:sz w:val="20"/>
                <w:szCs w:val="20"/>
              </w:rPr>
              <w:t>Percent</w:t>
            </w:r>
          </w:p>
        </w:tc>
      </w:tr>
      <w:tr w:rsidR="00DE3B2F" w14:paraId="20DCB990" w14:textId="77777777" w:rsidTr="00CC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18738867" w14:textId="6067EA68" w:rsidR="009012EA" w:rsidRPr="00656BC3" w:rsidRDefault="00734E77" w:rsidP="00297E80">
            <w:pPr>
              <w:rPr>
                <w:sz w:val="20"/>
                <w:szCs w:val="20"/>
              </w:rPr>
            </w:pPr>
            <w:r w:rsidRPr="00656BC3">
              <w:rPr>
                <w:sz w:val="20"/>
                <w:szCs w:val="20"/>
              </w:rPr>
              <w:t xml:space="preserve">1 Air </w:t>
            </w:r>
            <w:r w:rsidR="007A2F4C" w:rsidRPr="00656BC3">
              <w:rPr>
                <w:sz w:val="20"/>
                <w:szCs w:val="20"/>
              </w:rPr>
              <w:t>c</w:t>
            </w:r>
            <w:r w:rsidRPr="00656BC3">
              <w:rPr>
                <w:sz w:val="20"/>
                <w:szCs w:val="20"/>
              </w:rPr>
              <w:t>leaner</w:t>
            </w:r>
          </w:p>
        </w:tc>
        <w:tc>
          <w:tcPr>
            <w:tcW w:w="1890" w:type="dxa"/>
          </w:tcPr>
          <w:p w14:paraId="2344A246" w14:textId="570B8596" w:rsidR="009012EA" w:rsidRPr="00656BC3" w:rsidRDefault="00734E77" w:rsidP="009012EA">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456</w:t>
            </w:r>
          </w:p>
        </w:tc>
        <w:tc>
          <w:tcPr>
            <w:tcW w:w="1818" w:type="dxa"/>
          </w:tcPr>
          <w:p w14:paraId="1B121C84" w14:textId="7010AF5E" w:rsidR="009012EA" w:rsidRPr="00656BC3" w:rsidRDefault="00734E77" w:rsidP="009012EA">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65.8%</w:t>
            </w:r>
          </w:p>
        </w:tc>
      </w:tr>
      <w:tr w:rsidR="00DE3B2F" w14:paraId="74A1D8CC" w14:textId="77777777" w:rsidTr="00CC02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4EC79956" w14:textId="0D986F87" w:rsidR="009012EA" w:rsidRPr="00656BC3" w:rsidRDefault="00734E77" w:rsidP="00297E80">
            <w:pPr>
              <w:rPr>
                <w:sz w:val="20"/>
                <w:szCs w:val="20"/>
              </w:rPr>
            </w:pPr>
            <w:r w:rsidRPr="00656BC3">
              <w:rPr>
                <w:sz w:val="20"/>
                <w:szCs w:val="20"/>
              </w:rPr>
              <w:t xml:space="preserve">2 Air </w:t>
            </w:r>
            <w:r w:rsidR="007A2F4C" w:rsidRPr="00656BC3">
              <w:rPr>
                <w:sz w:val="20"/>
                <w:szCs w:val="20"/>
              </w:rPr>
              <w:t>c</w:t>
            </w:r>
            <w:r w:rsidRPr="00656BC3">
              <w:rPr>
                <w:sz w:val="20"/>
                <w:szCs w:val="20"/>
              </w:rPr>
              <w:t>leaners</w:t>
            </w:r>
          </w:p>
        </w:tc>
        <w:tc>
          <w:tcPr>
            <w:tcW w:w="1890" w:type="dxa"/>
          </w:tcPr>
          <w:p w14:paraId="5A5251C8" w14:textId="4B24AE39" w:rsidR="009012EA" w:rsidRPr="00656BC3" w:rsidRDefault="00734E77" w:rsidP="009012EA">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162</w:t>
            </w:r>
          </w:p>
        </w:tc>
        <w:tc>
          <w:tcPr>
            <w:tcW w:w="1818" w:type="dxa"/>
          </w:tcPr>
          <w:p w14:paraId="231841D2" w14:textId="593C8AF6" w:rsidR="009012EA" w:rsidRPr="00656BC3" w:rsidRDefault="00734E77" w:rsidP="009012EA">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23.4%</w:t>
            </w:r>
          </w:p>
        </w:tc>
      </w:tr>
      <w:tr w:rsidR="00DE3B2F" w14:paraId="55242951" w14:textId="77777777" w:rsidTr="00CC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0006FD34" w14:textId="2BFB360E" w:rsidR="009012EA" w:rsidRPr="00656BC3" w:rsidRDefault="00734E77" w:rsidP="00297E80">
            <w:pPr>
              <w:rPr>
                <w:sz w:val="20"/>
                <w:szCs w:val="20"/>
              </w:rPr>
            </w:pPr>
            <w:r w:rsidRPr="00656BC3">
              <w:rPr>
                <w:sz w:val="20"/>
                <w:szCs w:val="20"/>
              </w:rPr>
              <w:t xml:space="preserve">3 Air </w:t>
            </w:r>
            <w:r w:rsidR="007A2F4C" w:rsidRPr="00656BC3">
              <w:rPr>
                <w:sz w:val="20"/>
                <w:szCs w:val="20"/>
              </w:rPr>
              <w:t>c</w:t>
            </w:r>
            <w:r w:rsidRPr="00656BC3">
              <w:rPr>
                <w:sz w:val="20"/>
                <w:szCs w:val="20"/>
              </w:rPr>
              <w:t>leaners</w:t>
            </w:r>
          </w:p>
        </w:tc>
        <w:tc>
          <w:tcPr>
            <w:tcW w:w="1890" w:type="dxa"/>
          </w:tcPr>
          <w:p w14:paraId="272C675E" w14:textId="02ABD96F" w:rsidR="009012EA" w:rsidRPr="00656BC3" w:rsidRDefault="00734E77" w:rsidP="009012EA">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55</w:t>
            </w:r>
          </w:p>
        </w:tc>
        <w:tc>
          <w:tcPr>
            <w:tcW w:w="1818" w:type="dxa"/>
          </w:tcPr>
          <w:p w14:paraId="6D8652D2" w14:textId="15C1378A" w:rsidR="009012EA" w:rsidRPr="00656BC3" w:rsidRDefault="00734E77" w:rsidP="009012EA">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7.9%</w:t>
            </w:r>
          </w:p>
        </w:tc>
      </w:tr>
      <w:tr w:rsidR="00DE3B2F" w14:paraId="68A0EDC8" w14:textId="77777777" w:rsidTr="00CC02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6751D8F9" w14:textId="5F5590C6" w:rsidR="009012EA" w:rsidRPr="00656BC3" w:rsidRDefault="00734E77" w:rsidP="00297E80">
            <w:pPr>
              <w:rPr>
                <w:sz w:val="20"/>
                <w:szCs w:val="20"/>
              </w:rPr>
            </w:pPr>
            <w:r w:rsidRPr="00656BC3">
              <w:rPr>
                <w:sz w:val="20"/>
                <w:szCs w:val="20"/>
              </w:rPr>
              <w:t xml:space="preserve">4 Air </w:t>
            </w:r>
            <w:r w:rsidR="007A2F4C" w:rsidRPr="00656BC3">
              <w:rPr>
                <w:sz w:val="20"/>
                <w:szCs w:val="20"/>
              </w:rPr>
              <w:t>c</w:t>
            </w:r>
            <w:r w:rsidRPr="00656BC3">
              <w:rPr>
                <w:sz w:val="20"/>
                <w:szCs w:val="20"/>
              </w:rPr>
              <w:t>leaners</w:t>
            </w:r>
          </w:p>
        </w:tc>
        <w:tc>
          <w:tcPr>
            <w:tcW w:w="1890" w:type="dxa"/>
          </w:tcPr>
          <w:p w14:paraId="49FDAC69" w14:textId="307C762A" w:rsidR="009012EA" w:rsidRPr="00656BC3" w:rsidRDefault="00734E77" w:rsidP="009012EA">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15</w:t>
            </w:r>
          </w:p>
        </w:tc>
        <w:tc>
          <w:tcPr>
            <w:tcW w:w="1818" w:type="dxa"/>
          </w:tcPr>
          <w:p w14:paraId="23CC1DD3" w14:textId="31CDE93F" w:rsidR="009012EA" w:rsidRPr="00656BC3" w:rsidRDefault="00734E77" w:rsidP="009012EA">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2.2%</w:t>
            </w:r>
          </w:p>
        </w:tc>
      </w:tr>
      <w:tr w:rsidR="00DE3B2F" w14:paraId="42E30205" w14:textId="77777777" w:rsidTr="00CC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00CF1276" w14:textId="709FE607" w:rsidR="009012EA" w:rsidRPr="00656BC3" w:rsidRDefault="00734E77" w:rsidP="00297E80">
            <w:pPr>
              <w:rPr>
                <w:sz w:val="20"/>
                <w:szCs w:val="20"/>
              </w:rPr>
            </w:pPr>
            <w:r w:rsidRPr="00656BC3">
              <w:rPr>
                <w:sz w:val="20"/>
                <w:szCs w:val="20"/>
              </w:rPr>
              <w:t xml:space="preserve">5 Air </w:t>
            </w:r>
            <w:r w:rsidR="007A2F4C" w:rsidRPr="00656BC3">
              <w:rPr>
                <w:sz w:val="20"/>
                <w:szCs w:val="20"/>
              </w:rPr>
              <w:t>c</w:t>
            </w:r>
            <w:r w:rsidRPr="00656BC3">
              <w:rPr>
                <w:sz w:val="20"/>
                <w:szCs w:val="20"/>
              </w:rPr>
              <w:t>leaners</w:t>
            </w:r>
          </w:p>
        </w:tc>
        <w:tc>
          <w:tcPr>
            <w:tcW w:w="1890" w:type="dxa"/>
          </w:tcPr>
          <w:p w14:paraId="2303F590" w14:textId="4379F45F" w:rsidR="009012EA" w:rsidRPr="00656BC3" w:rsidRDefault="00734E77" w:rsidP="009012EA">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4</w:t>
            </w:r>
          </w:p>
        </w:tc>
        <w:tc>
          <w:tcPr>
            <w:tcW w:w="1818" w:type="dxa"/>
          </w:tcPr>
          <w:p w14:paraId="69F04DBC" w14:textId="38A0BC3A" w:rsidR="009012EA" w:rsidRPr="00656BC3" w:rsidRDefault="00734E77" w:rsidP="009012EA">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0.6%</w:t>
            </w:r>
          </w:p>
        </w:tc>
      </w:tr>
      <w:tr w:rsidR="00DE3B2F" w14:paraId="0BB7EAE1" w14:textId="77777777" w:rsidTr="00CC029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19D15E5F" w14:textId="41487C2D" w:rsidR="009012EA" w:rsidRPr="00656BC3" w:rsidRDefault="00734E77" w:rsidP="00297E80">
            <w:pPr>
              <w:rPr>
                <w:sz w:val="20"/>
                <w:szCs w:val="20"/>
              </w:rPr>
            </w:pPr>
            <w:r w:rsidRPr="00656BC3">
              <w:rPr>
                <w:sz w:val="20"/>
                <w:szCs w:val="20"/>
              </w:rPr>
              <w:t xml:space="preserve">6 Air </w:t>
            </w:r>
            <w:r w:rsidR="007A2F4C" w:rsidRPr="00656BC3">
              <w:rPr>
                <w:sz w:val="20"/>
                <w:szCs w:val="20"/>
              </w:rPr>
              <w:t>c</w:t>
            </w:r>
            <w:r w:rsidRPr="00656BC3">
              <w:rPr>
                <w:sz w:val="20"/>
                <w:szCs w:val="20"/>
              </w:rPr>
              <w:t>leaners</w:t>
            </w:r>
          </w:p>
        </w:tc>
        <w:tc>
          <w:tcPr>
            <w:tcW w:w="1890" w:type="dxa"/>
          </w:tcPr>
          <w:p w14:paraId="101E3336" w14:textId="0961BD23" w:rsidR="009012EA" w:rsidRPr="00656BC3" w:rsidRDefault="00734E77" w:rsidP="009012EA">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1</w:t>
            </w:r>
          </w:p>
        </w:tc>
        <w:tc>
          <w:tcPr>
            <w:tcW w:w="1818" w:type="dxa"/>
          </w:tcPr>
          <w:p w14:paraId="719F6A24" w14:textId="05A1A6CF" w:rsidR="009012EA" w:rsidRPr="00656BC3" w:rsidRDefault="00734E77" w:rsidP="009012EA">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0.1%</w:t>
            </w:r>
          </w:p>
        </w:tc>
      </w:tr>
      <w:tr w:rsidR="00DE3B2F" w14:paraId="3DFACA78" w14:textId="77777777" w:rsidTr="00CC02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29BA80B2" w14:textId="7047F1F2" w:rsidR="009012EA" w:rsidRPr="00656BC3" w:rsidRDefault="00DE3B2F" w:rsidP="00297E80">
            <w:pPr>
              <w:rPr>
                <w:rFonts w:asciiTheme="majorHAnsi" w:hAnsiTheme="majorHAnsi"/>
                <w:sz w:val="20"/>
                <w:szCs w:val="20"/>
              </w:rPr>
            </w:pPr>
            <w:r w:rsidRPr="00656BC3">
              <w:rPr>
                <w:rFonts w:asciiTheme="majorHAnsi" w:hAnsiTheme="majorHAnsi"/>
                <w:sz w:val="20"/>
                <w:szCs w:val="20"/>
              </w:rPr>
              <w:t>Total</w:t>
            </w:r>
          </w:p>
        </w:tc>
        <w:tc>
          <w:tcPr>
            <w:tcW w:w="1890" w:type="dxa"/>
          </w:tcPr>
          <w:p w14:paraId="72E80706" w14:textId="147BB067" w:rsidR="009012EA" w:rsidRPr="00656BC3" w:rsidRDefault="00734E77" w:rsidP="009012EA">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656BC3">
              <w:rPr>
                <w:rFonts w:asciiTheme="majorHAnsi" w:hAnsiTheme="majorHAnsi"/>
                <w:sz w:val="20"/>
                <w:szCs w:val="20"/>
              </w:rPr>
              <w:t>693</w:t>
            </w:r>
          </w:p>
        </w:tc>
        <w:tc>
          <w:tcPr>
            <w:tcW w:w="1818" w:type="dxa"/>
          </w:tcPr>
          <w:p w14:paraId="4A6273A1" w14:textId="2589046E" w:rsidR="009012EA" w:rsidRPr="00656BC3" w:rsidRDefault="00734E77" w:rsidP="009012EA">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656BC3">
              <w:rPr>
                <w:rFonts w:asciiTheme="majorHAnsi" w:hAnsiTheme="majorHAnsi"/>
                <w:sz w:val="20"/>
                <w:szCs w:val="20"/>
              </w:rPr>
              <w:t>100%</w:t>
            </w:r>
          </w:p>
        </w:tc>
      </w:tr>
    </w:tbl>
    <w:p w14:paraId="39A5A6A9" w14:textId="77777777" w:rsidR="009012EA" w:rsidRDefault="009012EA" w:rsidP="00297E80">
      <w:pPr>
        <w:rPr>
          <w:szCs w:val="22"/>
        </w:rPr>
      </w:pPr>
    </w:p>
    <w:p w14:paraId="69566FD2" w14:textId="738D29D1" w:rsidR="00CC0299" w:rsidRDefault="0032058F" w:rsidP="00B71D3E">
      <w:r w:rsidRPr="0061590D">
        <w:rPr>
          <w:b/>
        </w:rPr>
        <w:fldChar w:fldCharType="begin"/>
      </w:r>
      <w:r w:rsidRPr="0061590D">
        <w:rPr>
          <w:b/>
        </w:rPr>
        <w:instrText xml:space="preserve"> REF _Ref465932034 \h  \* MERGEFORMAT </w:instrText>
      </w:r>
      <w:r w:rsidRPr="0061590D">
        <w:rPr>
          <w:b/>
        </w:rPr>
      </w:r>
      <w:r w:rsidRPr="0061590D">
        <w:rPr>
          <w:b/>
        </w:rPr>
        <w:fldChar w:fldCharType="separate"/>
      </w:r>
      <w:r w:rsidR="00BF6769" w:rsidRPr="00BF6769">
        <w:rPr>
          <w:b/>
        </w:rPr>
        <w:t>Table 6</w:t>
      </w:r>
      <w:r w:rsidRPr="0061590D">
        <w:rPr>
          <w:b/>
        </w:rPr>
        <w:fldChar w:fldCharType="end"/>
      </w:r>
      <w:r>
        <w:t xml:space="preserve"> presents the results of operating mode usage. </w:t>
      </w:r>
      <w:r w:rsidR="00A362EA">
        <w:t xml:space="preserve">The majority of those who completed the survey </w:t>
      </w:r>
      <w:r w:rsidR="00E04366">
        <w:t>(</w:t>
      </w:r>
      <w:r w:rsidR="00E04366" w:rsidRPr="00E00B7D">
        <w:rPr>
          <w:i/>
        </w:rPr>
        <w:t>n</w:t>
      </w:r>
      <w:r w:rsidR="00E04366" w:rsidRPr="00CC4987">
        <w:t xml:space="preserve"> =</w:t>
      </w:r>
      <w:r w:rsidR="00E04366">
        <w:t xml:space="preserve"> 429, 61.9%) </w:t>
      </w:r>
      <w:r w:rsidR="00A362EA">
        <w:t>indicated that they manually turn their air cleaners on and off</w:t>
      </w:r>
      <w:r w:rsidR="00A4519E">
        <w:t xml:space="preserve">. </w:t>
      </w:r>
      <w:r w:rsidR="00E04366">
        <w:t>About one-fifth</w:t>
      </w:r>
      <w:r w:rsidR="00A362EA">
        <w:t xml:space="preserve"> (</w:t>
      </w:r>
      <w:r w:rsidR="00A362EA" w:rsidRPr="00E00B7D">
        <w:rPr>
          <w:i/>
        </w:rPr>
        <w:t>n</w:t>
      </w:r>
      <w:r w:rsidR="00A362EA" w:rsidRPr="00896DA8">
        <w:t xml:space="preserve"> </w:t>
      </w:r>
      <w:r w:rsidR="00A362EA">
        <w:t>= 143, 20.6%) reported that they never turn their air cleaner off</w:t>
      </w:r>
      <w:r w:rsidR="00A4519E">
        <w:t>.</w:t>
      </w:r>
      <w:r w:rsidR="00A362EA">
        <w:t xml:space="preserve"> </w:t>
      </w:r>
    </w:p>
    <w:p w14:paraId="21C5907D" w14:textId="77777777" w:rsidR="0016379D" w:rsidRDefault="0016379D" w:rsidP="00B71D3E"/>
    <w:p w14:paraId="22AE9BD4" w14:textId="56DFA7AE" w:rsidR="00DE3B2F" w:rsidRPr="00247D32" w:rsidRDefault="00827A3F" w:rsidP="00F43A7D">
      <w:pPr>
        <w:keepNext/>
        <w:outlineLvl w:val="0"/>
        <w:rPr>
          <w:sz w:val="20"/>
          <w:szCs w:val="20"/>
        </w:rPr>
      </w:pPr>
      <w:bookmarkStart w:id="11" w:name="_Ref465932034"/>
      <w:r w:rsidRPr="007F3642">
        <w:rPr>
          <w:b/>
          <w:sz w:val="20"/>
          <w:szCs w:val="20"/>
        </w:rPr>
        <w:t xml:space="preserve">Table </w:t>
      </w:r>
      <w:r w:rsidR="00AB4885">
        <w:rPr>
          <w:b/>
          <w:sz w:val="20"/>
          <w:szCs w:val="20"/>
        </w:rPr>
        <w:fldChar w:fldCharType="begin"/>
      </w:r>
      <w:r w:rsidR="00AB4885">
        <w:rPr>
          <w:b/>
          <w:sz w:val="20"/>
          <w:szCs w:val="20"/>
        </w:rPr>
        <w:instrText xml:space="preserve"> SEQ Table \* ARABIC </w:instrText>
      </w:r>
      <w:r w:rsidR="00AB4885">
        <w:rPr>
          <w:b/>
          <w:sz w:val="20"/>
          <w:szCs w:val="20"/>
        </w:rPr>
        <w:fldChar w:fldCharType="separate"/>
      </w:r>
      <w:r w:rsidR="00BF6769">
        <w:rPr>
          <w:b/>
          <w:noProof/>
          <w:sz w:val="20"/>
          <w:szCs w:val="20"/>
        </w:rPr>
        <w:t>6</w:t>
      </w:r>
      <w:r w:rsidR="00AB4885">
        <w:rPr>
          <w:b/>
          <w:sz w:val="20"/>
          <w:szCs w:val="20"/>
        </w:rPr>
        <w:fldChar w:fldCharType="end"/>
      </w:r>
      <w:bookmarkEnd w:id="11"/>
      <w:r w:rsidRPr="007F3642">
        <w:rPr>
          <w:b/>
          <w:sz w:val="20"/>
          <w:szCs w:val="20"/>
        </w:rPr>
        <w:t>.</w:t>
      </w:r>
      <w:r>
        <w:rPr>
          <w:b/>
          <w:sz w:val="20"/>
          <w:szCs w:val="20"/>
        </w:rPr>
        <w:t xml:space="preserve"> </w:t>
      </w:r>
      <w:r w:rsidR="00DE3B2F">
        <w:rPr>
          <w:b/>
          <w:sz w:val="20"/>
          <w:szCs w:val="20"/>
        </w:rPr>
        <w:t xml:space="preserve">Air Cleaner </w:t>
      </w:r>
      <w:r w:rsidR="00A25DC1">
        <w:rPr>
          <w:b/>
          <w:sz w:val="20"/>
          <w:szCs w:val="20"/>
        </w:rPr>
        <w:t xml:space="preserve">Operating </w:t>
      </w:r>
      <w:r w:rsidR="007F3642">
        <w:rPr>
          <w:b/>
          <w:sz w:val="20"/>
          <w:szCs w:val="20"/>
        </w:rPr>
        <w:t>Mode Usage</w:t>
      </w:r>
    </w:p>
    <w:tbl>
      <w:tblPr>
        <w:tblStyle w:val="EMITable"/>
        <w:tblW w:w="0" w:type="auto"/>
        <w:tblLook w:val="04A0" w:firstRow="1" w:lastRow="0" w:firstColumn="1" w:lastColumn="0" w:noHBand="0" w:noVBand="1"/>
      </w:tblPr>
      <w:tblGrid>
        <w:gridCol w:w="5868"/>
        <w:gridCol w:w="1890"/>
        <w:gridCol w:w="1818"/>
      </w:tblGrid>
      <w:tr w:rsidR="00DE3B2F" w14:paraId="4F59C9C0" w14:textId="77777777" w:rsidTr="003C48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868" w:type="dxa"/>
          </w:tcPr>
          <w:p w14:paraId="2C4A48CD" w14:textId="34242BE0" w:rsidR="00DE3B2F" w:rsidRPr="00656BC3" w:rsidRDefault="00F43A7D" w:rsidP="00767332">
            <w:pPr>
              <w:rPr>
                <w:sz w:val="20"/>
                <w:szCs w:val="20"/>
              </w:rPr>
            </w:pPr>
            <w:r>
              <w:rPr>
                <w:sz w:val="20"/>
                <w:szCs w:val="20"/>
              </w:rPr>
              <w:t>Operating Mode Usage</w:t>
            </w:r>
          </w:p>
        </w:tc>
        <w:tc>
          <w:tcPr>
            <w:tcW w:w="1890" w:type="dxa"/>
          </w:tcPr>
          <w:p w14:paraId="38D7BD03" w14:textId="1FBD5877" w:rsidR="00DE3B2F" w:rsidRPr="00656BC3" w:rsidRDefault="00DE3B2F" w:rsidP="00767332">
            <w:pPr>
              <w:cnfStyle w:val="100000000000" w:firstRow="1" w:lastRow="0" w:firstColumn="0" w:lastColumn="0" w:oddVBand="0" w:evenVBand="0" w:oddHBand="0" w:evenHBand="0" w:firstRowFirstColumn="0" w:firstRowLastColumn="0" w:lastRowFirstColumn="0" w:lastRowLastColumn="0"/>
              <w:rPr>
                <w:b w:val="0"/>
                <w:i/>
                <w:sz w:val="20"/>
                <w:szCs w:val="20"/>
              </w:rPr>
            </w:pPr>
            <w:r w:rsidRPr="00656BC3">
              <w:rPr>
                <w:i/>
                <w:sz w:val="20"/>
                <w:szCs w:val="20"/>
              </w:rPr>
              <w:t>n</w:t>
            </w:r>
          </w:p>
        </w:tc>
        <w:tc>
          <w:tcPr>
            <w:tcW w:w="1818" w:type="dxa"/>
          </w:tcPr>
          <w:p w14:paraId="477ADC14" w14:textId="7415616F" w:rsidR="00DE3B2F" w:rsidRPr="00656BC3" w:rsidRDefault="00713C75" w:rsidP="00767332">
            <w:pPr>
              <w:cnfStyle w:val="100000000000" w:firstRow="1" w:lastRow="0" w:firstColumn="0" w:lastColumn="0" w:oddVBand="0" w:evenVBand="0" w:oddHBand="0" w:evenHBand="0" w:firstRowFirstColumn="0" w:firstRowLastColumn="0" w:lastRowFirstColumn="0" w:lastRowLastColumn="0"/>
              <w:rPr>
                <w:b w:val="0"/>
                <w:sz w:val="20"/>
                <w:szCs w:val="20"/>
              </w:rPr>
            </w:pPr>
            <w:r>
              <w:rPr>
                <w:sz w:val="20"/>
                <w:szCs w:val="20"/>
              </w:rPr>
              <w:t>Percent</w:t>
            </w:r>
          </w:p>
        </w:tc>
      </w:tr>
      <w:tr w:rsidR="00DE3B2F" w14:paraId="5AC03F9E" w14:textId="77777777" w:rsidTr="003C48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429DA676" w14:textId="5C228523" w:rsidR="00DE3B2F" w:rsidRPr="00656BC3" w:rsidRDefault="00DE3B2F" w:rsidP="00767332">
            <w:pPr>
              <w:rPr>
                <w:sz w:val="20"/>
                <w:szCs w:val="20"/>
              </w:rPr>
            </w:pPr>
            <w:r w:rsidRPr="00656BC3">
              <w:rPr>
                <w:sz w:val="20"/>
                <w:szCs w:val="20"/>
              </w:rPr>
              <w:t>Manually turn on and off</w:t>
            </w:r>
          </w:p>
        </w:tc>
        <w:tc>
          <w:tcPr>
            <w:tcW w:w="1890" w:type="dxa"/>
          </w:tcPr>
          <w:p w14:paraId="3507E34C" w14:textId="00AFF258" w:rsidR="00DE3B2F" w:rsidRPr="00656BC3" w:rsidRDefault="00DE3B2F" w:rsidP="00767332">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429</w:t>
            </w:r>
          </w:p>
        </w:tc>
        <w:tc>
          <w:tcPr>
            <w:tcW w:w="1818" w:type="dxa"/>
          </w:tcPr>
          <w:p w14:paraId="0AA799B4" w14:textId="7A39EAB0" w:rsidR="00DE3B2F" w:rsidRPr="00656BC3" w:rsidRDefault="00DE3B2F" w:rsidP="00767332">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61.9%</w:t>
            </w:r>
          </w:p>
        </w:tc>
      </w:tr>
      <w:tr w:rsidR="00DE3B2F" w14:paraId="45B129DF" w14:textId="77777777" w:rsidTr="003C48E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1C557734" w14:textId="0F7B8639" w:rsidR="00DE3B2F" w:rsidRPr="00656BC3" w:rsidRDefault="00DE3B2F" w:rsidP="00767332">
            <w:pPr>
              <w:rPr>
                <w:sz w:val="20"/>
                <w:szCs w:val="20"/>
              </w:rPr>
            </w:pPr>
            <w:r w:rsidRPr="00656BC3">
              <w:rPr>
                <w:sz w:val="20"/>
                <w:szCs w:val="20"/>
              </w:rPr>
              <w:t>Never turn it off</w:t>
            </w:r>
          </w:p>
        </w:tc>
        <w:tc>
          <w:tcPr>
            <w:tcW w:w="1890" w:type="dxa"/>
          </w:tcPr>
          <w:p w14:paraId="15CAC176" w14:textId="78F0C772" w:rsidR="00DE3B2F" w:rsidRPr="00656BC3" w:rsidRDefault="00DE3B2F" w:rsidP="00767332">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143</w:t>
            </w:r>
          </w:p>
        </w:tc>
        <w:tc>
          <w:tcPr>
            <w:tcW w:w="1818" w:type="dxa"/>
          </w:tcPr>
          <w:p w14:paraId="1E6C8EDB" w14:textId="1AED4C6A" w:rsidR="00DE3B2F" w:rsidRPr="00656BC3" w:rsidRDefault="00DE3B2F" w:rsidP="00767332">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20.6%</w:t>
            </w:r>
          </w:p>
        </w:tc>
      </w:tr>
      <w:tr w:rsidR="00DE3B2F" w14:paraId="25D29342" w14:textId="77777777" w:rsidTr="003C48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38A02056" w14:textId="6FB1B50C" w:rsidR="00DE3B2F" w:rsidRPr="00656BC3" w:rsidRDefault="00DE3B2F" w:rsidP="00767332">
            <w:pPr>
              <w:rPr>
                <w:sz w:val="20"/>
                <w:szCs w:val="20"/>
              </w:rPr>
            </w:pPr>
            <w:r w:rsidRPr="00656BC3">
              <w:rPr>
                <w:sz w:val="20"/>
                <w:szCs w:val="20"/>
              </w:rPr>
              <w:t>Set to auto mode</w:t>
            </w:r>
          </w:p>
        </w:tc>
        <w:tc>
          <w:tcPr>
            <w:tcW w:w="1890" w:type="dxa"/>
          </w:tcPr>
          <w:p w14:paraId="7205524A" w14:textId="48206A6F" w:rsidR="00DE3B2F" w:rsidRPr="00656BC3" w:rsidRDefault="00DE3B2F" w:rsidP="00767332">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76</w:t>
            </w:r>
          </w:p>
        </w:tc>
        <w:tc>
          <w:tcPr>
            <w:tcW w:w="1818" w:type="dxa"/>
          </w:tcPr>
          <w:p w14:paraId="5132D2EC" w14:textId="1C993655" w:rsidR="00DE3B2F" w:rsidRPr="00656BC3" w:rsidRDefault="00DE3B2F" w:rsidP="00767332">
            <w:pPr>
              <w:jc w:val="center"/>
              <w:cnfStyle w:val="000000100000" w:firstRow="0" w:lastRow="0" w:firstColumn="0" w:lastColumn="0" w:oddVBand="0" w:evenVBand="0" w:oddHBand="1" w:evenHBand="0" w:firstRowFirstColumn="0" w:firstRowLastColumn="0" w:lastRowFirstColumn="0" w:lastRowLastColumn="0"/>
              <w:rPr>
                <w:sz w:val="20"/>
                <w:szCs w:val="20"/>
              </w:rPr>
            </w:pPr>
            <w:r w:rsidRPr="00656BC3">
              <w:rPr>
                <w:sz w:val="20"/>
                <w:szCs w:val="20"/>
              </w:rPr>
              <w:t>11.0%</w:t>
            </w:r>
          </w:p>
        </w:tc>
      </w:tr>
      <w:tr w:rsidR="00DE3B2F" w14:paraId="1378C7CC" w14:textId="77777777" w:rsidTr="003C48E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1A68178E" w14:textId="72534CA3" w:rsidR="00DE3B2F" w:rsidRPr="00656BC3" w:rsidRDefault="00DE3B2F" w:rsidP="00767332">
            <w:pPr>
              <w:rPr>
                <w:sz w:val="20"/>
                <w:szCs w:val="20"/>
              </w:rPr>
            </w:pPr>
            <w:r w:rsidRPr="00656BC3">
              <w:rPr>
                <w:sz w:val="20"/>
                <w:szCs w:val="20"/>
              </w:rPr>
              <w:t xml:space="preserve">Manually turn on, then set timer to turn off </w:t>
            </w:r>
          </w:p>
        </w:tc>
        <w:tc>
          <w:tcPr>
            <w:tcW w:w="1890" w:type="dxa"/>
          </w:tcPr>
          <w:p w14:paraId="265C6E7D" w14:textId="1E9FF9AB" w:rsidR="00DE3B2F" w:rsidRPr="00656BC3" w:rsidRDefault="00DE3B2F" w:rsidP="00767332">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45</w:t>
            </w:r>
          </w:p>
        </w:tc>
        <w:tc>
          <w:tcPr>
            <w:tcW w:w="1818" w:type="dxa"/>
          </w:tcPr>
          <w:p w14:paraId="43078B53" w14:textId="3CC61AB8" w:rsidR="00DE3B2F" w:rsidRPr="00656BC3" w:rsidRDefault="00DE3B2F" w:rsidP="00767332">
            <w:pPr>
              <w:jc w:val="center"/>
              <w:cnfStyle w:val="000000010000" w:firstRow="0" w:lastRow="0" w:firstColumn="0" w:lastColumn="0" w:oddVBand="0" w:evenVBand="0" w:oddHBand="0" w:evenHBand="1" w:firstRowFirstColumn="0" w:firstRowLastColumn="0" w:lastRowFirstColumn="0" w:lastRowLastColumn="0"/>
              <w:rPr>
                <w:sz w:val="20"/>
                <w:szCs w:val="20"/>
              </w:rPr>
            </w:pPr>
            <w:r w:rsidRPr="00656BC3">
              <w:rPr>
                <w:sz w:val="20"/>
                <w:szCs w:val="20"/>
              </w:rPr>
              <w:t>6.5%</w:t>
            </w:r>
          </w:p>
        </w:tc>
      </w:tr>
      <w:tr w:rsidR="00DE3B2F" w14:paraId="2381222A" w14:textId="77777777" w:rsidTr="003C48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68" w:type="dxa"/>
          </w:tcPr>
          <w:p w14:paraId="1B958C04" w14:textId="1319C7FA" w:rsidR="00DE3B2F" w:rsidRPr="00656BC3" w:rsidRDefault="00DE3B2F" w:rsidP="00297E80">
            <w:pPr>
              <w:rPr>
                <w:rFonts w:asciiTheme="majorHAnsi" w:hAnsiTheme="majorHAnsi"/>
                <w:sz w:val="20"/>
                <w:szCs w:val="20"/>
              </w:rPr>
            </w:pPr>
            <w:r w:rsidRPr="00656BC3">
              <w:rPr>
                <w:rFonts w:asciiTheme="majorHAnsi" w:hAnsiTheme="majorHAnsi"/>
                <w:sz w:val="20"/>
                <w:szCs w:val="20"/>
              </w:rPr>
              <w:t>Total</w:t>
            </w:r>
          </w:p>
        </w:tc>
        <w:tc>
          <w:tcPr>
            <w:tcW w:w="1890" w:type="dxa"/>
          </w:tcPr>
          <w:p w14:paraId="5329440D" w14:textId="4B90918E" w:rsidR="00DE3B2F" w:rsidRPr="00656BC3" w:rsidRDefault="00896DA8" w:rsidP="00DE3B2F">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656BC3">
              <w:rPr>
                <w:rFonts w:asciiTheme="majorHAnsi" w:hAnsiTheme="majorHAnsi"/>
                <w:sz w:val="20"/>
                <w:szCs w:val="20"/>
              </w:rPr>
              <w:t>693</w:t>
            </w:r>
          </w:p>
        </w:tc>
        <w:tc>
          <w:tcPr>
            <w:tcW w:w="1818" w:type="dxa"/>
          </w:tcPr>
          <w:p w14:paraId="71249550" w14:textId="042CD147" w:rsidR="00DE3B2F" w:rsidRPr="00656BC3" w:rsidRDefault="00896DA8" w:rsidP="00DE3B2F">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r w:rsidRPr="00656BC3">
              <w:rPr>
                <w:rFonts w:asciiTheme="majorHAnsi" w:hAnsiTheme="majorHAnsi"/>
                <w:sz w:val="20"/>
                <w:szCs w:val="20"/>
              </w:rPr>
              <w:t>100%</w:t>
            </w:r>
          </w:p>
        </w:tc>
      </w:tr>
    </w:tbl>
    <w:p w14:paraId="601076BE" w14:textId="77777777" w:rsidR="00DE3B2F" w:rsidRPr="00DE3B2F" w:rsidRDefault="00DE3B2F" w:rsidP="00297E80">
      <w:pPr>
        <w:rPr>
          <w:szCs w:val="22"/>
        </w:rPr>
      </w:pPr>
    </w:p>
    <w:p w14:paraId="37DA90D4" w14:textId="43EEFBD8" w:rsidR="005208E7" w:rsidRDefault="0032058F" w:rsidP="00896DA8">
      <w:r w:rsidRPr="00EF5989">
        <w:rPr>
          <w:b/>
        </w:rPr>
        <w:fldChar w:fldCharType="begin"/>
      </w:r>
      <w:r w:rsidRPr="00EF5989">
        <w:rPr>
          <w:b/>
        </w:rPr>
        <w:instrText xml:space="preserve"> REF _Ref465932307 \h  \* MERGEFORMAT </w:instrText>
      </w:r>
      <w:r w:rsidRPr="00EF5989">
        <w:rPr>
          <w:b/>
        </w:rPr>
      </w:r>
      <w:r w:rsidRPr="00EF5989">
        <w:rPr>
          <w:b/>
        </w:rPr>
        <w:fldChar w:fldCharType="separate"/>
      </w:r>
      <w:r w:rsidR="00BF6769" w:rsidRPr="00BF6769">
        <w:rPr>
          <w:b/>
        </w:rPr>
        <w:t xml:space="preserve">Figure </w:t>
      </w:r>
      <w:r w:rsidR="00BF6769" w:rsidRPr="00BF6769">
        <w:rPr>
          <w:b/>
          <w:noProof/>
        </w:rPr>
        <w:t>1</w:t>
      </w:r>
      <w:r w:rsidRPr="00EF5989">
        <w:rPr>
          <w:b/>
        </w:rPr>
        <w:fldChar w:fldCharType="end"/>
      </w:r>
      <w:r>
        <w:t xml:space="preserve"> plots air cleaner time duration by percentage of sample. </w:t>
      </w:r>
      <w:r w:rsidR="00460D77">
        <w:t xml:space="preserve">Almost half </w:t>
      </w:r>
      <w:r w:rsidR="00012D4C">
        <w:t xml:space="preserve">of the 45 respondents who reported using their air cleaners’ timers </w:t>
      </w:r>
      <w:r w:rsidR="00E04366">
        <w:t>(</w:t>
      </w:r>
      <w:r w:rsidR="00E04366" w:rsidRPr="00E00B7D">
        <w:rPr>
          <w:i/>
        </w:rPr>
        <w:t>n</w:t>
      </w:r>
      <w:r w:rsidR="00E04366">
        <w:rPr>
          <w:i/>
        </w:rPr>
        <w:t xml:space="preserve"> </w:t>
      </w:r>
      <w:r w:rsidR="00E04366">
        <w:t xml:space="preserve">= 21, 46.7%) </w:t>
      </w:r>
      <w:r w:rsidR="005208E7">
        <w:t xml:space="preserve">indicated </w:t>
      </w:r>
      <w:r w:rsidR="00C92633">
        <w:t>they use</w:t>
      </w:r>
      <w:r w:rsidR="005208E7">
        <w:t xml:space="preserve"> the timer for 1 to 2 hours</w:t>
      </w:r>
      <w:r w:rsidR="00C92633">
        <w:t>.</w:t>
      </w:r>
      <w:r w:rsidR="005208E7">
        <w:t xml:space="preserve"> </w:t>
      </w:r>
      <w:r w:rsidR="00C92633">
        <w:t>A</w:t>
      </w:r>
      <w:r w:rsidR="005208E7">
        <w:t xml:space="preserve">verage timer duration was 4.3 </w:t>
      </w:r>
      <w:r w:rsidR="005208E7" w:rsidRPr="006C169D">
        <w:t>hours (</w:t>
      </w:r>
      <w:r w:rsidR="005208E7" w:rsidRPr="00DA482E">
        <w:t>SD = 3.8).</w:t>
      </w:r>
      <w:r w:rsidR="005208E7">
        <w:t xml:space="preserve"> </w:t>
      </w:r>
    </w:p>
    <w:p w14:paraId="66923343" w14:textId="77777777" w:rsidR="002B3A65" w:rsidRPr="002B3A65" w:rsidRDefault="002B3A65" w:rsidP="007F3642">
      <w:pPr>
        <w:contextualSpacing/>
      </w:pPr>
    </w:p>
    <w:p w14:paraId="205F50E0" w14:textId="100351A1" w:rsidR="002B3A65" w:rsidRDefault="002B3A65" w:rsidP="00F43A7D">
      <w:pPr>
        <w:pStyle w:val="Caption"/>
        <w:spacing w:before="0" w:after="0"/>
        <w:contextualSpacing/>
        <w:outlineLvl w:val="0"/>
      </w:pPr>
      <w:bookmarkStart w:id="12" w:name="_Ref465932307"/>
      <w:r>
        <w:t xml:space="preserve">Figure </w:t>
      </w:r>
      <w:r w:rsidR="002271A4">
        <w:fldChar w:fldCharType="begin"/>
      </w:r>
      <w:r w:rsidR="002271A4">
        <w:instrText xml:space="preserve"> SEQ Figure \* ARABIC </w:instrText>
      </w:r>
      <w:r w:rsidR="002271A4">
        <w:fldChar w:fldCharType="separate"/>
      </w:r>
      <w:r w:rsidR="00BF6769">
        <w:rPr>
          <w:noProof/>
        </w:rPr>
        <w:t>1</w:t>
      </w:r>
      <w:r w:rsidR="002271A4">
        <w:rPr>
          <w:noProof/>
        </w:rPr>
        <w:fldChar w:fldCharType="end"/>
      </w:r>
      <w:bookmarkEnd w:id="12"/>
      <w:r>
        <w:rPr>
          <w:noProof/>
        </w:rPr>
        <w:t>. Air Cleaner Timer Duration</w:t>
      </w:r>
    </w:p>
    <w:p w14:paraId="41C5EF44" w14:textId="6B3337A2" w:rsidR="00767F1D" w:rsidRPr="00A311B0" w:rsidRDefault="008E1DBC" w:rsidP="00297E80">
      <w:pPr>
        <w:rPr>
          <w:szCs w:val="22"/>
        </w:rPr>
      </w:pPr>
      <w:r>
        <w:rPr>
          <w:noProof/>
        </w:rPr>
        <w:drawing>
          <wp:inline distT="0" distB="0" distL="0" distR="0" wp14:anchorId="7D14F5B3" wp14:editId="2822DE1F">
            <wp:extent cx="5943600" cy="2498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498725"/>
                    </a:xfrm>
                    <a:prstGeom prst="rect">
                      <a:avLst/>
                    </a:prstGeom>
                  </pic:spPr>
                </pic:pic>
              </a:graphicData>
            </a:graphic>
          </wp:inline>
        </w:drawing>
      </w:r>
      <w:r w:rsidDel="008E1DBC">
        <w:rPr>
          <w:noProof/>
        </w:rPr>
        <w:t xml:space="preserve"> </w:t>
      </w:r>
    </w:p>
    <w:p w14:paraId="1D370E5B" w14:textId="77777777" w:rsidR="0016379D" w:rsidRDefault="0016379D" w:rsidP="0016379D"/>
    <w:p w14:paraId="07B52D10" w14:textId="33C0D13E" w:rsidR="0016379D" w:rsidRDefault="00BB7772" w:rsidP="0093544F">
      <w:r>
        <w:lastRenderedPageBreak/>
        <w:t>Nearly three-quarters of</w:t>
      </w:r>
      <w:r w:rsidR="0016379D">
        <w:t xml:space="preserve"> survey respondents (</w:t>
      </w:r>
      <w:r w:rsidR="0016379D" w:rsidRPr="00E00B7D">
        <w:rPr>
          <w:i/>
        </w:rPr>
        <w:t>n</w:t>
      </w:r>
      <w:r w:rsidR="0016379D" w:rsidRPr="00CC4987">
        <w:t xml:space="preserve"> =</w:t>
      </w:r>
      <w:r w:rsidR="002432F5">
        <w:t xml:space="preserve"> 426, 61.5</w:t>
      </w:r>
      <w:r>
        <w:t>%</w:t>
      </w:r>
      <w:r w:rsidR="0016379D">
        <w:t>) indicated that they</w:t>
      </w:r>
      <w:r w:rsidR="004D5547">
        <w:t xml:space="preserve"> </w:t>
      </w:r>
      <w:r w:rsidR="00EB4AE3">
        <w:t xml:space="preserve">always </w:t>
      </w:r>
      <w:r w:rsidR="004D5547">
        <w:t>leave their</w:t>
      </w:r>
      <w:r w:rsidR="0016379D">
        <w:t xml:space="preserve"> </w:t>
      </w:r>
      <w:r>
        <w:t>air cleane</w:t>
      </w:r>
      <w:r w:rsidR="004D5547">
        <w:t xml:space="preserve">r </w:t>
      </w:r>
      <w:r>
        <w:t xml:space="preserve">plugged in </w:t>
      </w:r>
      <w:r w:rsidR="002432F5">
        <w:t>(</w:t>
      </w:r>
      <w:r w:rsidR="002432F5" w:rsidRPr="002432F5">
        <w:rPr>
          <w:b/>
        </w:rPr>
        <w:fldChar w:fldCharType="begin"/>
      </w:r>
      <w:r w:rsidR="002432F5" w:rsidRPr="002432F5">
        <w:rPr>
          <w:b/>
        </w:rPr>
        <w:instrText xml:space="preserve"> REF _Ref470766164 \h </w:instrText>
      </w:r>
      <w:r w:rsidR="002432F5">
        <w:rPr>
          <w:b/>
        </w:rPr>
        <w:instrText xml:space="preserve"> \* MERGEFORMAT </w:instrText>
      </w:r>
      <w:r w:rsidR="002432F5" w:rsidRPr="002432F5">
        <w:rPr>
          <w:b/>
        </w:rPr>
      </w:r>
      <w:r w:rsidR="002432F5" w:rsidRPr="002432F5">
        <w:rPr>
          <w:b/>
        </w:rPr>
        <w:fldChar w:fldCharType="separate"/>
      </w:r>
      <w:r w:rsidR="00BF6769" w:rsidRPr="00BF6769">
        <w:rPr>
          <w:b/>
        </w:rPr>
        <w:t xml:space="preserve">Table </w:t>
      </w:r>
      <w:r w:rsidR="00BF6769" w:rsidRPr="00BF6769">
        <w:rPr>
          <w:b/>
          <w:noProof/>
        </w:rPr>
        <w:t>7</w:t>
      </w:r>
      <w:r w:rsidR="002432F5" w:rsidRPr="002432F5">
        <w:rPr>
          <w:b/>
        </w:rPr>
        <w:fldChar w:fldCharType="end"/>
      </w:r>
      <w:r>
        <w:t>)</w:t>
      </w:r>
      <w:r w:rsidR="0016379D">
        <w:t>.</w:t>
      </w:r>
      <w:r w:rsidR="002C6CDF">
        <w:t xml:space="preserve"> </w:t>
      </w:r>
      <w:r w:rsidR="003C3F8E">
        <w:rPr>
          <w:rStyle w:val="CommentReference"/>
        </w:rPr>
        <w:t xml:space="preserve"> </w:t>
      </w:r>
    </w:p>
    <w:p w14:paraId="6ABFE81A" w14:textId="12F5A508" w:rsidR="00BB7772" w:rsidRDefault="002432F5" w:rsidP="00F43A7D">
      <w:pPr>
        <w:pStyle w:val="Caption"/>
        <w:outlineLvl w:val="0"/>
      </w:pPr>
      <w:bookmarkStart w:id="13" w:name="_Ref470766164"/>
      <w:r>
        <w:t xml:space="preserve">Table </w:t>
      </w:r>
      <w:r w:rsidR="002271A4">
        <w:fldChar w:fldCharType="begin"/>
      </w:r>
      <w:r w:rsidR="002271A4">
        <w:instrText xml:space="preserve"> SEQ Table \* ARABIC </w:instrText>
      </w:r>
      <w:r w:rsidR="002271A4">
        <w:fldChar w:fldCharType="separate"/>
      </w:r>
      <w:r w:rsidR="00BF6769">
        <w:rPr>
          <w:noProof/>
        </w:rPr>
        <w:t>7</w:t>
      </w:r>
      <w:r w:rsidR="002271A4">
        <w:rPr>
          <w:noProof/>
        </w:rPr>
        <w:fldChar w:fldCharType="end"/>
      </w:r>
      <w:bookmarkEnd w:id="13"/>
      <w:r>
        <w:t xml:space="preserve">. </w:t>
      </w:r>
      <w:r w:rsidR="00BB7772">
        <w:t>Annual Hours for Which Air Cleaner Unit is Unplugged</w:t>
      </w:r>
    </w:p>
    <w:tbl>
      <w:tblPr>
        <w:tblStyle w:val="EMITable"/>
        <w:tblW w:w="9400" w:type="dxa"/>
        <w:tblLook w:val="04A0" w:firstRow="1" w:lastRow="0" w:firstColumn="1" w:lastColumn="0" w:noHBand="0" w:noVBand="1"/>
      </w:tblPr>
      <w:tblGrid>
        <w:gridCol w:w="5739"/>
        <w:gridCol w:w="1207"/>
        <w:gridCol w:w="1207"/>
        <w:gridCol w:w="1247"/>
      </w:tblGrid>
      <w:tr w:rsidR="006E24DB" w:rsidRPr="006E24DB" w14:paraId="5426C279" w14:textId="77777777" w:rsidTr="003C3F8E">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5739" w:type="dxa"/>
            <w:noWrap/>
            <w:hideMark/>
          </w:tcPr>
          <w:p w14:paraId="76793050" w14:textId="77777777" w:rsidR="006E24DB" w:rsidRPr="006E24DB" w:rsidRDefault="006E24DB" w:rsidP="006E24DB">
            <w:pPr>
              <w:spacing w:line="240" w:lineRule="auto"/>
              <w:rPr>
                <w:rFonts w:eastAsia="Times New Roman" w:cs="Arial"/>
                <w:color w:val="000000"/>
                <w:sz w:val="20"/>
                <w:szCs w:val="20"/>
              </w:rPr>
            </w:pPr>
            <w:r w:rsidRPr="006E24DB">
              <w:rPr>
                <w:rFonts w:eastAsia="Times New Roman" w:cs="Arial"/>
                <w:color w:val="000000"/>
                <w:sz w:val="20"/>
                <w:szCs w:val="20"/>
              </w:rPr>
              <w:t>Response</w:t>
            </w:r>
          </w:p>
        </w:tc>
        <w:tc>
          <w:tcPr>
            <w:tcW w:w="1207" w:type="dxa"/>
            <w:noWrap/>
            <w:hideMark/>
          </w:tcPr>
          <w:p w14:paraId="223F53A4" w14:textId="77777777" w:rsidR="006E24DB" w:rsidRPr="006E24DB" w:rsidRDefault="006E24DB" w:rsidP="006E24DB">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Frequency</w:t>
            </w:r>
          </w:p>
        </w:tc>
        <w:tc>
          <w:tcPr>
            <w:tcW w:w="1207" w:type="dxa"/>
            <w:noWrap/>
            <w:hideMark/>
          </w:tcPr>
          <w:p w14:paraId="727887AD" w14:textId="77777777" w:rsidR="006E24DB" w:rsidRPr="006E24DB" w:rsidRDefault="006E24DB" w:rsidP="006E24DB">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Percent</w:t>
            </w:r>
          </w:p>
        </w:tc>
        <w:tc>
          <w:tcPr>
            <w:tcW w:w="1247" w:type="dxa"/>
            <w:noWrap/>
            <w:hideMark/>
          </w:tcPr>
          <w:p w14:paraId="14F9F488" w14:textId="77777777" w:rsidR="006E24DB" w:rsidRPr="006E24DB" w:rsidRDefault="006E24DB" w:rsidP="006E24DB">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Cumulative Percent</w:t>
            </w:r>
          </w:p>
        </w:tc>
      </w:tr>
      <w:tr w:rsidR="006E24DB" w:rsidRPr="006E24DB" w14:paraId="6201D404" w14:textId="77777777" w:rsidTr="003C3F8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739" w:type="dxa"/>
            <w:noWrap/>
            <w:hideMark/>
          </w:tcPr>
          <w:p w14:paraId="6DFF7738" w14:textId="77777777" w:rsidR="006E24DB" w:rsidRPr="006E24DB" w:rsidRDefault="006E24DB" w:rsidP="006E24DB">
            <w:pPr>
              <w:spacing w:line="240" w:lineRule="auto"/>
              <w:rPr>
                <w:rFonts w:eastAsia="Times New Roman" w:cs="Arial"/>
                <w:color w:val="000000"/>
                <w:sz w:val="20"/>
                <w:szCs w:val="20"/>
              </w:rPr>
            </w:pPr>
            <w:r w:rsidRPr="006E24DB">
              <w:rPr>
                <w:rFonts w:eastAsia="Times New Roman" w:cs="Arial"/>
                <w:color w:val="000000"/>
                <w:sz w:val="20"/>
                <w:szCs w:val="20"/>
              </w:rPr>
              <w:t>I always leave it plugged in.</w:t>
            </w:r>
          </w:p>
        </w:tc>
        <w:tc>
          <w:tcPr>
            <w:tcW w:w="1207" w:type="dxa"/>
            <w:noWrap/>
            <w:hideMark/>
          </w:tcPr>
          <w:p w14:paraId="7C8D8252" w14:textId="77777777" w:rsidR="006E24DB" w:rsidRPr="006E24DB" w:rsidRDefault="006E24DB" w:rsidP="006E24DB">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426</w:t>
            </w:r>
          </w:p>
        </w:tc>
        <w:tc>
          <w:tcPr>
            <w:tcW w:w="1207" w:type="dxa"/>
            <w:noWrap/>
            <w:hideMark/>
          </w:tcPr>
          <w:p w14:paraId="5BCD820B" w14:textId="77777777" w:rsidR="006E24DB" w:rsidRPr="006E24DB" w:rsidRDefault="006E24DB" w:rsidP="006E24DB">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61.5%</w:t>
            </w:r>
          </w:p>
        </w:tc>
        <w:tc>
          <w:tcPr>
            <w:tcW w:w="1247" w:type="dxa"/>
            <w:noWrap/>
            <w:hideMark/>
          </w:tcPr>
          <w:p w14:paraId="7602BC61" w14:textId="77777777" w:rsidR="006E24DB" w:rsidRPr="006E24DB" w:rsidRDefault="006E24DB" w:rsidP="006E24DB">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61.5%</w:t>
            </w:r>
          </w:p>
        </w:tc>
      </w:tr>
      <w:tr w:rsidR="006E24DB" w:rsidRPr="006E24DB" w14:paraId="3291672E" w14:textId="77777777" w:rsidTr="003C3F8E">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739" w:type="dxa"/>
            <w:noWrap/>
            <w:hideMark/>
          </w:tcPr>
          <w:p w14:paraId="7B2F842D" w14:textId="77777777" w:rsidR="006E24DB" w:rsidRPr="006E24DB" w:rsidRDefault="006E24DB" w:rsidP="006E24DB">
            <w:pPr>
              <w:spacing w:line="240" w:lineRule="auto"/>
              <w:rPr>
                <w:rFonts w:eastAsia="Times New Roman" w:cs="Arial"/>
                <w:color w:val="000000"/>
                <w:sz w:val="20"/>
                <w:szCs w:val="20"/>
              </w:rPr>
            </w:pPr>
            <w:r w:rsidRPr="006E24DB">
              <w:rPr>
                <w:rFonts w:eastAsia="Times New Roman" w:cs="Arial"/>
                <w:color w:val="000000"/>
                <w:sz w:val="20"/>
                <w:szCs w:val="20"/>
              </w:rPr>
              <w:t>I leave it plugged in most of the time.</w:t>
            </w:r>
          </w:p>
        </w:tc>
        <w:tc>
          <w:tcPr>
            <w:tcW w:w="1207" w:type="dxa"/>
            <w:noWrap/>
            <w:hideMark/>
          </w:tcPr>
          <w:p w14:paraId="68EEB3AC" w14:textId="77777777" w:rsidR="006E24DB" w:rsidRPr="006E24DB" w:rsidRDefault="006E24DB" w:rsidP="006E24DB">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77</w:t>
            </w:r>
          </w:p>
        </w:tc>
        <w:tc>
          <w:tcPr>
            <w:tcW w:w="1207" w:type="dxa"/>
            <w:noWrap/>
            <w:hideMark/>
          </w:tcPr>
          <w:p w14:paraId="286FBB1B" w14:textId="77777777" w:rsidR="006E24DB" w:rsidRPr="006E24DB" w:rsidRDefault="006E24DB" w:rsidP="006E24DB">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11.1%</w:t>
            </w:r>
          </w:p>
        </w:tc>
        <w:tc>
          <w:tcPr>
            <w:tcW w:w="1247" w:type="dxa"/>
            <w:noWrap/>
            <w:hideMark/>
          </w:tcPr>
          <w:p w14:paraId="6169CAAE" w14:textId="77777777" w:rsidR="006E24DB" w:rsidRPr="006E24DB" w:rsidRDefault="006E24DB" w:rsidP="006E24DB">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72.6%</w:t>
            </w:r>
          </w:p>
        </w:tc>
      </w:tr>
      <w:tr w:rsidR="006E24DB" w:rsidRPr="006E24DB" w14:paraId="7C65D7E9" w14:textId="77777777" w:rsidTr="003C3F8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739" w:type="dxa"/>
            <w:noWrap/>
            <w:hideMark/>
          </w:tcPr>
          <w:p w14:paraId="0F300DC1" w14:textId="77777777" w:rsidR="006E24DB" w:rsidRPr="006E24DB" w:rsidRDefault="006E24DB" w:rsidP="006E24DB">
            <w:pPr>
              <w:spacing w:line="240" w:lineRule="auto"/>
              <w:rPr>
                <w:rFonts w:eastAsia="Times New Roman" w:cs="Arial"/>
                <w:color w:val="000000"/>
                <w:sz w:val="20"/>
                <w:szCs w:val="20"/>
              </w:rPr>
            </w:pPr>
            <w:r w:rsidRPr="006E24DB">
              <w:rPr>
                <w:rFonts w:eastAsia="Times New Roman" w:cs="Arial"/>
                <w:color w:val="000000"/>
                <w:sz w:val="20"/>
                <w:szCs w:val="20"/>
              </w:rPr>
              <w:t>I leave it plugged in sometimes, but sometimes I unplug it.</w:t>
            </w:r>
          </w:p>
        </w:tc>
        <w:tc>
          <w:tcPr>
            <w:tcW w:w="1207" w:type="dxa"/>
            <w:noWrap/>
            <w:hideMark/>
          </w:tcPr>
          <w:p w14:paraId="418C67E0" w14:textId="77777777" w:rsidR="006E24DB" w:rsidRPr="006E24DB" w:rsidRDefault="006E24DB" w:rsidP="006E24DB">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46</w:t>
            </w:r>
          </w:p>
        </w:tc>
        <w:tc>
          <w:tcPr>
            <w:tcW w:w="1207" w:type="dxa"/>
            <w:noWrap/>
            <w:hideMark/>
          </w:tcPr>
          <w:p w14:paraId="4279D025" w14:textId="77777777" w:rsidR="006E24DB" w:rsidRPr="006E24DB" w:rsidRDefault="006E24DB" w:rsidP="006E24DB">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6.6%</w:t>
            </w:r>
          </w:p>
        </w:tc>
        <w:tc>
          <w:tcPr>
            <w:tcW w:w="1247" w:type="dxa"/>
            <w:noWrap/>
            <w:hideMark/>
          </w:tcPr>
          <w:p w14:paraId="5632F820" w14:textId="77777777" w:rsidR="006E24DB" w:rsidRPr="006E24DB" w:rsidRDefault="006E24DB" w:rsidP="006E24DB">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79.2%</w:t>
            </w:r>
          </w:p>
        </w:tc>
      </w:tr>
      <w:tr w:rsidR="006E24DB" w:rsidRPr="006E24DB" w14:paraId="14E0525A" w14:textId="77777777" w:rsidTr="003C3F8E">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739" w:type="dxa"/>
            <w:noWrap/>
            <w:hideMark/>
          </w:tcPr>
          <w:p w14:paraId="6A19023F" w14:textId="77777777" w:rsidR="006E24DB" w:rsidRPr="006E24DB" w:rsidRDefault="006E24DB" w:rsidP="006E24DB">
            <w:pPr>
              <w:spacing w:line="240" w:lineRule="auto"/>
              <w:rPr>
                <w:rFonts w:eastAsia="Times New Roman" w:cs="Arial"/>
                <w:color w:val="000000"/>
                <w:sz w:val="20"/>
                <w:szCs w:val="20"/>
              </w:rPr>
            </w:pPr>
            <w:r w:rsidRPr="006E24DB">
              <w:rPr>
                <w:rFonts w:eastAsia="Times New Roman" w:cs="Arial"/>
                <w:color w:val="000000"/>
                <w:sz w:val="20"/>
                <w:szCs w:val="20"/>
              </w:rPr>
              <w:t>I unplug it most of the time.</w:t>
            </w:r>
          </w:p>
        </w:tc>
        <w:tc>
          <w:tcPr>
            <w:tcW w:w="1207" w:type="dxa"/>
            <w:noWrap/>
            <w:hideMark/>
          </w:tcPr>
          <w:p w14:paraId="5C782DC9" w14:textId="77777777" w:rsidR="006E24DB" w:rsidRPr="006E24DB" w:rsidRDefault="006E24DB" w:rsidP="006E24DB">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57</w:t>
            </w:r>
          </w:p>
        </w:tc>
        <w:tc>
          <w:tcPr>
            <w:tcW w:w="1207" w:type="dxa"/>
            <w:noWrap/>
            <w:hideMark/>
          </w:tcPr>
          <w:p w14:paraId="09815E60" w14:textId="77777777" w:rsidR="006E24DB" w:rsidRPr="006E24DB" w:rsidRDefault="006E24DB" w:rsidP="006E24DB">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8.2%</w:t>
            </w:r>
          </w:p>
        </w:tc>
        <w:tc>
          <w:tcPr>
            <w:tcW w:w="1247" w:type="dxa"/>
            <w:noWrap/>
            <w:hideMark/>
          </w:tcPr>
          <w:p w14:paraId="430E40FF" w14:textId="77777777" w:rsidR="006E24DB" w:rsidRPr="006E24DB" w:rsidRDefault="006E24DB" w:rsidP="006E24DB">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87.4%</w:t>
            </w:r>
          </w:p>
        </w:tc>
      </w:tr>
      <w:tr w:rsidR="006E24DB" w:rsidRPr="006E24DB" w14:paraId="07956A65" w14:textId="77777777" w:rsidTr="003C3F8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739" w:type="dxa"/>
            <w:noWrap/>
            <w:hideMark/>
          </w:tcPr>
          <w:p w14:paraId="7CC406C1" w14:textId="77777777" w:rsidR="006E24DB" w:rsidRPr="006E24DB" w:rsidRDefault="006E24DB" w:rsidP="006E24DB">
            <w:pPr>
              <w:spacing w:line="240" w:lineRule="auto"/>
              <w:rPr>
                <w:rFonts w:eastAsia="Times New Roman" w:cs="Arial"/>
                <w:color w:val="000000"/>
                <w:sz w:val="20"/>
                <w:szCs w:val="20"/>
              </w:rPr>
            </w:pPr>
            <w:r w:rsidRPr="006E24DB">
              <w:rPr>
                <w:rFonts w:eastAsia="Times New Roman" w:cs="Arial"/>
                <w:color w:val="000000"/>
                <w:sz w:val="20"/>
                <w:szCs w:val="20"/>
              </w:rPr>
              <w:t>I always unplug it.</w:t>
            </w:r>
          </w:p>
        </w:tc>
        <w:tc>
          <w:tcPr>
            <w:tcW w:w="1207" w:type="dxa"/>
            <w:noWrap/>
            <w:hideMark/>
          </w:tcPr>
          <w:p w14:paraId="074425EF" w14:textId="77777777" w:rsidR="006E24DB" w:rsidRPr="006E24DB" w:rsidRDefault="006E24DB" w:rsidP="006E24DB">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87</w:t>
            </w:r>
          </w:p>
        </w:tc>
        <w:tc>
          <w:tcPr>
            <w:tcW w:w="1207" w:type="dxa"/>
            <w:noWrap/>
            <w:hideMark/>
          </w:tcPr>
          <w:p w14:paraId="5C6FF333" w14:textId="77777777" w:rsidR="006E24DB" w:rsidRPr="006E24DB" w:rsidRDefault="006E24DB" w:rsidP="006E24DB">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12.6%</w:t>
            </w:r>
          </w:p>
        </w:tc>
        <w:tc>
          <w:tcPr>
            <w:tcW w:w="1247" w:type="dxa"/>
            <w:noWrap/>
            <w:hideMark/>
          </w:tcPr>
          <w:p w14:paraId="4DD1E044" w14:textId="77777777" w:rsidR="006E24DB" w:rsidRPr="006E24DB" w:rsidRDefault="006E24DB" w:rsidP="006E24DB">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rPr>
            </w:pPr>
            <w:r w:rsidRPr="006E24DB">
              <w:rPr>
                <w:rFonts w:eastAsia="Times New Roman" w:cs="Arial"/>
                <w:color w:val="000000"/>
                <w:sz w:val="20"/>
                <w:szCs w:val="20"/>
              </w:rPr>
              <w:t>100.0%</w:t>
            </w:r>
          </w:p>
        </w:tc>
      </w:tr>
      <w:tr w:rsidR="006E24DB" w:rsidRPr="006E24DB" w14:paraId="41A0E59E" w14:textId="77777777" w:rsidTr="003C3F8E">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739" w:type="dxa"/>
            <w:noWrap/>
            <w:hideMark/>
          </w:tcPr>
          <w:p w14:paraId="0A1F686E" w14:textId="716A2919" w:rsidR="006E24DB" w:rsidRPr="006E24DB" w:rsidRDefault="002432F5" w:rsidP="006E24DB">
            <w:pPr>
              <w:spacing w:line="240" w:lineRule="auto"/>
              <w:rPr>
                <w:rFonts w:eastAsia="Times New Roman" w:cs="Arial"/>
                <w:b/>
                <w:color w:val="000000"/>
                <w:sz w:val="20"/>
                <w:szCs w:val="20"/>
              </w:rPr>
            </w:pPr>
            <w:r w:rsidRPr="002432F5">
              <w:rPr>
                <w:rFonts w:eastAsia="Times New Roman" w:cs="Arial"/>
                <w:b/>
                <w:color w:val="000000"/>
                <w:sz w:val="20"/>
                <w:szCs w:val="20"/>
              </w:rPr>
              <w:t>TOTAL</w:t>
            </w:r>
          </w:p>
        </w:tc>
        <w:tc>
          <w:tcPr>
            <w:tcW w:w="1207" w:type="dxa"/>
            <w:noWrap/>
            <w:hideMark/>
          </w:tcPr>
          <w:p w14:paraId="71F5FF3A" w14:textId="77777777" w:rsidR="006E24DB" w:rsidRPr="006E24DB" w:rsidRDefault="006E24DB" w:rsidP="006E24DB">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Arial"/>
                <w:b/>
                <w:color w:val="000000"/>
                <w:sz w:val="20"/>
                <w:szCs w:val="20"/>
              </w:rPr>
            </w:pPr>
            <w:r w:rsidRPr="006E24DB">
              <w:rPr>
                <w:rFonts w:eastAsia="Times New Roman" w:cs="Arial"/>
                <w:b/>
                <w:color w:val="000000"/>
                <w:sz w:val="20"/>
                <w:szCs w:val="20"/>
              </w:rPr>
              <w:t>693</w:t>
            </w:r>
          </w:p>
        </w:tc>
        <w:tc>
          <w:tcPr>
            <w:tcW w:w="1207" w:type="dxa"/>
            <w:noWrap/>
            <w:hideMark/>
          </w:tcPr>
          <w:p w14:paraId="054D47EA" w14:textId="77777777" w:rsidR="006E24DB" w:rsidRPr="006E24DB" w:rsidRDefault="006E24DB" w:rsidP="006E24DB">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Arial"/>
                <w:b/>
                <w:color w:val="000000"/>
                <w:sz w:val="20"/>
                <w:szCs w:val="20"/>
              </w:rPr>
            </w:pPr>
            <w:r w:rsidRPr="006E24DB">
              <w:rPr>
                <w:rFonts w:eastAsia="Times New Roman" w:cs="Arial"/>
                <w:b/>
                <w:color w:val="000000"/>
                <w:sz w:val="20"/>
                <w:szCs w:val="20"/>
              </w:rPr>
              <w:t>100.0%</w:t>
            </w:r>
          </w:p>
        </w:tc>
        <w:tc>
          <w:tcPr>
            <w:tcW w:w="1247" w:type="dxa"/>
            <w:noWrap/>
            <w:hideMark/>
          </w:tcPr>
          <w:p w14:paraId="00CC8898" w14:textId="77777777" w:rsidR="006E24DB" w:rsidRPr="006E24DB" w:rsidRDefault="006E24DB" w:rsidP="006E24DB">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Arial"/>
                <w:color w:val="000000"/>
                <w:sz w:val="20"/>
                <w:szCs w:val="20"/>
              </w:rPr>
            </w:pPr>
          </w:p>
        </w:tc>
      </w:tr>
    </w:tbl>
    <w:p w14:paraId="4FE22A6B" w14:textId="77777777" w:rsidR="00BF08E8" w:rsidRDefault="00BF08E8" w:rsidP="00BF08E8">
      <w:pPr>
        <w:pStyle w:val="FootnoteText"/>
        <w:rPr>
          <w:sz w:val="22"/>
        </w:rPr>
      </w:pPr>
    </w:p>
    <w:p w14:paraId="15C8E8C7" w14:textId="45F59421" w:rsidR="00BF08E8" w:rsidRPr="00BF08E8" w:rsidRDefault="003C3F8E" w:rsidP="00BF08E8">
      <w:r>
        <w:t xml:space="preserve">To compute an average value for the number of annual hours that respondents </w:t>
      </w:r>
      <w:r w:rsidRPr="00BF08E8">
        <w:t>unplug</w:t>
      </w:r>
      <w:r>
        <w:t xml:space="preserve"> their units, we assumed </w:t>
      </w:r>
      <w:r w:rsidR="00BF08E8">
        <w:t xml:space="preserve">the </w:t>
      </w:r>
      <w:r w:rsidR="00BF08E8" w:rsidRPr="00BF08E8">
        <w:t>following percentages related to their answer of how often they unplugged their air cleaners: “I leave it plugged in all the time” (0%</w:t>
      </w:r>
      <w:r w:rsidR="00BF08E8">
        <w:t xml:space="preserve"> of the time</w:t>
      </w:r>
      <w:r w:rsidR="00BF08E8" w:rsidRPr="00BF08E8">
        <w:t>), “I leave it plugged in most of the time” (25%</w:t>
      </w:r>
      <w:r w:rsidR="00BF08E8">
        <w:t xml:space="preserve"> of the time</w:t>
      </w:r>
      <w:r w:rsidR="00BF08E8" w:rsidRPr="00BF08E8">
        <w:t>), “I sometimes unplug it and sometimes leave it plugged in” (50%</w:t>
      </w:r>
      <w:r w:rsidR="003F4F25">
        <w:t xml:space="preserve"> of</w:t>
      </w:r>
      <w:r w:rsidR="00BF08E8">
        <w:t xml:space="preserve"> the time</w:t>
      </w:r>
      <w:r w:rsidR="00BF08E8" w:rsidRPr="00BF08E8">
        <w:t>), “I unplug it most of the time” (75%</w:t>
      </w:r>
      <w:r w:rsidR="00BF08E8">
        <w:t xml:space="preserve"> of the time</w:t>
      </w:r>
      <w:r w:rsidR="00BF08E8" w:rsidRPr="00BF08E8">
        <w:t>), and “I always unplug it” (100%</w:t>
      </w:r>
      <w:r w:rsidR="00BF08E8">
        <w:t xml:space="preserve"> of the time</w:t>
      </w:r>
      <w:r w:rsidR="00BF08E8" w:rsidRPr="00BF08E8">
        <w:t>).</w:t>
      </w:r>
      <w:r w:rsidR="00BF08E8">
        <w:t xml:space="preserve"> Then for each respondent, we multiplied this percentage by the number of annual hours they are </w:t>
      </w:r>
      <w:r w:rsidR="00BF08E8" w:rsidRPr="00BF08E8">
        <w:rPr>
          <w:i/>
        </w:rPr>
        <w:t>not</w:t>
      </w:r>
      <w:r w:rsidR="00BF08E8">
        <w:t xml:space="preserve"> operating their unit. The resulting mean value</w:t>
      </w:r>
      <w:r w:rsidR="003F4F25">
        <w:t xml:space="preserve"> for all respondents</w:t>
      </w:r>
      <w:r w:rsidR="00BF08E8">
        <w:t xml:space="preserve"> was 1,332 hours, which reflects the average number of annual hours that air cleaner units were </w:t>
      </w:r>
      <w:r w:rsidR="00BF08E8" w:rsidRPr="003F4F25">
        <w:rPr>
          <w:i/>
        </w:rPr>
        <w:t>unplugged</w:t>
      </w:r>
      <w:r w:rsidR="00BF08E8">
        <w:t>.</w:t>
      </w:r>
    </w:p>
    <w:p w14:paraId="778F0CB0" w14:textId="77777777" w:rsidR="00CC417D" w:rsidRPr="00B71D3E" w:rsidRDefault="00CC417D" w:rsidP="00F43A7D">
      <w:pPr>
        <w:pStyle w:val="ESMemoHeading3"/>
        <w:outlineLvl w:val="0"/>
      </w:pPr>
      <w:r>
        <w:t>Seasonal Usage of Air Cleaners</w:t>
      </w:r>
    </w:p>
    <w:p w14:paraId="45E6AF2D" w14:textId="1415309A" w:rsidR="00CC417D" w:rsidRDefault="003C53F6" w:rsidP="00CC417D">
      <w:r w:rsidRPr="001A5C36">
        <w:rPr>
          <w:b/>
        </w:rPr>
        <w:fldChar w:fldCharType="begin"/>
      </w:r>
      <w:r w:rsidRPr="001A5C36">
        <w:rPr>
          <w:b/>
        </w:rPr>
        <w:instrText xml:space="preserve"> REF _Ref467591852 \h </w:instrText>
      </w:r>
      <w:r w:rsidR="001A5C36" w:rsidRPr="001A5C36">
        <w:rPr>
          <w:b/>
        </w:rPr>
        <w:instrText xml:space="preserve"> \* MERGEFORMAT </w:instrText>
      </w:r>
      <w:r w:rsidRPr="001A5C36">
        <w:rPr>
          <w:b/>
        </w:rPr>
      </w:r>
      <w:r w:rsidRPr="001A5C36">
        <w:rPr>
          <w:b/>
        </w:rPr>
        <w:fldChar w:fldCharType="separate"/>
      </w:r>
      <w:r w:rsidR="00BF6769" w:rsidRPr="00BF6769">
        <w:rPr>
          <w:b/>
        </w:rPr>
        <w:t xml:space="preserve">Table </w:t>
      </w:r>
      <w:r w:rsidR="00BF6769" w:rsidRPr="00BF6769">
        <w:rPr>
          <w:b/>
          <w:noProof/>
        </w:rPr>
        <w:t>8</w:t>
      </w:r>
      <w:r w:rsidRPr="001A5C36">
        <w:rPr>
          <w:b/>
        </w:rPr>
        <w:fldChar w:fldCharType="end"/>
      </w:r>
      <w:r>
        <w:t xml:space="preserve"> </w:t>
      </w:r>
      <w:r w:rsidR="00CC417D">
        <w:t>shows the reported seasonal air cleaner usage.</w:t>
      </w:r>
      <w:r w:rsidR="003C48EC">
        <w:rPr>
          <w:rStyle w:val="FootnoteReference"/>
        </w:rPr>
        <w:footnoteReference w:id="11"/>
      </w:r>
      <w:r w:rsidR="00CC417D">
        <w:t xml:space="preserve"> The</w:t>
      </w:r>
      <w:r w:rsidR="00CC417D" w:rsidRPr="00CC4987">
        <w:t xml:space="preserve"> majority of respondents </w:t>
      </w:r>
      <w:r w:rsidR="00E04366" w:rsidRPr="00CC4987">
        <w:t>(</w:t>
      </w:r>
      <w:r w:rsidR="00E04366" w:rsidRPr="00E00B7D">
        <w:rPr>
          <w:i/>
        </w:rPr>
        <w:t>n</w:t>
      </w:r>
      <w:r w:rsidR="00E04366" w:rsidRPr="00CC4987">
        <w:t xml:space="preserve"> = 469, 67.7%) </w:t>
      </w:r>
      <w:r w:rsidR="00CC417D">
        <w:t>indicate</w:t>
      </w:r>
      <w:r w:rsidR="00CC417D" w:rsidRPr="00CC4987">
        <w:t xml:space="preserve">d that they use their air cleaners year-round. </w:t>
      </w:r>
      <w:r w:rsidR="00CC417D">
        <w:t xml:space="preserve">This value is </w:t>
      </w:r>
      <w:r w:rsidR="00335267">
        <w:t>close</w:t>
      </w:r>
      <w:r w:rsidR="00CC417D">
        <w:t xml:space="preserve"> to the value of 71.0% reported in the AHAM study.</w:t>
      </w:r>
      <w:r w:rsidR="003C48EC">
        <w:t xml:space="preserve"> </w:t>
      </w:r>
    </w:p>
    <w:p w14:paraId="3DDB3946" w14:textId="26FCC353" w:rsidR="00CC417D" w:rsidRDefault="00CC417D" w:rsidP="00F43A7D">
      <w:pPr>
        <w:pStyle w:val="Caption"/>
        <w:spacing w:before="120"/>
        <w:outlineLvl w:val="0"/>
      </w:pPr>
      <w:bookmarkStart w:id="14" w:name="_Ref467591852"/>
      <w:bookmarkStart w:id="15" w:name="_Ref467591844"/>
      <w:r>
        <w:t xml:space="preserve">Table </w:t>
      </w:r>
      <w:r w:rsidR="002271A4">
        <w:fldChar w:fldCharType="begin"/>
      </w:r>
      <w:r w:rsidR="002271A4">
        <w:instrText xml:space="preserve"> SEQ Table \* ARABIC </w:instrText>
      </w:r>
      <w:r w:rsidR="002271A4">
        <w:fldChar w:fldCharType="separate"/>
      </w:r>
      <w:r w:rsidR="00BF6769">
        <w:rPr>
          <w:noProof/>
        </w:rPr>
        <w:t>8</w:t>
      </w:r>
      <w:r w:rsidR="002271A4">
        <w:rPr>
          <w:noProof/>
        </w:rPr>
        <w:fldChar w:fldCharType="end"/>
      </w:r>
      <w:bookmarkEnd w:id="14"/>
      <w:r>
        <w:t>. Comparison to AHAM Reported Seasonal Air Cleaner Usage</w:t>
      </w:r>
      <w:bookmarkEnd w:id="15"/>
    </w:p>
    <w:tbl>
      <w:tblPr>
        <w:tblStyle w:val="EMITable"/>
        <w:tblW w:w="0" w:type="auto"/>
        <w:jc w:val="center"/>
        <w:tblLook w:val="04A0" w:firstRow="1" w:lastRow="0" w:firstColumn="1" w:lastColumn="0" w:noHBand="0" w:noVBand="1"/>
      </w:tblPr>
      <w:tblGrid>
        <w:gridCol w:w="1738"/>
        <w:gridCol w:w="1311"/>
        <w:gridCol w:w="1064"/>
        <w:gridCol w:w="1120"/>
      </w:tblGrid>
      <w:tr w:rsidR="00CC417D" w:rsidRPr="00372489" w14:paraId="2AC10A42" w14:textId="77777777" w:rsidTr="003C48EC">
        <w:trPr>
          <w:cnfStyle w:val="100000000000" w:firstRow="1" w:lastRow="0" w:firstColumn="0" w:lastColumn="0" w:oddVBand="0" w:evenVBand="0" w:oddHBand="0" w:evenHBand="0" w:firstRowFirstColumn="0" w:firstRowLastColumn="0" w:lastRowFirstColumn="0" w:lastRowLastColumn="0"/>
          <w:trHeight w:val="79"/>
          <w:jc w:val="center"/>
        </w:trPr>
        <w:tc>
          <w:tcPr>
            <w:cnfStyle w:val="001000000100" w:firstRow="0" w:lastRow="0" w:firstColumn="1" w:lastColumn="0" w:oddVBand="0" w:evenVBand="0" w:oddHBand="0" w:evenHBand="0" w:firstRowFirstColumn="1" w:firstRowLastColumn="0" w:lastRowFirstColumn="0" w:lastRowLastColumn="0"/>
            <w:tcW w:w="0" w:type="auto"/>
          </w:tcPr>
          <w:p w14:paraId="1E3109CC" w14:textId="77777777" w:rsidR="00CC417D" w:rsidRPr="00DA482E" w:rsidRDefault="00CC417D" w:rsidP="004E0451">
            <w:pPr>
              <w:rPr>
                <w:sz w:val="20"/>
                <w:szCs w:val="20"/>
              </w:rPr>
            </w:pPr>
          </w:p>
        </w:tc>
        <w:tc>
          <w:tcPr>
            <w:tcW w:w="0" w:type="auto"/>
          </w:tcPr>
          <w:p w14:paraId="5A51A901" w14:textId="77777777" w:rsidR="00CC417D" w:rsidRPr="00DA482E" w:rsidRDefault="00CC417D" w:rsidP="004E0451">
            <w:pPr>
              <w:cnfStyle w:val="100000000000" w:firstRow="1" w:lastRow="0" w:firstColumn="0" w:lastColumn="0" w:oddVBand="0" w:evenVBand="0" w:oddHBand="0" w:evenHBand="0" w:firstRowFirstColumn="0" w:firstRowLastColumn="0" w:lastRowFirstColumn="0" w:lastRowLastColumn="0"/>
              <w:rPr>
                <w:sz w:val="20"/>
                <w:szCs w:val="20"/>
              </w:rPr>
            </w:pPr>
            <w:r w:rsidRPr="00DA482E">
              <w:rPr>
                <w:sz w:val="20"/>
                <w:szCs w:val="20"/>
              </w:rPr>
              <w:t>AHAM Data</w:t>
            </w:r>
          </w:p>
        </w:tc>
        <w:tc>
          <w:tcPr>
            <w:tcW w:w="2184" w:type="dxa"/>
            <w:gridSpan w:val="2"/>
          </w:tcPr>
          <w:p w14:paraId="09CD79A9" w14:textId="77777777" w:rsidR="00CC417D" w:rsidRPr="00DA482E" w:rsidRDefault="00CC417D" w:rsidP="004E0451">
            <w:pPr>
              <w:cnfStyle w:val="100000000000" w:firstRow="1" w:lastRow="0" w:firstColumn="0" w:lastColumn="0" w:oddVBand="0" w:evenVBand="0" w:oddHBand="0" w:evenHBand="0" w:firstRowFirstColumn="0" w:firstRowLastColumn="0" w:lastRowFirstColumn="0" w:lastRowLastColumn="0"/>
              <w:rPr>
                <w:sz w:val="20"/>
                <w:szCs w:val="20"/>
              </w:rPr>
            </w:pPr>
            <w:r w:rsidRPr="00DA482E">
              <w:rPr>
                <w:sz w:val="20"/>
                <w:szCs w:val="20"/>
              </w:rPr>
              <w:t>Current Study Data</w:t>
            </w:r>
          </w:p>
        </w:tc>
      </w:tr>
      <w:tr w:rsidR="00CC417D" w:rsidRPr="00372489" w14:paraId="48411491" w14:textId="77777777" w:rsidTr="003C48EC">
        <w:trPr>
          <w:cnfStyle w:val="000000100000" w:firstRow="0" w:lastRow="0" w:firstColumn="0" w:lastColumn="0" w:oddVBand="0" w:evenVBand="0" w:oddHBand="1" w:evenHBand="0" w:firstRowFirstColumn="0" w:firstRowLastColumn="0" w:lastRowFirstColumn="0" w:lastRowLastColumn="0"/>
          <w:trHeight w:val="79"/>
          <w:jc w:val="center"/>
        </w:trPr>
        <w:tc>
          <w:tcPr>
            <w:cnfStyle w:val="001000000000" w:firstRow="0" w:lastRow="0" w:firstColumn="1" w:lastColumn="0" w:oddVBand="0" w:evenVBand="0" w:oddHBand="0" w:evenHBand="0" w:firstRowFirstColumn="0" w:firstRowLastColumn="0" w:lastRowFirstColumn="0" w:lastRowLastColumn="0"/>
            <w:tcW w:w="0" w:type="auto"/>
          </w:tcPr>
          <w:p w14:paraId="4AB352DA" w14:textId="77777777" w:rsidR="00CC417D" w:rsidRPr="00DA482E" w:rsidRDefault="00CC417D" w:rsidP="004E0451">
            <w:pPr>
              <w:rPr>
                <w:sz w:val="20"/>
                <w:szCs w:val="20"/>
              </w:rPr>
            </w:pPr>
            <w:r w:rsidRPr="00DA482E">
              <w:rPr>
                <w:sz w:val="20"/>
                <w:szCs w:val="20"/>
              </w:rPr>
              <w:t>Seasonal Usage</w:t>
            </w:r>
          </w:p>
        </w:tc>
        <w:tc>
          <w:tcPr>
            <w:tcW w:w="0" w:type="auto"/>
          </w:tcPr>
          <w:p w14:paraId="5C7E5CF8" w14:textId="77777777" w:rsidR="00CC417D" w:rsidRPr="00DA482E" w:rsidRDefault="00CC417D" w:rsidP="004E0451">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482E">
              <w:rPr>
                <w:sz w:val="20"/>
                <w:szCs w:val="20"/>
              </w:rPr>
              <w:t>Percent</w:t>
            </w:r>
          </w:p>
        </w:tc>
        <w:tc>
          <w:tcPr>
            <w:tcW w:w="1064" w:type="dxa"/>
          </w:tcPr>
          <w:p w14:paraId="76C185E2" w14:textId="77777777" w:rsidR="00CC417D" w:rsidRPr="00DA482E" w:rsidRDefault="00CC417D" w:rsidP="004E0451">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w:t>
            </w:r>
          </w:p>
        </w:tc>
        <w:tc>
          <w:tcPr>
            <w:tcW w:w="1120" w:type="dxa"/>
          </w:tcPr>
          <w:p w14:paraId="793A2F9A" w14:textId="77777777" w:rsidR="00CC417D" w:rsidRPr="00DA482E" w:rsidRDefault="00CC417D" w:rsidP="004E0451">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482E">
              <w:rPr>
                <w:sz w:val="20"/>
                <w:szCs w:val="20"/>
              </w:rPr>
              <w:t>Percent</w:t>
            </w:r>
          </w:p>
        </w:tc>
      </w:tr>
      <w:tr w:rsidR="00CC417D" w:rsidRPr="00372489" w14:paraId="3FD121C2" w14:textId="77777777" w:rsidTr="003C48EC">
        <w:trPr>
          <w:cnfStyle w:val="000000010000" w:firstRow="0" w:lastRow="0" w:firstColumn="0" w:lastColumn="0" w:oddVBand="0" w:evenVBand="0" w:oddHBand="0" w:evenHBand="1" w:firstRowFirstColumn="0" w:firstRowLastColumn="0" w:lastRowFirstColumn="0" w:lastRowLastColumn="0"/>
          <w:trHeight w:val="79"/>
          <w:jc w:val="center"/>
        </w:trPr>
        <w:tc>
          <w:tcPr>
            <w:cnfStyle w:val="001000000000" w:firstRow="0" w:lastRow="0" w:firstColumn="1" w:lastColumn="0" w:oddVBand="0" w:evenVBand="0" w:oddHBand="0" w:evenHBand="0" w:firstRowFirstColumn="0" w:firstRowLastColumn="0" w:lastRowFirstColumn="0" w:lastRowLastColumn="0"/>
            <w:tcW w:w="0" w:type="auto"/>
          </w:tcPr>
          <w:p w14:paraId="03BECEA1" w14:textId="77777777" w:rsidR="00CC417D" w:rsidRPr="00DA482E" w:rsidRDefault="00CC417D" w:rsidP="004E0451">
            <w:pPr>
              <w:rPr>
                <w:sz w:val="20"/>
                <w:szCs w:val="20"/>
              </w:rPr>
            </w:pPr>
            <w:r w:rsidRPr="00DA482E">
              <w:rPr>
                <w:sz w:val="20"/>
                <w:szCs w:val="20"/>
              </w:rPr>
              <w:t>Year-Round</w:t>
            </w:r>
          </w:p>
        </w:tc>
        <w:tc>
          <w:tcPr>
            <w:tcW w:w="0" w:type="auto"/>
          </w:tcPr>
          <w:p w14:paraId="4A09A2B2" w14:textId="77777777" w:rsidR="00CC417D" w:rsidRPr="00DA482E" w:rsidRDefault="00CC417D" w:rsidP="004E0451">
            <w:pPr>
              <w:jc w:val="center"/>
              <w:cnfStyle w:val="000000010000" w:firstRow="0" w:lastRow="0" w:firstColumn="0" w:lastColumn="0" w:oddVBand="0" w:evenVBand="0" w:oddHBand="0" w:evenHBand="1" w:firstRowFirstColumn="0" w:firstRowLastColumn="0" w:lastRowFirstColumn="0" w:lastRowLastColumn="0"/>
              <w:rPr>
                <w:sz w:val="20"/>
                <w:szCs w:val="20"/>
              </w:rPr>
            </w:pPr>
            <w:r w:rsidRPr="00DA482E">
              <w:rPr>
                <w:sz w:val="20"/>
                <w:szCs w:val="20"/>
              </w:rPr>
              <w:t>71.0%</w:t>
            </w:r>
          </w:p>
        </w:tc>
        <w:tc>
          <w:tcPr>
            <w:tcW w:w="1064" w:type="dxa"/>
          </w:tcPr>
          <w:p w14:paraId="6EB366F2" w14:textId="77777777" w:rsidR="00CC417D" w:rsidRPr="00DA482E" w:rsidRDefault="00CC417D" w:rsidP="004E0451">
            <w:pPr>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469</w:t>
            </w:r>
          </w:p>
        </w:tc>
        <w:tc>
          <w:tcPr>
            <w:tcW w:w="1120" w:type="dxa"/>
          </w:tcPr>
          <w:p w14:paraId="73813B69" w14:textId="77777777" w:rsidR="00CC417D" w:rsidRPr="00DA482E" w:rsidRDefault="00CC417D" w:rsidP="004E0451">
            <w:pPr>
              <w:jc w:val="center"/>
              <w:cnfStyle w:val="000000010000" w:firstRow="0" w:lastRow="0" w:firstColumn="0" w:lastColumn="0" w:oddVBand="0" w:evenVBand="0" w:oddHBand="0" w:evenHBand="1" w:firstRowFirstColumn="0" w:firstRowLastColumn="0" w:lastRowFirstColumn="0" w:lastRowLastColumn="0"/>
              <w:rPr>
                <w:sz w:val="20"/>
                <w:szCs w:val="20"/>
              </w:rPr>
            </w:pPr>
            <w:r w:rsidRPr="00DA482E">
              <w:rPr>
                <w:sz w:val="20"/>
                <w:szCs w:val="20"/>
              </w:rPr>
              <w:t>67.7%</w:t>
            </w:r>
          </w:p>
        </w:tc>
      </w:tr>
      <w:tr w:rsidR="00CC417D" w:rsidRPr="00372489" w14:paraId="70D3D5BE" w14:textId="77777777" w:rsidTr="003C48EC">
        <w:trPr>
          <w:cnfStyle w:val="000000100000" w:firstRow="0" w:lastRow="0" w:firstColumn="0" w:lastColumn="0" w:oddVBand="0" w:evenVBand="0" w:oddHBand="1" w:evenHBand="0" w:firstRowFirstColumn="0" w:firstRowLastColumn="0" w:lastRowFirstColumn="0" w:lastRowLastColumn="0"/>
          <w:trHeight w:val="74"/>
          <w:jc w:val="center"/>
        </w:trPr>
        <w:tc>
          <w:tcPr>
            <w:cnfStyle w:val="001000000000" w:firstRow="0" w:lastRow="0" w:firstColumn="1" w:lastColumn="0" w:oddVBand="0" w:evenVBand="0" w:oddHBand="0" w:evenHBand="0" w:firstRowFirstColumn="0" w:firstRowLastColumn="0" w:lastRowFirstColumn="0" w:lastRowLastColumn="0"/>
            <w:tcW w:w="0" w:type="auto"/>
          </w:tcPr>
          <w:p w14:paraId="5508D7A2" w14:textId="2657C577" w:rsidR="00CC417D" w:rsidRPr="00DA482E" w:rsidRDefault="001F4DDD" w:rsidP="004E0451">
            <w:pPr>
              <w:rPr>
                <w:sz w:val="20"/>
                <w:szCs w:val="20"/>
              </w:rPr>
            </w:pPr>
            <w:r>
              <w:rPr>
                <w:sz w:val="20"/>
                <w:szCs w:val="20"/>
              </w:rPr>
              <w:t xml:space="preserve">Seasonal Use </w:t>
            </w:r>
            <w:r w:rsidR="00CC417D" w:rsidRPr="00DA482E">
              <w:rPr>
                <w:sz w:val="20"/>
                <w:szCs w:val="20"/>
              </w:rPr>
              <w:t>Only</w:t>
            </w:r>
          </w:p>
        </w:tc>
        <w:tc>
          <w:tcPr>
            <w:tcW w:w="0" w:type="auto"/>
          </w:tcPr>
          <w:p w14:paraId="4F45389E" w14:textId="77777777" w:rsidR="00CC417D" w:rsidRPr="00DA482E" w:rsidRDefault="00CC417D" w:rsidP="004E0451">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482E">
              <w:rPr>
                <w:sz w:val="20"/>
                <w:szCs w:val="20"/>
              </w:rPr>
              <w:t>29.0%</w:t>
            </w:r>
          </w:p>
        </w:tc>
        <w:tc>
          <w:tcPr>
            <w:tcW w:w="1064" w:type="dxa"/>
          </w:tcPr>
          <w:p w14:paraId="2D99EC47" w14:textId="77777777" w:rsidR="00CC417D" w:rsidRPr="00DA482E" w:rsidRDefault="00CC417D" w:rsidP="004E0451">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224</w:t>
            </w:r>
          </w:p>
        </w:tc>
        <w:tc>
          <w:tcPr>
            <w:tcW w:w="1120" w:type="dxa"/>
          </w:tcPr>
          <w:p w14:paraId="050A2255" w14:textId="77777777" w:rsidR="00CC417D" w:rsidRPr="00DA482E" w:rsidRDefault="00CC417D" w:rsidP="004E0451">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482E">
              <w:rPr>
                <w:sz w:val="20"/>
                <w:szCs w:val="20"/>
              </w:rPr>
              <w:t>32.3%</w:t>
            </w:r>
          </w:p>
        </w:tc>
      </w:tr>
      <w:tr w:rsidR="00CC417D" w:rsidRPr="00372489" w14:paraId="02339070" w14:textId="77777777" w:rsidTr="003C48EC">
        <w:trPr>
          <w:cnfStyle w:val="000000010000" w:firstRow="0" w:lastRow="0" w:firstColumn="0" w:lastColumn="0" w:oddVBand="0" w:evenVBand="0" w:oddHBand="0" w:evenHBand="1" w:firstRowFirstColumn="0" w:firstRowLastColumn="0" w:lastRowFirstColumn="0" w:lastRowLastColumn="0"/>
          <w:trHeight w:val="79"/>
          <w:jc w:val="center"/>
        </w:trPr>
        <w:tc>
          <w:tcPr>
            <w:cnfStyle w:val="001000000000" w:firstRow="0" w:lastRow="0" w:firstColumn="1" w:lastColumn="0" w:oddVBand="0" w:evenVBand="0" w:oddHBand="0" w:evenHBand="0" w:firstRowFirstColumn="0" w:firstRowLastColumn="0" w:lastRowFirstColumn="0" w:lastRowLastColumn="0"/>
            <w:tcW w:w="0" w:type="auto"/>
          </w:tcPr>
          <w:p w14:paraId="09BBC314" w14:textId="77777777" w:rsidR="00CC417D" w:rsidRPr="00DA482E" w:rsidRDefault="00CC417D" w:rsidP="004E0451">
            <w:pPr>
              <w:rPr>
                <w:b/>
                <w:sz w:val="20"/>
                <w:szCs w:val="20"/>
              </w:rPr>
            </w:pPr>
            <w:r w:rsidRPr="00DA482E">
              <w:rPr>
                <w:b/>
                <w:sz w:val="20"/>
                <w:szCs w:val="20"/>
              </w:rPr>
              <w:t>TOTAL</w:t>
            </w:r>
          </w:p>
        </w:tc>
        <w:tc>
          <w:tcPr>
            <w:tcW w:w="0" w:type="auto"/>
          </w:tcPr>
          <w:p w14:paraId="03377CDC" w14:textId="77777777" w:rsidR="00CC417D" w:rsidRPr="00DA482E" w:rsidRDefault="00CC417D" w:rsidP="004E0451">
            <w:pPr>
              <w:jc w:val="center"/>
              <w:cnfStyle w:val="000000010000" w:firstRow="0" w:lastRow="0" w:firstColumn="0" w:lastColumn="0" w:oddVBand="0" w:evenVBand="0" w:oddHBand="0" w:evenHBand="1" w:firstRowFirstColumn="0" w:firstRowLastColumn="0" w:lastRowFirstColumn="0" w:lastRowLastColumn="0"/>
              <w:rPr>
                <w:b/>
                <w:sz w:val="20"/>
                <w:szCs w:val="20"/>
              </w:rPr>
            </w:pPr>
            <w:r w:rsidRPr="00DA482E">
              <w:rPr>
                <w:b/>
                <w:sz w:val="20"/>
                <w:szCs w:val="20"/>
              </w:rPr>
              <w:t>100.0%</w:t>
            </w:r>
          </w:p>
        </w:tc>
        <w:tc>
          <w:tcPr>
            <w:tcW w:w="1064" w:type="dxa"/>
          </w:tcPr>
          <w:p w14:paraId="02BDA5F2" w14:textId="77777777" w:rsidR="00CC417D" w:rsidRPr="00DA482E" w:rsidRDefault="00CC417D" w:rsidP="004E0451">
            <w:pPr>
              <w:jc w:val="center"/>
              <w:cnfStyle w:val="000000010000" w:firstRow="0" w:lastRow="0" w:firstColumn="0" w:lastColumn="0" w:oddVBand="0" w:evenVBand="0" w:oddHBand="0" w:evenHBand="1" w:firstRowFirstColumn="0" w:firstRowLastColumn="0" w:lastRowFirstColumn="0" w:lastRowLastColumn="0"/>
              <w:rPr>
                <w:b/>
                <w:sz w:val="20"/>
                <w:szCs w:val="20"/>
              </w:rPr>
            </w:pPr>
            <w:r>
              <w:rPr>
                <w:b/>
                <w:sz w:val="20"/>
                <w:szCs w:val="20"/>
              </w:rPr>
              <w:t>693</w:t>
            </w:r>
          </w:p>
        </w:tc>
        <w:tc>
          <w:tcPr>
            <w:tcW w:w="1120" w:type="dxa"/>
          </w:tcPr>
          <w:p w14:paraId="4093D3DD" w14:textId="77777777" w:rsidR="00CC417D" w:rsidRPr="00DA482E" w:rsidRDefault="00CC417D" w:rsidP="004E0451">
            <w:pPr>
              <w:jc w:val="center"/>
              <w:cnfStyle w:val="000000010000" w:firstRow="0" w:lastRow="0" w:firstColumn="0" w:lastColumn="0" w:oddVBand="0" w:evenVBand="0" w:oddHBand="0" w:evenHBand="1" w:firstRowFirstColumn="0" w:firstRowLastColumn="0" w:lastRowFirstColumn="0" w:lastRowLastColumn="0"/>
              <w:rPr>
                <w:b/>
                <w:sz w:val="20"/>
                <w:szCs w:val="20"/>
              </w:rPr>
            </w:pPr>
            <w:r w:rsidRPr="00DA482E">
              <w:rPr>
                <w:b/>
                <w:sz w:val="20"/>
                <w:szCs w:val="20"/>
              </w:rPr>
              <w:t>100.0%</w:t>
            </w:r>
          </w:p>
        </w:tc>
      </w:tr>
    </w:tbl>
    <w:p w14:paraId="0F38CBA4" w14:textId="77777777" w:rsidR="00CC417D" w:rsidRDefault="00CC417D" w:rsidP="00CC417D"/>
    <w:p w14:paraId="10E919D7" w14:textId="77F3C7D3" w:rsidR="00CC417D" w:rsidRDefault="00E04366" w:rsidP="00CC417D">
      <w:r w:rsidRPr="001A5C36">
        <w:rPr>
          <w:b/>
        </w:rPr>
        <w:fldChar w:fldCharType="begin"/>
      </w:r>
      <w:r w:rsidRPr="001A5C36">
        <w:rPr>
          <w:b/>
        </w:rPr>
        <w:instrText xml:space="preserve"> REF _Ref468259323 \h </w:instrText>
      </w:r>
      <w:r w:rsidR="001A5C36">
        <w:rPr>
          <w:b/>
        </w:rPr>
        <w:instrText xml:space="preserve"> \* MERGEFORMAT </w:instrText>
      </w:r>
      <w:r w:rsidRPr="001A5C36">
        <w:rPr>
          <w:b/>
        </w:rPr>
      </w:r>
      <w:r w:rsidRPr="001A5C36">
        <w:rPr>
          <w:b/>
        </w:rPr>
        <w:fldChar w:fldCharType="separate"/>
      </w:r>
      <w:r w:rsidR="00BF6769" w:rsidRPr="00BF6769">
        <w:rPr>
          <w:b/>
        </w:rPr>
        <w:t xml:space="preserve">Figure </w:t>
      </w:r>
      <w:r w:rsidR="00BF6769" w:rsidRPr="00BF6769">
        <w:rPr>
          <w:b/>
          <w:noProof/>
        </w:rPr>
        <w:t>2</w:t>
      </w:r>
      <w:r w:rsidRPr="001A5C36">
        <w:rPr>
          <w:b/>
        </w:rPr>
        <w:fldChar w:fldCharType="end"/>
      </w:r>
      <w:r w:rsidR="001A5C36">
        <w:t xml:space="preserve"> </w:t>
      </w:r>
      <w:r w:rsidR="00CC417D">
        <w:t>shows that t</w:t>
      </w:r>
      <w:r w:rsidR="00CC417D" w:rsidRPr="00CC4987">
        <w:t>he most frequently reported months of use were June (</w:t>
      </w:r>
      <w:r w:rsidR="00CC417D" w:rsidRPr="00E00B7D">
        <w:rPr>
          <w:i/>
        </w:rPr>
        <w:t>n</w:t>
      </w:r>
      <w:r w:rsidR="00CC417D" w:rsidRPr="00CC4987">
        <w:t xml:space="preserve"> =</w:t>
      </w:r>
      <w:r w:rsidR="00CC417D">
        <w:t xml:space="preserve"> </w:t>
      </w:r>
      <w:r w:rsidR="00CC417D" w:rsidRPr="00CC4987">
        <w:t>561, 81.0%), August (</w:t>
      </w:r>
      <w:r w:rsidR="00CC417D" w:rsidRPr="00E00B7D">
        <w:rPr>
          <w:i/>
        </w:rPr>
        <w:t>n</w:t>
      </w:r>
      <w:r w:rsidR="00CC417D" w:rsidRPr="00CC4987">
        <w:t xml:space="preserve"> = 557, 80.4%), May (</w:t>
      </w:r>
      <w:r w:rsidR="00CC417D" w:rsidRPr="00E00B7D">
        <w:rPr>
          <w:i/>
        </w:rPr>
        <w:t>n</w:t>
      </w:r>
      <w:r w:rsidR="00CC417D" w:rsidRPr="00CC4987">
        <w:t xml:space="preserve"> = 556, 80.2%), and July (</w:t>
      </w:r>
      <w:r w:rsidR="00CC417D" w:rsidRPr="00E00B7D">
        <w:rPr>
          <w:i/>
        </w:rPr>
        <w:t>n</w:t>
      </w:r>
      <w:r w:rsidR="007D4848">
        <w:t xml:space="preserve"> = 555, 80.1%).</w:t>
      </w:r>
      <w:r w:rsidR="001A54F5">
        <w:t xml:space="preserve"> However, these differences were not statistically significant.</w:t>
      </w:r>
      <w:r w:rsidR="007D4848">
        <w:rPr>
          <w:rStyle w:val="FootnoteReference"/>
        </w:rPr>
        <w:footnoteReference w:id="12"/>
      </w:r>
    </w:p>
    <w:p w14:paraId="59910D9E" w14:textId="77777777" w:rsidR="00CC417D" w:rsidRPr="002819DB" w:rsidRDefault="00CC417D" w:rsidP="00CC417D">
      <w:pPr>
        <w:rPr>
          <w:rFonts w:ascii="Proxima Nova" w:hAnsi="Proxima Nova"/>
          <w:b/>
          <w:color w:val="191919" w:themeColor="text1"/>
          <w:sz w:val="20"/>
          <w:szCs w:val="20"/>
        </w:rPr>
      </w:pPr>
    </w:p>
    <w:p w14:paraId="2CC44F4D" w14:textId="5BF240C8" w:rsidR="00CC417D" w:rsidRDefault="00CC417D" w:rsidP="00F43A7D">
      <w:pPr>
        <w:pStyle w:val="Caption"/>
        <w:spacing w:before="0" w:after="0"/>
        <w:outlineLvl w:val="0"/>
      </w:pPr>
      <w:bookmarkStart w:id="16" w:name="_Ref468259323"/>
      <w:r>
        <w:lastRenderedPageBreak/>
        <w:t xml:space="preserve">Figure </w:t>
      </w:r>
      <w:r w:rsidR="002271A4">
        <w:fldChar w:fldCharType="begin"/>
      </w:r>
      <w:r w:rsidR="002271A4">
        <w:instrText xml:space="preserve"> SEQ Figure \* ARABIC </w:instrText>
      </w:r>
      <w:r w:rsidR="002271A4">
        <w:fldChar w:fldCharType="separate"/>
      </w:r>
      <w:r w:rsidR="00BF6769">
        <w:rPr>
          <w:noProof/>
        </w:rPr>
        <w:t>2</w:t>
      </w:r>
      <w:r w:rsidR="002271A4">
        <w:rPr>
          <w:noProof/>
        </w:rPr>
        <w:fldChar w:fldCharType="end"/>
      </w:r>
      <w:bookmarkEnd w:id="16"/>
      <w:r>
        <w:t>. Air Cleaner Monthly Use Patterns (All Respondents)</w:t>
      </w:r>
    </w:p>
    <w:p w14:paraId="0222FBD7" w14:textId="77777777" w:rsidR="00CC417D" w:rsidRDefault="00CC417D" w:rsidP="00CC417D">
      <w:pPr>
        <w:contextualSpacing/>
        <w:rPr>
          <w:rFonts w:ascii="Proxima Nova" w:hAnsi="Proxima Nova"/>
          <w:color w:val="191919" w:themeColor="text1"/>
          <w:szCs w:val="22"/>
        </w:rPr>
      </w:pPr>
      <w:r>
        <w:rPr>
          <w:noProof/>
        </w:rPr>
        <w:drawing>
          <wp:inline distT="0" distB="0" distL="0" distR="0" wp14:anchorId="3208CF9A" wp14:editId="17111E04">
            <wp:extent cx="4660900" cy="2997200"/>
            <wp:effectExtent l="0" t="0" r="1270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60900" cy="2997200"/>
                    </a:xfrm>
                    <a:prstGeom prst="rect">
                      <a:avLst/>
                    </a:prstGeom>
                  </pic:spPr>
                </pic:pic>
              </a:graphicData>
            </a:graphic>
          </wp:inline>
        </w:drawing>
      </w:r>
    </w:p>
    <w:p w14:paraId="132429CB" w14:textId="77777777" w:rsidR="00CC417D" w:rsidRDefault="00CC417D" w:rsidP="00CC417D">
      <w:pPr>
        <w:contextualSpacing/>
        <w:rPr>
          <w:rFonts w:ascii="Proxima Nova" w:hAnsi="Proxima Nova"/>
          <w:color w:val="191919" w:themeColor="text1"/>
          <w:szCs w:val="22"/>
        </w:rPr>
      </w:pPr>
    </w:p>
    <w:p w14:paraId="6BE69047" w14:textId="4709C8C0" w:rsidR="00BF6769" w:rsidRPr="00EB2EDB" w:rsidRDefault="00EB2EDB" w:rsidP="008E6E32">
      <w:r>
        <w:fldChar w:fldCharType="begin"/>
      </w:r>
      <w:r>
        <w:instrText xml:space="preserve"> REF _Ref470697442 \h </w:instrText>
      </w:r>
      <w:r>
        <w:fldChar w:fldCharType="separate"/>
      </w:r>
      <w:r>
        <w:t xml:space="preserve">Table </w:t>
      </w:r>
      <w:r>
        <w:rPr>
          <w:noProof/>
        </w:rPr>
        <w:t>9</w:t>
      </w:r>
      <w:r>
        <w:fldChar w:fldCharType="end"/>
      </w:r>
      <w:r>
        <w:t xml:space="preserve"> shows the percentage of respondents who reported running their air cleaner at each operating mode. We use these results to estimate the frequency at which the “low”, “medium”, and “high” fan speeds are used. It is reasonable to assume that respond if “auto” or “don’t know” likely have air cleaners that run on “medium” speed. We attribute the “auto” and “don’t know” responses to “medium” and estimate the following weighting factors for typical operating speeds: 30% on “low”, 50% on “medium”, and 20% on “high”.</w:t>
      </w:r>
      <w:r w:rsidR="00E04366" w:rsidRPr="001A5C36">
        <w:rPr>
          <w:rFonts w:ascii="Proxima Nova" w:hAnsi="Proxima Nova"/>
          <w:b/>
          <w:color w:val="191919" w:themeColor="text1"/>
          <w:szCs w:val="22"/>
        </w:rPr>
        <w:fldChar w:fldCharType="begin"/>
      </w:r>
      <w:r w:rsidR="00E04366" w:rsidRPr="001A5C36">
        <w:rPr>
          <w:rFonts w:ascii="Proxima Nova" w:hAnsi="Proxima Nova"/>
          <w:b/>
          <w:color w:val="191919" w:themeColor="text1"/>
          <w:szCs w:val="22"/>
        </w:rPr>
        <w:instrText xml:space="preserve"> REF _Ref468259345 \h </w:instrText>
      </w:r>
      <w:r w:rsidR="001D29BD" w:rsidRPr="001A5C36">
        <w:rPr>
          <w:rFonts w:ascii="Proxima Nova" w:hAnsi="Proxima Nova"/>
          <w:b/>
          <w:color w:val="191919" w:themeColor="text1"/>
          <w:szCs w:val="22"/>
        </w:rPr>
        <w:instrText xml:space="preserve"> \* MERGEFORMAT </w:instrText>
      </w:r>
      <w:r w:rsidR="00E04366" w:rsidRPr="001A5C36">
        <w:rPr>
          <w:rFonts w:ascii="Proxima Nova" w:hAnsi="Proxima Nova"/>
          <w:b/>
          <w:color w:val="191919" w:themeColor="text1"/>
          <w:szCs w:val="22"/>
        </w:rPr>
      </w:r>
      <w:r w:rsidR="00E04366" w:rsidRPr="001A5C36">
        <w:rPr>
          <w:rFonts w:ascii="Proxima Nova" w:hAnsi="Proxima Nova"/>
          <w:b/>
          <w:color w:val="191919" w:themeColor="text1"/>
          <w:szCs w:val="22"/>
        </w:rPr>
        <w:fldChar w:fldCharType="separate"/>
      </w:r>
    </w:p>
    <w:p w14:paraId="0739E324" w14:textId="3216FD6C" w:rsidR="00BF6769" w:rsidRPr="004F6FCE" w:rsidRDefault="00BF6769" w:rsidP="008E6E32">
      <w:pPr>
        <w:contextualSpacing/>
      </w:pPr>
    </w:p>
    <w:p w14:paraId="0B00555C" w14:textId="022415B1" w:rsidR="00013832" w:rsidRPr="00BF6769" w:rsidRDefault="00BF6769" w:rsidP="008E6E32">
      <w:pPr>
        <w:contextualSpacing/>
        <w:rPr>
          <w:rFonts w:ascii="Proxima Nova" w:hAnsi="Proxima Nova"/>
          <w:color w:val="191919" w:themeColor="text1"/>
          <w:szCs w:val="22"/>
        </w:rPr>
      </w:pPr>
      <w:r>
        <w:t xml:space="preserve">Table </w:t>
      </w:r>
      <w:r>
        <w:rPr>
          <w:noProof/>
        </w:rPr>
        <w:t>9</w:t>
      </w:r>
      <w:r w:rsidR="00E04366" w:rsidRPr="001A5C36">
        <w:rPr>
          <w:rFonts w:ascii="Proxima Nova" w:hAnsi="Proxima Nova"/>
          <w:b/>
          <w:color w:val="191919" w:themeColor="text1"/>
          <w:szCs w:val="22"/>
        </w:rPr>
        <w:fldChar w:fldCharType="end"/>
      </w:r>
      <w:r w:rsidR="001A5C36">
        <w:rPr>
          <w:rFonts w:ascii="Proxima Nova" w:hAnsi="Proxima Nova"/>
          <w:color w:val="191919" w:themeColor="text1"/>
          <w:szCs w:val="22"/>
        </w:rPr>
        <w:t xml:space="preserve"> </w:t>
      </w:r>
      <w:r w:rsidR="00CC417D" w:rsidRPr="001D29BD">
        <w:rPr>
          <w:rFonts w:ascii="Proxima Nova" w:hAnsi="Proxima Nova"/>
          <w:color w:val="191919" w:themeColor="text1"/>
          <w:szCs w:val="22"/>
        </w:rPr>
        <w:t xml:space="preserve">shows there are no </w:t>
      </w:r>
      <w:r w:rsidR="001D29BD">
        <w:rPr>
          <w:rFonts w:ascii="Proxima Nova" w:hAnsi="Proxima Nova"/>
          <w:color w:val="191919" w:themeColor="text1"/>
          <w:szCs w:val="22"/>
        </w:rPr>
        <w:t>statistically significant</w:t>
      </w:r>
      <w:r w:rsidR="001D29BD" w:rsidRPr="001D29BD">
        <w:rPr>
          <w:rFonts w:ascii="Proxima Nova" w:hAnsi="Proxima Nova"/>
          <w:color w:val="191919" w:themeColor="text1"/>
          <w:szCs w:val="22"/>
        </w:rPr>
        <w:t xml:space="preserve"> </w:t>
      </w:r>
      <w:r w:rsidR="00CC417D" w:rsidRPr="001D29BD">
        <w:rPr>
          <w:rFonts w:ascii="Proxima Nova" w:hAnsi="Proxima Nova"/>
          <w:color w:val="191919" w:themeColor="text1"/>
          <w:szCs w:val="22"/>
        </w:rPr>
        <w:t>differences</w:t>
      </w:r>
      <w:r w:rsidR="001F4DDD" w:rsidRPr="001D29BD">
        <w:rPr>
          <w:rFonts w:ascii="Proxima Nova" w:hAnsi="Proxima Nova"/>
          <w:color w:val="191919" w:themeColor="text1"/>
          <w:szCs w:val="22"/>
        </w:rPr>
        <w:t xml:space="preserve"> </w:t>
      </w:r>
      <w:r w:rsidR="00CC417D" w:rsidRPr="001D29BD">
        <w:rPr>
          <w:rFonts w:ascii="Proxima Nova" w:hAnsi="Proxima Nova"/>
          <w:color w:val="191919" w:themeColor="text1"/>
          <w:szCs w:val="22"/>
        </w:rPr>
        <w:t>in choice of operating mode between respondents who reported using their air cleaner year-round and those who only used it during certain months or seasons.</w:t>
      </w:r>
      <w:r w:rsidR="001F4DDD">
        <w:rPr>
          <w:rStyle w:val="FootnoteReference"/>
          <w:rFonts w:ascii="Proxima Nova" w:hAnsi="Proxima Nova"/>
          <w:color w:val="191919" w:themeColor="text1"/>
          <w:szCs w:val="22"/>
        </w:rPr>
        <w:footnoteReference w:id="13"/>
      </w:r>
      <w:bookmarkStart w:id="17" w:name="_Ref468259345"/>
    </w:p>
    <w:p w14:paraId="34CE7BAC" w14:textId="0B6E2996" w:rsidR="00CC417D" w:rsidRDefault="00CC417D" w:rsidP="00F43A7D">
      <w:pPr>
        <w:pStyle w:val="Caption"/>
        <w:outlineLvl w:val="0"/>
        <w:rPr>
          <w:rFonts w:ascii="Proxima Nova" w:hAnsi="Proxima Nova"/>
          <w:color w:val="191919" w:themeColor="text1"/>
          <w:szCs w:val="22"/>
        </w:rPr>
      </w:pPr>
      <w:bookmarkStart w:id="18" w:name="_Ref470697442"/>
      <w:r>
        <w:t xml:space="preserve">Table </w:t>
      </w:r>
      <w:r w:rsidR="002271A4">
        <w:fldChar w:fldCharType="begin"/>
      </w:r>
      <w:r w:rsidR="002271A4">
        <w:instrText xml:space="preserve"> SEQ Table \* ARABIC </w:instrText>
      </w:r>
      <w:r w:rsidR="002271A4">
        <w:fldChar w:fldCharType="separate"/>
      </w:r>
      <w:r w:rsidR="00BF6769">
        <w:rPr>
          <w:noProof/>
        </w:rPr>
        <w:t>9</w:t>
      </w:r>
      <w:r w:rsidR="002271A4">
        <w:rPr>
          <w:noProof/>
        </w:rPr>
        <w:fldChar w:fldCharType="end"/>
      </w:r>
      <w:bookmarkEnd w:id="17"/>
      <w:bookmarkEnd w:id="18"/>
      <w:r>
        <w:t>. Typical Operating Mode by Use (Seasonal vs. Year-Round)</w:t>
      </w:r>
    </w:p>
    <w:tbl>
      <w:tblPr>
        <w:tblStyle w:val="EMITable"/>
        <w:tblW w:w="9275" w:type="dxa"/>
        <w:tblLayout w:type="fixed"/>
        <w:tblLook w:val="04A0" w:firstRow="1" w:lastRow="0" w:firstColumn="1" w:lastColumn="0" w:noHBand="0" w:noVBand="1"/>
      </w:tblPr>
      <w:tblGrid>
        <w:gridCol w:w="1300"/>
        <w:gridCol w:w="1993"/>
        <w:gridCol w:w="1981"/>
        <w:gridCol w:w="2007"/>
        <w:gridCol w:w="1994"/>
      </w:tblGrid>
      <w:tr w:rsidR="00CC417D" w:rsidRPr="00311E1D" w14:paraId="4B75A33E" w14:textId="77777777" w:rsidTr="000F78AB">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300" w:type="dxa"/>
            <w:vMerge w:val="restart"/>
            <w:noWrap/>
            <w:hideMark/>
          </w:tcPr>
          <w:p w14:paraId="706B3A0B" w14:textId="77777777" w:rsidR="00CC417D" w:rsidRPr="00DA482E" w:rsidRDefault="00CC417D" w:rsidP="00E60C41">
            <w:pPr>
              <w:spacing w:line="240" w:lineRule="auto"/>
              <w:rPr>
                <w:rFonts w:cs="Times New Roman"/>
                <w:sz w:val="20"/>
                <w:szCs w:val="20"/>
              </w:rPr>
            </w:pPr>
            <w:r>
              <w:rPr>
                <w:rFonts w:cs="Times New Roman"/>
                <w:sz w:val="20"/>
                <w:szCs w:val="20"/>
              </w:rPr>
              <w:t>Typical Operating Mode</w:t>
            </w:r>
          </w:p>
        </w:tc>
        <w:tc>
          <w:tcPr>
            <w:tcW w:w="7975" w:type="dxa"/>
            <w:gridSpan w:val="4"/>
            <w:noWrap/>
            <w:hideMark/>
          </w:tcPr>
          <w:p w14:paraId="5C9E998D" w14:textId="77777777" w:rsidR="00CC417D" w:rsidRPr="00DA482E" w:rsidRDefault="00CC417D" w:rsidP="00E60C41">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Seasonal Use</w:t>
            </w:r>
          </w:p>
        </w:tc>
      </w:tr>
      <w:tr w:rsidR="00CC417D" w:rsidRPr="00311E1D" w14:paraId="331F9A2C" w14:textId="77777777" w:rsidTr="000F78AB">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300" w:type="dxa"/>
            <w:vMerge/>
            <w:hideMark/>
          </w:tcPr>
          <w:p w14:paraId="7B046660" w14:textId="77777777" w:rsidR="00CC417D" w:rsidRPr="00DA482E" w:rsidRDefault="00CC417D" w:rsidP="00E60C41">
            <w:pPr>
              <w:spacing w:line="240" w:lineRule="auto"/>
              <w:rPr>
                <w:rFonts w:cs="Times New Roman"/>
                <w:sz w:val="20"/>
                <w:szCs w:val="20"/>
              </w:rPr>
            </w:pPr>
          </w:p>
        </w:tc>
        <w:tc>
          <w:tcPr>
            <w:tcW w:w="3974" w:type="dxa"/>
            <w:gridSpan w:val="2"/>
            <w:noWrap/>
            <w:hideMark/>
          </w:tcPr>
          <w:p w14:paraId="72D85D71" w14:textId="77777777" w:rsidR="00CC417D" w:rsidRPr="00DA482E" w:rsidRDefault="00CC417D" w:rsidP="00E60C41">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sz w:val="20"/>
                <w:szCs w:val="20"/>
              </w:rPr>
            </w:pPr>
            <w:r w:rsidRPr="00DA482E">
              <w:rPr>
                <w:rFonts w:eastAsia="Times New Roman" w:cs="Times New Roman"/>
                <w:i/>
                <w:color w:val="000000"/>
                <w:sz w:val="20"/>
                <w:szCs w:val="20"/>
              </w:rPr>
              <w:t>Seasonal Only</w:t>
            </w:r>
          </w:p>
        </w:tc>
        <w:tc>
          <w:tcPr>
            <w:tcW w:w="4001" w:type="dxa"/>
            <w:gridSpan w:val="2"/>
            <w:noWrap/>
            <w:hideMark/>
          </w:tcPr>
          <w:p w14:paraId="7185BFE5" w14:textId="7F53BB0E" w:rsidR="00CC417D" w:rsidRPr="00DA482E" w:rsidRDefault="00CC417D" w:rsidP="00E60C41">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sz w:val="20"/>
                <w:szCs w:val="20"/>
              </w:rPr>
            </w:pPr>
            <w:r w:rsidRPr="00DA482E">
              <w:rPr>
                <w:rFonts w:eastAsia="Times New Roman" w:cs="Times New Roman"/>
                <w:i/>
                <w:color w:val="000000"/>
                <w:sz w:val="20"/>
                <w:szCs w:val="20"/>
              </w:rPr>
              <w:t>Year</w:t>
            </w:r>
            <w:r w:rsidR="00E04366">
              <w:rPr>
                <w:rFonts w:eastAsia="Times New Roman" w:cs="Times New Roman"/>
                <w:i/>
                <w:color w:val="000000"/>
                <w:sz w:val="20"/>
                <w:szCs w:val="20"/>
              </w:rPr>
              <w:t>-</w:t>
            </w:r>
            <w:r w:rsidRPr="00DA482E">
              <w:rPr>
                <w:rFonts w:eastAsia="Times New Roman" w:cs="Times New Roman"/>
                <w:i/>
                <w:color w:val="000000"/>
                <w:sz w:val="20"/>
                <w:szCs w:val="20"/>
              </w:rPr>
              <w:t>Round</w:t>
            </w:r>
          </w:p>
        </w:tc>
      </w:tr>
      <w:tr w:rsidR="00CC417D" w:rsidRPr="00311E1D" w14:paraId="230402B3" w14:textId="77777777" w:rsidTr="000F78AB">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300" w:type="dxa"/>
            <w:vMerge/>
            <w:hideMark/>
          </w:tcPr>
          <w:p w14:paraId="5E6A45B3" w14:textId="77777777" w:rsidR="00CC417D" w:rsidRPr="00DA482E" w:rsidRDefault="00CC417D" w:rsidP="00E60C41">
            <w:pPr>
              <w:spacing w:line="240" w:lineRule="auto"/>
              <w:rPr>
                <w:rFonts w:cs="Times New Roman"/>
                <w:sz w:val="20"/>
                <w:szCs w:val="20"/>
              </w:rPr>
            </w:pPr>
          </w:p>
        </w:tc>
        <w:tc>
          <w:tcPr>
            <w:tcW w:w="1993" w:type="dxa"/>
            <w:noWrap/>
            <w:hideMark/>
          </w:tcPr>
          <w:p w14:paraId="2E00DB51" w14:textId="77777777" w:rsidR="00CC417D" w:rsidRPr="00DA482E" w:rsidRDefault="00CC417D"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Count</w:t>
            </w:r>
          </w:p>
        </w:tc>
        <w:tc>
          <w:tcPr>
            <w:tcW w:w="1981" w:type="dxa"/>
            <w:noWrap/>
            <w:hideMark/>
          </w:tcPr>
          <w:p w14:paraId="71EA6C7E" w14:textId="6A6FB3A9" w:rsidR="00CC417D" w:rsidRPr="00DA482E" w:rsidRDefault="004F0E0F"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Column n</w:t>
            </w:r>
            <w:r w:rsidR="00CC417D" w:rsidRPr="00DA482E">
              <w:rPr>
                <w:rFonts w:eastAsia="Times New Roman" w:cs="Times New Roman"/>
                <w:color w:val="000000"/>
                <w:sz w:val="20"/>
                <w:szCs w:val="20"/>
              </w:rPr>
              <w:t xml:space="preserve"> %</w:t>
            </w:r>
          </w:p>
        </w:tc>
        <w:tc>
          <w:tcPr>
            <w:tcW w:w="2007" w:type="dxa"/>
            <w:noWrap/>
            <w:hideMark/>
          </w:tcPr>
          <w:p w14:paraId="49511535" w14:textId="77777777" w:rsidR="00CC417D" w:rsidRPr="00DA482E" w:rsidRDefault="00CC417D"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Count</w:t>
            </w:r>
          </w:p>
        </w:tc>
        <w:tc>
          <w:tcPr>
            <w:tcW w:w="1994" w:type="dxa"/>
            <w:noWrap/>
            <w:hideMark/>
          </w:tcPr>
          <w:p w14:paraId="46A780C6" w14:textId="50E15919" w:rsidR="00CC417D" w:rsidRPr="00DA482E" w:rsidRDefault="004F0E0F"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Column n</w:t>
            </w:r>
            <w:r w:rsidR="00CC417D" w:rsidRPr="00DA482E">
              <w:rPr>
                <w:rFonts w:eastAsia="Times New Roman" w:cs="Times New Roman"/>
                <w:color w:val="000000"/>
                <w:sz w:val="20"/>
                <w:szCs w:val="20"/>
              </w:rPr>
              <w:t xml:space="preserve"> %</w:t>
            </w:r>
          </w:p>
        </w:tc>
      </w:tr>
      <w:tr w:rsidR="00CC417D" w:rsidRPr="00311E1D" w14:paraId="20EDE227" w14:textId="77777777" w:rsidTr="000F78AB">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300" w:type="dxa"/>
            <w:noWrap/>
            <w:hideMark/>
          </w:tcPr>
          <w:p w14:paraId="6BE84D8A" w14:textId="77777777" w:rsidR="00CC417D" w:rsidRPr="00DA482E" w:rsidRDefault="00CC417D" w:rsidP="00E60C41">
            <w:pPr>
              <w:spacing w:line="240" w:lineRule="auto"/>
              <w:rPr>
                <w:rFonts w:eastAsia="Times New Roman" w:cs="Times New Roman"/>
                <w:color w:val="000000"/>
                <w:sz w:val="20"/>
                <w:szCs w:val="20"/>
              </w:rPr>
            </w:pPr>
            <w:r w:rsidRPr="00DA482E">
              <w:rPr>
                <w:rFonts w:eastAsia="Times New Roman" w:cs="Times New Roman"/>
                <w:color w:val="000000"/>
                <w:sz w:val="20"/>
                <w:szCs w:val="20"/>
              </w:rPr>
              <w:t>Low</w:t>
            </w:r>
          </w:p>
        </w:tc>
        <w:tc>
          <w:tcPr>
            <w:tcW w:w="1993" w:type="dxa"/>
            <w:noWrap/>
            <w:hideMark/>
          </w:tcPr>
          <w:p w14:paraId="49F39008" w14:textId="77777777" w:rsidR="00CC417D" w:rsidRPr="00DA482E" w:rsidRDefault="00CC417D" w:rsidP="00E60C41">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61</w:t>
            </w:r>
          </w:p>
        </w:tc>
        <w:tc>
          <w:tcPr>
            <w:tcW w:w="1981" w:type="dxa"/>
            <w:noWrap/>
            <w:hideMark/>
          </w:tcPr>
          <w:p w14:paraId="1FE96823" w14:textId="77777777" w:rsidR="00CC417D" w:rsidRPr="00DA482E" w:rsidRDefault="00CC417D" w:rsidP="00E60C41">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6F2A76">
              <w:rPr>
                <w:rFonts w:eastAsia="Times New Roman" w:cs="Times New Roman"/>
                <w:color w:val="000000"/>
                <w:sz w:val="20"/>
                <w:szCs w:val="20"/>
              </w:rPr>
              <w:t>27.2</w:t>
            </w:r>
            <w:r w:rsidRPr="00DA482E">
              <w:rPr>
                <w:rFonts w:eastAsia="Times New Roman" w:cs="Times New Roman"/>
                <w:color w:val="000000"/>
                <w:sz w:val="20"/>
                <w:szCs w:val="20"/>
              </w:rPr>
              <w:t>%</w:t>
            </w:r>
          </w:p>
        </w:tc>
        <w:tc>
          <w:tcPr>
            <w:tcW w:w="2007" w:type="dxa"/>
            <w:noWrap/>
            <w:hideMark/>
          </w:tcPr>
          <w:p w14:paraId="584CC966" w14:textId="77777777" w:rsidR="00CC417D" w:rsidRPr="00DA482E" w:rsidRDefault="00CC417D" w:rsidP="00E60C41">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138</w:t>
            </w:r>
          </w:p>
        </w:tc>
        <w:tc>
          <w:tcPr>
            <w:tcW w:w="1994" w:type="dxa"/>
            <w:noWrap/>
            <w:hideMark/>
          </w:tcPr>
          <w:p w14:paraId="14D74139" w14:textId="77777777" w:rsidR="00CC417D" w:rsidRPr="00DA482E" w:rsidRDefault="00CC417D" w:rsidP="00E60C41">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6F2A76">
              <w:rPr>
                <w:rFonts w:eastAsia="Times New Roman" w:cs="Times New Roman"/>
                <w:color w:val="000000"/>
                <w:sz w:val="20"/>
                <w:szCs w:val="20"/>
              </w:rPr>
              <w:t>29.4</w:t>
            </w:r>
            <w:r w:rsidRPr="00DA482E">
              <w:rPr>
                <w:rFonts w:eastAsia="Times New Roman" w:cs="Times New Roman"/>
                <w:color w:val="000000"/>
                <w:sz w:val="20"/>
                <w:szCs w:val="20"/>
              </w:rPr>
              <w:t>%</w:t>
            </w:r>
          </w:p>
        </w:tc>
      </w:tr>
      <w:tr w:rsidR="00CC417D" w:rsidRPr="00311E1D" w14:paraId="2F186E34" w14:textId="77777777" w:rsidTr="000F78AB">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300" w:type="dxa"/>
            <w:noWrap/>
            <w:hideMark/>
          </w:tcPr>
          <w:p w14:paraId="6109BFB8" w14:textId="77777777" w:rsidR="00CC417D" w:rsidRPr="00DA482E" w:rsidRDefault="00CC417D" w:rsidP="00E60C41">
            <w:pPr>
              <w:spacing w:line="240" w:lineRule="auto"/>
              <w:rPr>
                <w:rFonts w:eastAsia="Times New Roman" w:cs="Times New Roman"/>
                <w:color w:val="000000"/>
                <w:sz w:val="20"/>
                <w:szCs w:val="20"/>
              </w:rPr>
            </w:pPr>
            <w:r w:rsidRPr="00DA482E">
              <w:rPr>
                <w:rFonts w:eastAsia="Times New Roman" w:cs="Times New Roman"/>
                <w:color w:val="000000"/>
                <w:sz w:val="20"/>
                <w:szCs w:val="20"/>
              </w:rPr>
              <w:t>Medium</w:t>
            </w:r>
          </w:p>
        </w:tc>
        <w:tc>
          <w:tcPr>
            <w:tcW w:w="1993" w:type="dxa"/>
            <w:noWrap/>
            <w:hideMark/>
          </w:tcPr>
          <w:p w14:paraId="4E0CCF9B" w14:textId="77777777" w:rsidR="00CC417D" w:rsidRPr="00DA482E" w:rsidRDefault="00CC417D"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90</w:t>
            </w:r>
          </w:p>
        </w:tc>
        <w:tc>
          <w:tcPr>
            <w:tcW w:w="1981" w:type="dxa"/>
            <w:noWrap/>
            <w:hideMark/>
          </w:tcPr>
          <w:p w14:paraId="5C855E60" w14:textId="77777777" w:rsidR="00CC417D" w:rsidRPr="00DA482E" w:rsidRDefault="00CC417D"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6F2A76">
              <w:rPr>
                <w:rFonts w:eastAsia="Times New Roman" w:cs="Times New Roman"/>
                <w:color w:val="000000"/>
                <w:sz w:val="20"/>
                <w:szCs w:val="20"/>
              </w:rPr>
              <w:t>40.2</w:t>
            </w:r>
            <w:r w:rsidRPr="00DA482E">
              <w:rPr>
                <w:rFonts w:eastAsia="Times New Roman" w:cs="Times New Roman"/>
                <w:color w:val="000000"/>
                <w:sz w:val="20"/>
                <w:szCs w:val="20"/>
              </w:rPr>
              <w:t>%</w:t>
            </w:r>
          </w:p>
        </w:tc>
        <w:tc>
          <w:tcPr>
            <w:tcW w:w="2007" w:type="dxa"/>
            <w:noWrap/>
            <w:hideMark/>
          </w:tcPr>
          <w:p w14:paraId="03826664" w14:textId="77777777" w:rsidR="00CC417D" w:rsidRPr="00DA482E" w:rsidRDefault="00CC417D"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167</w:t>
            </w:r>
          </w:p>
        </w:tc>
        <w:tc>
          <w:tcPr>
            <w:tcW w:w="1994" w:type="dxa"/>
            <w:noWrap/>
            <w:hideMark/>
          </w:tcPr>
          <w:p w14:paraId="3C9EB1D1" w14:textId="77777777" w:rsidR="00CC417D" w:rsidRPr="00DA482E" w:rsidRDefault="00CC417D"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6F2A76">
              <w:rPr>
                <w:rFonts w:eastAsia="Times New Roman" w:cs="Times New Roman"/>
                <w:color w:val="000000"/>
                <w:sz w:val="20"/>
                <w:szCs w:val="20"/>
              </w:rPr>
              <w:t>35.6</w:t>
            </w:r>
            <w:r w:rsidRPr="00DA482E">
              <w:rPr>
                <w:rFonts w:eastAsia="Times New Roman" w:cs="Times New Roman"/>
                <w:color w:val="000000"/>
                <w:sz w:val="20"/>
                <w:szCs w:val="20"/>
              </w:rPr>
              <w:t>%</w:t>
            </w:r>
          </w:p>
        </w:tc>
      </w:tr>
      <w:tr w:rsidR="00CC417D" w:rsidRPr="00311E1D" w14:paraId="4ABC3D9B" w14:textId="77777777" w:rsidTr="000F78AB">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300" w:type="dxa"/>
            <w:noWrap/>
            <w:hideMark/>
          </w:tcPr>
          <w:p w14:paraId="57487B1C" w14:textId="77777777" w:rsidR="00CC417D" w:rsidRPr="00DA482E" w:rsidRDefault="00CC417D" w:rsidP="00E60C41">
            <w:pPr>
              <w:spacing w:line="240" w:lineRule="auto"/>
              <w:rPr>
                <w:rFonts w:eastAsia="Times New Roman" w:cs="Times New Roman"/>
                <w:color w:val="000000"/>
                <w:sz w:val="20"/>
                <w:szCs w:val="20"/>
              </w:rPr>
            </w:pPr>
            <w:r w:rsidRPr="00DA482E">
              <w:rPr>
                <w:rFonts w:eastAsia="Times New Roman" w:cs="Times New Roman"/>
                <w:color w:val="000000"/>
                <w:sz w:val="20"/>
                <w:szCs w:val="20"/>
              </w:rPr>
              <w:t>High</w:t>
            </w:r>
          </w:p>
        </w:tc>
        <w:tc>
          <w:tcPr>
            <w:tcW w:w="1993" w:type="dxa"/>
            <w:noWrap/>
            <w:hideMark/>
          </w:tcPr>
          <w:p w14:paraId="12A7C02F" w14:textId="77777777" w:rsidR="00CC417D" w:rsidRPr="00DA482E" w:rsidRDefault="00CC417D" w:rsidP="00E60C41">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44</w:t>
            </w:r>
          </w:p>
        </w:tc>
        <w:tc>
          <w:tcPr>
            <w:tcW w:w="1981" w:type="dxa"/>
            <w:noWrap/>
            <w:hideMark/>
          </w:tcPr>
          <w:p w14:paraId="48848AD7" w14:textId="77777777" w:rsidR="00CC417D" w:rsidRPr="00DA482E" w:rsidRDefault="00CC417D" w:rsidP="00E60C41">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6F2A76">
              <w:rPr>
                <w:rFonts w:eastAsia="Times New Roman" w:cs="Times New Roman"/>
                <w:color w:val="000000"/>
                <w:sz w:val="20"/>
                <w:szCs w:val="20"/>
              </w:rPr>
              <w:t>19.6</w:t>
            </w:r>
            <w:r w:rsidRPr="00DA482E">
              <w:rPr>
                <w:rFonts w:eastAsia="Times New Roman" w:cs="Times New Roman"/>
                <w:color w:val="000000"/>
                <w:sz w:val="20"/>
                <w:szCs w:val="20"/>
              </w:rPr>
              <w:t>%</w:t>
            </w:r>
          </w:p>
        </w:tc>
        <w:tc>
          <w:tcPr>
            <w:tcW w:w="2007" w:type="dxa"/>
            <w:noWrap/>
            <w:hideMark/>
          </w:tcPr>
          <w:p w14:paraId="1FCF23B0" w14:textId="77777777" w:rsidR="00CC417D" w:rsidRPr="00DA482E" w:rsidRDefault="00CC417D" w:rsidP="00E60C41">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87</w:t>
            </w:r>
          </w:p>
        </w:tc>
        <w:tc>
          <w:tcPr>
            <w:tcW w:w="1994" w:type="dxa"/>
            <w:noWrap/>
            <w:hideMark/>
          </w:tcPr>
          <w:p w14:paraId="6898D8A6" w14:textId="77777777" w:rsidR="00CC417D" w:rsidRPr="00DA482E" w:rsidRDefault="00CC417D" w:rsidP="00E60C41">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6F2A76">
              <w:rPr>
                <w:rFonts w:eastAsia="Times New Roman" w:cs="Times New Roman"/>
                <w:color w:val="000000"/>
                <w:sz w:val="20"/>
                <w:szCs w:val="20"/>
              </w:rPr>
              <w:t>18.6</w:t>
            </w:r>
            <w:r w:rsidRPr="00DA482E">
              <w:rPr>
                <w:rFonts w:eastAsia="Times New Roman" w:cs="Times New Roman"/>
                <w:color w:val="000000"/>
                <w:sz w:val="20"/>
                <w:szCs w:val="20"/>
              </w:rPr>
              <w:t>%</w:t>
            </w:r>
          </w:p>
        </w:tc>
      </w:tr>
      <w:tr w:rsidR="00CC417D" w:rsidRPr="00311E1D" w14:paraId="67D83F61" w14:textId="77777777" w:rsidTr="000F78AB">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300" w:type="dxa"/>
            <w:noWrap/>
            <w:hideMark/>
          </w:tcPr>
          <w:p w14:paraId="32945354" w14:textId="77777777" w:rsidR="00CC417D" w:rsidRPr="00DA482E" w:rsidRDefault="00CC417D" w:rsidP="00E60C41">
            <w:pPr>
              <w:spacing w:line="240" w:lineRule="auto"/>
              <w:rPr>
                <w:rFonts w:eastAsia="Times New Roman" w:cs="Times New Roman"/>
                <w:color w:val="000000"/>
                <w:sz w:val="20"/>
                <w:szCs w:val="20"/>
              </w:rPr>
            </w:pPr>
            <w:r w:rsidRPr="00DA482E">
              <w:rPr>
                <w:rFonts w:eastAsia="Times New Roman" w:cs="Times New Roman"/>
                <w:color w:val="000000"/>
                <w:sz w:val="20"/>
                <w:szCs w:val="20"/>
              </w:rPr>
              <w:t>Auto</w:t>
            </w:r>
          </w:p>
        </w:tc>
        <w:tc>
          <w:tcPr>
            <w:tcW w:w="1993" w:type="dxa"/>
            <w:noWrap/>
            <w:hideMark/>
          </w:tcPr>
          <w:p w14:paraId="7F4D8631" w14:textId="77777777" w:rsidR="00CC417D" w:rsidRPr="00DA482E" w:rsidRDefault="00CC417D"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21</w:t>
            </w:r>
          </w:p>
        </w:tc>
        <w:tc>
          <w:tcPr>
            <w:tcW w:w="1981" w:type="dxa"/>
            <w:noWrap/>
            <w:hideMark/>
          </w:tcPr>
          <w:p w14:paraId="5C220D58" w14:textId="77777777" w:rsidR="00CC417D" w:rsidRPr="00DA482E" w:rsidRDefault="00CC417D"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6F2A76">
              <w:rPr>
                <w:rFonts w:eastAsia="Times New Roman" w:cs="Times New Roman"/>
                <w:color w:val="000000"/>
                <w:sz w:val="20"/>
                <w:szCs w:val="20"/>
              </w:rPr>
              <w:t>9.4</w:t>
            </w:r>
            <w:r w:rsidRPr="00DA482E">
              <w:rPr>
                <w:rFonts w:eastAsia="Times New Roman" w:cs="Times New Roman"/>
                <w:color w:val="000000"/>
                <w:sz w:val="20"/>
                <w:szCs w:val="20"/>
              </w:rPr>
              <w:t>%</w:t>
            </w:r>
          </w:p>
        </w:tc>
        <w:tc>
          <w:tcPr>
            <w:tcW w:w="2007" w:type="dxa"/>
            <w:noWrap/>
            <w:hideMark/>
          </w:tcPr>
          <w:p w14:paraId="2166D970" w14:textId="77777777" w:rsidR="00CC417D" w:rsidRPr="00DA482E" w:rsidRDefault="00CC417D"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67</w:t>
            </w:r>
          </w:p>
        </w:tc>
        <w:tc>
          <w:tcPr>
            <w:tcW w:w="1994" w:type="dxa"/>
            <w:noWrap/>
            <w:hideMark/>
          </w:tcPr>
          <w:p w14:paraId="01B069D2" w14:textId="77777777" w:rsidR="00CC417D" w:rsidRPr="00DA482E" w:rsidRDefault="00CC417D" w:rsidP="00E60C41">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6F2A76">
              <w:rPr>
                <w:rFonts w:eastAsia="Times New Roman" w:cs="Times New Roman"/>
                <w:color w:val="000000"/>
                <w:sz w:val="20"/>
                <w:szCs w:val="20"/>
              </w:rPr>
              <w:t>14.3</w:t>
            </w:r>
            <w:r w:rsidRPr="00DA482E">
              <w:rPr>
                <w:rFonts w:eastAsia="Times New Roman" w:cs="Times New Roman"/>
                <w:color w:val="000000"/>
                <w:sz w:val="20"/>
                <w:szCs w:val="20"/>
              </w:rPr>
              <w:t>%</w:t>
            </w:r>
          </w:p>
        </w:tc>
      </w:tr>
      <w:tr w:rsidR="00CC417D" w:rsidRPr="00311E1D" w14:paraId="1F7A4DD6" w14:textId="77777777" w:rsidTr="000F78AB">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300" w:type="dxa"/>
            <w:noWrap/>
            <w:hideMark/>
          </w:tcPr>
          <w:p w14:paraId="6E045EE1" w14:textId="77777777" w:rsidR="00CC417D" w:rsidRPr="00DA482E" w:rsidRDefault="00CC417D" w:rsidP="004E0451">
            <w:pPr>
              <w:keepNext w:val="0"/>
              <w:spacing w:line="240" w:lineRule="auto"/>
              <w:rPr>
                <w:rFonts w:eastAsia="Times New Roman" w:cs="Times New Roman"/>
                <w:color w:val="000000"/>
                <w:sz w:val="20"/>
                <w:szCs w:val="20"/>
              </w:rPr>
            </w:pPr>
            <w:r w:rsidRPr="00DA482E">
              <w:rPr>
                <w:rFonts w:eastAsia="Times New Roman" w:cs="Times New Roman"/>
                <w:color w:val="000000"/>
                <w:sz w:val="20"/>
                <w:szCs w:val="20"/>
              </w:rPr>
              <w:t>Don't know</w:t>
            </w:r>
          </w:p>
        </w:tc>
        <w:tc>
          <w:tcPr>
            <w:tcW w:w="1993" w:type="dxa"/>
            <w:noWrap/>
            <w:hideMark/>
          </w:tcPr>
          <w:p w14:paraId="38B8CB22" w14:textId="77777777" w:rsidR="00CC417D" w:rsidRPr="00DA482E" w:rsidRDefault="00CC417D" w:rsidP="004E0451">
            <w:pPr>
              <w:keepNext w:val="0"/>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8</w:t>
            </w:r>
          </w:p>
        </w:tc>
        <w:tc>
          <w:tcPr>
            <w:tcW w:w="1981" w:type="dxa"/>
            <w:noWrap/>
            <w:hideMark/>
          </w:tcPr>
          <w:p w14:paraId="2455B8AF" w14:textId="77777777" w:rsidR="00CC417D" w:rsidRPr="00DA482E" w:rsidRDefault="00CC417D" w:rsidP="004E0451">
            <w:pPr>
              <w:keepNext w:val="0"/>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6F2A76">
              <w:rPr>
                <w:rFonts w:eastAsia="Times New Roman" w:cs="Times New Roman"/>
                <w:color w:val="000000"/>
                <w:sz w:val="20"/>
                <w:szCs w:val="20"/>
              </w:rPr>
              <w:t>3.6</w:t>
            </w:r>
            <w:r w:rsidRPr="00DA482E">
              <w:rPr>
                <w:rFonts w:eastAsia="Times New Roman" w:cs="Times New Roman"/>
                <w:color w:val="000000"/>
                <w:sz w:val="20"/>
                <w:szCs w:val="20"/>
              </w:rPr>
              <w:t>%</w:t>
            </w:r>
          </w:p>
        </w:tc>
        <w:tc>
          <w:tcPr>
            <w:tcW w:w="2007" w:type="dxa"/>
            <w:noWrap/>
            <w:hideMark/>
          </w:tcPr>
          <w:p w14:paraId="079AE98B" w14:textId="77777777" w:rsidR="00CC417D" w:rsidRPr="00DA482E" w:rsidRDefault="00CC417D" w:rsidP="004E0451">
            <w:pPr>
              <w:keepNext w:val="0"/>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DA482E">
              <w:rPr>
                <w:rFonts w:eastAsia="Times New Roman" w:cs="Times New Roman"/>
                <w:color w:val="000000"/>
                <w:sz w:val="20"/>
                <w:szCs w:val="20"/>
              </w:rPr>
              <w:t>10</w:t>
            </w:r>
          </w:p>
        </w:tc>
        <w:tc>
          <w:tcPr>
            <w:tcW w:w="1994" w:type="dxa"/>
            <w:noWrap/>
            <w:hideMark/>
          </w:tcPr>
          <w:p w14:paraId="5CFE3669" w14:textId="77777777" w:rsidR="00CC417D" w:rsidRPr="00DA482E" w:rsidRDefault="00CC417D" w:rsidP="004E0451">
            <w:pPr>
              <w:keepNext w:val="0"/>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6F2A76">
              <w:rPr>
                <w:rFonts w:eastAsia="Times New Roman" w:cs="Times New Roman"/>
                <w:color w:val="000000"/>
                <w:sz w:val="20"/>
                <w:szCs w:val="20"/>
              </w:rPr>
              <w:t>2.1</w:t>
            </w:r>
            <w:r w:rsidRPr="00DA482E">
              <w:rPr>
                <w:rFonts w:eastAsia="Times New Roman" w:cs="Times New Roman"/>
                <w:color w:val="000000"/>
                <w:sz w:val="20"/>
                <w:szCs w:val="20"/>
              </w:rPr>
              <w:t>%</w:t>
            </w:r>
          </w:p>
        </w:tc>
      </w:tr>
    </w:tbl>
    <w:p w14:paraId="256FA2E7" w14:textId="205A3E3C" w:rsidR="00F2136E" w:rsidRPr="00B71D3E" w:rsidRDefault="000D5049" w:rsidP="00B71D3E">
      <w:pPr>
        <w:pStyle w:val="ESMemoHeading3"/>
      </w:pPr>
      <w:r>
        <w:lastRenderedPageBreak/>
        <w:t>Daily Usage of Air Cleaners</w:t>
      </w:r>
    </w:p>
    <w:p w14:paraId="582A8A9E" w14:textId="2091AF70" w:rsidR="00AA6F0B" w:rsidRDefault="001D29BD" w:rsidP="00B71D3E">
      <w:r w:rsidRPr="001A5C36">
        <w:rPr>
          <w:b/>
        </w:rPr>
        <w:fldChar w:fldCharType="begin"/>
      </w:r>
      <w:r w:rsidRPr="001A5C36">
        <w:rPr>
          <w:b/>
        </w:rPr>
        <w:instrText xml:space="preserve"> REF _Ref466638232 \h </w:instrText>
      </w:r>
      <w:r w:rsidR="001A5C36">
        <w:rPr>
          <w:b/>
        </w:rPr>
        <w:instrText xml:space="preserve"> \* MERGEFORMAT </w:instrText>
      </w:r>
      <w:r w:rsidRPr="001A5C36">
        <w:rPr>
          <w:b/>
        </w:rPr>
      </w:r>
      <w:r w:rsidRPr="001A5C36">
        <w:rPr>
          <w:b/>
        </w:rPr>
        <w:fldChar w:fldCharType="separate"/>
      </w:r>
      <w:r w:rsidR="00BF6769" w:rsidRPr="00BF6769">
        <w:rPr>
          <w:b/>
        </w:rPr>
        <w:t xml:space="preserve">Table </w:t>
      </w:r>
      <w:r w:rsidR="00BF6769" w:rsidRPr="00BF6769">
        <w:rPr>
          <w:b/>
          <w:noProof/>
        </w:rPr>
        <w:t>10</w:t>
      </w:r>
      <w:r w:rsidRPr="001A5C36">
        <w:rPr>
          <w:b/>
        </w:rPr>
        <w:fldChar w:fldCharType="end"/>
      </w:r>
      <w:r>
        <w:t xml:space="preserve"> </w:t>
      </w:r>
      <w:r w:rsidR="0032058F">
        <w:t>shows t</w:t>
      </w:r>
      <w:r w:rsidR="00EF4841">
        <w:t>hat t</w:t>
      </w:r>
      <w:r w:rsidR="00D005B2">
        <w:t>he pattern of daily usage of air cleaners (in terms of number of hours) reported by respondents in th</w:t>
      </w:r>
      <w:r w:rsidR="007267A5">
        <w:t>e current study closely mirrors</w:t>
      </w:r>
      <w:r w:rsidR="00D005B2">
        <w:t xml:space="preserve"> the </w:t>
      </w:r>
      <w:r w:rsidR="004B59AF">
        <w:t>pattern of use found in the 2004</w:t>
      </w:r>
      <w:r w:rsidR="00D005B2">
        <w:t xml:space="preserve"> AHAM study.</w:t>
      </w:r>
      <w:r w:rsidR="00E354D5">
        <w:rPr>
          <w:rStyle w:val="FootnoteReference"/>
        </w:rPr>
        <w:footnoteReference w:id="14"/>
      </w:r>
    </w:p>
    <w:p w14:paraId="0176AC09" w14:textId="6D9EE0C3" w:rsidR="009C2C06" w:rsidRDefault="009C2C06" w:rsidP="00F43A7D">
      <w:pPr>
        <w:pStyle w:val="Caption"/>
        <w:spacing w:before="120"/>
        <w:outlineLvl w:val="0"/>
      </w:pPr>
      <w:bookmarkStart w:id="19" w:name="_Ref466638232"/>
      <w:r>
        <w:t xml:space="preserve">Table </w:t>
      </w:r>
      <w:r w:rsidR="002271A4">
        <w:fldChar w:fldCharType="begin"/>
      </w:r>
      <w:r w:rsidR="002271A4">
        <w:instrText xml:space="preserve"> SEQ Table \* ARABIC </w:instrText>
      </w:r>
      <w:r w:rsidR="002271A4">
        <w:fldChar w:fldCharType="separate"/>
      </w:r>
      <w:r w:rsidR="00BF6769">
        <w:rPr>
          <w:noProof/>
        </w:rPr>
        <w:t>10</w:t>
      </w:r>
      <w:r w:rsidR="002271A4">
        <w:rPr>
          <w:noProof/>
        </w:rPr>
        <w:fldChar w:fldCharType="end"/>
      </w:r>
      <w:bookmarkEnd w:id="19"/>
      <w:r>
        <w:t xml:space="preserve">. Estimated Air Cleaner Daily Usage </w:t>
      </w:r>
      <w:r>
        <w:rPr>
          <w:rStyle w:val="FootnoteReference"/>
        </w:rPr>
        <w:footnoteReference w:id="15"/>
      </w:r>
    </w:p>
    <w:tbl>
      <w:tblPr>
        <w:tblStyle w:val="EMITable"/>
        <w:tblW w:w="5000" w:type="pct"/>
        <w:tblLook w:val="04A0" w:firstRow="1" w:lastRow="0" w:firstColumn="1" w:lastColumn="0" w:noHBand="0" w:noVBand="1"/>
      </w:tblPr>
      <w:tblGrid>
        <w:gridCol w:w="1714"/>
        <w:gridCol w:w="906"/>
        <w:gridCol w:w="1739"/>
        <w:gridCol w:w="1739"/>
        <w:gridCol w:w="1739"/>
        <w:gridCol w:w="1739"/>
      </w:tblGrid>
      <w:tr w:rsidR="00360878" w:rsidRPr="00713C75" w14:paraId="071B20D0" w14:textId="77777777" w:rsidTr="000F78AB">
        <w:trPr>
          <w:cnfStyle w:val="100000000000" w:firstRow="1" w:lastRow="0" w:firstColumn="0" w:lastColumn="0" w:oddVBand="0" w:evenVBand="0" w:oddHBand="0" w:evenHBand="0" w:firstRowFirstColumn="0" w:firstRowLastColumn="0" w:lastRowFirstColumn="0" w:lastRowLastColumn="0"/>
          <w:trHeight w:val="340"/>
        </w:trPr>
        <w:tc>
          <w:tcPr>
            <w:cnfStyle w:val="001000000100" w:firstRow="0" w:lastRow="0" w:firstColumn="1" w:lastColumn="0" w:oddVBand="0" w:evenVBand="0" w:oddHBand="0" w:evenHBand="0" w:firstRowFirstColumn="1" w:firstRowLastColumn="0" w:lastRowFirstColumn="0" w:lastRowLastColumn="0"/>
            <w:tcW w:w="1368" w:type="pct"/>
            <w:gridSpan w:val="2"/>
            <w:vMerge w:val="restart"/>
            <w:hideMark/>
          </w:tcPr>
          <w:p w14:paraId="5BF395C8" w14:textId="77777777" w:rsidR="00360878" w:rsidRPr="00713C75" w:rsidRDefault="00360878" w:rsidP="00360878">
            <w:pPr>
              <w:spacing w:line="240" w:lineRule="auto"/>
              <w:rPr>
                <w:rFonts w:eastAsia="Times New Roman" w:cs="Times New Roman"/>
                <w:bCs/>
                <w:color w:val="000000"/>
                <w:sz w:val="20"/>
                <w:szCs w:val="20"/>
              </w:rPr>
            </w:pPr>
            <w:r w:rsidRPr="00713C75">
              <w:rPr>
                <w:rFonts w:eastAsia="Times New Roman" w:cs="Times New Roman"/>
                <w:bCs/>
                <w:color w:val="000000"/>
                <w:sz w:val="20"/>
                <w:szCs w:val="20"/>
              </w:rPr>
              <w:t>AHAM Data</w:t>
            </w:r>
          </w:p>
        </w:tc>
        <w:tc>
          <w:tcPr>
            <w:tcW w:w="3632" w:type="pct"/>
            <w:gridSpan w:val="4"/>
            <w:hideMark/>
          </w:tcPr>
          <w:p w14:paraId="2AC5F37F" w14:textId="77777777" w:rsidR="00360878" w:rsidRPr="00713C75" w:rsidRDefault="00360878" w:rsidP="00360878">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Cs/>
                <w:color w:val="000000"/>
                <w:sz w:val="20"/>
                <w:szCs w:val="20"/>
              </w:rPr>
            </w:pPr>
            <w:r w:rsidRPr="00713C75">
              <w:rPr>
                <w:rFonts w:eastAsia="Times New Roman" w:cs="Times New Roman"/>
                <w:bCs/>
                <w:color w:val="000000"/>
                <w:sz w:val="20"/>
                <w:szCs w:val="20"/>
              </w:rPr>
              <w:t>Current Study Data</w:t>
            </w:r>
          </w:p>
        </w:tc>
      </w:tr>
      <w:tr w:rsidR="00360878" w:rsidRPr="00713C75" w14:paraId="14C1A5A8" w14:textId="77777777" w:rsidTr="000F78A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368" w:type="pct"/>
            <w:gridSpan w:val="2"/>
            <w:vMerge/>
            <w:hideMark/>
          </w:tcPr>
          <w:p w14:paraId="36C67E97" w14:textId="77777777" w:rsidR="00360878" w:rsidRPr="00713C75" w:rsidRDefault="00360878" w:rsidP="00360878">
            <w:pPr>
              <w:spacing w:line="240" w:lineRule="auto"/>
              <w:rPr>
                <w:rFonts w:eastAsia="Times New Roman" w:cs="Times New Roman"/>
                <w:b/>
                <w:bCs/>
                <w:color w:val="000000"/>
                <w:sz w:val="20"/>
                <w:szCs w:val="20"/>
              </w:rPr>
            </w:pPr>
          </w:p>
        </w:tc>
        <w:tc>
          <w:tcPr>
            <w:tcW w:w="1816" w:type="pct"/>
            <w:gridSpan w:val="2"/>
            <w:hideMark/>
          </w:tcPr>
          <w:p w14:paraId="77F33514" w14:textId="77777777" w:rsidR="00360878" w:rsidRPr="00713C75" w:rsidRDefault="00360878" w:rsidP="0036087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20"/>
                <w:szCs w:val="20"/>
              </w:rPr>
            </w:pPr>
            <w:r w:rsidRPr="00713C75">
              <w:rPr>
                <w:rFonts w:eastAsia="Times New Roman" w:cs="Times New Roman"/>
                <w:i/>
                <w:iCs/>
                <w:color w:val="000000"/>
                <w:sz w:val="20"/>
                <w:szCs w:val="20"/>
              </w:rPr>
              <w:t>Weekdays</w:t>
            </w:r>
          </w:p>
        </w:tc>
        <w:tc>
          <w:tcPr>
            <w:tcW w:w="1816" w:type="pct"/>
            <w:gridSpan w:val="2"/>
            <w:hideMark/>
          </w:tcPr>
          <w:p w14:paraId="48483262" w14:textId="77777777" w:rsidR="00360878" w:rsidRPr="00713C75" w:rsidRDefault="00360878" w:rsidP="0036087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sz w:val="20"/>
                <w:szCs w:val="20"/>
              </w:rPr>
            </w:pPr>
            <w:r w:rsidRPr="00713C75">
              <w:rPr>
                <w:rFonts w:eastAsia="Times New Roman" w:cs="Times New Roman"/>
                <w:i/>
                <w:iCs/>
                <w:color w:val="000000"/>
                <w:sz w:val="20"/>
                <w:szCs w:val="20"/>
              </w:rPr>
              <w:t>Weekends</w:t>
            </w:r>
          </w:p>
        </w:tc>
      </w:tr>
      <w:tr w:rsidR="00D23A7F" w:rsidRPr="00713C75" w14:paraId="32753AA4" w14:textId="77777777" w:rsidTr="00713C75">
        <w:trPr>
          <w:cnfStyle w:val="000000010000" w:firstRow="0" w:lastRow="0" w:firstColumn="0" w:lastColumn="0" w:oddVBand="0" w:evenVBand="0" w:oddHBand="0" w:evenHBand="1"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895" w:type="pct"/>
            <w:hideMark/>
          </w:tcPr>
          <w:p w14:paraId="63FCDF84" w14:textId="77777777" w:rsidR="00360878" w:rsidRPr="00713C75" w:rsidRDefault="00360878" w:rsidP="00360878">
            <w:pPr>
              <w:spacing w:line="240" w:lineRule="auto"/>
              <w:rPr>
                <w:rFonts w:eastAsia="Times New Roman" w:cs="Times New Roman"/>
                <w:color w:val="000000"/>
                <w:sz w:val="20"/>
                <w:szCs w:val="20"/>
              </w:rPr>
            </w:pPr>
            <w:r w:rsidRPr="00713C75">
              <w:rPr>
                <w:rFonts w:eastAsia="Times New Roman" w:cs="Times New Roman"/>
                <w:color w:val="000000"/>
                <w:sz w:val="20"/>
                <w:szCs w:val="20"/>
              </w:rPr>
              <w:t>Hours Per Day</w:t>
            </w:r>
          </w:p>
        </w:tc>
        <w:tc>
          <w:tcPr>
            <w:tcW w:w="473" w:type="pct"/>
            <w:hideMark/>
          </w:tcPr>
          <w:p w14:paraId="7717C1B6" w14:textId="77777777" w:rsidR="00360878" w:rsidRPr="00713C75" w:rsidRDefault="00360878" w:rsidP="00360878">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Percent</w:t>
            </w:r>
          </w:p>
        </w:tc>
        <w:tc>
          <w:tcPr>
            <w:tcW w:w="908" w:type="pct"/>
            <w:hideMark/>
          </w:tcPr>
          <w:p w14:paraId="656F5F7F" w14:textId="77777777" w:rsidR="00360878" w:rsidRPr="00E04366" w:rsidRDefault="00360878" w:rsidP="00360878">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i/>
                <w:color w:val="000000"/>
                <w:sz w:val="20"/>
                <w:szCs w:val="20"/>
              </w:rPr>
            </w:pPr>
            <w:r w:rsidRPr="00E04366">
              <w:rPr>
                <w:rFonts w:eastAsia="Times New Roman" w:cs="Times New Roman"/>
                <w:i/>
                <w:color w:val="000000"/>
                <w:sz w:val="20"/>
                <w:szCs w:val="20"/>
              </w:rPr>
              <w:t>n</w:t>
            </w:r>
          </w:p>
        </w:tc>
        <w:tc>
          <w:tcPr>
            <w:tcW w:w="908" w:type="pct"/>
            <w:hideMark/>
          </w:tcPr>
          <w:p w14:paraId="7CAF790E" w14:textId="77777777" w:rsidR="00360878" w:rsidRPr="00713C75" w:rsidRDefault="00360878" w:rsidP="00360878">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Percent</w:t>
            </w:r>
          </w:p>
        </w:tc>
        <w:tc>
          <w:tcPr>
            <w:tcW w:w="908" w:type="pct"/>
            <w:hideMark/>
          </w:tcPr>
          <w:p w14:paraId="72C3F9D4" w14:textId="77777777" w:rsidR="00360878" w:rsidRPr="00E04366" w:rsidRDefault="00360878" w:rsidP="00360878">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i/>
                <w:color w:val="000000"/>
                <w:sz w:val="20"/>
                <w:szCs w:val="20"/>
              </w:rPr>
            </w:pPr>
            <w:r w:rsidRPr="00E04366">
              <w:rPr>
                <w:rFonts w:eastAsia="Times New Roman" w:cs="Times New Roman"/>
                <w:i/>
                <w:color w:val="000000"/>
                <w:sz w:val="20"/>
                <w:szCs w:val="20"/>
              </w:rPr>
              <w:t>n</w:t>
            </w:r>
          </w:p>
        </w:tc>
        <w:tc>
          <w:tcPr>
            <w:tcW w:w="908" w:type="pct"/>
            <w:hideMark/>
          </w:tcPr>
          <w:p w14:paraId="63544202" w14:textId="77777777" w:rsidR="00360878" w:rsidRPr="00713C75" w:rsidRDefault="00360878" w:rsidP="00360878">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Percent</w:t>
            </w:r>
          </w:p>
        </w:tc>
      </w:tr>
      <w:tr w:rsidR="00D23A7F" w:rsidRPr="00713C75" w14:paraId="1BAE1395" w14:textId="77777777" w:rsidTr="00713C7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95" w:type="pct"/>
            <w:hideMark/>
          </w:tcPr>
          <w:p w14:paraId="56577F57" w14:textId="77777777" w:rsidR="00360878" w:rsidRPr="00713C75" w:rsidRDefault="00360878" w:rsidP="00360878">
            <w:pPr>
              <w:spacing w:line="240" w:lineRule="auto"/>
              <w:jc w:val="right"/>
              <w:rPr>
                <w:rFonts w:eastAsia="Times New Roman" w:cs="Times New Roman"/>
                <w:color w:val="000000"/>
                <w:sz w:val="20"/>
                <w:szCs w:val="20"/>
              </w:rPr>
            </w:pPr>
            <w:r w:rsidRPr="00713C75">
              <w:rPr>
                <w:rFonts w:eastAsia="Times New Roman" w:cs="Times New Roman"/>
                <w:color w:val="000000"/>
                <w:sz w:val="20"/>
                <w:szCs w:val="20"/>
              </w:rPr>
              <w:t>1-4</w:t>
            </w:r>
            <w:r w:rsidRPr="00713C75">
              <w:rPr>
                <w:rFonts w:eastAsia="Times New Roman" w:cs="Times New Roman"/>
                <w:color w:val="000000"/>
                <w:sz w:val="20"/>
                <w:szCs w:val="20"/>
                <w:vertAlign w:val="superscript"/>
              </w:rPr>
              <w:t>a</w:t>
            </w:r>
          </w:p>
        </w:tc>
        <w:tc>
          <w:tcPr>
            <w:tcW w:w="473" w:type="pct"/>
            <w:hideMark/>
          </w:tcPr>
          <w:p w14:paraId="75BD1DAB" w14:textId="71EB163E" w:rsidR="00360878" w:rsidRPr="00713C75" w:rsidRDefault="00360878" w:rsidP="0036087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25.0%</w:t>
            </w:r>
          </w:p>
        </w:tc>
        <w:tc>
          <w:tcPr>
            <w:tcW w:w="908" w:type="pct"/>
            <w:hideMark/>
          </w:tcPr>
          <w:p w14:paraId="73282CFE" w14:textId="77777777"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157</w:t>
            </w:r>
          </w:p>
        </w:tc>
        <w:tc>
          <w:tcPr>
            <w:tcW w:w="908" w:type="pct"/>
            <w:hideMark/>
          </w:tcPr>
          <w:p w14:paraId="6753007C" w14:textId="3B09A1C5"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27.7%</w:t>
            </w:r>
          </w:p>
        </w:tc>
        <w:tc>
          <w:tcPr>
            <w:tcW w:w="908" w:type="pct"/>
            <w:hideMark/>
          </w:tcPr>
          <w:p w14:paraId="76468AC2" w14:textId="77777777"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152</w:t>
            </w:r>
          </w:p>
        </w:tc>
        <w:tc>
          <w:tcPr>
            <w:tcW w:w="908" w:type="pct"/>
            <w:hideMark/>
          </w:tcPr>
          <w:p w14:paraId="0B461C08" w14:textId="384B8232"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26.2%</w:t>
            </w:r>
          </w:p>
        </w:tc>
      </w:tr>
      <w:tr w:rsidR="00D23A7F" w:rsidRPr="00713C75" w14:paraId="5ED96991" w14:textId="77777777" w:rsidTr="00713C75">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95" w:type="pct"/>
            <w:hideMark/>
          </w:tcPr>
          <w:p w14:paraId="00320935" w14:textId="77777777" w:rsidR="00360878" w:rsidRPr="00713C75" w:rsidRDefault="00360878" w:rsidP="00360878">
            <w:pPr>
              <w:spacing w:line="240" w:lineRule="auto"/>
              <w:jc w:val="right"/>
              <w:rPr>
                <w:rFonts w:eastAsia="Times New Roman" w:cs="Times New Roman"/>
                <w:color w:val="000000"/>
                <w:sz w:val="20"/>
                <w:szCs w:val="20"/>
              </w:rPr>
            </w:pPr>
            <w:r w:rsidRPr="00713C75">
              <w:rPr>
                <w:rFonts w:eastAsia="Times New Roman" w:cs="Times New Roman"/>
                <w:color w:val="000000"/>
                <w:sz w:val="20"/>
                <w:szCs w:val="20"/>
              </w:rPr>
              <w:t>5-8</w:t>
            </w:r>
          </w:p>
        </w:tc>
        <w:tc>
          <w:tcPr>
            <w:tcW w:w="473" w:type="pct"/>
            <w:hideMark/>
          </w:tcPr>
          <w:p w14:paraId="1A97F413" w14:textId="28F0BD45" w:rsidR="00360878" w:rsidRPr="00713C75" w:rsidRDefault="00360878" w:rsidP="00360878">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25.0%</w:t>
            </w:r>
          </w:p>
        </w:tc>
        <w:tc>
          <w:tcPr>
            <w:tcW w:w="908" w:type="pct"/>
            <w:hideMark/>
          </w:tcPr>
          <w:p w14:paraId="527B2AC2" w14:textId="77777777" w:rsidR="00360878" w:rsidRPr="00713C75" w:rsidRDefault="00360878" w:rsidP="00713C75">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144</w:t>
            </w:r>
          </w:p>
        </w:tc>
        <w:tc>
          <w:tcPr>
            <w:tcW w:w="908" w:type="pct"/>
            <w:hideMark/>
          </w:tcPr>
          <w:p w14:paraId="5A2442FA" w14:textId="58B11755" w:rsidR="00360878" w:rsidRPr="00713C75" w:rsidRDefault="00360878" w:rsidP="00713C75">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25.4%</w:t>
            </w:r>
          </w:p>
        </w:tc>
        <w:tc>
          <w:tcPr>
            <w:tcW w:w="908" w:type="pct"/>
            <w:hideMark/>
          </w:tcPr>
          <w:p w14:paraId="3C2A4F75" w14:textId="77777777" w:rsidR="00360878" w:rsidRPr="00713C75" w:rsidRDefault="00360878" w:rsidP="00713C75">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143</w:t>
            </w:r>
          </w:p>
        </w:tc>
        <w:tc>
          <w:tcPr>
            <w:tcW w:w="908" w:type="pct"/>
            <w:hideMark/>
          </w:tcPr>
          <w:p w14:paraId="3E36FECA" w14:textId="66DB0100" w:rsidR="00360878" w:rsidRPr="00713C75" w:rsidRDefault="00360878" w:rsidP="00713C75">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24.7%</w:t>
            </w:r>
          </w:p>
        </w:tc>
      </w:tr>
      <w:tr w:rsidR="00D23A7F" w:rsidRPr="00713C75" w14:paraId="7DA7E019" w14:textId="77777777" w:rsidTr="00713C7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95" w:type="pct"/>
            <w:hideMark/>
          </w:tcPr>
          <w:p w14:paraId="55B3C5E1" w14:textId="77777777" w:rsidR="00360878" w:rsidRPr="00713C75" w:rsidRDefault="00360878" w:rsidP="00360878">
            <w:pPr>
              <w:spacing w:line="240" w:lineRule="auto"/>
              <w:jc w:val="right"/>
              <w:rPr>
                <w:rFonts w:eastAsia="Times New Roman" w:cs="Times New Roman"/>
                <w:color w:val="000000"/>
                <w:sz w:val="20"/>
                <w:szCs w:val="20"/>
              </w:rPr>
            </w:pPr>
            <w:r w:rsidRPr="00713C75">
              <w:rPr>
                <w:rFonts w:eastAsia="Times New Roman" w:cs="Times New Roman"/>
                <w:color w:val="000000"/>
                <w:sz w:val="20"/>
                <w:szCs w:val="20"/>
              </w:rPr>
              <w:t>9-23</w:t>
            </w:r>
          </w:p>
        </w:tc>
        <w:tc>
          <w:tcPr>
            <w:tcW w:w="473" w:type="pct"/>
            <w:hideMark/>
          </w:tcPr>
          <w:p w14:paraId="6CBB1949" w14:textId="477A48C1" w:rsidR="00360878" w:rsidRPr="00713C75" w:rsidRDefault="00360878" w:rsidP="0036087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20.4%</w:t>
            </w:r>
          </w:p>
        </w:tc>
        <w:tc>
          <w:tcPr>
            <w:tcW w:w="908" w:type="pct"/>
            <w:hideMark/>
          </w:tcPr>
          <w:p w14:paraId="60C5E979" w14:textId="77777777"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88</w:t>
            </w:r>
          </w:p>
        </w:tc>
        <w:tc>
          <w:tcPr>
            <w:tcW w:w="908" w:type="pct"/>
            <w:hideMark/>
          </w:tcPr>
          <w:p w14:paraId="239AACC9" w14:textId="4AF4638C"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15.5%</w:t>
            </w:r>
          </w:p>
        </w:tc>
        <w:tc>
          <w:tcPr>
            <w:tcW w:w="908" w:type="pct"/>
            <w:hideMark/>
          </w:tcPr>
          <w:p w14:paraId="7FE36F16" w14:textId="77777777"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102</w:t>
            </w:r>
          </w:p>
        </w:tc>
        <w:tc>
          <w:tcPr>
            <w:tcW w:w="908" w:type="pct"/>
            <w:hideMark/>
          </w:tcPr>
          <w:p w14:paraId="5329978D" w14:textId="087C5F3F"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17.6%</w:t>
            </w:r>
          </w:p>
        </w:tc>
      </w:tr>
      <w:tr w:rsidR="00D23A7F" w:rsidRPr="00713C75" w14:paraId="55F8306A" w14:textId="77777777" w:rsidTr="00713C75">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95" w:type="pct"/>
            <w:hideMark/>
          </w:tcPr>
          <w:p w14:paraId="2C4D2428" w14:textId="77777777" w:rsidR="00360878" w:rsidRPr="00713C75" w:rsidRDefault="00360878" w:rsidP="00360878">
            <w:pPr>
              <w:spacing w:line="240" w:lineRule="auto"/>
              <w:jc w:val="right"/>
              <w:rPr>
                <w:rFonts w:eastAsia="Times New Roman" w:cs="Times New Roman"/>
                <w:color w:val="000000"/>
                <w:sz w:val="20"/>
                <w:szCs w:val="20"/>
              </w:rPr>
            </w:pPr>
            <w:r w:rsidRPr="00713C75">
              <w:rPr>
                <w:rFonts w:eastAsia="Times New Roman" w:cs="Times New Roman"/>
                <w:color w:val="000000"/>
                <w:sz w:val="20"/>
                <w:szCs w:val="20"/>
              </w:rPr>
              <w:t>24</w:t>
            </w:r>
          </w:p>
        </w:tc>
        <w:tc>
          <w:tcPr>
            <w:tcW w:w="473" w:type="pct"/>
            <w:hideMark/>
          </w:tcPr>
          <w:p w14:paraId="2670DCC9" w14:textId="4BB51094" w:rsidR="00360878" w:rsidRPr="00713C75" w:rsidRDefault="00360878" w:rsidP="00360878">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29.0%</w:t>
            </w:r>
          </w:p>
        </w:tc>
        <w:tc>
          <w:tcPr>
            <w:tcW w:w="908" w:type="pct"/>
            <w:hideMark/>
          </w:tcPr>
          <w:p w14:paraId="52D2E515" w14:textId="77777777" w:rsidR="00360878" w:rsidRPr="00713C75" w:rsidRDefault="00360878" w:rsidP="00713C75">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178</w:t>
            </w:r>
          </w:p>
        </w:tc>
        <w:tc>
          <w:tcPr>
            <w:tcW w:w="908" w:type="pct"/>
            <w:hideMark/>
          </w:tcPr>
          <w:p w14:paraId="7FAB3D34" w14:textId="221B8A18" w:rsidR="00360878" w:rsidRPr="00713C75" w:rsidRDefault="00360878" w:rsidP="00713C75">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31.4%</w:t>
            </w:r>
          </w:p>
        </w:tc>
        <w:tc>
          <w:tcPr>
            <w:tcW w:w="908" w:type="pct"/>
            <w:hideMark/>
          </w:tcPr>
          <w:p w14:paraId="6757E747" w14:textId="77777777" w:rsidR="00360878" w:rsidRPr="00713C75" w:rsidRDefault="00360878" w:rsidP="00713C75">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183</w:t>
            </w:r>
          </w:p>
        </w:tc>
        <w:tc>
          <w:tcPr>
            <w:tcW w:w="908" w:type="pct"/>
            <w:hideMark/>
          </w:tcPr>
          <w:p w14:paraId="32508482" w14:textId="09AA920A" w:rsidR="00360878" w:rsidRPr="00713C75" w:rsidRDefault="00360878" w:rsidP="00713C75">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713C75">
              <w:rPr>
                <w:rFonts w:eastAsia="Times New Roman" w:cs="Times New Roman"/>
                <w:color w:val="000000"/>
                <w:sz w:val="20"/>
                <w:szCs w:val="20"/>
              </w:rPr>
              <w:t>31.6%</w:t>
            </w:r>
          </w:p>
        </w:tc>
      </w:tr>
      <w:tr w:rsidR="00D23A7F" w:rsidRPr="00713C75" w14:paraId="50380EF8" w14:textId="77777777" w:rsidTr="00713C7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95" w:type="pct"/>
            <w:hideMark/>
          </w:tcPr>
          <w:p w14:paraId="2D662D66" w14:textId="77777777" w:rsidR="00360878" w:rsidRPr="00713C75" w:rsidRDefault="00360878" w:rsidP="00713C75">
            <w:pPr>
              <w:spacing w:line="240" w:lineRule="auto"/>
              <w:jc w:val="right"/>
              <w:rPr>
                <w:rFonts w:eastAsia="Times New Roman" w:cs="Times New Roman"/>
                <w:b/>
                <w:bCs/>
                <w:color w:val="000000"/>
                <w:sz w:val="20"/>
                <w:szCs w:val="20"/>
              </w:rPr>
            </w:pPr>
            <w:r w:rsidRPr="00713C75">
              <w:rPr>
                <w:rFonts w:eastAsia="Times New Roman" w:cs="Times New Roman"/>
                <w:b/>
                <w:bCs/>
                <w:color w:val="000000"/>
                <w:sz w:val="20"/>
                <w:szCs w:val="20"/>
              </w:rPr>
              <w:t>TOTAL</w:t>
            </w:r>
          </w:p>
        </w:tc>
        <w:tc>
          <w:tcPr>
            <w:tcW w:w="473" w:type="pct"/>
            <w:hideMark/>
          </w:tcPr>
          <w:p w14:paraId="43E86232" w14:textId="77777777" w:rsidR="00360878" w:rsidRPr="00713C75" w:rsidRDefault="00360878" w:rsidP="00360878">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713C75">
              <w:rPr>
                <w:rFonts w:eastAsia="Times New Roman" w:cs="Times New Roman"/>
                <w:b/>
                <w:bCs/>
                <w:color w:val="000000"/>
                <w:sz w:val="20"/>
                <w:szCs w:val="20"/>
              </w:rPr>
              <w:t>99.40%</w:t>
            </w:r>
          </w:p>
        </w:tc>
        <w:tc>
          <w:tcPr>
            <w:tcW w:w="908" w:type="pct"/>
            <w:noWrap/>
            <w:hideMark/>
          </w:tcPr>
          <w:p w14:paraId="450BDE39" w14:textId="77777777"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713C75">
              <w:rPr>
                <w:rFonts w:eastAsia="Times New Roman" w:cs="Times New Roman"/>
                <w:b/>
                <w:bCs/>
                <w:color w:val="000000"/>
                <w:sz w:val="20"/>
                <w:szCs w:val="20"/>
              </w:rPr>
              <w:t>567</w:t>
            </w:r>
          </w:p>
        </w:tc>
        <w:tc>
          <w:tcPr>
            <w:tcW w:w="908" w:type="pct"/>
            <w:hideMark/>
          </w:tcPr>
          <w:p w14:paraId="7359042D" w14:textId="77777777"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713C75">
              <w:rPr>
                <w:rFonts w:eastAsia="Times New Roman" w:cs="Times New Roman"/>
                <w:b/>
                <w:bCs/>
                <w:color w:val="000000"/>
                <w:sz w:val="20"/>
                <w:szCs w:val="20"/>
              </w:rPr>
              <w:t>100%</w:t>
            </w:r>
          </w:p>
        </w:tc>
        <w:tc>
          <w:tcPr>
            <w:tcW w:w="908" w:type="pct"/>
            <w:noWrap/>
            <w:hideMark/>
          </w:tcPr>
          <w:p w14:paraId="39021986" w14:textId="77777777"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713C75">
              <w:rPr>
                <w:rFonts w:eastAsia="Times New Roman" w:cs="Times New Roman"/>
                <w:b/>
                <w:bCs/>
                <w:color w:val="000000"/>
                <w:sz w:val="20"/>
                <w:szCs w:val="20"/>
              </w:rPr>
              <w:t>580</w:t>
            </w:r>
          </w:p>
        </w:tc>
        <w:tc>
          <w:tcPr>
            <w:tcW w:w="908" w:type="pct"/>
            <w:hideMark/>
          </w:tcPr>
          <w:p w14:paraId="209A082B" w14:textId="77777777" w:rsidR="00360878" w:rsidRPr="00713C75" w:rsidRDefault="00360878" w:rsidP="00713C75">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713C75">
              <w:rPr>
                <w:rFonts w:eastAsia="Times New Roman" w:cs="Times New Roman"/>
                <w:b/>
                <w:bCs/>
                <w:color w:val="000000"/>
                <w:sz w:val="20"/>
                <w:szCs w:val="20"/>
              </w:rPr>
              <w:t>100%</w:t>
            </w:r>
          </w:p>
        </w:tc>
      </w:tr>
    </w:tbl>
    <w:p w14:paraId="1D64A71F" w14:textId="004583A1" w:rsidR="0028104D" w:rsidRPr="006F2A76" w:rsidRDefault="00EB4007" w:rsidP="00360878">
      <w:pPr>
        <w:pStyle w:val="TableFootnote"/>
      </w:pPr>
      <w:proofErr w:type="spellStart"/>
      <w:r w:rsidRPr="00DA482E">
        <w:rPr>
          <w:vertAlign w:val="superscript"/>
        </w:rPr>
        <w:t>a</w:t>
      </w:r>
      <w:proofErr w:type="spellEnd"/>
      <w:r>
        <w:t xml:space="preserve"> The AHAM report used the bracket “1-4” which we assumed was meant to include users who used their air cleaner for less than one hour per day.</w:t>
      </w:r>
    </w:p>
    <w:p w14:paraId="19F5061D" w14:textId="77777777" w:rsidR="00EB4007" w:rsidRDefault="00EB4007" w:rsidP="00B71D3E"/>
    <w:p w14:paraId="10CB27FC" w14:textId="10042499" w:rsidR="00F64B53" w:rsidRDefault="00667BD6" w:rsidP="00B71D3E">
      <w:r w:rsidRPr="001A5C36">
        <w:rPr>
          <w:b/>
        </w:rPr>
        <w:fldChar w:fldCharType="begin"/>
      </w:r>
      <w:r w:rsidRPr="001A5C36">
        <w:rPr>
          <w:b/>
        </w:rPr>
        <w:instrText xml:space="preserve"> REF _Ref466635523 \h </w:instrText>
      </w:r>
      <w:r w:rsidR="001A5C36">
        <w:rPr>
          <w:b/>
        </w:rPr>
        <w:instrText xml:space="preserve"> \* MERGEFORMAT </w:instrText>
      </w:r>
      <w:r w:rsidRPr="001A5C36">
        <w:rPr>
          <w:b/>
        </w:rPr>
      </w:r>
      <w:r w:rsidRPr="001A5C36">
        <w:rPr>
          <w:b/>
        </w:rPr>
        <w:fldChar w:fldCharType="separate"/>
      </w:r>
      <w:r w:rsidR="00BF6769" w:rsidRPr="00BF6769">
        <w:rPr>
          <w:b/>
        </w:rPr>
        <w:t xml:space="preserve">Table </w:t>
      </w:r>
      <w:r w:rsidR="00BF6769" w:rsidRPr="00BF6769">
        <w:rPr>
          <w:b/>
          <w:noProof/>
        </w:rPr>
        <w:t>11</w:t>
      </w:r>
      <w:r w:rsidRPr="001A5C36">
        <w:rPr>
          <w:b/>
        </w:rPr>
        <w:fldChar w:fldCharType="end"/>
      </w:r>
      <w:r>
        <w:t xml:space="preserve"> </w:t>
      </w:r>
      <w:r w:rsidR="001B3FA4">
        <w:t xml:space="preserve">shows air cleaner usage for year-round users. </w:t>
      </w:r>
      <w:r w:rsidR="00F64B53">
        <w:t>Among those respondents who use their air cleaner</w:t>
      </w:r>
      <w:r w:rsidR="00D83FA9">
        <w:t>(s)</w:t>
      </w:r>
      <w:r w:rsidR="00F64B53">
        <w:t xml:space="preserve"> year-round, </w:t>
      </w:r>
      <w:r w:rsidR="001B3FA4">
        <w:t xml:space="preserve">the vast majority </w:t>
      </w:r>
      <w:r w:rsidR="0078714E">
        <w:t>(</w:t>
      </w:r>
      <w:r w:rsidR="00713C75" w:rsidRPr="006676F7">
        <w:rPr>
          <w:i/>
        </w:rPr>
        <w:t>n</w:t>
      </w:r>
      <w:r w:rsidR="00713C75">
        <w:t xml:space="preserve"> = 414, </w:t>
      </w:r>
      <w:r w:rsidR="00F14FFA">
        <w:t>92.8%</w:t>
      </w:r>
      <w:r w:rsidR="0078714E">
        <w:t>)</w:t>
      </w:r>
      <w:r w:rsidR="00F64B53">
        <w:t xml:space="preserve"> use it every day.</w:t>
      </w:r>
      <w:r w:rsidR="003D1E77">
        <w:t xml:space="preserve"> </w:t>
      </w:r>
      <w:r w:rsidR="001B3FA4">
        <w:t>T</w:t>
      </w:r>
      <w:r w:rsidR="00F14FFA">
        <w:t>his value is higher than the value of 67.0% in the 2004 AHAM report</w:t>
      </w:r>
      <w:r w:rsidR="003D1E77">
        <w:t xml:space="preserve">. </w:t>
      </w:r>
    </w:p>
    <w:p w14:paraId="3FEBE600" w14:textId="5AC9AF2C" w:rsidR="004755EC" w:rsidRPr="004755EC" w:rsidRDefault="00F64B53" w:rsidP="00F43A7D">
      <w:pPr>
        <w:pStyle w:val="Caption"/>
        <w:spacing w:before="120"/>
        <w:outlineLvl w:val="0"/>
      </w:pPr>
      <w:bookmarkStart w:id="20" w:name="_Ref466635523"/>
      <w:r>
        <w:t xml:space="preserve">Table </w:t>
      </w:r>
      <w:r w:rsidR="002271A4">
        <w:fldChar w:fldCharType="begin"/>
      </w:r>
      <w:r w:rsidR="002271A4">
        <w:instrText xml:space="preserve"> SEQ Table \* ARABIC </w:instrText>
      </w:r>
      <w:r w:rsidR="002271A4">
        <w:fldChar w:fldCharType="separate"/>
      </w:r>
      <w:r w:rsidR="00BF6769">
        <w:rPr>
          <w:noProof/>
        </w:rPr>
        <w:t>11</w:t>
      </w:r>
      <w:r w:rsidR="002271A4">
        <w:rPr>
          <w:noProof/>
        </w:rPr>
        <w:fldChar w:fldCharType="end"/>
      </w:r>
      <w:bookmarkEnd w:id="20"/>
      <w:r>
        <w:t>. Air Cle</w:t>
      </w:r>
      <w:r w:rsidR="00B34FE0">
        <w:t>aner Usage for Year-Round Users</w:t>
      </w:r>
      <w:r w:rsidR="00A839A6">
        <w:t xml:space="preserve"> </w:t>
      </w:r>
      <w:r w:rsidR="00A839A6">
        <w:rPr>
          <w:rStyle w:val="FootnoteReference"/>
        </w:rPr>
        <w:footnoteReference w:id="16"/>
      </w:r>
    </w:p>
    <w:tbl>
      <w:tblPr>
        <w:tblStyle w:val="EMITable"/>
        <w:tblW w:w="0" w:type="auto"/>
        <w:jc w:val="center"/>
        <w:tblLook w:val="04A0" w:firstRow="1" w:lastRow="0" w:firstColumn="1" w:lastColumn="0" w:noHBand="0" w:noVBand="1"/>
      </w:tblPr>
      <w:tblGrid>
        <w:gridCol w:w="1557"/>
        <w:gridCol w:w="1287"/>
        <w:gridCol w:w="1539"/>
        <w:gridCol w:w="1504"/>
      </w:tblGrid>
      <w:tr w:rsidR="004755EC" w:rsidRPr="004755EC" w14:paraId="372CFE82" w14:textId="2ED22F06" w:rsidTr="000F78AB">
        <w:trPr>
          <w:cnfStyle w:val="100000000000" w:firstRow="1" w:lastRow="0" w:firstColumn="0" w:lastColumn="0" w:oddVBand="0" w:evenVBand="0" w:oddHBand="0" w:evenHBand="0" w:firstRowFirstColumn="0" w:firstRowLastColumn="0" w:lastRowFirstColumn="0" w:lastRowLastColumn="0"/>
          <w:trHeight w:val="540"/>
          <w:jc w:val="center"/>
        </w:trPr>
        <w:tc>
          <w:tcPr>
            <w:cnfStyle w:val="001000000100" w:firstRow="0" w:lastRow="0" w:firstColumn="1" w:lastColumn="0" w:oddVBand="0" w:evenVBand="0" w:oddHBand="0" w:evenHBand="0" w:firstRowFirstColumn="1" w:firstRowLastColumn="0" w:lastRowFirstColumn="0" w:lastRowLastColumn="0"/>
            <w:tcW w:w="1557" w:type="dxa"/>
            <w:hideMark/>
          </w:tcPr>
          <w:p w14:paraId="15BF2035" w14:textId="77777777" w:rsidR="004755EC" w:rsidRPr="004755EC" w:rsidRDefault="004755EC" w:rsidP="004755EC">
            <w:pPr>
              <w:spacing w:line="240" w:lineRule="auto"/>
              <w:rPr>
                <w:rFonts w:eastAsia="Times New Roman" w:cs="Times New Roman"/>
                <w:bCs/>
                <w:color w:val="000000"/>
                <w:sz w:val="20"/>
                <w:szCs w:val="20"/>
              </w:rPr>
            </w:pPr>
            <w:r w:rsidRPr="004755EC">
              <w:rPr>
                <w:rFonts w:eastAsia="Times New Roman" w:cs="Times New Roman"/>
                <w:bCs/>
                <w:color w:val="000000"/>
                <w:sz w:val="20"/>
                <w:szCs w:val="20"/>
              </w:rPr>
              <w:t> </w:t>
            </w:r>
          </w:p>
        </w:tc>
        <w:tc>
          <w:tcPr>
            <w:tcW w:w="1287" w:type="dxa"/>
            <w:hideMark/>
          </w:tcPr>
          <w:p w14:paraId="60435F07" w14:textId="77777777" w:rsidR="004755EC" w:rsidRPr="004755EC" w:rsidRDefault="004755EC" w:rsidP="004755EC">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Cs/>
                <w:color w:val="000000"/>
                <w:sz w:val="20"/>
                <w:szCs w:val="20"/>
              </w:rPr>
            </w:pPr>
            <w:r w:rsidRPr="004755EC">
              <w:rPr>
                <w:rFonts w:eastAsia="Times New Roman" w:cs="Times New Roman"/>
                <w:bCs/>
                <w:color w:val="000000"/>
                <w:sz w:val="20"/>
                <w:szCs w:val="20"/>
              </w:rPr>
              <w:t>AHAM Data</w:t>
            </w:r>
          </w:p>
        </w:tc>
        <w:tc>
          <w:tcPr>
            <w:tcW w:w="3043" w:type="dxa"/>
            <w:gridSpan w:val="2"/>
            <w:hideMark/>
          </w:tcPr>
          <w:p w14:paraId="5062CFA5" w14:textId="184B2931" w:rsidR="004755EC" w:rsidRPr="004755EC" w:rsidRDefault="004755EC" w:rsidP="004755EC">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val="0"/>
                <w:bCs/>
                <w:color w:val="000000"/>
                <w:sz w:val="20"/>
                <w:szCs w:val="20"/>
              </w:rPr>
            </w:pPr>
            <w:r w:rsidRPr="004755EC">
              <w:rPr>
                <w:rFonts w:eastAsia="Times New Roman" w:cs="Times New Roman"/>
                <w:bCs/>
                <w:color w:val="000000"/>
                <w:sz w:val="20"/>
                <w:szCs w:val="20"/>
              </w:rPr>
              <w:t>Current Study Data</w:t>
            </w:r>
          </w:p>
        </w:tc>
      </w:tr>
      <w:tr w:rsidR="004755EC" w:rsidRPr="004755EC" w14:paraId="2DCCF6EB" w14:textId="77777777" w:rsidTr="000F78AB">
        <w:trPr>
          <w:cnfStyle w:val="000000100000" w:firstRow="0" w:lastRow="0" w:firstColumn="0" w:lastColumn="0" w:oddVBand="0" w:evenVBand="0" w:oddHBand="1" w:evenHBand="0" w:firstRowFirstColumn="0" w:firstRowLastColumn="0" w:lastRowFirstColumn="0" w:lastRowLastColumn="0"/>
          <w:trHeight w:val="540"/>
          <w:jc w:val="center"/>
        </w:trPr>
        <w:tc>
          <w:tcPr>
            <w:cnfStyle w:val="001000000000" w:firstRow="0" w:lastRow="0" w:firstColumn="1" w:lastColumn="0" w:oddVBand="0" w:evenVBand="0" w:oddHBand="0" w:evenHBand="0" w:firstRowFirstColumn="0" w:firstRowLastColumn="0" w:lastRowFirstColumn="0" w:lastRowLastColumn="0"/>
            <w:tcW w:w="1557" w:type="dxa"/>
            <w:hideMark/>
          </w:tcPr>
          <w:p w14:paraId="542C9093" w14:textId="77777777" w:rsidR="004755EC" w:rsidRPr="004755EC" w:rsidRDefault="004755EC" w:rsidP="004755EC">
            <w:pPr>
              <w:spacing w:line="240" w:lineRule="auto"/>
              <w:jc w:val="right"/>
              <w:rPr>
                <w:rFonts w:eastAsia="Times New Roman" w:cs="Times New Roman"/>
                <w:color w:val="000000"/>
                <w:sz w:val="20"/>
                <w:szCs w:val="20"/>
              </w:rPr>
            </w:pPr>
            <w:r w:rsidRPr="004755EC">
              <w:rPr>
                <w:rFonts w:eastAsia="Times New Roman" w:cs="Times New Roman"/>
                <w:color w:val="000000"/>
                <w:sz w:val="20"/>
                <w:szCs w:val="20"/>
              </w:rPr>
              <w:t>Days Per Week</w:t>
            </w:r>
          </w:p>
        </w:tc>
        <w:tc>
          <w:tcPr>
            <w:tcW w:w="1287" w:type="dxa"/>
            <w:hideMark/>
          </w:tcPr>
          <w:p w14:paraId="4CB33EF4" w14:textId="77777777" w:rsidR="004755EC" w:rsidRPr="004755EC" w:rsidRDefault="004755EC"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Percent</w:t>
            </w:r>
          </w:p>
        </w:tc>
        <w:tc>
          <w:tcPr>
            <w:tcW w:w="1539" w:type="dxa"/>
            <w:hideMark/>
          </w:tcPr>
          <w:p w14:paraId="1382F188" w14:textId="77777777" w:rsidR="004755EC" w:rsidRPr="004755EC" w:rsidRDefault="004755EC"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n</w:t>
            </w:r>
          </w:p>
        </w:tc>
        <w:tc>
          <w:tcPr>
            <w:tcW w:w="1504" w:type="dxa"/>
          </w:tcPr>
          <w:p w14:paraId="10914FB9" w14:textId="580A1EAD" w:rsidR="004755EC" w:rsidRPr="004755EC" w:rsidRDefault="004755EC"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Percent</w:t>
            </w:r>
          </w:p>
        </w:tc>
      </w:tr>
      <w:tr w:rsidR="004755EC" w:rsidRPr="004755EC" w14:paraId="673F516B" w14:textId="77777777" w:rsidTr="000F78AB">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57" w:type="dxa"/>
            <w:hideMark/>
          </w:tcPr>
          <w:p w14:paraId="2B2968D8" w14:textId="77777777" w:rsidR="004755EC" w:rsidRPr="004755EC" w:rsidRDefault="004755EC" w:rsidP="004755EC">
            <w:pPr>
              <w:spacing w:line="240" w:lineRule="auto"/>
              <w:jc w:val="right"/>
              <w:rPr>
                <w:rFonts w:eastAsia="Times New Roman" w:cs="Times New Roman"/>
                <w:color w:val="000000"/>
                <w:sz w:val="20"/>
                <w:szCs w:val="20"/>
              </w:rPr>
            </w:pPr>
            <w:r w:rsidRPr="004755EC">
              <w:rPr>
                <w:rFonts w:eastAsia="Times New Roman" w:cs="Times New Roman"/>
                <w:color w:val="000000"/>
                <w:sz w:val="20"/>
                <w:szCs w:val="20"/>
              </w:rPr>
              <w:t>&lt; 1</w:t>
            </w:r>
          </w:p>
        </w:tc>
        <w:tc>
          <w:tcPr>
            <w:tcW w:w="1287" w:type="dxa"/>
            <w:hideMark/>
          </w:tcPr>
          <w:p w14:paraId="6EA7E747" w14:textId="2214951D" w:rsidR="004755EC" w:rsidRPr="004755EC" w:rsidRDefault="001B45D7" w:rsidP="004755EC">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7.0</w:t>
            </w:r>
            <w:r w:rsidR="004755EC" w:rsidRPr="004755EC">
              <w:rPr>
                <w:rFonts w:eastAsia="Times New Roman" w:cs="Times New Roman"/>
                <w:color w:val="000000"/>
                <w:sz w:val="20"/>
                <w:szCs w:val="20"/>
              </w:rPr>
              <w:t>%</w:t>
            </w:r>
          </w:p>
        </w:tc>
        <w:tc>
          <w:tcPr>
            <w:tcW w:w="1539" w:type="dxa"/>
            <w:hideMark/>
          </w:tcPr>
          <w:p w14:paraId="3A609391" w14:textId="77777777" w:rsidR="004755EC" w:rsidRPr="004755EC" w:rsidRDefault="004755EC" w:rsidP="004755EC">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w:t>
            </w:r>
          </w:p>
        </w:tc>
        <w:tc>
          <w:tcPr>
            <w:tcW w:w="1504" w:type="dxa"/>
          </w:tcPr>
          <w:p w14:paraId="34C3BD2D" w14:textId="1747C8A3" w:rsidR="004755EC" w:rsidRPr="004755EC" w:rsidRDefault="004755EC" w:rsidP="004755EC">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w:t>
            </w:r>
          </w:p>
        </w:tc>
      </w:tr>
      <w:tr w:rsidR="004755EC" w:rsidRPr="004755EC" w14:paraId="2CAB45EF" w14:textId="77777777" w:rsidTr="000F78AB">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57" w:type="dxa"/>
            <w:hideMark/>
          </w:tcPr>
          <w:p w14:paraId="03235AF4" w14:textId="77777777" w:rsidR="004755EC" w:rsidRPr="004755EC" w:rsidRDefault="004755EC" w:rsidP="004755EC">
            <w:pPr>
              <w:spacing w:line="240" w:lineRule="auto"/>
              <w:jc w:val="right"/>
              <w:rPr>
                <w:rFonts w:eastAsia="Times New Roman" w:cs="Times New Roman"/>
                <w:color w:val="000000"/>
                <w:sz w:val="20"/>
                <w:szCs w:val="20"/>
              </w:rPr>
            </w:pPr>
            <w:r w:rsidRPr="004755EC">
              <w:rPr>
                <w:rFonts w:eastAsia="Times New Roman" w:cs="Times New Roman"/>
                <w:color w:val="000000"/>
                <w:sz w:val="20"/>
                <w:szCs w:val="20"/>
              </w:rPr>
              <w:t>1-2</w:t>
            </w:r>
          </w:p>
        </w:tc>
        <w:tc>
          <w:tcPr>
            <w:tcW w:w="1287" w:type="dxa"/>
            <w:hideMark/>
          </w:tcPr>
          <w:p w14:paraId="7E64F763" w14:textId="1C6C2180" w:rsidR="004755EC" w:rsidRPr="004755EC" w:rsidRDefault="001B45D7"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4.7</w:t>
            </w:r>
            <w:r w:rsidR="004755EC" w:rsidRPr="004755EC">
              <w:rPr>
                <w:rFonts w:eastAsia="Times New Roman" w:cs="Times New Roman"/>
                <w:color w:val="000000"/>
                <w:sz w:val="20"/>
                <w:szCs w:val="20"/>
              </w:rPr>
              <w:t>%</w:t>
            </w:r>
          </w:p>
        </w:tc>
        <w:tc>
          <w:tcPr>
            <w:tcW w:w="1539" w:type="dxa"/>
            <w:noWrap/>
            <w:hideMark/>
          </w:tcPr>
          <w:p w14:paraId="02738C61" w14:textId="77777777" w:rsidR="004755EC" w:rsidRPr="004755EC" w:rsidRDefault="004755EC"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17</w:t>
            </w:r>
          </w:p>
        </w:tc>
        <w:tc>
          <w:tcPr>
            <w:tcW w:w="1504" w:type="dxa"/>
          </w:tcPr>
          <w:p w14:paraId="4BE0ECC8" w14:textId="1963C2E4" w:rsidR="004755EC" w:rsidRPr="004755EC" w:rsidRDefault="004755EC"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3.8%</w:t>
            </w:r>
          </w:p>
        </w:tc>
      </w:tr>
      <w:tr w:rsidR="004755EC" w:rsidRPr="004755EC" w14:paraId="7890D58D" w14:textId="77777777" w:rsidTr="000F78AB">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57" w:type="dxa"/>
            <w:hideMark/>
          </w:tcPr>
          <w:p w14:paraId="41A6AFE6" w14:textId="77777777" w:rsidR="004755EC" w:rsidRPr="004755EC" w:rsidRDefault="004755EC" w:rsidP="004755EC">
            <w:pPr>
              <w:spacing w:line="240" w:lineRule="auto"/>
              <w:jc w:val="right"/>
              <w:rPr>
                <w:rFonts w:eastAsia="Times New Roman" w:cs="Times New Roman"/>
                <w:color w:val="000000"/>
                <w:sz w:val="20"/>
                <w:szCs w:val="20"/>
              </w:rPr>
            </w:pPr>
            <w:r w:rsidRPr="004755EC">
              <w:rPr>
                <w:rFonts w:eastAsia="Times New Roman" w:cs="Times New Roman"/>
                <w:color w:val="000000"/>
                <w:sz w:val="20"/>
                <w:szCs w:val="20"/>
              </w:rPr>
              <w:t>3-4</w:t>
            </w:r>
          </w:p>
        </w:tc>
        <w:tc>
          <w:tcPr>
            <w:tcW w:w="1287" w:type="dxa"/>
            <w:hideMark/>
          </w:tcPr>
          <w:p w14:paraId="32B6EEBC" w14:textId="75087325" w:rsidR="004755EC" w:rsidRPr="004755EC" w:rsidRDefault="001B45D7" w:rsidP="004755EC">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11.2</w:t>
            </w:r>
            <w:r w:rsidR="004755EC" w:rsidRPr="004755EC">
              <w:rPr>
                <w:rFonts w:eastAsia="Times New Roman" w:cs="Times New Roman"/>
                <w:color w:val="000000"/>
                <w:sz w:val="20"/>
                <w:szCs w:val="20"/>
              </w:rPr>
              <w:t>%</w:t>
            </w:r>
          </w:p>
        </w:tc>
        <w:tc>
          <w:tcPr>
            <w:tcW w:w="1539" w:type="dxa"/>
            <w:noWrap/>
            <w:hideMark/>
          </w:tcPr>
          <w:p w14:paraId="2EF17685" w14:textId="77777777" w:rsidR="004755EC" w:rsidRPr="004755EC" w:rsidRDefault="004755EC" w:rsidP="004755EC">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9</w:t>
            </w:r>
          </w:p>
        </w:tc>
        <w:tc>
          <w:tcPr>
            <w:tcW w:w="1504" w:type="dxa"/>
          </w:tcPr>
          <w:p w14:paraId="0DA64DAC" w14:textId="78583CA8" w:rsidR="004755EC" w:rsidRPr="004755EC" w:rsidRDefault="004755EC" w:rsidP="004755EC">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2.0%</w:t>
            </w:r>
          </w:p>
        </w:tc>
      </w:tr>
      <w:tr w:rsidR="004755EC" w:rsidRPr="004755EC" w14:paraId="647EF72D" w14:textId="77777777" w:rsidTr="000F78AB">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57" w:type="dxa"/>
            <w:hideMark/>
          </w:tcPr>
          <w:p w14:paraId="675D8113" w14:textId="1128A41E" w:rsidR="004755EC" w:rsidRPr="004755EC" w:rsidRDefault="004755EC" w:rsidP="004755EC">
            <w:pPr>
              <w:spacing w:line="240" w:lineRule="auto"/>
              <w:jc w:val="right"/>
              <w:rPr>
                <w:rFonts w:eastAsia="Times New Roman" w:cs="Times New Roman"/>
                <w:color w:val="000000"/>
                <w:sz w:val="20"/>
                <w:szCs w:val="20"/>
              </w:rPr>
            </w:pPr>
            <w:r w:rsidRPr="004755EC">
              <w:rPr>
                <w:rFonts w:eastAsia="Times New Roman" w:cs="Times New Roman"/>
                <w:color w:val="000000"/>
                <w:sz w:val="20"/>
                <w:szCs w:val="20"/>
              </w:rPr>
              <w:t>5-</w:t>
            </w:r>
            <w:r w:rsidR="00D05200">
              <w:rPr>
                <w:rFonts w:eastAsia="Times New Roman" w:cs="Times New Roman"/>
                <w:color w:val="000000"/>
                <w:sz w:val="20"/>
                <w:szCs w:val="20"/>
              </w:rPr>
              <w:t>7</w:t>
            </w:r>
          </w:p>
        </w:tc>
        <w:tc>
          <w:tcPr>
            <w:tcW w:w="1287" w:type="dxa"/>
            <w:hideMark/>
          </w:tcPr>
          <w:p w14:paraId="092DB210" w14:textId="1E3E5F01" w:rsidR="004755EC" w:rsidRPr="004755EC" w:rsidRDefault="001B45D7"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8.7</w:t>
            </w:r>
            <w:r w:rsidR="004755EC" w:rsidRPr="004755EC">
              <w:rPr>
                <w:rFonts w:eastAsia="Times New Roman" w:cs="Times New Roman"/>
                <w:color w:val="000000"/>
                <w:sz w:val="20"/>
                <w:szCs w:val="20"/>
              </w:rPr>
              <w:t>%</w:t>
            </w:r>
          </w:p>
        </w:tc>
        <w:tc>
          <w:tcPr>
            <w:tcW w:w="1539" w:type="dxa"/>
            <w:noWrap/>
            <w:hideMark/>
          </w:tcPr>
          <w:p w14:paraId="3914C277" w14:textId="77777777" w:rsidR="004755EC" w:rsidRPr="004755EC" w:rsidRDefault="004755EC"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6</w:t>
            </w:r>
          </w:p>
        </w:tc>
        <w:tc>
          <w:tcPr>
            <w:tcW w:w="1504" w:type="dxa"/>
          </w:tcPr>
          <w:p w14:paraId="1D6AF19D" w14:textId="263A1EAA" w:rsidR="004755EC" w:rsidRPr="004755EC" w:rsidRDefault="004755EC"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1.3%</w:t>
            </w:r>
          </w:p>
        </w:tc>
      </w:tr>
      <w:tr w:rsidR="004755EC" w:rsidRPr="004755EC" w14:paraId="200A1CD8" w14:textId="77777777" w:rsidTr="000F78AB">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57" w:type="dxa"/>
            <w:hideMark/>
          </w:tcPr>
          <w:p w14:paraId="75DD69F6" w14:textId="77777777" w:rsidR="004755EC" w:rsidRPr="004755EC" w:rsidRDefault="004755EC" w:rsidP="004755EC">
            <w:pPr>
              <w:spacing w:line="240" w:lineRule="auto"/>
              <w:jc w:val="right"/>
              <w:rPr>
                <w:rFonts w:eastAsia="Times New Roman" w:cs="Times New Roman"/>
                <w:color w:val="000000"/>
                <w:sz w:val="20"/>
                <w:szCs w:val="20"/>
              </w:rPr>
            </w:pPr>
            <w:r w:rsidRPr="004755EC">
              <w:rPr>
                <w:rFonts w:eastAsia="Times New Roman" w:cs="Times New Roman"/>
                <w:color w:val="000000"/>
                <w:sz w:val="20"/>
                <w:szCs w:val="20"/>
              </w:rPr>
              <w:t>Every Day</w:t>
            </w:r>
          </w:p>
        </w:tc>
        <w:tc>
          <w:tcPr>
            <w:tcW w:w="1287" w:type="dxa"/>
            <w:hideMark/>
          </w:tcPr>
          <w:p w14:paraId="4A3702CB" w14:textId="029C9C1E" w:rsidR="004755EC" w:rsidRPr="004755EC" w:rsidRDefault="001B45D7" w:rsidP="004755EC">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67.</w:t>
            </w:r>
            <w:r w:rsidR="004755EC" w:rsidRPr="004755EC">
              <w:rPr>
                <w:rFonts w:eastAsia="Times New Roman" w:cs="Times New Roman"/>
                <w:color w:val="000000"/>
                <w:sz w:val="20"/>
                <w:szCs w:val="20"/>
              </w:rPr>
              <w:t>0%</w:t>
            </w:r>
          </w:p>
        </w:tc>
        <w:tc>
          <w:tcPr>
            <w:tcW w:w="1539" w:type="dxa"/>
            <w:noWrap/>
            <w:hideMark/>
          </w:tcPr>
          <w:p w14:paraId="3B730C79" w14:textId="77777777" w:rsidR="004755EC" w:rsidRPr="004755EC" w:rsidRDefault="004755EC" w:rsidP="004755EC">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414</w:t>
            </w:r>
          </w:p>
        </w:tc>
        <w:tc>
          <w:tcPr>
            <w:tcW w:w="1504" w:type="dxa"/>
          </w:tcPr>
          <w:p w14:paraId="361423E1" w14:textId="3EC970EE" w:rsidR="004755EC" w:rsidRPr="004755EC" w:rsidRDefault="004755EC" w:rsidP="004755EC">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92.8%</w:t>
            </w:r>
          </w:p>
        </w:tc>
      </w:tr>
      <w:tr w:rsidR="004755EC" w:rsidRPr="004755EC" w14:paraId="76C69D7B" w14:textId="77777777" w:rsidTr="000F78AB">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57" w:type="dxa"/>
            <w:hideMark/>
          </w:tcPr>
          <w:p w14:paraId="3F014C68" w14:textId="77777777" w:rsidR="004755EC" w:rsidRPr="004755EC" w:rsidRDefault="004755EC" w:rsidP="004755EC">
            <w:pPr>
              <w:spacing w:line="240" w:lineRule="auto"/>
              <w:jc w:val="right"/>
              <w:rPr>
                <w:rFonts w:eastAsia="Times New Roman" w:cs="Times New Roman"/>
                <w:b/>
                <w:bCs/>
                <w:color w:val="000000"/>
                <w:sz w:val="20"/>
                <w:szCs w:val="20"/>
              </w:rPr>
            </w:pPr>
            <w:r w:rsidRPr="004755EC">
              <w:rPr>
                <w:rFonts w:eastAsia="Times New Roman" w:cs="Times New Roman"/>
                <w:b/>
                <w:bCs/>
                <w:color w:val="000000"/>
                <w:sz w:val="20"/>
                <w:szCs w:val="20"/>
              </w:rPr>
              <w:t>TOTAL</w:t>
            </w:r>
          </w:p>
        </w:tc>
        <w:tc>
          <w:tcPr>
            <w:tcW w:w="1287" w:type="dxa"/>
            <w:hideMark/>
          </w:tcPr>
          <w:p w14:paraId="2FDD05A1" w14:textId="0F5BA9DF" w:rsidR="004755EC" w:rsidRPr="004755EC" w:rsidRDefault="001B45D7"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Pr>
                <w:rFonts w:eastAsia="Times New Roman" w:cs="Times New Roman"/>
                <w:b/>
                <w:bCs/>
                <w:color w:val="000000"/>
                <w:sz w:val="20"/>
                <w:szCs w:val="20"/>
              </w:rPr>
              <w:t>98.6</w:t>
            </w:r>
            <w:r w:rsidR="004755EC" w:rsidRPr="004755EC">
              <w:rPr>
                <w:rFonts w:eastAsia="Times New Roman" w:cs="Times New Roman"/>
                <w:b/>
                <w:bCs/>
                <w:color w:val="000000"/>
                <w:sz w:val="20"/>
                <w:szCs w:val="20"/>
              </w:rPr>
              <w:t>%</w:t>
            </w:r>
          </w:p>
        </w:tc>
        <w:tc>
          <w:tcPr>
            <w:tcW w:w="1539" w:type="dxa"/>
            <w:noWrap/>
            <w:hideMark/>
          </w:tcPr>
          <w:p w14:paraId="4D2DAEC7" w14:textId="77777777" w:rsidR="004755EC" w:rsidRPr="004755EC" w:rsidRDefault="004755EC"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4755EC">
              <w:rPr>
                <w:rFonts w:eastAsia="Times New Roman" w:cs="Times New Roman"/>
                <w:color w:val="000000"/>
                <w:sz w:val="20"/>
                <w:szCs w:val="20"/>
              </w:rPr>
              <w:t>446</w:t>
            </w:r>
          </w:p>
        </w:tc>
        <w:tc>
          <w:tcPr>
            <w:tcW w:w="1504" w:type="dxa"/>
          </w:tcPr>
          <w:p w14:paraId="55A76286" w14:textId="1A2A6FEB" w:rsidR="004755EC" w:rsidRPr="004755EC" w:rsidRDefault="004755EC" w:rsidP="004755EC">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4755EC">
              <w:rPr>
                <w:rFonts w:eastAsia="Times New Roman" w:cs="Times New Roman"/>
                <w:b/>
                <w:bCs/>
                <w:color w:val="000000"/>
                <w:sz w:val="20"/>
                <w:szCs w:val="20"/>
              </w:rPr>
              <w:t>100%</w:t>
            </w:r>
          </w:p>
        </w:tc>
      </w:tr>
    </w:tbl>
    <w:p w14:paraId="1CB2AFA3" w14:textId="77777777" w:rsidR="00F64B53" w:rsidRDefault="00F64B53" w:rsidP="00B71D3E"/>
    <w:p w14:paraId="16081631" w14:textId="09FCAAF2" w:rsidR="001B3FA4" w:rsidRDefault="00667BD6" w:rsidP="00B71D3E">
      <w:r w:rsidRPr="001A5C36">
        <w:rPr>
          <w:b/>
        </w:rPr>
        <w:fldChar w:fldCharType="begin"/>
      </w:r>
      <w:r w:rsidRPr="001A5C36">
        <w:rPr>
          <w:b/>
        </w:rPr>
        <w:instrText xml:space="preserve"> REF _Ref466640580 \h </w:instrText>
      </w:r>
      <w:r w:rsidR="001A5C36">
        <w:rPr>
          <w:b/>
        </w:rPr>
        <w:instrText xml:space="preserve"> \* MERGEFORMAT </w:instrText>
      </w:r>
      <w:r w:rsidRPr="001A5C36">
        <w:rPr>
          <w:b/>
        </w:rPr>
      </w:r>
      <w:r w:rsidRPr="001A5C36">
        <w:rPr>
          <w:b/>
        </w:rPr>
        <w:fldChar w:fldCharType="separate"/>
      </w:r>
      <w:r w:rsidR="00BF6769" w:rsidRPr="00BF6769">
        <w:rPr>
          <w:b/>
        </w:rPr>
        <w:t xml:space="preserve">Table </w:t>
      </w:r>
      <w:r w:rsidR="00BF6769" w:rsidRPr="00BF6769">
        <w:rPr>
          <w:b/>
          <w:noProof/>
        </w:rPr>
        <w:t>12</w:t>
      </w:r>
      <w:r w:rsidRPr="001A5C36">
        <w:rPr>
          <w:b/>
        </w:rPr>
        <w:fldChar w:fldCharType="end"/>
      </w:r>
      <w:r>
        <w:t xml:space="preserve"> </w:t>
      </w:r>
      <w:r w:rsidR="001B3FA4">
        <w:t>show</w:t>
      </w:r>
      <w:r>
        <w:t>s</w:t>
      </w:r>
      <w:r w:rsidR="001B3FA4">
        <w:t xml:space="preserve"> air cleaner usage for customers that reported using the devices seasonally. Among those respondents who only use their air cleaner in certain months, </w:t>
      </w:r>
      <w:r w:rsidR="00D83FA9">
        <w:t>almost two-thirds (</w:t>
      </w:r>
      <w:r w:rsidR="001B3FA4">
        <w:t>64.9%</w:t>
      </w:r>
      <w:r w:rsidR="00D83FA9">
        <w:t>)</w:t>
      </w:r>
      <w:r w:rsidR="001B3FA4">
        <w:t xml:space="preserve"> reported using their air cleaner every day (higher than the 29.0% value in the 2004 AHAM report).</w:t>
      </w:r>
    </w:p>
    <w:p w14:paraId="45EA6478" w14:textId="2875B182" w:rsidR="008B57BB" w:rsidRDefault="008B57BB" w:rsidP="00F43A7D">
      <w:pPr>
        <w:pStyle w:val="Caption"/>
        <w:spacing w:before="120"/>
        <w:outlineLvl w:val="0"/>
      </w:pPr>
      <w:bookmarkStart w:id="21" w:name="_Ref466640580"/>
      <w:r>
        <w:lastRenderedPageBreak/>
        <w:t xml:space="preserve">Table </w:t>
      </w:r>
      <w:r w:rsidR="002271A4">
        <w:fldChar w:fldCharType="begin"/>
      </w:r>
      <w:r w:rsidR="002271A4">
        <w:instrText xml:space="preserve"> SEQ Table \* ARABIC </w:instrText>
      </w:r>
      <w:r w:rsidR="002271A4">
        <w:fldChar w:fldCharType="separate"/>
      </w:r>
      <w:r w:rsidR="00BF6769">
        <w:rPr>
          <w:noProof/>
        </w:rPr>
        <w:t>12</w:t>
      </w:r>
      <w:r w:rsidR="002271A4">
        <w:rPr>
          <w:noProof/>
        </w:rPr>
        <w:fldChar w:fldCharType="end"/>
      </w:r>
      <w:bookmarkEnd w:id="21"/>
      <w:r w:rsidR="00386A77">
        <w:t xml:space="preserve">. </w:t>
      </w:r>
      <w:r>
        <w:t>Air Cleaner Usag</w:t>
      </w:r>
      <w:r w:rsidR="00357A7F">
        <w:t xml:space="preserve">e for </w:t>
      </w:r>
      <w:r w:rsidR="00D7148E">
        <w:t>Seasonal</w:t>
      </w:r>
      <w:r w:rsidR="00357A7F">
        <w:t xml:space="preserve"> Users</w:t>
      </w:r>
    </w:p>
    <w:tbl>
      <w:tblPr>
        <w:tblStyle w:val="EMITable"/>
        <w:tblW w:w="5794" w:type="dxa"/>
        <w:jc w:val="center"/>
        <w:tblLook w:val="04A0" w:firstRow="1" w:lastRow="0" w:firstColumn="1" w:lastColumn="0" w:noHBand="0" w:noVBand="1"/>
      </w:tblPr>
      <w:tblGrid>
        <w:gridCol w:w="1542"/>
        <w:gridCol w:w="1265"/>
        <w:gridCol w:w="1540"/>
        <w:gridCol w:w="1447"/>
      </w:tblGrid>
      <w:tr w:rsidR="00285C0D" w:rsidRPr="00285C0D" w14:paraId="2C498323" w14:textId="77777777" w:rsidTr="000F78AB">
        <w:trPr>
          <w:cnfStyle w:val="100000000000" w:firstRow="1" w:lastRow="0" w:firstColumn="0" w:lastColumn="0" w:oddVBand="0" w:evenVBand="0" w:oddHBand="0" w:evenHBand="0" w:firstRowFirstColumn="0" w:firstRowLastColumn="0" w:lastRowFirstColumn="0" w:lastRowLastColumn="0"/>
          <w:trHeight w:val="540"/>
          <w:jc w:val="center"/>
        </w:trPr>
        <w:tc>
          <w:tcPr>
            <w:cnfStyle w:val="001000000100" w:firstRow="0" w:lastRow="0" w:firstColumn="1" w:lastColumn="0" w:oddVBand="0" w:evenVBand="0" w:oddHBand="0" w:evenHBand="0" w:firstRowFirstColumn="1" w:firstRowLastColumn="0" w:lastRowFirstColumn="0" w:lastRowLastColumn="0"/>
            <w:tcW w:w="1542" w:type="dxa"/>
            <w:hideMark/>
          </w:tcPr>
          <w:p w14:paraId="04953080" w14:textId="77777777" w:rsidR="00285C0D" w:rsidRPr="00285C0D" w:rsidRDefault="00285C0D" w:rsidP="00285C0D">
            <w:pPr>
              <w:spacing w:line="240" w:lineRule="auto"/>
              <w:rPr>
                <w:rFonts w:eastAsia="Times New Roman" w:cs="Times New Roman"/>
                <w:bCs/>
                <w:color w:val="000000"/>
                <w:sz w:val="20"/>
                <w:szCs w:val="20"/>
              </w:rPr>
            </w:pPr>
            <w:r w:rsidRPr="00285C0D">
              <w:rPr>
                <w:rFonts w:eastAsia="Times New Roman" w:cs="Times New Roman"/>
                <w:bCs/>
                <w:color w:val="000000"/>
                <w:sz w:val="20"/>
                <w:szCs w:val="20"/>
              </w:rPr>
              <w:t> </w:t>
            </w:r>
          </w:p>
        </w:tc>
        <w:tc>
          <w:tcPr>
            <w:tcW w:w="1265" w:type="dxa"/>
            <w:hideMark/>
          </w:tcPr>
          <w:p w14:paraId="6A72556C" w14:textId="77777777" w:rsidR="00285C0D" w:rsidRPr="00285C0D" w:rsidRDefault="00285C0D" w:rsidP="00285C0D">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Cs/>
                <w:color w:val="000000"/>
                <w:sz w:val="20"/>
                <w:szCs w:val="20"/>
              </w:rPr>
            </w:pPr>
            <w:r w:rsidRPr="00285C0D">
              <w:rPr>
                <w:rFonts w:eastAsia="Times New Roman" w:cs="Times New Roman"/>
                <w:bCs/>
                <w:color w:val="000000"/>
                <w:sz w:val="20"/>
                <w:szCs w:val="20"/>
              </w:rPr>
              <w:t>AHAM Data</w:t>
            </w:r>
          </w:p>
        </w:tc>
        <w:tc>
          <w:tcPr>
            <w:tcW w:w="2987" w:type="dxa"/>
            <w:gridSpan w:val="2"/>
            <w:hideMark/>
          </w:tcPr>
          <w:p w14:paraId="3F43EF8B" w14:textId="77777777" w:rsidR="00285C0D" w:rsidRPr="00285C0D" w:rsidRDefault="00285C0D" w:rsidP="00285C0D">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Cs/>
                <w:color w:val="000000"/>
                <w:sz w:val="20"/>
                <w:szCs w:val="20"/>
              </w:rPr>
            </w:pPr>
            <w:r w:rsidRPr="00285C0D">
              <w:rPr>
                <w:rFonts w:eastAsia="Times New Roman" w:cs="Times New Roman"/>
                <w:bCs/>
                <w:color w:val="000000"/>
                <w:sz w:val="20"/>
                <w:szCs w:val="20"/>
              </w:rPr>
              <w:t>Current Study Data</w:t>
            </w:r>
          </w:p>
        </w:tc>
      </w:tr>
      <w:tr w:rsidR="00285C0D" w:rsidRPr="00285C0D" w14:paraId="606E1F60" w14:textId="77777777" w:rsidTr="000F78AB">
        <w:trPr>
          <w:cnfStyle w:val="000000100000" w:firstRow="0" w:lastRow="0" w:firstColumn="0" w:lastColumn="0" w:oddVBand="0" w:evenVBand="0" w:oddHBand="1" w:evenHBand="0" w:firstRowFirstColumn="0" w:firstRowLastColumn="0" w:lastRowFirstColumn="0" w:lastRowLastColumn="0"/>
          <w:trHeight w:val="540"/>
          <w:jc w:val="center"/>
        </w:trPr>
        <w:tc>
          <w:tcPr>
            <w:cnfStyle w:val="001000000000" w:firstRow="0" w:lastRow="0" w:firstColumn="1" w:lastColumn="0" w:oddVBand="0" w:evenVBand="0" w:oddHBand="0" w:evenHBand="0" w:firstRowFirstColumn="0" w:firstRowLastColumn="0" w:lastRowFirstColumn="0" w:lastRowLastColumn="0"/>
            <w:tcW w:w="1542" w:type="dxa"/>
            <w:hideMark/>
          </w:tcPr>
          <w:p w14:paraId="1B388ED0" w14:textId="77777777" w:rsidR="00285C0D" w:rsidRPr="00285C0D" w:rsidRDefault="00285C0D" w:rsidP="00285C0D">
            <w:pPr>
              <w:spacing w:line="240" w:lineRule="auto"/>
              <w:jc w:val="right"/>
              <w:rPr>
                <w:rFonts w:eastAsia="Times New Roman" w:cs="Times New Roman"/>
                <w:color w:val="000000"/>
                <w:sz w:val="20"/>
                <w:szCs w:val="20"/>
              </w:rPr>
            </w:pPr>
            <w:r w:rsidRPr="00285C0D">
              <w:rPr>
                <w:rFonts w:eastAsia="Times New Roman" w:cs="Times New Roman"/>
                <w:color w:val="000000"/>
                <w:sz w:val="20"/>
                <w:szCs w:val="20"/>
              </w:rPr>
              <w:t>Days Per Week</w:t>
            </w:r>
          </w:p>
        </w:tc>
        <w:tc>
          <w:tcPr>
            <w:tcW w:w="1265" w:type="dxa"/>
            <w:hideMark/>
          </w:tcPr>
          <w:p w14:paraId="63CB84C5" w14:textId="77777777"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285C0D">
              <w:rPr>
                <w:rFonts w:eastAsia="Times New Roman" w:cs="Times New Roman"/>
                <w:color w:val="000000"/>
                <w:sz w:val="20"/>
                <w:szCs w:val="20"/>
              </w:rPr>
              <w:t>Percent</w:t>
            </w:r>
          </w:p>
        </w:tc>
        <w:tc>
          <w:tcPr>
            <w:tcW w:w="1540" w:type="dxa"/>
            <w:hideMark/>
          </w:tcPr>
          <w:p w14:paraId="11B17726" w14:textId="77777777"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285C0D">
              <w:rPr>
                <w:rFonts w:eastAsia="Times New Roman" w:cs="Times New Roman"/>
                <w:color w:val="000000"/>
                <w:sz w:val="20"/>
                <w:szCs w:val="20"/>
              </w:rPr>
              <w:t>n</w:t>
            </w:r>
          </w:p>
        </w:tc>
        <w:tc>
          <w:tcPr>
            <w:tcW w:w="1447" w:type="dxa"/>
            <w:hideMark/>
          </w:tcPr>
          <w:p w14:paraId="6034B0C3" w14:textId="77777777"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285C0D">
              <w:rPr>
                <w:rFonts w:eastAsia="Times New Roman" w:cs="Times New Roman"/>
                <w:color w:val="000000"/>
                <w:sz w:val="20"/>
                <w:szCs w:val="20"/>
              </w:rPr>
              <w:t>Percent</w:t>
            </w:r>
          </w:p>
        </w:tc>
      </w:tr>
      <w:tr w:rsidR="00285C0D" w:rsidRPr="00285C0D" w14:paraId="3E6E5168" w14:textId="77777777" w:rsidTr="000F78AB">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42" w:type="dxa"/>
            <w:hideMark/>
          </w:tcPr>
          <w:p w14:paraId="7BB68D59" w14:textId="77777777" w:rsidR="00285C0D" w:rsidRPr="00285C0D" w:rsidRDefault="00285C0D" w:rsidP="00285C0D">
            <w:pPr>
              <w:spacing w:line="240" w:lineRule="auto"/>
              <w:jc w:val="right"/>
              <w:rPr>
                <w:rFonts w:eastAsia="Times New Roman" w:cs="Times New Roman"/>
                <w:color w:val="000000"/>
                <w:sz w:val="20"/>
                <w:szCs w:val="20"/>
              </w:rPr>
            </w:pPr>
            <w:r w:rsidRPr="00285C0D">
              <w:rPr>
                <w:rFonts w:eastAsia="Times New Roman" w:cs="Times New Roman"/>
                <w:color w:val="000000"/>
                <w:sz w:val="20"/>
                <w:szCs w:val="20"/>
              </w:rPr>
              <w:t>&lt; 1</w:t>
            </w:r>
          </w:p>
        </w:tc>
        <w:tc>
          <w:tcPr>
            <w:tcW w:w="1265" w:type="dxa"/>
            <w:hideMark/>
          </w:tcPr>
          <w:p w14:paraId="2559899E" w14:textId="2CD056DB" w:rsidR="00285C0D" w:rsidRPr="00285C0D" w:rsidRDefault="00285C0D" w:rsidP="00285C0D">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29.8</w:t>
            </w:r>
            <w:r w:rsidRPr="00285C0D">
              <w:rPr>
                <w:rFonts w:eastAsia="Times New Roman" w:cs="Times New Roman"/>
                <w:color w:val="000000"/>
                <w:sz w:val="20"/>
                <w:szCs w:val="20"/>
              </w:rPr>
              <w:t>%</w:t>
            </w:r>
          </w:p>
        </w:tc>
        <w:tc>
          <w:tcPr>
            <w:tcW w:w="1540" w:type="dxa"/>
            <w:hideMark/>
          </w:tcPr>
          <w:p w14:paraId="770136A8" w14:textId="77777777" w:rsidR="00285C0D" w:rsidRPr="00285C0D" w:rsidRDefault="00285C0D" w:rsidP="00285C0D">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285C0D">
              <w:rPr>
                <w:rFonts w:eastAsia="Times New Roman" w:cs="Times New Roman"/>
                <w:color w:val="000000"/>
                <w:sz w:val="20"/>
                <w:szCs w:val="20"/>
              </w:rPr>
              <w:t>-</w:t>
            </w:r>
          </w:p>
        </w:tc>
        <w:tc>
          <w:tcPr>
            <w:tcW w:w="1447" w:type="dxa"/>
            <w:hideMark/>
          </w:tcPr>
          <w:p w14:paraId="049AB715" w14:textId="77777777" w:rsidR="00285C0D" w:rsidRPr="00285C0D" w:rsidRDefault="00285C0D" w:rsidP="00285C0D">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285C0D">
              <w:rPr>
                <w:rFonts w:eastAsia="Times New Roman" w:cs="Times New Roman"/>
                <w:color w:val="000000"/>
                <w:sz w:val="20"/>
                <w:szCs w:val="20"/>
              </w:rPr>
              <w:t>-</w:t>
            </w:r>
          </w:p>
        </w:tc>
      </w:tr>
      <w:tr w:rsidR="00285C0D" w:rsidRPr="00285C0D" w14:paraId="063C3D5F" w14:textId="77777777" w:rsidTr="000F78AB">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42" w:type="dxa"/>
            <w:hideMark/>
          </w:tcPr>
          <w:p w14:paraId="2935E623" w14:textId="15C9961B" w:rsidR="00285C0D" w:rsidRPr="00285C0D" w:rsidRDefault="008A1BE1" w:rsidP="00285C0D">
            <w:pPr>
              <w:spacing w:line="240" w:lineRule="auto"/>
              <w:jc w:val="right"/>
              <w:rPr>
                <w:rFonts w:eastAsia="Times New Roman" w:cs="Times New Roman"/>
                <w:color w:val="000000"/>
                <w:sz w:val="20"/>
                <w:szCs w:val="20"/>
              </w:rPr>
            </w:pPr>
            <w:r>
              <w:rPr>
                <w:rFonts w:eastAsia="Times New Roman" w:cs="Times New Roman"/>
                <w:color w:val="000000"/>
                <w:sz w:val="20"/>
                <w:szCs w:val="20"/>
              </w:rPr>
              <w:t>1-2</w:t>
            </w:r>
          </w:p>
        </w:tc>
        <w:tc>
          <w:tcPr>
            <w:tcW w:w="1265" w:type="dxa"/>
            <w:hideMark/>
          </w:tcPr>
          <w:p w14:paraId="13CAA103" w14:textId="68446269"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8.3</w:t>
            </w:r>
            <w:r w:rsidRPr="00285C0D">
              <w:rPr>
                <w:rFonts w:eastAsia="Times New Roman" w:cs="Times New Roman"/>
                <w:color w:val="000000"/>
                <w:sz w:val="20"/>
                <w:szCs w:val="20"/>
              </w:rPr>
              <w:t>%</w:t>
            </w:r>
          </w:p>
        </w:tc>
        <w:tc>
          <w:tcPr>
            <w:tcW w:w="1540" w:type="dxa"/>
            <w:noWrap/>
            <w:hideMark/>
          </w:tcPr>
          <w:p w14:paraId="5F8FB0D4" w14:textId="77777777"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285C0D">
              <w:rPr>
                <w:rFonts w:eastAsia="Times New Roman" w:cs="Times New Roman"/>
                <w:color w:val="000000"/>
                <w:sz w:val="20"/>
                <w:szCs w:val="20"/>
              </w:rPr>
              <w:t>29</w:t>
            </w:r>
          </w:p>
        </w:tc>
        <w:tc>
          <w:tcPr>
            <w:tcW w:w="1447" w:type="dxa"/>
            <w:hideMark/>
          </w:tcPr>
          <w:p w14:paraId="267F8C75" w14:textId="2DFCDA6D"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17.3</w:t>
            </w:r>
            <w:r w:rsidRPr="00285C0D">
              <w:rPr>
                <w:rFonts w:eastAsia="Times New Roman" w:cs="Times New Roman"/>
                <w:color w:val="000000"/>
                <w:sz w:val="20"/>
                <w:szCs w:val="20"/>
              </w:rPr>
              <w:t>%</w:t>
            </w:r>
          </w:p>
        </w:tc>
      </w:tr>
      <w:tr w:rsidR="00285C0D" w:rsidRPr="00285C0D" w14:paraId="6B88E6B0" w14:textId="77777777" w:rsidTr="000F78AB">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42" w:type="dxa"/>
            <w:hideMark/>
          </w:tcPr>
          <w:p w14:paraId="500B2952" w14:textId="1325F34F" w:rsidR="00285C0D" w:rsidRPr="00285C0D" w:rsidRDefault="008A1BE1" w:rsidP="00285C0D">
            <w:pPr>
              <w:spacing w:line="240" w:lineRule="auto"/>
              <w:jc w:val="right"/>
              <w:rPr>
                <w:rFonts w:eastAsia="Times New Roman" w:cs="Times New Roman"/>
                <w:color w:val="000000"/>
                <w:sz w:val="20"/>
                <w:szCs w:val="20"/>
              </w:rPr>
            </w:pPr>
            <w:r>
              <w:rPr>
                <w:rFonts w:eastAsia="Times New Roman" w:cs="Times New Roman"/>
                <w:color w:val="000000"/>
                <w:sz w:val="20"/>
                <w:szCs w:val="20"/>
              </w:rPr>
              <w:t>3-4</w:t>
            </w:r>
          </w:p>
        </w:tc>
        <w:tc>
          <w:tcPr>
            <w:tcW w:w="1265" w:type="dxa"/>
            <w:hideMark/>
          </w:tcPr>
          <w:p w14:paraId="573D1763" w14:textId="56DB5FB0" w:rsidR="00285C0D" w:rsidRPr="00285C0D" w:rsidRDefault="00285C0D" w:rsidP="00285C0D">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17.0</w:t>
            </w:r>
            <w:r w:rsidRPr="00285C0D">
              <w:rPr>
                <w:rFonts w:eastAsia="Times New Roman" w:cs="Times New Roman"/>
                <w:color w:val="000000"/>
                <w:sz w:val="20"/>
                <w:szCs w:val="20"/>
              </w:rPr>
              <w:t>%</w:t>
            </w:r>
          </w:p>
        </w:tc>
        <w:tc>
          <w:tcPr>
            <w:tcW w:w="1540" w:type="dxa"/>
            <w:noWrap/>
            <w:hideMark/>
          </w:tcPr>
          <w:p w14:paraId="5DB720AE" w14:textId="77777777" w:rsidR="00285C0D" w:rsidRPr="00285C0D" w:rsidRDefault="00285C0D" w:rsidP="00285C0D">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285C0D">
              <w:rPr>
                <w:rFonts w:eastAsia="Times New Roman" w:cs="Times New Roman"/>
                <w:color w:val="000000"/>
                <w:sz w:val="20"/>
                <w:szCs w:val="20"/>
              </w:rPr>
              <w:t>23</w:t>
            </w:r>
          </w:p>
        </w:tc>
        <w:tc>
          <w:tcPr>
            <w:tcW w:w="1447" w:type="dxa"/>
            <w:hideMark/>
          </w:tcPr>
          <w:p w14:paraId="556DACBE" w14:textId="3985B3EB" w:rsidR="00285C0D" w:rsidRPr="00285C0D" w:rsidRDefault="00285C0D" w:rsidP="00285C0D">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13.7</w:t>
            </w:r>
            <w:r w:rsidRPr="00285C0D">
              <w:rPr>
                <w:rFonts w:eastAsia="Times New Roman" w:cs="Times New Roman"/>
                <w:color w:val="000000"/>
                <w:sz w:val="20"/>
                <w:szCs w:val="20"/>
              </w:rPr>
              <w:t>%</w:t>
            </w:r>
          </w:p>
        </w:tc>
      </w:tr>
      <w:tr w:rsidR="00285C0D" w:rsidRPr="00285C0D" w14:paraId="777149BD" w14:textId="77777777" w:rsidTr="000F78AB">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42" w:type="dxa"/>
            <w:hideMark/>
          </w:tcPr>
          <w:p w14:paraId="7E06DCD4" w14:textId="62E76310" w:rsidR="00285C0D" w:rsidRPr="00285C0D" w:rsidRDefault="008A1BE1" w:rsidP="00285C0D">
            <w:pPr>
              <w:spacing w:line="240" w:lineRule="auto"/>
              <w:jc w:val="right"/>
              <w:rPr>
                <w:rFonts w:eastAsia="Times New Roman" w:cs="Times New Roman"/>
                <w:color w:val="000000"/>
                <w:sz w:val="20"/>
                <w:szCs w:val="20"/>
              </w:rPr>
            </w:pPr>
            <w:r>
              <w:rPr>
                <w:rFonts w:eastAsia="Times New Roman" w:cs="Times New Roman"/>
                <w:color w:val="000000"/>
                <w:sz w:val="20"/>
                <w:szCs w:val="20"/>
              </w:rPr>
              <w:t>5-</w:t>
            </w:r>
            <w:r w:rsidR="00D05200">
              <w:rPr>
                <w:rFonts w:eastAsia="Times New Roman" w:cs="Times New Roman"/>
                <w:color w:val="000000"/>
                <w:sz w:val="20"/>
                <w:szCs w:val="20"/>
              </w:rPr>
              <w:t>7</w:t>
            </w:r>
          </w:p>
        </w:tc>
        <w:tc>
          <w:tcPr>
            <w:tcW w:w="1265" w:type="dxa"/>
            <w:hideMark/>
          </w:tcPr>
          <w:p w14:paraId="6852AA9F" w14:textId="7DA54834"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15.9</w:t>
            </w:r>
            <w:r w:rsidRPr="00285C0D">
              <w:rPr>
                <w:rFonts w:eastAsia="Times New Roman" w:cs="Times New Roman"/>
                <w:color w:val="000000"/>
                <w:sz w:val="20"/>
                <w:szCs w:val="20"/>
              </w:rPr>
              <w:t>%</w:t>
            </w:r>
          </w:p>
        </w:tc>
        <w:tc>
          <w:tcPr>
            <w:tcW w:w="1540" w:type="dxa"/>
            <w:noWrap/>
            <w:hideMark/>
          </w:tcPr>
          <w:p w14:paraId="46688E79" w14:textId="77777777"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285C0D">
              <w:rPr>
                <w:rFonts w:eastAsia="Times New Roman" w:cs="Times New Roman"/>
                <w:color w:val="000000"/>
                <w:sz w:val="20"/>
                <w:szCs w:val="20"/>
              </w:rPr>
              <w:t>7</w:t>
            </w:r>
          </w:p>
        </w:tc>
        <w:tc>
          <w:tcPr>
            <w:tcW w:w="1447" w:type="dxa"/>
            <w:hideMark/>
          </w:tcPr>
          <w:p w14:paraId="342E8356" w14:textId="15583AA7"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4.2</w:t>
            </w:r>
            <w:r w:rsidRPr="00285C0D">
              <w:rPr>
                <w:rFonts w:eastAsia="Times New Roman" w:cs="Times New Roman"/>
                <w:color w:val="000000"/>
                <w:sz w:val="20"/>
                <w:szCs w:val="20"/>
              </w:rPr>
              <w:t>%</w:t>
            </w:r>
          </w:p>
        </w:tc>
      </w:tr>
      <w:tr w:rsidR="00285C0D" w:rsidRPr="00285C0D" w14:paraId="1F31E71A" w14:textId="77777777" w:rsidTr="000F78AB">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42" w:type="dxa"/>
            <w:hideMark/>
          </w:tcPr>
          <w:p w14:paraId="5026CD26" w14:textId="77777777" w:rsidR="00285C0D" w:rsidRPr="00285C0D" w:rsidRDefault="00285C0D" w:rsidP="00285C0D">
            <w:pPr>
              <w:spacing w:line="240" w:lineRule="auto"/>
              <w:jc w:val="right"/>
              <w:rPr>
                <w:rFonts w:eastAsia="Times New Roman" w:cs="Times New Roman"/>
                <w:color w:val="000000"/>
                <w:sz w:val="20"/>
                <w:szCs w:val="20"/>
              </w:rPr>
            </w:pPr>
            <w:r w:rsidRPr="00285C0D">
              <w:rPr>
                <w:rFonts w:eastAsia="Times New Roman" w:cs="Times New Roman"/>
                <w:color w:val="000000"/>
                <w:sz w:val="20"/>
                <w:szCs w:val="20"/>
              </w:rPr>
              <w:t>Every Day</w:t>
            </w:r>
          </w:p>
        </w:tc>
        <w:tc>
          <w:tcPr>
            <w:tcW w:w="1265" w:type="dxa"/>
            <w:hideMark/>
          </w:tcPr>
          <w:p w14:paraId="7B98FD73" w14:textId="30E44E89" w:rsidR="00285C0D" w:rsidRPr="00285C0D" w:rsidRDefault="00285C0D" w:rsidP="00285C0D">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29.0</w:t>
            </w:r>
            <w:r w:rsidRPr="00285C0D">
              <w:rPr>
                <w:rFonts w:eastAsia="Times New Roman" w:cs="Times New Roman"/>
                <w:color w:val="000000"/>
                <w:sz w:val="20"/>
                <w:szCs w:val="20"/>
              </w:rPr>
              <w:t>%</w:t>
            </w:r>
          </w:p>
        </w:tc>
        <w:tc>
          <w:tcPr>
            <w:tcW w:w="1540" w:type="dxa"/>
            <w:noWrap/>
            <w:hideMark/>
          </w:tcPr>
          <w:p w14:paraId="37400C08" w14:textId="77777777" w:rsidR="00285C0D" w:rsidRPr="00285C0D" w:rsidRDefault="00285C0D" w:rsidP="00285C0D">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285C0D">
              <w:rPr>
                <w:rFonts w:eastAsia="Times New Roman" w:cs="Times New Roman"/>
                <w:color w:val="000000"/>
                <w:sz w:val="20"/>
                <w:szCs w:val="20"/>
              </w:rPr>
              <w:t>109</w:t>
            </w:r>
          </w:p>
        </w:tc>
        <w:tc>
          <w:tcPr>
            <w:tcW w:w="1447" w:type="dxa"/>
            <w:hideMark/>
          </w:tcPr>
          <w:p w14:paraId="2F1A4E12" w14:textId="0878208C" w:rsidR="00285C0D" w:rsidRPr="00285C0D" w:rsidRDefault="00285C0D" w:rsidP="00285C0D">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64.9</w:t>
            </w:r>
            <w:r w:rsidRPr="00285C0D">
              <w:rPr>
                <w:rFonts w:eastAsia="Times New Roman" w:cs="Times New Roman"/>
                <w:color w:val="000000"/>
                <w:sz w:val="20"/>
                <w:szCs w:val="20"/>
              </w:rPr>
              <w:t>%</w:t>
            </w:r>
          </w:p>
        </w:tc>
      </w:tr>
      <w:tr w:rsidR="00285C0D" w:rsidRPr="00285C0D" w14:paraId="30E23BEA" w14:textId="77777777" w:rsidTr="000F78AB">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542" w:type="dxa"/>
            <w:hideMark/>
          </w:tcPr>
          <w:p w14:paraId="587B8CC3" w14:textId="77777777" w:rsidR="00285C0D" w:rsidRPr="00285C0D" w:rsidRDefault="00285C0D" w:rsidP="00285C0D">
            <w:pPr>
              <w:spacing w:line="240" w:lineRule="auto"/>
              <w:jc w:val="right"/>
              <w:rPr>
                <w:rFonts w:eastAsia="Times New Roman" w:cs="Times New Roman"/>
                <w:b/>
                <w:bCs/>
                <w:color w:val="000000"/>
                <w:sz w:val="20"/>
                <w:szCs w:val="20"/>
              </w:rPr>
            </w:pPr>
            <w:r w:rsidRPr="00285C0D">
              <w:rPr>
                <w:rFonts w:eastAsia="Times New Roman" w:cs="Times New Roman"/>
                <w:b/>
                <w:bCs/>
                <w:color w:val="000000"/>
                <w:sz w:val="20"/>
                <w:szCs w:val="20"/>
              </w:rPr>
              <w:t>TOTAL</w:t>
            </w:r>
          </w:p>
        </w:tc>
        <w:tc>
          <w:tcPr>
            <w:tcW w:w="1265" w:type="dxa"/>
            <w:hideMark/>
          </w:tcPr>
          <w:p w14:paraId="16D3F726" w14:textId="423186B3"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Pr>
                <w:rFonts w:eastAsia="Times New Roman" w:cs="Times New Roman"/>
                <w:b/>
                <w:bCs/>
                <w:color w:val="000000"/>
                <w:sz w:val="20"/>
                <w:szCs w:val="20"/>
              </w:rPr>
              <w:t>100</w:t>
            </w:r>
            <w:r w:rsidRPr="00285C0D">
              <w:rPr>
                <w:rFonts w:eastAsia="Times New Roman" w:cs="Times New Roman"/>
                <w:b/>
                <w:bCs/>
                <w:color w:val="000000"/>
                <w:sz w:val="20"/>
                <w:szCs w:val="20"/>
              </w:rPr>
              <w:t>%</w:t>
            </w:r>
          </w:p>
        </w:tc>
        <w:tc>
          <w:tcPr>
            <w:tcW w:w="1540" w:type="dxa"/>
            <w:noWrap/>
            <w:hideMark/>
          </w:tcPr>
          <w:p w14:paraId="5CBD2C44" w14:textId="77777777"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285C0D">
              <w:rPr>
                <w:rFonts w:eastAsia="Times New Roman" w:cs="Times New Roman"/>
                <w:color w:val="000000"/>
                <w:sz w:val="20"/>
                <w:szCs w:val="20"/>
              </w:rPr>
              <w:t>168</w:t>
            </w:r>
          </w:p>
        </w:tc>
        <w:tc>
          <w:tcPr>
            <w:tcW w:w="1447" w:type="dxa"/>
            <w:hideMark/>
          </w:tcPr>
          <w:p w14:paraId="60582722" w14:textId="4505E164" w:rsidR="00285C0D" w:rsidRPr="00285C0D" w:rsidRDefault="00285C0D" w:rsidP="00285C0D">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Pr>
                <w:rFonts w:eastAsia="Times New Roman" w:cs="Times New Roman"/>
                <w:b/>
                <w:bCs/>
                <w:color w:val="000000"/>
                <w:sz w:val="20"/>
                <w:szCs w:val="20"/>
              </w:rPr>
              <w:t>100</w:t>
            </w:r>
            <w:r w:rsidRPr="00285C0D">
              <w:rPr>
                <w:rFonts w:eastAsia="Times New Roman" w:cs="Times New Roman"/>
                <w:b/>
                <w:bCs/>
                <w:color w:val="000000"/>
                <w:sz w:val="20"/>
                <w:szCs w:val="20"/>
              </w:rPr>
              <w:t>%</w:t>
            </w:r>
          </w:p>
        </w:tc>
      </w:tr>
    </w:tbl>
    <w:p w14:paraId="2C2B3634" w14:textId="77777777" w:rsidR="00F64B53" w:rsidRDefault="00F64B53" w:rsidP="006E4D5B"/>
    <w:p w14:paraId="434C15C8" w14:textId="70DEAFB1" w:rsidR="00EE4EB9" w:rsidRDefault="00A95B9C" w:rsidP="006E4D5B">
      <w:r w:rsidRPr="001A5C36">
        <w:rPr>
          <w:b/>
        </w:rPr>
        <w:fldChar w:fldCharType="begin"/>
      </w:r>
      <w:r w:rsidRPr="001A5C36">
        <w:rPr>
          <w:b/>
        </w:rPr>
        <w:instrText xml:space="preserve"> REF _Ref465932341 \h  \* MERGEFORMAT </w:instrText>
      </w:r>
      <w:r w:rsidRPr="001A5C36">
        <w:rPr>
          <w:b/>
        </w:rPr>
      </w:r>
      <w:r w:rsidRPr="001A5C36">
        <w:rPr>
          <w:b/>
        </w:rPr>
        <w:fldChar w:fldCharType="separate"/>
      </w:r>
      <w:r w:rsidR="00BF6769" w:rsidRPr="00BF6769">
        <w:rPr>
          <w:b/>
        </w:rPr>
        <w:t xml:space="preserve">Figure </w:t>
      </w:r>
      <w:r w:rsidR="00BF6769" w:rsidRPr="00BF6769">
        <w:rPr>
          <w:b/>
          <w:noProof/>
        </w:rPr>
        <w:t>3</w:t>
      </w:r>
      <w:r w:rsidRPr="001A5C36">
        <w:rPr>
          <w:b/>
        </w:rPr>
        <w:fldChar w:fldCharType="end"/>
      </w:r>
      <w:r>
        <w:t xml:space="preserve"> </w:t>
      </w:r>
      <w:r w:rsidR="00DE3F14">
        <w:t>plots the daily usage pattern of air cleaners indicating little variability ac</w:t>
      </w:r>
      <w:r w:rsidR="004243FA">
        <w:t>ro</w:t>
      </w:r>
      <w:r w:rsidR="00DE3F14">
        <w:t>ss days.</w:t>
      </w:r>
      <w:r w:rsidR="002906E5">
        <w:rPr>
          <w:rStyle w:val="FootnoteReference"/>
        </w:rPr>
        <w:footnoteReference w:id="17"/>
      </w:r>
      <w:r w:rsidR="00DE3F14">
        <w:t xml:space="preserve"> </w:t>
      </w:r>
      <w:r w:rsidR="001D03A2">
        <w:t>Across all types of respondents, m</w:t>
      </w:r>
      <w:r w:rsidR="001D03A2" w:rsidRPr="00CC4987">
        <w:t>ost respondents</w:t>
      </w:r>
      <w:r w:rsidR="001D03A2">
        <w:t xml:space="preserve"> </w:t>
      </w:r>
      <w:r w:rsidR="001D03A2" w:rsidRPr="00CC4987">
        <w:t>(</w:t>
      </w:r>
      <w:r w:rsidR="001D03A2" w:rsidRPr="00E00B7D">
        <w:rPr>
          <w:i/>
        </w:rPr>
        <w:t>n</w:t>
      </w:r>
      <w:r w:rsidR="001D03A2" w:rsidRPr="00CC4987">
        <w:t xml:space="preserve"> =</w:t>
      </w:r>
      <w:r w:rsidR="001D03A2">
        <w:t xml:space="preserve"> </w:t>
      </w:r>
      <w:r w:rsidR="001D03A2" w:rsidRPr="00CC4987">
        <w:t xml:space="preserve">522, 75.3%) </w:t>
      </w:r>
      <w:r w:rsidR="001D03A2">
        <w:t>indicated that they use their</w:t>
      </w:r>
      <w:r w:rsidR="006E4D5B">
        <w:t xml:space="preserve"> </w:t>
      </w:r>
      <w:r w:rsidR="001D03A2">
        <w:t xml:space="preserve">air cleaners every day of the week. </w:t>
      </w:r>
      <w:r w:rsidR="00073F3D">
        <w:t xml:space="preserve">The </w:t>
      </w:r>
      <w:r w:rsidR="00E17879">
        <w:t>days with the greatest reported usage are</w:t>
      </w:r>
      <w:r w:rsidR="00073F3D">
        <w:t xml:space="preserve"> </w:t>
      </w:r>
      <w:r w:rsidR="00073F3D" w:rsidRPr="00CC4987">
        <w:t>Saturdays (</w:t>
      </w:r>
      <w:r w:rsidR="00073F3D" w:rsidRPr="00E00B7D">
        <w:rPr>
          <w:i/>
        </w:rPr>
        <w:t>n</w:t>
      </w:r>
      <w:r w:rsidR="00073F3D" w:rsidRPr="00CC4987">
        <w:t xml:space="preserve"> = 581, 83.8%), Sundays (</w:t>
      </w:r>
      <w:r w:rsidR="00073F3D" w:rsidRPr="00E00B7D">
        <w:rPr>
          <w:i/>
        </w:rPr>
        <w:t>n</w:t>
      </w:r>
      <w:r w:rsidR="00073F3D" w:rsidRPr="00CC4987">
        <w:t xml:space="preserve"> = 575, 83.0%), and Mondays (</w:t>
      </w:r>
      <w:r w:rsidR="00073F3D" w:rsidRPr="00E00B7D">
        <w:rPr>
          <w:i/>
        </w:rPr>
        <w:t>n</w:t>
      </w:r>
      <w:r w:rsidR="00073F3D" w:rsidRPr="00CC4987">
        <w:t xml:space="preserve"> = 575, 83.0%). </w:t>
      </w:r>
    </w:p>
    <w:p w14:paraId="00CAACAF" w14:textId="77777777" w:rsidR="00073F3D" w:rsidRDefault="00073F3D" w:rsidP="006E4D5B">
      <w:pPr>
        <w:keepNext/>
      </w:pPr>
    </w:p>
    <w:p w14:paraId="0D889181" w14:textId="03BCFBC1" w:rsidR="002B3A65" w:rsidRDefault="002B3A65" w:rsidP="00F43A7D">
      <w:pPr>
        <w:pStyle w:val="Caption"/>
        <w:spacing w:before="0" w:after="0"/>
        <w:outlineLvl w:val="0"/>
      </w:pPr>
      <w:bookmarkStart w:id="22" w:name="_Ref465932341"/>
      <w:r>
        <w:t xml:space="preserve">Figure </w:t>
      </w:r>
      <w:r w:rsidR="002271A4">
        <w:fldChar w:fldCharType="begin"/>
      </w:r>
      <w:r w:rsidR="002271A4">
        <w:instrText xml:space="preserve"> SEQ Figure \* ARABIC </w:instrText>
      </w:r>
      <w:r w:rsidR="002271A4">
        <w:fldChar w:fldCharType="separate"/>
      </w:r>
      <w:r w:rsidR="00BF6769">
        <w:rPr>
          <w:noProof/>
        </w:rPr>
        <w:t>3</w:t>
      </w:r>
      <w:r w:rsidR="002271A4">
        <w:rPr>
          <w:noProof/>
        </w:rPr>
        <w:fldChar w:fldCharType="end"/>
      </w:r>
      <w:bookmarkEnd w:id="22"/>
      <w:r>
        <w:t xml:space="preserve">. Air Cleaner </w:t>
      </w:r>
      <w:r w:rsidR="00DE3F14">
        <w:t xml:space="preserve">Daily </w:t>
      </w:r>
      <w:r>
        <w:t>Use Patterns</w:t>
      </w:r>
    </w:p>
    <w:p w14:paraId="17229A2D" w14:textId="0E2CD0F8" w:rsidR="00A03FA0" w:rsidRDefault="00944FEB" w:rsidP="00A03FA0">
      <w:pPr>
        <w:keepNext/>
        <w:contextualSpacing/>
        <w:rPr>
          <w:rFonts w:ascii="Proxima Nova" w:hAnsi="Proxima Nova"/>
          <w:color w:val="191919" w:themeColor="text1"/>
          <w:szCs w:val="22"/>
        </w:rPr>
      </w:pPr>
      <w:r>
        <w:rPr>
          <w:noProof/>
        </w:rPr>
        <w:drawing>
          <wp:inline distT="0" distB="0" distL="0" distR="0" wp14:anchorId="37ABCA73" wp14:editId="548271FF">
            <wp:extent cx="4660900" cy="2946400"/>
            <wp:effectExtent l="0" t="0" r="1270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60900" cy="2946400"/>
                    </a:xfrm>
                    <a:prstGeom prst="rect">
                      <a:avLst/>
                    </a:prstGeom>
                  </pic:spPr>
                </pic:pic>
              </a:graphicData>
            </a:graphic>
          </wp:inline>
        </w:drawing>
      </w:r>
    </w:p>
    <w:p w14:paraId="0A00D65E" w14:textId="749E20CB" w:rsidR="00861517" w:rsidRDefault="00861517" w:rsidP="00F43A7D">
      <w:pPr>
        <w:pStyle w:val="ESMemoHeading3"/>
        <w:outlineLvl w:val="0"/>
      </w:pPr>
      <w:r>
        <w:t>HOU Estimation</w:t>
      </w:r>
    </w:p>
    <w:p w14:paraId="0D489255" w14:textId="53BB7606" w:rsidR="00B71D3E" w:rsidRPr="004B24BA" w:rsidRDefault="00AE7F47" w:rsidP="00B71D3E">
      <w:r>
        <w:t>Average annual</w:t>
      </w:r>
      <w:r w:rsidR="00DE3F14">
        <w:t xml:space="preserve"> </w:t>
      </w:r>
      <w:r w:rsidR="007F7FB5">
        <w:t>HOU was computed by taking the product of reported hours per day</w:t>
      </w:r>
      <w:r w:rsidR="00F563A7">
        <w:t xml:space="preserve"> (separately for weekdays and weekends)</w:t>
      </w:r>
      <w:r w:rsidR="007F7FB5">
        <w:t>, days</w:t>
      </w:r>
      <w:r w:rsidR="00F563A7">
        <w:t>/week</w:t>
      </w:r>
      <w:r w:rsidR="007F7FB5">
        <w:t xml:space="preserve"> used, months used, and the average number of weeks in a month</w:t>
      </w:r>
      <w:r w:rsidR="004B24BA">
        <w:t xml:space="preserve">: </w:t>
      </w:r>
      <w:r w:rsidR="004B24BA" w:rsidRPr="004B24BA">
        <w:t>HOU = (H</w:t>
      </w:r>
      <w:r w:rsidR="00D6433D">
        <w:t xml:space="preserve">ours per </w:t>
      </w:r>
      <w:r w:rsidR="004B24BA" w:rsidRPr="004B24BA">
        <w:t xml:space="preserve">Day </w:t>
      </w:r>
      <w:r w:rsidR="00FC2E84">
        <w:t>U</w:t>
      </w:r>
      <w:r w:rsidR="004B24BA" w:rsidRPr="004B24BA">
        <w:t xml:space="preserve">sed x Total </w:t>
      </w:r>
      <w:r w:rsidR="00FC2E84">
        <w:t>D</w:t>
      </w:r>
      <w:r w:rsidR="004B24BA" w:rsidRPr="004B24BA">
        <w:t xml:space="preserve">ays </w:t>
      </w:r>
      <w:r w:rsidR="00FC2E84">
        <w:t>U</w:t>
      </w:r>
      <w:r w:rsidR="004B24BA" w:rsidRPr="004B24BA">
        <w:t>sed</w:t>
      </w:r>
      <w:r w:rsidR="00D6433D">
        <w:t xml:space="preserve"> per Week</w:t>
      </w:r>
      <w:r w:rsidR="004B24BA" w:rsidRPr="004B24BA">
        <w:t xml:space="preserve"> x </w:t>
      </w:r>
      <w:r w:rsidR="00D6433D">
        <w:t>4.33</w:t>
      </w:r>
      <w:r w:rsidR="00D6433D" w:rsidRPr="004B24BA">
        <w:t xml:space="preserve"> </w:t>
      </w:r>
      <w:r w:rsidR="00D6433D">
        <w:t>W</w:t>
      </w:r>
      <w:r w:rsidR="00D6433D" w:rsidRPr="004B24BA">
        <w:t xml:space="preserve">eeks per </w:t>
      </w:r>
      <w:r w:rsidR="00D6433D">
        <w:t>Month</w:t>
      </w:r>
      <w:r w:rsidR="00D6433D" w:rsidRPr="004B24BA">
        <w:t xml:space="preserve"> </w:t>
      </w:r>
      <w:r w:rsidR="00D6433D">
        <w:t xml:space="preserve">x </w:t>
      </w:r>
      <w:r w:rsidR="004B24BA" w:rsidRPr="004B24BA">
        <w:t xml:space="preserve">Total </w:t>
      </w:r>
      <w:r w:rsidR="00FC2E84">
        <w:t>M</w:t>
      </w:r>
      <w:r w:rsidR="004B24BA" w:rsidRPr="004B24BA">
        <w:t xml:space="preserve">onths </w:t>
      </w:r>
      <w:r w:rsidR="00FC2E84">
        <w:t>U</w:t>
      </w:r>
      <w:r w:rsidR="004B24BA" w:rsidRPr="004B24BA">
        <w:t>sed)</w:t>
      </w:r>
      <w:r w:rsidR="004B24BA">
        <w:t>.</w:t>
      </w:r>
      <w:r w:rsidR="006676F7">
        <w:t xml:space="preserve"> </w:t>
      </w:r>
      <w:r w:rsidR="00EF7A1E">
        <w:t xml:space="preserve">This was performed for each respondent individually. We then took the average of these </w:t>
      </w:r>
      <w:r w:rsidR="000E5672">
        <w:t xml:space="preserve">individual </w:t>
      </w:r>
      <w:r w:rsidR="00EF7A1E">
        <w:lastRenderedPageBreak/>
        <w:t xml:space="preserve">HOU values to produce our overall HOU estimate. </w:t>
      </w:r>
      <w:r w:rsidR="005B60EF">
        <w:t>An example computation sequence is</w:t>
      </w:r>
      <w:r w:rsidR="00936AC9">
        <w:t xml:space="preserve"> shown in </w:t>
      </w:r>
      <w:r w:rsidR="001A5C36" w:rsidRPr="001A5C36">
        <w:rPr>
          <w:b/>
        </w:rPr>
        <w:fldChar w:fldCharType="begin"/>
      </w:r>
      <w:r w:rsidR="001A5C36" w:rsidRPr="001A5C36">
        <w:rPr>
          <w:b/>
        </w:rPr>
        <w:instrText xml:space="preserve"> REF _Ref470604499 \h </w:instrText>
      </w:r>
      <w:r w:rsidR="001A5C36">
        <w:rPr>
          <w:b/>
        </w:rPr>
        <w:instrText xml:space="preserve"> \* MERGEFORMAT </w:instrText>
      </w:r>
      <w:r w:rsidR="001A5C36" w:rsidRPr="001A5C36">
        <w:rPr>
          <w:b/>
        </w:rPr>
      </w:r>
      <w:r w:rsidR="001A5C36" w:rsidRPr="001A5C36">
        <w:rPr>
          <w:b/>
        </w:rPr>
        <w:fldChar w:fldCharType="separate"/>
      </w:r>
      <w:r w:rsidR="00BF6769" w:rsidRPr="00BF6769">
        <w:rPr>
          <w:b/>
        </w:rPr>
        <w:t xml:space="preserve">Table </w:t>
      </w:r>
      <w:r w:rsidR="00BF6769" w:rsidRPr="00BF6769">
        <w:rPr>
          <w:b/>
          <w:noProof/>
        </w:rPr>
        <w:t>13</w:t>
      </w:r>
      <w:r w:rsidR="001A5C36" w:rsidRPr="001A5C36">
        <w:rPr>
          <w:b/>
        </w:rPr>
        <w:fldChar w:fldCharType="end"/>
      </w:r>
      <w:r w:rsidR="001A5C36">
        <w:t>.</w:t>
      </w:r>
    </w:p>
    <w:p w14:paraId="56BC945E" w14:textId="3D2729C7" w:rsidR="006676F7" w:rsidRDefault="00D44156" w:rsidP="00F43A7D">
      <w:pPr>
        <w:pStyle w:val="Caption"/>
        <w:outlineLvl w:val="0"/>
      </w:pPr>
      <w:bookmarkStart w:id="23" w:name="_Ref470604499"/>
      <w:r>
        <w:t xml:space="preserve">Table </w:t>
      </w:r>
      <w:r w:rsidR="002271A4">
        <w:fldChar w:fldCharType="begin"/>
      </w:r>
      <w:r w:rsidR="002271A4">
        <w:instrText xml:space="preserve"> SEQ Table \* ARABIC </w:instrText>
      </w:r>
      <w:r w:rsidR="002271A4">
        <w:fldChar w:fldCharType="separate"/>
      </w:r>
      <w:r w:rsidR="00BF6769">
        <w:rPr>
          <w:noProof/>
        </w:rPr>
        <w:t>13</w:t>
      </w:r>
      <w:r w:rsidR="002271A4">
        <w:rPr>
          <w:noProof/>
        </w:rPr>
        <w:fldChar w:fldCharType="end"/>
      </w:r>
      <w:bookmarkEnd w:id="23"/>
      <w:r>
        <w:t>. Example HOU Estimate for a Single Respondent</w:t>
      </w:r>
    </w:p>
    <w:tbl>
      <w:tblPr>
        <w:tblStyle w:val="EMITable"/>
        <w:tblW w:w="0" w:type="auto"/>
        <w:jc w:val="center"/>
        <w:tblLayout w:type="fixed"/>
        <w:tblLook w:val="04A0" w:firstRow="1" w:lastRow="0" w:firstColumn="1" w:lastColumn="0" w:noHBand="0" w:noVBand="1"/>
      </w:tblPr>
      <w:tblGrid>
        <w:gridCol w:w="899"/>
        <w:gridCol w:w="900"/>
        <w:gridCol w:w="919"/>
        <w:gridCol w:w="878"/>
        <w:gridCol w:w="922"/>
        <w:gridCol w:w="875"/>
        <w:gridCol w:w="1003"/>
        <w:gridCol w:w="1168"/>
        <w:gridCol w:w="1006"/>
        <w:gridCol w:w="1006"/>
      </w:tblGrid>
      <w:tr w:rsidR="00BF4BE7" w:rsidRPr="00D94800" w14:paraId="4683A792" w14:textId="298D7EAF" w:rsidTr="000F78AB">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718" w:type="dxa"/>
            <w:gridSpan w:val="3"/>
          </w:tcPr>
          <w:p w14:paraId="147890C4" w14:textId="616A361D" w:rsidR="00BF4BE7" w:rsidRPr="00D94800" w:rsidRDefault="00BF4BE7" w:rsidP="006676F7">
            <w:pPr>
              <w:rPr>
                <w:sz w:val="18"/>
              </w:rPr>
            </w:pPr>
            <w:r w:rsidRPr="00D94800">
              <w:rPr>
                <w:sz w:val="18"/>
              </w:rPr>
              <w:t>Weekdays</w:t>
            </w:r>
          </w:p>
        </w:tc>
        <w:tc>
          <w:tcPr>
            <w:tcW w:w="2675" w:type="dxa"/>
            <w:gridSpan w:val="3"/>
          </w:tcPr>
          <w:p w14:paraId="0B30CB0D" w14:textId="704BB4DE" w:rsidR="00BF4BE7" w:rsidRPr="00D94800" w:rsidRDefault="00BF4BE7" w:rsidP="006676F7">
            <w:pPr>
              <w:cnfStyle w:val="100000000000" w:firstRow="1" w:lastRow="0" w:firstColumn="0" w:lastColumn="0" w:oddVBand="0" w:evenVBand="0" w:oddHBand="0" w:evenHBand="0" w:firstRowFirstColumn="0" w:firstRowLastColumn="0" w:lastRowFirstColumn="0" w:lastRowLastColumn="0"/>
              <w:rPr>
                <w:sz w:val="18"/>
              </w:rPr>
            </w:pPr>
            <w:r w:rsidRPr="00D94800">
              <w:rPr>
                <w:sz w:val="18"/>
              </w:rPr>
              <w:t>Weekends</w:t>
            </w:r>
          </w:p>
        </w:tc>
        <w:tc>
          <w:tcPr>
            <w:tcW w:w="1003" w:type="dxa"/>
            <w:vMerge w:val="restart"/>
            <w:vAlign w:val="bottom"/>
          </w:tcPr>
          <w:p w14:paraId="54F6B04E" w14:textId="77777777" w:rsidR="00BF4BE7" w:rsidRDefault="00BF4BE7" w:rsidP="00BF4BE7">
            <w:pPr>
              <w:cnfStyle w:val="100000000000" w:firstRow="1" w:lastRow="0" w:firstColumn="0" w:lastColumn="0" w:oddVBand="0" w:evenVBand="0" w:oddHBand="0" w:evenHBand="0" w:firstRowFirstColumn="0" w:firstRowLastColumn="0" w:lastRowFirstColumn="0" w:lastRowLastColumn="0"/>
              <w:rPr>
                <w:sz w:val="18"/>
              </w:rPr>
            </w:pPr>
            <w:r w:rsidRPr="00D94800">
              <w:rPr>
                <w:sz w:val="18"/>
              </w:rPr>
              <w:t>Total Hours/</w:t>
            </w:r>
          </w:p>
          <w:p w14:paraId="5C9F5C91" w14:textId="74FEB6F7" w:rsidR="00BF4BE7" w:rsidRPr="00D94800" w:rsidRDefault="00BF4BE7" w:rsidP="00BF4BE7">
            <w:pPr>
              <w:cnfStyle w:val="100000000000" w:firstRow="1" w:lastRow="0" w:firstColumn="0" w:lastColumn="0" w:oddVBand="0" w:evenVBand="0" w:oddHBand="0" w:evenHBand="0" w:firstRowFirstColumn="0" w:firstRowLastColumn="0" w:lastRowFirstColumn="0" w:lastRowLastColumn="0"/>
              <w:rPr>
                <w:sz w:val="18"/>
              </w:rPr>
            </w:pPr>
            <w:r w:rsidRPr="00D94800">
              <w:rPr>
                <w:sz w:val="18"/>
              </w:rPr>
              <w:t>Week</w:t>
            </w:r>
          </w:p>
        </w:tc>
        <w:tc>
          <w:tcPr>
            <w:tcW w:w="1168" w:type="dxa"/>
            <w:vMerge w:val="restart"/>
            <w:vAlign w:val="bottom"/>
          </w:tcPr>
          <w:p w14:paraId="40E9FDC7" w14:textId="1BF1DAD8" w:rsidR="00BF4BE7" w:rsidRDefault="00BF4BE7" w:rsidP="00BF4BE7">
            <w:pPr>
              <w:cnfStyle w:val="100000000000" w:firstRow="1" w:lastRow="0" w:firstColumn="0" w:lastColumn="0" w:oddVBand="0" w:evenVBand="0" w:oddHBand="0" w:evenHBand="0" w:firstRowFirstColumn="0" w:firstRowLastColumn="0" w:lastRowFirstColumn="0" w:lastRowLastColumn="0"/>
              <w:rPr>
                <w:sz w:val="18"/>
              </w:rPr>
            </w:pPr>
            <w:r w:rsidRPr="00D94800">
              <w:rPr>
                <w:sz w:val="18"/>
              </w:rPr>
              <w:t xml:space="preserve">Mean </w:t>
            </w:r>
            <w:r>
              <w:rPr>
                <w:sz w:val="18"/>
              </w:rPr>
              <w:t>#</w:t>
            </w:r>
            <w:r w:rsidRPr="00D94800">
              <w:rPr>
                <w:sz w:val="18"/>
              </w:rPr>
              <w:t xml:space="preserve"> Weeks/</w:t>
            </w:r>
          </w:p>
          <w:p w14:paraId="3441BB5E" w14:textId="10AE737B" w:rsidR="00BF4BE7" w:rsidRPr="00D94800" w:rsidRDefault="00BF4BE7" w:rsidP="00BF4BE7">
            <w:pPr>
              <w:cnfStyle w:val="100000000000" w:firstRow="1" w:lastRow="0" w:firstColumn="0" w:lastColumn="0" w:oddVBand="0" w:evenVBand="0" w:oddHBand="0" w:evenHBand="0" w:firstRowFirstColumn="0" w:firstRowLastColumn="0" w:lastRowFirstColumn="0" w:lastRowLastColumn="0"/>
              <w:rPr>
                <w:sz w:val="18"/>
              </w:rPr>
            </w:pPr>
            <w:r w:rsidRPr="00D94800">
              <w:rPr>
                <w:sz w:val="18"/>
              </w:rPr>
              <w:t>Month</w:t>
            </w:r>
          </w:p>
        </w:tc>
        <w:tc>
          <w:tcPr>
            <w:tcW w:w="1006" w:type="dxa"/>
            <w:vMerge w:val="restart"/>
            <w:vAlign w:val="bottom"/>
          </w:tcPr>
          <w:p w14:paraId="4479FCC2" w14:textId="64B35F8F" w:rsidR="00BF4BE7" w:rsidRPr="00D94800" w:rsidRDefault="00BF4BE7" w:rsidP="00BF4BE7">
            <w:pPr>
              <w:cnfStyle w:val="100000000000" w:firstRow="1" w:lastRow="0" w:firstColumn="0" w:lastColumn="0" w:oddVBand="0" w:evenVBand="0" w:oddHBand="0" w:evenHBand="0" w:firstRowFirstColumn="0" w:firstRowLastColumn="0" w:lastRowFirstColumn="0" w:lastRowLastColumn="0"/>
              <w:rPr>
                <w:sz w:val="18"/>
              </w:rPr>
            </w:pPr>
            <w:r>
              <w:rPr>
                <w:sz w:val="18"/>
              </w:rPr>
              <w:t>Months Used Per Year</w:t>
            </w:r>
          </w:p>
        </w:tc>
        <w:tc>
          <w:tcPr>
            <w:tcW w:w="1006" w:type="dxa"/>
            <w:vMerge w:val="restart"/>
            <w:vAlign w:val="bottom"/>
          </w:tcPr>
          <w:p w14:paraId="58BDDD0A" w14:textId="76F08960" w:rsidR="00BF4BE7" w:rsidRPr="00D94800" w:rsidRDefault="00BF4BE7" w:rsidP="00BF4BE7">
            <w:pPr>
              <w:cnfStyle w:val="100000000000" w:firstRow="1" w:lastRow="0" w:firstColumn="0" w:lastColumn="0" w:oddVBand="0" w:evenVBand="0" w:oddHBand="0" w:evenHBand="0" w:firstRowFirstColumn="0" w:firstRowLastColumn="0" w:lastRowFirstColumn="0" w:lastRowLastColumn="0"/>
              <w:rPr>
                <w:sz w:val="18"/>
              </w:rPr>
            </w:pPr>
            <w:r w:rsidRPr="00D94800">
              <w:rPr>
                <w:sz w:val="18"/>
              </w:rPr>
              <w:t>HOU Estimate</w:t>
            </w:r>
          </w:p>
        </w:tc>
      </w:tr>
      <w:tr w:rsidR="00D23A7F" w:rsidRPr="00D94800" w14:paraId="1A59CA1B" w14:textId="77777777" w:rsidTr="00BF4BE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9" w:type="dxa"/>
            <w:vAlign w:val="bottom"/>
          </w:tcPr>
          <w:p w14:paraId="7AC54CC2" w14:textId="77777777" w:rsidR="00BF4BE7" w:rsidRPr="00BF4BE7" w:rsidRDefault="00BF4BE7" w:rsidP="00BF4BE7">
            <w:pPr>
              <w:jc w:val="center"/>
              <w:rPr>
                <w:b/>
                <w:sz w:val="16"/>
                <w:szCs w:val="16"/>
              </w:rPr>
            </w:pPr>
            <w:r w:rsidRPr="00BF4BE7">
              <w:rPr>
                <w:b/>
                <w:sz w:val="16"/>
                <w:szCs w:val="16"/>
              </w:rPr>
              <w:t>Hours/</w:t>
            </w:r>
          </w:p>
          <w:p w14:paraId="488597D7" w14:textId="2A40585E" w:rsidR="00BF4BE7" w:rsidRPr="00BF4BE7" w:rsidRDefault="00BF4BE7" w:rsidP="00BF4BE7">
            <w:pPr>
              <w:jc w:val="center"/>
              <w:rPr>
                <w:b/>
                <w:sz w:val="16"/>
                <w:szCs w:val="16"/>
              </w:rPr>
            </w:pPr>
            <w:r w:rsidRPr="00BF4BE7">
              <w:rPr>
                <w:b/>
                <w:sz w:val="16"/>
                <w:szCs w:val="16"/>
              </w:rPr>
              <w:t>Day</w:t>
            </w:r>
          </w:p>
        </w:tc>
        <w:tc>
          <w:tcPr>
            <w:tcW w:w="900" w:type="dxa"/>
            <w:vAlign w:val="bottom"/>
          </w:tcPr>
          <w:p w14:paraId="72FE11AD" w14:textId="77777777" w:rsidR="00BF4BE7" w:rsidRDefault="00BF4BE7" w:rsidP="00BF4BE7">
            <w:pPr>
              <w:jc w:val="center"/>
              <w:cnfStyle w:val="000000100000" w:firstRow="0" w:lastRow="0" w:firstColumn="0" w:lastColumn="0" w:oddVBand="0" w:evenVBand="0" w:oddHBand="1" w:evenHBand="0" w:firstRowFirstColumn="0" w:firstRowLastColumn="0" w:lastRowFirstColumn="0" w:lastRowLastColumn="0"/>
              <w:rPr>
                <w:b/>
                <w:sz w:val="16"/>
                <w:szCs w:val="16"/>
              </w:rPr>
            </w:pPr>
            <w:r w:rsidRPr="00BF4BE7">
              <w:rPr>
                <w:b/>
                <w:sz w:val="16"/>
                <w:szCs w:val="16"/>
              </w:rPr>
              <w:t>Days</w:t>
            </w:r>
            <w:r w:rsidR="004E01A2">
              <w:rPr>
                <w:b/>
                <w:sz w:val="16"/>
                <w:szCs w:val="16"/>
              </w:rPr>
              <w:t>/</w:t>
            </w:r>
          </w:p>
          <w:p w14:paraId="481EF3FD" w14:textId="3B33C4CA" w:rsidR="004E01A2" w:rsidRPr="00BF4BE7" w:rsidRDefault="004E01A2" w:rsidP="00BF4BE7">
            <w:pPr>
              <w:jc w:val="center"/>
              <w:cnfStyle w:val="000000100000" w:firstRow="0" w:lastRow="0" w:firstColumn="0" w:lastColumn="0" w:oddVBand="0" w:evenVBand="0" w:oddHBand="1" w:evenHBand="0" w:firstRowFirstColumn="0" w:firstRowLastColumn="0" w:lastRowFirstColumn="0" w:lastRowLastColumn="0"/>
              <w:rPr>
                <w:b/>
                <w:sz w:val="16"/>
                <w:szCs w:val="16"/>
              </w:rPr>
            </w:pPr>
            <w:r>
              <w:rPr>
                <w:b/>
                <w:sz w:val="16"/>
                <w:szCs w:val="16"/>
              </w:rPr>
              <w:t>Week</w:t>
            </w:r>
          </w:p>
        </w:tc>
        <w:tc>
          <w:tcPr>
            <w:tcW w:w="919" w:type="dxa"/>
            <w:vAlign w:val="bottom"/>
          </w:tcPr>
          <w:p w14:paraId="3C6526C6" w14:textId="49D9D713" w:rsidR="00BF4BE7" w:rsidRPr="00BF4BE7" w:rsidRDefault="00BF4BE7" w:rsidP="00BF4BE7">
            <w:pPr>
              <w:jc w:val="center"/>
              <w:cnfStyle w:val="000000100000" w:firstRow="0" w:lastRow="0" w:firstColumn="0" w:lastColumn="0" w:oddVBand="0" w:evenVBand="0" w:oddHBand="1" w:evenHBand="0" w:firstRowFirstColumn="0" w:firstRowLastColumn="0" w:lastRowFirstColumn="0" w:lastRowLastColumn="0"/>
              <w:rPr>
                <w:b/>
                <w:sz w:val="16"/>
                <w:szCs w:val="16"/>
              </w:rPr>
            </w:pPr>
            <w:r w:rsidRPr="00BF4BE7">
              <w:rPr>
                <w:b/>
                <w:sz w:val="16"/>
                <w:szCs w:val="16"/>
              </w:rPr>
              <w:t>Total # Hours</w:t>
            </w:r>
          </w:p>
        </w:tc>
        <w:tc>
          <w:tcPr>
            <w:tcW w:w="878" w:type="dxa"/>
            <w:vAlign w:val="bottom"/>
          </w:tcPr>
          <w:p w14:paraId="47CF0379" w14:textId="77777777" w:rsidR="00BF4BE7" w:rsidRPr="00BF4BE7" w:rsidRDefault="00BF4BE7" w:rsidP="00BF4BE7">
            <w:pPr>
              <w:jc w:val="center"/>
              <w:cnfStyle w:val="000000100000" w:firstRow="0" w:lastRow="0" w:firstColumn="0" w:lastColumn="0" w:oddVBand="0" w:evenVBand="0" w:oddHBand="1" w:evenHBand="0" w:firstRowFirstColumn="0" w:firstRowLastColumn="0" w:lastRowFirstColumn="0" w:lastRowLastColumn="0"/>
              <w:rPr>
                <w:b/>
                <w:sz w:val="16"/>
                <w:szCs w:val="16"/>
              </w:rPr>
            </w:pPr>
            <w:r w:rsidRPr="00BF4BE7">
              <w:rPr>
                <w:b/>
                <w:sz w:val="16"/>
                <w:szCs w:val="16"/>
              </w:rPr>
              <w:t>Hours/</w:t>
            </w:r>
          </w:p>
          <w:p w14:paraId="6683056D" w14:textId="7CB0C405" w:rsidR="00BF4BE7" w:rsidRPr="00BF4BE7" w:rsidRDefault="00BF4BE7" w:rsidP="00BF4BE7">
            <w:pPr>
              <w:jc w:val="center"/>
              <w:cnfStyle w:val="000000100000" w:firstRow="0" w:lastRow="0" w:firstColumn="0" w:lastColumn="0" w:oddVBand="0" w:evenVBand="0" w:oddHBand="1" w:evenHBand="0" w:firstRowFirstColumn="0" w:firstRowLastColumn="0" w:lastRowFirstColumn="0" w:lastRowLastColumn="0"/>
              <w:rPr>
                <w:b/>
                <w:sz w:val="16"/>
                <w:szCs w:val="16"/>
              </w:rPr>
            </w:pPr>
            <w:r w:rsidRPr="00BF4BE7">
              <w:rPr>
                <w:b/>
                <w:sz w:val="16"/>
                <w:szCs w:val="16"/>
              </w:rPr>
              <w:t>Day</w:t>
            </w:r>
          </w:p>
        </w:tc>
        <w:tc>
          <w:tcPr>
            <w:tcW w:w="922" w:type="dxa"/>
            <w:vAlign w:val="bottom"/>
          </w:tcPr>
          <w:p w14:paraId="641FE94C" w14:textId="77777777" w:rsidR="00BF4BE7" w:rsidRDefault="00BF4BE7" w:rsidP="00BF4BE7">
            <w:pPr>
              <w:jc w:val="center"/>
              <w:cnfStyle w:val="000000100000" w:firstRow="0" w:lastRow="0" w:firstColumn="0" w:lastColumn="0" w:oddVBand="0" w:evenVBand="0" w:oddHBand="1" w:evenHBand="0" w:firstRowFirstColumn="0" w:firstRowLastColumn="0" w:lastRowFirstColumn="0" w:lastRowLastColumn="0"/>
              <w:rPr>
                <w:b/>
                <w:sz w:val="16"/>
                <w:szCs w:val="16"/>
              </w:rPr>
            </w:pPr>
            <w:r w:rsidRPr="00BF4BE7">
              <w:rPr>
                <w:b/>
                <w:sz w:val="16"/>
                <w:szCs w:val="16"/>
              </w:rPr>
              <w:t>Days</w:t>
            </w:r>
            <w:r w:rsidR="004E01A2">
              <w:rPr>
                <w:b/>
                <w:sz w:val="16"/>
                <w:szCs w:val="16"/>
              </w:rPr>
              <w:t>/</w:t>
            </w:r>
          </w:p>
          <w:p w14:paraId="4B74229B" w14:textId="5BBA50F6" w:rsidR="004E01A2" w:rsidRPr="00BF4BE7" w:rsidRDefault="004E01A2" w:rsidP="00BF4BE7">
            <w:pPr>
              <w:jc w:val="center"/>
              <w:cnfStyle w:val="000000100000" w:firstRow="0" w:lastRow="0" w:firstColumn="0" w:lastColumn="0" w:oddVBand="0" w:evenVBand="0" w:oddHBand="1" w:evenHBand="0" w:firstRowFirstColumn="0" w:firstRowLastColumn="0" w:lastRowFirstColumn="0" w:lastRowLastColumn="0"/>
              <w:rPr>
                <w:b/>
                <w:sz w:val="16"/>
                <w:szCs w:val="16"/>
              </w:rPr>
            </w:pPr>
            <w:r>
              <w:rPr>
                <w:b/>
                <w:sz w:val="16"/>
                <w:szCs w:val="16"/>
              </w:rPr>
              <w:t>Weekend</w:t>
            </w:r>
          </w:p>
        </w:tc>
        <w:tc>
          <w:tcPr>
            <w:tcW w:w="875" w:type="dxa"/>
            <w:vAlign w:val="bottom"/>
          </w:tcPr>
          <w:p w14:paraId="41605F63" w14:textId="2E38CB85" w:rsidR="00BF4BE7" w:rsidRPr="00BF4BE7" w:rsidRDefault="00BF4BE7" w:rsidP="00BF4BE7">
            <w:pPr>
              <w:jc w:val="center"/>
              <w:cnfStyle w:val="000000100000" w:firstRow="0" w:lastRow="0" w:firstColumn="0" w:lastColumn="0" w:oddVBand="0" w:evenVBand="0" w:oddHBand="1" w:evenHBand="0" w:firstRowFirstColumn="0" w:firstRowLastColumn="0" w:lastRowFirstColumn="0" w:lastRowLastColumn="0"/>
              <w:rPr>
                <w:b/>
                <w:sz w:val="16"/>
                <w:szCs w:val="16"/>
              </w:rPr>
            </w:pPr>
            <w:r w:rsidRPr="00BF4BE7">
              <w:rPr>
                <w:b/>
                <w:sz w:val="16"/>
                <w:szCs w:val="16"/>
              </w:rPr>
              <w:t>Total # Hours</w:t>
            </w:r>
          </w:p>
        </w:tc>
        <w:tc>
          <w:tcPr>
            <w:tcW w:w="1003" w:type="dxa"/>
            <w:vMerge/>
          </w:tcPr>
          <w:p w14:paraId="1EE42069" w14:textId="77777777" w:rsidR="00BF4BE7" w:rsidRPr="00D94800" w:rsidRDefault="00BF4BE7" w:rsidP="006676F7">
            <w:pPr>
              <w:cnfStyle w:val="000000100000" w:firstRow="0" w:lastRow="0" w:firstColumn="0" w:lastColumn="0" w:oddVBand="0" w:evenVBand="0" w:oddHBand="1" w:evenHBand="0" w:firstRowFirstColumn="0" w:firstRowLastColumn="0" w:lastRowFirstColumn="0" w:lastRowLastColumn="0"/>
              <w:rPr>
                <w:sz w:val="18"/>
              </w:rPr>
            </w:pPr>
          </w:p>
        </w:tc>
        <w:tc>
          <w:tcPr>
            <w:tcW w:w="1168" w:type="dxa"/>
            <w:vMerge/>
          </w:tcPr>
          <w:p w14:paraId="6C079A3F" w14:textId="77777777" w:rsidR="00BF4BE7" w:rsidRPr="00D94800" w:rsidRDefault="00BF4BE7" w:rsidP="006676F7">
            <w:pPr>
              <w:cnfStyle w:val="000000100000" w:firstRow="0" w:lastRow="0" w:firstColumn="0" w:lastColumn="0" w:oddVBand="0" w:evenVBand="0" w:oddHBand="1" w:evenHBand="0" w:firstRowFirstColumn="0" w:firstRowLastColumn="0" w:lastRowFirstColumn="0" w:lastRowLastColumn="0"/>
              <w:rPr>
                <w:sz w:val="18"/>
              </w:rPr>
            </w:pPr>
          </w:p>
        </w:tc>
        <w:tc>
          <w:tcPr>
            <w:tcW w:w="1006" w:type="dxa"/>
            <w:vMerge/>
          </w:tcPr>
          <w:p w14:paraId="09680A84" w14:textId="77777777" w:rsidR="00BF4BE7" w:rsidRPr="00D94800" w:rsidRDefault="00BF4BE7" w:rsidP="006676F7">
            <w:pPr>
              <w:cnfStyle w:val="000000100000" w:firstRow="0" w:lastRow="0" w:firstColumn="0" w:lastColumn="0" w:oddVBand="0" w:evenVBand="0" w:oddHBand="1" w:evenHBand="0" w:firstRowFirstColumn="0" w:firstRowLastColumn="0" w:lastRowFirstColumn="0" w:lastRowLastColumn="0"/>
              <w:rPr>
                <w:sz w:val="18"/>
              </w:rPr>
            </w:pPr>
          </w:p>
        </w:tc>
        <w:tc>
          <w:tcPr>
            <w:tcW w:w="1006" w:type="dxa"/>
            <w:vMerge/>
          </w:tcPr>
          <w:p w14:paraId="7AB55A65" w14:textId="16E279D1" w:rsidR="00BF4BE7" w:rsidRPr="00D94800" w:rsidRDefault="00BF4BE7" w:rsidP="006676F7">
            <w:pPr>
              <w:cnfStyle w:val="000000100000" w:firstRow="0" w:lastRow="0" w:firstColumn="0" w:lastColumn="0" w:oddVBand="0" w:evenVBand="0" w:oddHBand="1" w:evenHBand="0" w:firstRowFirstColumn="0" w:firstRowLastColumn="0" w:lastRowFirstColumn="0" w:lastRowLastColumn="0"/>
              <w:rPr>
                <w:sz w:val="18"/>
              </w:rPr>
            </w:pPr>
          </w:p>
        </w:tc>
      </w:tr>
      <w:tr w:rsidR="00D23A7F" w:rsidRPr="00D94800" w14:paraId="3DBFFB46" w14:textId="77777777" w:rsidTr="00BF4BE7">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9" w:type="dxa"/>
          </w:tcPr>
          <w:p w14:paraId="19745B7F" w14:textId="374604B1" w:rsidR="00BF4BE7" w:rsidRPr="00BF4BE7" w:rsidRDefault="00BF4BE7" w:rsidP="0044134D">
            <w:pPr>
              <w:jc w:val="center"/>
              <w:rPr>
                <w:b/>
                <w:sz w:val="16"/>
                <w:szCs w:val="16"/>
              </w:rPr>
            </w:pPr>
            <w:r w:rsidRPr="00BF4BE7">
              <w:rPr>
                <w:b/>
                <w:sz w:val="16"/>
                <w:szCs w:val="16"/>
              </w:rPr>
              <w:t>[A]</w:t>
            </w:r>
          </w:p>
        </w:tc>
        <w:tc>
          <w:tcPr>
            <w:tcW w:w="900" w:type="dxa"/>
          </w:tcPr>
          <w:p w14:paraId="1FE6E836" w14:textId="10820AB6" w:rsidR="00BF4BE7" w:rsidRPr="00BF4BE7" w:rsidRDefault="00BF4BE7" w:rsidP="0044134D">
            <w:pPr>
              <w:jc w:val="center"/>
              <w:cnfStyle w:val="000000010000" w:firstRow="0" w:lastRow="0" w:firstColumn="0" w:lastColumn="0" w:oddVBand="0" w:evenVBand="0" w:oddHBand="0" w:evenHBand="1" w:firstRowFirstColumn="0" w:firstRowLastColumn="0" w:lastRowFirstColumn="0" w:lastRowLastColumn="0"/>
              <w:rPr>
                <w:b/>
                <w:sz w:val="16"/>
                <w:szCs w:val="16"/>
              </w:rPr>
            </w:pPr>
            <w:r w:rsidRPr="00BF4BE7">
              <w:rPr>
                <w:b/>
                <w:sz w:val="16"/>
                <w:szCs w:val="16"/>
              </w:rPr>
              <w:t>[B]</w:t>
            </w:r>
          </w:p>
        </w:tc>
        <w:tc>
          <w:tcPr>
            <w:tcW w:w="919" w:type="dxa"/>
          </w:tcPr>
          <w:p w14:paraId="7867279F" w14:textId="6014CAF2" w:rsidR="00BF4BE7" w:rsidRPr="00BF4BE7" w:rsidRDefault="00BF4BE7" w:rsidP="0044134D">
            <w:pPr>
              <w:jc w:val="center"/>
              <w:cnfStyle w:val="000000010000" w:firstRow="0" w:lastRow="0" w:firstColumn="0" w:lastColumn="0" w:oddVBand="0" w:evenVBand="0" w:oddHBand="0" w:evenHBand="1" w:firstRowFirstColumn="0" w:firstRowLastColumn="0" w:lastRowFirstColumn="0" w:lastRowLastColumn="0"/>
              <w:rPr>
                <w:b/>
                <w:sz w:val="16"/>
                <w:szCs w:val="16"/>
              </w:rPr>
            </w:pPr>
            <w:r w:rsidRPr="00BF4BE7">
              <w:rPr>
                <w:b/>
                <w:sz w:val="16"/>
                <w:szCs w:val="16"/>
              </w:rPr>
              <w:t>[C</w:t>
            </w:r>
            <w:r>
              <w:rPr>
                <w:b/>
                <w:sz w:val="16"/>
                <w:szCs w:val="16"/>
              </w:rPr>
              <w:t xml:space="preserve"> = A*B</w:t>
            </w:r>
            <w:r w:rsidRPr="00BF4BE7">
              <w:rPr>
                <w:b/>
                <w:sz w:val="16"/>
                <w:szCs w:val="16"/>
              </w:rPr>
              <w:t>]</w:t>
            </w:r>
          </w:p>
        </w:tc>
        <w:tc>
          <w:tcPr>
            <w:tcW w:w="878" w:type="dxa"/>
          </w:tcPr>
          <w:p w14:paraId="2867EDF5" w14:textId="42F017BB" w:rsidR="00BF4BE7" w:rsidRPr="00BF4BE7" w:rsidRDefault="00BF4BE7" w:rsidP="0044134D">
            <w:pPr>
              <w:jc w:val="center"/>
              <w:cnfStyle w:val="000000010000" w:firstRow="0" w:lastRow="0" w:firstColumn="0" w:lastColumn="0" w:oddVBand="0" w:evenVBand="0" w:oddHBand="0" w:evenHBand="1" w:firstRowFirstColumn="0" w:firstRowLastColumn="0" w:lastRowFirstColumn="0" w:lastRowLastColumn="0"/>
              <w:rPr>
                <w:b/>
                <w:sz w:val="16"/>
                <w:szCs w:val="16"/>
              </w:rPr>
            </w:pPr>
            <w:r w:rsidRPr="00BF4BE7">
              <w:rPr>
                <w:b/>
                <w:sz w:val="16"/>
                <w:szCs w:val="16"/>
              </w:rPr>
              <w:t>[D]</w:t>
            </w:r>
          </w:p>
        </w:tc>
        <w:tc>
          <w:tcPr>
            <w:tcW w:w="922" w:type="dxa"/>
          </w:tcPr>
          <w:p w14:paraId="362098C3" w14:textId="5BE52253" w:rsidR="00BF4BE7" w:rsidRPr="00BF4BE7" w:rsidRDefault="00BF4BE7" w:rsidP="0044134D">
            <w:pPr>
              <w:jc w:val="center"/>
              <w:cnfStyle w:val="000000010000" w:firstRow="0" w:lastRow="0" w:firstColumn="0" w:lastColumn="0" w:oddVBand="0" w:evenVBand="0" w:oddHBand="0" w:evenHBand="1" w:firstRowFirstColumn="0" w:firstRowLastColumn="0" w:lastRowFirstColumn="0" w:lastRowLastColumn="0"/>
              <w:rPr>
                <w:b/>
                <w:sz w:val="16"/>
                <w:szCs w:val="16"/>
              </w:rPr>
            </w:pPr>
            <w:r w:rsidRPr="00BF4BE7">
              <w:rPr>
                <w:b/>
                <w:sz w:val="16"/>
                <w:szCs w:val="16"/>
              </w:rPr>
              <w:t>[E]</w:t>
            </w:r>
          </w:p>
        </w:tc>
        <w:tc>
          <w:tcPr>
            <w:tcW w:w="875" w:type="dxa"/>
          </w:tcPr>
          <w:p w14:paraId="1B9132A1" w14:textId="1928FC08" w:rsidR="00BF4BE7" w:rsidRPr="00BF4BE7" w:rsidRDefault="00BF4BE7" w:rsidP="0044134D">
            <w:pPr>
              <w:jc w:val="center"/>
              <w:cnfStyle w:val="000000010000" w:firstRow="0" w:lastRow="0" w:firstColumn="0" w:lastColumn="0" w:oddVBand="0" w:evenVBand="0" w:oddHBand="0" w:evenHBand="1" w:firstRowFirstColumn="0" w:firstRowLastColumn="0" w:lastRowFirstColumn="0" w:lastRowLastColumn="0"/>
              <w:rPr>
                <w:b/>
                <w:sz w:val="16"/>
                <w:szCs w:val="16"/>
              </w:rPr>
            </w:pPr>
            <w:r w:rsidRPr="00BF4BE7">
              <w:rPr>
                <w:b/>
                <w:sz w:val="16"/>
                <w:szCs w:val="16"/>
              </w:rPr>
              <w:t>[F</w:t>
            </w:r>
            <w:r>
              <w:rPr>
                <w:b/>
                <w:sz w:val="16"/>
                <w:szCs w:val="16"/>
              </w:rPr>
              <w:t xml:space="preserve"> = D*E</w:t>
            </w:r>
            <w:r w:rsidRPr="00BF4BE7">
              <w:rPr>
                <w:b/>
                <w:sz w:val="16"/>
                <w:szCs w:val="16"/>
              </w:rPr>
              <w:t>]</w:t>
            </w:r>
          </w:p>
        </w:tc>
        <w:tc>
          <w:tcPr>
            <w:tcW w:w="1003" w:type="dxa"/>
          </w:tcPr>
          <w:p w14:paraId="2C501066" w14:textId="6909DA86" w:rsidR="00BF4BE7" w:rsidRPr="00BF4BE7" w:rsidRDefault="00BF4BE7" w:rsidP="0044134D">
            <w:pPr>
              <w:jc w:val="center"/>
              <w:cnfStyle w:val="000000010000" w:firstRow="0" w:lastRow="0" w:firstColumn="0" w:lastColumn="0" w:oddVBand="0" w:evenVBand="0" w:oddHBand="0" w:evenHBand="1" w:firstRowFirstColumn="0" w:firstRowLastColumn="0" w:lastRowFirstColumn="0" w:lastRowLastColumn="0"/>
              <w:rPr>
                <w:b/>
                <w:sz w:val="16"/>
                <w:szCs w:val="16"/>
              </w:rPr>
            </w:pPr>
            <w:r w:rsidRPr="00BF4BE7">
              <w:rPr>
                <w:b/>
                <w:sz w:val="16"/>
                <w:szCs w:val="16"/>
              </w:rPr>
              <w:t>[G</w:t>
            </w:r>
            <w:r>
              <w:rPr>
                <w:b/>
                <w:sz w:val="16"/>
                <w:szCs w:val="16"/>
              </w:rPr>
              <w:t xml:space="preserve"> = C+F</w:t>
            </w:r>
            <w:r w:rsidRPr="00BF4BE7">
              <w:rPr>
                <w:b/>
                <w:sz w:val="16"/>
                <w:szCs w:val="16"/>
              </w:rPr>
              <w:t>]</w:t>
            </w:r>
          </w:p>
        </w:tc>
        <w:tc>
          <w:tcPr>
            <w:tcW w:w="1168" w:type="dxa"/>
          </w:tcPr>
          <w:p w14:paraId="1691DE97" w14:textId="5359E482" w:rsidR="00BF4BE7" w:rsidRPr="00BF4BE7" w:rsidRDefault="00BF4BE7" w:rsidP="0044134D">
            <w:pPr>
              <w:jc w:val="center"/>
              <w:cnfStyle w:val="000000010000" w:firstRow="0" w:lastRow="0" w:firstColumn="0" w:lastColumn="0" w:oddVBand="0" w:evenVBand="0" w:oddHBand="0" w:evenHBand="1" w:firstRowFirstColumn="0" w:firstRowLastColumn="0" w:lastRowFirstColumn="0" w:lastRowLastColumn="0"/>
              <w:rPr>
                <w:b/>
                <w:sz w:val="16"/>
                <w:szCs w:val="16"/>
              </w:rPr>
            </w:pPr>
            <w:r w:rsidRPr="00BF4BE7">
              <w:rPr>
                <w:b/>
                <w:sz w:val="16"/>
                <w:szCs w:val="16"/>
              </w:rPr>
              <w:t>[H]</w:t>
            </w:r>
          </w:p>
        </w:tc>
        <w:tc>
          <w:tcPr>
            <w:tcW w:w="1006" w:type="dxa"/>
          </w:tcPr>
          <w:p w14:paraId="75150FE8" w14:textId="14658570" w:rsidR="00BF4BE7" w:rsidRPr="00BF4BE7" w:rsidRDefault="00BF4BE7" w:rsidP="0044134D">
            <w:pPr>
              <w:jc w:val="center"/>
              <w:cnfStyle w:val="000000010000" w:firstRow="0" w:lastRow="0" w:firstColumn="0" w:lastColumn="0" w:oddVBand="0" w:evenVBand="0" w:oddHBand="0" w:evenHBand="1" w:firstRowFirstColumn="0" w:firstRowLastColumn="0" w:lastRowFirstColumn="0" w:lastRowLastColumn="0"/>
              <w:rPr>
                <w:b/>
                <w:sz w:val="16"/>
                <w:szCs w:val="16"/>
              </w:rPr>
            </w:pPr>
            <w:r w:rsidRPr="00BF4BE7">
              <w:rPr>
                <w:b/>
                <w:sz w:val="16"/>
                <w:szCs w:val="16"/>
              </w:rPr>
              <w:t>[I]</w:t>
            </w:r>
          </w:p>
        </w:tc>
        <w:tc>
          <w:tcPr>
            <w:tcW w:w="1006" w:type="dxa"/>
          </w:tcPr>
          <w:p w14:paraId="44103B4E" w14:textId="5B18FC23" w:rsidR="00BF4BE7" w:rsidRPr="00BF4BE7" w:rsidRDefault="00BF4BE7" w:rsidP="0044134D">
            <w:pPr>
              <w:jc w:val="center"/>
              <w:cnfStyle w:val="000000010000" w:firstRow="0" w:lastRow="0" w:firstColumn="0" w:lastColumn="0" w:oddVBand="0" w:evenVBand="0" w:oddHBand="0" w:evenHBand="1" w:firstRowFirstColumn="0" w:firstRowLastColumn="0" w:lastRowFirstColumn="0" w:lastRowLastColumn="0"/>
              <w:rPr>
                <w:b/>
                <w:sz w:val="16"/>
                <w:szCs w:val="16"/>
              </w:rPr>
            </w:pPr>
            <w:r w:rsidRPr="00BF4BE7">
              <w:rPr>
                <w:b/>
                <w:sz w:val="16"/>
                <w:szCs w:val="16"/>
              </w:rPr>
              <w:t>[J</w:t>
            </w:r>
            <w:r>
              <w:rPr>
                <w:b/>
                <w:sz w:val="16"/>
                <w:szCs w:val="16"/>
              </w:rPr>
              <w:t xml:space="preserve"> = G*H*I</w:t>
            </w:r>
            <w:r w:rsidRPr="00BF4BE7">
              <w:rPr>
                <w:b/>
                <w:sz w:val="16"/>
                <w:szCs w:val="16"/>
              </w:rPr>
              <w:t>]</w:t>
            </w:r>
          </w:p>
        </w:tc>
      </w:tr>
      <w:tr w:rsidR="00D23A7F" w:rsidRPr="00D94800" w14:paraId="7BB9912D" w14:textId="06D5A4F3" w:rsidTr="00BF4BE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9" w:type="dxa"/>
          </w:tcPr>
          <w:p w14:paraId="4631047F" w14:textId="1B5373A5" w:rsidR="00BF4BE7" w:rsidRPr="00BF4BE7" w:rsidRDefault="00B00124" w:rsidP="0044134D">
            <w:pPr>
              <w:jc w:val="center"/>
              <w:rPr>
                <w:sz w:val="16"/>
                <w:szCs w:val="16"/>
              </w:rPr>
            </w:pPr>
            <w:r>
              <w:rPr>
                <w:sz w:val="16"/>
                <w:szCs w:val="16"/>
              </w:rPr>
              <w:t>9</w:t>
            </w:r>
          </w:p>
        </w:tc>
        <w:tc>
          <w:tcPr>
            <w:tcW w:w="900" w:type="dxa"/>
          </w:tcPr>
          <w:p w14:paraId="6186640F" w14:textId="7ACF8788" w:rsidR="00BF4BE7" w:rsidRPr="00BF4BE7" w:rsidRDefault="00B00124" w:rsidP="0044134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5</w:t>
            </w:r>
          </w:p>
        </w:tc>
        <w:tc>
          <w:tcPr>
            <w:tcW w:w="919" w:type="dxa"/>
          </w:tcPr>
          <w:p w14:paraId="3932DC80" w14:textId="2F016024" w:rsidR="00BF4BE7" w:rsidRPr="00BF4BE7" w:rsidRDefault="00B00124" w:rsidP="0044134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45</w:t>
            </w:r>
          </w:p>
        </w:tc>
        <w:tc>
          <w:tcPr>
            <w:tcW w:w="878" w:type="dxa"/>
          </w:tcPr>
          <w:p w14:paraId="69E26A28" w14:textId="3A1A38E0" w:rsidR="00BF4BE7" w:rsidRPr="00BF4BE7" w:rsidRDefault="00B00124" w:rsidP="0044134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9</w:t>
            </w:r>
          </w:p>
        </w:tc>
        <w:tc>
          <w:tcPr>
            <w:tcW w:w="922" w:type="dxa"/>
          </w:tcPr>
          <w:p w14:paraId="50D718CD" w14:textId="3A689E34" w:rsidR="00BF4BE7" w:rsidRPr="00BF4BE7" w:rsidRDefault="00BF4BE7" w:rsidP="0044134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w:t>
            </w:r>
          </w:p>
        </w:tc>
        <w:tc>
          <w:tcPr>
            <w:tcW w:w="875" w:type="dxa"/>
          </w:tcPr>
          <w:p w14:paraId="5F3C3294" w14:textId="00946991" w:rsidR="00BF4BE7" w:rsidRPr="00BF4BE7" w:rsidRDefault="00B00124" w:rsidP="0044134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18</w:t>
            </w:r>
          </w:p>
        </w:tc>
        <w:tc>
          <w:tcPr>
            <w:tcW w:w="1003" w:type="dxa"/>
          </w:tcPr>
          <w:p w14:paraId="39EC75B8" w14:textId="68C4782F" w:rsidR="00BF4BE7" w:rsidRPr="00BF4BE7" w:rsidRDefault="00B00124" w:rsidP="0044134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63</w:t>
            </w:r>
          </w:p>
        </w:tc>
        <w:tc>
          <w:tcPr>
            <w:tcW w:w="1168" w:type="dxa"/>
          </w:tcPr>
          <w:p w14:paraId="4D25A95C" w14:textId="2EF8B23A" w:rsidR="00BF4BE7" w:rsidRPr="00BF4BE7" w:rsidRDefault="00BF4BE7" w:rsidP="0044134D">
            <w:pPr>
              <w:jc w:val="center"/>
              <w:cnfStyle w:val="000000100000" w:firstRow="0" w:lastRow="0" w:firstColumn="0" w:lastColumn="0" w:oddVBand="0" w:evenVBand="0" w:oddHBand="1" w:evenHBand="0" w:firstRowFirstColumn="0" w:firstRowLastColumn="0" w:lastRowFirstColumn="0" w:lastRowLastColumn="0"/>
              <w:rPr>
                <w:sz w:val="16"/>
                <w:szCs w:val="16"/>
              </w:rPr>
            </w:pPr>
            <w:r w:rsidRPr="00BF4BE7">
              <w:rPr>
                <w:sz w:val="16"/>
                <w:szCs w:val="16"/>
              </w:rPr>
              <w:t>4.33</w:t>
            </w:r>
          </w:p>
        </w:tc>
        <w:tc>
          <w:tcPr>
            <w:tcW w:w="1006" w:type="dxa"/>
          </w:tcPr>
          <w:p w14:paraId="6F52213C" w14:textId="735C4E3C" w:rsidR="00BF4BE7" w:rsidRPr="00BF4BE7" w:rsidRDefault="00B00124" w:rsidP="0044134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6</w:t>
            </w:r>
          </w:p>
        </w:tc>
        <w:tc>
          <w:tcPr>
            <w:tcW w:w="1006" w:type="dxa"/>
          </w:tcPr>
          <w:p w14:paraId="38DF1945" w14:textId="247DC84A" w:rsidR="00BF4BE7" w:rsidRPr="00BF4BE7" w:rsidRDefault="00B00124" w:rsidP="0044134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1,636.74</w:t>
            </w:r>
          </w:p>
        </w:tc>
      </w:tr>
    </w:tbl>
    <w:p w14:paraId="6E3474D4" w14:textId="77777777" w:rsidR="006676F7" w:rsidRPr="006676F7" w:rsidRDefault="006676F7" w:rsidP="006676F7"/>
    <w:p w14:paraId="60527579" w14:textId="08AEC8AA" w:rsidR="002E7D65" w:rsidRPr="00CC4987" w:rsidRDefault="00827A3F" w:rsidP="006E4D5B">
      <w:pPr>
        <w:keepNext/>
      </w:pPr>
      <w:r w:rsidRPr="00CC4987">
        <w:t>As shown in</w:t>
      </w:r>
      <w:r w:rsidR="00DA7645" w:rsidRPr="00CC4987">
        <w:t xml:space="preserve"> </w:t>
      </w:r>
      <w:r w:rsidR="00DA7645" w:rsidRPr="001A5C36">
        <w:rPr>
          <w:b/>
        </w:rPr>
        <w:fldChar w:fldCharType="begin"/>
      </w:r>
      <w:r w:rsidR="00DA7645" w:rsidRPr="001A5C36">
        <w:rPr>
          <w:b/>
        </w:rPr>
        <w:instrText xml:space="preserve"> REF _Ref465932056 \h </w:instrText>
      </w:r>
      <w:r w:rsidR="00B71D3E" w:rsidRPr="001A5C36">
        <w:rPr>
          <w:b/>
        </w:rPr>
        <w:instrText xml:space="preserve"> \* MERGEFORMAT </w:instrText>
      </w:r>
      <w:r w:rsidR="00DA7645" w:rsidRPr="001A5C36">
        <w:rPr>
          <w:b/>
        </w:rPr>
      </w:r>
      <w:r w:rsidR="00DA7645" w:rsidRPr="001A5C36">
        <w:rPr>
          <w:b/>
        </w:rPr>
        <w:fldChar w:fldCharType="separate"/>
      </w:r>
      <w:r w:rsidR="00BF6769" w:rsidRPr="00BF6769">
        <w:rPr>
          <w:b/>
        </w:rPr>
        <w:t>Table 14</w:t>
      </w:r>
      <w:r w:rsidR="00DA7645" w:rsidRPr="001A5C36">
        <w:rPr>
          <w:b/>
        </w:rPr>
        <w:fldChar w:fldCharType="end"/>
      </w:r>
      <w:r w:rsidRPr="00CC4987">
        <w:t>, t</w:t>
      </w:r>
      <w:r w:rsidR="007F7FB5" w:rsidRPr="00CC4987">
        <w:t>he avera</w:t>
      </w:r>
      <w:r w:rsidR="00F72AD0">
        <w:t xml:space="preserve">ge HOU </w:t>
      </w:r>
      <w:r w:rsidR="00455BE8">
        <w:t xml:space="preserve">(across all respondents) </w:t>
      </w:r>
      <w:r w:rsidR="004477B3">
        <w:t>for weekdays was 2,565</w:t>
      </w:r>
      <w:r w:rsidR="00F72AD0">
        <w:t xml:space="preserve">. </w:t>
      </w:r>
      <w:r w:rsidR="007F7FB5" w:rsidRPr="00CC4987">
        <w:t>For weekend</w:t>
      </w:r>
      <w:r w:rsidR="004477B3">
        <w:t>s, the average HOU was 1,072</w:t>
      </w:r>
      <w:r w:rsidR="00F72AD0">
        <w:t xml:space="preserve">. </w:t>
      </w:r>
      <w:r w:rsidR="00A46679">
        <w:t>The overall</w:t>
      </w:r>
      <w:r w:rsidR="007F7FB5" w:rsidRPr="00CC4987">
        <w:t xml:space="preserve"> HOU was </w:t>
      </w:r>
      <w:r w:rsidR="004477B3">
        <w:t>3,641</w:t>
      </w:r>
      <w:r w:rsidR="00752E3B">
        <w:t xml:space="preserve"> (</w:t>
      </w:r>
      <w:r w:rsidR="00752E3B" w:rsidRPr="009D000A">
        <w:rPr>
          <w:i/>
        </w:rPr>
        <w:t>n</w:t>
      </w:r>
      <w:r w:rsidR="0039420E">
        <w:t xml:space="preserve"> = 596</w:t>
      </w:r>
      <w:r w:rsidR="00752E3B">
        <w:t xml:space="preserve">, </w:t>
      </w:r>
      <w:r w:rsidR="00C41365">
        <w:t>SD = 3,348</w:t>
      </w:r>
      <w:r w:rsidR="00752E3B">
        <w:t>)</w:t>
      </w:r>
      <w:r w:rsidR="00493261" w:rsidRPr="00CC4987">
        <w:t>.</w:t>
      </w:r>
      <w:r w:rsidR="002A09D3">
        <w:t xml:space="preserve"> At a 90% level of confidence, the relative precision of this </w:t>
      </w:r>
      <w:r w:rsidR="00F72AD0">
        <w:t xml:space="preserve">overall </w:t>
      </w:r>
      <w:r w:rsidR="002A09D3">
        <w:t>estimate is +/- 6.2%.</w:t>
      </w:r>
    </w:p>
    <w:p w14:paraId="0A28BD63" w14:textId="77777777" w:rsidR="00493261" w:rsidRDefault="00493261" w:rsidP="006E4D5B">
      <w:pPr>
        <w:keepNext/>
        <w:contextualSpacing/>
        <w:rPr>
          <w:rFonts w:ascii="Proxima Nova" w:hAnsi="Proxima Nova"/>
          <w:color w:val="191919" w:themeColor="text1"/>
          <w:szCs w:val="22"/>
        </w:rPr>
      </w:pPr>
    </w:p>
    <w:p w14:paraId="55315314" w14:textId="7BF4F58D" w:rsidR="0065172D" w:rsidRPr="000F78AB" w:rsidRDefault="00827A3F" w:rsidP="00F43A7D">
      <w:pPr>
        <w:keepNext/>
        <w:contextualSpacing/>
        <w:outlineLvl w:val="0"/>
        <w:rPr>
          <w:rFonts w:ascii="Proxima Nova" w:hAnsi="Proxima Nova"/>
          <w:b/>
          <w:i/>
          <w:color w:val="191919" w:themeColor="text1"/>
          <w:sz w:val="20"/>
        </w:rPr>
      </w:pPr>
      <w:bookmarkStart w:id="24" w:name="_Ref465932056"/>
      <w:r w:rsidRPr="007F3642">
        <w:rPr>
          <w:rFonts w:ascii="Proxima Nova" w:hAnsi="Proxima Nova"/>
          <w:b/>
          <w:color w:val="191919" w:themeColor="text1"/>
          <w:sz w:val="20"/>
          <w:szCs w:val="20"/>
        </w:rPr>
        <w:t xml:space="preserve">Table </w:t>
      </w:r>
      <w:r w:rsidR="00AB4885">
        <w:rPr>
          <w:rFonts w:ascii="Proxima Nova" w:hAnsi="Proxima Nova"/>
          <w:b/>
          <w:color w:val="191919" w:themeColor="text1"/>
          <w:sz w:val="20"/>
          <w:szCs w:val="20"/>
        </w:rPr>
        <w:fldChar w:fldCharType="begin"/>
      </w:r>
      <w:r w:rsidR="00AB4885">
        <w:rPr>
          <w:rFonts w:ascii="Proxima Nova" w:hAnsi="Proxima Nova"/>
          <w:b/>
          <w:color w:val="191919" w:themeColor="text1"/>
          <w:sz w:val="20"/>
          <w:szCs w:val="20"/>
        </w:rPr>
        <w:instrText xml:space="preserve"> SEQ Table \* ARABIC </w:instrText>
      </w:r>
      <w:r w:rsidR="00AB4885">
        <w:rPr>
          <w:rFonts w:ascii="Proxima Nova" w:hAnsi="Proxima Nova"/>
          <w:b/>
          <w:color w:val="191919" w:themeColor="text1"/>
          <w:sz w:val="20"/>
          <w:szCs w:val="20"/>
        </w:rPr>
        <w:fldChar w:fldCharType="separate"/>
      </w:r>
      <w:r w:rsidR="00BF6769">
        <w:rPr>
          <w:rFonts w:ascii="Proxima Nova" w:hAnsi="Proxima Nova"/>
          <w:b/>
          <w:noProof/>
          <w:color w:val="191919" w:themeColor="text1"/>
          <w:sz w:val="20"/>
          <w:szCs w:val="20"/>
        </w:rPr>
        <w:t>14</w:t>
      </w:r>
      <w:r w:rsidR="00AB4885">
        <w:rPr>
          <w:rFonts w:ascii="Proxima Nova" w:hAnsi="Proxima Nova"/>
          <w:b/>
          <w:color w:val="191919" w:themeColor="text1"/>
          <w:sz w:val="20"/>
          <w:szCs w:val="20"/>
        </w:rPr>
        <w:fldChar w:fldCharType="end"/>
      </w:r>
      <w:bookmarkEnd w:id="24"/>
      <w:r w:rsidRPr="007F3642">
        <w:rPr>
          <w:rFonts w:ascii="Proxima Nova" w:hAnsi="Proxima Nova"/>
          <w:b/>
          <w:color w:val="191919" w:themeColor="text1"/>
          <w:sz w:val="20"/>
          <w:szCs w:val="20"/>
        </w:rPr>
        <w:t xml:space="preserve">. </w:t>
      </w:r>
      <w:r w:rsidR="0065172D">
        <w:rPr>
          <w:rFonts w:ascii="Proxima Nova" w:hAnsi="Proxima Nova"/>
          <w:b/>
          <w:color w:val="191919" w:themeColor="text1"/>
          <w:sz w:val="20"/>
          <w:szCs w:val="20"/>
        </w:rPr>
        <w:t>Average Hours of Use</w:t>
      </w:r>
      <w:r w:rsidR="00455BE8">
        <w:rPr>
          <w:rFonts w:ascii="Proxima Nova" w:hAnsi="Proxima Nova"/>
          <w:b/>
          <w:color w:val="191919" w:themeColor="text1"/>
          <w:sz w:val="20"/>
          <w:szCs w:val="20"/>
        </w:rPr>
        <w:t xml:space="preserve"> </w:t>
      </w:r>
      <w:r w:rsidR="00FE53FE">
        <w:rPr>
          <w:rFonts w:ascii="Proxima Nova" w:hAnsi="Proxima Nova"/>
          <w:b/>
          <w:color w:val="191919" w:themeColor="text1"/>
          <w:sz w:val="20"/>
          <w:szCs w:val="20"/>
        </w:rPr>
        <w:t>f</w:t>
      </w:r>
      <w:r w:rsidR="00455BE8">
        <w:rPr>
          <w:rFonts w:ascii="Proxima Nova" w:hAnsi="Proxima Nova"/>
          <w:b/>
          <w:color w:val="191919" w:themeColor="text1"/>
          <w:sz w:val="20"/>
          <w:szCs w:val="20"/>
        </w:rPr>
        <w:t xml:space="preserve">or All Respondents </w:t>
      </w:r>
      <w:r w:rsidR="00C000ED" w:rsidRPr="00DA482E">
        <w:rPr>
          <w:rFonts w:ascii="Proxima Nova" w:hAnsi="Proxima Nova"/>
          <w:b/>
          <w:color w:val="191919" w:themeColor="text1"/>
          <w:sz w:val="20"/>
          <w:szCs w:val="20"/>
          <w:vertAlign w:val="superscript"/>
        </w:rPr>
        <w:t>a</w:t>
      </w:r>
    </w:p>
    <w:tbl>
      <w:tblPr>
        <w:tblStyle w:val="EMITable"/>
        <w:tblW w:w="0" w:type="auto"/>
        <w:tblLook w:val="04A0" w:firstRow="1" w:lastRow="0" w:firstColumn="1" w:lastColumn="0" w:noHBand="0" w:noVBand="1"/>
      </w:tblPr>
      <w:tblGrid>
        <w:gridCol w:w="1700"/>
        <w:gridCol w:w="1379"/>
        <w:gridCol w:w="1466"/>
        <w:gridCol w:w="1298"/>
        <w:gridCol w:w="1180"/>
        <w:gridCol w:w="1256"/>
        <w:gridCol w:w="1297"/>
      </w:tblGrid>
      <w:tr w:rsidR="00D23A7F" w:rsidRPr="00493261" w14:paraId="6FC41C0C" w14:textId="5D2896A4" w:rsidTr="00C4136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00" w:type="dxa"/>
          </w:tcPr>
          <w:p w14:paraId="50AB6EF4" w14:textId="77777777" w:rsidR="00C41365" w:rsidRPr="00656BC3" w:rsidRDefault="00C41365" w:rsidP="007926B7">
            <w:pPr>
              <w:contextualSpacing/>
              <w:rPr>
                <w:rFonts w:ascii="Proxima Nova" w:hAnsi="Proxima Nova"/>
                <w:color w:val="191919" w:themeColor="text1"/>
                <w:sz w:val="20"/>
                <w:szCs w:val="20"/>
              </w:rPr>
            </w:pPr>
          </w:p>
        </w:tc>
        <w:tc>
          <w:tcPr>
            <w:tcW w:w="1379" w:type="dxa"/>
          </w:tcPr>
          <w:p w14:paraId="5BCC56E3" w14:textId="62FF1DB2" w:rsidR="00C41365" w:rsidRPr="00656BC3" w:rsidRDefault="00C41365" w:rsidP="008C545F">
            <w:pPr>
              <w:contextualSpacing/>
              <w:cnfStyle w:val="100000000000" w:firstRow="1" w:lastRow="0" w:firstColumn="0" w:lastColumn="0" w:oddVBand="0" w:evenVBand="0" w:oddHBand="0" w:evenHBand="0" w:firstRowFirstColumn="0" w:firstRowLastColumn="0" w:lastRowFirstColumn="0" w:lastRowLastColumn="0"/>
              <w:rPr>
                <w:rFonts w:ascii="Proxima Nova" w:hAnsi="Proxima Nova"/>
                <w:b w:val="0"/>
                <w:i/>
                <w:color w:val="191919" w:themeColor="text1"/>
                <w:sz w:val="20"/>
                <w:szCs w:val="20"/>
              </w:rPr>
            </w:pPr>
            <w:r w:rsidRPr="00656BC3">
              <w:rPr>
                <w:rFonts w:ascii="Proxima Nova" w:hAnsi="Proxima Nova"/>
                <w:i/>
                <w:color w:val="191919" w:themeColor="text1"/>
                <w:sz w:val="20"/>
                <w:szCs w:val="20"/>
              </w:rPr>
              <w:t>n</w:t>
            </w:r>
          </w:p>
        </w:tc>
        <w:tc>
          <w:tcPr>
            <w:tcW w:w="1466" w:type="dxa"/>
          </w:tcPr>
          <w:p w14:paraId="492E30E9" w14:textId="5C5A8572" w:rsidR="00C41365" w:rsidRPr="00656BC3" w:rsidRDefault="00C41365" w:rsidP="007D3988">
            <w:pPr>
              <w:contextualSpacing/>
              <w:cnfStyle w:val="100000000000" w:firstRow="1" w:lastRow="0" w:firstColumn="0" w:lastColumn="0" w:oddVBand="0" w:evenVBand="0" w:oddHBand="0" w:evenHBand="0" w:firstRowFirstColumn="0" w:firstRowLastColumn="0" w:lastRowFirstColumn="0" w:lastRowLastColumn="0"/>
              <w:rPr>
                <w:rFonts w:ascii="Proxima Nova" w:hAnsi="Proxima Nova"/>
                <w:b w:val="0"/>
                <w:i/>
                <w:color w:val="191919" w:themeColor="text1"/>
                <w:sz w:val="20"/>
                <w:szCs w:val="20"/>
              </w:rPr>
            </w:pPr>
            <w:r w:rsidRPr="00656BC3">
              <w:rPr>
                <w:rFonts w:ascii="Proxima Nova" w:hAnsi="Proxima Nova"/>
                <w:i/>
                <w:color w:val="191919" w:themeColor="text1"/>
                <w:sz w:val="20"/>
                <w:szCs w:val="20"/>
              </w:rPr>
              <w:t>M</w:t>
            </w:r>
            <w:r>
              <w:rPr>
                <w:rFonts w:ascii="Proxima Nova" w:hAnsi="Proxima Nova"/>
                <w:i/>
                <w:color w:val="191919" w:themeColor="text1"/>
                <w:sz w:val="20"/>
                <w:szCs w:val="20"/>
              </w:rPr>
              <w:t>ean</w:t>
            </w:r>
          </w:p>
        </w:tc>
        <w:tc>
          <w:tcPr>
            <w:tcW w:w="1298" w:type="dxa"/>
          </w:tcPr>
          <w:p w14:paraId="16CCB15C" w14:textId="1FAECC34" w:rsidR="00C41365" w:rsidRPr="00656BC3" w:rsidRDefault="00C41365" w:rsidP="007D3988">
            <w:pPr>
              <w:contextualSpacing/>
              <w:cnfStyle w:val="100000000000" w:firstRow="1" w:lastRow="0" w:firstColumn="0" w:lastColumn="0" w:oddVBand="0" w:evenVBand="0" w:oddHBand="0" w:evenHBand="0" w:firstRowFirstColumn="0" w:firstRowLastColumn="0" w:lastRowFirstColumn="0" w:lastRowLastColumn="0"/>
              <w:rPr>
                <w:rFonts w:ascii="Proxima Nova" w:hAnsi="Proxima Nova"/>
                <w:i/>
                <w:color w:val="191919" w:themeColor="text1"/>
                <w:sz w:val="20"/>
                <w:szCs w:val="20"/>
              </w:rPr>
            </w:pPr>
            <w:r>
              <w:rPr>
                <w:rFonts w:ascii="Proxima Nova" w:hAnsi="Proxima Nova"/>
                <w:i/>
                <w:color w:val="191919" w:themeColor="text1"/>
                <w:sz w:val="20"/>
                <w:szCs w:val="20"/>
              </w:rPr>
              <w:t>SD</w:t>
            </w:r>
          </w:p>
        </w:tc>
        <w:tc>
          <w:tcPr>
            <w:tcW w:w="1180" w:type="dxa"/>
          </w:tcPr>
          <w:p w14:paraId="04BD13E0" w14:textId="29F13466" w:rsidR="00C41365" w:rsidRDefault="00C41365" w:rsidP="007D3988">
            <w:pPr>
              <w:contextualSpacing/>
              <w:cnfStyle w:val="100000000000" w:firstRow="1" w:lastRow="0" w:firstColumn="0" w:lastColumn="0" w:oddVBand="0" w:evenVBand="0" w:oddHBand="0" w:evenHBand="0" w:firstRowFirstColumn="0" w:firstRowLastColumn="0" w:lastRowFirstColumn="0" w:lastRowLastColumn="0"/>
              <w:rPr>
                <w:rFonts w:ascii="Proxima Nova" w:hAnsi="Proxima Nova"/>
                <w:i/>
                <w:color w:val="191919" w:themeColor="text1"/>
                <w:sz w:val="20"/>
                <w:szCs w:val="20"/>
              </w:rPr>
            </w:pPr>
            <w:r>
              <w:rPr>
                <w:rFonts w:ascii="Proxima Nova" w:hAnsi="Proxima Nova"/>
                <w:i/>
                <w:color w:val="191919" w:themeColor="text1"/>
                <w:sz w:val="20"/>
                <w:szCs w:val="20"/>
              </w:rPr>
              <w:t>Median</w:t>
            </w:r>
          </w:p>
        </w:tc>
        <w:tc>
          <w:tcPr>
            <w:tcW w:w="1256" w:type="dxa"/>
          </w:tcPr>
          <w:p w14:paraId="58CF9038" w14:textId="48BC8EBF" w:rsidR="00C41365" w:rsidRPr="00656BC3" w:rsidRDefault="00C41365" w:rsidP="007D3988">
            <w:pPr>
              <w:contextualSpacing/>
              <w:cnfStyle w:val="100000000000" w:firstRow="1" w:lastRow="0" w:firstColumn="0" w:lastColumn="0" w:oddVBand="0" w:evenVBand="0" w:oddHBand="0" w:evenHBand="0" w:firstRowFirstColumn="0" w:firstRowLastColumn="0" w:lastRowFirstColumn="0" w:lastRowLastColumn="0"/>
              <w:rPr>
                <w:rFonts w:ascii="Proxima Nova" w:hAnsi="Proxima Nova"/>
                <w:i/>
                <w:color w:val="191919" w:themeColor="text1"/>
                <w:sz w:val="20"/>
                <w:szCs w:val="20"/>
              </w:rPr>
            </w:pPr>
            <w:r>
              <w:rPr>
                <w:rFonts w:ascii="Proxima Nova" w:hAnsi="Proxima Nova"/>
                <w:i/>
                <w:color w:val="191919" w:themeColor="text1"/>
                <w:sz w:val="20"/>
                <w:szCs w:val="20"/>
              </w:rPr>
              <w:t>Min</w:t>
            </w:r>
          </w:p>
        </w:tc>
        <w:tc>
          <w:tcPr>
            <w:tcW w:w="1297" w:type="dxa"/>
          </w:tcPr>
          <w:p w14:paraId="79280AF5" w14:textId="4EC980BC" w:rsidR="00C41365" w:rsidRPr="00656BC3" w:rsidRDefault="00C41365" w:rsidP="007D3988">
            <w:pPr>
              <w:contextualSpacing/>
              <w:cnfStyle w:val="100000000000" w:firstRow="1" w:lastRow="0" w:firstColumn="0" w:lastColumn="0" w:oddVBand="0" w:evenVBand="0" w:oddHBand="0" w:evenHBand="0" w:firstRowFirstColumn="0" w:firstRowLastColumn="0" w:lastRowFirstColumn="0" w:lastRowLastColumn="0"/>
              <w:rPr>
                <w:rFonts w:ascii="Proxima Nova" w:hAnsi="Proxima Nova"/>
                <w:i/>
                <w:color w:val="191919" w:themeColor="text1"/>
                <w:sz w:val="20"/>
                <w:szCs w:val="20"/>
              </w:rPr>
            </w:pPr>
            <w:r>
              <w:rPr>
                <w:rFonts w:ascii="Proxima Nova" w:hAnsi="Proxima Nova"/>
                <w:i/>
                <w:color w:val="191919" w:themeColor="text1"/>
                <w:sz w:val="20"/>
                <w:szCs w:val="20"/>
              </w:rPr>
              <w:t>Max</w:t>
            </w:r>
          </w:p>
        </w:tc>
      </w:tr>
      <w:tr w:rsidR="00D23A7F" w14:paraId="5F97A3DC" w14:textId="1039631A" w:rsidTr="00C413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0" w:type="dxa"/>
          </w:tcPr>
          <w:p w14:paraId="5174E0E2" w14:textId="1E609118" w:rsidR="00C41365" w:rsidRPr="00656BC3" w:rsidRDefault="00C41365" w:rsidP="007926B7">
            <w:pPr>
              <w:contextualSpacing/>
              <w:rPr>
                <w:rFonts w:ascii="Proxima Nova" w:hAnsi="Proxima Nova"/>
                <w:color w:val="191919" w:themeColor="text1"/>
                <w:sz w:val="20"/>
                <w:szCs w:val="20"/>
              </w:rPr>
            </w:pPr>
            <w:r w:rsidRPr="00656BC3">
              <w:rPr>
                <w:rFonts w:ascii="Proxima Nova" w:hAnsi="Proxima Nova"/>
                <w:color w:val="191919" w:themeColor="text1"/>
                <w:sz w:val="20"/>
                <w:szCs w:val="20"/>
              </w:rPr>
              <w:t xml:space="preserve">HOU </w:t>
            </w:r>
            <w:r>
              <w:rPr>
                <w:rFonts w:ascii="Proxima Nova" w:hAnsi="Proxima Nova"/>
                <w:color w:val="191919" w:themeColor="text1"/>
                <w:sz w:val="20"/>
                <w:szCs w:val="20"/>
              </w:rPr>
              <w:t xml:space="preserve">- </w:t>
            </w:r>
            <w:r w:rsidRPr="00656BC3">
              <w:rPr>
                <w:rFonts w:ascii="Proxima Nova" w:hAnsi="Proxima Nova"/>
                <w:color w:val="191919" w:themeColor="text1"/>
                <w:sz w:val="20"/>
                <w:szCs w:val="20"/>
              </w:rPr>
              <w:t>Weekdays</w:t>
            </w:r>
          </w:p>
        </w:tc>
        <w:tc>
          <w:tcPr>
            <w:tcW w:w="1379" w:type="dxa"/>
          </w:tcPr>
          <w:p w14:paraId="0BE426EE" w14:textId="74B80824" w:rsidR="00C41365" w:rsidRPr="00656BC3" w:rsidRDefault="00C41365" w:rsidP="008C545F">
            <w:pPr>
              <w:contextualSpacing/>
              <w:jc w:val="center"/>
              <w:cnfStyle w:val="000000100000" w:firstRow="0" w:lastRow="0" w:firstColumn="0" w:lastColumn="0" w:oddVBand="0" w:evenVBand="0" w:oddHBand="1" w:evenHBand="0" w:firstRowFirstColumn="0" w:firstRowLastColumn="0" w:lastRowFirstColumn="0" w:lastRowLastColumn="0"/>
              <w:rPr>
                <w:rFonts w:ascii="Proxima Nova" w:hAnsi="Proxima Nova"/>
                <w:color w:val="191919" w:themeColor="text1"/>
                <w:sz w:val="20"/>
                <w:szCs w:val="20"/>
              </w:rPr>
            </w:pPr>
            <w:r w:rsidRPr="00656BC3">
              <w:rPr>
                <w:rFonts w:ascii="Proxima Nova" w:hAnsi="Proxima Nova"/>
                <w:color w:val="191919" w:themeColor="text1"/>
                <w:sz w:val="20"/>
                <w:szCs w:val="20"/>
              </w:rPr>
              <w:t>597</w:t>
            </w:r>
          </w:p>
        </w:tc>
        <w:tc>
          <w:tcPr>
            <w:tcW w:w="1466" w:type="dxa"/>
          </w:tcPr>
          <w:p w14:paraId="4AB6305B" w14:textId="77060EDA" w:rsidR="00C41365" w:rsidRPr="00656BC3" w:rsidRDefault="00C41365" w:rsidP="007D3988">
            <w:pPr>
              <w:contextualSpacing/>
              <w:jc w:val="center"/>
              <w:cnfStyle w:val="000000100000" w:firstRow="0" w:lastRow="0" w:firstColumn="0" w:lastColumn="0" w:oddVBand="0" w:evenVBand="0" w:oddHBand="1" w:evenHBand="0" w:firstRowFirstColumn="0" w:firstRowLastColumn="0" w:lastRowFirstColumn="0" w:lastRowLastColumn="0"/>
              <w:rPr>
                <w:rFonts w:ascii="Proxima Nova" w:hAnsi="Proxima Nova"/>
                <w:color w:val="191919" w:themeColor="text1"/>
                <w:sz w:val="20"/>
                <w:szCs w:val="20"/>
              </w:rPr>
            </w:pPr>
            <w:r>
              <w:rPr>
                <w:rFonts w:ascii="Proxima Nova" w:hAnsi="Proxima Nova"/>
                <w:color w:val="191919" w:themeColor="text1"/>
                <w:sz w:val="20"/>
                <w:szCs w:val="20"/>
              </w:rPr>
              <w:t>2,565</w:t>
            </w:r>
          </w:p>
        </w:tc>
        <w:tc>
          <w:tcPr>
            <w:tcW w:w="1298" w:type="dxa"/>
          </w:tcPr>
          <w:p w14:paraId="75529CF7" w14:textId="29DEF9F1" w:rsidR="00C41365" w:rsidRDefault="00C41365" w:rsidP="007D3988">
            <w:pPr>
              <w:contextualSpacing/>
              <w:jc w:val="center"/>
              <w:cnfStyle w:val="000000100000" w:firstRow="0" w:lastRow="0" w:firstColumn="0" w:lastColumn="0" w:oddVBand="0" w:evenVBand="0" w:oddHBand="1" w:evenHBand="0" w:firstRowFirstColumn="0" w:firstRowLastColumn="0" w:lastRowFirstColumn="0" w:lastRowLastColumn="0"/>
              <w:rPr>
                <w:rFonts w:ascii="Proxima Nova" w:hAnsi="Proxima Nova"/>
                <w:color w:val="191919" w:themeColor="text1"/>
                <w:sz w:val="20"/>
                <w:szCs w:val="20"/>
              </w:rPr>
            </w:pPr>
            <w:r>
              <w:rPr>
                <w:rFonts w:ascii="Proxima Nova" w:hAnsi="Proxima Nova"/>
                <w:color w:val="191919" w:themeColor="text1"/>
                <w:sz w:val="20"/>
                <w:szCs w:val="20"/>
              </w:rPr>
              <w:t>2,406</w:t>
            </w:r>
          </w:p>
        </w:tc>
        <w:tc>
          <w:tcPr>
            <w:tcW w:w="1180" w:type="dxa"/>
          </w:tcPr>
          <w:p w14:paraId="55D6F8A2" w14:textId="2573EF5E" w:rsidR="00C41365" w:rsidRDefault="00C41365" w:rsidP="007D3988">
            <w:pPr>
              <w:contextualSpacing/>
              <w:jc w:val="center"/>
              <w:cnfStyle w:val="000000100000" w:firstRow="0" w:lastRow="0" w:firstColumn="0" w:lastColumn="0" w:oddVBand="0" w:evenVBand="0" w:oddHBand="1" w:evenHBand="0" w:firstRowFirstColumn="0" w:firstRowLastColumn="0" w:lastRowFirstColumn="0" w:lastRowLastColumn="0"/>
              <w:rPr>
                <w:rFonts w:ascii="Proxima Nova" w:hAnsi="Proxima Nova"/>
                <w:color w:val="191919" w:themeColor="text1"/>
                <w:sz w:val="20"/>
                <w:szCs w:val="20"/>
              </w:rPr>
            </w:pPr>
            <w:r>
              <w:rPr>
                <w:rFonts w:ascii="Proxima Nova" w:hAnsi="Proxima Nova"/>
                <w:color w:val="191919" w:themeColor="text1"/>
                <w:sz w:val="20"/>
                <w:szCs w:val="20"/>
              </w:rPr>
              <w:t>1,819</w:t>
            </w:r>
          </w:p>
        </w:tc>
        <w:tc>
          <w:tcPr>
            <w:tcW w:w="1256" w:type="dxa"/>
          </w:tcPr>
          <w:p w14:paraId="034FBB58" w14:textId="64B02DB9" w:rsidR="00C41365" w:rsidRDefault="00C41365" w:rsidP="007D3988">
            <w:pPr>
              <w:contextualSpacing/>
              <w:jc w:val="center"/>
              <w:cnfStyle w:val="000000100000" w:firstRow="0" w:lastRow="0" w:firstColumn="0" w:lastColumn="0" w:oddVBand="0" w:evenVBand="0" w:oddHBand="1" w:evenHBand="0" w:firstRowFirstColumn="0" w:firstRowLastColumn="0" w:lastRowFirstColumn="0" w:lastRowLastColumn="0"/>
              <w:rPr>
                <w:rFonts w:ascii="Proxima Nova" w:hAnsi="Proxima Nova"/>
                <w:color w:val="191919" w:themeColor="text1"/>
                <w:sz w:val="20"/>
                <w:szCs w:val="20"/>
              </w:rPr>
            </w:pPr>
            <w:r>
              <w:rPr>
                <w:rFonts w:ascii="Proxima Nova" w:hAnsi="Proxima Nova"/>
                <w:color w:val="191919" w:themeColor="text1"/>
                <w:sz w:val="20"/>
                <w:szCs w:val="20"/>
              </w:rPr>
              <w:t>0</w:t>
            </w:r>
          </w:p>
        </w:tc>
        <w:tc>
          <w:tcPr>
            <w:tcW w:w="1297" w:type="dxa"/>
          </w:tcPr>
          <w:p w14:paraId="049B86EF" w14:textId="6D309F77" w:rsidR="00C41365" w:rsidRDefault="00C41365" w:rsidP="007D3988">
            <w:pPr>
              <w:contextualSpacing/>
              <w:jc w:val="center"/>
              <w:cnfStyle w:val="000000100000" w:firstRow="0" w:lastRow="0" w:firstColumn="0" w:lastColumn="0" w:oddVBand="0" w:evenVBand="0" w:oddHBand="1" w:evenHBand="0" w:firstRowFirstColumn="0" w:firstRowLastColumn="0" w:lastRowFirstColumn="0" w:lastRowLastColumn="0"/>
              <w:rPr>
                <w:rFonts w:ascii="Proxima Nova" w:hAnsi="Proxima Nova"/>
                <w:color w:val="191919" w:themeColor="text1"/>
                <w:sz w:val="20"/>
                <w:szCs w:val="20"/>
              </w:rPr>
            </w:pPr>
            <w:r>
              <w:rPr>
                <w:rFonts w:ascii="Proxima Nova" w:hAnsi="Proxima Nova"/>
                <w:color w:val="191919" w:themeColor="text1"/>
                <w:sz w:val="20"/>
                <w:szCs w:val="20"/>
              </w:rPr>
              <w:t>6,235</w:t>
            </w:r>
          </w:p>
        </w:tc>
      </w:tr>
      <w:tr w:rsidR="00D23A7F" w14:paraId="670DB28E" w14:textId="5D9431ED" w:rsidTr="00C413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0" w:type="dxa"/>
          </w:tcPr>
          <w:p w14:paraId="57761340" w14:textId="3D987F83" w:rsidR="00C41365" w:rsidRPr="00656BC3" w:rsidRDefault="00C41365" w:rsidP="007926B7">
            <w:pPr>
              <w:contextualSpacing/>
              <w:rPr>
                <w:rFonts w:ascii="Proxima Nova" w:hAnsi="Proxima Nova"/>
                <w:color w:val="191919" w:themeColor="text1"/>
                <w:sz w:val="20"/>
                <w:szCs w:val="20"/>
              </w:rPr>
            </w:pPr>
            <w:r w:rsidRPr="00656BC3">
              <w:rPr>
                <w:rFonts w:ascii="Proxima Nova" w:hAnsi="Proxima Nova"/>
                <w:color w:val="191919" w:themeColor="text1"/>
                <w:sz w:val="20"/>
                <w:szCs w:val="20"/>
              </w:rPr>
              <w:t xml:space="preserve">HOU </w:t>
            </w:r>
            <w:r>
              <w:rPr>
                <w:rFonts w:ascii="Proxima Nova" w:hAnsi="Proxima Nova"/>
                <w:color w:val="191919" w:themeColor="text1"/>
                <w:sz w:val="20"/>
                <w:szCs w:val="20"/>
              </w:rPr>
              <w:t xml:space="preserve">- </w:t>
            </w:r>
            <w:r w:rsidRPr="00656BC3">
              <w:rPr>
                <w:rFonts w:ascii="Proxima Nova" w:hAnsi="Proxima Nova"/>
                <w:color w:val="191919" w:themeColor="text1"/>
                <w:sz w:val="20"/>
                <w:szCs w:val="20"/>
              </w:rPr>
              <w:t>Weekends</w:t>
            </w:r>
          </w:p>
        </w:tc>
        <w:tc>
          <w:tcPr>
            <w:tcW w:w="1379" w:type="dxa"/>
          </w:tcPr>
          <w:p w14:paraId="67CD6067" w14:textId="531D384D" w:rsidR="00C41365" w:rsidRPr="00656BC3" w:rsidRDefault="00C41365" w:rsidP="008C545F">
            <w:pPr>
              <w:contextualSpacing/>
              <w:jc w:val="center"/>
              <w:cnfStyle w:val="000000010000" w:firstRow="0" w:lastRow="0" w:firstColumn="0" w:lastColumn="0" w:oddVBand="0" w:evenVBand="0" w:oddHBand="0" w:evenHBand="1" w:firstRowFirstColumn="0" w:firstRowLastColumn="0" w:lastRowFirstColumn="0" w:lastRowLastColumn="0"/>
              <w:rPr>
                <w:rFonts w:ascii="Proxima Nova" w:hAnsi="Proxima Nova"/>
                <w:color w:val="191919" w:themeColor="text1"/>
                <w:sz w:val="20"/>
                <w:szCs w:val="20"/>
              </w:rPr>
            </w:pPr>
            <w:r w:rsidRPr="00656BC3">
              <w:rPr>
                <w:rFonts w:ascii="Proxima Nova" w:hAnsi="Proxima Nova"/>
                <w:color w:val="191919" w:themeColor="text1"/>
                <w:sz w:val="20"/>
                <w:szCs w:val="20"/>
              </w:rPr>
              <w:t>597</w:t>
            </w:r>
          </w:p>
        </w:tc>
        <w:tc>
          <w:tcPr>
            <w:tcW w:w="1466" w:type="dxa"/>
          </w:tcPr>
          <w:p w14:paraId="4CF84DAC" w14:textId="0364E987" w:rsidR="00C41365" w:rsidRPr="00656BC3" w:rsidRDefault="00C41365" w:rsidP="007D3988">
            <w:pPr>
              <w:contextualSpacing/>
              <w:jc w:val="center"/>
              <w:cnfStyle w:val="000000010000" w:firstRow="0" w:lastRow="0" w:firstColumn="0" w:lastColumn="0" w:oddVBand="0" w:evenVBand="0" w:oddHBand="0" w:evenHBand="1" w:firstRowFirstColumn="0" w:firstRowLastColumn="0" w:lastRowFirstColumn="0" w:lastRowLastColumn="0"/>
              <w:rPr>
                <w:rFonts w:ascii="Proxima Nova" w:hAnsi="Proxima Nova"/>
                <w:color w:val="191919" w:themeColor="text1"/>
                <w:sz w:val="20"/>
                <w:szCs w:val="20"/>
              </w:rPr>
            </w:pPr>
            <w:r>
              <w:rPr>
                <w:rFonts w:ascii="Proxima Nova" w:hAnsi="Proxima Nova"/>
                <w:color w:val="191919" w:themeColor="text1"/>
                <w:sz w:val="20"/>
                <w:szCs w:val="20"/>
              </w:rPr>
              <w:t>1,072</w:t>
            </w:r>
          </w:p>
        </w:tc>
        <w:tc>
          <w:tcPr>
            <w:tcW w:w="1298" w:type="dxa"/>
          </w:tcPr>
          <w:p w14:paraId="692F260D" w14:textId="6A276AF7" w:rsidR="00C41365" w:rsidRDefault="00C41365" w:rsidP="007D3988">
            <w:pPr>
              <w:contextualSpacing/>
              <w:jc w:val="center"/>
              <w:cnfStyle w:val="000000010000" w:firstRow="0" w:lastRow="0" w:firstColumn="0" w:lastColumn="0" w:oddVBand="0" w:evenVBand="0" w:oddHBand="0" w:evenHBand="1" w:firstRowFirstColumn="0" w:firstRowLastColumn="0" w:lastRowFirstColumn="0" w:lastRowLastColumn="0"/>
              <w:rPr>
                <w:rFonts w:ascii="Proxima Nova" w:hAnsi="Proxima Nova"/>
                <w:color w:val="191919" w:themeColor="text1"/>
                <w:sz w:val="20"/>
                <w:szCs w:val="20"/>
              </w:rPr>
            </w:pPr>
            <w:r>
              <w:rPr>
                <w:rFonts w:ascii="Proxima Nova" w:hAnsi="Proxima Nova"/>
                <w:color w:val="191919" w:themeColor="text1"/>
                <w:sz w:val="20"/>
                <w:szCs w:val="20"/>
              </w:rPr>
              <w:t>954</w:t>
            </w:r>
          </w:p>
        </w:tc>
        <w:tc>
          <w:tcPr>
            <w:tcW w:w="1180" w:type="dxa"/>
          </w:tcPr>
          <w:p w14:paraId="1F023BEE" w14:textId="6BB2B978" w:rsidR="00C41365" w:rsidRDefault="00C41365" w:rsidP="007D3988">
            <w:pPr>
              <w:contextualSpacing/>
              <w:jc w:val="center"/>
              <w:cnfStyle w:val="000000010000" w:firstRow="0" w:lastRow="0" w:firstColumn="0" w:lastColumn="0" w:oddVBand="0" w:evenVBand="0" w:oddHBand="0" w:evenHBand="1" w:firstRowFirstColumn="0" w:firstRowLastColumn="0" w:lastRowFirstColumn="0" w:lastRowLastColumn="0"/>
              <w:rPr>
                <w:rFonts w:ascii="Proxima Nova" w:hAnsi="Proxima Nova"/>
                <w:color w:val="191919" w:themeColor="text1"/>
                <w:sz w:val="20"/>
                <w:szCs w:val="20"/>
              </w:rPr>
            </w:pPr>
            <w:r>
              <w:rPr>
                <w:rFonts w:ascii="Proxima Nova" w:hAnsi="Proxima Nova"/>
                <w:color w:val="191919" w:themeColor="text1"/>
                <w:sz w:val="20"/>
                <w:szCs w:val="20"/>
              </w:rPr>
              <w:t>831</w:t>
            </w:r>
          </w:p>
        </w:tc>
        <w:tc>
          <w:tcPr>
            <w:tcW w:w="1256" w:type="dxa"/>
          </w:tcPr>
          <w:p w14:paraId="44426F39" w14:textId="330D444E" w:rsidR="00C41365" w:rsidRDefault="00C41365" w:rsidP="007D3988">
            <w:pPr>
              <w:contextualSpacing/>
              <w:jc w:val="center"/>
              <w:cnfStyle w:val="000000010000" w:firstRow="0" w:lastRow="0" w:firstColumn="0" w:lastColumn="0" w:oddVBand="0" w:evenVBand="0" w:oddHBand="0" w:evenHBand="1" w:firstRowFirstColumn="0" w:firstRowLastColumn="0" w:lastRowFirstColumn="0" w:lastRowLastColumn="0"/>
              <w:rPr>
                <w:rFonts w:ascii="Proxima Nova" w:hAnsi="Proxima Nova"/>
                <w:color w:val="191919" w:themeColor="text1"/>
                <w:sz w:val="20"/>
                <w:szCs w:val="20"/>
              </w:rPr>
            </w:pPr>
            <w:r>
              <w:rPr>
                <w:rFonts w:ascii="Proxima Nova" w:hAnsi="Proxima Nova"/>
                <w:color w:val="191919" w:themeColor="text1"/>
                <w:sz w:val="20"/>
                <w:szCs w:val="20"/>
              </w:rPr>
              <w:t>0</w:t>
            </w:r>
          </w:p>
        </w:tc>
        <w:tc>
          <w:tcPr>
            <w:tcW w:w="1297" w:type="dxa"/>
          </w:tcPr>
          <w:p w14:paraId="194C264B" w14:textId="7D6285B3" w:rsidR="00C41365" w:rsidRDefault="00C41365" w:rsidP="007D3988">
            <w:pPr>
              <w:contextualSpacing/>
              <w:jc w:val="center"/>
              <w:cnfStyle w:val="000000010000" w:firstRow="0" w:lastRow="0" w:firstColumn="0" w:lastColumn="0" w:oddVBand="0" w:evenVBand="0" w:oddHBand="0" w:evenHBand="1" w:firstRowFirstColumn="0" w:firstRowLastColumn="0" w:lastRowFirstColumn="0" w:lastRowLastColumn="0"/>
              <w:rPr>
                <w:rFonts w:ascii="Proxima Nova" w:hAnsi="Proxima Nova"/>
                <w:color w:val="191919" w:themeColor="text1"/>
                <w:sz w:val="20"/>
                <w:szCs w:val="20"/>
              </w:rPr>
            </w:pPr>
            <w:r>
              <w:rPr>
                <w:rFonts w:ascii="Proxima Nova" w:hAnsi="Proxima Nova"/>
                <w:color w:val="191919" w:themeColor="text1"/>
                <w:sz w:val="20"/>
                <w:szCs w:val="20"/>
              </w:rPr>
              <w:t>2,494</w:t>
            </w:r>
          </w:p>
        </w:tc>
      </w:tr>
      <w:tr w:rsidR="00D23A7F" w14:paraId="786A0DD0" w14:textId="1965D2E1" w:rsidTr="00C413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0" w:type="dxa"/>
          </w:tcPr>
          <w:p w14:paraId="1387DC83" w14:textId="32D58556" w:rsidR="00C41365" w:rsidRPr="00656BC3" w:rsidRDefault="00C41365" w:rsidP="006F2A76">
            <w:pPr>
              <w:contextualSpacing/>
              <w:rPr>
                <w:rFonts w:asciiTheme="majorHAnsi" w:hAnsiTheme="majorHAnsi"/>
                <w:color w:val="191919" w:themeColor="text1"/>
                <w:sz w:val="20"/>
                <w:szCs w:val="20"/>
              </w:rPr>
            </w:pPr>
            <w:r w:rsidRPr="00656BC3">
              <w:rPr>
                <w:rFonts w:asciiTheme="majorHAnsi" w:hAnsiTheme="majorHAnsi"/>
                <w:color w:val="191919" w:themeColor="text1"/>
                <w:sz w:val="20"/>
                <w:szCs w:val="20"/>
              </w:rPr>
              <w:t xml:space="preserve">HOU </w:t>
            </w:r>
            <w:r>
              <w:rPr>
                <w:rFonts w:asciiTheme="majorHAnsi" w:hAnsiTheme="majorHAnsi"/>
                <w:color w:val="191919" w:themeColor="text1"/>
                <w:sz w:val="20"/>
                <w:szCs w:val="20"/>
              </w:rPr>
              <w:t>- Overall</w:t>
            </w:r>
          </w:p>
        </w:tc>
        <w:tc>
          <w:tcPr>
            <w:tcW w:w="1379" w:type="dxa"/>
          </w:tcPr>
          <w:p w14:paraId="5E2348C8" w14:textId="40D1E6FA" w:rsidR="00C41365" w:rsidRPr="00656BC3" w:rsidRDefault="00C41365" w:rsidP="008C545F">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191919" w:themeColor="text1"/>
                <w:sz w:val="20"/>
                <w:szCs w:val="20"/>
              </w:rPr>
            </w:pPr>
            <w:r w:rsidRPr="00656BC3">
              <w:rPr>
                <w:rFonts w:asciiTheme="majorHAnsi" w:hAnsiTheme="majorHAnsi"/>
                <w:color w:val="191919" w:themeColor="text1"/>
                <w:sz w:val="20"/>
                <w:szCs w:val="20"/>
              </w:rPr>
              <w:t>59</w:t>
            </w:r>
            <w:r>
              <w:rPr>
                <w:rFonts w:asciiTheme="majorHAnsi" w:hAnsiTheme="majorHAnsi"/>
                <w:color w:val="191919" w:themeColor="text1"/>
                <w:sz w:val="20"/>
                <w:szCs w:val="20"/>
              </w:rPr>
              <w:t>6</w:t>
            </w:r>
          </w:p>
        </w:tc>
        <w:tc>
          <w:tcPr>
            <w:tcW w:w="1466" w:type="dxa"/>
          </w:tcPr>
          <w:p w14:paraId="0AAC0D88" w14:textId="7E48B66D" w:rsidR="00C41365" w:rsidRPr="00656BC3" w:rsidRDefault="00C41365" w:rsidP="007D3988">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191919" w:themeColor="text1"/>
                <w:sz w:val="20"/>
                <w:szCs w:val="20"/>
              </w:rPr>
            </w:pPr>
            <w:r>
              <w:rPr>
                <w:rFonts w:asciiTheme="majorHAnsi" w:hAnsiTheme="majorHAnsi"/>
                <w:color w:val="191919" w:themeColor="text1"/>
                <w:sz w:val="20"/>
                <w:szCs w:val="20"/>
              </w:rPr>
              <w:t>3,641</w:t>
            </w:r>
          </w:p>
        </w:tc>
        <w:tc>
          <w:tcPr>
            <w:tcW w:w="1298" w:type="dxa"/>
          </w:tcPr>
          <w:p w14:paraId="627B455C" w14:textId="053F6C76" w:rsidR="00C41365" w:rsidRDefault="00C41365" w:rsidP="007D3988">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191919" w:themeColor="text1"/>
                <w:sz w:val="20"/>
                <w:szCs w:val="20"/>
              </w:rPr>
            </w:pPr>
            <w:r>
              <w:rPr>
                <w:rFonts w:asciiTheme="majorHAnsi" w:hAnsiTheme="majorHAnsi"/>
                <w:color w:val="191919" w:themeColor="text1"/>
                <w:sz w:val="20"/>
                <w:szCs w:val="20"/>
              </w:rPr>
              <w:t>3,348</w:t>
            </w:r>
          </w:p>
        </w:tc>
        <w:tc>
          <w:tcPr>
            <w:tcW w:w="1180" w:type="dxa"/>
          </w:tcPr>
          <w:p w14:paraId="2ED12E7D" w14:textId="42822602" w:rsidR="00C41365" w:rsidRDefault="00C41365" w:rsidP="007D3988">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191919" w:themeColor="text1"/>
                <w:sz w:val="20"/>
                <w:szCs w:val="20"/>
              </w:rPr>
            </w:pPr>
            <w:r>
              <w:rPr>
                <w:rFonts w:asciiTheme="majorHAnsi" w:hAnsiTheme="majorHAnsi"/>
                <w:color w:val="191919" w:themeColor="text1"/>
                <w:sz w:val="20"/>
                <w:szCs w:val="20"/>
              </w:rPr>
              <w:t>2,546</w:t>
            </w:r>
          </w:p>
        </w:tc>
        <w:tc>
          <w:tcPr>
            <w:tcW w:w="1256" w:type="dxa"/>
          </w:tcPr>
          <w:p w14:paraId="11A7E0E2" w14:textId="33C1D9E6" w:rsidR="00C41365" w:rsidRDefault="00C41365" w:rsidP="007D3988">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191919" w:themeColor="text1"/>
                <w:sz w:val="20"/>
                <w:szCs w:val="20"/>
              </w:rPr>
            </w:pPr>
            <w:r>
              <w:rPr>
                <w:rFonts w:asciiTheme="majorHAnsi" w:hAnsiTheme="majorHAnsi"/>
                <w:color w:val="191919" w:themeColor="text1"/>
                <w:sz w:val="20"/>
                <w:szCs w:val="20"/>
              </w:rPr>
              <w:t>2</w:t>
            </w:r>
          </w:p>
        </w:tc>
        <w:tc>
          <w:tcPr>
            <w:tcW w:w="1297" w:type="dxa"/>
          </w:tcPr>
          <w:p w14:paraId="7257CE16" w14:textId="47B00C67" w:rsidR="00C41365" w:rsidRDefault="00C41365" w:rsidP="007D3988">
            <w:pPr>
              <w:contextualSpacing/>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olor w:val="191919" w:themeColor="text1"/>
                <w:sz w:val="20"/>
                <w:szCs w:val="20"/>
              </w:rPr>
            </w:pPr>
            <w:r>
              <w:rPr>
                <w:rFonts w:asciiTheme="majorHAnsi" w:hAnsiTheme="majorHAnsi"/>
                <w:color w:val="191919" w:themeColor="text1"/>
                <w:sz w:val="20"/>
                <w:szCs w:val="20"/>
              </w:rPr>
              <w:t>8,729</w:t>
            </w:r>
          </w:p>
        </w:tc>
      </w:tr>
    </w:tbl>
    <w:p w14:paraId="57F63AFB" w14:textId="5CEF5459" w:rsidR="00493261" w:rsidRDefault="00C000ED" w:rsidP="00DA482E">
      <w:pPr>
        <w:pStyle w:val="TableFootnote"/>
      </w:pPr>
      <w:r w:rsidRPr="00DA482E">
        <w:rPr>
          <w:vertAlign w:val="superscript"/>
        </w:rPr>
        <w:t>a</w:t>
      </w:r>
      <w:r>
        <w:t xml:space="preserve"> Note that</w:t>
      </w:r>
      <w:r w:rsidR="00223D2E">
        <w:t xml:space="preserve"> as described above,</w:t>
      </w:r>
      <w:r>
        <w:t xml:space="preserve"> the overall HOU value is </w:t>
      </w:r>
      <w:r w:rsidRPr="00DA482E">
        <w:rPr>
          <w:u w:val="single"/>
        </w:rPr>
        <w:t>not</w:t>
      </w:r>
      <w:r>
        <w:t xml:space="preserve"> computed as a sum of the weekday and weekend values.</w:t>
      </w:r>
    </w:p>
    <w:p w14:paraId="2E4A51A5" w14:textId="77777777" w:rsidR="00C420D3" w:rsidRDefault="00C420D3" w:rsidP="00DA482E"/>
    <w:p w14:paraId="2F17BDDC" w14:textId="59AB9EC4" w:rsidR="00C420D3" w:rsidRPr="00C420D3" w:rsidRDefault="00C420D3" w:rsidP="00DA482E">
      <w:r>
        <w:t xml:space="preserve">As shown in </w:t>
      </w:r>
      <w:r w:rsidR="009D7AE1" w:rsidRPr="001A5C36">
        <w:rPr>
          <w:b/>
        </w:rPr>
        <w:fldChar w:fldCharType="begin"/>
      </w:r>
      <w:r w:rsidR="009D7AE1" w:rsidRPr="001A5C36">
        <w:rPr>
          <w:b/>
        </w:rPr>
        <w:instrText xml:space="preserve"> REF _Ref466647296 \h </w:instrText>
      </w:r>
      <w:r w:rsidR="001A5C36">
        <w:rPr>
          <w:b/>
        </w:rPr>
        <w:instrText xml:space="preserve"> \* MERGEFORMAT </w:instrText>
      </w:r>
      <w:r w:rsidR="009D7AE1" w:rsidRPr="001A5C36">
        <w:rPr>
          <w:b/>
        </w:rPr>
      </w:r>
      <w:r w:rsidR="009D7AE1" w:rsidRPr="001A5C36">
        <w:rPr>
          <w:b/>
        </w:rPr>
        <w:fldChar w:fldCharType="separate"/>
      </w:r>
      <w:r w:rsidR="00BF6769" w:rsidRPr="00BF6769">
        <w:rPr>
          <w:b/>
        </w:rPr>
        <w:t xml:space="preserve">Figure </w:t>
      </w:r>
      <w:r w:rsidR="00BF6769" w:rsidRPr="00BF6769">
        <w:rPr>
          <w:b/>
          <w:noProof/>
        </w:rPr>
        <w:t>4</w:t>
      </w:r>
      <w:r w:rsidR="009D7AE1" w:rsidRPr="001A5C36">
        <w:rPr>
          <w:b/>
        </w:rPr>
        <w:fldChar w:fldCharType="end"/>
      </w:r>
      <w:r w:rsidR="009D7AE1">
        <w:t>, th</w:t>
      </w:r>
      <w:r w:rsidR="00FD2C42">
        <w:t xml:space="preserve">e distribution of HOU values is </w:t>
      </w:r>
      <w:r w:rsidR="007B07AA">
        <w:t xml:space="preserve">somewhat </w:t>
      </w:r>
      <w:r w:rsidR="009D7AE1">
        <w:t>bimodal, with respondents tending to either use their air cleaners relatively infrequently or nearly all the time.</w:t>
      </w:r>
    </w:p>
    <w:p w14:paraId="7AFB2FF0" w14:textId="786031F9" w:rsidR="00C000ED" w:rsidRPr="00493261" w:rsidRDefault="00C420D3" w:rsidP="00F43A7D">
      <w:pPr>
        <w:pStyle w:val="Caption"/>
        <w:outlineLvl w:val="0"/>
        <w:rPr>
          <w:rFonts w:ascii="Proxima Nova" w:hAnsi="Proxima Nova"/>
          <w:color w:val="191919" w:themeColor="text1"/>
          <w:szCs w:val="22"/>
        </w:rPr>
      </w:pPr>
      <w:bookmarkStart w:id="25" w:name="_Ref466647296"/>
      <w:r>
        <w:t xml:space="preserve">Figure </w:t>
      </w:r>
      <w:r w:rsidR="002271A4">
        <w:fldChar w:fldCharType="begin"/>
      </w:r>
      <w:r w:rsidR="002271A4">
        <w:instrText xml:space="preserve"> SEQ Figure \* ARABIC</w:instrText>
      </w:r>
      <w:r w:rsidR="002271A4">
        <w:instrText xml:space="preserve"> </w:instrText>
      </w:r>
      <w:r w:rsidR="002271A4">
        <w:fldChar w:fldCharType="separate"/>
      </w:r>
      <w:r w:rsidR="00BF6769">
        <w:rPr>
          <w:noProof/>
        </w:rPr>
        <w:t>4</w:t>
      </w:r>
      <w:r w:rsidR="002271A4">
        <w:rPr>
          <w:noProof/>
        </w:rPr>
        <w:fldChar w:fldCharType="end"/>
      </w:r>
      <w:bookmarkEnd w:id="25"/>
      <w:r>
        <w:t>. Histogram of Overall HOU Values by Respondent</w:t>
      </w:r>
    </w:p>
    <w:p w14:paraId="4B03991B" w14:textId="109C0244" w:rsidR="00B832A6" w:rsidRDefault="00223D2E" w:rsidP="00980924">
      <w:r>
        <w:rPr>
          <w:noProof/>
        </w:rPr>
        <w:drawing>
          <wp:inline distT="0" distB="0" distL="0" distR="0" wp14:anchorId="4C0FADFD" wp14:editId="250A771D">
            <wp:extent cx="5943600" cy="2882900"/>
            <wp:effectExtent l="0" t="0" r="0" b="127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882900"/>
                    </a:xfrm>
                    <a:prstGeom prst="rect">
                      <a:avLst/>
                    </a:prstGeom>
                  </pic:spPr>
                </pic:pic>
              </a:graphicData>
            </a:graphic>
          </wp:inline>
        </w:drawing>
      </w:r>
    </w:p>
    <w:p w14:paraId="27512101" w14:textId="77777777" w:rsidR="00B832A6" w:rsidRDefault="00B832A6" w:rsidP="00980924"/>
    <w:p w14:paraId="4CC9F3F5" w14:textId="3EB872B5" w:rsidR="0083705F" w:rsidRDefault="0083705F" w:rsidP="00980924">
      <w:r>
        <w:t xml:space="preserve">Here we note the difference in computation approaches between the current study and the 2004 AHAM report (which yielded an HOU estimate of 2,921). Had we used the same approach used in that earlier </w:t>
      </w:r>
      <w:r>
        <w:lastRenderedPageBreak/>
        <w:t>study</w:t>
      </w:r>
      <w:r w:rsidR="00EA6C1D">
        <w:t>, we</w:t>
      </w:r>
      <w:r>
        <w:t xml:space="preserve"> would have yielded a slig</w:t>
      </w:r>
      <w:r w:rsidR="004B2B1B">
        <w:t>htly higher HOU estimate of 3,876</w:t>
      </w:r>
      <w:r>
        <w:t>. We chose to not use that same approach as we believe our approach to be more precise, given that it does not rely on using ranges</w:t>
      </w:r>
      <w:r w:rsidR="004B2B1B">
        <w:t xml:space="preserve"> of values</w:t>
      </w:r>
      <w:r>
        <w:t xml:space="preserve"> (as was used in the 2004 AHAM report).</w:t>
      </w:r>
      <w:r w:rsidR="00EA02FC">
        <w:t xml:space="preserve"> A comparison of these two approaches is </w:t>
      </w:r>
      <w:r w:rsidR="001A5C36">
        <w:t>included in the next section.</w:t>
      </w:r>
    </w:p>
    <w:p w14:paraId="15CEE6FF" w14:textId="546B8A02" w:rsidR="006A514E" w:rsidRDefault="006A514E" w:rsidP="00F43A7D">
      <w:pPr>
        <w:pStyle w:val="ESMemoHeading3"/>
        <w:outlineLvl w:val="0"/>
      </w:pPr>
      <w:r>
        <w:t>CDF Estimation</w:t>
      </w:r>
    </w:p>
    <w:p w14:paraId="0763EB35" w14:textId="094CCC3E" w:rsidR="003E02CA" w:rsidRPr="00CC4987" w:rsidRDefault="00263AD1" w:rsidP="00980924">
      <w:r w:rsidRPr="00CC4987">
        <w:t xml:space="preserve">Coincident </w:t>
      </w:r>
      <w:r w:rsidR="007518EF">
        <w:t>d</w:t>
      </w:r>
      <w:r w:rsidRPr="00CC4987">
        <w:t>emand</w:t>
      </w:r>
      <w:r w:rsidR="00625E88" w:rsidRPr="00CC4987">
        <w:t xml:space="preserve"> </w:t>
      </w:r>
      <w:r w:rsidR="007518EF">
        <w:t>f</w:t>
      </w:r>
      <w:r w:rsidR="00625E88" w:rsidRPr="00CC4987">
        <w:t xml:space="preserve">actor </w:t>
      </w:r>
      <w:r w:rsidR="007518EF">
        <w:t xml:space="preserve">(CDF) </w:t>
      </w:r>
      <w:r w:rsidR="00AC692E" w:rsidRPr="00CC4987">
        <w:t xml:space="preserve">was assessed by asking respondents: “During the hottest months of the year (July </w:t>
      </w:r>
      <w:r w:rsidR="007A2F4C" w:rsidRPr="00CC4987">
        <w:t>through</w:t>
      </w:r>
      <w:r w:rsidR="00AC692E" w:rsidRPr="00CC4987">
        <w:t xml:space="preserve"> September), on weekdays between 2:00pm and 5:00pm, what percentage of the time would you estimate the air cleaner is typically in use in your home?</w:t>
      </w:r>
      <w:r w:rsidR="00E840FC" w:rsidRPr="00CC4987">
        <w:t>”</w:t>
      </w:r>
      <w:r w:rsidR="00F42363">
        <w:rPr>
          <w:rStyle w:val="FootnoteReference"/>
        </w:rPr>
        <w:footnoteReference w:id="18"/>
      </w:r>
      <w:r w:rsidR="0089685D" w:rsidRPr="00CC4987">
        <w:t xml:space="preserve"> The average coincident demand factor reported by respondents was </w:t>
      </w:r>
      <w:r w:rsidR="0089685D" w:rsidRPr="00DA482E">
        <w:rPr>
          <w:b/>
        </w:rPr>
        <w:t>31.9%</w:t>
      </w:r>
      <w:r w:rsidR="0089685D" w:rsidRPr="00CC4987">
        <w:t xml:space="preserve"> (</w:t>
      </w:r>
      <w:r w:rsidR="0089685D" w:rsidRPr="00E00B7D">
        <w:rPr>
          <w:i/>
        </w:rPr>
        <w:t>n</w:t>
      </w:r>
      <w:r w:rsidR="0089685D" w:rsidRPr="00CC4987">
        <w:t xml:space="preserve"> = 654, SD = 42.0%).</w:t>
      </w:r>
      <w:r w:rsidR="002A09D3">
        <w:t xml:space="preserve"> At a 90% level of confidence, the relative precision of this estimate is </w:t>
      </w:r>
      <w:r w:rsidR="00F47484">
        <w:t>+/- 4.9%</w:t>
      </w:r>
      <w:r w:rsidR="002A09D3">
        <w:t>.</w:t>
      </w:r>
    </w:p>
    <w:p w14:paraId="05D9BA89" w14:textId="0CD5BC3D" w:rsidR="00E24711" w:rsidRDefault="00E24711" w:rsidP="00E24711">
      <w:pPr>
        <w:pStyle w:val="ESMemoHeading1"/>
      </w:pPr>
      <w:r>
        <w:t>Comparison of HOU Calculations Between 2004 AHAM Study and Current Study</w:t>
      </w:r>
    </w:p>
    <w:p w14:paraId="7EA338E9" w14:textId="5809C3B3" w:rsidR="00E24711" w:rsidRPr="00E24711" w:rsidRDefault="00AB4885" w:rsidP="00E24711">
      <w:r>
        <w:t>To provi</w:t>
      </w:r>
      <w:r w:rsidR="00855FFC">
        <w:t>d</w:t>
      </w:r>
      <w:r>
        <w:t>e additional context around</w:t>
      </w:r>
      <w:r w:rsidR="00855FFC">
        <w:t xml:space="preserve"> the calculations presented in this memo for HOU,</w:t>
      </w:r>
      <w:r w:rsidR="00E24711">
        <w:t xml:space="preserve"> </w:t>
      </w:r>
      <w:r w:rsidR="00855FFC">
        <w:t xml:space="preserve">in this section </w:t>
      </w:r>
      <w:r w:rsidR="00E24711">
        <w:t>we reproduce the calculations used to estimate HOU from the 2004 AHAM study. Using this same approach, we then substitute in data from the current study to directly compare the two resulting HOU values (using the AHAM computation approach).</w:t>
      </w:r>
      <w:r w:rsidR="00855FFC">
        <w:t xml:space="preserve"> Finally, we explain why we believe that the HOU value presented in this memo is more accurate than the 2004 AHAM value.</w:t>
      </w:r>
    </w:p>
    <w:p w14:paraId="46E32A40" w14:textId="77777777" w:rsidR="004B42C8" w:rsidRDefault="004B42C8" w:rsidP="00F43A7D">
      <w:pPr>
        <w:pStyle w:val="ESMemoHeading2"/>
        <w:outlineLvl w:val="0"/>
      </w:pPr>
      <w:r>
        <w:t>AHAM Approach Using AHAM Data</w:t>
      </w:r>
    </w:p>
    <w:p w14:paraId="13D8C0E1" w14:textId="4A37579D" w:rsidR="004B42C8" w:rsidRDefault="004B42C8" w:rsidP="004B42C8">
      <w:r>
        <w:t xml:space="preserve">Although the 2004 AHAM study did not provide exact details on how they computed HOU, the research team for the current study attempted to recreate these calculations. The first step was to determine the mean number of days that air cleaners were used by two groups: (1) those who use their air cleaner year-round, and (2) those who only use it seasonally. To do this, the midpoints of the ranges shown in the leftmost column in </w:t>
      </w:r>
      <w:r w:rsidR="00AB4885" w:rsidRPr="00105CBB">
        <w:rPr>
          <w:b/>
        </w:rPr>
        <w:fldChar w:fldCharType="begin"/>
      </w:r>
      <w:r w:rsidR="00AB4885" w:rsidRPr="00105CBB">
        <w:rPr>
          <w:b/>
        </w:rPr>
        <w:instrText xml:space="preserve"> REF _Ref469491719 \h </w:instrText>
      </w:r>
      <w:r w:rsidR="00105CBB">
        <w:rPr>
          <w:b/>
        </w:rPr>
        <w:instrText xml:space="preserve"> \* MERGEFORMAT </w:instrText>
      </w:r>
      <w:r w:rsidR="00AB4885" w:rsidRPr="00105CBB">
        <w:rPr>
          <w:b/>
        </w:rPr>
      </w:r>
      <w:r w:rsidR="00AB4885" w:rsidRPr="00105CBB">
        <w:rPr>
          <w:b/>
        </w:rPr>
        <w:fldChar w:fldCharType="separate"/>
      </w:r>
      <w:r w:rsidR="00BF6769" w:rsidRPr="00BF6769">
        <w:rPr>
          <w:b/>
        </w:rPr>
        <w:t xml:space="preserve">Table </w:t>
      </w:r>
      <w:r w:rsidR="00BF6769" w:rsidRPr="00BF6769">
        <w:rPr>
          <w:b/>
          <w:noProof/>
        </w:rPr>
        <w:t>15</w:t>
      </w:r>
      <w:r w:rsidR="00AB4885" w:rsidRPr="00105CBB">
        <w:rPr>
          <w:b/>
        </w:rPr>
        <w:fldChar w:fldCharType="end"/>
      </w:r>
      <w:r w:rsidR="00AB4885">
        <w:t xml:space="preserve"> </w:t>
      </w:r>
      <w:r>
        <w:t>were multiplied by the percent of respondents in each of those ranges. This was performed separately for year-round users and seasonal users. The end result (for each group) is a mean number of days/week for air cleaner usage (5.71 days and 3.85 days, respectively).</w:t>
      </w:r>
    </w:p>
    <w:p w14:paraId="7D6C333A" w14:textId="68867328" w:rsidR="004B42C8" w:rsidRDefault="00AB4885" w:rsidP="00F43A7D">
      <w:pPr>
        <w:pStyle w:val="Caption"/>
        <w:outlineLvl w:val="0"/>
      </w:pPr>
      <w:bookmarkStart w:id="26" w:name="_Ref469491719"/>
      <w:r>
        <w:lastRenderedPageBreak/>
        <w:t xml:space="preserve">Table </w:t>
      </w:r>
      <w:r w:rsidR="002271A4">
        <w:fldChar w:fldCharType="begin"/>
      </w:r>
      <w:r w:rsidR="002271A4">
        <w:instrText xml:space="preserve"> SEQ Table \* ARABIC </w:instrText>
      </w:r>
      <w:r w:rsidR="002271A4">
        <w:fldChar w:fldCharType="separate"/>
      </w:r>
      <w:r w:rsidR="00BF6769">
        <w:rPr>
          <w:noProof/>
        </w:rPr>
        <w:t>15</w:t>
      </w:r>
      <w:r w:rsidR="002271A4">
        <w:rPr>
          <w:noProof/>
        </w:rPr>
        <w:fldChar w:fldCharType="end"/>
      </w:r>
      <w:bookmarkEnd w:id="26"/>
      <w:r>
        <w:t xml:space="preserve">. </w:t>
      </w:r>
      <w:r w:rsidR="004B42C8">
        <w:t>Using AHAM Approach to Est</w:t>
      </w:r>
      <w:r w:rsidR="00F43A7D">
        <w:t>imate Mean Days of Use for Year-</w:t>
      </w:r>
      <w:r w:rsidR="004B42C8">
        <w:t>Round and Seasonal Users</w:t>
      </w:r>
    </w:p>
    <w:tbl>
      <w:tblPr>
        <w:tblStyle w:val="EMITable"/>
        <w:tblW w:w="9132" w:type="dxa"/>
        <w:jc w:val="center"/>
        <w:tblLook w:val="04A0" w:firstRow="1" w:lastRow="0" w:firstColumn="1" w:lastColumn="0" w:noHBand="0" w:noVBand="1"/>
      </w:tblPr>
      <w:tblGrid>
        <w:gridCol w:w="1813"/>
        <w:gridCol w:w="1214"/>
        <w:gridCol w:w="1606"/>
        <w:gridCol w:w="1319"/>
        <w:gridCol w:w="1693"/>
        <w:gridCol w:w="1487"/>
      </w:tblGrid>
      <w:tr w:rsidR="004B42C8" w:rsidRPr="00285C0D" w14:paraId="06A8A21E" w14:textId="77777777" w:rsidTr="006B7060">
        <w:trPr>
          <w:cnfStyle w:val="100000000000" w:firstRow="1" w:lastRow="0" w:firstColumn="0" w:lastColumn="0" w:oddVBand="0" w:evenVBand="0" w:oddHBand="0" w:evenHBand="0" w:firstRowFirstColumn="0" w:firstRowLastColumn="0" w:lastRowFirstColumn="0" w:lastRowLastColumn="0"/>
          <w:trHeight w:val="540"/>
          <w:jc w:val="center"/>
        </w:trPr>
        <w:tc>
          <w:tcPr>
            <w:cnfStyle w:val="001000000100" w:firstRow="0" w:lastRow="0" w:firstColumn="1" w:lastColumn="0" w:oddVBand="0" w:evenVBand="0" w:oddHBand="0" w:evenHBand="0" w:firstRowFirstColumn="1" w:firstRowLastColumn="0" w:lastRowFirstColumn="0" w:lastRowLastColumn="0"/>
            <w:tcW w:w="1813" w:type="dxa"/>
            <w:hideMark/>
          </w:tcPr>
          <w:p w14:paraId="3AF640D1" w14:textId="77777777" w:rsidR="004B42C8" w:rsidRPr="00285C0D" w:rsidRDefault="004B42C8" w:rsidP="006B7060">
            <w:pPr>
              <w:spacing w:line="240" w:lineRule="auto"/>
              <w:rPr>
                <w:rFonts w:eastAsia="Times New Roman" w:cs="Times New Roman"/>
                <w:bCs/>
                <w:color w:val="000000"/>
                <w:sz w:val="20"/>
                <w:szCs w:val="20"/>
              </w:rPr>
            </w:pPr>
          </w:p>
        </w:tc>
        <w:tc>
          <w:tcPr>
            <w:tcW w:w="1214" w:type="dxa"/>
          </w:tcPr>
          <w:p w14:paraId="14215870" w14:textId="77777777" w:rsidR="004B42C8" w:rsidRPr="00C146B0"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Cs/>
                <w:color w:val="000000"/>
                <w:sz w:val="20"/>
                <w:szCs w:val="20"/>
              </w:rPr>
            </w:pPr>
          </w:p>
        </w:tc>
        <w:tc>
          <w:tcPr>
            <w:tcW w:w="2925" w:type="dxa"/>
            <w:gridSpan w:val="2"/>
          </w:tcPr>
          <w:p w14:paraId="5E4A713D" w14:textId="5F2D092A" w:rsidR="004B42C8" w:rsidRPr="00C146B0" w:rsidRDefault="00F43A7D"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Cs/>
                <w:color w:val="000000"/>
                <w:sz w:val="20"/>
                <w:szCs w:val="20"/>
              </w:rPr>
            </w:pPr>
            <w:r>
              <w:rPr>
                <w:rFonts w:eastAsia="Times New Roman" w:cs="Times New Roman"/>
                <w:bCs/>
                <w:color w:val="000000"/>
                <w:sz w:val="20"/>
                <w:szCs w:val="20"/>
              </w:rPr>
              <w:t>Year-</w:t>
            </w:r>
            <w:r w:rsidR="004B42C8" w:rsidRPr="00C146B0">
              <w:rPr>
                <w:rFonts w:eastAsia="Times New Roman" w:cs="Times New Roman"/>
                <w:bCs/>
                <w:color w:val="000000"/>
                <w:sz w:val="20"/>
                <w:szCs w:val="20"/>
              </w:rPr>
              <w:t>Round Users</w:t>
            </w:r>
          </w:p>
        </w:tc>
        <w:tc>
          <w:tcPr>
            <w:tcW w:w="3180" w:type="dxa"/>
            <w:gridSpan w:val="2"/>
            <w:hideMark/>
          </w:tcPr>
          <w:p w14:paraId="68E725F9" w14:textId="77777777" w:rsidR="004B42C8" w:rsidRPr="00C146B0"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Cs/>
                <w:color w:val="000000"/>
                <w:sz w:val="20"/>
                <w:szCs w:val="20"/>
              </w:rPr>
            </w:pPr>
            <w:r w:rsidRPr="00C146B0">
              <w:rPr>
                <w:rFonts w:eastAsia="Times New Roman" w:cs="Times New Roman"/>
                <w:bCs/>
                <w:color w:val="000000"/>
                <w:sz w:val="20"/>
                <w:szCs w:val="20"/>
              </w:rPr>
              <w:t>Seasonal Users</w:t>
            </w:r>
          </w:p>
        </w:tc>
      </w:tr>
      <w:tr w:rsidR="004B42C8" w:rsidRPr="00285C0D" w14:paraId="364E71F4" w14:textId="77777777" w:rsidTr="006B7060">
        <w:trPr>
          <w:cnfStyle w:val="000000100000" w:firstRow="0" w:lastRow="0" w:firstColumn="0" w:lastColumn="0" w:oddVBand="0" w:evenVBand="0" w:oddHBand="1" w:evenHBand="0" w:firstRowFirstColumn="0" w:firstRowLastColumn="0" w:lastRowFirstColumn="0" w:lastRowLastColumn="0"/>
          <w:trHeight w:val="5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0E601884" w14:textId="77777777" w:rsidR="004B42C8" w:rsidRPr="00285C0D" w:rsidRDefault="004B42C8" w:rsidP="006B7060">
            <w:pPr>
              <w:spacing w:line="240" w:lineRule="auto"/>
              <w:jc w:val="center"/>
              <w:rPr>
                <w:rFonts w:eastAsia="Times New Roman" w:cs="Times New Roman"/>
                <w:color w:val="000000"/>
                <w:sz w:val="20"/>
                <w:szCs w:val="20"/>
              </w:rPr>
            </w:pPr>
            <w:r w:rsidRPr="00285C0D">
              <w:rPr>
                <w:rFonts w:eastAsia="Times New Roman" w:cs="Times New Roman"/>
                <w:color w:val="000000"/>
                <w:sz w:val="20"/>
                <w:szCs w:val="20"/>
              </w:rPr>
              <w:t>Days Per Week</w:t>
            </w:r>
          </w:p>
        </w:tc>
        <w:tc>
          <w:tcPr>
            <w:tcW w:w="1214" w:type="dxa"/>
          </w:tcPr>
          <w:p w14:paraId="17993B99"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Midpoint of Range</w:t>
            </w:r>
          </w:p>
        </w:tc>
        <w:tc>
          <w:tcPr>
            <w:tcW w:w="1606" w:type="dxa"/>
          </w:tcPr>
          <w:p w14:paraId="6C902689"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Percent</w:t>
            </w:r>
            <w:r>
              <w:rPr>
                <w:rFonts w:eastAsia="Times New Roman" w:cs="Times New Roman"/>
                <w:color w:val="000000"/>
                <w:sz w:val="20"/>
                <w:szCs w:val="20"/>
              </w:rPr>
              <w:t xml:space="preserve"> of Respondents</w:t>
            </w:r>
          </w:p>
        </w:tc>
        <w:tc>
          <w:tcPr>
            <w:tcW w:w="1319" w:type="dxa"/>
          </w:tcPr>
          <w:p w14:paraId="71233A52" w14:textId="77777777" w:rsidR="004B42C8"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Weighted</w:t>
            </w:r>
          </w:p>
          <w:p w14:paraId="6F8152FF" w14:textId="77777777" w:rsidR="004B42C8"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Contribution</w:t>
            </w:r>
          </w:p>
          <w:p w14:paraId="4F5A008A"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(days/week)</w:t>
            </w:r>
          </w:p>
        </w:tc>
        <w:tc>
          <w:tcPr>
            <w:tcW w:w="1693" w:type="dxa"/>
            <w:hideMark/>
          </w:tcPr>
          <w:p w14:paraId="4AD38A5F" w14:textId="77777777" w:rsidR="004B42C8" w:rsidRPr="00285C0D"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285C0D">
              <w:rPr>
                <w:rFonts w:eastAsia="Times New Roman" w:cs="Times New Roman"/>
                <w:color w:val="000000"/>
                <w:sz w:val="20"/>
                <w:szCs w:val="20"/>
              </w:rPr>
              <w:t>Percent</w:t>
            </w:r>
            <w:r>
              <w:rPr>
                <w:rFonts w:eastAsia="Times New Roman" w:cs="Times New Roman"/>
                <w:color w:val="000000"/>
                <w:sz w:val="20"/>
                <w:szCs w:val="20"/>
              </w:rPr>
              <w:t xml:space="preserve"> of Respondents</w:t>
            </w:r>
          </w:p>
        </w:tc>
        <w:tc>
          <w:tcPr>
            <w:tcW w:w="1487" w:type="dxa"/>
          </w:tcPr>
          <w:p w14:paraId="307028FE" w14:textId="77777777" w:rsidR="004B42C8"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 xml:space="preserve">Weighted </w:t>
            </w:r>
            <w:r w:rsidRPr="00C146B0">
              <w:rPr>
                <w:rFonts w:eastAsia="Times New Roman" w:cs="Times New Roman"/>
                <w:color w:val="000000"/>
                <w:sz w:val="20"/>
                <w:szCs w:val="20"/>
              </w:rPr>
              <w:t>Contribution</w:t>
            </w:r>
          </w:p>
          <w:p w14:paraId="59E160E1"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(days/week)</w:t>
            </w:r>
          </w:p>
        </w:tc>
      </w:tr>
      <w:tr w:rsidR="004B42C8" w:rsidRPr="00285C0D" w14:paraId="05FC39E7" w14:textId="77777777" w:rsidTr="006B7060">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7A766BCA" w14:textId="77777777" w:rsidR="004B42C8" w:rsidRPr="00285C0D" w:rsidRDefault="004B42C8" w:rsidP="006B7060">
            <w:pPr>
              <w:spacing w:line="240" w:lineRule="auto"/>
              <w:jc w:val="center"/>
              <w:rPr>
                <w:rFonts w:eastAsia="Times New Roman" w:cs="Times New Roman"/>
                <w:color w:val="000000"/>
                <w:sz w:val="20"/>
                <w:szCs w:val="20"/>
              </w:rPr>
            </w:pPr>
            <w:r w:rsidRPr="00285C0D">
              <w:rPr>
                <w:rFonts w:eastAsia="Times New Roman" w:cs="Times New Roman"/>
                <w:color w:val="000000"/>
                <w:sz w:val="20"/>
                <w:szCs w:val="20"/>
              </w:rPr>
              <w:t>&lt; 1</w:t>
            </w:r>
          </w:p>
        </w:tc>
        <w:tc>
          <w:tcPr>
            <w:tcW w:w="1214" w:type="dxa"/>
          </w:tcPr>
          <w:p w14:paraId="2C120F88"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0.5</w:t>
            </w:r>
          </w:p>
        </w:tc>
        <w:tc>
          <w:tcPr>
            <w:tcW w:w="1606" w:type="dxa"/>
          </w:tcPr>
          <w:p w14:paraId="4BEAA4A7"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7.0</w:t>
            </w:r>
            <w:r w:rsidRPr="004755EC">
              <w:rPr>
                <w:rFonts w:eastAsia="Times New Roman" w:cs="Times New Roman"/>
                <w:color w:val="000000"/>
                <w:sz w:val="20"/>
                <w:szCs w:val="20"/>
              </w:rPr>
              <w:t>%</w:t>
            </w:r>
          </w:p>
        </w:tc>
        <w:tc>
          <w:tcPr>
            <w:tcW w:w="1319" w:type="dxa"/>
          </w:tcPr>
          <w:p w14:paraId="03BB891E"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olor w:val="000000"/>
                <w:sz w:val="20"/>
                <w:szCs w:val="20"/>
              </w:rPr>
              <w:t>0.035</w:t>
            </w:r>
          </w:p>
        </w:tc>
        <w:tc>
          <w:tcPr>
            <w:tcW w:w="1693" w:type="dxa"/>
            <w:hideMark/>
          </w:tcPr>
          <w:p w14:paraId="4C87ED55" w14:textId="77777777" w:rsidR="004B42C8" w:rsidRPr="00285C0D"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29.8</w:t>
            </w:r>
            <w:r w:rsidRPr="00285C0D">
              <w:rPr>
                <w:rFonts w:eastAsia="Times New Roman" w:cs="Times New Roman"/>
                <w:color w:val="000000"/>
                <w:sz w:val="20"/>
                <w:szCs w:val="20"/>
              </w:rPr>
              <w:t>%</w:t>
            </w:r>
          </w:p>
        </w:tc>
        <w:tc>
          <w:tcPr>
            <w:tcW w:w="1487" w:type="dxa"/>
          </w:tcPr>
          <w:p w14:paraId="15A8C0E1"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olor w:val="000000"/>
                <w:sz w:val="20"/>
                <w:szCs w:val="20"/>
              </w:rPr>
              <w:t>0.149</w:t>
            </w:r>
          </w:p>
        </w:tc>
      </w:tr>
      <w:tr w:rsidR="004B42C8" w:rsidRPr="00285C0D" w14:paraId="0B7616D9" w14:textId="77777777" w:rsidTr="006B7060">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3846154E" w14:textId="77777777" w:rsidR="004B42C8" w:rsidRPr="00285C0D" w:rsidRDefault="004B42C8" w:rsidP="006B7060">
            <w:pPr>
              <w:spacing w:line="240" w:lineRule="auto"/>
              <w:jc w:val="center"/>
              <w:rPr>
                <w:rFonts w:eastAsia="Times New Roman" w:cs="Times New Roman"/>
                <w:color w:val="000000"/>
                <w:sz w:val="20"/>
                <w:szCs w:val="20"/>
              </w:rPr>
            </w:pPr>
            <w:r w:rsidRPr="00C146B0">
              <w:rPr>
                <w:rFonts w:eastAsia="Times New Roman" w:cs="Times New Roman"/>
                <w:color w:val="000000"/>
                <w:sz w:val="20"/>
                <w:szCs w:val="20"/>
              </w:rPr>
              <w:t>1-2</w:t>
            </w:r>
          </w:p>
        </w:tc>
        <w:tc>
          <w:tcPr>
            <w:tcW w:w="1214" w:type="dxa"/>
          </w:tcPr>
          <w:p w14:paraId="73AC28A0"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1.5</w:t>
            </w:r>
          </w:p>
        </w:tc>
        <w:tc>
          <w:tcPr>
            <w:tcW w:w="1606" w:type="dxa"/>
          </w:tcPr>
          <w:p w14:paraId="2E9F736B"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4.7</w:t>
            </w:r>
            <w:r w:rsidRPr="004755EC">
              <w:rPr>
                <w:rFonts w:eastAsia="Times New Roman" w:cs="Times New Roman"/>
                <w:color w:val="000000"/>
                <w:sz w:val="20"/>
                <w:szCs w:val="20"/>
              </w:rPr>
              <w:t>%</w:t>
            </w:r>
          </w:p>
        </w:tc>
        <w:tc>
          <w:tcPr>
            <w:tcW w:w="1319" w:type="dxa"/>
          </w:tcPr>
          <w:p w14:paraId="361B9BED"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olor w:val="000000"/>
                <w:sz w:val="20"/>
                <w:szCs w:val="20"/>
              </w:rPr>
              <w:t>0.0705</w:t>
            </w:r>
          </w:p>
        </w:tc>
        <w:tc>
          <w:tcPr>
            <w:tcW w:w="1693" w:type="dxa"/>
            <w:hideMark/>
          </w:tcPr>
          <w:p w14:paraId="5C399495" w14:textId="77777777" w:rsidR="004B42C8" w:rsidRPr="00285C0D"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8.3</w:t>
            </w:r>
            <w:r w:rsidRPr="00285C0D">
              <w:rPr>
                <w:rFonts w:eastAsia="Times New Roman" w:cs="Times New Roman"/>
                <w:color w:val="000000"/>
                <w:sz w:val="20"/>
                <w:szCs w:val="20"/>
              </w:rPr>
              <w:t>%</w:t>
            </w:r>
          </w:p>
        </w:tc>
        <w:tc>
          <w:tcPr>
            <w:tcW w:w="1487" w:type="dxa"/>
          </w:tcPr>
          <w:p w14:paraId="28060EE4"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olor w:val="000000"/>
                <w:sz w:val="20"/>
                <w:szCs w:val="20"/>
              </w:rPr>
              <w:t>0.1245</w:t>
            </w:r>
          </w:p>
        </w:tc>
      </w:tr>
      <w:tr w:rsidR="004B42C8" w:rsidRPr="00285C0D" w14:paraId="013BAF5C" w14:textId="77777777" w:rsidTr="006B7060">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4C574A63" w14:textId="77777777" w:rsidR="004B42C8" w:rsidRPr="00285C0D" w:rsidRDefault="004B42C8" w:rsidP="006B7060">
            <w:pPr>
              <w:spacing w:line="240" w:lineRule="auto"/>
              <w:jc w:val="center"/>
              <w:rPr>
                <w:rFonts w:eastAsia="Times New Roman" w:cs="Times New Roman"/>
                <w:color w:val="000000"/>
                <w:sz w:val="20"/>
                <w:szCs w:val="20"/>
              </w:rPr>
            </w:pPr>
            <w:r w:rsidRPr="00C146B0">
              <w:rPr>
                <w:rFonts w:eastAsia="Times New Roman" w:cs="Times New Roman"/>
                <w:color w:val="000000"/>
                <w:sz w:val="20"/>
                <w:szCs w:val="20"/>
              </w:rPr>
              <w:t>3-4</w:t>
            </w:r>
          </w:p>
        </w:tc>
        <w:tc>
          <w:tcPr>
            <w:tcW w:w="1214" w:type="dxa"/>
          </w:tcPr>
          <w:p w14:paraId="4BCDA3B6"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3.5</w:t>
            </w:r>
          </w:p>
        </w:tc>
        <w:tc>
          <w:tcPr>
            <w:tcW w:w="1606" w:type="dxa"/>
          </w:tcPr>
          <w:p w14:paraId="2B0E5E9A"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11.2</w:t>
            </w:r>
            <w:r w:rsidRPr="004755EC">
              <w:rPr>
                <w:rFonts w:eastAsia="Times New Roman" w:cs="Times New Roman"/>
                <w:color w:val="000000"/>
                <w:sz w:val="20"/>
                <w:szCs w:val="20"/>
              </w:rPr>
              <w:t>%</w:t>
            </w:r>
          </w:p>
        </w:tc>
        <w:tc>
          <w:tcPr>
            <w:tcW w:w="1319" w:type="dxa"/>
          </w:tcPr>
          <w:p w14:paraId="614FF97C"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olor w:val="000000"/>
                <w:sz w:val="20"/>
                <w:szCs w:val="20"/>
              </w:rPr>
              <w:t>0.392</w:t>
            </w:r>
          </w:p>
        </w:tc>
        <w:tc>
          <w:tcPr>
            <w:tcW w:w="1693" w:type="dxa"/>
            <w:hideMark/>
          </w:tcPr>
          <w:p w14:paraId="5422E515" w14:textId="77777777" w:rsidR="004B42C8" w:rsidRPr="00285C0D"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17.0</w:t>
            </w:r>
            <w:r w:rsidRPr="00285C0D">
              <w:rPr>
                <w:rFonts w:eastAsia="Times New Roman" w:cs="Times New Roman"/>
                <w:color w:val="000000"/>
                <w:sz w:val="20"/>
                <w:szCs w:val="20"/>
              </w:rPr>
              <w:t>%</w:t>
            </w:r>
          </w:p>
        </w:tc>
        <w:tc>
          <w:tcPr>
            <w:tcW w:w="1487" w:type="dxa"/>
          </w:tcPr>
          <w:p w14:paraId="59BB4B11"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olor w:val="000000"/>
                <w:sz w:val="20"/>
                <w:szCs w:val="20"/>
              </w:rPr>
              <w:t>0.595</w:t>
            </w:r>
          </w:p>
        </w:tc>
      </w:tr>
      <w:tr w:rsidR="004B42C8" w:rsidRPr="00285C0D" w14:paraId="5FE79BAC" w14:textId="77777777" w:rsidTr="006B7060">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69C30A47" w14:textId="77777777" w:rsidR="004B42C8" w:rsidRPr="00285C0D" w:rsidRDefault="004B42C8" w:rsidP="006B7060">
            <w:pPr>
              <w:spacing w:line="240" w:lineRule="auto"/>
              <w:jc w:val="center"/>
              <w:rPr>
                <w:rFonts w:eastAsia="Times New Roman" w:cs="Times New Roman"/>
                <w:color w:val="000000"/>
                <w:sz w:val="20"/>
                <w:szCs w:val="20"/>
              </w:rPr>
            </w:pPr>
            <w:r w:rsidRPr="00C146B0">
              <w:rPr>
                <w:rFonts w:eastAsia="Times New Roman" w:cs="Times New Roman"/>
                <w:color w:val="000000"/>
                <w:sz w:val="20"/>
                <w:szCs w:val="20"/>
              </w:rPr>
              <w:t>5-7</w:t>
            </w:r>
          </w:p>
        </w:tc>
        <w:tc>
          <w:tcPr>
            <w:tcW w:w="1214" w:type="dxa"/>
          </w:tcPr>
          <w:p w14:paraId="7A6E25ED"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6</w:t>
            </w:r>
          </w:p>
        </w:tc>
        <w:tc>
          <w:tcPr>
            <w:tcW w:w="1606" w:type="dxa"/>
          </w:tcPr>
          <w:p w14:paraId="6EB1DC1F"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8.7</w:t>
            </w:r>
            <w:r w:rsidRPr="004755EC">
              <w:rPr>
                <w:rFonts w:eastAsia="Times New Roman" w:cs="Times New Roman"/>
                <w:color w:val="000000"/>
                <w:sz w:val="20"/>
                <w:szCs w:val="20"/>
              </w:rPr>
              <w:t>%</w:t>
            </w:r>
          </w:p>
        </w:tc>
        <w:tc>
          <w:tcPr>
            <w:tcW w:w="1319" w:type="dxa"/>
          </w:tcPr>
          <w:p w14:paraId="3856882C"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olor w:val="000000"/>
                <w:sz w:val="20"/>
                <w:szCs w:val="20"/>
              </w:rPr>
              <w:t>0.522</w:t>
            </w:r>
          </w:p>
        </w:tc>
        <w:tc>
          <w:tcPr>
            <w:tcW w:w="1693" w:type="dxa"/>
            <w:hideMark/>
          </w:tcPr>
          <w:p w14:paraId="6AB2E403" w14:textId="77777777" w:rsidR="004B42C8" w:rsidRPr="00285C0D"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15.9</w:t>
            </w:r>
            <w:r w:rsidRPr="00285C0D">
              <w:rPr>
                <w:rFonts w:eastAsia="Times New Roman" w:cs="Times New Roman"/>
                <w:color w:val="000000"/>
                <w:sz w:val="20"/>
                <w:szCs w:val="20"/>
              </w:rPr>
              <w:t>%</w:t>
            </w:r>
          </w:p>
        </w:tc>
        <w:tc>
          <w:tcPr>
            <w:tcW w:w="1487" w:type="dxa"/>
          </w:tcPr>
          <w:p w14:paraId="6BE233BC"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C146B0">
              <w:rPr>
                <w:rFonts w:eastAsia="Times New Roman"/>
                <w:color w:val="000000"/>
                <w:sz w:val="20"/>
                <w:szCs w:val="20"/>
              </w:rPr>
              <w:t>0.954</w:t>
            </w:r>
          </w:p>
        </w:tc>
      </w:tr>
      <w:tr w:rsidR="004B42C8" w:rsidRPr="00285C0D" w14:paraId="3964D1D0" w14:textId="77777777" w:rsidTr="006B7060">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534BF05F" w14:textId="77777777" w:rsidR="004B42C8" w:rsidRPr="00285C0D" w:rsidRDefault="004B42C8" w:rsidP="006B7060">
            <w:pPr>
              <w:spacing w:line="240" w:lineRule="auto"/>
              <w:jc w:val="center"/>
              <w:rPr>
                <w:rFonts w:eastAsia="Times New Roman" w:cs="Times New Roman"/>
                <w:color w:val="000000"/>
                <w:sz w:val="20"/>
                <w:szCs w:val="20"/>
              </w:rPr>
            </w:pPr>
            <w:r w:rsidRPr="00285C0D">
              <w:rPr>
                <w:rFonts w:eastAsia="Times New Roman" w:cs="Times New Roman"/>
                <w:color w:val="000000"/>
                <w:sz w:val="20"/>
                <w:szCs w:val="20"/>
              </w:rPr>
              <w:t>Every Day</w:t>
            </w:r>
          </w:p>
        </w:tc>
        <w:tc>
          <w:tcPr>
            <w:tcW w:w="1214" w:type="dxa"/>
          </w:tcPr>
          <w:p w14:paraId="23515304"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7</w:t>
            </w:r>
          </w:p>
        </w:tc>
        <w:tc>
          <w:tcPr>
            <w:tcW w:w="1606" w:type="dxa"/>
          </w:tcPr>
          <w:p w14:paraId="01EA8684"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67.</w:t>
            </w:r>
            <w:r w:rsidRPr="004755EC">
              <w:rPr>
                <w:rFonts w:eastAsia="Times New Roman" w:cs="Times New Roman"/>
                <w:color w:val="000000"/>
                <w:sz w:val="20"/>
                <w:szCs w:val="20"/>
              </w:rPr>
              <w:t>0%</w:t>
            </w:r>
          </w:p>
        </w:tc>
        <w:tc>
          <w:tcPr>
            <w:tcW w:w="1319" w:type="dxa"/>
          </w:tcPr>
          <w:p w14:paraId="1D372310"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olor w:val="000000"/>
                <w:sz w:val="20"/>
                <w:szCs w:val="20"/>
              </w:rPr>
              <w:t>4.69</w:t>
            </w:r>
          </w:p>
        </w:tc>
        <w:tc>
          <w:tcPr>
            <w:tcW w:w="1693" w:type="dxa"/>
            <w:hideMark/>
          </w:tcPr>
          <w:p w14:paraId="6748DDA0" w14:textId="77777777" w:rsidR="004B42C8" w:rsidRPr="00285C0D"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s="Times New Roman"/>
                <w:color w:val="000000"/>
                <w:sz w:val="20"/>
                <w:szCs w:val="20"/>
              </w:rPr>
              <w:t>29.0</w:t>
            </w:r>
            <w:r w:rsidRPr="00285C0D">
              <w:rPr>
                <w:rFonts w:eastAsia="Times New Roman" w:cs="Times New Roman"/>
                <w:color w:val="000000"/>
                <w:sz w:val="20"/>
                <w:szCs w:val="20"/>
              </w:rPr>
              <w:t>%</w:t>
            </w:r>
          </w:p>
        </w:tc>
        <w:tc>
          <w:tcPr>
            <w:tcW w:w="1487" w:type="dxa"/>
          </w:tcPr>
          <w:p w14:paraId="716B3889" w14:textId="77777777" w:rsidR="004B42C8" w:rsidRPr="00C146B0"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C146B0">
              <w:rPr>
                <w:rFonts w:eastAsia="Times New Roman"/>
                <w:color w:val="000000"/>
                <w:sz w:val="20"/>
                <w:szCs w:val="20"/>
              </w:rPr>
              <w:t>2.03</w:t>
            </w:r>
          </w:p>
        </w:tc>
      </w:tr>
      <w:tr w:rsidR="004B42C8" w:rsidRPr="00285C0D" w14:paraId="2C60CA5A" w14:textId="77777777" w:rsidTr="006B7060">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3027" w:type="dxa"/>
            <w:gridSpan w:val="2"/>
            <w:hideMark/>
          </w:tcPr>
          <w:p w14:paraId="6BD1DDB8" w14:textId="77777777" w:rsidR="004B42C8" w:rsidRPr="00C146B0" w:rsidRDefault="004B42C8" w:rsidP="006B7060">
            <w:pPr>
              <w:spacing w:line="240" w:lineRule="auto"/>
              <w:jc w:val="center"/>
              <w:rPr>
                <w:rFonts w:eastAsia="Times New Roman" w:cs="Times New Roman"/>
                <w:b/>
                <w:bCs/>
                <w:color w:val="000000"/>
                <w:sz w:val="20"/>
                <w:szCs w:val="20"/>
              </w:rPr>
            </w:pPr>
            <w:r w:rsidRPr="00C146B0">
              <w:rPr>
                <w:rFonts w:eastAsia="Times New Roman" w:cs="Times New Roman"/>
                <w:b/>
                <w:bCs/>
                <w:color w:val="000000"/>
                <w:sz w:val="20"/>
                <w:szCs w:val="20"/>
              </w:rPr>
              <w:t>OVERALL:</w:t>
            </w:r>
          </w:p>
        </w:tc>
        <w:tc>
          <w:tcPr>
            <w:tcW w:w="1606" w:type="dxa"/>
          </w:tcPr>
          <w:p w14:paraId="6D33CEC8"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C146B0">
              <w:rPr>
                <w:rFonts w:eastAsia="Times New Roman" w:cs="Times New Roman"/>
                <w:b/>
                <w:bCs/>
                <w:color w:val="000000"/>
                <w:sz w:val="20"/>
                <w:szCs w:val="20"/>
              </w:rPr>
              <w:t>98.6</w:t>
            </w:r>
            <w:r w:rsidRPr="004755EC">
              <w:rPr>
                <w:rFonts w:eastAsia="Times New Roman" w:cs="Times New Roman"/>
                <w:b/>
                <w:bCs/>
                <w:color w:val="000000"/>
                <w:sz w:val="20"/>
                <w:szCs w:val="20"/>
              </w:rPr>
              <w:t>%</w:t>
            </w:r>
            <w:r w:rsidRPr="00DF361C">
              <w:rPr>
                <w:rFonts w:eastAsia="Times New Roman" w:cs="Times New Roman"/>
                <w:b/>
                <w:bCs/>
                <w:color w:val="000000"/>
                <w:sz w:val="20"/>
                <w:szCs w:val="20"/>
                <w:vertAlign w:val="superscript"/>
              </w:rPr>
              <w:t>a</w:t>
            </w:r>
          </w:p>
        </w:tc>
        <w:tc>
          <w:tcPr>
            <w:tcW w:w="1319" w:type="dxa"/>
          </w:tcPr>
          <w:p w14:paraId="7790C112"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C146B0">
              <w:rPr>
                <w:rFonts w:eastAsia="Times New Roman" w:cs="Times New Roman"/>
                <w:b/>
                <w:bCs/>
                <w:color w:val="000000"/>
                <w:sz w:val="20"/>
                <w:szCs w:val="20"/>
              </w:rPr>
              <w:t>5.71</w:t>
            </w:r>
          </w:p>
        </w:tc>
        <w:tc>
          <w:tcPr>
            <w:tcW w:w="1693" w:type="dxa"/>
            <w:hideMark/>
          </w:tcPr>
          <w:p w14:paraId="074BB778" w14:textId="77777777" w:rsidR="004B42C8" w:rsidRPr="00285C0D"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Pr>
                <w:rFonts w:eastAsia="Times New Roman"/>
                <w:b/>
                <w:bCs/>
                <w:color w:val="000000"/>
                <w:sz w:val="20"/>
                <w:szCs w:val="20"/>
              </w:rPr>
              <w:t>100%</w:t>
            </w:r>
          </w:p>
        </w:tc>
        <w:tc>
          <w:tcPr>
            <w:tcW w:w="1487" w:type="dxa"/>
          </w:tcPr>
          <w:p w14:paraId="7ECA27AB" w14:textId="77777777" w:rsidR="004B42C8" w:rsidRPr="00C146B0"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C146B0">
              <w:rPr>
                <w:rFonts w:eastAsia="Times New Roman" w:cs="Times New Roman"/>
                <w:b/>
                <w:bCs/>
                <w:color w:val="000000"/>
                <w:sz w:val="20"/>
                <w:szCs w:val="20"/>
              </w:rPr>
              <w:t>3.85</w:t>
            </w:r>
          </w:p>
        </w:tc>
      </w:tr>
    </w:tbl>
    <w:p w14:paraId="183FA2A8" w14:textId="13EDE036" w:rsidR="004B42C8" w:rsidRDefault="004B42C8" w:rsidP="004B42C8">
      <w:pPr>
        <w:pStyle w:val="TableFootnote"/>
        <w:ind w:left="90"/>
      </w:pPr>
      <w:r w:rsidRPr="00DF361C">
        <w:rPr>
          <w:vertAlign w:val="superscript"/>
        </w:rPr>
        <w:t>a</w:t>
      </w:r>
      <w:r>
        <w:t xml:space="preserve"> Note the level of detail provided in the AHAM report does not provide any insight</w:t>
      </w:r>
      <w:r w:rsidR="00F43A7D">
        <w:t xml:space="preserve"> into why the values shown in the</w:t>
      </w:r>
      <w:r>
        <w:t xml:space="preserve"> table do not sum to 100%.</w:t>
      </w:r>
    </w:p>
    <w:p w14:paraId="5C4FD734" w14:textId="77777777" w:rsidR="004B42C8" w:rsidRDefault="004B42C8" w:rsidP="004B42C8"/>
    <w:p w14:paraId="7DFFCD5D" w14:textId="4828EBB1" w:rsidR="004B42C8" w:rsidRDefault="004B42C8" w:rsidP="004B42C8">
      <w:r>
        <w:t xml:space="preserve">Once the weighted contributions from each of the ranges were computed, these numbers were used to calculate an overall number of days/year for air cleaner usage. This was again performed separately for the year-round users and the seasonal users. As shown in </w:t>
      </w:r>
      <w:r w:rsidR="00AB4885" w:rsidRPr="00105CBB">
        <w:rPr>
          <w:b/>
        </w:rPr>
        <w:fldChar w:fldCharType="begin"/>
      </w:r>
      <w:r w:rsidR="00AB4885" w:rsidRPr="00105CBB">
        <w:rPr>
          <w:b/>
        </w:rPr>
        <w:instrText xml:space="preserve"> REF _Ref469491734 \h </w:instrText>
      </w:r>
      <w:r w:rsidR="00105CBB">
        <w:rPr>
          <w:b/>
        </w:rPr>
        <w:instrText xml:space="preserve"> \* MERGEFORMAT </w:instrText>
      </w:r>
      <w:r w:rsidR="00AB4885" w:rsidRPr="00105CBB">
        <w:rPr>
          <w:b/>
        </w:rPr>
      </w:r>
      <w:r w:rsidR="00AB4885" w:rsidRPr="00105CBB">
        <w:rPr>
          <w:b/>
        </w:rPr>
        <w:fldChar w:fldCharType="separate"/>
      </w:r>
      <w:r w:rsidR="00BF6769" w:rsidRPr="00BF6769">
        <w:rPr>
          <w:b/>
        </w:rPr>
        <w:t xml:space="preserve">Table </w:t>
      </w:r>
      <w:r w:rsidR="00BF6769" w:rsidRPr="00BF6769">
        <w:rPr>
          <w:b/>
          <w:noProof/>
        </w:rPr>
        <w:t>16</w:t>
      </w:r>
      <w:r w:rsidR="00AB4885" w:rsidRPr="00105CBB">
        <w:rPr>
          <w:b/>
        </w:rPr>
        <w:fldChar w:fldCharType="end"/>
      </w:r>
      <w:r>
        <w:t>, the two groups’ contributions to days/year were combined to obtain 235 days per year.</w:t>
      </w:r>
    </w:p>
    <w:p w14:paraId="59766311" w14:textId="4239B498" w:rsidR="004B42C8" w:rsidRDefault="00AB4885" w:rsidP="00F43A7D">
      <w:pPr>
        <w:pStyle w:val="Caption"/>
        <w:outlineLvl w:val="0"/>
      </w:pPr>
      <w:bookmarkStart w:id="27" w:name="_Ref469491734"/>
      <w:r>
        <w:t xml:space="preserve">Table </w:t>
      </w:r>
      <w:r w:rsidR="002271A4">
        <w:fldChar w:fldCharType="begin"/>
      </w:r>
      <w:r w:rsidR="002271A4">
        <w:instrText xml:space="preserve"> SEQ Table \* ARABIC </w:instrText>
      </w:r>
      <w:r w:rsidR="002271A4">
        <w:fldChar w:fldCharType="separate"/>
      </w:r>
      <w:r w:rsidR="00BF6769">
        <w:rPr>
          <w:noProof/>
        </w:rPr>
        <w:t>16</w:t>
      </w:r>
      <w:r w:rsidR="002271A4">
        <w:rPr>
          <w:noProof/>
        </w:rPr>
        <w:fldChar w:fldCharType="end"/>
      </w:r>
      <w:bookmarkEnd w:id="27"/>
      <w:r>
        <w:t xml:space="preserve">. </w:t>
      </w:r>
      <w:r w:rsidR="004B42C8">
        <w:t>Using AHAM Approach to Estimate HOU Using AHAM Data</w:t>
      </w:r>
    </w:p>
    <w:tbl>
      <w:tblPr>
        <w:tblStyle w:val="EMITable"/>
        <w:tblW w:w="5000" w:type="pct"/>
        <w:tblLayout w:type="fixed"/>
        <w:tblLook w:val="04A0" w:firstRow="1" w:lastRow="0" w:firstColumn="1" w:lastColumn="0" w:noHBand="0" w:noVBand="1"/>
      </w:tblPr>
      <w:tblGrid>
        <w:gridCol w:w="1596"/>
        <w:gridCol w:w="1596"/>
        <w:gridCol w:w="1596"/>
        <w:gridCol w:w="1596"/>
        <w:gridCol w:w="1596"/>
        <w:gridCol w:w="1596"/>
      </w:tblGrid>
      <w:tr w:rsidR="004B42C8" w:rsidRPr="00077F1A" w14:paraId="38625983" w14:textId="77777777" w:rsidTr="006B7060">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833" w:type="pct"/>
            <w:noWrap/>
            <w:hideMark/>
          </w:tcPr>
          <w:p w14:paraId="2DC36DCD" w14:textId="77777777" w:rsidR="004B42C8" w:rsidRPr="00077F1A" w:rsidRDefault="004B42C8" w:rsidP="006B7060">
            <w:pPr>
              <w:spacing w:line="240" w:lineRule="auto"/>
              <w:rPr>
                <w:rFonts w:cs="Times New Roman"/>
                <w:sz w:val="20"/>
                <w:szCs w:val="20"/>
              </w:rPr>
            </w:pPr>
            <w:r>
              <w:rPr>
                <w:rFonts w:cs="Times New Roman"/>
                <w:sz w:val="20"/>
                <w:szCs w:val="20"/>
              </w:rPr>
              <w:t>Group</w:t>
            </w:r>
          </w:p>
        </w:tc>
        <w:tc>
          <w:tcPr>
            <w:tcW w:w="833" w:type="pct"/>
            <w:noWrap/>
            <w:hideMark/>
          </w:tcPr>
          <w:p w14:paraId="3D581728" w14:textId="77777777" w:rsidR="004B42C8" w:rsidRPr="00077F1A"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Group Percent</w:t>
            </w:r>
            <w:r>
              <w:rPr>
                <w:rFonts w:eastAsia="Times New Roman" w:cs="Times New Roman"/>
                <w:color w:val="000000"/>
                <w:sz w:val="20"/>
                <w:szCs w:val="20"/>
              </w:rPr>
              <w:t xml:space="preserve"> of Total</w:t>
            </w:r>
          </w:p>
        </w:tc>
        <w:tc>
          <w:tcPr>
            <w:tcW w:w="833" w:type="pct"/>
            <w:noWrap/>
            <w:hideMark/>
          </w:tcPr>
          <w:p w14:paraId="777D3085" w14:textId="77777777" w:rsidR="004B42C8" w:rsidRPr="00077F1A"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Mean Days/Week</w:t>
            </w:r>
          </w:p>
        </w:tc>
        <w:tc>
          <w:tcPr>
            <w:tcW w:w="833" w:type="pct"/>
            <w:noWrap/>
            <w:hideMark/>
          </w:tcPr>
          <w:p w14:paraId="18BB5A1A" w14:textId="77777777" w:rsidR="004B42C8" w:rsidRPr="00077F1A"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Seasonal Correction Factor (percentage of year)</w:t>
            </w:r>
          </w:p>
        </w:tc>
        <w:tc>
          <w:tcPr>
            <w:tcW w:w="833" w:type="pct"/>
            <w:noWrap/>
            <w:hideMark/>
          </w:tcPr>
          <w:p w14:paraId="667C4D9E" w14:textId="77777777" w:rsidR="004B42C8" w:rsidRPr="00077F1A"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Weeks/Year</w:t>
            </w:r>
          </w:p>
        </w:tc>
        <w:tc>
          <w:tcPr>
            <w:tcW w:w="833" w:type="pct"/>
            <w:noWrap/>
            <w:hideMark/>
          </w:tcPr>
          <w:p w14:paraId="49BA8CC0" w14:textId="77777777" w:rsidR="004B42C8"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Relative Group Contribution</w:t>
            </w:r>
          </w:p>
          <w:p w14:paraId="14B6803D" w14:textId="77777777" w:rsidR="004B42C8" w:rsidRPr="00077F1A"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(days)</w:t>
            </w:r>
          </w:p>
        </w:tc>
      </w:tr>
      <w:tr w:rsidR="004B42C8" w:rsidRPr="00077F1A" w14:paraId="14176DBA" w14:textId="77777777" w:rsidTr="006B706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33" w:type="pct"/>
            <w:noWrap/>
            <w:hideMark/>
          </w:tcPr>
          <w:p w14:paraId="3010B6A8" w14:textId="7B66FD06" w:rsidR="004B42C8" w:rsidRPr="00077F1A" w:rsidRDefault="00F43A7D" w:rsidP="006B7060">
            <w:pPr>
              <w:spacing w:line="240" w:lineRule="auto"/>
              <w:rPr>
                <w:rFonts w:eastAsia="Times New Roman" w:cs="Times New Roman"/>
                <w:color w:val="000000"/>
                <w:sz w:val="20"/>
                <w:szCs w:val="20"/>
              </w:rPr>
            </w:pPr>
            <w:r>
              <w:rPr>
                <w:rFonts w:eastAsia="Times New Roman" w:cs="Times New Roman"/>
                <w:color w:val="000000"/>
                <w:sz w:val="20"/>
                <w:szCs w:val="20"/>
              </w:rPr>
              <w:t>Year-</w:t>
            </w:r>
            <w:r w:rsidR="004B42C8" w:rsidRPr="00077F1A">
              <w:rPr>
                <w:rFonts w:eastAsia="Times New Roman" w:cs="Times New Roman"/>
                <w:color w:val="000000"/>
                <w:sz w:val="20"/>
                <w:szCs w:val="20"/>
              </w:rPr>
              <w:t>Round</w:t>
            </w:r>
          </w:p>
        </w:tc>
        <w:tc>
          <w:tcPr>
            <w:tcW w:w="833" w:type="pct"/>
            <w:noWrap/>
            <w:hideMark/>
          </w:tcPr>
          <w:p w14:paraId="0C3C0A20"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71.0%</w:t>
            </w:r>
          </w:p>
        </w:tc>
        <w:tc>
          <w:tcPr>
            <w:tcW w:w="833" w:type="pct"/>
            <w:noWrap/>
            <w:hideMark/>
          </w:tcPr>
          <w:p w14:paraId="765D1EDA"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5.71</w:t>
            </w:r>
          </w:p>
        </w:tc>
        <w:tc>
          <w:tcPr>
            <w:tcW w:w="833" w:type="pct"/>
            <w:noWrap/>
            <w:hideMark/>
          </w:tcPr>
          <w:p w14:paraId="6D7577FF"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100%</w:t>
            </w:r>
          </w:p>
        </w:tc>
        <w:tc>
          <w:tcPr>
            <w:tcW w:w="833" w:type="pct"/>
            <w:noWrap/>
            <w:hideMark/>
          </w:tcPr>
          <w:p w14:paraId="4E895391"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52</w:t>
            </w:r>
          </w:p>
        </w:tc>
        <w:tc>
          <w:tcPr>
            <w:tcW w:w="833" w:type="pct"/>
            <w:noWrap/>
            <w:hideMark/>
          </w:tcPr>
          <w:p w14:paraId="0557CB1B"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211</w:t>
            </w:r>
          </w:p>
        </w:tc>
      </w:tr>
      <w:tr w:rsidR="004B42C8" w:rsidRPr="00077F1A" w14:paraId="48CDC863" w14:textId="77777777" w:rsidTr="006B7060">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33" w:type="pct"/>
            <w:tcBorders>
              <w:bottom w:val="single" w:sz="4" w:space="0" w:color="D9D9D9" w:themeColor="background1" w:themeShade="D9"/>
            </w:tcBorders>
            <w:noWrap/>
            <w:hideMark/>
          </w:tcPr>
          <w:p w14:paraId="61D944C5" w14:textId="77777777" w:rsidR="004B42C8" w:rsidRPr="00077F1A" w:rsidRDefault="004B42C8" w:rsidP="006B7060">
            <w:pPr>
              <w:spacing w:line="240" w:lineRule="auto"/>
              <w:rPr>
                <w:rFonts w:eastAsia="Times New Roman" w:cs="Times New Roman"/>
                <w:color w:val="000000"/>
                <w:sz w:val="20"/>
                <w:szCs w:val="20"/>
              </w:rPr>
            </w:pPr>
            <w:r w:rsidRPr="00077F1A">
              <w:rPr>
                <w:rFonts w:eastAsia="Times New Roman" w:cs="Times New Roman"/>
                <w:color w:val="000000"/>
                <w:sz w:val="20"/>
                <w:szCs w:val="20"/>
              </w:rPr>
              <w:t>Seasonal</w:t>
            </w:r>
          </w:p>
        </w:tc>
        <w:tc>
          <w:tcPr>
            <w:tcW w:w="833" w:type="pct"/>
            <w:tcBorders>
              <w:bottom w:val="single" w:sz="4" w:space="0" w:color="D9D9D9" w:themeColor="background1" w:themeShade="D9"/>
            </w:tcBorders>
            <w:noWrap/>
            <w:hideMark/>
          </w:tcPr>
          <w:p w14:paraId="67302F5A" w14:textId="77777777" w:rsidR="004B42C8" w:rsidRPr="00077F1A" w:rsidRDefault="004B42C8" w:rsidP="006B7060">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29.0%</w:t>
            </w:r>
          </w:p>
        </w:tc>
        <w:tc>
          <w:tcPr>
            <w:tcW w:w="833" w:type="pct"/>
            <w:tcBorders>
              <w:bottom w:val="single" w:sz="4" w:space="0" w:color="D9D9D9" w:themeColor="background1" w:themeShade="D9"/>
            </w:tcBorders>
            <w:noWrap/>
            <w:hideMark/>
          </w:tcPr>
          <w:p w14:paraId="3E957E37" w14:textId="77777777" w:rsidR="004B42C8" w:rsidRPr="00077F1A" w:rsidRDefault="004B42C8" w:rsidP="006B7060">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3.85</w:t>
            </w:r>
          </w:p>
        </w:tc>
        <w:tc>
          <w:tcPr>
            <w:tcW w:w="833" w:type="pct"/>
            <w:tcBorders>
              <w:bottom w:val="single" w:sz="4" w:space="0" w:color="D9D9D9" w:themeColor="background1" w:themeShade="D9"/>
            </w:tcBorders>
            <w:noWrap/>
            <w:hideMark/>
          </w:tcPr>
          <w:p w14:paraId="0817DAC0" w14:textId="77777777" w:rsidR="004B42C8" w:rsidRPr="00077F1A" w:rsidRDefault="004B42C8" w:rsidP="006B7060">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42%</w:t>
            </w:r>
          </w:p>
        </w:tc>
        <w:tc>
          <w:tcPr>
            <w:tcW w:w="833" w:type="pct"/>
            <w:noWrap/>
            <w:hideMark/>
          </w:tcPr>
          <w:p w14:paraId="162FB844" w14:textId="77777777" w:rsidR="004B42C8" w:rsidRPr="00077F1A" w:rsidRDefault="004B42C8" w:rsidP="006B7060">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52</w:t>
            </w:r>
          </w:p>
        </w:tc>
        <w:tc>
          <w:tcPr>
            <w:tcW w:w="833" w:type="pct"/>
            <w:noWrap/>
            <w:hideMark/>
          </w:tcPr>
          <w:p w14:paraId="3FBCCB3D" w14:textId="77777777" w:rsidR="004B42C8" w:rsidRPr="00077F1A" w:rsidRDefault="004B42C8" w:rsidP="006B7060">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24</w:t>
            </w:r>
          </w:p>
        </w:tc>
      </w:tr>
      <w:tr w:rsidR="004B42C8" w:rsidRPr="00077F1A" w14:paraId="61725AB7" w14:textId="77777777" w:rsidTr="006B706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33" w:type="pct"/>
            <w:tcBorders>
              <w:top w:val="single" w:sz="4" w:space="0" w:color="D9D9D9" w:themeColor="background1" w:themeShade="D9"/>
              <w:left w:val="nil"/>
              <w:bottom w:val="nil"/>
              <w:right w:val="nil"/>
            </w:tcBorders>
            <w:shd w:val="clear" w:color="auto" w:fill="auto"/>
            <w:noWrap/>
            <w:hideMark/>
          </w:tcPr>
          <w:p w14:paraId="198D6704" w14:textId="77777777" w:rsidR="004B42C8" w:rsidRPr="00077F1A" w:rsidRDefault="004B42C8" w:rsidP="006B7060">
            <w:pPr>
              <w:spacing w:line="240" w:lineRule="auto"/>
              <w:jc w:val="right"/>
              <w:rPr>
                <w:rFonts w:eastAsia="Times New Roman" w:cs="Times New Roman"/>
                <w:color w:val="000000"/>
                <w:sz w:val="20"/>
                <w:szCs w:val="20"/>
              </w:rPr>
            </w:pPr>
          </w:p>
        </w:tc>
        <w:tc>
          <w:tcPr>
            <w:tcW w:w="833" w:type="pct"/>
            <w:tcBorders>
              <w:top w:val="single" w:sz="4" w:space="0" w:color="D9D9D9" w:themeColor="background1" w:themeShade="D9"/>
              <w:left w:val="nil"/>
              <w:bottom w:val="nil"/>
              <w:right w:val="nil"/>
            </w:tcBorders>
            <w:shd w:val="clear" w:color="auto" w:fill="auto"/>
            <w:noWrap/>
            <w:hideMark/>
          </w:tcPr>
          <w:p w14:paraId="60B5D141"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p>
        </w:tc>
        <w:tc>
          <w:tcPr>
            <w:tcW w:w="833" w:type="pct"/>
            <w:tcBorders>
              <w:top w:val="single" w:sz="4" w:space="0" w:color="D9D9D9" w:themeColor="background1" w:themeShade="D9"/>
              <w:left w:val="nil"/>
              <w:bottom w:val="nil"/>
              <w:right w:val="nil"/>
            </w:tcBorders>
            <w:shd w:val="clear" w:color="auto" w:fill="auto"/>
            <w:noWrap/>
            <w:hideMark/>
          </w:tcPr>
          <w:p w14:paraId="3A298B6C"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p>
        </w:tc>
        <w:tc>
          <w:tcPr>
            <w:tcW w:w="833" w:type="pct"/>
            <w:tcBorders>
              <w:top w:val="single" w:sz="4" w:space="0" w:color="D9D9D9" w:themeColor="background1" w:themeShade="D9"/>
              <w:left w:val="nil"/>
              <w:bottom w:val="nil"/>
            </w:tcBorders>
            <w:shd w:val="clear" w:color="auto" w:fill="auto"/>
            <w:noWrap/>
            <w:hideMark/>
          </w:tcPr>
          <w:p w14:paraId="66D67BC8"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p>
        </w:tc>
        <w:tc>
          <w:tcPr>
            <w:tcW w:w="833" w:type="pct"/>
            <w:noWrap/>
            <w:hideMark/>
          </w:tcPr>
          <w:p w14:paraId="4D57A7C8"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077F1A">
              <w:rPr>
                <w:rFonts w:eastAsia="Times New Roman" w:cs="Times New Roman"/>
                <w:b/>
                <w:bCs/>
                <w:color w:val="000000"/>
                <w:sz w:val="20"/>
                <w:szCs w:val="20"/>
              </w:rPr>
              <w:t>OVERALL:</w:t>
            </w:r>
          </w:p>
        </w:tc>
        <w:tc>
          <w:tcPr>
            <w:tcW w:w="833" w:type="pct"/>
            <w:noWrap/>
            <w:hideMark/>
          </w:tcPr>
          <w:p w14:paraId="36CC94B9"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rPr>
            </w:pPr>
            <w:r w:rsidRPr="00077F1A">
              <w:rPr>
                <w:rFonts w:eastAsia="Times New Roman" w:cs="Times New Roman"/>
                <w:b/>
                <w:color w:val="000000"/>
                <w:sz w:val="20"/>
                <w:szCs w:val="20"/>
              </w:rPr>
              <w:t>235</w:t>
            </w:r>
          </w:p>
        </w:tc>
      </w:tr>
    </w:tbl>
    <w:p w14:paraId="7B0F12B1" w14:textId="77777777" w:rsidR="004B42C8" w:rsidRDefault="004B42C8" w:rsidP="004B42C8"/>
    <w:p w14:paraId="0C4D05F1" w14:textId="77777777" w:rsidR="004B42C8" w:rsidRDefault="004B42C8" w:rsidP="004B42C8">
      <w:r>
        <w:t>The final step involved translating this value of 235 days/year into an HOU value. This was done by multiplying the value by the mean number of hours per day (also called a daily loading factor). For the AHAM data, this value was reported as 12.43 hours. Thus, the annual HOU estimation became: 235 days * 12.43 hours/day = 2,923 hours. The actual value reported by the AHAM study was 2,921 hours, which is slightly lower than the value obtained here, but may simply be a result of rounding error.</w:t>
      </w:r>
    </w:p>
    <w:p w14:paraId="01E9A8ED" w14:textId="77777777" w:rsidR="004B42C8" w:rsidRDefault="004B42C8" w:rsidP="00F43A7D">
      <w:pPr>
        <w:pStyle w:val="ESMemoHeading2"/>
        <w:outlineLvl w:val="0"/>
      </w:pPr>
      <w:r>
        <w:t>AHAM Approach Using Data from Current Study</w:t>
      </w:r>
    </w:p>
    <w:p w14:paraId="7C022C50" w14:textId="00AD575F" w:rsidR="004B42C8" w:rsidRDefault="005E054A" w:rsidP="004B42C8">
      <w:r>
        <w:t>To enable a more direct comparison between data from the 2004 AHAM report and data from the current study, below we reproduce</w:t>
      </w:r>
      <w:r w:rsidR="004B42C8">
        <w:t xml:space="preserve"> the</w:t>
      </w:r>
      <w:r>
        <w:t xml:space="preserve"> 2004 AHAM</w:t>
      </w:r>
      <w:r w:rsidR="004B42C8">
        <w:t xml:space="preserve"> calculations using data </w:t>
      </w:r>
      <w:r w:rsidR="004B42C8" w:rsidRPr="005E054A">
        <w:rPr>
          <w:i/>
        </w:rPr>
        <w:t>from the current study</w:t>
      </w:r>
      <w:r w:rsidR="004B42C8">
        <w:t xml:space="preserve">, as shown below in </w:t>
      </w:r>
      <w:r w:rsidR="00AB4885" w:rsidRPr="00105CBB">
        <w:rPr>
          <w:b/>
        </w:rPr>
        <w:fldChar w:fldCharType="begin"/>
      </w:r>
      <w:r w:rsidR="00AB4885" w:rsidRPr="00105CBB">
        <w:rPr>
          <w:b/>
        </w:rPr>
        <w:instrText xml:space="preserve"> REF _Ref469491757 \h </w:instrText>
      </w:r>
      <w:r w:rsidR="00105CBB">
        <w:rPr>
          <w:b/>
        </w:rPr>
        <w:instrText xml:space="preserve"> \* MERGEFORMAT </w:instrText>
      </w:r>
      <w:r w:rsidR="00AB4885" w:rsidRPr="00105CBB">
        <w:rPr>
          <w:b/>
        </w:rPr>
      </w:r>
      <w:r w:rsidR="00AB4885" w:rsidRPr="00105CBB">
        <w:rPr>
          <w:b/>
        </w:rPr>
        <w:fldChar w:fldCharType="separate"/>
      </w:r>
      <w:r w:rsidR="00BF6769" w:rsidRPr="00BF6769">
        <w:rPr>
          <w:b/>
        </w:rPr>
        <w:t xml:space="preserve">Table </w:t>
      </w:r>
      <w:r w:rsidR="00BF6769" w:rsidRPr="00BF6769">
        <w:rPr>
          <w:b/>
          <w:noProof/>
        </w:rPr>
        <w:t>17</w:t>
      </w:r>
      <w:r w:rsidR="00AB4885" w:rsidRPr="00105CBB">
        <w:rPr>
          <w:b/>
        </w:rPr>
        <w:fldChar w:fldCharType="end"/>
      </w:r>
      <w:r w:rsidR="00AB4885">
        <w:t xml:space="preserve"> </w:t>
      </w:r>
      <w:r w:rsidR="004B42C8">
        <w:t>and</w:t>
      </w:r>
      <w:r w:rsidR="00AB4885">
        <w:t xml:space="preserve"> </w:t>
      </w:r>
      <w:r w:rsidR="00AB4885" w:rsidRPr="00105CBB">
        <w:rPr>
          <w:b/>
        </w:rPr>
        <w:fldChar w:fldCharType="begin"/>
      </w:r>
      <w:r w:rsidR="00AB4885" w:rsidRPr="00105CBB">
        <w:rPr>
          <w:b/>
        </w:rPr>
        <w:instrText xml:space="preserve"> REF _Ref469491766 \h </w:instrText>
      </w:r>
      <w:r w:rsidR="00105CBB">
        <w:rPr>
          <w:b/>
        </w:rPr>
        <w:instrText xml:space="preserve"> \* MERGEFORMAT </w:instrText>
      </w:r>
      <w:r w:rsidR="00AB4885" w:rsidRPr="00105CBB">
        <w:rPr>
          <w:b/>
        </w:rPr>
      </w:r>
      <w:r w:rsidR="00AB4885" w:rsidRPr="00105CBB">
        <w:rPr>
          <w:b/>
        </w:rPr>
        <w:fldChar w:fldCharType="separate"/>
      </w:r>
      <w:r w:rsidR="00BF6769" w:rsidRPr="00BF6769">
        <w:rPr>
          <w:b/>
        </w:rPr>
        <w:t xml:space="preserve">Table </w:t>
      </w:r>
      <w:r w:rsidR="00BF6769" w:rsidRPr="00BF6769">
        <w:rPr>
          <w:b/>
          <w:noProof/>
        </w:rPr>
        <w:t>18</w:t>
      </w:r>
      <w:r w:rsidR="00AB4885" w:rsidRPr="00105CBB">
        <w:rPr>
          <w:b/>
        </w:rPr>
        <w:fldChar w:fldCharType="end"/>
      </w:r>
      <w:r w:rsidR="004B42C8">
        <w:t>.</w:t>
      </w:r>
    </w:p>
    <w:p w14:paraId="7A6AFD4F" w14:textId="6FB09DAD" w:rsidR="004B42C8" w:rsidRDefault="00AB4885" w:rsidP="004B42C8">
      <w:pPr>
        <w:pStyle w:val="Caption"/>
      </w:pPr>
      <w:bookmarkStart w:id="28" w:name="_Ref469491757"/>
      <w:r>
        <w:lastRenderedPageBreak/>
        <w:t xml:space="preserve">Table </w:t>
      </w:r>
      <w:r w:rsidR="002271A4">
        <w:fldChar w:fldCharType="begin"/>
      </w:r>
      <w:r w:rsidR="002271A4">
        <w:instrText xml:space="preserve"> SEQ Table \* ARABIC </w:instrText>
      </w:r>
      <w:r w:rsidR="002271A4">
        <w:fldChar w:fldCharType="separate"/>
      </w:r>
      <w:r w:rsidR="00BF6769">
        <w:rPr>
          <w:noProof/>
        </w:rPr>
        <w:t>17</w:t>
      </w:r>
      <w:r w:rsidR="002271A4">
        <w:rPr>
          <w:noProof/>
        </w:rPr>
        <w:fldChar w:fldCharType="end"/>
      </w:r>
      <w:bookmarkEnd w:id="28"/>
      <w:r>
        <w:t xml:space="preserve">. </w:t>
      </w:r>
      <w:r w:rsidR="004B42C8">
        <w:t>Using AHAM Approach to Est</w:t>
      </w:r>
      <w:r w:rsidR="00F43A7D">
        <w:t>imate Mean Days of Use for Year-</w:t>
      </w:r>
      <w:r w:rsidR="004B42C8">
        <w:t>Round and Seasonal Users with Data from Current Study</w:t>
      </w:r>
    </w:p>
    <w:tbl>
      <w:tblPr>
        <w:tblStyle w:val="EMITable"/>
        <w:tblW w:w="9132" w:type="dxa"/>
        <w:jc w:val="center"/>
        <w:tblLook w:val="04A0" w:firstRow="1" w:lastRow="0" w:firstColumn="1" w:lastColumn="0" w:noHBand="0" w:noVBand="1"/>
      </w:tblPr>
      <w:tblGrid>
        <w:gridCol w:w="1813"/>
        <w:gridCol w:w="1214"/>
        <w:gridCol w:w="1606"/>
        <w:gridCol w:w="1319"/>
        <w:gridCol w:w="1693"/>
        <w:gridCol w:w="1487"/>
      </w:tblGrid>
      <w:tr w:rsidR="004B42C8" w:rsidRPr="00285C0D" w14:paraId="1BB1DD49" w14:textId="77777777" w:rsidTr="006B7060">
        <w:trPr>
          <w:cnfStyle w:val="100000000000" w:firstRow="1" w:lastRow="0" w:firstColumn="0" w:lastColumn="0" w:oddVBand="0" w:evenVBand="0" w:oddHBand="0" w:evenHBand="0" w:firstRowFirstColumn="0" w:firstRowLastColumn="0" w:lastRowFirstColumn="0" w:lastRowLastColumn="0"/>
          <w:trHeight w:val="540"/>
          <w:jc w:val="center"/>
        </w:trPr>
        <w:tc>
          <w:tcPr>
            <w:cnfStyle w:val="001000000100" w:firstRow="0" w:lastRow="0" w:firstColumn="1" w:lastColumn="0" w:oddVBand="0" w:evenVBand="0" w:oddHBand="0" w:evenHBand="0" w:firstRowFirstColumn="1" w:firstRowLastColumn="0" w:lastRowFirstColumn="0" w:lastRowLastColumn="0"/>
            <w:tcW w:w="1813" w:type="dxa"/>
            <w:hideMark/>
          </w:tcPr>
          <w:p w14:paraId="7584C764" w14:textId="77777777" w:rsidR="004B42C8" w:rsidRPr="009B4334" w:rsidRDefault="004B42C8" w:rsidP="006B7060">
            <w:pPr>
              <w:spacing w:line="240" w:lineRule="auto"/>
              <w:rPr>
                <w:rFonts w:eastAsia="Times New Roman" w:cs="Times New Roman"/>
                <w:bCs/>
                <w:color w:val="000000"/>
                <w:sz w:val="20"/>
                <w:szCs w:val="20"/>
              </w:rPr>
            </w:pPr>
          </w:p>
        </w:tc>
        <w:tc>
          <w:tcPr>
            <w:tcW w:w="1214" w:type="dxa"/>
          </w:tcPr>
          <w:p w14:paraId="01E245BC" w14:textId="77777777" w:rsidR="004B42C8" w:rsidRPr="009B4334"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Cs/>
                <w:color w:val="000000"/>
                <w:sz w:val="20"/>
                <w:szCs w:val="20"/>
              </w:rPr>
            </w:pPr>
          </w:p>
        </w:tc>
        <w:tc>
          <w:tcPr>
            <w:tcW w:w="2925" w:type="dxa"/>
            <w:gridSpan w:val="2"/>
          </w:tcPr>
          <w:p w14:paraId="609A0141" w14:textId="761DB7AD" w:rsidR="004B42C8" w:rsidRPr="009B4334" w:rsidRDefault="00F43A7D"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Cs/>
                <w:color w:val="000000"/>
                <w:sz w:val="20"/>
                <w:szCs w:val="20"/>
              </w:rPr>
            </w:pPr>
            <w:r>
              <w:rPr>
                <w:rFonts w:eastAsia="Times New Roman" w:cs="Times New Roman"/>
                <w:bCs/>
                <w:color w:val="000000"/>
                <w:sz w:val="20"/>
                <w:szCs w:val="20"/>
              </w:rPr>
              <w:t>Year-</w:t>
            </w:r>
            <w:r w:rsidR="004B42C8" w:rsidRPr="009B4334">
              <w:rPr>
                <w:rFonts w:eastAsia="Times New Roman" w:cs="Times New Roman"/>
                <w:bCs/>
                <w:color w:val="000000"/>
                <w:sz w:val="20"/>
                <w:szCs w:val="20"/>
              </w:rPr>
              <w:t>Round Users</w:t>
            </w:r>
          </w:p>
        </w:tc>
        <w:tc>
          <w:tcPr>
            <w:tcW w:w="3180" w:type="dxa"/>
            <w:gridSpan w:val="2"/>
            <w:hideMark/>
          </w:tcPr>
          <w:p w14:paraId="0F2F1128" w14:textId="77777777" w:rsidR="004B42C8" w:rsidRPr="009B4334"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bCs/>
                <w:color w:val="000000"/>
                <w:sz w:val="20"/>
                <w:szCs w:val="20"/>
              </w:rPr>
            </w:pPr>
            <w:r w:rsidRPr="009B4334">
              <w:rPr>
                <w:rFonts w:eastAsia="Times New Roman" w:cs="Times New Roman"/>
                <w:bCs/>
                <w:color w:val="000000"/>
                <w:sz w:val="20"/>
                <w:szCs w:val="20"/>
              </w:rPr>
              <w:t>Seasonal Users</w:t>
            </w:r>
          </w:p>
        </w:tc>
      </w:tr>
      <w:tr w:rsidR="004B42C8" w:rsidRPr="00285C0D" w14:paraId="60D9A984" w14:textId="77777777" w:rsidTr="006B7060">
        <w:trPr>
          <w:cnfStyle w:val="000000100000" w:firstRow="0" w:lastRow="0" w:firstColumn="0" w:lastColumn="0" w:oddVBand="0" w:evenVBand="0" w:oddHBand="1" w:evenHBand="0" w:firstRowFirstColumn="0" w:firstRowLastColumn="0" w:lastRowFirstColumn="0" w:lastRowLastColumn="0"/>
          <w:trHeight w:val="5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11830460" w14:textId="77777777" w:rsidR="004B42C8" w:rsidRPr="009B4334" w:rsidRDefault="004B42C8" w:rsidP="006B7060">
            <w:pPr>
              <w:spacing w:line="240" w:lineRule="auto"/>
              <w:jc w:val="center"/>
              <w:rPr>
                <w:rFonts w:eastAsia="Times New Roman" w:cs="Times New Roman"/>
                <w:color w:val="000000"/>
                <w:sz w:val="20"/>
                <w:szCs w:val="20"/>
              </w:rPr>
            </w:pPr>
            <w:r w:rsidRPr="009B4334">
              <w:rPr>
                <w:rFonts w:eastAsia="Times New Roman" w:cs="Times New Roman"/>
                <w:color w:val="000000"/>
                <w:sz w:val="20"/>
                <w:szCs w:val="20"/>
              </w:rPr>
              <w:t>Days Per Week</w:t>
            </w:r>
          </w:p>
        </w:tc>
        <w:tc>
          <w:tcPr>
            <w:tcW w:w="1214" w:type="dxa"/>
          </w:tcPr>
          <w:p w14:paraId="6A4B9BF5"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Midpoint of Range</w:t>
            </w:r>
          </w:p>
        </w:tc>
        <w:tc>
          <w:tcPr>
            <w:tcW w:w="1606" w:type="dxa"/>
          </w:tcPr>
          <w:p w14:paraId="71AAF1F9"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Percent of Respondents</w:t>
            </w:r>
          </w:p>
        </w:tc>
        <w:tc>
          <w:tcPr>
            <w:tcW w:w="1319" w:type="dxa"/>
          </w:tcPr>
          <w:p w14:paraId="4611D3D8"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Weighted</w:t>
            </w:r>
          </w:p>
          <w:p w14:paraId="34F8DF02"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Contribution</w:t>
            </w:r>
          </w:p>
          <w:p w14:paraId="4A902BE3"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(days/week)</w:t>
            </w:r>
          </w:p>
        </w:tc>
        <w:tc>
          <w:tcPr>
            <w:tcW w:w="1693" w:type="dxa"/>
            <w:hideMark/>
          </w:tcPr>
          <w:p w14:paraId="17F08D57"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Percent of Respondents</w:t>
            </w:r>
          </w:p>
        </w:tc>
        <w:tc>
          <w:tcPr>
            <w:tcW w:w="1487" w:type="dxa"/>
          </w:tcPr>
          <w:p w14:paraId="026B0F56"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Weighted Contribution</w:t>
            </w:r>
          </w:p>
          <w:p w14:paraId="603809B7"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(days/week)</w:t>
            </w:r>
          </w:p>
        </w:tc>
      </w:tr>
      <w:tr w:rsidR="004B42C8" w:rsidRPr="00285C0D" w14:paraId="7C56908F" w14:textId="77777777" w:rsidTr="006B7060">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19491D59" w14:textId="77777777" w:rsidR="004B42C8" w:rsidRPr="009B4334" w:rsidRDefault="004B42C8" w:rsidP="006B7060">
            <w:pPr>
              <w:spacing w:line="240" w:lineRule="auto"/>
              <w:jc w:val="center"/>
              <w:rPr>
                <w:rFonts w:eastAsia="Times New Roman" w:cs="Times New Roman"/>
                <w:color w:val="000000"/>
                <w:sz w:val="20"/>
                <w:szCs w:val="20"/>
              </w:rPr>
            </w:pPr>
            <w:r w:rsidRPr="009B4334">
              <w:rPr>
                <w:rFonts w:eastAsia="Times New Roman" w:cs="Times New Roman"/>
                <w:color w:val="000000"/>
                <w:sz w:val="20"/>
                <w:szCs w:val="20"/>
              </w:rPr>
              <w:t>&lt; 1</w:t>
            </w:r>
          </w:p>
        </w:tc>
        <w:tc>
          <w:tcPr>
            <w:tcW w:w="1214" w:type="dxa"/>
          </w:tcPr>
          <w:p w14:paraId="24F7A47E"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0.5</w:t>
            </w:r>
          </w:p>
        </w:tc>
        <w:tc>
          <w:tcPr>
            <w:tcW w:w="1606" w:type="dxa"/>
          </w:tcPr>
          <w:p w14:paraId="4B6E425A"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w:t>
            </w:r>
          </w:p>
        </w:tc>
        <w:tc>
          <w:tcPr>
            <w:tcW w:w="1319" w:type="dxa"/>
          </w:tcPr>
          <w:p w14:paraId="5FF44299"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w:t>
            </w:r>
          </w:p>
        </w:tc>
        <w:tc>
          <w:tcPr>
            <w:tcW w:w="1693" w:type="dxa"/>
          </w:tcPr>
          <w:p w14:paraId="38ABC17F"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w:t>
            </w:r>
          </w:p>
        </w:tc>
        <w:tc>
          <w:tcPr>
            <w:tcW w:w="1487" w:type="dxa"/>
          </w:tcPr>
          <w:p w14:paraId="302AFDC7"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w:t>
            </w:r>
          </w:p>
        </w:tc>
      </w:tr>
      <w:tr w:rsidR="004B42C8" w:rsidRPr="00285C0D" w14:paraId="2DB9F5CB" w14:textId="77777777" w:rsidTr="006B7060">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1FF4B2EA" w14:textId="77777777" w:rsidR="004B42C8" w:rsidRPr="009B4334" w:rsidRDefault="004B42C8" w:rsidP="006B7060">
            <w:pPr>
              <w:spacing w:line="240" w:lineRule="auto"/>
              <w:jc w:val="center"/>
              <w:rPr>
                <w:rFonts w:eastAsia="Times New Roman" w:cs="Times New Roman"/>
                <w:color w:val="000000"/>
                <w:sz w:val="20"/>
                <w:szCs w:val="20"/>
              </w:rPr>
            </w:pPr>
            <w:r w:rsidRPr="009B4334">
              <w:rPr>
                <w:rFonts w:eastAsia="Times New Roman" w:cs="Times New Roman"/>
                <w:color w:val="000000"/>
                <w:sz w:val="20"/>
                <w:szCs w:val="20"/>
              </w:rPr>
              <w:t>1-2</w:t>
            </w:r>
          </w:p>
        </w:tc>
        <w:tc>
          <w:tcPr>
            <w:tcW w:w="1214" w:type="dxa"/>
          </w:tcPr>
          <w:p w14:paraId="09808351"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1.5</w:t>
            </w:r>
          </w:p>
        </w:tc>
        <w:tc>
          <w:tcPr>
            <w:tcW w:w="1606" w:type="dxa"/>
          </w:tcPr>
          <w:p w14:paraId="223A78C5"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olor w:val="000000"/>
                <w:sz w:val="20"/>
                <w:szCs w:val="20"/>
              </w:rPr>
              <w:t>3.8</w:t>
            </w:r>
            <w:r w:rsidRPr="009B4334">
              <w:rPr>
                <w:rFonts w:eastAsia="Times New Roman"/>
                <w:color w:val="000000"/>
                <w:sz w:val="20"/>
                <w:szCs w:val="20"/>
              </w:rPr>
              <w:t>%</w:t>
            </w:r>
          </w:p>
        </w:tc>
        <w:tc>
          <w:tcPr>
            <w:tcW w:w="1319" w:type="dxa"/>
          </w:tcPr>
          <w:p w14:paraId="3837D5D7"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0.057</w:t>
            </w:r>
          </w:p>
        </w:tc>
        <w:tc>
          <w:tcPr>
            <w:tcW w:w="1693" w:type="dxa"/>
          </w:tcPr>
          <w:p w14:paraId="51135C64"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olor w:val="000000"/>
                <w:sz w:val="20"/>
                <w:szCs w:val="20"/>
              </w:rPr>
              <w:t>17.3</w:t>
            </w:r>
            <w:r w:rsidRPr="009B4334">
              <w:rPr>
                <w:rFonts w:eastAsia="Times New Roman"/>
                <w:color w:val="000000"/>
                <w:sz w:val="20"/>
                <w:szCs w:val="20"/>
              </w:rPr>
              <w:t>%</w:t>
            </w:r>
          </w:p>
        </w:tc>
        <w:tc>
          <w:tcPr>
            <w:tcW w:w="1487" w:type="dxa"/>
          </w:tcPr>
          <w:p w14:paraId="6ECC4683"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0.2595</w:t>
            </w:r>
          </w:p>
        </w:tc>
      </w:tr>
      <w:tr w:rsidR="004B42C8" w:rsidRPr="00285C0D" w14:paraId="2F53B9E4" w14:textId="77777777" w:rsidTr="006B7060">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52173D4B" w14:textId="77777777" w:rsidR="004B42C8" w:rsidRPr="009B4334" w:rsidRDefault="004B42C8" w:rsidP="006B7060">
            <w:pPr>
              <w:spacing w:line="240" w:lineRule="auto"/>
              <w:jc w:val="center"/>
              <w:rPr>
                <w:rFonts w:eastAsia="Times New Roman" w:cs="Times New Roman"/>
                <w:color w:val="000000"/>
                <w:sz w:val="20"/>
                <w:szCs w:val="20"/>
              </w:rPr>
            </w:pPr>
            <w:r w:rsidRPr="009B4334">
              <w:rPr>
                <w:rFonts w:eastAsia="Times New Roman" w:cs="Times New Roman"/>
                <w:color w:val="000000"/>
                <w:sz w:val="20"/>
                <w:szCs w:val="20"/>
              </w:rPr>
              <w:t>3-4</w:t>
            </w:r>
          </w:p>
        </w:tc>
        <w:tc>
          <w:tcPr>
            <w:tcW w:w="1214" w:type="dxa"/>
          </w:tcPr>
          <w:p w14:paraId="60974A33"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3.5</w:t>
            </w:r>
          </w:p>
        </w:tc>
        <w:tc>
          <w:tcPr>
            <w:tcW w:w="1606" w:type="dxa"/>
          </w:tcPr>
          <w:p w14:paraId="27066C35"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olor w:val="000000"/>
                <w:sz w:val="20"/>
                <w:szCs w:val="20"/>
              </w:rPr>
              <w:t>2.0</w:t>
            </w:r>
            <w:r w:rsidRPr="009B4334">
              <w:rPr>
                <w:rFonts w:eastAsia="Times New Roman"/>
                <w:color w:val="000000"/>
                <w:sz w:val="20"/>
                <w:szCs w:val="20"/>
              </w:rPr>
              <w:t>%</w:t>
            </w:r>
          </w:p>
        </w:tc>
        <w:tc>
          <w:tcPr>
            <w:tcW w:w="1319" w:type="dxa"/>
          </w:tcPr>
          <w:p w14:paraId="3C71F363"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0.07</w:t>
            </w:r>
          </w:p>
        </w:tc>
        <w:tc>
          <w:tcPr>
            <w:tcW w:w="1693" w:type="dxa"/>
          </w:tcPr>
          <w:p w14:paraId="7A92F766"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olor w:val="000000"/>
                <w:sz w:val="20"/>
                <w:szCs w:val="20"/>
              </w:rPr>
              <w:t>13.7</w:t>
            </w:r>
            <w:r w:rsidRPr="009B4334">
              <w:rPr>
                <w:rFonts w:eastAsia="Times New Roman"/>
                <w:color w:val="000000"/>
                <w:sz w:val="20"/>
                <w:szCs w:val="20"/>
              </w:rPr>
              <w:t>%</w:t>
            </w:r>
          </w:p>
        </w:tc>
        <w:tc>
          <w:tcPr>
            <w:tcW w:w="1487" w:type="dxa"/>
          </w:tcPr>
          <w:p w14:paraId="732A0D78"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0.4795</w:t>
            </w:r>
          </w:p>
        </w:tc>
      </w:tr>
      <w:tr w:rsidR="004B42C8" w:rsidRPr="00285C0D" w14:paraId="1123F546" w14:textId="77777777" w:rsidTr="006B7060">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3A0F3F10" w14:textId="77777777" w:rsidR="004B42C8" w:rsidRPr="009B4334" w:rsidRDefault="004B42C8" w:rsidP="006B7060">
            <w:pPr>
              <w:spacing w:line="240" w:lineRule="auto"/>
              <w:jc w:val="center"/>
              <w:rPr>
                <w:rFonts w:eastAsia="Times New Roman" w:cs="Times New Roman"/>
                <w:color w:val="000000"/>
                <w:sz w:val="20"/>
                <w:szCs w:val="20"/>
              </w:rPr>
            </w:pPr>
            <w:r w:rsidRPr="009B4334">
              <w:rPr>
                <w:rFonts w:eastAsia="Times New Roman" w:cs="Times New Roman"/>
                <w:color w:val="000000"/>
                <w:sz w:val="20"/>
                <w:szCs w:val="20"/>
              </w:rPr>
              <w:t>5-7</w:t>
            </w:r>
          </w:p>
        </w:tc>
        <w:tc>
          <w:tcPr>
            <w:tcW w:w="1214" w:type="dxa"/>
          </w:tcPr>
          <w:p w14:paraId="75F31D7A"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6</w:t>
            </w:r>
          </w:p>
        </w:tc>
        <w:tc>
          <w:tcPr>
            <w:tcW w:w="1606" w:type="dxa"/>
          </w:tcPr>
          <w:p w14:paraId="0ABEDB44"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olor w:val="000000"/>
                <w:sz w:val="20"/>
                <w:szCs w:val="20"/>
              </w:rPr>
              <w:t>1.3</w:t>
            </w:r>
            <w:r w:rsidRPr="009B4334">
              <w:rPr>
                <w:rFonts w:eastAsia="Times New Roman"/>
                <w:color w:val="000000"/>
                <w:sz w:val="20"/>
                <w:szCs w:val="20"/>
              </w:rPr>
              <w:t>%</w:t>
            </w:r>
          </w:p>
        </w:tc>
        <w:tc>
          <w:tcPr>
            <w:tcW w:w="1319" w:type="dxa"/>
          </w:tcPr>
          <w:p w14:paraId="56EE829D"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0.078</w:t>
            </w:r>
          </w:p>
        </w:tc>
        <w:tc>
          <w:tcPr>
            <w:tcW w:w="1693" w:type="dxa"/>
          </w:tcPr>
          <w:p w14:paraId="1715A2BF"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olor w:val="000000"/>
                <w:sz w:val="20"/>
                <w:szCs w:val="20"/>
              </w:rPr>
              <w:t>4.2</w:t>
            </w:r>
            <w:r w:rsidRPr="009B4334">
              <w:rPr>
                <w:rFonts w:eastAsia="Times New Roman"/>
                <w:color w:val="000000"/>
                <w:sz w:val="20"/>
                <w:szCs w:val="20"/>
              </w:rPr>
              <w:t>%</w:t>
            </w:r>
          </w:p>
        </w:tc>
        <w:tc>
          <w:tcPr>
            <w:tcW w:w="1487" w:type="dxa"/>
          </w:tcPr>
          <w:p w14:paraId="34112778"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0.252</w:t>
            </w:r>
          </w:p>
        </w:tc>
      </w:tr>
      <w:tr w:rsidR="004B42C8" w:rsidRPr="00285C0D" w14:paraId="08F685A0" w14:textId="77777777" w:rsidTr="006B7060">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813" w:type="dxa"/>
            <w:hideMark/>
          </w:tcPr>
          <w:p w14:paraId="2B852744" w14:textId="77777777" w:rsidR="004B42C8" w:rsidRPr="009B4334" w:rsidRDefault="004B42C8" w:rsidP="006B7060">
            <w:pPr>
              <w:spacing w:line="240" w:lineRule="auto"/>
              <w:jc w:val="center"/>
              <w:rPr>
                <w:rFonts w:eastAsia="Times New Roman" w:cs="Times New Roman"/>
                <w:color w:val="000000"/>
                <w:sz w:val="20"/>
                <w:szCs w:val="20"/>
              </w:rPr>
            </w:pPr>
            <w:r w:rsidRPr="009B4334">
              <w:rPr>
                <w:rFonts w:eastAsia="Times New Roman" w:cs="Times New Roman"/>
                <w:color w:val="000000"/>
                <w:sz w:val="20"/>
                <w:szCs w:val="20"/>
              </w:rPr>
              <w:t>Every Day</w:t>
            </w:r>
          </w:p>
        </w:tc>
        <w:tc>
          <w:tcPr>
            <w:tcW w:w="1214" w:type="dxa"/>
          </w:tcPr>
          <w:p w14:paraId="2E403552"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9B4334">
              <w:rPr>
                <w:rFonts w:eastAsia="Times New Roman" w:cs="Times New Roman"/>
                <w:color w:val="000000"/>
                <w:sz w:val="20"/>
                <w:szCs w:val="20"/>
              </w:rPr>
              <w:t>7</w:t>
            </w:r>
          </w:p>
        </w:tc>
        <w:tc>
          <w:tcPr>
            <w:tcW w:w="1606" w:type="dxa"/>
          </w:tcPr>
          <w:p w14:paraId="704A478E"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olor w:val="000000"/>
                <w:sz w:val="20"/>
                <w:szCs w:val="20"/>
              </w:rPr>
              <w:t>92.8</w:t>
            </w:r>
            <w:r w:rsidRPr="009B4334">
              <w:rPr>
                <w:rFonts w:eastAsia="Times New Roman"/>
                <w:color w:val="000000"/>
                <w:sz w:val="20"/>
                <w:szCs w:val="20"/>
              </w:rPr>
              <w:t>%</w:t>
            </w:r>
          </w:p>
        </w:tc>
        <w:tc>
          <w:tcPr>
            <w:tcW w:w="1319" w:type="dxa"/>
          </w:tcPr>
          <w:p w14:paraId="6CA7F856"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6.496</w:t>
            </w:r>
          </w:p>
        </w:tc>
        <w:tc>
          <w:tcPr>
            <w:tcW w:w="1693" w:type="dxa"/>
          </w:tcPr>
          <w:p w14:paraId="02EEEEDC"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olor w:val="000000"/>
                <w:sz w:val="20"/>
                <w:szCs w:val="20"/>
              </w:rPr>
              <w:t>64.9</w:t>
            </w:r>
            <w:r w:rsidRPr="009B4334">
              <w:rPr>
                <w:rFonts w:eastAsia="Times New Roman"/>
                <w:color w:val="000000"/>
                <w:sz w:val="20"/>
                <w:szCs w:val="20"/>
              </w:rPr>
              <w:t>%</w:t>
            </w:r>
          </w:p>
        </w:tc>
        <w:tc>
          <w:tcPr>
            <w:tcW w:w="1487" w:type="dxa"/>
          </w:tcPr>
          <w:p w14:paraId="234E2BE4" w14:textId="77777777" w:rsidR="004B42C8" w:rsidRPr="009B4334" w:rsidRDefault="004B42C8" w:rsidP="006B7060">
            <w:pPr>
              <w:spacing w:line="240" w:lineRule="auto"/>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9B4334">
              <w:rPr>
                <w:rFonts w:eastAsia="Times New Roman"/>
                <w:color w:val="000000"/>
                <w:sz w:val="20"/>
                <w:szCs w:val="20"/>
              </w:rPr>
              <w:t>4.543</w:t>
            </w:r>
          </w:p>
        </w:tc>
      </w:tr>
      <w:tr w:rsidR="004B42C8" w:rsidRPr="00285C0D" w14:paraId="4728827D" w14:textId="77777777" w:rsidTr="006B7060">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3027" w:type="dxa"/>
            <w:gridSpan w:val="2"/>
            <w:hideMark/>
          </w:tcPr>
          <w:p w14:paraId="747113A7" w14:textId="77777777" w:rsidR="004B42C8" w:rsidRPr="009B4334" w:rsidRDefault="004B42C8" w:rsidP="006B7060">
            <w:pPr>
              <w:spacing w:line="240" w:lineRule="auto"/>
              <w:jc w:val="right"/>
              <w:rPr>
                <w:rFonts w:eastAsia="Times New Roman" w:cs="Times New Roman"/>
                <w:b/>
                <w:bCs/>
                <w:color w:val="000000"/>
                <w:sz w:val="20"/>
                <w:szCs w:val="20"/>
              </w:rPr>
            </w:pPr>
            <w:r w:rsidRPr="009B4334">
              <w:rPr>
                <w:rFonts w:eastAsia="Times New Roman" w:cs="Times New Roman"/>
                <w:b/>
                <w:bCs/>
                <w:color w:val="000000"/>
                <w:sz w:val="20"/>
                <w:szCs w:val="20"/>
              </w:rPr>
              <w:t>OVERALL:</w:t>
            </w:r>
          </w:p>
        </w:tc>
        <w:tc>
          <w:tcPr>
            <w:tcW w:w="1606" w:type="dxa"/>
          </w:tcPr>
          <w:p w14:paraId="310BE747"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9B4334">
              <w:rPr>
                <w:rFonts w:eastAsia="Times New Roman" w:cs="Times New Roman"/>
                <w:b/>
                <w:bCs/>
                <w:color w:val="000000"/>
                <w:sz w:val="20"/>
                <w:szCs w:val="20"/>
              </w:rPr>
              <w:t>100%</w:t>
            </w:r>
          </w:p>
        </w:tc>
        <w:tc>
          <w:tcPr>
            <w:tcW w:w="1319" w:type="dxa"/>
          </w:tcPr>
          <w:p w14:paraId="30B46124"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9B4334">
              <w:rPr>
                <w:rFonts w:eastAsia="Times New Roman"/>
                <w:b/>
                <w:bCs/>
                <w:color w:val="000000"/>
                <w:sz w:val="20"/>
                <w:szCs w:val="20"/>
              </w:rPr>
              <w:t>6.701</w:t>
            </w:r>
          </w:p>
        </w:tc>
        <w:tc>
          <w:tcPr>
            <w:tcW w:w="1693" w:type="dxa"/>
          </w:tcPr>
          <w:p w14:paraId="12FF6D76"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9B4334">
              <w:rPr>
                <w:rFonts w:eastAsia="Times New Roman"/>
                <w:b/>
                <w:bCs/>
                <w:color w:val="000000"/>
                <w:sz w:val="20"/>
                <w:szCs w:val="20"/>
              </w:rPr>
              <w:t>100%</w:t>
            </w:r>
          </w:p>
        </w:tc>
        <w:tc>
          <w:tcPr>
            <w:tcW w:w="1487" w:type="dxa"/>
          </w:tcPr>
          <w:p w14:paraId="6C16F100" w14:textId="77777777" w:rsidR="004B42C8" w:rsidRPr="009B4334" w:rsidRDefault="004B42C8" w:rsidP="006B7060">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9B4334">
              <w:rPr>
                <w:rFonts w:eastAsia="Times New Roman" w:cs="Times New Roman"/>
                <w:b/>
                <w:bCs/>
                <w:color w:val="000000"/>
                <w:sz w:val="20"/>
                <w:szCs w:val="20"/>
              </w:rPr>
              <w:t>5.53</w:t>
            </w:r>
          </w:p>
        </w:tc>
      </w:tr>
    </w:tbl>
    <w:p w14:paraId="7822C80E" w14:textId="77777777" w:rsidR="004B42C8" w:rsidRDefault="004B42C8" w:rsidP="004B42C8"/>
    <w:p w14:paraId="6961A856" w14:textId="75250248" w:rsidR="004B42C8" w:rsidRDefault="00AB4885" w:rsidP="00F43A7D">
      <w:pPr>
        <w:pStyle w:val="Caption"/>
        <w:outlineLvl w:val="0"/>
      </w:pPr>
      <w:bookmarkStart w:id="29" w:name="_Ref469491766"/>
      <w:r>
        <w:t xml:space="preserve">Table </w:t>
      </w:r>
      <w:r w:rsidR="002271A4">
        <w:fldChar w:fldCharType="begin"/>
      </w:r>
      <w:r w:rsidR="002271A4">
        <w:instrText xml:space="preserve"> SEQ Table \* ARABIC </w:instrText>
      </w:r>
      <w:r w:rsidR="002271A4">
        <w:fldChar w:fldCharType="separate"/>
      </w:r>
      <w:r w:rsidR="00BF6769">
        <w:rPr>
          <w:noProof/>
        </w:rPr>
        <w:t>18</w:t>
      </w:r>
      <w:r w:rsidR="002271A4">
        <w:rPr>
          <w:noProof/>
        </w:rPr>
        <w:fldChar w:fldCharType="end"/>
      </w:r>
      <w:bookmarkEnd w:id="29"/>
      <w:r>
        <w:t xml:space="preserve">. </w:t>
      </w:r>
      <w:r w:rsidR="004B42C8">
        <w:t>Using AHAM Approach to Estimate HOU Using Data from Current Study</w:t>
      </w:r>
    </w:p>
    <w:tbl>
      <w:tblPr>
        <w:tblStyle w:val="EMITable"/>
        <w:tblW w:w="5000" w:type="pct"/>
        <w:tblLayout w:type="fixed"/>
        <w:tblLook w:val="04A0" w:firstRow="1" w:lastRow="0" w:firstColumn="1" w:lastColumn="0" w:noHBand="0" w:noVBand="1"/>
      </w:tblPr>
      <w:tblGrid>
        <w:gridCol w:w="1596"/>
        <w:gridCol w:w="1596"/>
        <w:gridCol w:w="1596"/>
        <w:gridCol w:w="1596"/>
        <w:gridCol w:w="1596"/>
        <w:gridCol w:w="1596"/>
      </w:tblGrid>
      <w:tr w:rsidR="004B42C8" w:rsidRPr="00077F1A" w14:paraId="443F0A80" w14:textId="77777777" w:rsidTr="006B7060">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833" w:type="pct"/>
            <w:noWrap/>
            <w:hideMark/>
          </w:tcPr>
          <w:p w14:paraId="6283D0C5" w14:textId="77777777" w:rsidR="004B42C8" w:rsidRPr="00077F1A" w:rsidRDefault="004B42C8" w:rsidP="006B7060">
            <w:pPr>
              <w:spacing w:line="240" w:lineRule="auto"/>
              <w:rPr>
                <w:rFonts w:cs="Times New Roman"/>
                <w:sz w:val="20"/>
                <w:szCs w:val="20"/>
              </w:rPr>
            </w:pPr>
            <w:r>
              <w:rPr>
                <w:rFonts w:cs="Times New Roman"/>
                <w:sz w:val="20"/>
                <w:szCs w:val="20"/>
              </w:rPr>
              <w:t>Group</w:t>
            </w:r>
          </w:p>
        </w:tc>
        <w:tc>
          <w:tcPr>
            <w:tcW w:w="833" w:type="pct"/>
            <w:noWrap/>
            <w:hideMark/>
          </w:tcPr>
          <w:p w14:paraId="75ECF41F" w14:textId="77777777" w:rsidR="004B42C8" w:rsidRPr="00077F1A"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Group Percent</w:t>
            </w:r>
            <w:r>
              <w:rPr>
                <w:rFonts w:eastAsia="Times New Roman" w:cs="Times New Roman"/>
                <w:color w:val="000000"/>
                <w:sz w:val="20"/>
                <w:szCs w:val="20"/>
              </w:rPr>
              <w:t xml:space="preserve"> of Total</w:t>
            </w:r>
          </w:p>
        </w:tc>
        <w:tc>
          <w:tcPr>
            <w:tcW w:w="833" w:type="pct"/>
            <w:noWrap/>
            <w:hideMark/>
          </w:tcPr>
          <w:p w14:paraId="1E5E524F" w14:textId="77777777" w:rsidR="004B42C8" w:rsidRPr="00077F1A"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Mean Days/Week</w:t>
            </w:r>
          </w:p>
        </w:tc>
        <w:tc>
          <w:tcPr>
            <w:tcW w:w="833" w:type="pct"/>
            <w:noWrap/>
            <w:hideMark/>
          </w:tcPr>
          <w:p w14:paraId="23885CB8" w14:textId="77777777" w:rsidR="004B42C8" w:rsidRPr="00077F1A"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Seasonal Correction Factor (percentage of year)</w:t>
            </w:r>
          </w:p>
        </w:tc>
        <w:tc>
          <w:tcPr>
            <w:tcW w:w="833" w:type="pct"/>
            <w:noWrap/>
            <w:hideMark/>
          </w:tcPr>
          <w:p w14:paraId="4159C547" w14:textId="77777777" w:rsidR="004B42C8" w:rsidRPr="00077F1A"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Weeks/Year</w:t>
            </w:r>
          </w:p>
        </w:tc>
        <w:tc>
          <w:tcPr>
            <w:tcW w:w="833" w:type="pct"/>
            <w:noWrap/>
            <w:hideMark/>
          </w:tcPr>
          <w:p w14:paraId="2BF204BE" w14:textId="77777777" w:rsidR="004B42C8"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Relative Group Contribution</w:t>
            </w:r>
          </w:p>
          <w:p w14:paraId="7EACBF97" w14:textId="77777777" w:rsidR="004B42C8" w:rsidRPr="00077F1A" w:rsidRDefault="004B42C8" w:rsidP="006B7060">
            <w:pPr>
              <w:spacing w:line="240" w:lineRule="auto"/>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(days)</w:t>
            </w:r>
          </w:p>
        </w:tc>
      </w:tr>
      <w:tr w:rsidR="004B42C8" w:rsidRPr="00077F1A" w14:paraId="62C1CEF5" w14:textId="77777777" w:rsidTr="006B706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33" w:type="pct"/>
            <w:noWrap/>
            <w:hideMark/>
          </w:tcPr>
          <w:p w14:paraId="4182BA13" w14:textId="74973AA3" w:rsidR="004B42C8" w:rsidRPr="00077F1A" w:rsidRDefault="00F43A7D" w:rsidP="006B7060">
            <w:pPr>
              <w:spacing w:line="240" w:lineRule="auto"/>
              <w:rPr>
                <w:rFonts w:eastAsia="Times New Roman" w:cs="Times New Roman"/>
                <w:color w:val="000000"/>
                <w:sz w:val="20"/>
                <w:szCs w:val="20"/>
              </w:rPr>
            </w:pPr>
            <w:r>
              <w:rPr>
                <w:rFonts w:eastAsia="Times New Roman" w:cs="Times New Roman"/>
                <w:color w:val="000000"/>
                <w:sz w:val="20"/>
                <w:szCs w:val="20"/>
              </w:rPr>
              <w:t>Year-</w:t>
            </w:r>
            <w:r w:rsidR="004B42C8" w:rsidRPr="00077F1A">
              <w:rPr>
                <w:rFonts w:eastAsia="Times New Roman" w:cs="Times New Roman"/>
                <w:color w:val="000000"/>
                <w:sz w:val="20"/>
                <w:szCs w:val="20"/>
              </w:rPr>
              <w:t>Round</w:t>
            </w:r>
          </w:p>
        </w:tc>
        <w:tc>
          <w:tcPr>
            <w:tcW w:w="833" w:type="pct"/>
            <w:noWrap/>
            <w:hideMark/>
          </w:tcPr>
          <w:p w14:paraId="4F29421E"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67.7</w:t>
            </w:r>
            <w:r w:rsidRPr="00077F1A">
              <w:rPr>
                <w:rFonts w:eastAsia="Times New Roman" w:cs="Times New Roman"/>
                <w:color w:val="000000"/>
                <w:sz w:val="20"/>
                <w:szCs w:val="20"/>
              </w:rPr>
              <w:t>%</w:t>
            </w:r>
          </w:p>
        </w:tc>
        <w:tc>
          <w:tcPr>
            <w:tcW w:w="833" w:type="pct"/>
            <w:noWrap/>
          </w:tcPr>
          <w:p w14:paraId="7CDA6338"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6.70</w:t>
            </w:r>
          </w:p>
        </w:tc>
        <w:tc>
          <w:tcPr>
            <w:tcW w:w="833" w:type="pct"/>
            <w:noWrap/>
            <w:hideMark/>
          </w:tcPr>
          <w:p w14:paraId="611D51E1"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100%</w:t>
            </w:r>
          </w:p>
        </w:tc>
        <w:tc>
          <w:tcPr>
            <w:tcW w:w="833" w:type="pct"/>
            <w:noWrap/>
            <w:hideMark/>
          </w:tcPr>
          <w:p w14:paraId="3CDB0C5D"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52</w:t>
            </w:r>
          </w:p>
        </w:tc>
        <w:tc>
          <w:tcPr>
            <w:tcW w:w="833" w:type="pct"/>
            <w:noWrap/>
            <w:hideMark/>
          </w:tcPr>
          <w:p w14:paraId="3A762DA4"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236</w:t>
            </w:r>
          </w:p>
        </w:tc>
      </w:tr>
      <w:tr w:rsidR="004B42C8" w:rsidRPr="00077F1A" w14:paraId="058B7A6C" w14:textId="77777777" w:rsidTr="006B7060">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33" w:type="pct"/>
            <w:tcBorders>
              <w:bottom w:val="single" w:sz="4" w:space="0" w:color="D9D9D9" w:themeColor="background1" w:themeShade="D9"/>
            </w:tcBorders>
            <w:noWrap/>
            <w:hideMark/>
          </w:tcPr>
          <w:p w14:paraId="402D79CD" w14:textId="77777777" w:rsidR="004B42C8" w:rsidRPr="00077F1A" w:rsidRDefault="004B42C8" w:rsidP="006B7060">
            <w:pPr>
              <w:spacing w:line="240" w:lineRule="auto"/>
              <w:rPr>
                <w:rFonts w:eastAsia="Times New Roman" w:cs="Times New Roman"/>
                <w:color w:val="000000"/>
                <w:sz w:val="20"/>
                <w:szCs w:val="20"/>
              </w:rPr>
            </w:pPr>
            <w:r w:rsidRPr="00077F1A">
              <w:rPr>
                <w:rFonts w:eastAsia="Times New Roman" w:cs="Times New Roman"/>
                <w:color w:val="000000"/>
                <w:sz w:val="20"/>
                <w:szCs w:val="20"/>
              </w:rPr>
              <w:t>Seasonal</w:t>
            </w:r>
          </w:p>
        </w:tc>
        <w:tc>
          <w:tcPr>
            <w:tcW w:w="833" w:type="pct"/>
            <w:tcBorders>
              <w:bottom w:val="single" w:sz="4" w:space="0" w:color="D9D9D9" w:themeColor="background1" w:themeShade="D9"/>
            </w:tcBorders>
            <w:noWrap/>
            <w:hideMark/>
          </w:tcPr>
          <w:p w14:paraId="2BA67D6C" w14:textId="77777777" w:rsidR="004B42C8" w:rsidRPr="00077F1A" w:rsidRDefault="004B42C8" w:rsidP="006B7060">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32.3</w:t>
            </w:r>
            <w:r w:rsidRPr="00077F1A">
              <w:rPr>
                <w:rFonts w:eastAsia="Times New Roman" w:cs="Times New Roman"/>
                <w:color w:val="000000"/>
                <w:sz w:val="20"/>
                <w:szCs w:val="20"/>
              </w:rPr>
              <w:t>%</w:t>
            </w:r>
          </w:p>
        </w:tc>
        <w:tc>
          <w:tcPr>
            <w:tcW w:w="833" w:type="pct"/>
            <w:tcBorders>
              <w:bottom w:val="single" w:sz="4" w:space="0" w:color="D9D9D9" w:themeColor="background1" w:themeShade="D9"/>
            </w:tcBorders>
            <w:noWrap/>
          </w:tcPr>
          <w:p w14:paraId="2D266ACF" w14:textId="77777777" w:rsidR="004B42C8" w:rsidRPr="00077F1A" w:rsidRDefault="004B42C8" w:rsidP="006B7060">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5.53</w:t>
            </w:r>
          </w:p>
        </w:tc>
        <w:tc>
          <w:tcPr>
            <w:tcW w:w="833" w:type="pct"/>
            <w:tcBorders>
              <w:bottom w:val="single" w:sz="4" w:space="0" w:color="D9D9D9" w:themeColor="background1" w:themeShade="D9"/>
            </w:tcBorders>
            <w:noWrap/>
            <w:hideMark/>
          </w:tcPr>
          <w:p w14:paraId="35DC411F" w14:textId="77777777" w:rsidR="004B42C8" w:rsidRPr="00077F1A" w:rsidRDefault="004B42C8" w:rsidP="006B7060">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81</w:t>
            </w:r>
            <w:r w:rsidRPr="00077F1A">
              <w:rPr>
                <w:rFonts w:eastAsia="Times New Roman" w:cs="Times New Roman"/>
                <w:color w:val="000000"/>
                <w:sz w:val="20"/>
                <w:szCs w:val="20"/>
              </w:rPr>
              <w:t>%</w:t>
            </w:r>
          </w:p>
        </w:tc>
        <w:tc>
          <w:tcPr>
            <w:tcW w:w="833" w:type="pct"/>
            <w:noWrap/>
            <w:hideMark/>
          </w:tcPr>
          <w:p w14:paraId="5DBB0565" w14:textId="77777777" w:rsidR="004B42C8" w:rsidRPr="00077F1A" w:rsidRDefault="004B42C8" w:rsidP="006B7060">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sidRPr="00077F1A">
              <w:rPr>
                <w:rFonts w:eastAsia="Times New Roman" w:cs="Times New Roman"/>
                <w:color w:val="000000"/>
                <w:sz w:val="20"/>
                <w:szCs w:val="20"/>
              </w:rPr>
              <w:t>52</w:t>
            </w:r>
          </w:p>
        </w:tc>
        <w:tc>
          <w:tcPr>
            <w:tcW w:w="833" w:type="pct"/>
            <w:noWrap/>
            <w:hideMark/>
          </w:tcPr>
          <w:p w14:paraId="6ACAEA4D" w14:textId="77777777" w:rsidR="004B42C8" w:rsidRPr="00077F1A" w:rsidRDefault="004B42C8" w:rsidP="006B7060">
            <w:pPr>
              <w:spacing w:line="240" w:lineRule="auto"/>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76</w:t>
            </w:r>
          </w:p>
        </w:tc>
      </w:tr>
      <w:tr w:rsidR="004B42C8" w:rsidRPr="00077F1A" w14:paraId="22CAF9A2" w14:textId="77777777" w:rsidTr="006B706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833" w:type="pct"/>
            <w:tcBorders>
              <w:top w:val="single" w:sz="4" w:space="0" w:color="D9D9D9" w:themeColor="background1" w:themeShade="D9"/>
              <w:left w:val="nil"/>
              <w:bottom w:val="nil"/>
              <w:right w:val="nil"/>
            </w:tcBorders>
            <w:shd w:val="clear" w:color="auto" w:fill="auto"/>
            <w:noWrap/>
            <w:hideMark/>
          </w:tcPr>
          <w:p w14:paraId="52E42AD2" w14:textId="77777777" w:rsidR="004B42C8" w:rsidRPr="00077F1A" w:rsidRDefault="004B42C8" w:rsidP="006B7060">
            <w:pPr>
              <w:spacing w:line="240" w:lineRule="auto"/>
              <w:jc w:val="right"/>
              <w:rPr>
                <w:rFonts w:eastAsia="Times New Roman" w:cs="Times New Roman"/>
                <w:color w:val="000000"/>
                <w:sz w:val="20"/>
                <w:szCs w:val="20"/>
              </w:rPr>
            </w:pPr>
          </w:p>
        </w:tc>
        <w:tc>
          <w:tcPr>
            <w:tcW w:w="833" w:type="pct"/>
            <w:tcBorders>
              <w:top w:val="single" w:sz="4" w:space="0" w:color="D9D9D9" w:themeColor="background1" w:themeShade="D9"/>
              <w:left w:val="nil"/>
              <w:bottom w:val="nil"/>
              <w:right w:val="nil"/>
            </w:tcBorders>
            <w:shd w:val="clear" w:color="auto" w:fill="auto"/>
            <w:noWrap/>
            <w:hideMark/>
          </w:tcPr>
          <w:p w14:paraId="164B8CDD"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p>
        </w:tc>
        <w:tc>
          <w:tcPr>
            <w:tcW w:w="833" w:type="pct"/>
            <w:tcBorders>
              <w:top w:val="single" w:sz="4" w:space="0" w:color="D9D9D9" w:themeColor="background1" w:themeShade="D9"/>
              <w:left w:val="nil"/>
              <w:bottom w:val="nil"/>
              <w:right w:val="nil"/>
            </w:tcBorders>
            <w:shd w:val="clear" w:color="auto" w:fill="auto"/>
            <w:noWrap/>
            <w:hideMark/>
          </w:tcPr>
          <w:p w14:paraId="6B67B434"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p>
        </w:tc>
        <w:tc>
          <w:tcPr>
            <w:tcW w:w="833" w:type="pct"/>
            <w:tcBorders>
              <w:top w:val="single" w:sz="4" w:space="0" w:color="D9D9D9" w:themeColor="background1" w:themeShade="D9"/>
              <w:left w:val="nil"/>
              <w:bottom w:val="nil"/>
            </w:tcBorders>
            <w:shd w:val="clear" w:color="auto" w:fill="auto"/>
            <w:noWrap/>
            <w:hideMark/>
          </w:tcPr>
          <w:p w14:paraId="04791865"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p>
        </w:tc>
        <w:tc>
          <w:tcPr>
            <w:tcW w:w="833" w:type="pct"/>
            <w:noWrap/>
            <w:hideMark/>
          </w:tcPr>
          <w:p w14:paraId="34A98494"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rPr>
            </w:pPr>
            <w:r w:rsidRPr="00077F1A">
              <w:rPr>
                <w:rFonts w:eastAsia="Times New Roman" w:cs="Times New Roman"/>
                <w:b/>
                <w:bCs/>
                <w:color w:val="000000"/>
                <w:sz w:val="20"/>
                <w:szCs w:val="20"/>
              </w:rPr>
              <w:t>OVERALL:</w:t>
            </w:r>
          </w:p>
        </w:tc>
        <w:tc>
          <w:tcPr>
            <w:tcW w:w="833" w:type="pct"/>
            <w:noWrap/>
            <w:hideMark/>
          </w:tcPr>
          <w:p w14:paraId="664FE9D8" w14:textId="77777777" w:rsidR="004B42C8" w:rsidRPr="00077F1A" w:rsidRDefault="004B42C8" w:rsidP="006B7060">
            <w:pPr>
              <w:spacing w:line="240" w:lineRule="auto"/>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rPr>
            </w:pPr>
            <w:r>
              <w:rPr>
                <w:rFonts w:eastAsia="Times New Roman" w:cs="Times New Roman"/>
                <w:b/>
                <w:color w:val="000000"/>
                <w:sz w:val="20"/>
                <w:szCs w:val="20"/>
              </w:rPr>
              <w:t>312</w:t>
            </w:r>
          </w:p>
        </w:tc>
      </w:tr>
    </w:tbl>
    <w:p w14:paraId="5FD7807C" w14:textId="77777777" w:rsidR="004B42C8" w:rsidRDefault="004B42C8" w:rsidP="004B42C8"/>
    <w:p w14:paraId="6968FD92" w14:textId="14FD7B2E" w:rsidR="004B42C8" w:rsidRDefault="004B42C8" w:rsidP="004B42C8">
      <w:r>
        <w:t xml:space="preserve">As shown in </w:t>
      </w:r>
      <w:r w:rsidR="005F6727" w:rsidRPr="00105CBB">
        <w:rPr>
          <w:b/>
        </w:rPr>
        <w:fldChar w:fldCharType="begin"/>
      </w:r>
      <w:r w:rsidR="005F6727" w:rsidRPr="00105CBB">
        <w:rPr>
          <w:b/>
        </w:rPr>
        <w:instrText xml:space="preserve"> REF _Ref469491766 \h </w:instrText>
      </w:r>
      <w:r w:rsidR="00105CBB">
        <w:rPr>
          <w:b/>
        </w:rPr>
        <w:instrText xml:space="preserve"> \* MERGEFORMAT </w:instrText>
      </w:r>
      <w:r w:rsidR="005F6727" w:rsidRPr="00105CBB">
        <w:rPr>
          <w:b/>
        </w:rPr>
      </w:r>
      <w:r w:rsidR="005F6727" w:rsidRPr="00105CBB">
        <w:rPr>
          <w:b/>
        </w:rPr>
        <w:fldChar w:fldCharType="separate"/>
      </w:r>
      <w:r w:rsidR="00BF6769" w:rsidRPr="00BF6769">
        <w:rPr>
          <w:b/>
        </w:rPr>
        <w:t xml:space="preserve">Table </w:t>
      </w:r>
      <w:r w:rsidR="00BF6769" w:rsidRPr="00BF6769">
        <w:rPr>
          <w:b/>
          <w:noProof/>
        </w:rPr>
        <w:t>18</w:t>
      </w:r>
      <w:r w:rsidR="005F6727" w:rsidRPr="00105CBB">
        <w:rPr>
          <w:b/>
        </w:rPr>
        <w:fldChar w:fldCharType="end"/>
      </w:r>
      <w:r>
        <w:t>, using data from the current study resulted in a higher overall number of days of air cleaner usage (312 days for the current study versus 235 for the AHAM study). However, here it is worth noting that the AHAM study relied on data representing the West Coast Region, and a slightly larger days of air cleaner usage for a California-specific sample makes sense given the climate differences between California and Washington and Oregon. The mean number of hours used per day was also slightly higher for the current study than for the AHAM study (12.44 hours for the current study versus 12.43 hours for the AHAM study). Using this approach, the corresponding HOU estimate using data from the current study was 3,876 (computed as 312 days * 12.44 hours/day). Using this approach yields a higher HOU value than the approach used in the body of this memo (3,641).</w:t>
      </w:r>
    </w:p>
    <w:p w14:paraId="7BD4B2C9" w14:textId="77777777" w:rsidR="004B42C8" w:rsidRPr="005F6727" w:rsidRDefault="004B42C8" w:rsidP="004B42C8">
      <w:pPr>
        <w:rPr>
          <w:rFonts w:asciiTheme="majorHAnsi" w:hAnsiTheme="majorHAnsi"/>
        </w:rPr>
      </w:pPr>
    </w:p>
    <w:p w14:paraId="6DCF5B01" w14:textId="17F91498" w:rsidR="004B42C8" w:rsidRPr="00BF6769" w:rsidRDefault="004B42C8" w:rsidP="004B42C8">
      <w:pPr>
        <w:rPr>
          <w:rFonts w:asciiTheme="majorHAnsi" w:hAnsiTheme="majorHAnsi"/>
          <w:i/>
        </w:rPr>
      </w:pPr>
      <w:r w:rsidRPr="00BF6769">
        <w:rPr>
          <w:rFonts w:asciiTheme="majorHAnsi" w:hAnsiTheme="majorHAnsi"/>
          <w:i/>
        </w:rPr>
        <w:t>The research team believes that the AHAM method is less precise than the method presented earlier</w:t>
      </w:r>
      <w:r w:rsidR="00AB4885" w:rsidRPr="00BF6769">
        <w:rPr>
          <w:rFonts w:asciiTheme="majorHAnsi" w:hAnsiTheme="majorHAnsi"/>
          <w:i/>
        </w:rPr>
        <w:t xml:space="preserve"> in the current</w:t>
      </w:r>
      <w:r w:rsidRPr="00BF6769">
        <w:rPr>
          <w:rFonts w:asciiTheme="majorHAnsi" w:hAnsiTheme="majorHAnsi"/>
          <w:i/>
        </w:rPr>
        <w:t xml:space="preserve"> memo, as the AHAM method relies on using midpoint values from ranges of number of days the air cleaner is used per week (as detailed in </w:t>
      </w:r>
      <w:r w:rsidR="005F6727" w:rsidRPr="00BF6769">
        <w:rPr>
          <w:rFonts w:asciiTheme="majorHAnsi" w:hAnsiTheme="majorHAnsi"/>
          <w:i/>
        </w:rPr>
        <w:fldChar w:fldCharType="begin"/>
      </w:r>
      <w:r w:rsidR="005F6727" w:rsidRPr="00BF6769">
        <w:rPr>
          <w:rFonts w:asciiTheme="majorHAnsi" w:hAnsiTheme="majorHAnsi"/>
          <w:i/>
        </w:rPr>
        <w:instrText xml:space="preserve"> REF _Ref469491719 \h  \* MERGEFORMAT </w:instrText>
      </w:r>
      <w:r w:rsidR="005F6727" w:rsidRPr="00BF6769">
        <w:rPr>
          <w:rFonts w:asciiTheme="majorHAnsi" w:hAnsiTheme="majorHAnsi"/>
          <w:i/>
        </w:rPr>
      </w:r>
      <w:r w:rsidR="005F6727" w:rsidRPr="00BF6769">
        <w:rPr>
          <w:rFonts w:asciiTheme="majorHAnsi" w:hAnsiTheme="majorHAnsi"/>
          <w:i/>
        </w:rPr>
        <w:fldChar w:fldCharType="separate"/>
      </w:r>
      <w:r w:rsidR="00BF6769" w:rsidRPr="00BF6769">
        <w:rPr>
          <w:rFonts w:asciiTheme="majorHAnsi" w:hAnsiTheme="majorHAnsi"/>
          <w:i/>
        </w:rPr>
        <w:t xml:space="preserve">Table </w:t>
      </w:r>
      <w:r w:rsidR="00BF6769" w:rsidRPr="00BF6769">
        <w:rPr>
          <w:rFonts w:asciiTheme="majorHAnsi" w:hAnsiTheme="majorHAnsi"/>
          <w:i/>
          <w:noProof/>
        </w:rPr>
        <w:t>15</w:t>
      </w:r>
      <w:r w:rsidR="005F6727" w:rsidRPr="00BF6769">
        <w:rPr>
          <w:rFonts w:asciiTheme="majorHAnsi" w:hAnsiTheme="majorHAnsi"/>
          <w:i/>
        </w:rPr>
        <w:fldChar w:fldCharType="end"/>
      </w:r>
      <w:r w:rsidR="005F6727" w:rsidRPr="00BF6769">
        <w:rPr>
          <w:rFonts w:asciiTheme="majorHAnsi" w:hAnsiTheme="majorHAnsi"/>
          <w:i/>
        </w:rPr>
        <w:t xml:space="preserve"> and </w:t>
      </w:r>
      <w:r w:rsidR="005F6727" w:rsidRPr="00BF6769">
        <w:rPr>
          <w:rFonts w:asciiTheme="majorHAnsi" w:hAnsiTheme="majorHAnsi"/>
          <w:i/>
        </w:rPr>
        <w:fldChar w:fldCharType="begin"/>
      </w:r>
      <w:r w:rsidR="005F6727" w:rsidRPr="00BF6769">
        <w:rPr>
          <w:rFonts w:asciiTheme="majorHAnsi" w:hAnsiTheme="majorHAnsi"/>
          <w:i/>
        </w:rPr>
        <w:instrText xml:space="preserve"> REF _Ref469491757 \h  \* MERGEFORMAT </w:instrText>
      </w:r>
      <w:r w:rsidR="005F6727" w:rsidRPr="00BF6769">
        <w:rPr>
          <w:rFonts w:asciiTheme="majorHAnsi" w:hAnsiTheme="majorHAnsi"/>
          <w:i/>
        </w:rPr>
      </w:r>
      <w:r w:rsidR="005F6727" w:rsidRPr="00BF6769">
        <w:rPr>
          <w:rFonts w:asciiTheme="majorHAnsi" w:hAnsiTheme="majorHAnsi"/>
          <w:i/>
        </w:rPr>
        <w:fldChar w:fldCharType="separate"/>
      </w:r>
      <w:r w:rsidR="00BF6769" w:rsidRPr="00BF6769">
        <w:rPr>
          <w:rFonts w:asciiTheme="majorHAnsi" w:hAnsiTheme="majorHAnsi"/>
          <w:i/>
        </w:rPr>
        <w:t xml:space="preserve">Table </w:t>
      </w:r>
      <w:r w:rsidR="00BF6769" w:rsidRPr="00BF6769">
        <w:rPr>
          <w:rFonts w:asciiTheme="majorHAnsi" w:hAnsiTheme="majorHAnsi"/>
          <w:i/>
          <w:noProof/>
        </w:rPr>
        <w:t>17</w:t>
      </w:r>
      <w:r w:rsidR="005F6727" w:rsidRPr="00BF6769">
        <w:rPr>
          <w:rFonts w:asciiTheme="majorHAnsi" w:hAnsiTheme="majorHAnsi"/>
          <w:i/>
        </w:rPr>
        <w:fldChar w:fldCharType="end"/>
      </w:r>
      <w:r w:rsidRPr="00BF6769">
        <w:rPr>
          <w:rFonts w:asciiTheme="majorHAnsi" w:hAnsiTheme="majorHAnsi"/>
          <w:i/>
        </w:rPr>
        <w:t>). This is in contrast to the method presented in this study, which computes a separate HOU value for each individual respondent and then averages the results. Also, because the data from the current study represents a California-specific sample, our estimates sh</w:t>
      </w:r>
      <w:r w:rsidR="005F6727" w:rsidRPr="00BF6769">
        <w:rPr>
          <w:rFonts w:asciiTheme="majorHAnsi" w:hAnsiTheme="majorHAnsi"/>
          <w:i/>
        </w:rPr>
        <w:t>ould be more applicable to the S</w:t>
      </w:r>
      <w:r w:rsidRPr="00BF6769">
        <w:rPr>
          <w:rFonts w:asciiTheme="majorHAnsi" w:hAnsiTheme="majorHAnsi"/>
          <w:i/>
        </w:rPr>
        <w:t>tate.</w:t>
      </w:r>
    </w:p>
    <w:p w14:paraId="4E2597D0" w14:textId="77777777" w:rsidR="004477B3" w:rsidRDefault="004477B3" w:rsidP="00F43A7D">
      <w:pPr>
        <w:pStyle w:val="ESMemoHeading1"/>
        <w:outlineLvl w:val="0"/>
      </w:pPr>
      <w:r>
        <w:lastRenderedPageBreak/>
        <w:t xml:space="preserve">Impact of Results on RPP </w:t>
      </w:r>
      <w:proofErr w:type="spellStart"/>
      <w:r>
        <w:t>Workpaper</w:t>
      </w:r>
      <w:proofErr w:type="spellEnd"/>
    </w:p>
    <w:p w14:paraId="755AD3F9" w14:textId="42E04145" w:rsidR="006B7060" w:rsidRPr="00636CA6" w:rsidRDefault="006B7060" w:rsidP="006B7060">
      <w:pPr>
        <w:rPr>
          <w:rFonts w:asciiTheme="majorHAnsi" w:hAnsiTheme="majorHAnsi" w:cs="Arial"/>
          <w:szCs w:val="22"/>
        </w:rPr>
      </w:pPr>
      <w:r w:rsidRPr="00636CA6">
        <w:rPr>
          <w:rFonts w:cs="Arial"/>
          <w:szCs w:val="22"/>
        </w:rPr>
        <w:t xml:space="preserve">In the RPP </w:t>
      </w:r>
      <w:proofErr w:type="spellStart"/>
      <w:r w:rsidRPr="00636CA6">
        <w:rPr>
          <w:rFonts w:cs="Arial"/>
          <w:szCs w:val="22"/>
        </w:rPr>
        <w:t>workpaper’s</w:t>
      </w:r>
      <w:proofErr w:type="spellEnd"/>
      <w:r w:rsidRPr="00636CA6">
        <w:rPr>
          <w:rFonts w:cs="Arial"/>
          <w:szCs w:val="22"/>
        </w:rPr>
        <w:t xml:space="preserve"> unit energy savings calculation for room air cleaners, runtime for room air cleaners was assumed to be 2,921 hours per year with the remaining hours of the year assumed to be spent in idle mode</w:t>
      </w:r>
      <w:r w:rsidR="007205BA" w:rsidRPr="00636CA6">
        <w:rPr>
          <w:rFonts w:cs="Arial"/>
          <w:szCs w:val="22"/>
        </w:rPr>
        <w:t xml:space="preserve"> (0 hours off)</w:t>
      </w:r>
      <w:r w:rsidRPr="00636CA6">
        <w:rPr>
          <w:rFonts w:cs="Arial"/>
          <w:szCs w:val="22"/>
        </w:rPr>
        <w:t xml:space="preserve">. </w:t>
      </w:r>
      <w:r w:rsidRPr="00636CA6">
        <w:rPr>
          <w:rFonts w:asciiTheme="majorHAnsi" w:hAnsiTheme="majorHAnsi" w:cs="Arial"/>
          <w:szCs w:val="22"/>
        </w:rPr>
        <w:t>Based on the results of this research, we believe the assumption for runtime should be increased to 3,641</w:t>
      </w:r>
      <w:r w:rsidR="00167459" w:rsidRPr="00636CA6">
        <w:rPr>
          <w:rFonts w:asciiTheme="majorHAnsi" w:hAnsiTheme="majorHAnsi" w:cs="Arial"/>
          <w:szCs w:val="22"/>
        </w:rPr>
        <w:t xml:space="preserve"> and the </w:t>
      </w:r>
      <w:r w:rsidR="00CD04DC" w:rsidRPr="00636CA6">
        <w:rPr>
          <w:rFonts w:asciiTheme="majorHAnsi" w:hAnsiTheme="majorHAnsi" w:cs="Arial"/>
          <w:szCs w:val="22"/>
        </w:rPr>
        <w:t>assumption for hours the unit is off should be increased from 0 to 1332 (thus decreasing the number of hours the unit is in idle mode).</w:t>
      </w:r>
    </w:p>
    <w:p w14:paraId="3882F783" w14:textId="77777777" w:rsidR="006B7060" w:rsidRPr="00636CA6" w:rsidRDefault="006B7060" w:rsidP="006B7060">
      <w:pPr>
        <w:rPr>
          <w:rFonts w:cs="Arial"/>
          <w:szCs w:val="22"/>
        </w:rPr>
      </w:pPr>
    </w:p>
    <w:p w14:paraId="50EA78B5" w14:textId="29CB131A" w:rsidR="004477B3" w:rsidRPr="00636CA6" w:rsidRDefault="006B7060" w:rsidP="006B7060">
      <w:pPr>
        <w:rPr>
          <w:rFonts w:asciiTheme="majorHAnsi" w:hAnsiTheme="majorHAnsi" w:cs="Arial"/>
          <w:szCs w:val="22"/>
        </w:rPr>
      </w:pPr>
      <w:r w:rsidRPr="00636CA6">
        <w:rPr>
          <w:szCs w:val="22"/>
        </w:rPr>
        <w:t xml:space="preserve">Additionally, the </w:t>
      </w:r>
      <w:proofErr w:type="spellStart"/>
      <w:r w:rsidRPr="00636CA6">
        <w:rPr>
          <w:szCs w:val="22"/>
        </w:rPr>
        <w:t>workpaper</w:t>
      </w:r>
      <w:proofErr w:type="spellEnd"/>
      <w:r w:rsidRPr="00636CA6">
        <w:rPr>
          <w:szCs w:val="22"/>
        </w:rPr>
        <w:t xml:space="preserve"> assumed a coincident demand factor of 0.33 in the peak demand reduction calculation. </w:t>
      </w:r>
      <w:r w:rsidRPr="00636CA6">
        <w:rPr>
          <w:rFonts w:asciiTheme="majorHAnsi" w:hAnsiTheme="majorHAnsi" w:cs="Arial"/>
          <w:szCs w:val="22"/>
        </w:rPr>
        <w:t>Based on the results of this research, we believe the assumption for the coincident demand factor should be decreased slightly to 0.319.</w:t>
      </w:r>
    </w:p>
    <w:p w14:paraId="79CB216C" w14:textId="77777777" w:rsidR="004F6FCE" w:rsidRPr="00636CA6" w:rsidRDefault="004F6FCE" w:rsidP="006B7060">
      <w:pPr>
        <w:rPr>
          <w:rFonts w:asciiTheme="majorHAnsi" w:hAnsiTheme="majorHAnsi" w:cs="Arial"/>
          <w:szCs w:val="22"/>
        </w:rPr>
      </w:pPr>
    </w:p>
    <w:p w14:paraId="00CE386E" w14:textId="026A492B" w:rsidR="004F6FCE" w:rsidRPr="00E17A7C" w:rsidRDefault="004F6FCE" w:rsidP="006B7060">
      <w:pPr>
        <w:rPr>
          <w:rFonts w:cs="Arial"/>
          <w:color w:val="3B3B3B" w:themeColor="text1" w:themeTint="D9"/>
          <w:szCs w:val="22"/>
        </w:rPr>
      </w:pPr>
      <w:r w:rsidRPr="00636CA6">
        <w:rPr>
          <w:rFonts w:asciiTheme="majorHAnsi" w:hAnsiTheme="majorHAnsi" w:cs="Arial"/>
          <w:szCs w:val="22"/>
        </w:rPr>
        <w:t>This research also has data to inform how often air cleaners are used at different operating modes. We estimate that on average, 30% of air cleaners are run at low speed, 50% at medium speed, and 20% at high speed.</w:t>
      </w:r>
    </w:p>
    <w:sectPr w:rsidR="004F6FCE" w:rsidRPr="00E17A7C" w:rsidSect="00183858">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B8502" w14:textId="77777777" w:rsidR="00364D49" w:rsidRDefault="00364D49" w:rsidP="00A2690C">
      <w:r>
        <w:separator/>
      </w:r>
    </w:p>
    <w:p w14:paraId="5A6A843A" w14:textId="77777777" w:rsidR="00364D49" w:rsidRDefault="00364D49"/>
  </w:endnote>
  <w:endnote w:type="continuationSeparator" w:id="0">
    <w:p w14:paraId="445D623E" w14:textId="77777777" w:rsidR="00364D49" w:rsidRDefault="00364D49" w:rsidP="00A2690C">
      <w:r>
        <w:continuationSeparator/>
      </w:r>
    </w:p>
    <w:p w14:paraId="4D8ECBB3" w14:textId="77777777" w:rsidR="00364D49" w:rsidRDefault="00364D49"/>
  </w:endnote>
  <w:endnote w:type="continuationNotice" w:id="1">
    <w:p w14:paraId="22CB4D6F" w14:textId="77777777" w:rsidR="00364D49" w:rsidRDefault="00364D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Regular">
    <w:altName w:val="Times New Roman"/>
    <w:charset w:val="00"/>
    <w:family w:val="auto"/>
    <w:pitch w:val="variable"/>
    <w:sig w:usb0="00000001" w:usb1="5000E0FB" w:usb2="00000000" w:usb3="00000000" w:csb0="0000019B" w:csb1="00000000"/>
  </w:font>
  <w:font w:name="MS PMincho">
    <w:panose1 w:val="02020600040205080304"/>
    <w:charset w:val="80"/>
    <w:family w:val="roman"/>
    <w:pitch w:val="variable"/>
    <w:sig w:usb0="E00002FF" w:usb1="6AC7FDFB" w:usb2="00000012" w:usb3="00000000" w:csb0="0002009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 w:name="Proxima Nova Semibold">
    <w:altName w:val="Candara"/>
    <w:charset w:val="00"/>
    <w:family w:val="auto"/>
    <w:pitch w:val="variable"/>
    <w:sig w:usb0="00000001" w:usb1="5000E0FB" w:usb2="00000000" w:usb3="00000000" w:csb0="0000019B" w:csb1="00000000"/>
  </w:font>
  <w:font w:name="Lucida Grande">
    <w:altName w:val="Arial"/>
    <w:charset w:val="00"/>
    <w:family w:val="auto"/>
    <w:pitch w:val="variable"/>
    <w:sig w:usb0="00000000" w:usb1="5000A1FF" w:usb2="00000000" w:usb3="00000000" w:csb0="000001BF" w:csb1="00000000"/>
  </w:font>
  <w:font w:name="Helvetica Light">
    <w:charset w:val="00"/>
    <w:family w:val="auto"/>
    <w:pitch w:val="variable"/>
    <w:sig w:usb0="800000AF" w:usb1="4000204A" w:usb2="00000000" w:usb3="00000000" w:csb0="00000001" w:csb1="00000000"/>
  </w:font>
  <w:font w:name="Proxima Nova">
    <w:altName w:val="Franklin Gothic Medium Cond"/>
    <w:charset w:val="00"/>
    <w:family w:val="auto"/>
    <w:pitch w:val="variable"/>
    <w:sig w:usb0="00000003" w:usb1="5000E0FB"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13D2E" w14:textId="77C53908" w:rsidR="00450FE0" w:rsidRPr="004C69F2" w:rsidRDefault="00450FE0" w:rsidP="00F44652">
    <w:pPr>
      <w:pStyle w:val="Footer"/>
      <w:pBdr>
        <w:top w:val="none" w:sz="0" w:space="0" w:color="auto"/>
      </w:pBdr>
      <w:tabs>
        <w:tab w:val="left" w:pos="900"/>
        <w:tab w:val="right" w:pos="9360"/>
      </w:tabs>
      <w:jc w:val="right"/>
      <w:rPr>
        <w:sz w:val="20"/>
        <w:szCs w:val="20"/>
      </w:rPr>
    </w:pPr>
    <w:r w:rsidRPr="004C69F2">
      <w:rPr>
        <w:rStyle w:val="PageNumber"/>
        <w:rFonts w:asciiTheme="minorHAnsi" w:hAnsiTheme="minorHAnsi"/>
      </w:rPr>
      <w:fldChar w:fldCharType="begin"/>
    </w:r>
    <w:r w:rsidRPr="004C69F2">
      <w:rPr>
        <w:rStyle w:val="PageNumber"/>
        <w:rFonts w:asciiTheme="minorHAnsi" w:hAnsiTheme="minorHAnsi"/>
      </w:rPr>
      <w:instrText xml:space="preserve"> PAGE </w:instrText>
    </w:r>
    <w:r w:rsidRPr="004C69F2">
      <w:rPr>
        <w:rStyle w:val="PageNumber"/>
        <w:rFonts w:asciiTheme="minorHAnsi" w:hAnsiTheme="minorHAnsi"/>
      </w:rPr>
      <w:fldChar w:fldCharType="separate"/>
    </w:r>
    <w:r w:rsidR="002271A4">
      <w:rPr>
        <w:rStyle w:val="PageNumber"/>
        <w:rFonts w:asciiTheme="minorHAnsi" w:hAnsiTheme="minorHAnsi"/>
        <w:noProof/>
      </w:rPr>
      <w:t>1</w:t>
    </w:r>
    <w:r w:rsidRPr="004C69F2">
      <w:rPr>
        <w:rStyle w:val="PageNumber"/>
        <w:rFonts w:asciiTheme="minorHAnsi" w:hAnsiTheme="minorHAnsi"/>
      </w:rPr>
      <w:fldChar w:fldCharType="end"/>
    </w:r>
    <w:r>
      <w:rPr>
        <w:rFonts w:asciiTheme="majorHAnsi" w:hAnsiTheme="majorHAnsi"/>
        <w:b/>
        <w:noProof/>
        <w:color w:val="D9D9D9" w:themeColor="background1" w:themeShade="D9"/>
        <w:sz w:val="18"/>
        <w:szCs w:val="18"/>
      </w:rPr>
      <w:drawing>
        <wp:anchor distT="0" distB="0" distL="114300" distR="114300" simplePos="0" relativeHeight="251745280" behindDoc="0" locked="0" layoutInCell="1" allowOverlap="1" wp14:anchorId="6124FF73" wp14:editId="6368D4A3">
          <wp:simplePos x="0" y="0"/>
          <wp:positionH relativeFrom="column">
            <wp:posOffset>2633345</wp:posOffset>
          </wp:positionH>
          <wp:positionV relativeFrom="page">
            <wp:posOffset>9399905</wp:posOffset>
          </wp:positionV>
          <wp:extent cx="685800" cy="30670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I_CMYK.emf"/>
                  <pic:cNvPicPr/>
                </pic:nvPicPr>
                <pic:blipFill>
                  <a:blip r:embed="rId1">
                    <a:extLst>
                      <a:ext uri="{28A0092B-C50C-407E-A947-70E740481C1C}">
                        <a14:useLocalDpi xmlns:a14="http://schemas.microsoft.com/office/drawing/2010/main" val="0"/>
                      </a:ext>
                    </a:extLst>
                  </a:blip>
                  <a:stretch>
                    <a:fillRect/>
                  </a:stretch>
                </pic:blipFill>
                <pic:spPr>
                  <a:xfrm>
                    <a:off x="0" y="0"/>
                    <a:ext cx="685800" cy="30670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C5A717" w14:textId="77777777" w:rsidR="00364D49" w:rsidRDefault="00364D49" w:rsidP="00A2690C">
      <w:r>
        <w:separator/>
      </w:r>
    </w:p>
    <w:p w14:paraId="64A7EAE8" w14:textId="77777777" w:rsidR="00364D49" w:rsidRDefault="00364D49"/>
  </w:footnote>
  <w:footnote w:type="continuationSeparator" w:id="0">
    <w:p w14:paraId="2267B711" w14:textId="77777777" w:rsidR="00364D49" w:rsidRDefault="00364D49" w:rsidP="00A2690C">
      <w:r>
        <w:continuationSeparator/>
      </w:r>
    </w:p>
    <w:p w14:paraId="7FE6BE52" w14:textId="77777777" w:rsidR="00364D49" w:rsidRDefault="00364D49"/>
  </w:footnote>
  <w:footnote w:type="continuationNotice" w:id="1">
    <w:p w14:paraId="3ADDA9B7" w14:textId="77777777" w:rsidR="00364D49" w:rsidRDefault="00364D49">
      <w:pPr>
        <w:spacing w:line="240" w:lineRule="auto"/>
      </w:pPr>
    </w:p>
  </w:footnote>
  <w:footnote w:id="2">
    <w:p w14:paraId="241DB89E" w14:textId="3884A6E2" w:rsidR="00450FE0" w:rsidRDefault="00450FE0">
      <w:pPr>
        <w:pStyle w:val="FootnoteText"/>
      </w:pPr>
      <w:r>
        <w:rPr>
          <w:rStyle w:val="FootnoteReference"/>
        </w:rPr>
        <w:footnoteRef/>
      </w:r>
      <w:r>
        <w:t xml:space="preserve"> In its disposition letter, the CPUC-ED also requested additional research on clothes dryers, </w:t>
      </w:r>
      <w:proofErr w:type="spellStart"/>
      <w:r>
        <w:t>soundbars</w:t>
      </w:r>
      <w:proofErr w:type="spellEnd"/>
      <w:r>
        <w:t>, and research into product-specific market barriers preventing increased adoption of RPP measures. This memo only covers air cleaner research.</w:t>
      </w:r>
    </w:p>
  </w:footnote>
  <w:footnote w:id="3">
    <w:p w14:paraId="796CE69C" w14:textId="77777777" w:rsidR="00450FE0" w:rsidRPr="00A50B23" w:rsidRDefault="00450FE0" w:rsidP="00C174BA">
      <w:pPr>
        <w:pStyle w:val="FootnoteText"/>
        <w:rPr>
          <w:i/>
          <w:iCs/>
        </w:rPr>
      </w:pPr>
      <w:r w:rsidRPr="00A50B23">
        <w:rPr>
          <w:rStyle w:val="FootnoteReference"/>
          <w:szCs w:val="18"/>
        </w:rPr>
        <w:footnoteRef/>
      </w:r>
      <w:r w:rsidRPr="00A50B23">
        <w:t xml:space="preserve"> Davis Energy Group and Energy Solutions. (2004). </w:t>
      </w:r>
      <w:r w:rsidRPr="00A50B23">
        <w:rPr>
          <w:i/>
          <w:iCs/>
        </w:rPr>
        <w:t xml:space="preserve">Draft Analysis of Standards Options For </w:t>
      </w:r>
    </w:p>
    <w:p w14:paraId="61D7F278" w14:textId="77777777" w:rsidR="00450FE0" w:rsidRPr="00A50B23" w:rsidRDefault="00450FE0" w:rsidP="00C174BA">
      <w:pPr>
        <w:pStyle w:val="FootnoteText"/>
      </w:pPr>
      <w:r w:rsidRPr="00A50B23">
        <w:rPr>
          <w:i/>
          <w:iCs/>
        </w:rPr>
        <w:t xml:space="preserve">Portable Room Air Cleaners. </w:t>
      </w:r>
      <w:r w:rsidRPr="00A50B23">
        <w:t xml:space="preserve">Retrieved May 5, 2015, from California Energy Commission: </w:t>
      </w:r>
    </w:p>
    <w:p w14:paraId="347DD2EA" w14:textId="2FEED731" w:rsidR="00450FE0" w:rsidRPr="00E04366" w:rsidRDefault="00450FE0" w:rsidP="00C174BA">
      <w:pPr>
        <w:pStyle w:val="FootnoteText"/>
        <w:rPr>
          <w:rStyle w:val="Hyperlink"/>
          <w:color w:val="F19F2A" w:themeColor="accent5"/>
        </w:rPr>
      </w:pPr>
      <w:r w:rsidRPr="00E04366">
        <w:rPr>
          <w:color w:val="F19F2A" w:themeColor="accent5"/>
        </w:rPr>
        <w:fldChar w:fldCharType="begin"/>
      </w:r>
      <w:r w:rsidRPr="00E04366">
        <w:rPr>
          <w:color w:val="F19F2A" w:themeColor="accent5"/>
        </w:rPr>
        <w:instrText xml:space="preserve"> HYPERLINK "http://www.energy.ca.gov/appliances/2003rulemaking/documents/case_studies/CASE_Port_Ro om_Air_Cleaner.pdf" </w:instrText>
      </w:r>
      <w:r w:rsidRPr="00E04366">
        <w:rPr>
          <w:color w:val="F19F2A" w:themeColor="accent5"/>
        </w:rPr>
        <w:fldChar w:fldCharType="separate"/>
      </w:r>
      <w:r w:rsidRPr="00E04366">
        <w:rPr>
          <w:rStyle w:val="Hyperlink"/>
          <w:color w:val="F19F2A" w:themeColor="accent5"/>
        </w:rPr>
        <w:t>http://www.energy.ca.gov/appliances/2003rulemaking/documents/case_studies/CASE_Port_Ro</w:t>
      </w:r>
    </w:p>
    <w:p w14:paraId="5A11355F" w14:textId="604022E1" w:rsidR="00450FE0" w:rsidRPr="00A50B23" w:rsidRDefault="00450FE0" w:rsidP="00C174BA">
      <w:pPr>
        <w:pStyle w:val="FootnoteText"/>
      </w:pPr>
      <w:r w:rsidRPr="00E04366">
        <w:rPr>
          <w:rStyle w:val="Hyperlink"/>
          <w:color w:val="F19F2A" w:themeColor="accent5"/>
        </w:rPr>
        <w:t>om_Air_Cleaner.pdf</w:t>
      </w:r>
      <w:r w:rsidRPr="00E04366">
        <w:rPr>
          <w:color w:val="F19F2A" w:themeColor="accent5"/>
        </w:rPr>
        <w:fldChar w:fldCharType="end"/>
      </w:r>
      <w:hyperlink r:id="rId1" w:history="1">
        <w:r w:rsidRPr="000F78AB">
          <w:rPr>
            <w:rStyle w:val="Hyperlink"/>
          </w:rPr>
          <w:t>http://www.energy.ca.gov/appliances/2003rulemaking/documents/case_studies/CASE_Port_Room_Air_Cleaner.pdf</w:t>
        </w:r>
      </w:hyperlink>
    </w:p>
  </w:footnote>
  <w:footnote w:id="4">
    <w:p w14:paraId="61395999" w14:textId="77777777" w:rsidR="00450FE0" w:rsidRPr="00A50B23" w:rsidRDefault="00450FE0" w:rsidP="00C174BA">
      <w:pPr>
        <w:pStyle w:val="FootnoteText"/>
      </w:pPr>
      <w:r w:rsidRPr="00A50B23">
        <w:rPr>
          <w:rStyle w:val="FootnoteReference"/>
          <w:szCs w:val="18"/>
        </w:rPr>
        <w:footnoteRef/>
      </w:r>
      <w:r w:rsidRPr="00A50B23">
        <w:t xml:space="preserve"> Morris, W. (2004). Report to California Energy Commission: Analysis of Energy Efficiency of </w:t>
      </w:r>
    </w:p>
    <w:p w14:paraId="702F257C" w14:textId="77777777" w:rsidR="00450FE0" w:rsidRPr="00A50B23" w:rsidRDefault="00450FE0" w:rsidP="00C174BA">
      <w:pPr>
        <w:pStyle w:val="FootnoteText"/>
      </w:pPr>
      <w:r w:rsidRPr="00A50B23">
        <w:t>Room Air Cleaners. Retrieved May 5, 2015, from California Energy Commission:</w:t>
      </w:r>
    </w:p>
    <w:p w14:paraId="5BBDFD42" w14:textId="25638A01" w:rsidR="00450FE0" w:rsidRPr="00A50B23" w:rsidRDefault="002271A4" w:rsidP="00C174BA">
      <w:pPr>
        <w:pStyle w:val="FootnoteText"/>
      </w:pPr>
      <w:hyperlink r:id="rId2" w:history="1">
        <w:r w:rsidR="00450FE0" w:rsidRPr="00E04366">
          <w:rPr>
            <w:rStyle w:val="Hyperlink"/>
            <w:color w:val="F19F2A" w:themeColor="accent5"/>
          </w:rPr>
          <w:t>http://www.energy.ca.gov/appliances/2003rulemaking/documents/public_comments/2004-8-13_AHAM.PDF</w:t>
        </w:r>
      </w:hyperlink>
    </w:p>
  </w:footnote>
  <w:footnote w:id="5">
    <w:p w14:paraId="22A9A685" w14:textId="77777777" w:rsidR="00450FE0" w:rsidRPr="00A50B23" w:rsidRDefault="00450FE0" w:rsidP="00C174BA">
      <w:pPr>
        <w:pStyle w:val="FootnoteText"/>
        <w:rPr>
          <w:i/>
          <w:iCs/>
        </w:rPr>
      </w:pPr>
      <w:r w:rsidRPr="00A50B23">
        <w:rPr>
          <w:rStyle w:val="FootnoteReference"/>
          <w:szCs w:val="18"/>
        </w:rPr>
        <w:footnoteRef/>
      </w:r>
      <w:r w:rsidRPr="00A50B23">
        <w:t xml:space="preserve"> </w:t>
      </w:r>
      <w:proofErr w:type="spellStart"/>
      <w:r w:rsidRPr="00A50B23">
        <w:t>Bensch</w:t>
      </w:r>
      <w:proofErr w:type="spellEnd"/>
      <w:r w:rsidRPr="00A50B23">
        <w:t>, I.</w:t>
      </w:r>
      <w:proofErr w:type="gramStart"/>
      <w:r w:rsidRPr="00A50B23">
        <w:t>,</w:t>
      </w:r>
      <w:proofErr w:type="spellStart"/>
      <w:r w:rsidRPr="00A50B23">
        <w:t>Pigg</w:t>
      </w:r>
      <w:proofErr w:type="spellEnd"/>
      <w:proofErr w:type="gramEnd"/>
      <w:r w:rsidRPr="00A50B23">
        <w:t xml:space="preserve">, S., </w:t>
      </w:r>
      <w:proofErr w:type="spellStart"/>
      <w:r w:rsidRPr="00A50B23">
        <w:t>Koski</w:t>
      </w:r>
      <w:proofErr w:type="spellEnd"/>
      <w:r w:rsidRPr="00A50B23">
        <w:t xml:space="preserve">, K., &amp; </w:t>
      </w:r>
      <w:proofErr w:type="spellStart"/>
      <w:r w:rsidRPr="00A50B23">
        <w:t>Belshe</w:t>
      </w:r>
      <w:proofErr w:type="spellEnd"/>
      <w:r w:rsidRPr="00A50B23">
        <w:t xml:space="preserve">, R. (2010). </w:t>
      </w:r>
      <w:r w:rsidRPr="00A50B23">
        <w:rPr>
          <w:i/>
          <w:iCs/>
        </w:rPr>
        <w:t xml:space="preserve">Electricity Savings Opportunities for Home </w:t>
      </w:r>
    </w:p>
    <w:p w14:paraId="6165F21D" w14:textId="77777777" w:rsidR="00450FE0" w:rsidRPr="00A50B23" w:rsidRDefault="00450FE0" w:rsidP="00C174BA">
      <w:pPr>
        <w:pStyle w:val="FootnoteText"/>
      </w:pPr>
      <w:r w:rsidRPr="00A50B23">
        <w:rPr>
          <w:i/>
          <w:iCs/>
        </w:rPr>
        <w:t xml:space="preserve">Electronics and Other Plug-In Devices in Minnesota Homes. </w:t>
      </w:r>
      <w:r w:rsidRPr="00A50B23">
        <w:t xml:space="preserve">Retrieved from Energy Center of </w:t>
      </w:r>
    </w:p>
    <w:p w14:paraId="1F062C69" w14:textId="0B91AE66" w:rsidR="00450FE0" w:rsidRDefault="00450FE0" w:rsidP="00C174BA">
      <w:pPr>
        <w:pStyle w:val="FootnoteText"/>
      </w:pPr>
      <w:r w:rsidRPr="00A50B23">
        <w:t xml:space="preserve">Wisconsin: </w:t>
      </w:r>
      <w:hyperlink r:id="rId3" w:history="1">
        <w:r w:rsidRPr="00E04366">
          <w:rPr>
            <w:rStyle w:val="Hyperlink"/>
            <w:color w:val="F19F2A" w:themeColor="accent5"/>
          </w:rPr>
          <w:t>http://www.ecw.org/resource_detail.php?resultid=430</w:t>
        </w:r>
      </w:hyperlink>
    </w:p>
  </w:footnote>
  <w:footnote w:id="6">
    <w:p w14:paraId="390EE218" w14:textId="5A7919DA" w:rsidR="00450FE0" w:rsidRDefault="00450FE0" w:rsidP="00713FAD">
      <w:pPr>
        <w:pStyle w:val="FootnoteText"/>
      </w:pPr>
      <w:r>
        <w:rPr>
          <w:rStyle w:val="FootnoteReference"/>
        </w:rPr>
        <w:footnoteRef/>
      </w:r>
      <w:r>
        <w:t xml:space="preserve"> We relied on a different, more precise approach to computing HOU than did the 2004 AHAM report. If we had followed the same approach used in that earlier study, the data in this current study would have yielded a slightly higher HOU value of 3,876.3.</w:t>
      </w:r>
    </w:p>
  </w:footnote>
  <w:footnote w:id="7">
    <w:p w14:paraId="0B047FE6" w14:textId="77777777" w:rsidR="00450FE0" w:rsidRPr="00E04366" w:rsidRDefault="00450FE0" w:rsidP="00713FAD">
      <w:pPr>
        <w:pStyle w:val="FootnoteText"/>
        <w:rPr>
          <w:color w:val="FF6D2E" w:themeColor="accent1"/>
        </w:rPr>
      </w:pPr>
      <w:r>
        <w:rPr>
          <w:rStyle w:val="FootnoteReference"/>
        </w:rPr>
        <w:footnoteRef/>
      </w:r>
      <w:r>
        <w:t xml:space="preserve"> Available here: </w:t>
      </w:r>
      <w:hyperlink r:id="rId4" w:history="1">
        <w:r w:rsidRPr="00E04366">
          <w:rPr>
            <w:rStyle w:val="Hyperlink"/>
            <w:color w:val="F19F2A" w:themeColor="accent5"/>
          </w:rPr>
          <w:t>https://www.google.com/url?sa=t&amp;rct=j&amp;q=&amp;esrc=s&amp;source=web&amp;cd=1&amp;ved=0ahUKEwiUqdumjp_QAhVB0WMKHS_GB8QQFggdMAA&amp;url=https%3A%2F%2Fwww.energystar.gov%2Fsites%2Fdefault%2Ffiles%2Fasset%2Fdocument%2Fappliance_calculator.xlsx&amp;usg=AFQjCNFAy5-mu5GR3BjLp4MR1LqrOHegCA&amp;sig2=Jo5zpqOmtzEgwd_Q5iESIA</w:t>
        </w:r>
      </w:hyperlink>
      <w:r w:rsidRPr="00E04366">
        <w:rPr>
          <w:color w:val="F19F2A" w:themeColor="accent5"/>
        </w:rPr>
        <w:t xml:space="preserve">  </w:t>
      </w:r>
    </w:p>
  </w:footnote>
  <w:footnote w:id="8">
    <w:p w14:paraId="46AB517A" w14:textId="77777777" w:rsidR="00450FE0" w:rsidRDefault="00450FE0" w:rsidP="00713FAD">
      <w:pPr>
        <w:pStyle w:val="FootnoteText"/>
      </w:pPr>
      <w:r>
        <w:rPr>
          <w:rStyle w:val="FootnoteReference"/>
        </w:rPr>
        <w:footnoteRef/>
      </w:r>
      <w:r>
        <w:t xml:space="preserve"> </w:t>
      </w:r>
      <w:hyperlink r:id="rId5" w:history="1">
        <w:r w:rsidRPr="00E04366">
          <w:rPr>
            <w:rStyle w:val="Hyperlink"/>
            <w:color w:val="F19F2A" w:themeColor="accent5"/>
          </w:rPr>
          <w:t>http://www.energy.ca.gov/appliances/2003rulemaking/documents/case_studies/CASE_Port_Room_Air_Cleaner.pdf</w:t>
        </w:r>
      </w:hyperlink>
      <w:r w:rsidRPr="00E04366">
        <w:rPr>
          <w:color w:val="F19F2A" w:themeColor="accent5"/>
        </w:rPr>
        <w:t xml:space="preserve"> </w:t>
      </w:r>
    </w:p>
  </w:footnote>
  <w:footnote w:id="9">
    <w:p w14:paraId="356194A1" w14:textId="77777777" w:rsidR="00450FE0" w:rsidRDefault="00450FE0" w:rsidP="00713FAD">
      <w:pPr>
        <w:pStyle w:val="FootnoteText"/>
      </w:pPr>
      <w:r>
        <w:rPr>
          <w:rStyle w:val="FootnoteReference"/>
        </w:rPr>
        <w:footnoteRef/>
      </w:r>
      <w:r>
        <w:t xml:space="preserve"> </w:t>
      </w:r>
      <w:hyperlink r:id="rId6" w:history="1">
        <w:r w:rsidRPr="00E04366">
          <w:rPr>
            <w:rStyle w:val="Hyperlink"/>
            <w:color w:val="F19F2A" w:themeColor="accent5"/>
          </w:rPr>
          <w:t>http://www.energy.ca.gov/appliances/2003rulemaking/documents/case_studies/CASE_Port_Room_Air_Cleaner.pdf</w:t>
        </w:r>
      </w:hyperlink>
      <w:r w:rsidRPr="00E04366">
        <w:rPr>
          <w:color w:val="F19F2A" w:themeColor="accent5"/>
        </w:rPr>
        <w:t xml:space="preserve"> </w:t>
      </w:r>
    </w:p>
  </w:footnote>
  <w:footnote w:id="10">
    <w:p w14:paraId="436402BE" w14:textId="12878F54" w:rsidR="00450FE0" w:rsidRDefault="00450FE0">
      <w:pPr>
        <w:pStyle w:val="FootnoteText"/>
      </w:pPr>
      <w:r>
        <w:rPr>
          <w:rStyle w:val="FootnoteReference"/>
        </w:rPr>
        <w:footnoteRef/>
      </w:r>
      <w:r>
        <w:t xml:space="preserve"> As detailed below, we obtained 693 completed survey responses, thus exceeding the 90/10 confidence/precision target.</w:t>
      </w:r>
    </w:p>
  </w:footnote>
  <w:footnote w:id="11">
    <w:p w14:paraId="5FFCE3E5" w14:textId="316B1B94" w:rsidR="00450FE0" w:rsidRDefault="00450FE0">
      <w:pPr>
        <w:pStyle w:val="FootnoteText"/>
      </w:pPr>
      <w:r>
        <w:rPr>
          <w:rStyle w:val="FootnoteReference"/>
        </w:rPr>
        <w:footnoteRef/>
      </w:r>
      <w:r>
        <w:t xml:space="preserve"> The research team did not find any statistically significant differences in HOU or CDF based on California climate zone using a </w:t>
      </w:r>
      <w:proofErr w:type="spellStart"/>
      <w:r>
        <w:t>Kruskal</w:t>
      </w:r>
      <w:proofErr w:type="spellEnd"/>
      <w:r>
        <w:t>-Wallis test.</w:t>
      </w:r>
    </w:p>
  </w:footnote>
  <w:footnote w:id="12">
    <w:p w14:paraId="1080E693" w14:textId="43417F91" w:rsidR="00450FE0" w:rsidRDefault="00450FE0">
      <w:pPr>
        <w:pStyle w:val="FootnoteText"/>
      </w:pPr>
      <w:r>
        <w:rPr>
          <w:rStyle w:val="FootnoteReference"/>
        </w:rPr>
        <w:footnoteRef/>
      </w:r>
      <w:r>
        <w:t xml:space="preserve"> Differences between months were not significant using a one-sample chi-square test, p &gt; .05.</w:t>
      </w:r>
    </w:p>
  </w:footnote>
  <w:footnote w:id="13">
    <w:p w14:paraId="088BD217" w14:textId="3F41D856" w:rsidR="00450FE0" w:rsidRDefault="00450FE0" w:rsidP="001F4DDD">
      <w:pPr>
        <w:pStyle w:val="FootnoteText"/>
      </w:pPr>
      <w:r>
        <w:rPr>
          <w:rStyle w:val="FootnoteReference"/>
        </w:rPr>
        <w:footnoteRef/>
      </w:r>
      <w:r>
        <w:t xml:space="preserve"> Differences were not significant between groups using a Pearson’s chi-square test, p &gt; .05.</w:t>
      </w:r>
    </w:p>
  </w:footnote>
  <w:footnote w:id="14">
    <w:p w14:paraId="352217A2" w14:textId="540B6BAA" w:rsidR="00450FE0" w:rsidRDefault="00450FE0">
      <w:pPr>
        <w:pStyle w:val="FootnoteText"/>
      </w:pPr>
      <w:r>
        <w:rPr>
          <w:rStyle w:val="FootnoteReference"/>
        </w:rPr>
        <w:footnoteRef/>
      </w:r>
      <w:r>
        <w:t xml:space="preserve"> The AHAM report only reported percentages and did not report n-values.</w:t>
      </w:r>
    </w:p>
  </w:footnote>
  <w:footnote w:id="15">
    <w:p w14:paraId="0F1CB334" w14:textId="2B4A892B" w:rsidR="00450FE0" w:rsidRDefault="00450FE0" w:rsidP="009C2C06">
      <w:pPr>
        <w:pStyle w:val="FootnoteText"/>
      </w:pPr>
      <w:r>
        <w:rPr>
          <w:rStyle w:val="FootnoteReference"/>
        </w:rPr>
        <w:footnoteRef/>
      </w:r>
      <w:r>
        <w:t xml:space="preserve"> Note the level of detail provided in the AHAM report does not provide any insight into why the values shown in the table do not sum to 100%. The AHAM report did not report daily usage by weekday vs. weekend.</w:t>
      </w:r>
    </w:p>
  </w:footnote>
  <w:footnote w:id="16">
    <w:p w14:paraId="0703004C" w14:textId="17ABC32D" w:rsidR="00450FE0" w:rsidRDefault="00450FE0" w:rsidP="00A839A6">
      <w:pPr>
        <w:pStyle w:val="FootnoteText"/>
      </w:pPr>
      <w:r>
        <w:rPr>
          <w:rStyle w:val="FootnoteReference"/>
        </w:rPr>
        <w:footnoteRef/>
      </w:r>
      <w:r>
        <w:t xml:space="preserve"> Ibid.</w:t>
      </w:r>
    </w:p>
  </w:footnote>
  <w:footnote w:id="17">
    <w:p w14:paraId="65705B68" w14:textId="62BFAD3A" w:rsidR="00450FE0" w:rsidRDefault="00450FE0">
      <w:pPr>
        <w:pStyle w:val="FootnoteText"/>
      </w:pPr>
      <w:r>
        <w:rPr>
          <w:rStyle w:val="FootnoteReference"/>
        </w:rPr>
        <w:footnoteRef/>
      </w:r>
      <w:r>
        <w:t xml:space="preserve"> Differences between days were not significant using a one-sample chi-square test, p &gt; .05.</w:t>
      </w:r>
    </w:p>
  </w:footnote>
  <w:footnote w:id="18">
    <w:p w14:paraId="624427C9" w14:textId="0B518375" w:rsidR="00450FE0" w:rsidRDefault="00450FE0">
      <w:pPr>
        <w:pStyle w:val="FootnoteText"/>
      </w:pPr>
      <w:r>
        <w:rPr>
          <w:rStyle w:val="FootnoteReference"/>
        </w:rPr>
        <w:footnoteRef/>
      </w:r>
      <w:r>
        <w:t xml:space="preserve"> This question was only asked of the 579 respondents who reported using their air cleaner during July, August, and/or September. Of these 579 respondents, only 39 indicated they did not know the answer. The 114 respondents who did not report using their air cleaners at all during the months of July-September were assigned a CDF of zero. This resulted in a total valid sample of 654 respondents.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93CAE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7507F3A"/>
    <w:lvl w:ilvl="0">
      <w:start w:val="1"/>
      <w:numFmt w:val="decimal"/>
      <w:lvlText w:val="%1."/>
      <w:lvlJc w:val="left"/>
      <w:pPr>
        <w:tabs>
          <w:tab w:val="num" w:pos="1800"/>
        </w:tabs>
        <w:ind w:left="1800" w:hanging="360"/>
      </w:pPr>
    </w:lvl>
  </w:abstractNum>
  <w:abstractNum w:abstractNumId="2">
    <w:nsid w:val="FFFFFF7D"/>
    <w:multiLevelType w:val="singleLevel"/>
    <w:tmpl w:val="5718B538"/>
    <w:lvl w:ilvl="0">
      <w:start w:val="1"/>
      <w:numFmt w:val="decimal"/>
      <w:lvlText w:val="%1."/>
      <w:lvlJc w:val="left"/>
      <w:pPr>
        <w:tabs>
          <w:tab w:val="num" w:pos="1440"/>
        </w:tabs>
        <w:ind w:left="1440" w:hanging="360"/>
      </w:pPr>
    </w:lvl>
  </w:abstractNum>
  <w:abstractNum w:abstractNumId="3">
    <w:nsid w:val="FFFFFF7E"/>
    <w:multiLevelType w:val="singleLevel"/>
    <w:tmpl w:val="8D4ADCAC"/>
    <w:lvl w:ilvl="0">
      <w:start w:val="1"/>
      <w:numFmt w:val="decimal"/>
      <w:lvlText w:val="%1."/>
      <w:lvlJc w:val="left"/>
      <w:pPr>
        <w:tabs>
          <w:tab w:val="num" w:pos="1080"/>
        </w:tabs>
        <w:ind w:left="1080" w:hanging="360"/>
      </w:pPr>
    </w:lvl>
  </w:abstractNum>
  <w:abstractNum w:abstractNumId="4">
    <w:nsid w:val="FFFFFF7F"/>
    <w:multiLevelType w:val="singleLevel"/>
    <w:tmpl w:val="B88AFA0E"/>
    <w:lvl w:ilvl="0">
      <w:start w:val="1"/>
      <w:numFmt w:val="decimal"/>
      <w:lvlText w:val="%1."/>
      <w:lvlJc w:val="left"/>
      <w:pPr>
        <w:tabs>
          <w:tab w:val="num" w:pos="720"/>
        </w:tabs>
        <w:ind w:left="720" w:hanging="360"/>
      </w:pPr>
    </w:lvl>
  </w:abstractNum>
  <w:abstractNum w:abstractNumId="5">
    <w:nsid w:val="FFFFFF80"/>
    <w:multiLevelType w:val="singleLevel"/>
    <w:tmpl w:val="AE56875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0C0D572"/>
    <w:lvl w:ilvl="0">
      <w:start w:val="1"/>
      <w:numFmt w:val="bullet"/>
      <w:lvlText w:val=""/>
      <w:lvlJc w:val="left"/>
      <w:pPr>
        <w:tabs>
          <w:tab w:val="num" w:pos="1440"/>
        </w:tabs>
        <w:ind w:left="1440" w:hanging="360"/>
      </w:pPr>
      <w:rPr>
        <w:rFonts w:ascii="Symbol" w:hAnsi="Symbol" w:hint="default"/>
      </w:rPr>
    </w:lvl>
  </w:abstractNum>
  <w:abstractNum w:abstractNumId="7">
    <w:nsid w:val="FFFFFF83"/>
    <w:multiLevelType w:val="singleLevel"/>
    <w:tmpl w:val="3522C57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982201C"/>
    <w:lvl w:ilvl="0">
      <w:start w:val="1"/>
      <w:numFmt w:val="decimal"/>
      <w:lvlText w:val="%1."/>
      <w:lvlJc w:val="left"/>
      <w:pPr>
        <w:tabs>
          <w:tab w:val="num" w:pos="360"/>
        </w:tabs>
        <w:ind w:left="360" w:hanging="360"/>
      </w:pPr>
    </w:lvl>
  </w:abstractNum>
  <w:abstractNum w:abstractNumId="9">
    <w:nsid w:val="FFFFFF89"/>
    <w:multiLevelType w:val="singleLevel"/>
    <w:tmpl w:val="77405358"/>
    <w:lvl w:ilvl="0">
      <w:start w:val="1"/>
      <w:numFmt w:val="bullet"/>
      <w:lvlText w:val=""/>
      <w:lvlJc w:val="left"/>
      <w:pPr>
        <w:tabs>
          <w:tab w:val="num" w:pos="360"/>
        </w:tabs>
        <w:ind w:left="360" w:hanging="360"/>
      </w:pPr>
      <w:rPr>
        <w:rFonts w:ascii="Symbol" w:hAnsi="Symbol" w:hint="default"/>
      </w:rPr>
    </w:lvl>
  </w:abstractNum>
  <w:abstractNum w:abstractNumId="10">
    <w:nsid w:val="00113401"/>
    <w:multiLevelType w:val="hybridMultilevel"/>
    <w:tmpl w:val="76900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4D75F8A"/>
    <w:multiLevelType w:val="multilevel"/>
    <w:tmpl w:val="CABE79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6064F4F"/>
    <w:multiLevelType w:val="multilevel"/>
    <w:tmpl w:val="E1E82E7E"/>
    <w:name w:val="EMIBULLET32"/>
    <w:numStyleLink w:val="EMIBullets"/>
  </w:abstractNum>
  <w:abstractNum w:abstractNumId="13">
    <w:nsid w:val="065059E0"/>
    <w:multiLevelType w:val="hybridMultilevel"/>
    <w:tmpl w:val="5D7E250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0C0127C2"/>
    <w:multiLevelType w:val="multilevel"/>
    <w:tmpl w:val="E1E82E7E"/>
    <w:numStyleLink w:val="EMIBullets"/>
  </w:abstractNum>
  <w:abstractNum w:abstractNumId="15">
    <w:nsid w:val="0C223790"/>
    <w:multiLevelType w:val="multilevel"/>
    <w:tmpl w:val="A7DC1E34"/>
    <w:styleLink w:val="EMINumbers"/>
    <w:lvl w:ilvl="0">
      <w:start w:val="1"/>
      <w:numFmt w:val="decimal"/>
      <w:pStyle w:val="Heading1"/>
      <w:lvlText w:val="%1."/>
      <w:lvlJc w:val="left"/>
      <w:pPr>
        <w:tabs>
          <w:tab w:val="num" w:pos="504"/>
        </w:tabs>
        <w:ind w:left="504" w:hanging="504"/>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6">
    <w:nsid w:val="0ED819C6"/>
    <w:multiLevelType w:val="multilevel"/>
    <w:tmpl w:val="E1E82E7E"/>
    <w:styleLink w:val="EMIBullets"/>
    <w:lvl w:ilvl="0">
      <w:start w:val="1"/>
      <w:numFmt w:val="bullet"/>
      <w:pStyle w:val="EMIBulletSpacingL1"/>
      <w:lvlText w:val=""/>
      <w:lvlJc w:val="left"/>
      <w:pPr>
        <w:tabs>
          <w:tab w:val="num" w:pos="792"/>
        </w:tabs>
        <w:ind w:left="792" w:hanging="288"/>
      </w:pPr>
      <w:rPr>
        <w:rFonts w:ascii="Symbol" w:hAnsi="Symbol" w:hint="default"/>
        <w:color w:val="696969" w:themeColor="text1" w:themeTint="A6"/>
      </w:rPr>
    </w:lvl>
    <w:lvl w:ilvl="1">
      <w:start w:val="1"/>
      <w:numFmt w:val="bullet"/>
      <w:pStyle w:val="EMIBulletSpacingL2"/>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0F3B056A"/>
    <w:multiLevelType w:val="multilevel"/>
    <w:tmpl w:val="E1E82E7E"/>
    <w:numStyleLink w:val="EMIBullets"/>
  </w:abstractNum>
  <w:abstractNum w:abstractNumId="18">
    <w:nsid w:val="12743089"/>
    <w:multiLevelType w:val="multilevel"/>
    <w:tmpl w:val="E1E82E7E"/>
    <w:numStyleLink w:val="EMIBullets"/>
  </w:abstractNum>
  <w:abstractNum w:abstractNumId="19">
    <w:nsid w:val="12C36827"/>
    <w:multiLevelType w:val="multilevel"/>
    <w:tmpl w:val="A7DC1E34"/>
    <w:numStyleLink w:val="EMINumbers"/>
  </w:abstractNum>
  <w:abstractNum w:abstractNumId="20">
    <w:nsid w:val="17D03DFA"/>
    <w:multiLevelType w:val="hybridMultilevel"/>
    <w:tmpl w:val="D88E5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2305CD"/>
    <w:multiLevelType w:val="hybridMultilevel"/>
    <w:tmpl w:val="6F84AB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EDD2BB1"/>
    <w:multiLevelType w:val="hybridMultilevel"/>
    <w:tmpl w:val="6570F2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02E4F59"/>
    <w:multiLevelType w:val="multilevel"/>
    <w:tmpl w:val="25189148"/>
    <w:numStyleLink w:val="AppendixNumbering"/>
  </w:abstractNum>
  <w:abstractNum w:abstractNumId="24">
    <w:nsid w:val="20E51E8B"/>
    <w:multiLevelType w:val="multilevel"/>
    <w:tmpl w:val="8F8C97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236B7429"/>
    <w:multiLevelType w:val="hybridMultilevel"/>
    <w:tmpl w:val="23E80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9E624A4"/>
    <w:multiLevelType w:val="multilevel"/>
    <w:tmpl w:val="E1E82E7E"/>
    <w:numStyleLink w:val="EMIBullets"/>
  </w:abstractNum>
  <w:abstractNum w:abstractNumId="27">
    <w:nsid w:val="2A2B7824"/>
    <w:multiLevelType w:val="multilevel"/>
    <w:tmpl w:val="E1E82E7E"/>
    <w:numStyleLink w:val="EMIBullets"/>
  </w:abstractNum>
  <w:abstractNum w:abstractNumId="28">
    <w:nsid w:val="2F05222A"/>
    <w:multiLevelType w:val="hybridMultilevel"/>
    <w:tmpl w:val="ADD44D0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17A4353"/>
    <w:multiLevelType w:val="hybridMultilevel"/>
    <w:tmpl w:val="C1B4A3A6"/>
    <w:lvl w:ilvl="0" w:tplc="C1267D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673717"/>
    <w:multiLevelType w:val="multilevel"/>
    <w:tmpl w:val="25189148"/>
    <w:styleLink w:val="AppendixNumbering"/>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1">
    <w:nsid w:val="3925037D"/>
    <w:multiLevelType w:val="multilevel"/>
    <w:tmpl w:val="E1E82E7E"/>
    <w:numStyleLink w:val="EMIBullets"/>
  </w:abstractNum>
  <w:abstractNum w:abstractNumId="32">
    <w:nsid w:val="44344A95"/>
    <w:multiLevelType w:val="multilevel"/>
    <w:tmpl w:val="25189148"/>
    <w:numStyleLink w:val="AppendixNumbering"/>
  </w:abstractNum>
  <w:abstractNum w:abstractNumId="33">
    <w:nsid w:val="46380444"/>
    <w:multiLevelType w:val="multilevel"/>
    <w:tmpl w:val="33021C06"/>
    <w:styleLink w:val="EMINumberedList"/>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47AE31F3"/>
    <w:multiLevelType w:val="multilevel"/>
    <w:tmpl w:val="AD508350"/>
    <w:numStyleLink w:val="EMITableFootnoteList"/>
  </w:abstractNum>
  <w:abstractNum w:abstractNumId="35">
    <w:nsid w:val="48941121"/>
    <w:multiLevelType w:val="multilevel"/>
    <w:tmpl w:val="E1E82E7E"/>
    <w:numStyleLink w:val="EMIBullets"/>
  </w:abstractNum>
  <w:abstractNum w:abstractNumId="36">
    <w:nsid w:val="4A0575AB"/>
    <w:multiLevelType w:val="multilevel"/>
    <w:tmpl w:val="25189148"/>
    <w:numStyleLink w:val="AppendixNumbering"/>
  </w:abstractNum>
  <w:abstractNum w:abstractNumId="37">
    <w:nsid w:val="4F8562A0"/>
    <w:multiLevelType w:val="multilevel"/>
    <w:tmpl w:val="E1E82E7E"/>
    <w:numStyleLink w:val="EMIBullets"/>
  </w:abstractNum>
  <w:abstractNum w:abstractNumId="38">
    <w:nsid w:val="5555661F"/>
    <w:multiLevelType w:val="multilevel"/>
    <w:tmpl w:val="AD508350"/>
    <w:styleLink w:val="EMITableFootnoteList"/>
    <w:lvl w:ilvl="0">
      <w:start w:val="1"/>
      <w:numFmt w:val="lowerLetter"/>
      <w:lvlText w:val="%1."/>
      <w:lvlJc w:val="left"/>
      <w:pPr>
        <w:tabs>
          <w:tab w:val="num" w:pos="259"/>
        </w:tabs>
        <w:ind w:left="259" w:hanging="23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59474F09"/>
    <w:multiLevelType w:val="multilevel"/>
    <w:tmpl w:val="E1E82E7E"/>
    <w:numStyleLink w:val="EMIBullets"/>
  </w:abstractNum>
  <w:abstractNum w:abstractNumId="40">
    <w:nsid w:val="5CBC6ED7"/>
    <w:multiLevelType w:val="multilevel"/>
    <w:tmpl w:val="25189148"/>
    <w:numStyleLink w:val="AppendixNumbering"/>
  </w:abstractNum>
  <w:abstractNum w:abstractNumId="41">
    <w:nsid w:val="5F1200EE"/>
    <w:multiLevelType w:val="multilevel"/>
    <w:tmpl w:val="E1E82E7E"/>
    <w:numStyleLink w:val="EMIBullets"/>
  </w:abstractNum>
  <w:abstractNum w:abstractNumId="42">
    <w:nsid w:val="60BC5D72"/>
    <w:multiLevelType w:val="multilevel"/>
    <w:tmpl w:val="33021C06"/>
    <w:numStyleLink w:val="EMINumberedList"/>
  </w:abstractNum>
  <w:abstractNum w:abstractNumId="43">
    <w:nsid w:val="61AB1F33"/>
    <w:multiLevelType w:val="multilevel"/>
    <w:tmpl w:val="25189148"/>
    <w:numStyleLink w:val="AppendixNumbering"/>
  </w:abstractNum>
  <w:abstractNum w:abstractNumId="44">
    <w:nsid w:val="642640CF"/>
    <w:multiLevelType w:val="multilevel"/>
    <w:tmpl w:val="E1E82E7E"/>
    <w:numStyleLink w:val="EMIBullets"/>
  </w:abstractNum>
  <w:abstractNum w:abstractNumId="45">
    <w:nsid w:val="671C647C"/>
    <w:multiLevelType w:val="multilevel"/>
    <w:tmpl w:val="23E8F3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nsid w:val="6C501570"/>
    <w:multiLevelType w:val="multilevel"/>
    <w:tmpl w:val="45982E3A"/>
    <w:lvl w:ilvl="0">
      <w:start w:val="1"/>
      <w:numFmt w:val="bullet"/>
      <w:lvlText w:val=""/>
      <w:lvlJc w:val="left"/>
      <w:pPr>
        <w:tabs>
          <w:tab w:val="num" w:pos="792"/>
        </w:tabs>
        <w:ind w:left="792" w:hanging="288"/>
      </w:pPr>
      <w:rPr>
        <w:rFonts w:ascii="Symbol" w:hAnsi="Symbol" w:hint="default"/>
        <w:color w:val="8B8B8B" w:themeColor="text1" w:themeTint="80"/>
      </w:rPr>
    </w:lvl>
    <w:lvl w:ilvl="1">
      <w:start w:val="1"/>
      <w:numFmt w:val="bullet"/>
      <w:lvlText w:val="o"/>
      <w:lvlJc w:val="left"/>
      <w:pPr>
        <w:tabs>
          <w:tab w:val="num" w:pos="1080"/>
        </w:tabs>
        <w:ind w:left="1440" w:hanging="360"/>
      </w:pPr>
      <w:rPr>
        <w:rFonts w:ascii="Courier New" w:hAnsi="Courier New" w:hint="default"/>
        <w:sz w:val="16"/>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nsid w:val="6CA70ABE"/>
    <w:multiLevelType w:val="hybridMultilevel"/>
    <w:tmpl w:val="8C480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CE144D5"/>
    <w:multiLevelType w:val="multilevel"/>
    <w:tmpl w:val="E1E82E7E"/>
    <w:name w:val="EMIBULLET2"/>
    <w:numStyleLink w:val="EMIBullets"/>
  </w:abstractNum>
  <w:abstractNum w:abstractNumId="49">
    <w:nsid w:val="6D412CA3"/>
    <w:multiLevelType w:val="hybridMultilevel"/>
    <w:tmpl w:val="3F447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DF172D1"/>
    <w:multiLevelType w:val="multilevel"/>
    <w:tmpl w:val="25189148"/>
    <w:numStyleLink w:val="AppendixNumbering"/>
  </w:abstractNum>
  <w:abstractNum w:abstractNumId="51">
    <w:nsid w:val="6FBC5A5F"/>
    <w:multiLevelType w:val="hybridMultilevel"/>
    <w:tmpl w:val="8F8C9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3347409"/>
    <w:multiLevelType w:val="hybridMultilevel"/>
    <w:tmpl w:val="9B5A7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3F4245D"/>
    <w:multiLevelType w:val="multilevel"/>
    <w:tmpl w:val="E1E82E7E"/>
    <w:numStyleLink w:val="EMIBullets"/>
  </w:abstractNum>
  <w:abstractNum w:abstractNumId="54">
    <w:nsid w:val="750466C0"/>
    <w:multiLevelType w:val="multilevel"/>
    <w:tmpl w:val="E1E82E7E"/>
    <w:numStyleLink w:val="EMIBullets"/>
  </w:abstractNum>
  <w:abstractNum w:abstractNumId="55">
    <w:nsid w:val="75690D71"/>
    <w:multiLevelType w:val="multilevel"/>
    <w:tmpl w:val="E1E82E7E"/>
    <w:numStyleLink w:val="EMIBullets"/>
  </w:abstractNum>
  <w:abstractNum w:abstractNumId="56">
    <w:nsid w:val="7B037FF8"/>
    <w:multiLevelType w:val="hybridMultilevel"/>
    <w:tmpl w:val="3F447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6"/>
  </w:num>
  <w:num w:numId="3">
    <w:abstractNumId w:val="42"/>
  </w:num>
  <w:num w:numId="4">
    <w:abstractNumId w:val="33"/>
  </w:num>
  <w:num w:numId="5">
    <w:abstractNumId w:val="44"/>
  </w:num>
  <w:num w:numId="6">
    <w:abstractNumId w:val="51"/>
  </w:num>
  <w:num w:numId="7">
    <w:abstractNumId w:val="46"/>
  </w:num>
  <w:num w:numId="8">
    <w:abstractNumId w:val="39"/>
  </w:num>
  <w:num w:numId="9">
    <w:abstractNumId w:val="26"/>
    <w:lvlOverride w:ilvl="0">
      <w:lvl w:ilvl="0">
        <w:start w:val="1"/>
        <w:numFmt w:val="bullet"/>
        <w:lvlText w:val=""/>
        <w:lvlJc w:val="left"/>
        <w:pPr>
          <w:tabs>
            <w:tab w:val="num" w:pos="792"/>
          </w:tabs>
          <w:ind w:left="792" w:hanging="288"/>
        </w:pPr>
        <w:rPr>
          <w:rFonts w:ascii="Symbol" w:hAnsi="Symbol" w:hint="default"/>
          <w:color w:val="696969" w:themeColor="text1" w:themeTint="A6"/>
        </w:rPr>
      </w:lvl>
    </w:lvlOverride>
  </w:num>
  <w:num w:numId="10">
    <w:abstractNumId w:val="14"/>
  </w:num>
  <w:num w:numId="11">
    <w:abstractNumId w:val="53"/>
  </w:num>
  <w:num w:numId="12">
    <w:abstractNumId w:val="55"/>
  </w:num>
  <w:num w:numId="13">
    <w:abstractNumId w:val="31"/>
  </w:num>
  <w:num w:numId="14">
    <w:abstractNumId w:val="19"/>
  </w:num>
  <w:num w:numId="15">
    <w:abstractNumId w:val="17"/>
  </w:num>
  <w:num w:numId="16">
    <w:abstractNumId w:val="18"/>
  </w:num>
  <w:num w:numId="17">
    <w:abstractNumId w:val="30"/>
  </w:num>
  <w:num w:numId="18">
    <w:abstractNumId w:val="32"/>
  </w:num>
  <w:num w:numId="19">
    <w:abstractNumId w:val="2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7"/>
  </w:num>
  <w:num w:numId="23">
    <w:abstractNumId w:val="6"/>
  </w:num>
  <w:num w:numId="24">
    <w:abstractNumId w:val="5"/>
  </w:num>
  <w:num w:numId="25">
    <w:abstractNumId w:val="8"/>
  </w:num>
  <w:num w:numId="26">
    <w:abstractNumId w:val="4"/>
  </w:num>
  <w:num w:numId="27">
    <w:abstractNumId w:val="3"/>
  </w:num>
  <w:num w:numId="28">
    <w:abstractNumId w:val="2"/>
  </w:num>
  <w:num w:numId="29">
    <w:abstractNumId w:val="1"/>
  </w:num>
  <w:num w:numId="30">
    <w:abstractNumId w:val="0"/>
  </w:num>
  <w:num w:numId="31">
    <w:abstractNumId w:val="40"/>
  </w:num>
  <w:num w:numId="32">
    <w:abstractNumId w:val="50"/>
  </w:num>
  <w:num w:numId="33">
    <w:abstractNumId w:val="43"/>
  </w:num>
  <w:num w:numId="34">
    <w:abstractNumId w:val="36"/>
  </w:num>
  <w:num w:numId="35">
    <w:abstractNumId w:val="48"/>
  </w:num>
  <w:num w:numId="36">
    <w:abstractNumId w:val="12"/>
  </w:num>
  <w:num w:numId="37">
    <w:abstractNumId w:val="30"/>
  </w:num>
  <w:num w:numId="38">
    <w:abstractNumId w:val="45"/>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54"/>
  </w:num>
  <w:num w:numId="42">
    <w:abstractNumId w:val="41"/>
  </w:num>
  <w:num w:numId="43">
    <w:abstractNumId w:val="27"/>
  </w:num>
  <w:num w:numId="44">
    <w:abstractNumId w:val="35"/>
  </w:num>
  <w:num w:numId="45">
    <w:abstractNumId w:val="37"/>
  </w:num>
  <w:num w:numId="46">
    <w:abstractNumId w:val="34"/>
  </w:num>
  <w:num w:numId="47">
    <w:abstractNumId w:val="11"/>
  </w:num>
  <w:num w:numId="48">
    <w:abstractNumId w:val="38"/>
  </w:num>
  <w:num w:numId="49">
    <w:abstractNumId w:val="29"/>
  </w:num>
  <w:num w:numId="50">
    <w:abstractNumId w:val="47"/>
  </w:num>
  <w:num w:numId="51">
    <w:abstractNumId w:val="52"/>
  </w:num>
  <w:num w:numId="52">
    <w:abstractNumId w:val="25"/>
  </w:num>
  <w:num w:numId="53">
    <w:abstractNumId w:val="10"/>
  </w:num>
  <w:num w:numId="54">
    <w:abstractNumId w:val="21"/>
  </w:num>
  <w:num w:numId="55">
    <w:abstractNumId w:val="28"/>
  </w:num>
  <w:num w:numId="56">
    <w:abstractNumId w:val="13"/>
  </w:num>
  <w:num w:numId="57">
    <w:abstractNumId w:val="56"/>
  </w:num>
  <w:num w:numId="58">
    <w:abstractNumId w:val="20"/>
  </w:num>
  <w:num w:numId="59">
    <w:abstractNumId w:val="37"/>
  </w:num>
  <w:num w:numId="60">
    <w:abstractNumId w:val="49"/>
  </w:num>
  <w:num w:numId="61">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7A"/>
    <w:rsid w:val="00002A7A"/>
    <w:rsid w:val="00005B06"/>
    <w:rsid w:val="00005F8F"/>
    <w:rsid w:val="000063B0"/>
    <w:rsid w:val="00012D4C"/>
    <w:rsid w:val="00013769"/>
    <w:rsid w:val="00013832"/>
    <w:rsid w:val="00016928"/>
    <w:rsid w:val="00021EA6"/>
    <w:rsid w:val="00022C8A"/>
    <w:rsid w:val="000256F4"/>
    <w:rsid w:val="00031184"/>
    <w:rsid w:val="00036CA6"/>
    <w:rsid w:val="00037A06"/>
    <w:rsid w:val="00044665"/>
    <w:rsid w:val="00047B6E"/>
    <w:rsid w:val="0005016B"/>
    <w:rsid w:val="00052C95"/>
    <w:rsid w:val="000567B4"/>
    <w:rsid w:val="0005792B"/>
    <w:rsid w:val="00061E09"/>
    <w:rsid w:val="00073F3D"/>
    <w:rsid w:val="00077F1A"/>
    <w:rsid w:val="000841AA"/>
    <w:rsid w:val="000867E4"/>
    <w:rsid w:val="000910B7"/>
    <w:rsid w:val="00091581"/>
    <w:rsid w:val="00096485"/>
    <w:rsid w:val="000A66B7"/>
    <w:rsid w:val="000A7058"/>
    <w:rsid w:val="000C0365"/>
    <w:rsid w:val="000C16A3"/>
    <w:rsid w:val="000C5427"/>
    <w:rsid w:val="000C72C1"/>
    <w:rsid w:val="000C7E6B"/>
    <w:rsid w:val="000D5049"/>
    <w:rsid w:val="000E5672"/>
    <w:rsid w:val="000F04FD"/>
    <w:rsid w:val="000F3888"/>
    <w:rsid w:val="000F78AB"/>
    <w:rsid w:val="00103399"/>
    <w:rsid w:val="00104879"/>
    <w:rsid w:val="00104933"/>
    <w:rsid w:val="00105CBB"/>
    <w:rsid w:val="00106F6A"/>
    <w:rsid w:val="001079BD"/>
    <w:rsid w:val="001146A4"/>
    <w:rsid w:val="001160E3"/>
    <w:rsid w:val="00116ABB"/>
    <w:rsid w:val="00120537"/>
    <w:rsid w:val="001205C3"/>
    <w:rsid w:val="001217DF"/>
    <w:rsid w:val="00123EEA"/>
    <w:rsid w:val="00124BFE"/>
    <w:rsid w:val="00125D33"/>
    <w:rsid w:val="00126809"/>
    <w:rsid w:val="00130881"/>
    <w:rsid w:val="00131C5A"/>
    <w:rsid w:val="001372E4"/>
    <w:rsid w:val="001403EF"/>
    <w:rsid w:val="00140F3D"/>
    <w:rsid w:val="00151B9F"/>
    <w:rsid w:val="001522A5"/>
    <w:rsid w:val="001540F3"/>
    <w:rsid w:val="001547E3"/>
    <w:rsid w:val="001564FC"/>
    <w:rsid w:val="00161104"/>
    <w:rsid w:val="00161DF1"/>
    <w:rsid w:val="0016379D"/>
    <w:rsid w:val="001652C3"/>
    <w:rsid w:val="00167459"/>
    <w:rsid w:val="001674D2"/>
    <w:rsid w:val="00172A65"/>
    <w:rsid w:val="00174962"/>
    <w:rsid w:val="00177D2D"/>
    <w:rsid w:val="00181672"/>
    <w:rsid w:val="00183602"/>
    <w:rsid w:val="00183858"/>
    <w:rsid w:val="00186331"/>
    <w:rsid w:val="001903D2"/>
    <w:rsid w:val="001A0D40"/>
    <w:rsid w:val="001A4BE1"/>
    <w:rsid w:val="001A54F5"/>
    <w:rsid w:val="001A5B7F"/>
    <w:rsid w:val="001A5C36"/>
    <w:rsid w:val="001A754B"/>
    <w:rsid w:val="001B1D23"/>
    <w:rsid w:val="001B3FA4"/>
    <w:rsid w:val="001B45D7"/>
    <w:rsid w:val="001B4D1C"/>
    <w:rsid w:val="001C232C"/>
    <w:rsid w:val="001C2ACE"/>
    <w:rsid w:val="001C4D94"/>
    <w:rsid w:val="001C749E"/>
    <w:rsid w:val="001D03A2"/>
    <w:rsid w:val="001D29BD"/>
    <w:rsid w:val="001D4760"/>
    <w:rsid w:val="001E19A3"/>
    <w:rsid w:val="001E3E5A"/>
    <w:rsid w:val="001E55C7"/>
    <w:rsid w:val="001F01DD"/>
    <w:rsid w:val="001F4DDD"/>
    <w:rsid w:val="002018F5"/>
    <w:rsid w:val="002029C6"/>
    <w:rsid w:val="00205BAF"/>
    <w:rsid w:val="00207F85"/>
    <w:rsid w:val="0021226A"/>
    <w:rsid w:val="00216411"/>
    <w:rsid w:val="00223D2E"/>
    <w:rsid w:val="00225142"/>
    <w:rsid w:val="002271A4"/>
    <w:rsid w:val="00227BDD"/>
    <w:rsid w:val="002313EA"/>
    <w:rsid w:val="002318A4"/>
    <w:rsid w:val="002335FF"/>
    <w:rsid w:val="00233D87"/>
    <w:rsid w:val="0023666C"/>
    <w:rsid w:val="0024208D"/>
    <w:rsid w:val="00242C74"/>
    <w:rsid w:val="002432F5"/>
    <w:rsid w:val="00244F33"/>
    <w:rsid w:val="00247D32"/>
    <w:rsid w:val="00251203"/>
    <w:rsid w:val="00263AD1"/>
    <w:rsid w:val="00272344"/>
    <w:rsid w:val="0027321C"/>
    <w:rsid w:val="0028104D"/>
    <w:rsid w:val="002819DB"/>
    <w:rsid w:val="002854AD"/>
    <w:rsid w:val="00285C0D"/>
    <w:rsid w:val="00286909"/>
    <w:rsid w:val="002906E5"/>
    <w:rsid w:val="00294380"/>
    <w:rsid w:val="00295BD8"/>
    <w:rsid w:val="0029781E"/>
    <w:rsid w:val="00297E80"/>
    <w:rsid w:val="002A09D3"/>
    <w:rsid w:val="002A2A94"/>
    <w:rsid w:val="002A4D20"/>
    <w:rsid w:val="002A5E59"/>
    <w:rsid w:val="002A6AA7"/>
    <w:rsid w:val="002B107C"/>
    <w:rsid w:val="002B143F"/>
    <w:rsid w:val="002B3746"/>
    <w:rsid w:val="002B39DF"/>
    <w:rsid w:val="002B3A65"/>
    <w:rsid w:val="002B3BF4"/>
    <w:rsid w:val="002B47FD"/>
    <w:rsid w:val="002C06FC"/>
    <w:rsid w:val="002C6CDF"/>
    <w:rsid w:val="002D40EE"/>
    <w:rsid w:val="002D4993"/>
    <w:rsid w:val="002D7EAF"/>
    <w:rsid w:val="002E0248"/>
    <w:rsid w:val="002E0400"/>
    <w:rsid w:val="002E1BCB"/>
    <w:rsid w:val="002E2FD4"/>
    <w:rsid w:val="002E733A"/>
    <w:rsid w:val="002E7D65"/>
    <w:rsid w:val="002F52B5"/>
    <w:rsid w:val="00302A82"/>
    <w:rsid w:val="00303D37"/>
    <w:rsid w:val="003103FB"/>
    <w:rsid w:val="00311BFD"/>
    <w:rsid w:val="00311E1D"/>
    <w:rsid w:val="00313E1D"/>
    <w:rsid w:val="0032058F"/>
    <w:rsid w:val="00320F8D"/>
    <w:rsid w:val="003225B8"/>
    <w:rsid w:val="0032434A"/>
    <w:rsid w:val="00330B19"/>
    <w:rsid w:val="00333809"/>
    <w:rsid w:val="003338CD"/>
    <w:rsid w:val="00335267"/>
    <w:rsid w:val="00337D1D"/>
    <w:rsid w:val="00342A7D"/>
    <w:rsid w:val="00344F07"/>
    <w:rsid w:val="0035060F"/>
    <w:rsid w:val="00351D58"/>
    <w:rsid w:val="00353DBE"/>
    <w:rsid w:val="00355429"/>
    <w:rsid w:val="003558FA"/>
    <w:rsid w:val="00357A7F"/>
    <w:rsid w:val="00360878"/>
    <w:rsid w:val="00364D49"/>
    <w:rsid w:val="003728C9"/>
    <w:rsid w:val="0037565F"/>
    <w:rsid w:val="00375CDF"/>
    <w:rsid w:val="003777A3"/>
    <w:rsid w:val="00385069"/>
    <w:rsid w:val="00385BEF"/>
    <w:rsid w:val="00386A77"/>
    <w:rsid w:val="003873C4"/>
    <w:rsid w:val="00387525"/>
    <w:rsid w:val="00390838"/>
    <w:rsid w:val="0039125E"/>
    <w:rsid w:val="00392097"/>
    <w:rsid w:val="0039233F"/>
    <w:rsid w:val="0039420E"/>
    <w:rsid w:val="00395FD7"/>
    <w:rsid w:val="00396A14"/>
    <w:rsid w:val="003A74D5"/>
    <w:rsid w:val="003B0F87"/>
    <w:rsid w:val="003B2A16"/>
    <w:rsid w:val="003B33D0"/>
    <w:rsid w:val="003C3F8E"/>
    <w:rsid w:val="003C4437"/>
    <w:rsid w:val="003C48EC"/>
    <w:rsid w:val="003C4C96"/>
    <w:rsid w:val="003C53F6"/>
    <w:rsid w:val="003C7721"/>
    <w:rsid w:val="003D03F9"/>
    <w:rsid w:val="003D0C44"/>
    <w:rsid w:val="003D1E77"/>
    <w:rsid w:val="003D5B2A"/>
    <w:rsid w:val="003D6007"/>
    <w:rsid w:val="003E02CA"/>
    <w:rsid w:val="003E2B59"/>
    <w:rsid w:val="003F3AA4"/>
    <w:rsid w:val="003F4F25"/>
    <w:rsid w:val="003F65F3"/>
    <w:rsid w:val="004046FF"/>
    <w:rsid w:val="0040779D"/>
    <w:rsid w:val="00410314"/>
    <w:rsid w:val="00410790"/>
    <w:rsid w:val="004133BB"/>
    <w:rsid w:val="00414FDA"/>
    <w:rsid w:val="00421920"/>
    <w:rsid w:val="004232E7"/>
    <w:rsid w:val="004243FA"/>
    <w:rsid w:val="004249A0"/>
    <w:rsid w:val="00427072"/>
    <w:rsid w:val="00432D49"/>
    <w:rsid w:val="00433E8F"/>
    <w:rsid w:val="00441247"/>
    <w:rsid w:val="0044134D"/>
    <w:rsid w:val="00443C8C"/>
    <w:rsid w:val="004477B3"/>
    <w:rsid w:val="00447926"/>
    <w:rsid w:val="004502CB"/>
    <w:rsid w:val="00450FE0"/>
    <w:rsid w:val="00451A1E"/>
    <w:rsid w:val="00454FE0"/>
    <w:rsid w:val="00455BE8"/>
    <w:rsid w:val="00460700"/>
    <w:rsid w:val="00460D77"/>
    <w:rsid w:val="004618DC"/>
    <w:rsid w:val="00461AE3"/>
    <w:rsid w:val="00464A63"/>
    <w:rsid w:val="004650AE"/>
    <w:rsid w:val="004657FA"/>
    <w:rsid w:val="00465DDA"/>
    <w:rsid w:val="00466DD6"/>
    <w:rsid w:val="004755EC"/>
    <w:rsid w:val="00475A47"/>
    <w:rsid w:val="00477D84"/>
    <w:rsid w:val="00480FA9"/>
    <w:rsid w:val="00484536"/>
    <w:rsid w:val="00492163"/>
    <w:rsid w:val="00493261"/>
    <w:rsid w:val="00497289"/>
    <w:rsid w:val="004A2CC6"/>
    <w:rsid w:val="004A3504"/>
    <w:rsid w:val="004A510D"/>
    <w:rsid w:val="004A58E9"/>
    <w:rsid w:val="004B049B"/>
    <w:rsid w:val="004B24BA"/>
    <w:rsid w:val="004B29CF"/>
    <w:rsid w:val="004B2B1B"/>
    <w:rsid w:val="004B42C8"/>
    <w:rsid w:val="004B5888"/>
    <w:rsid w:val="004B59AF"/>
    <w:rsid w:val="004C0AEE"/>
    <w:rsid w:val="004C2A36"/>
    <w:rsid w:val="004C3663"/>
    <w:rsid w:val="004C57EC"/>
    <w:rsid w:val="004C69F2"/>
    <w:rsid w:val="004D1380"/>
    <w:rsid w:val="004D3A71"/>
    <w:rsid w:val="004D3CE4"/>
    <w:rsid w:val="004D5547"/>
    <w:rsid w:val="004E01A2"/>
    <w:rsid w:val="004E0451"/>
    <w:rsid w:val="004E1B37"/>
    <w:rsid w:val="004E283B"/>
    <w:rsid w:val="004E4D01"/>
    <w:rsid w:val="004F0E0F"/>
    <w:rsid w:val="004F1E79"/>
    <w:rsid w:val="004F1FBC"/>
    <w:rsid w:val="004F6FCE"/>
    <w:rsid w:val="00500964"/>
    <w:rsid w:val="00503D0A"/>
    <w:rsid w:val="005075CF"/>
    <w:rsid w:val="0051395D"/>
    <w:rsid w:val="005146E6"/>
    <w:rsid w:val="005208E7"/>
    <w:rsid w:val="0052143A"/>
    <w:rsid w:val="005242B1"/>
    <w:rsid w:val="00530F50"/>
    <w:rsid w:val="00541E95"/>
    <w:rsid w:val="005441E7"/>
    <w:rsid w:val="00544845"/>
    <w:rsid w:val="005449C6"/>
    <w:rsid w:val="00555116"/>
    <w:rsid w:val="005575E0"/>
    <w:rsid w:val="005603CF"/>
    <w:rsid w:val="005628C1"/>
    <w:rsid w:val="00563792"/>
    <w:rsid w:val="00564B05"/>
    <w:rsid w:val="00566DD7"/>
    <w:rsid w:val="00567588"/>
    <w:rsid w:val="005704F2"/>
    <w:rsid w:val="005722C6"/>
    <w:rsid w:val="005758F3"/>
    <w:rsid w:val="00580FF8"/>
    <w:rsid w:val="00583DEB"/>
    <w:rsid w:val="00585C8D"/>
    <w:rsid w:val="005862CC"/>
    <w:rsid w:val="0058697F"/>
    <w:rsid w:val="00596081"/>
    <w:rsid w:val="00597484"/>
    <w:rsid w:val="005A3206"/>
    <w:rsid w:val="005A3943"/>
    <w:rsid w:val="005A6850"/>
    <w:rsid w:val="005B4E02"/>
    <w:rsid w:val="005B60EF"/>
    <w:rsid w:val="005B7FCB"/>
    <w:rsid w:val="005C03A9"/>
    <w:rsid w:val="005C21A4"/>
    <w:rsid w:val="005C454A"/>
    <w:rsid w:val="005C629B"/>
    <w:rsid w:val="005C68C7"/>
    <w:rsid w:val="005C74C9"/>
    <w:rsid w:val="005D13FE"/>
    <w:rsid w:val="005D158F"/>
    <w:rsid w:val="005D1B14"/>
    <w:rsid w:val="005D45CB"/>
    <w:rsid w:val="005D7FEF"/>
    <w:rsid w:val="005E054A"/>
    <w:rsid w:val="005E52AE"/>
    <w:rsid w:val="005E5607"/>
    <w:rsid w:val="005E567C"/>
    <w:rsid w:val="005F6727"/>
    <w:rsid w:val="00600168"/>
    <w:rsid w:val="00602976"/>
    <w:rsid w:val="00606144"/>
    <w:rsid w:val="00610C2F"/>
    <w:rsid w:val="00611828"/>
    <w:rsid w:val="006146EC"/>
    <w:rsid w:val="0061590D"/>
    <w:rsid w:val="00615A59"/>
    <w:rsid w:val="00617E9E"/>
    <w:rsid w:val="0062595F"/>
    <w:rsid w:val="00625E88"/>
    <w:rsid w:val="00627AC4"/>
    <w:rsid w:val="006330B5"/>
    <w:rsid w:val="0063659E"/>
    <w:rsid w:val="00636CA6"/>
    <w:rsid w:val="00637AB8"/>
    <w:rsid w:val="0064187A"/>
    <w:rsid w:val="0064370D"/>
    <w:rsid w:val="00644621"/>
    <w:rsid w:val="00645B07"/>
    <w:rsid w:val="00646AB8"/>
    <w:rsid w:val="00647BD9"/>
    <w:rsid w:val="00650437"/>
    <w:rsid w:val="00650634"/>
    <w:rsid w:val="006513BE"/>
    <w:rsid w:val="0065172D"/>
    <w:rsid w:val="00654363"/>
    <w:rsid w:val="00656BC3"/>
    <w:rsid w:val="00660CEB"/>
    <w:rsid w:val="006624A7"/>
    <w:rsid w:val="006676F7"/>
    <w:rsid w:val="00667BD6"/>
    <w:rsid w:val="00684893"/>
    <w:rsid w:val="00686439"/>
    <w:rsid w:val="00686EE0"/>
    <w:rsid w:val="00693059"/>
    <w:rsid w:val="006A514E"/>
    <w:rsid w:val="006B0222"/>
    <w:rsid w:val="006B31D9"/>
    <w:rsid w:val="006B5942"/>
    <w:rsid w:val="006B7060"/>
    <w:rsid w:val="006C0017"/>
    <w:rsid w:val="006C07D4"/>
    <w:rsid w:val="006C169D"/>
    <w:rsid w:val="006C2814"/>
    <w:rsid w:val="006C4114"/>
    <w:rsid w:val="006C4BE2"/>
    <w:rsid w:val="006D0D08"/>
    <w:rsid w:val="006D2B82"/>
    <w:rsid w:val="006D6560"/>
    <w:rsid w:val="006E01B8"/>
    <w:rsid w:val="006E10BA"/>
    <w:rsid w:val="006E24DB"/>
    <w:rsid w:val="006E433B"/>
    <w:rsid w:val="006E4D5B"/>
    <w:rsid w:val="006E7899"/>
    <w:rsid w:val="006E7C78"/>
    <w:rsid w:val="006F27F4"/>
    <w:rsid w:val="006F2A76"/>
    <w:rsid w:val="006F2E23"/>
    <w:rsid w:val="006F6082"/>
    <w:rsid w:val="006F6E90"/>
    <w:rsid w:val="00700C95"/>
    <w:rsid w:val="00701E22"/>
    <w:rsid w:val="007057E0"/>
    <w:rsid w:val="007076DA"/>
    <w:rsid w:val="0071311C"/>
    <w:rsid w:val="00713C75"/>
    <w:rsid w:val="00713FAD"/>
    <w:rsid w:val="007205BA"/>
    <w:rsid w:val="007207BF"/>
    <w:rsid w:val="00724DE4"/>
    <w:rsid w:val="00725CB0"/>
    <w:rsid w:val="007267A5"/>
    <w:rsid w:val="00727928"/>
    <w:rsid w:val="007315A8"/>
    <w:rsid w:val="00733461"/>
    <w:rsid w:val="00734B8A"/>
    <w:rsid w:val="00734E77"/>
    <w:rsid w:val="007400AE"/>
    <w:rsid w:val="00740F01"/>
    <w:rsid w:val="0074188D"/>
    <w:rsid w:val="00741F3E"/>
    <w:rsid w:val="00743AA8"/>
    <w:rsid w:val="007518EF"/>
    <w:rsid w:val="00752E3B"/>
    <w:rsid w:val="00757617"/>
    <w:rsid w:val="007637E5"/>
    <w:rsid w:val="0076389A"/>
    <w:rsid w:val="00764B38"/>
    <w:rsid w:val="00765016"/>
    <w:rsid w:val="00765D2B"/>
    <w:rsid w:val="00767332"/>
    <w:rsid w:val="00767F1D"/>
    <w:rsid w:val="0077100C"/>
    <w:rsid w:val="00774379"/>
    <w:rsid w:val="00776A3A"/>
    <w:rsid w:val="00776C39"/>
    <w:rsid w:val="0078714E"/>
    <w:rsid w:val="007900F3"/>
    <w:rsid w:val="007926B7"/>
    <w:rsid w:val="00793FE5"/>
    <w:rsid w:val="00796F10"/>
    <w:rsid w:val="007A0DD2"/>
    <w:rsid w:val="007A2F4C"/>
    <w:rsid w:val="007A6AB5"/>
    <w:rsid w:val="007B07AA"/>
    <w:rsid w:val="007B30F2"/>
    <w:rsid w:val="007B377F"/>
    <w:rsid w:val="007B4274"/>
    <w:rsid w:val="007B599D"/>
    <w:rsid w:val="007C5574"/>
    <w:rsid w:val="007C582D"/>
    <w:rsid w:val="007C5C4D"/>
    <w:rsid w:val="007C7CCC"/>
    <w:rsid w:val="007D26BD"/>
    <w:rsid w:val="007D2D80"/>
    <w:rsid w:val="007D3988"/>
    <w:rsid w:val="007D4848"/>
    <w:rsid w:val="007D59DD"/>
    <w:rsid w:val="007E4C10"/>
    <w:rsid w:val="007F3642"/>
    <w:rsid w:val="007F419B"/>
    <w:rsid w:val="007F7FB5"/>
    <w:rsid w:val="00801690"/>
    <w:rsid w:val="0080395A"/>
    <w:rsid w:val="0080520B"/>
    <w:rsid w:val="00806250"/>
    <w:rsid w:val="008063CA"/>
    <w:rsid w:val="008146FD"/>
    <w:rsid w:val="00820402"/>
    <w:rsid w:val="00821F17"/>
    <w:rsid w:val="00823A56"/>
    <w:rsid w:val="00824F08"/>
    <w:rsid w:val="00827A3F"/>
    <w:rsid w:val="0083038A"/>
    <w:rsid w:val="008310DF"/>
    <w:rsid w:val="00832632"/>
    <w:rsid w:val="0083326D"/>
    <w:rsid w:val="0083344D"/>
    <w:rsid w:val="008364B1"/>
    <w:rsid w:val="00836605"/>
    <w:rsid w:val="0083705F"/>
    <w:rsid w:val="00837D6F"/>
    <w:rsid w:val="00844A4B"/>
    <w:rsid w:val="0085066E"/>
    <w:rsid w:val="00852C8E"/>
    <w:rsid w:val="00854676"/>
    <w:rsid w:val="00855FFC"/>
    <w:rsid w:val="00861517"/>
    <w:rsid w:val="00861828"/>
    <w:rsid w:val="00862FBA"/>
    <w:rsid w:val="008631DA"/>
    <w:rsid w:val="00866F90"/>
    <w:rsid w:val="00875B7E"/>
    <w:rsid w:val="00881B95"/>
    <w:rsid w:val="00886190"/>
    <w:rsid w:val="0089685D"/>
    <w:rsid w:val="00896DA8"/>
    <w:rsid w:val="00897247"/>
    <w:rsid w:val="00897800"/>
    <w:rsid w:val="00897C6C"/>
    <w:rsid w:val="008A1BE1"/>
    <w:rsid w:val="008B08F0"/>
    <w:rsid w:val="008B15DB"/>
    <w:rsid w:val="008B262C"/>
    <w:rsid w:val="008B3718"/>
    <w:rsid w:val="008B57BB"/>
    <w:rsid w:val="008B57F6"/>
    <w:rsid w:val="008C26E9"/>
    <w:rsid w:val="008C3C16"/>
    <w:rsid w:val="008C545F"/>
    <w:rsid w:val="008C774E"/>
    <w:rsid w:val="008D277C"/>
    <w:rsid w:val="008D280D"/>
    <w:rsid w:val="008D6D9D"/>
    <w:rsid w:val="008E1DBC"/>
    <w:rsid w:val="008E21E4"/>
    <w:rsid w:val="008E228F"/>
    <w:rsid w:val="008E3B33"/>
    <w:rsid w:val="008E6E32"/>
    <w:rsid w:val="008E75B4"/>
    <w:rsid w:val="008F2EB2"/>
    <w:rsid w:val="008F5698"/>
    <w:rsid w:val="008F639E"/>
    <w:rsid w:val="009012EA"/>
    <w:rsid w:val="00904492"/>
    <w:rsid w:val="00905BF5"/>
    <w:rsid w:val="009079D0"/>
    <w:rsid w:val="00913D0A"/>
    <w:rsid w:val="00920BF8"/>
    <w:rsid w:val="00924972"/>
    <w:rsid w:val="00927822"/>
    <w:rsid w:val="00932E1E"/>
    <w:rsid w:val="00933C71"/>
    <w:rsid w:val="00934014"/>
    <w:rsid w:val="00934068"/>
    <w:rsid w:val="0093544F"/>
    <w:rsid w:val="00936AC9"/>
    <w:rsid w:val="00937854"/>
    <w:rsid w:val="00944FEB"/>
    <w:rsid w:val="009469E0"/>
    <w:rsid w:val="00950C0A"/>
    <w:rsid w:val="009542E1"/>
    <w:rsid w:val="009547E2"/>
    <w:rsid w:val="00956488"/>
    <w:rsid w:val="009610DC"/>
    <w:rsid w:val="00965244"/>
    <w:rsid w:val="00965533"/>
    <w:rsid w:val="00965748"/>
    <w:rsid w:val="00965AA2"/>
    <w:rsid w:val="00966107"/>
    <w:rsid w:val="00970897"/>
    <w:rsid w:val="0097154F"/>
    <w:rsid w:val="009737B8"/>
    <w:rsid w:val="00977909"/>
    <w:rsid w:val="00980924"/>
    <w:rsid w:val="00982F0A"/>
    <w:rsid w:val="00985996"/>
    <w:rsid w:val="0098636B"/>
    <w:rsid w:val="00986978"/>
    <w:rsid w:val="009901A9"/>
    <w:rsid w:val="009922ED"/>
    <w:rsid w:val="0099563A"/>
    <w:rsid w:val="009A13F4"/>
    <w:rsid w:val="009A3189"/>
    <w:rsid w:val="009A3445"/>
    <w:rsid w:val="009A44BE"/>
    <w:rsid w:val="009A5E96"/>
    <w:rsid w:val="009A6C2F"/>
    <w:rsid w:val="009B0513"/>
    <w:rsid w:val="009B1AD3"/>
    <w:rsid w:val="009B3D6B"/>
    <w:rsid w:val="009B4334"/>
    <w:rsid w:val="009B4A8B"/>
    <w:rsid w:val="009C0660"/>
    <w:rsid w:val="009C2C06"/>
    <w:rsid w:val="009C7314"/>
    <w:rsid w:val="009D000A"/>
    <w:rsid w:val="009D5D9F"/>
    <w:rsid w:val="009D7254"/>
    <w:rsid w:val="009D7AE1"/>
    <w:rsid w:val="009E0771"/>
    <w:rsid w:val="009E0FA2"/>
    <w:rsid w:val="009F3981"/>
    <w:rsid w:val="009F3A9C"/>
    <w:rsid w:val="009F57FD"/>
    <w:rsid w:val="009F770E"/>
    <w:rsid w:val="009F7F9F"/>
    <w:rsid w:val="00A01E02"/>
    <w:rsid w:val="00A032E2"/>
    <w:rsid w:val="00A03FA0"/>
    <w:rsid w:val="00A0512C"/>
    <w:rsid w:val="00A07DB3"/>
    <w:rsid w:val="00A14CB7"/>
    <w:rsid w:val="00A15729"/>
    <w:rsid w:val="00A167FB"/>
    <w:rsid w:val="00A21D02"/>
    <w:rsid w:val="00A23CF6"/>
    <w:rsid w:val="00A25DC1"/>
    <w:rsid w:val="00A2690C"/>
    <w:rsid w:val="00A2792F"/>
    <w:rsid w:val="00A30970"/>
    <w:rsid w:val="00A311B0"/>
    <w:rsid w:val="00A315E4"/>
    <w:rsid w:val="00A31FEE"/>
    <w:rsid w:val="00A32071"/>
    <w:rsid w:val="00A32EE5"/>
    <w:rsid w:val="00A3519A"/>
    <w:rsid w:val="00A362EA"/>
    <w:rsid w:val="00A37C13"/>
    <w:rsid w:val="00A42875"/>
    <w:rsid w:val="00A44DC1"/>
    <w:rsid w:val="00A4519E"/>
    <w:rsid w:val="00A46679"/>
    <w:rsid w:val="00A47248"/>
    <w:rsid w:val="00A4760C"/>
    <w:rsid w:val="00A47A98"/>
    <w:rsid w:val="00A50094"/>
    <w:rsid w:val="00A518D6"/>
    <w:rsid w:val="00A54112"/>
    <w:rsid w:val="00A54197"/>
    <w:rsid w:val="00A55E90"/>
    <w:rsid w:val="00A603D4"/>
    <w:rsid w:val="00A67CA5"/>
    <w:rsid w:val="00A7195B"/>
    <w:rsid w:val="00A75CCD"/>
    <w:rsid w:val="00A80506"/>
    <w:rsid w:val="00A806AE"/>
    <w:rsid w:val="00A8118F"/>
    <w:rsid w:val="00A82F47"/>
    <w:rsid w:val="00A839A6"/>
    <w:rsid w:val="00A87832"/>
    <w:rsid w:val="00A87E1D"/>
    <w:rsid w:val="00A909EE"/>
    <w:rsid w:val="00A95B9C"/>
    <w:rsid w:val="00AA25BC"/>
    <w:rsid w:val="00AA3077"/>
    <w:rsid w:val="00AA5AC7"/>
    <w:rsid w:val="00AA6F0B"/>
    <w:rsid w:val="00AB4885"/>
    <w:rsid w:val="00AB4E9E"/>
    <w:rsid w:val="00AB671B"/>
    <w:rsid w:val="00AC11D5"/>
    <w:rsid w:val="00AC15E5"/>
    <w:rsid w:val="00AC4080"/>
    <w:rsid w:val="00AC5A6D"/>
    <w:rsid w:val="00AC692E"/>
    <w:rsid w:val="00AC73AD"/>
    <w:rsid w:val="00AE01D7"/>
    <w:rsid w:val="00AE258E"/>
    <w:rsid w:val="00AE30E0"/>
    <w:rsid w:val="00AE5177"/>
    <w:rsid w:val="00AE5D1F"/>
    <w:rsid w:val="00AE7F47"/>
    <w:rsid w:val="00AF3660"/>
    <w:rsid w:val="00AF3797"/>
    <w:rsid w:val="00B00124"/>
    <w:rsid w:val="00B01312"/>
    <w:rsid w:val="00B02D98"/>
    <w:rsid w:val="00B0644D"/>
    <w:rsid w:val="00B0662E"/>
    <w:rsid w:val="00B15D2F"/>
    <w:rsid w:val="00B16F95"/>
    <w:rsid w:val="00B25AE4"/>
    <w:rsid w:val="00B31169"/>
    <w:rsid w:val="00B337D1"/>
    <w:rsid w:val="00B34FE0"/>
    <w:rsid w:val="00B3785D"/>
    <w:rsid w:val="00B51055"/>
    <w:rsid w:val="00B518FF"/>
    <w:rsid w:val="00B54F17"/>
    <w:rsid w:val="00B5588E"/>
    <w:rsid w:val="00B6210E"/>
    <w:rsid w:val="00B632E3"/>
    <w:rsid w:val="00B64DC8"/>
    <w:rsid w:val="00B660C6"/>
    <w:rsid w:val="00B71D3E"/>
    <w:rsid w:val="00B74E50"/>
    <w:rsid w:val="00B811B0"/>
    <w:rsid w:val="00B832A6"/>
    <w:rsid w:val="00B85C64"/>
    <w:rsid w:val="00B91DFE"/>
    <w:rsid w:val="00B92765"/>
    <w:rsid w:val="00B97229"/>
    <w:rsid w:val="00BA08A3"/>
    <w:rsid w:val="00BA5AB3"/>
    <w:rsid w:val="00BB227E"/>
    <w:rsid w:val="00BB7772"/>
    <w:rsid w:val="00BB7E3D"/>
    <w:rsid w:val="00BC062E"/>
    <w:rsid w:val="00BC2CBE"/>
    <w:rsid w:val="00BC3CD1"/>
    <w:rsid w:val="00BC3EB5"/>
    <w:rsid w:val="00BC5F0E"/>
    <w:rsid w:val="00BD2211"/>
    <w:rsid w:val="00BD3E65"/>
    <w:rsid w:val="00BD6ED8"/>
    <w:rsid w:val="00BD7785"/>
    <w:rsid w:val="00BE37A8"/>
    <w:rsid w:val="00BE5483"/>
    <w:rsid w:val="00BF08E8"/>
    <w:rsid w:val="00BF4BE7"/>
    <w:rsid w:val="00BF52C4"/>
    <w:rsid w:val="00BF6769"/>
    <w:rsid w:val="00C000ED"/>
    <w:rsid w:val="00C006BE"/>
    <w:rsid w:val="00C03BB9"/>
    <w:rsid w:val="00C05B8E"/>
    <w:rsid w:val="00C06A3B"/>
    <w:rsid w:val="00C1063D"/>
    <w:rsid w:val="00C146B0"/>
    <w:rsid w:val="00C14A2B"/>
    <w:rsid w:val="00C174BA"/>
    <w:rsid w:val="00C20746"/>
    <w:rsid w:val="00C207D0"/>
    <w:rsid w:val="00C23FB5"/>
    <w:rsid w:val="00C24A1A"/>
    <w:rsid w:val="00C331BB"/>
    <w:rsid w:val="00C40632"/>
    <w:rsid w:val="00C40C36"/>
    <w:rsid w:val="00C41365"/>
    <w:rsid w:val="00C420D3"/>
    <w:rsid w:val="00C54B43"/>
    <w:rsid w:val="00C5657D"/>
    <w:rsid w:val="00C5660B"/>
    <w:rsid w:val="00C613F8"/>
    <w:rsid w:val="00C62589"/>
    <w:rsid w:val="00C635DA"/>
    <w:rsid w:val="00C63819"/>
    <w:rsid w:val="00C6611F"/>
    <w:rsid w:val="00C70885"/>
    <w:rsid w:val="00C71A24"/>
    <w:rsid w:val="00C7706A"/>
    <w:rsid w:val="00C77338"/>
    <w:rsid w:val="00C80464"/>
    <w:rsid w:val="00C80F6A"/>
    <w:rsid w:val="00C82DBC"/>
    <w:rsid w:val="00C83B9F"/>
    <w:rsid w:val="00C8576C"/>
    <w:rsid w:val="00C92633"/>
    <w:rsid w:val="00C95BE0"/>
    <w:rsid w:val="00C96CB9"/>
    <w:rsid w:val="00CA1A54"/>
    <w:rsid w:val="00CB50AF"/>
    <w:rsid w:val="00CB5F88"/>
    <w:rsid w:val="00CC0299"/>
    <w:rsid w:val="00CC417D"/>
    <w:rsid w:val="00CC46B2"/>
    <w:rsid w:val="00CC4987"/>
    <w:rsid w:val="00CC51F6"/>
    <w:rsid w:val="00CD04DC"/>
    <w:rsid w:val="00CD1352"/>
    <w:rsid w:val="00CD32E2"/>
    <w:rsid w:val="00CD4B0B"/>
    <w:rsid w:val="00CD7BFB"/>
    <w:rsid w:val="00D0025C"/>
    <w:rsid w:val="00D005B2"/>
    <w:rsid w:val="00D04D92"/>
    <w:rsid w:val="00D05200"/>
    <w:rsid w:val="00D12172"/>
    <w:rsid w:val="00D20FAB"/>
    <w:rsid w:val="00D23A7F"/>
    <w:rsid w:val="00D30E87"/>
    <w:rsid w:val="00D36A9F"/>
    <w:rsid w:val="00D44156"/>
    <w:rsid w:val="00D454F2"/>
    <w:rsid w:val="00D54D42"/>
    <w:rsid w:val="00D626F2"/>
    <w:rsid w:val="00D6433D"/>
    <w:rsid w:val="00D643EC"/>
    <w:rsid w:val="00D70FF2"/>
    <w:rsid w:val="00D7148E"/>
    <w:rsid w:val="00D71947"/>
    <w:rsid w:val="00D72ADE"/>
    <w:rsid w:val="00D731A0"/>
    <w:rsid w:val="00D7795D"/>
    <w:rsid w:val="00D81A72"/>
    <w:rsid w:val="00D81CC4"/>
    <w:rsid w:val="00D83FA9"/>
    <w:rsid w:val="00D91242"/>
    <w:rsid w:val="00D9412A"/>
    <w:rsid w:val="00D94800"/>
    <w:rsid w:val="00D96BAF"/>
    <w:rsid w:val="00D97048"/>
    <w:rsid w:val="00DA07F8"/>
    <w:rsid w:val="00DA0C90"/>
    <w:rsid w:val="00DA482E"/>
    <w:rsid w:val="00DA7645"/>
    <w:rsid w:val="00DA76D0"/>
    <w:rsid w:val="00DB14F0"/>
    <w:rsid w:val="00DB63DB"/>
    <w:rsid w:val="00DB7824"/>
    <w:rsid w:val="00DC7017"/>
    <w:rsid w:val="00DC78DC"/>
    <w:rsid w:val="00DC7F73"/>
    <w:rsid w:val="00DD2403"/>
    <w:rsid w:val="00DD779A"/>
    <w:rsid w:val="00DD7E34"/>
    <w:rsid w:val="00DE191A"/>
    <w:rsid w:val="00DE3B2F"/>
    <w:rsid w:val="00DE3F14"/>
    <w:rsid w:val="00DE6577"/>
    <w:rsid w:val="00DE6836"/>
    <w:rsid w:val="00DF1535"/>
    <w:rsid w:val="00DF361C"/>
    <w:rsid w:val="00DF3709"/>
    <w:rsid w:val="00DF53F5"/>
    <w:rsid w:val="00E00B7D"/>
    <w:rsid w:val="00E04366"/>
    <w:rsid w:val="00E1191F"/>
    <w:rsid w:val="00E135F9"/>
    <w:rsid w:val="00E172EE"/>
    <w:rsid w:val="00E17879"/>
    <w:rsid w:val="00E17A7C"/>
    <w:rsid w:val="00E22A77"/>
    <w:rsid w:val="00E24711"/>
    <w:rsid w:val="00E3016C"/>
    <w:rsid w:val="00E354D5"/>
    <w:rsid w:val="00E367A5"/>
    <w:rsid w:val="00E373B6"/>
    <w:rsid w:val="00E4392E"/>
    <w:rsid w:val="00E47924"/>
    <w:rsid w:val="00E54395"/>
    <w:rsid w:val="00E54741"/>
    <w:rsid w:val="00E6012C"/>
    <w:rsid w:val="00E60C41"/>
    <w:rsid w:val="00E62520"/>
    <w:rsid w:val="00E63EF9"/>
    <w:rsid w:val="00E642D4"/>
    <w:rsid w:val="00E6453F"/>
    <w:rsid w:val="00E66955"/>
    <w:rsid w:val="00E713BA"/>
    <w:rsid w:val="00E717E8"/>
    <w:rsid w:val="00E73D81"/>
    <w:rsid w:val="00E755BC"/>
    <w:rsid w:val="00E75EB4"/>
    <w:rsid w:val="00E826DD"/>
    <w:rsid w:val="00E840FC"/>
    <w:rsid w:val="00E9043F"/>
    <w:rsid w:val="00E90BB0"/>
    <w:rsid w:val="00E96529"/>
    <w:rsid w:val="00E96C8E"/>
    <w:rsid w:val="00E97A95"/>
    <w:rsid w:val="00EA02FC"/>
    <w:rsid w:val="00EA1F84"/>
    <w:rsid w:val="00EA2D3D"/>
    <w:rsid w:val="00EA6C1D"/>
    <w:rsid w:val="00EB0D2C"/>
    <w:rsid w:val="00EB20F9"/>
    <w:rsid w:val="00EB24EB"/>
    <w:rsid w:val="00EB2EDB"/>
    <w:rsid w:val="00EB4007"/>
    <w:rsid w:val="00EB4AE3"/>
    <w:rsid w:val="00ED379E"/>
    <w:rsid w:val="00ED6C08"/>
    <w:rsid w:val="00EE0424"/>
    <w:rsid w:val="00EE15CE"/>
    <w:rsid w:val="00EE2711"/>
    <w:rsid w:val="00EE4E73"/>
    <w:rsid w:val="00EE4EB9"/>
    <w:rsid w:val="00EE5358"/>
    <w:rsid w:val="00EE551C"/>
    <w:rsid w:val="00EF4841"/>
    <w:rsid w:val="00EF5660"/>
    <w:rsid w:val="00EF5989"/>
    <w:rsid w:val="00EF68A1"/>
    <w:rsid w:val="00EF71E9"/>
    <w:rsid w:val="00EF7A1E"/>
    <w:rsid w:val="00F04396"/>
    <w:rsid w:val="00F04B07"/>
    <w:rsid w:val="00F05BA8"/>
    <w:rsid w:val="00F144F8"/>
    <w:rsid w:val="00F14FFA"/>
    <w:rsid w:val="00F16F13"/>
    <w:rsid w:val="00F20952"/>
    <w:rsid w:val="00F2136E"/>
    <w:rsid w:val="00F23C80"/>
    <w:rsid w:val="00F26E43"/>
    <w:rsid w:val="00F27B26"/>
    <w:rsid w:val="00F31BC9"/>
    <w:rsid w:val="00F34EA7"/>
    <w:rsid w:val="00F350A4"/>
    <w:rsid w:val="00F42363"/>
    <w:rsid w:val="00F42B44"/>
    <w:rsid w:val="00F43A7D"/>
    <w:rsid w:val="00F44652"/>
    <w:rsid w:val="00F47484"/>
    <w:rsid w:val="00F51CBF"/>
    <w:rsid w:val="00F535C9"/>
    <w:rsid w:val="00F563A7"/>
    <w:rsid w:val="00F56D2B"/>
    <w:rsid w:val="00F57D2D"/>
    <w:rsid w:val="00F62A49"/>
    <w:rsid w:val="00F64B53"/>
    <w:rsid w:val="00F654B8"/>
    <w:rsid w:val="00F72AD0"/>
    <w:rsid w:val="00F72B45"/>
    <w:rsid w:val="00F73B00"/>
    <w:rsid w:val="00F76080"/>
    <w:rsid w:val="00F800BF"/>
    <w:rsid w:val="00F90C95"/>
    <w:rsid w:val="00F96707"/>
    <w:rsid w:val="00F96A39"/>
    <w:rsid w:val="00F97463"/>
    <w:rsid w:val="00FA03DF"/>
    <w:rsid w:val="00FA2D9B"/>
    <w:rsid w:val="00FA43D6"/>
    <w:rsid w:val="00FA5D99"/>
    <w:rsid w:val="00FB571F"/>
    <w:rsid w:val="00FB7A4E"/>
    <w:rsid w:val="00FC2E84"/>
    <w:rsid w:val="00FC729C"/>
    <w:rsid w:val="00FD08C1"/>
    <w:rsid w:val="00FD21F0"/>
    <w:rsid w:val="00FD2C42"/>
    <w:rsid w:val="00FD7143"/>
    <w:rsid w:val="00FD71C6"/>
    <w:rsid w:val="00FE03C2"/>
    <w:rsid w:val="00FE48A9"/>
    <w:rsid w:val="00FE53FE"/>
    <w:rsid w:val="00FE5AD0"/>
    <w:rsid w:val="00FE74AE"/>
    <w:rsid w:val="00FF08B7"/>
    <w:rsid w:val="00FF12B8"/>
    <w:rsid w:val="00FF513E"/>
    <w:rsid w:val="00FF521D"/>
    <w:rsid w:val="00FF59E4"/>
    <w:rsid w:val="00FF6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04341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aliases w:val="Body"/>
    <w:qFormat/>
    <w:rsid w:val="00FB7A4E"/>
    <w:pPr>
      <w:spacing w:line="260" w:lineRule="atLeast"/>
    </w:pPr>
    <w:rPr>
      <w:sz w:val="22"/>
    </w:rPr>
  </w:style>
  <w:style w:type="paragraph" w:styleId="Heading1">
    <w:name w:val="heading 1"/>
    <w:next w:val="Normal"/>
    <w:link w:val="Heading1Char"/>
    <w:uiPriority w:val="9"/>
    <w:qFormat/>
    <w:rsid w:val="00E96529"/>
    <w:pPr>
      <w:keepNext/>
      <w:keepLines/>
      <w:pageBreakBefore/>
      <w:numPr>
        <w:numId w:val="14"/>
      </w:numPr>
      <w:spacing w:before="240" w:after="280"/>
      <w:outlineLvl w:val="0"/>
    </w:pPr>
    <w:rPr>
      <w:rFonts w:ascii="Proxima Nova Light" w:eastAsiaTheme="majorEastAsia" w:hAnsi="Proxima Nova Light" w:cstheme="majorBidi"/>
      <w:caps/>
      <w:color w:val="FF6D2E" w:themeColor="accent1"/>
      <w:sz w:val="44"/>
      <w:szCs w:val="40"/>
    </w:rPr>
  </w:style>
  <w:style w:type="paragraph" w:styleId="Heading2">
    <w:name w:val="heading 2"/>
    <w:basedOn w:val="Normal"/>
    <w:next w:val="Normal"/>
    <w:link w:val="Heading2Char"/>
    <w:uiPriority w:val="9"/>
    <w:unhideWhenUsed/>
    <w:qFormat/>
    <w:rsid w:val="002D40EE"/>
    <w:pPr>
      <w:keepNext/>
      <w:keepLines/>
      <w:numPr>
        <w:ilvl w:val="1"/>
        <w:numId w:val="14"/>
      </w:numPr>
      <w:spacing w:before="360" w:after="200"/>
      <w:outlineLvl w:val="1"/>
    </w:pPr>
    <w:rPr>
      <w:rFonts w:ascii="Proxima Nova Light" w:eastAsiaTheme="majorEastAsia" w:hAnsi="Proxima Nova Light" w:cstheme="majorBidi"/>
      <w:bCs/>
      <w:color w:val="FF6D2E" w:themeColor="accent1"/>
      <w:sz w:val="32"/>
      <w:szCs w:val="26"/>
    </w:rPr>
  </w:style>
  <w:style w:type="paragraph" w:styleId="Heading3">
    <w:name w:val="heading 3"/>
    <w:next w:val="Normal"/>
    <w:link w:val="Heading3Char"/>
    <w:uiPriority w:val="9"/>
    <w:unhideWhenUsed/>
    <w:qFormat/>
    <w:rsid w:val="00216411"/>
    <w:pPr>
      <w:keepNext/>
      <w:keepLines/>
      <w:spacing w:before="360" w:after="180"/>
      <w:outlineLvl w:val="2"/>
    </w:pPr>
    <w:rPr>
      <w:rFonts w:ascii="Proxima Nova Light" w:eastAsiaTheme="majorEastAsia" w:hAnsi="Proxima Nova Light" w:cstheme="majorBidi"/>
      <w:color w:val="FF6D2E" w:themeColor="accent1"/>
      <w:w w:val="102"/>
      <w:sz w:val="28"/>
      <w:szCs w:val="30"/>
    </w:rPr>
  </w:style>
  <w:style w:type="paragraph" w:styleId="Heading4">
    <w:name w:val="heading 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37"/>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37"/>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F62A49"/>
    <w:pPr>
      <w:keepNext/>
      <w:keepLines/>
      <w:numPr>
        <w:ilvl w:val="8"/>
        <w:numId w:val="14"/>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529"/>
    <w:rPr>
      <w:rFonts w:ascii="Proxima Nova Light" w:eastAsiaTheme="majorEastAsia" w:hAnsi="Proxima Nova Light" w:cstheme="majorBidi"/>
      <w:caps/>
      <w:color w:val="FF6D2E" w:themeColor="accent1"/>
      <w:sz w:val="44"/>
      <w:szCs w:val="40"/>
    </w:rPr>
  </w:style>
  <w:style w:type="character" w:customStyle="1" w:styleId="Heading2Char">
    <w:name w:val="Heading 2 Char"/>
    <w:basedOn w:val="DefaultParagraphFont"/>
    <w:link w:val="Heading2"/>
    <w:uiPriority w:val="9"/>
    <w:rsid w:val="002D40EE"/>
    <w:rPr>
      <w:rFonts w:ascii="Proxima Nova Light" w:eastAsiaTheme="majorEastAsia" w:hAnsi="Proxima Nova Light" w:cstheme="majorBidi"/>
      <w:bCs/>
      <w:color w:val="FF6D2E" w:themeColor="accent1"/>
      <w:sz w:val="32"/>
      <w:szCs w:val="26"/>
    </w:rPr>
  </w:style>
  <w:style w:type="paragraph" w:styleId="Title">
    <w:name w:val="Title"/>
    <w:aliases w:val="EMI Title"/>
    <w:next w:val="Normal"/>
    <w:link w:val="TitleChar"/>
    <w:uiPriority w:val="10"/>
    <w:rsid w:val="002E0248"/>
    <w:pPr>
      <w:spacing w:after="20" w:line="600" w:lineRule="exact"/>
      <w:contextualSpacing/>
    </w:pPr>
    <w:rPr>
      <w:rFonts w:ascii="Proxima Nova Light" w:eastAsiaTheme="majorEastAsia" w:hAnsi="Proxima Nova Light" w:cstheme="majorBidi"/>
      <w:color w:val="FF6D2E" w:themeColor="accent1"/>
      <w:spacing w:val="2"/>
      <w:kern w:val="28"/>
      <w:sz w:val="56"/>
      <w:szCs w:val="52"/>
    </w:rPr>
  </w:style>
  <w:style w:type="character" w:customStyle="1" w:styleId="TitleChar">
    <w:name w:val="Title Char"/>
    <w:aliases w:val="EMI Title Char"/>
    <w:basedOn w:val="DefaultParagraphFont"/>
    <w:link w:val="Title"/>
    <w:uiPriority w:val="10"/>
    <w:rsid w:val="002E0248"/>
    <w:rPr>
      <w:rFonts w:ascii="Proxima Nova Light" w:eastAsiaTheme="majorEastAsia" w:hAnsi="Proxima Nova Light" w:cstheme="majorBidi"/>
      <w:color w:val="FF6D2E" w:themeColor="accent1"/>
      <w:spacing w:val="2"/>
      <w:kern w:val="28"/>
      <w:sz w:val="56"/>
      <w:szCs w:val="52"/>
    </w:rPr>
  </w:style>
  <w:style w:type="paragraph" w:styleId="Subtitle">
    <w:name w:val="Subtitle"/>
    <w:aliases w:val="EMI Subtitle"/>
    <w:next w:val="Normal"/>
    <w:link w:val="SubtitleChar"/>
    <w:uiPriority w:val="11"/>
    <w:rsid w:val="00BD7785"/>
    <w:pPr>
      <w:numPr>
        <w:ilvl w:val="1"/>
      </w:numPr>
      <w:spacing w:before="80" w:after="220"/>
    </w:pPr>
    <w:rPr>
      <w:rFonts w:ascii="Proxima Nova Light" w:eastAsiaTheme="majorEastAsia" w:hAnsi="Proxima Nova Light" w:cstheme="majorBidi"/>
      <w:color w:val="808080" w:themeColor="accent3"/>
      <w:spacing w:val="2"/>
      <w:sz w:val="36"/>
      <w:szCs w:val="36"/>
    </w:rPr>
  </w:style>
  <w:style w:type="character" w:customStyle="1" w:styleId="SubtitleChar">
    <w:name w:val="Subtitle Char"/>
    <w:aliases w:val="EMI Subtitle Char"/>
    <w:basedOn w:val="DefaultParagraphFont"/>
    <w:link w:val="Subtitle"/>
    <w:uiPriority w:val="11"/>
    <w:rsid w:val="00BD7785"/>
    <w:rPr>
      <w:rFonts w:ascii="Proxima Nova Light" w:eastAsiaTheme="majorEastAsia" w:hAnsi="Proxima Nova Light" w:cstheme="majorBidi"/>
      <w:color w:val="808080" w:themeColor="accent3"/>
      <w:spacing w:val="2"/>
      <w:sz w:val="36"/>
      <w:szCs w:val="36"/>
    </w:rPr>
  </w:style>
  <w:style w:type="character" w:customStyle="1" w:styleId="Heading3Char">
    <w:name w:val="Heading 3 Char"/>
    <w:basedOn w:val="DefaultParagraphFont"/>
    <w:link w:val="Heading3"/>
    <w:uiPriority w:val="9"/>
    <w:rsid w:val="00216411"/>
    <w:rPr>
      <w:rFonts w:ascii="Proxima Nova Light" w:eastAsiaTheme="majorEastAsia" w:hAnsi="Proxima Nova Light" w:cstheme="majorBidi"/>
      <w:color w:val="FF6D2E" w:themeColor="accent1"/>
      <w:w w:val="102"/>
      <w:sz w:val="28"/>
      <w:szCs w:val="30"/>
    </w:rPr>
  </w:style>
  <w:style w:type="character" w:customStyle="1" w:styleId="Heading4Char">
    <w:name w:val="Heading 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numbering" w:customStyle="1" w:styleId="EMINumbers">
    <w:name w:val="EMI Numbers"/>
    <w:uiPriority w:val="99"/>
    <w:rsid w:val="00F62A49"/>
    <w:pPr>
      <w:numPr>
        <w:numId w:val="1"/>
      </w:numPr>
    </w:p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character" w:customStyle="1" w:styleId="Heading5Char">
    <w:name w:val="Heading 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paragraph" w:styleId="TOC1">
    <w:name w:val="toc 1"/>
    <w:next w:val="Normal"/>
    <w:autoRedefine/>
    <w:uiPriority w:val="39"/>
    <w:unhideWhenUsed/>
    <w:rsid w:val="00A80506"/>
    <w:pPr>
      <w:tabs>
        <w:tab w:val="left" w:pos="395"/>
        <w:tab w:val="left" w:pos="426"/>
        <w:tab w:val="right" w:leader="dot" w:pos="9346"/>
      </w:tabs>
      <w:spacing w:before="120"/>
    </w:pPr>
    <w:rPr>
      <w:rFonts w:ascii="Proxima Nova Light" w:hAnsi="Proxima Nova Light"/>
      <w:bCs/>
      <w:color w:val="FF6D2E" w:themeColor="accent1"/>
      <w:sz w:val="22"/>
      <w:szCs w:val="22"/>
    </w:rPr>
  </w:style>
  <w:style w:type="paragraph" w:styleId="TOC2">
    <w:name w:val="toc 2"/>
    <w:basedOn w:val="Normal"/>
    <w:next w:val="Normal"/>
    <w:autoRedefine/>
    <w:uiPriority w:val="39"/>
    <w:unhideWhenUsed/>
    <w:rsid w:val="00F56D2B"/>
    <w:pPr>
      <w:tabs>
        <w:tab w:val="left" w:pos="925"/>
        <w:tab w:val="left" w:pos="997"/>
        <w:tab w:val="right" w:leader="dot" w:pos="9346"/>
      </w:tabs>
      <w:spacing w:before="40"/>
      <w:ind w:left="504"/>
      <w:contextualSpacing/>
    </w:pPr>
  </w:style>
  <w:style w:type="paragraph" w:styleId="TOC3">
    <w:name w:val="toc 3"/>
    <w:basedOn w:val="Normal"/>
    <w:next w:val="Normal"/>
    <w:autoRedefine/>
    <w:uiPriority w:val="39"/>
    <w:unhideWhenUsed/>
    <w:rsid w:val="00A80506"/>
    <w:pPr>
      <w:tabs>
        <w:tab w:val="right" w:leader="dot" w:pos="9346"/>
      </w:tabs>
      <w:spacing w:before="20"/>
      <w:ind w:left="1080"/>
      <w:contextualSpacing/>
    </w:pPr>
    <w:rPr>
      <w:i/>
    </w:rPr>
  </w:style>
  <w:style w:type="paragraph" w:styleId="TOC4">
    <w:name w:val="toc 4"/>
    <w:basedOn w:val="Normal"/>
    <w:next w:val="Normal"/>
    <w:autoRedefine/>
    <w:uiPriority w:val="39"/>
    <w:unhideWhenUsed/>
    <w:rsid w:val="00A80506"/>
    <w:pPr>
      <w:tabs>
        <w:tab w:val="right" w:leader="dot" w:pos="9346"/>
      </w:tabs>
      <w:ind w:left="1296"/>
    </w:pPr>
    <w:rPr>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character" w:styleId="Strong">
    <w:name w:val="Strong"/>
    <w:basedOn w:val="DefaultParagraphFont"/>
    <w:uiPriority w:val="22"/>
    <w:rsid w:val="005C03A9"/>
    <w:rPr>
      <w:b/>
      <w:bCs/>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customStyle="1" w:styleId="ESMemoHeading1">
    <w:name w:val="ES/Memo Heading 1"/>
    <w:aliases w:val="M1"/>
    <w:next w:val="Normal"/>
    <w:qFormat/>
    <w:rsid w:val="00216411"/>
    <w:pPr>
      <w:keepNext/>
      <w:spacing w:before="360" w:after="180"/>
    </w:pPr>
    <w:rPr>
      <w:rFonts w:ascii="Proxima Nova Light" w:hAnsi="Proxima Nova Light"/>
      <w:color w:val="FF6D2E" w:themeColor="accent1"/>
      <w:sz w:val="34"/>
    </w:rPr>
  </w:style>
  <w:style w:type="paragraph" w:customStyle="1" w:styleId="ESMemoHeading2">
    <w:name w:val="ES/Memo Heading 2"/>
    <w:aliases w:val="M2"/>
    <w:next w:val="Normal"/>
    <w:qFormat/>
    <w:rsid w:val="001217DF"/>
    <w:pPr>
      <w:keepNext/>
      <w:spacing w:before="360" w:after="220"/>
    </w:pPr>
    <w:rPr>
      <w:rFonts w:ascii="Proxima Nova Light" w:hAnsi="Proxima Nova Light"/>
      <w:color w:val="8B8B8B" w:themeColor="text1" w:themeTint="80"/>
      <w:sz w:val="30"/>
    </w:rPr>
  </w:style>
  <w:style w:type="paragraph" w:customStyle="1" w:styleId="ESMemoHeading3">
    <w:name w:val="ES/Memo Heading 3"/>
    <w:aliases w:val="M3"/>
    <w:next w:val="Normal"/>
    <w:qFormat/>
    <w:rsid w:val="001217DF"/>
    <w:pPr>
      <w:keepNext/>
      <w:spacing w:before="360" w:after="200"/>
    </w:pPr>
    <w:rPr>
      <w:rFonts w:ascii="Proxima Nova Light" w:hAnsi="Proxima Nova Light"/>
      <w:color w:val="8B8B8B" w:themeColor="text1" w:themeTint="80"/>
    </w:rPr>
  </w:style>
  <w:style w:type="paragraph" w:styleId="ListParagraph">
    <w:name w:val="List Paragraph"/>
    <w:basedOn w:val="Normal"/>
    <w:link w:val="ListParagraphChar"/>
    <w:uiPriority w:val="34"/>
    <w:qFormat/>
    <w:rsid w:val="007E4C10"/>
    <w:pPr>
      <w:ind w:left="720"/>
      <w:contextualSpacing/>
    </w:pPr>
  </w:style>
  <w:style w:type="paragraph" w:styleId="Caption">
    <w:name w:val="caption"/>
    <w:basedOn w:val="Normal"/>
    <w:next w:val="Normal"/>
    <w:link w:val="CaptionChar"/>
    <w:uiPriority w:val="35"/>
    <w:unhideWhenUsed/>
    <w:qFormat/>
    <w:rsid w:val="0077100C"/>
    <w:pPr>
      <w:keepNext/>
      <w:spacing w:before="160" w:after="160"/>
    </w:pPr>
    <w:rPr>
      <w:b/>
      <w:bCs/>
      <w:sz w:val="20"/>
      <w:szCs w:val="18"/>
    </w:rPr>
  </w:style>
  <w:style w:type="numbering" w:customStyle="1" w:styleId="EMIBullets">
    <w:name w:val="EMI Bullets"/>
    <w:uiPriority w:val="99"/>
    <w:rsid w:val="004E4D01"/>
    <w:pPr>
      <w:numPr>
        <w:numId w:val="2"/>
      </w:numPr>
    </w:pPr>
  </w:style>
  <w:style w:type="paragraph" w:styleId="BalloonText">
    <w:name w:val="Balloon Text"/>
    <w:basedOn w:val="Normal"/>
    <w:link w:val="BalloonTextChar"/>
    <w:uiPriority w:val="99"/>
    <w:semiHidden/>
    <w:unhideWhenUsed/>
    <w:rsid w:val="00D454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54F2"/>
    <w:rPr>
      <w:rFonts w:ascii="Lucida Grande" w:hAnsi="Lucida Grande" w:cs="Lucida Grande"/>
      <w:sz w:val="18"/>
      <w:szCs w:val="18"/>
    </w:rPr>
  </w:style>
  <w:style w:type="paragraph" w:styleId="FootnoteText">
    <w:name w:val="footnote text"/>
    <w:aliases w:val="EMI Footnote Text"/>
    <w:basedOn w:val="Normal"/>
    <w:link w:val="FootnoteTextChar"/>
    <w:uiPriority w:val="99"/>
    <w:unhideWhenUsed/>
    <w:qFormat/>
    <w:rsid w:val="00F56D2B"/>
    <w:pPr>
      <w:spacing w:line="200" w:lineRule="exact"/>
    </w:pPr>
    <w:rPr>
      <w:sz w:val="18"/>
    </w:rPr>
  </w:style>
  <w:style w:type="numbering" w:customStyle="1" w:styleId="EMINumberedList">
    <w:name w:val="EMI Numbered List"/>
    <w:uiPriority w:val="99"/>
    <w:rsid w:val="00A2690C"/>
    <w:pPr>
      <w:numPr>
        <w:numId w:val="4"/>
      </w:numPr>
    </w:pPr>
  </w:style>
  <w:style w:type="character" w:customStyle="1" w:styleId="FootnoteTextChar">
    <w:name w:val="Footnote Text Char"/>
    <w:aliases w:val="EMI Footnote Text Char"/>
    <w:basedOn w:val="DefaultParagraphFont"/>
    <w:link w:val="FootnoteText"/>
    <w:uiPriority w:val="99"/>
    <w:rsid w:val="00F56D2B"/>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basedOn w:val="Normal"/>
    <w:link w:val="HeaderChar"/>
    <w:uiPriority w:val="99"/>
    <w:unhideWhenUsed/>
    <w:rsid w:val="008D277C"/>
    <w:pPr>
      <w:pBdr>
        <w:bottom w:val="single" w:sz="18" w:space="6" w:color="D9D9D9" w:themeColor="background1" w:themeShade="D9"/>
      </w:pBdr>
      <w:tabs>
        <w:tab w:val="center" w:pos="4320"/>
        <w:tab w:val="right" w:pos="8640"/>
      </w:tabs>
      <w:spacing w:before="120" w:after="600"/>
    </w:pPr>
    <w:rPr>
      <w:spacing w:val="40"/>
      <w:szCs w:val="22"/>
    </w:rPr>
  </w:style>
  <w:style w:type="character" w:customStyle="1" w:styleId="HeaderChar">
    <w:name w:val="Header Char"/>
    <w:basedOn w:val="DefaultParagraphFont"/>
    <w:link w:val="Header"/>
    <w:uiPriority w:val="99"/>
    <w:rsid w:val="008D277C"/>
    <w:rPr>
      <w:spacing w:val="40"/>
      <w:sz w:val="22"/>
      <w:szCs w:val="22"/>
    </w:rPr>
  </w:style>
  <w:style w:type="paragraph" w:styleId="Footer">
    <w:name w:val="footer"/>
    <w:basedOn w:val="Normal"/>
    <w:link w:val="FooterChar"/>
    <w:uiPriority w:val="99"/>
    <w:unhideWhenUsed/>
    <w:rsid w:val="005722C6"/>
    <w:pPr>
      <w:pBdr>
        <w:top w:val="single" w:sz="6" w:space="6" w:color="344D6D" w:themeColor="background2"/>
      </w:pBdr>
      <w:spacing w:before="40"/>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C006BE"/>
    <w:rPr>
      <w:rFonts w:asciiTheme="majorHAnsi" w:hAnsiTheme="majorHAnsi"/>
      <w:b w:val="0"/>
      <w:i w:val="0"/>
      <w:color w:val="808080" w:themeColor="accent3"/>
      <w:sz w:val="18"/>
      <w:bdr w:val="none" w:sz="0" w:space="0" w:color="auto"/>
    </w:rPr>
  </w:style>
  <w:style w:type="paragraph" w:styleId="ListBullet3">
    <w:name w:val="List Bullet 3"/>
    <w:basedOn w:val="Normal"/>
    <w:uiPriority w:val="99"/>
    <w:unhideWhenUsed/>
    <w:rsid w:val="004E4D01"/>
    <w:pPr>
      <w:numPr>
        <w:ilvl w:val="2"/>
        <w:numId w:val="7"/>
      </w:numPr>
      <w:contextualSpacing/>
      <w:outlineLvl w:val="2"/>
    </w:p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ITable">
    <w:name w:val="EMI Table"/>
    <w:basedOn w:val="TableNormal"/>
    <w:uiPriority w:val="99"/>
    <w:rsid w:val="00A80506"/>
    <w:pPr>
      <w:keepNext/>
      <w:spacing w:before="40" w:after="40"/>
      <w:jc w:val="right"/>
    </w:pPr>
    <w:rPr>
      <w:sz w:val="18"/>
      <w:szCs w:val="18"/>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V w:val="single" w:sz="4" w:space="0" w:color="D9D9D9" w:themeColor="background1" w:themeShade="D9"/>
      </w:tblBorders>
    </w:tblPr>
    <w:tcPr>
      <w:shd w:val="clear" w:color="auto" w:fill="F2F9F8"/>
      <w:vAlign w:val="center"/>
    </w:tcPr>
    <w:tblStylePr w:type="firstRow">
      <w:pPr>
        <w:wordWrap/>
        <w:spacing w:beforeLines="0" w:before="40" w:beforeAutospacing="0" w:afterLines="0" w:after="40" w:afterAutospacing="0"/>
        <w:ind w:leftChars="0" w:left="0" w:rightChars="0" w:right="0"/>
        <w:jc w:val="center"/>
      </w:pPr>
      <w:rPr>
        <w:rFonts w:asciiTheme="minorHAnsi" w:hAnsiTheme="minorHAnsi"/>
        <w:b/>
        <w:i w:val="0"/>
        <w:color w:val="auto"/>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E4E5E6"/>
      </w:tcPr>
    </w:tblStylePr>
    <w:tblStylePr w:type="lastRow">
      <w:pPr>
        <w:wordWrap/>
        <w:ind w:rightChars="0" w:right="0"/>
      </w:pPr>
      <w:rPr>
        <w:rFonts w:asciiTheme="minorHAnsi" w:hAnsiTheme="minorHAnsi"/>
        <w:b/>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auto"/>
      </w:tcPr>
    </w:tblStylePr>
    <w:tblStylePr w:type="firstCol">
      <w:pPr>
        <w:wordWrap/>
        <w:ind w:firstLineChars="0" w:firstLine="0"/>
        <w:jc w:val="left"/>
      </w:pPr>
      <w:rPr>
        <w:rFonts w:asciiTheme="minorHAnsi" w:hAnsiTheme="minorHAnsi"/>
        <w:b w:val="0"/>
        <w:i w:val="0"/>
        <w:sz w:val="18"/>
      </w:rPr>
    </w:tblStylePr>
    <w:tblStylePr w:type="lastCol">
      <w:rPr>
        <w:sz w:val="18"/>
      </w:rPr>
    </w:tblStylePr>
    <w:tblStylePr w:type="band1Vert">
      <w:rPr>
        <w:sz w:val="18"/>
      </w:rPr>
    </w:tblStylePr>
    <w:tblStylePr w:type="band2Vert">
      <w:rPr>
        <w:sz w:val="18"/>
      </w:rPr>
    </w:tblStylePr>
    <w:tblStylePr w:type="band1Horz">
      <w:pPr>
        <w:keepNext/>
        <w:wordWrap/>
        <w:ind w:rightChars="0" w:right="0" w:firstLineChars="0" w:firstLine="0"/>
      </w:pPr>
      <w:rPr>
        <w:color w:val="auto"/>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FFFFFF" w:themeFill="background1"/>
      </w:tcPr>
    </w:tblStylePr>
    <w:tblStylePr w:type="band2Horz">
      <w:pPr>
        <w:keepNext/>
        <w:wordWrap/>
        <w:ind w:rightChars="0" w:right="0"/>
      </w:pPr>
      <w:rPr>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F9F9F8"/>
      </w:tcPr>
    </w:tblStylePr>
    <w:tblStylePr w:type="neCell">
      <w:rPr>
        <w:sz w:val="18"/>
      </w:rPr>
    </w:tblStylePr>
    <w:tblStylePr w:type="nwCell">
      <w:rPr>
        <w:sz w:val="18"/>
      </w:rPr>
    </w:tblStylePr>
    <w:tblStylePr w:type="seCell">
      <w:rPr>
        <w:sz w:val="18"/>
      </w:rPr>
    </w:tblStylePr>
    <w:tblStylePr w:type="swCell">
      <w:rPr>
        <w:sz w:val="18"/>
      </w:rPr>
    </w:tblStylePr>
  </w:style>
  <w:style w:type="paragraph" w:styleId="Date">
    <w:name w:val="Date"/>
    <w:basedOn w:val="Normal"/>
    <w:next w:val="Normal"/>
    <w:link w:val="DateChar"/>
    <w:uiPriority w:val="99"/>
    <w:unhideWhenUsed/>
    <w:rsid w:val="00EE0424"/>
    <w:rPr>
      <w:rFonts w:ascii="Helvetica Light" w:hAnsi="Helvetica Light"/>
      <w:color w:val="8B8B8B" w:themeColor="text1" w:themeTint="80"/>
    </w:rPr>
  </w:style>
  <w:style w:type="character" w:customStyle="1" w:styleId="DateChar">
    <w:name w:val="Date Char"/>
    <w:basedOn w:val="DefaultParagraphFont"/>
    <w:link w:val="Date"/>
    <w:uiPriority w:val="99"/>
    <w:rsid w:val="00EE0424"/>
    <w:rPr>
      <w:rFonts w:ascii="Helvetica Light" w:hAnsi="Helvetica Light"/>
      <w:color w:val="8B8B8B" w:themeColor="text1" w:themeTint="80"/>
      <w:sz w:val="22"/>
    </w:rPr>
  </w:style>
  <w:style w:type="paragraph" w:customStyle="1" w:styleId="TableFootnote">
    <w:name w:val="Table Footnote"/>
    <w:basedOn w:val="Normal"/>
    <w:next w:val="Normal"/>
    <w:qFormat/>
    <w:rsid w:val="00886190"/>
    <w:pPr>
      <w:spacing w:before="140" w:line="200" w:lineRule="atLeast"/>
      <w:contextualSpacing/>
    </w:pPr>
    <w:rPr>
      <w:sz w:val="18"/>
      <w:szCs w:val="18"/>
    </w:rPr>
  </w:style>
  <w:style w:type="paragraph" w:styleId="TOAHeading">
    <w:name w:val="toa heading"/>
    <w:basedOn w:val="Normal"/>
    <w:next w:val="Normal"/>
    <w:uiPriority w:val="99"/>
    <w:unhideWhenUsed/>
    <w:rsid w:val="00B25AE4"/>
    <w:pPr>
      <w:spacing w:before="120" w:after="220"/>
      <w:jc w:val="center"/>
    </w:pPr>
    <w:rPr>
      <w:rFonts w:asciiTheme="majorHAnsi" w:eastAsiaTheme="majorEastAsia" w:hAnsiTheme="majorHAnsi" w:cstheme="majorBidi"/>
      <w:caps/>
      <w:spacing w:val="8"/>
      <w:sz w:val="24"/>
    </w:rPr>
  </w:style>
  <w:style w:type="numbering" w:customStyle="1" w:styleId="AppendixNumbering">
    <w:name w:val="Appendix Numbering"/>
    <w:uiPriority w:val="99"/>
    <w:rsid w:val="00E54395"/>
    <w:pPr>
      <w:numPr>
        <w:numId w:val="17"/>
      </w:numPr>
    </w:pPr>
  </w:style>
  <w:style w:type="paragraph" w:customStyle="1" w:styleId="EMIBulletSpacingL1">
    <w:name w:val="EMI Bullet Spacing L1"/>
    <w:aliases w:val="B1"/>
    <w:qFormat/>
    <w:rsid w:val="00F56D2B"/>
    <w:pPr>
      <w:numPr>
        <w:numId w:val="45"/>
      </w:numPr>
      <w:spacing w:before="60" w:after="40" w:line="260" w:lineRule="exact"/>
    </w:pPr>
    <w:rPr>
      <w:rFonts w:eastAsia="Times New Roman" w:cs="Times New Roman"/>
      <w:sz w:val="22"/>
    </w:rPr>
  </w:style>
  <w:style w:type="paragraph" w:customStyle="1" w:styleId="EMIBulletSpacingL2">
    <w:name w:val="EMI Bullet Spacing L2"/>
    <w:aliases w:val="B2"/>
    <w:qFormat/>
    <w:rsid w:val="00E3016C"/>
    <w:pPr>
      <w:numPr>
        <w:ilvl w:val="1"/>
        <w:numId w:val="45"/>
      </w:numPr>
      <w:spacing w:before="40" w:after="40"/>
      <w:outlineLvl w:val="1"/>
    </w:pPr>
    <w:rPr>
      <w:rFonts w:eastAsia="Times New Roman" w:cs="Times New Roman"/>
      <w:sz w:val="22"/>
    </w:rPr>
  </w:style>
  <w:style w:type="numbering" w:customStyle="1" w:styleId="EMITableFootnoteList">
    <w:name w:val="EMI Table Footnote List"/>
    <w:uiPriority w:val="99"/>
    <w:rsid w:val="00937854"/>
    <w:pPr>
      <w:numPr>
        <w:numId w:val="48"/>
      </w:numPr>
    </w:pPr>
  </w:style>
  <w:style w:type="paragraph" w:styleId="DocumentMap">
    <w:name w:val="Document Map"/>
    <w:basedOn w:val="Normal"/>
    <w:link w:val="DocumentMapChar"/>
    <w:uiPriority w:val="99"/>
    <w:semiHidden/>
    <w:unhideWhenUsed/>
    <w:rsid w:val="000063B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63B0"/>
    <w:rPr>
      <w:rFonts w:ascii="Lucida Grande" w:hAnsi="Lucida Grande" w:cs="Lucida Grande"/>
    </w:rPr>
  </w:style>
  <w:style w:type="character" w:customStyle="1" w:styleId="Semibold">
    <w:name w:val="Semibold"/>
    <w:basedOn w:val="DefaultParagraphFont"/>
    <w:uiPriority w:val="1"/>
    <w:qFormat/>
    <w:rsid w:val="002F52B5"/>
    <w:rPr>
      <w:rFonts w:asciiTheme="majorHAnsi" w:hAnsiTheme="majorHAnsi"/>
    </w:rPr>
  </w:style>
  <w:style w:type="character" w:customStyle="1" w:styleId="ListParagraphChar">
    <w:name w:val="List Paragraph Char"/>
    <w:link w:val="ListParagraph"/>
    <w:uiPriority w:val="34"/>
    <w:rsid w:val="00ED6C08"/>
    <w:rPr>
      <w:sz w:val="22"/>
    </w:rPr>
  </w:style>
  <w:style w:type="character" w:styleId="CommentReference">
    <w:name w:val="annotation reference"/>
    <w:basedOn w:val="DefaultParagraphFont"/>
    <w:uiPriority w:val="99"/>
    <w:semiHidden/>
    <w:unhideWhenUsed/>
    <w:rsid w:val="009F770E"/>
    <w:rPr>
      <w:sz w:val="18"/>
      <w:szCs w:val="18"/>
    </w:rPr>
  </w:style>
  <w:style w:type="paragraph" w:styleId="CommentText">
    <w:name w:val="annotation text"/>
    <w:basedOn w:val="Normal"/>
    <w:link w:val="CommentTextChar"/>
    <w:uiPriority w:val="99"/>
    <w:semiHidden/>
    <w:unhideWhenUsed/>
    <w:rsid w:val="009F770E"/>
    <w:pPr>
      <w:spacing w:line="240" w:lineRule="auto"/>
    </w:pPr>
    <w:rPr>
      <w:sz w:val="24"/>
    </w:rPr>
  </w:style>
  <w:style w:type="character" w:customStyle="1" w:styleId="CommentTextChar">
    <w:name w:val="Comment Text Char"/>
    <w:basedOn w:val="DefaultParagraphFont"/>
    <w:link w:val="CommentText"/>
    <w:uiPriority w:val="99"/>
    <w:semiHidden/>
    <w:rsid w:val="009F770E"/>
  </w:style>
  <w:style w:type="paragraph" w:styleId="CommentSubject">
    <w:name w:val="annotation subject"/>
    <w:basedOn w:val="CommentText"/>
    <w:next w:val="CommentText"/>
    <w:link w:val="CommentSubjectChar"/>
    <w:uiPriority w:val="99"/>
    <w:semiHidden/>
    <w:unhideWhenUsed/>
    <w:rsid w:val="009F770E"/>
    <w:rPr>
      <w:b/>
      <w:bCs/>
      <w:sz w:val="20"/>
      <w:szCs w:val="20"/>
    </w:rPr>
  </w:style>
  <w:style w:type="character" w:customStyle="1" w:styleId="CommentSubjectChar">
    <w:name w:val="Comment Subject Char"/>
    <w:basedOn w:val="CommentTextChar"/>
    <w:link w:val="CommentSubject"/>
    <w:uiPriority w:val="99"/>
    <w:semiHidden/>
    <w:rsid w:val="009F770E"/>
    <w:rPr>
      <w:b/>
      <w:bCs/>
      <w:sz w:val="20"/>
      <w:szCs w:val="20"/>
    </w:rPr>
  </w:style>
  <w:style w:type="paragraph" w:styleId="Revision">
    <w:name w:val="Revision"/>
    <w:hidden/>
    <w:uiPriority w:val="99"/>
    <w:semiHidden/>
    <w:rsid w:val="007D3988"/>
    <w:rPr>
      <w:sz w:val="22"/>
    </w:rPr>
  </w:style>
  <w:style w:type="character" w:styleId="Hyperlink">
    <w:name w:val="Hyperlink"/>
    <w:basedOn w:val="DefaultParagraphFont"/>
    <w:uiPriority w:val="99"/>
    <w:unhideWhenUsed/>
    <w:rsid w:val="006C4BE2"/>
    <w:rPr>
      <w:color w:val="F4CE25" w:themeColor="hyperlink"/>
      <w:u w:val="single"/>
    </w:rPr>
  </w:style>
  <w:style w:type="character" w:customStyle="1" w:styleId="CaptionChar">
    <w:name w:val="Caption Char"/>
    <w:link w:val="Caption"/>
    <w:uiPriority w:val="35"/>
    <w:locked/>
    <w:rsid w:val="004477B3"/>
    <w:rPr>
      <w:b/>
      <w:bCs/>
      <w:sz w:val="20"/>
      <w:szCs w:val="18"/>
    </w:rPr>
  </w:style>
  <w:style w:type="character" w:styleId="FollowedHyperlink">
    <w:name w:val="FollowedHyperlink"/>
    <w:basedOn w:val="DefaultParagraphFont"/>
    <w:uiPriority w:val="99"/>
    <w:semiHidden/>
    <w:unhideWhenUsed/>
    <w:rsid w:val="00FD71C6"/>
    <w:rPr>
      <w:color w:val="71903D"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aliases w:val="Body"/>
    <w:qFormat/>
    <w:rsid w:val="00FB7A4E"/>
    <w:pPr>
      <w:spacing w:line="260" w:lineRule="atLeast"/>
    </w:pPr>
    <w:rPr>
      <w:sz w:val="22"/>
    </w:rPr>
  </w:style>
  <w:style w:type="paragraph" w:styleId="Heading1">
    <w:name w:val="heading 1"/>
    <w:next w:val="Normal"/>
    <w:link w:val="Heading1Char"/>
    <w:uiPriority w:val="9"/>
    <w:qFormat/>
    <w:rsid w:val="00E96529"/>
    <w:pPr>
      <w:keepNext/>
      <w:keepLines/>
      <w:pageBreakBefore/>
      <w:numPr>
        <w:numId w:val="14"/>
      </w:numPr>
      <w:spacing w:before="240" w:after="280"/>
      <w:outlineLvl w:val="0"/>
    </w:pPr>
    <w:rPr>
      <w:rFonts w:ascii="Proxima Nova Light" w:eastAsiaTheme="majorEastAsia" w:hAnsi="Proxima Nova Light" w:cstheme="majorBidi"/>
      <w:caps/>
      <w:color w:val="FF6D2E" w:themeColor="accent1"/>
      <w:sz w:val="44"/>
      <w:szCs w:val="40"/>
    </w:rPr>
  </w:style>
  <w:style w:type="paragraph" w:styleId="Heading2">
    <w:name w:val="heading 2"/>
    <w:basedOn w:val="Normal"/>
    <w:next w:val="Normal"/>
    <w:link w:val="Heading2Char"/>
    <w:uiPriority w:val="9"/>
    <w:unhideWhenUsed/>
    <w:qFormat/>
    <w:rsid w:val="002D40EE"/>
    <w:pPr>
      <w:keepNext/>
      <w:keepLines/>
      <w:numPr>
        <w:ilvl w:val="1"/>
        <w:numId w:val="14"/>
      </w:numPr>
      <w:spacing w:before="360" w:after="200"/>
      <w:outlineLvl w:val="1"/>
    </w:pPr>
    <w:rPr>
      <w:rFonts w:ascii="Proxima Nova Light" w:eastAsiaTheme="majorEastAsia" w:hAnsi="Proxima Nova Light" w:cstheme="majorBidi"/>
      <w:bCs/>
      <w:color w:val="FF6D2E" w:themeColor="accent1"/>
      <w:sz w:val="32"/>
      <w:szCs w:val="26"/>
    </w:rPr>
  </w:style>
  <w:style w:type="paragraph" w:styleId="Heading3">
    <w:name w:val="heading 3"/>
    <w:next w:val="Normal"/>
    <w:link w:val="Heading3Char"/>
    <w:uiPriority w:val="9"/>
    <w:unhideWhenUsed/>
    <w:qFormat/>
    <w:rsid w:val="00216411"/>
    <w:pPr>
      <w:keepNext/>
      <w:keepLines/>
      <w:spacing w:before="360" w:after="180"/>
      <w:outlineLvl w:val="2"/>
    </w:pPr>
    <w:rPr>
      <w:rFonts w:ascii="Proxima Nova Light" w:eastAsiaTheme="majorEastAsia" w:hAnsi="Proxima Nova Light" w:cstheme="majorBidi"/>
      <w:color w:val="FF6D2E" w:themeColor="accent1"/>
      <w:w w:val="102"/>
      <w:sz w:val="28"/>
      <w:szCs w:val="30"/>
    </w:rPr>
  </w:style>
  <w:style w:type="paragraph" w:styleId="Heading4">
    <w:name w:val="heading 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37"/>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37"/>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F62A49"/>
    <w:pPr>
      <w:keepNext/>
      <w:keepLines/>
      <w:numPr>
        <w:ilvl w:val="8"/>
        <w:numId w:val="14"/>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529"/>
    <w:rPr>
      <w:rFonts w:ascii="Proxima Nova Light" w:eastAsiaTheme="majorEastAsia" w:hAnsi="Proxima Nova Light" w:cstheme="majorBidi"/>
      <w:caps/>
      <w:color w:val="FF6D2E" w:themeColor="accent1"/>
      <w:sz w:val="44"/>
      <w:szCs w:val="40"/>
    </w:rPr>
  </w:style>
  <w:style w:type="character" w:customStyle="1" w:styleId="Heading2Char">
    <w:name w:val="Heading 2 Char"/>
    <w:basedOn w:val="DefaultParagraphFont"/>
    <w:link w:val="Heading2"/>
    <w:uiPriority w:val="9"/>
    <w:rsid w:val="002D40EE"/>
    <w:rPr>
      <w:rFonts w:ascii="Proxima Nova Light" w:eastAsiaTheme="majorEastAsia" w:hAnsi="Proxima Nova Light" w:cstheme="majorBidi"/>
      <w:bCs/>
      <w:color w:val="FF6D2E" w:themeColor="accent1"/>
      <w:sz w:val="32"/>
      <w:szCs w:val="26"/>
    </w:rPr>
  </w:style>
  <w:style w:type="paragraph" w:styleId="Title">
    <w:name w:val="Title"/>
    <w:aliases w:val="EMI Title"/>
    <w:next w:val="Normal"/>
    <w:link w:val="TitleChar"/>
    <w:uiPriority w:val="10"/>
    <w:rsid w:val="002E0248"/>
    <w:pPr>
      <w:spacing w:after="20" w:line="600" w:lineRule="exact"/>
      <w:contextualSpacing/>
    </w:pPr>
    <w:rPr>
      <w:rFonts w:ascii="Proxima Nova Light" w:eastAsiaTheme="majorEastAsia" w:hAnsi="Proxima Nova Light" w:cstheme="majorBidi"/>
      <w:color w:val="FF6D2E" w:themeColor="accent1"/>
      <w:spacing w:val="2"/>
      <w:kern w:val="28"/>
      <w:sz w:val="56"/>
      <w:szCs w:val="52"/>
    </w:rPr>
  </w:style>
  <w:style w:type="character" w:customStyle="1" w:styleId="TitleChar">
    <w:name w:val="Title Char"/>
    <w:aliases w:val="EMI Title Char"/>
    <w:basedOn w:val="DefaultParagraphFont"/>
    <w:link w:val="Title"/>
    <w:uiPriority w:val="10"/>
    <w:rsid w:val="002E0248"/>
    <w:rPr>
      <w:rFonts w:ascii="Proxima Nova Light" w:eastAsiaTheme="majorEastAsia" w:hAnsi="Proxima Nova Light" w:cstheme="majorBidi"/>
      <w:color w:val="FF6D2E" w:themeColor="accent1"/>
      <w:spacing w:val="2"/>
      <w:kern w:val="28"/>
      <w:sz w:val="56"/>
      <w:szCs w:val="52"/>
    </w:rPr>
  </w:style>
  <w:style w:type="paragraph" w:styleId="Subtitle">
    <w:name w:val="Subtitle"/>
    <w:aliases w:val="EMI Subtitle"/>
    <w:next w:val="Normal"/>
    <w:link w:val="SubtitleChar"/>
    <w:uiPriority w:val="11"/>
    <w:rsid w:val="00BD7785"/>
    <w:pPr>
      <w:numPr>
        <w:ilvl w:val="1"/>
      </w:numPr>
      <w:spacing w:before="80" w:after="220"/>
    </w:pPr>
    <w:rPr>
      <w:rFonts w:ascii="Proxima Nova Light" w:eastAsiaTheme="majorEastAsia" w:hAnsi="Proxima Nova Light" w:cstheme="majorBidi"/>
      <w:color w:val="808080" w:themeColor="accent3"/>
      <w:spacing w:val="2"/>
      <w:sz w:val="36"/>
      <w:szCs w:val="36"/>
    </w:rPr>
  </w:style>
  <w:style w:type="character" w:customStyle="1" w:styleId="SubtitleChar">
    <w:name w:val="Subtitle Char"/>
    <w:aliases w:val="EMI Subtitle Char"/>
    <w:basedOn w:val="DefaultParagraphFont"/>
    <w:link w:val="Subtitle"/>
    <w:uiPriority w:val="11"/>
    <w:rsid w:val="00BD7785"/>
    <w:rPr>
      <w:rFonts w:ascii="Proxima Nova Light" w:eastAsiaTheme="majorEastAsia" w:hAnsi="Proxima Nova Light" w:cstheme="majorBidi"/>
      <w:color w:val="808080" w:themeColor="accent3"/>
      <w:spacing w:val="2"/>
      <w:sz w:val="36"/>
      <w:szCs w:val="36"/>
    </w:rPr>
  </w:style>
  <w:style w:type="character" w:customStyle="1" w:styleId="Heading3Char">
    <w:name w:val="Heading 3 Char"/>
    <w:basedOn w:val="DefaultParagraphFont"/>
    <w:link w:val="Heading3"/>
    <w:uiPriority w:val="9"/>
    <w:rsid w:val="00216411"/>
    <w:rPr>
      <w:rFonts w:ascii="Proxima Nova Light" w:eastAsiaTheme="majorEastAsia" w:hAnsi="Proxima Nova Light" w:cstheme="majorBidi"/>
      <w:color w:val="FF6D2E" w:themeColor="accent1"/>
      <w:w w:val="102"/>
      <w:sz w:val="28"/>
      <w:szCs w:val="30"/>
    </w:rPr>
  </w:style>
  <w:style w:type="character" w:customStyle="1" w:styleId="Heading4Char">
    <w:name w:val="Heading 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numbering" w:customStyle="1" w:styleId="EMINumbers">
    <w:name w:val="EMI Numbers"/>
    <w:uiPriority w:val="99"/>
    <w:rsid w:val="00F62A49"/>
    <w:pPr>
      <w:numPr>
        <w:numId w:val="1"/>
      </w:numPr>
    </w:p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character" w:customStyle="1" w:styleId="Heading5Char">
    <w:name w:val="Heading 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paragraph" w:styleId="TOC1">
    <w:name w:val="toc 1"/>
    <w:next w:val="Normal"/>
    <w:autoRedefine/>
    <w:uiPriority w:val="39"/>
    <w:unhideWhenUsed/>
    <w:rsid w:val="00A80506"/>
    <w:pPr>
      <w:tabs>
        <w:tab w:val="left" w:pos="395"/>
        <w:tab w:val="left" w:pos="426"/>
        <w:tab w:val="right" w:leader="dot" w:pos="9346"/>
      </w:tabs>
      <w:spacing w:before="120"/>
    </w:pPr>
    <w:rPr>
      <w:rFonts w:ascii="Proxima Nova Light" w:hAnsi="Proxima Nova Light"/>
      <w:bCs/>
      <w:color w:val="FF6D2E" w:themeColor="accent1"/>
      <w:sz w:val="22"/>
      <w:szCs w:val="22"/>
    </w:rPr>
  </w:style>
  <w:style w:type="paragraph" w:styleId="TOC2">
    <w:name w:val="toc 2"/>
    <w:basedOn w:val="Normal"/>
    <w:next w:val="Normal"/>
    <w:autoRedefine/>
    <w:uiPriority w:val="39"/>
    <w:unhideWhenUsed/>
    <w:rsid w:val="00F56D2B"/>
    <w:pPr>
      <w:tabs>
        <w:tab w:val="left" w:pos="925"/>
        <w:tab w:val="left" w:pos="997"/>
        <w:tab w:val="right" w:leader="dot" w:pos="9346"/>
      </w:tabs>
      <w:spacing w:before="40"/>
      <w:ind w:left="504"/>
      <w:contextualSpacing/>
    </w:pPr>
  </w:style>
  <w:style w:type="paragraph" w:styleId="TOC3">
    <w:name w:val="toc 3"/>
    <w:basedOn w:val="Normal"/>
    <w:next w:val="Normal"/>
    <w:autoRedefine/>
    <w:uiPriority w:val="39"/>
    <w:unhideWhenUsed/>
    <w:rsid w:val="00A80506"/>
    <w:pPr>
      <w:tabs>
        <w:tab w:val="right" w:leader="dot" w:pos="9346"/>
      </w:tabs>
      <w:spacing w:before="20"/>
      <w:ind w:left="1080"/>
      <w:contextualSpacing/>
    </w:pPr>
    <w:rPr>
      <w:i/>
    </w:rPr>
  </w:style>
  <w:style w:type="paragraph" w:styleId="TOC4">
    <w:name w:val="toc 4"/>
    <w:basedOn w:val="Normal"/>
    <w:next w:val="Normal"/>
    <w:autoRedefine/>
    <w:uiPriority w:val="39"/>
    <w:unhideWhenUsed/>
    <w:rsid w:val="00A80506"/>
    <w:pPr>
      <w:tabs>
        <w:tab w:val="right" w:leader="dot" w:pos="9346"/>
      </w:tabs>
      <w:ind w:left="1296"/>
    </w:pPr>
    <w:rPr>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character" w:styleId="Strong">
    <w:name w:val="Strong"/>
    <w:basedOn w:val="DefaultParagraphFont"/>
    <w:uiPriority w:val="22"/>
    <w:rsid w:val="005C03A9"/>
    <w:rPr>
      <w:b/>
      <w:bCs/>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customStyle="1" w:styleId="ESMemoHeading1">
    <w:name w:val="ES/Memo Heading 1"/>
    <w:aliases w:val="M1"/>
    <w:next w:val="Normal"/>
    <w:qFormat/>
    <w:rsid w:val="00216411"/>
    <w:pPr>
      <w:keepNext/>
      <w:spacing w:before="360" w:after="180"/>
    </w:pPr>
    <w:rPr>
      <w:rFonts w:ascii="Proxima Nova Light" w:hAnsi="Proxima Nova Light"/>
      <w:color w:val="FF6D2E" w:themeColor="accent1"/>
      <w:sz w:val="34"/>
    </w:rPr>
  </w:style>
  <w:style w:type="paragraph" w:customStyle="1" w:styleId="ESMemoHeading2">
    <w:name w:val="ES/Memo Heading 2"/>
    <w:aliases w:val="M2"/>
    <w:next w:val="Normal"/>
    <w:qFormat/>
    <w:rsid w:val="001217DF"/>
    <w:pPr>
      <w:keepNext/>
      <w:spacing w:before="360" w:after="220"/>
    </w:pPr>
    <w:rPr>
      <w:rFonts w:ascii="Proxima Nova Light" w:hAnsi="Proxima Nova Light"/>
      <w:color w:val="8B8B8B" w:themeColor="text1" w:themeTint="80"/>
      <w:sz w:val="30"/>
    </w:rPr>
  </w:style>
  <w:style w:type="paragraph" w:customStyle="1" w:styleId="ESMemoHeading3">
    <w:name w:val="ES/Memo Heading 3"/>
    <w:aliases w:val="M3"/>
    <w:next w:val="Normal"/>
    <w:qFormat/>
    <w:rsid w:val="001217DF"/>
    <w:pPr>
      <w:keepNext/>
      <w:spacing w:before="360" w:after="200"/>
    </w:pPr>
    <w:rPr>
      <w:rFonts w:ascii="Proxima Nova Light" w:hAnsi="Proxima Nova Light"/>
      <w:color w:val="8B8B8B" w:themeColor="text1" w:themeTint="80"/>
    </w:rPr>
  </w:style>
  <w:style w:type="paragraph" w:styleId="ListParagraph">
    <w:name w:val="List Paragraph"/>
    <w:basedOn w:val="Normal"/>
    <w:link w:val="ListParagraphChar"/>
    <w:uiPriority w:val="34"/>
    <w:qFormat/>
    <w:rsid w:val="007E4C10"/>
    <w:pPr>
      <w:ind w:left="720"/>
      <w:contextualSpacing/>
    </w:pPr>
  </w:style>
  <w:style w:type="paragraph" w:styleId="Caption">
    <w:name w:val="caption"/>
    <w:basedOn w:val="Normal"/>
    <w:next w:val="Normal"/>
    <w:link w:val="CaptionChar"/>
    <w:uiPriority w:val="35"/>
    <w:unhideWhenUsed/>
    <w:qFormat/>
    <w:rsid w:val="0077100C"/>
    <w:pPr>
      <w:keepNext/>
      <w:spacing w:before="160" w:after="160"/>
    </w:pPr>
    <w:rPr>
      <w:b/>
      <w:bCs/>
      <w:sz w:val="20"/>
      <w:szCs w:val="18"/>
    </w:rPr>
  </w:style>
  <w:style w:type="numbering" w:customStyle="1" w:styleId="EMIBullets">
    <w:name w:val="EMI Bullets"/>
    <w:uiPriority w:val="99"/>
    <w:rsid w:val="004E4D01"/>
    <w:pPr>
      <w:numPr>
        <w:numId w:val="2"/>
      </w:numPr>
    </w:pPr>
  </w:style>
  <w:style w:type="paragraph" w:styleId="BalloonText">
    <w:name w:val="Balloon Text"/>
    <w:basedOn w:val="Normal"/>
    <w:link w:val="BalloonTextChar"/>
    <w:uiPriority w:val="99"/>
    <w:semiHidden/>
    <w:unhideWhenUsed/>
    <w:rsid w:val="00D454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54F2"/>
    <w:rPr>
      <w:rFonts w:ascii="Lucida Grande" w:hAnsi="Lucida Grande" w:cs="Lucida Grande"/>
      <w:sz w:val="18"/>
      <w:szCs w:val="18"/>
    </w:rPr>
  </w:style>
  <w:style w:type="paragraph" w:styleId="FootnoteText">
    <w:name w:val="footnote text"/>
    <w:aliases w:val="EMI Footnote Text"/>
    <w:basedOn w:val="Normal"/>
    <w:link w:val="FootnoteTextChar"/>
    <w:uiPriority w:val="99"/>
    <w:unhideWhenUsed/>
    <w:qFormat/>
    <w:rsid w:val="00F56D2B"/>
    <w:pPr>
      <w:spacing w:line="200" w:lineRule="exact"/>
    </w:pPr>
    <w:rPr>
      <w:sz w:val="18"/>
    </w:rPr>
  </w:style>
  <w:style w:type="numbering" w:customStyle="1" w:styleId="EMINumberedList">
    <w:name w:val="EMI Numbered List"/>
    <w:uiPriority w:val="99"/>
    <w:rsid w:val="00A2690C"/>
    <w:pPr>
      <w:numPr>
        <w:numId w:val="4"/>
      </w:numPr>
    </w:pPr>
  </w:style>
  <w:style w:type="character" w:customStyle="1" w:styleId="FootnoteTextChar">
    <w:name w:val="Footnote Text Char"/>
    <w:aliases w:val="EMI Footnote Text Char"/>
    <w:basedOn w:val="DefaultParagraphFont"/>
    <w:link w:val="FootnoteText"/>
    <w:uiPriority w:val="99"/>
    <w:rsid w:val="00F56D2B"/>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basedOn w:val="Normal"/>
    <w:link w:val="HeaderChar"/>
    <w:uiPriority w:val="99"/>
    <w:unhideWhenUsed/>
    <w:rsid w:val="008D277C"/>
    <w:pPr>
      <w:pBdr>
        <w:bottom w:val="single" w:sz="18" w:space="6" w:color="D9D9D9" w:themeColor="background1" w:themeShade="D9"/>
      </w:pBdr>
      <w:tabs>
        <w:tab w:val="center" w:pos="4320"/>
        <w:tab w:val="right" w:pos="8640"/>
      </w:tabs>
      <w:spacing w:before="120" w:after="600"/>
    </w:pPr>
    <w:rPr>
      <w:spacing w:val="40"/>
      <w:szCs w:val="22"/>
    </w:rPr>
  </w:style>
  <w:style w:type="character" w:customStyle="1" w:styleId="HeaderChar">
    <w:name w:val="Header Char"/>
    <w:basedOn w:val="DefaultParagraphFont"/>
    <w:link w:val="Header"/>
    <w:uiPriority w:val="99"/>
    <w:rsid w:val="008D277C"/>
    <w:rPr>
      <w:spacing w:val="40"/>
      <w:sz w:val="22"/>
      <w:szCs w:val="22"/>
    </w:rPr>
  </w:style>
  <w:style w:type="paragraph" w:styleId="Footer">
    <w:name w:val="footer"/>
    <w:basedOn w:val="Normal"/>
    <w:link w:val="FooterChar"/>
    <w:uiPriority w:val="99"/>
    <w:unhideWhenUsed/>
    <w:rsid w:val="005722C6"/>
    <w:pPr>
      <w:pBdr>
        <w:top w:val="single" w:sz="6" w:space="6" w:color="344D6D" w:themeColor="background2"/>
      </w:pBdr>
      <w:spacing w:before="40"/>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C006BE"/>
    <w:rPr>
      <w:rFonts w:asciiTheme="majorHAnsi" w:hAnsiTheme="majorHAnsi"/>
      <w:b w:val="0"/>
      <w:i w:val="0"/>
      <w:color w:val="808080" w:themeColor="accent3"/>
      <w:sz w:val="18"/>
      <w:bdr w:val="none" w:sz="0" w:space="0" w:color="auto"/>
    </w:rPr>
  </w:style>
  <w:style w:type="paragraph" w:styleId="ListBullet3">
    <w:name w:val="List Bullet 3"/>
    <w:basedOn w:val="Normal"/>
    <w:uiPriority w:val="99"/>
    <w:unhideWhenUsed/>
    <w:rsid w:val="004E4D01"/>
    <w:pPr>
      <w:numPr>
        <w:ilvl w:val="2"/>
        <w:numId w:val="7"/>
      </w:numPr>
      <w:contextualSpacing/>
      <w:outlineLvl w:val="2"/>
    </w:p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ITable">
    <w:name w:val="EMI Table"/>
    <w:basedOn w:val="TableNormal"/>
    <w:uiPriority w:val="99"/>
    <w:rsid w:val="00A80506"/>
    <w:pPr>
      <w:keepNext/>
      <w:spacing w:before="40" w:after="40"/>
      <w:jc w:val="right"/>
    </w:pPr>
    <w:rPr>
      <w:sz w:val="18"/>
      <w:szCs w:val="18"/>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V w:val="single" w:sz="4" w:space="0" w:color="D9D9D9" w:themeColor="background1" w:themeShade="D9"/>
      </w:tblBorders>
    </w:tblPr>
    <w:tcPr>
      <w:shd w:val="clear" w:color="auto" w:fill="F2F9F8"/>
      <w:vAlign w:val="center"/>
    </w:tcPr>
    <w:tblStylePr w:type="firstRow">
      <w:pPr>
        <w:wordWrap/>
        <w:spacing w:beforeLines="0" w:before="40" w:beforeAutospacing="0" w:afterLines="0" w:after="40" w:afterAutospacing="0"/>
        <w:ind w:leftChars="0" w:left="0" w:rightChars="0" w:right="0"/>
        <w:jc w:val="center"/>
      </w:pPr>
      <w:rPr>
        <w:rFonts w:asciiTheme="minorHAnsi" w:hAnsiTheme="minorHAnsi"/>
        <w:b/>
        <w:i w:val="0"/>
        <w:color w:val="auto"/>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E4E5E6"/>
      </w:tcPr>
    </w:tblStylePr>
    <w:tblStylePr w:type="lastRow">
      <w:pPr>
        <w:wordWrap/>
        <w:ind w:rightChars="0" w:right="0"/>
      </w:pPr>
      <w:rPr>
        <w:rFonts w:asciiTheme="minorHAnsi" w:hAnsiTheme="minorHAnsi"/>
        <w:b/>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auto"/>
      </w:tcPr>
    </w:tblStylePr>
    <w:tblStylePr w:type="firstCol">
      <w:pPr>
        <w:wordWrap/>
        <w:ind w:firstLineChars="0" w:firstLine="0"/>
        <w:jc w:val="left"/>
      </w:pPr>
      <w:rPr>
        <w:rFonts w:asciiTheme="minorHAnsi" w:hAnsiTheme="minorHAnsi"/>
        <w:b w:val="0"/>
        <w:i w:val="0"/>
        <w:sz w:val="18"/>
      </w:rPr>
    </w:tblStylePr>
    <w:tblStylePr w:type="lastCol">
      <w:rPr>
        <w:sz w:val="18"/>
      </w:rPr>
    </w:tblStylePr>
    <w:tblStylePr w:type="band1Vert">
      <w:rPr>
        <w:sz w:val="18"/>
      </w:rPr>
    </w:tblStylePr>
    <w:tblStylePr w:type="band2Vert">
      <w:rPr>
        <w:sz w:val="18"/>
      </w:rPr>
    </w:tblStylePr>
    <w:tblStylePr w:type="band1Horz">
      <w:pPr>
        <w:keepNext/>
        <w:wordWrap/>
        <w:ind w:rightChars="0" w:right="0" w:firstLineChars="0" w:firstLine="0"/>
      </w:pPr>
      <w:rPr>
        <w:color w:val="auto"/>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FFFFFF" w:themeFill="background1"/>
      </w:tcPr>
    </w:tblStylePr>
    <w:tblStylePr w:type="band2Horz">
      <w:pPr>
        <w:keepNext/>
        <w:wordWrap/>
        <w:ind w:rightChars="0" w:right="0"/>
      </w:pPr>
      <w:rPr>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F9F9F8"/>
      </w:tcPr>
    </w:tblStylePr>
    <w:tblStylePr w:type="neCell">
      <w:rPr>
        <w:sz w:val="18"/>
      </w:rPr>
    </w:tblStylePr>
    <w:tblStylePr w:type="nwCell">
      <w:rPr>
        <w:sz w:val="18"/>
      </w:rPr>
    </w:tblStylePr>
    <w:tblStylePr w:type="seCell">
      <w:rPr>
        <w:sz w:val="18"/>
      </w:rPr>
    </w:tblStylePr>
    <w:tblStylePr w:type="swCell">
      <w:rPr>
        <w:sz w:val="18"/>
      </w:rPr>
    </w:tblStylePr>
  </w:style>
  <w:style w:type="paragraph" w:styleId="Date">
    <w:name w:val="Date"/>
    <w:basedOn w:val="Normal"/>
    <w:next w:val="Normal"/>
    <w:link w:val="DateChar"/>
    <w:uiPriority w:val="99"/>
    <w:unhideWhenUsed/>
    <w:rsid w:val="00EE0424"/>
    <w:rPr>
      <w:rFonts w:ascii="Helvetica Light" w:hAnsi="Helvetica Light"/>
      <w:color w:val="8B8B8B" w:themeColor="text1" w:themeTint="80"/>
    </w:rPr>
  </w:style>
  <w:style w:type="character" w:customStyle="1" w:styleId="DateChar">
    <w:name w:val="Date Char"/>
    <w:basedOn w:val="DefaultParagraphFont"/>
    <w:link w:val="Date"/>
    <w:uiPriority w:val="99"/>
    <w:rsid w:val="00EE0424"/>
    <w:rPr>
      <w:rFonts w:ascii="Helvetica Light" w:hAnsi="Helvetica Light"/>
      <w:color w:val="8B8B8B" w:themeColor="text1" w:themeTint="80"/>
      <w:sz w:val="22"/>
    </w:rPr>
  </w:style>
  <w:style w:type="paragraph" w:customStyle="1" w:styleId="TableFootnote">
    <w:name w:val="Table Footnote"/>
    <w:basedOn w:val="Normal"/>
    <w:next w:val="Normal"/>
    <w:qFormat/>
    <w:rsid w:val="00886190"/>
    <w:pPr>
      <w:spacing w:before="140" w:line="200" w:lineRule="atLeast"/>
      <w:contextualSpacing/>
    </w:pPr>
    <w:rPr>
      <w:sz w:val="18"/>
      <w:szCs w:val="18"/>
    </w:rPr>
  </w:style>
  <w:style w:type="paragraph" w:styleId="TOAHeading">
    <w:name w:val="toa heading"/>
    <w:basedOn w:val="Normal"/>
    <w:next w:val="Normal"/>
    <w:uiPriority w:val="99"/>
    <w:unhideWhenUsed/>
    <w:rsid w:val="00B25AE4"/>
    <w:pPr>
      <w:spacing w:before="120" w:after="220"/>
      <w:jc w:val="center"/>
    </w:pPr>
    <w:rPr>
      <w:rFonts w:asciiTheme="majorHAnsi" w:eastAsiaTheme="majorEastAsia" w:hAnsiTheme="majorHAnsi" w:cstheme="majorBidi"/>
      <w:caps/>
      <w:spacing w:val="8"/>
      <w:sz w:val="24"/>
    </w:rPr>
  </w:style>
  <w:style w:type="numbering" w:customStyle="1" w:styleId="AppendixNumbering">
    <w:name w:val="Appendix Numbering"/>
    <w:uiPriority w:val="99"/>
    <w:rsid w:val="00E54395"/>
    <w:pPr>
      <w:numPr>
        <w:numId w:val="17"/>
      </w:numPr>
    </w:pPr>
  </w:style>
  <w:style w:type="paragraph" w:customStyle="1" w:styleId="EMIBulletSpacingL1">
    <w:name w:val="EMI Bullet Spacing L1"/>
    <w:aliases w:val="B1"/>
    <w:qFormat/>
    <w:rsid w:val="00F56D2B"/>
    <w:pPr>
      <w:numPr>
        <w:numId w:val="45"/>
      </w:numPr>
      <w:spacing w:before="60" w:after="40" w:line="260" w:lineRule="exact"/>
    </w:pPr>
    <w:rPr>
      <w:rFonts w:eastAsia="Times New Roman" w:cs="Times New Roman"/>
      <w:sz w:val="22"/>
    </w:rPr>
  </w:style>
  <w:style w:type="paragraph" w:customStyle="1" w:styleId="EMIBulletSpacingL2">
    <w:name w:val="EMI Bullet Spacing L2"/>
    <w:aliases w:val="B2"/>
    <w:qFormat/>
    <w:rsid w:val="00E3016C"/>
    <w:pPr>
      <w:numPr>
        <w:ilvl w:val="1"/>
        <w:numId w:val="45"/>
      </w:numPr>
      <w:spacing w:before="40" w:after="40"/>
      <w:outlineLvl w:val="1"/>
    </w:pPr>
    <w:rPr>
      <w:rFonts w:eastAsia="Times New Roman" w:cs="Times New Roman"/>
      <w:sz w:val="22"/>
    </w:rPr>
  </w:style>
  <w:style w:type="numbering" w:customStyle="1" w:styleId="EMITableFootnoteList">
    <w:name w:val="EMI Table Footnote List"/>
    <w:uiPriority w:val="99"/>
    <w:rsid w:val="00937854"/>
    <w:pPr>
      <w:numPr>
        <w:numId w:val="48"/>
      </w:numPr>
    </w:pPr>
  </w:style>
  <w:style w:type="paragraph" w:styleId="DocumentMap">
    <w:name w:val="Document Map"/>
    <w:basedOn w:val="Normal"/>
    <w:link w:val="DocumentMapChar"/>
    <w:uiPriority w:val="99"/>
    <w:semiHidden/>
    <w:unhideWhenUsed/>
    <w:rsid w:val="000063B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63B0"/>
    <w:rPr>
      <w:rFonts w:ascii="Lucida Grande" w:hAnsi="Lucida Grande" w:cs="Lucida Grande"/>
    </w:rPr>
  </w:style>
  <w:style w:type="character" w:customStyle="1" w:styleId="Semibold">
    <w:name w:val="Semibold"/>
    <w:basedOn w:val="DefaultParagraphFont"/>
    <w:uiPriority w:val="1"/>
    <w:qFormat/>
    <w:rsid w:val="002F52B5"/>
    <w:rPr>
      <w:rFonts w:asciiTheme="majorHAnsi" w:hAnsiTheme="majorHAnsi"/>
    </w:rPr>
  </w:style>
  <w:style w:type="character" w:customStyle="1" w:styleId="ListParagraphChar">
    <w:name w:val="List Paragraph Char"/>
    <w:link w:val="ListParagraph"/>
    <w:uiPriority w:val="34"/>
    <w:rsid w:val="00ED6C08"/>
    <w:rPr>
      <w:sz w:val="22"/>
    </w:rPr>
  </w:style>
  <w:style w:type="character" w:styleId="CommentReference">
    <w:name w:val="annotation reference"/>
    <w:basedOn w:val="DefaultParagraphFont"/>
    <w:uiPriority w:val="99"/>
    <w:semiHidden/>
    <w:unhideWhenUsed/>
    <w:rsid w:val="009F770E"/>
    <w:rPr>
      <w:sz w:val="18"/>
      <w:szCs w:val="18"/>
    </w:rPr>
  </w:style>
  <w:style w:type="paragraph" w:styleId="CommentText">
    <w:name w:val="annotation text"/>
    <w:basedOn w:val="Normal"/>
    <w:link w:val="CommentTextChar"/>
    <w:uiPriority w:val="99"/>
    <w:semiHidden/>
    <w:unhideWhenUsed/>
    <w:rsid w:val="009F770E"/>
    <w:pPr>
      <w:spacing w:line="240" w:lineRule="auto"/>
    </w:pPr>
    <w:rPr>
      <w:sz w:val="24"/>
    </w:rPr>
  </w:style>
  <w:style w:type="character" w:customStyle="1" w:styleId="CommentTextChar">
    <w:name w:val="Comment Text Char"/>
    <w:basedOn w:val="DefaultParagraphFont"/>
    <w:link w:val="CommentText"/>
    <w:uiPriority w:val="99"/>
    <w:semiHidden/>
    <w:rsid w:val="009F770E"/>
  </w:style>
  <w:style w:type="paragraph" w:styleId="CommentSubject">
    <w:name w:val="annotation subject"/>
    <w:basedOn w:val="CommentText"/>
    <w:next w:val="CommentText"/>
    <w:link w:val="CommentSubjectChar"/>
    <w:uiPriority w:val="99"/>
    <w:semiHidden/>
    <w:unhideWhenUsed/>
    <w:rsid w:val="009F770E"/>
    <w:rPr>
      <w:b/>
      <w:bCs/>
      <w:sz w:val="20"/>
      <w:szCs w:val="20"/>
    </w:rPr>
  </w:style>
  <w:style w:type="character" w:customStyle="1" w:styleId="CommentSubjectChar">
    <w:name w:val="Comment Subject Char"/>
    <w:basedOn w:val="CommentTextChar"/>
    <w:link w:val="CommentSubject"/>
    <w:uiPriority w:val="99"/>
    <w:semiHidden/>
    <w:rsid w:val="009F770E"/>
    <w:rPr>
      <w:b/>
      <w:bCs/>
      <w:sz w:val="20"/>
      <w:szCs w:val="20"/>
    </w:rPr>
  </w:style>
  <w:style w:type="paragraph" w:styleId="Revision">
    <w:name w:val="Revision"/>
    <w:hidden/>
    <w:uiPriority w:val="99"/>
    <w:semiHidden/>
    <w:rsid w:val="007D3988"/>
    <w:rPr>
      <w:sz w:val="22"/>
    </w:rPr>
  </w:style>
  <w:style w:type="character" w:styleId="Hyperlink">
    <w:name w:val="Hyperlink"/>
    <w:basedOn w:val="DefaultParagraphFont"/>
    <w:uiPriority w:val="99"/>
    <w:unhideWhenUsed/>
    <w:rsid w:val="006C4BE2"/>
    <w:rPr>
      <w:color w:val="F4CE25" w:themeColor="hyperlink"/>
      <w:u w:val="single"/>
    </w:rPr>
  </w:style>
  <w:style w:type="character" w:customStyle="1" w:styleId="CaptionChar">
    <w:name w:val="Caption Char"/>
    <w:link w:val="Caption"/>
    <w:uiPriority w:val="35"/>
    <w:locked/>
    <w:rsid w:val="004477B3"/>
    <w:rPr>
      <w:b/>
      <w:bCs/>
      <w:sz w:val="20"/>
      <w:szCs w:val="18"/>
    </w:rPr>
  </w:style>
  <w:style w:type="character" w:styleId="FollowedHyperlink">
    <w:name w:val="FollowedHyperlink"/>
    <w:basedOn w:val="DefaultParagraphFont"/>
    <w:uiPriority w:val="99"/>
    <w:semiHidden/>
    <w:unhideWhenUsed/>
    <w:rsid w:val="00FD71C6"/>
    <w:rPr>
      <w:color w:val="71903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4817">
      <w:bodyDiv w:val="1"/>
      <w:marLeft w:val="0"/>
      <w:marRight w:val="0"/>
      <w:marTop w:val="0"/>
      <w:marBottom w:val="0"/>
      <w:divBdr>
        <w:top w:val="none" w:sz="0" w:space="0" w:color="auto"/>
        <w:left w:val="none" w:sz="0" w:space="0" w:color="auto"/>
        <w:bottom w:val="none" w:sz="0" w:space="0" w:color="auto"/>
        <w:right w:val="none" w:sz="0" w:space="0" w:color="auto"/>
      </w:divBdr>
    </w:div>
    <w:div w:id="255406493">
      <w:bodyDiv w:val="1"/>
      <w:marLeft w:val="0"/>
      <w:marRight w:val="0"/>
      <w:marTop w:val="0"/>
      <w:marBottom w:val="0"/>
      <w:divBdr>
        <w:top w:val="none" w:sz="0" w:space="0" w:color="auto"/>
        <w:left w:val="none" w:sz="0" w:space="0" w:color="auto"/>
        <w:bottom w:val="none" w:sz="0" w:space="0" w:color="auto"/>
        <w:right w:val="none" w:sz="0" w:space="0" w:color="auto"/>
      </w:divBdr>
    </w:div>
    <w:div w:id="346642723">
      <w:bodyDiv w:val="1"/>
      <w:marLeft w:val="0"/>
      <w:marRight w:val="0"/>
      <w:marTop w:val="0"/>
      <w:marBottom w:val="0"/>
      <w:divBdr>
        <w:top w:val="none" w:sz="0" w:space="0" w:color="auto"/>
        <w:left w:val="none" w:sz="0" w:space="0" w:color="auto"/>
        <w:bottom w:val="none" w:sz="0" w:space="0" w:color="auto"/>
        <w:right w:val="none" w:sz="0" w:space="0" w:color="auto"/>
      </w:divBdr>
    </w:div>
    <w:div w:id="441847668">
      <w:bodyDiv w:val="1"/>
      <w:marLeft w:val="0"/>
      <w:marRight w:val="0"/>
      <w:marTop w:val="0"/>
      <w:marBottom w:val="0"/>
      <w:divBdr>
        <w:top w:val="none" w:sz="0" w:space="0" w:color="auto"/>
        <w:left w:val="none" w:sz="0" w:space="0" w:color="auto"/>
        <w:bottom w:val="none" w:sz="0" w:space="0" w:color="auto"/>
        <w:right w:val="none" w:sz="0" w:space="0" w:color="auto"/>
      </w:divBdr>
    </w:div>
    <w:div w:id="721637504">
      <w:bodyDiv w:val="1"/>
      <w:marLeft w:val="0"/>
      <w:marRight w:val="0"/>
      <w:marTop w:val="0"/>
      <w:marBottom w:val="0"/>
      <w:divBdr>
        <w:top w:val="none" w:sz="0" w:space="0" w:color="auto"/>
        <w:left w:val="none" w:sz="0" w:space="0" w:color="auto"/>
        <w:bottom w:val="none" w:sz="0" w:space="0" w:color="auto"/>
        <w:right w:val="none" w:sz="0" w:space="0" w:color="auto"/>
      </w:divBdr>
    </w:div>
    <w:div w:id="749304415">
      <w:bodyDiv w:val="1"/>
      <w:marLeft w:val="0"/>
      <w:marRight w:val="0"/>
      <w:marTop w:val="0"/>
      <w:marBottom w:val="0"/>
      <w:divBdr>
        <w:top w:val="none" w:sz="0" w:space="0" w:color="auto"/>
        <w:left w:val="none" w:sz="0" w:space="0" w:color="auto"/>
        <w:bottom w:val="none" w:sz="0" w:space="0" w:color="auto"/>
        <w:right w:val="none" w:sz="0" w:space="0" w:color="auto"/>
      </w:divBdr>
    </w:div>
    <w:div w:id="991519405">
      <w:bodyDiv w:val="1"/>
      <w:marLeft w:val="0"/>
      <w:marRight w:val="0"/>
      <w:marTop w:val="0"/>
      <w:marBottom w:val="0"/>
      <w:divBdr>
        <w:top w:val="none" w:sz="0" w:space="0" w:color="auto"/>
        <w:left w:val="none" w:sz="0" w:space="0" w:color="auto"/>
        <w:bottom w:val="none" w:sz="0" w:space="0" w:color="auto"/>
        <w:right w:val="none" w:sz="0" w:space="0" w:color="auto"/>
      </w:divBdr>
    </w:div>
    <w:div w:id="1040783386">
      <w:bodyDiv w:val="1"/>
      <w:marLeft w:val="0"/>
      <w:marRight w:val="0"/>
      <w:marTop w:val="0"/>
      <w:marBottom w:val="0"/>
      <w:divBdr>
        <w:top w:val="none" w:sz="0" w:space="0" w:color="auto"/>
        <w:left w:val="none" w:sz="0" w:space="0" w:color="auto"/>
        <w:bottom w:val="none" w:sz="0" w:space="0" w:color="auto"/>
        <w:right w:val="none" w:sz="0" w:space="0" w:color="auto"/>
      </w:divBdr>
    </w:div>
    <w:div w:id="1066299004">
      <w:bodyDiv w:val="1"/>
      <w:marLeft w:val="0"/>
      <w:marRight w:val="0"/>
      <w:marTop w:val="0"/>
      <w:marBottom w:val="0"/>
      <w:divBdr>
        <w:top w:val="none" w:sz="0" w:space="0" w:color="auto"/>
        <w:left w:val="none" w:sz="0" w:space="0" w:color="auto"/>
        <w:bottom w:val="none" w:sz="0" w:space="0" w:color="auto"/>
        <w:right w:val="none" w:sz="0" w:space="0" w:color="auto"/>
      </w:divBdr>
    </w:div>
    <w:div w:id="1207134482">
      <w:bodyDiv w:val="1"/>
      <w:marLeft w:val="0"/>
      <w:marRight w:val="0"/>
      <w:marTop w:val="0"/>
      <w:marBottom w:val="0"/>
      <w:divBdr>
        <w:top w:val="none" w:sz="0" w:space="0" w:color="auto"/>
        <w:left w:val="none" w:sz="0" w:space="0" w:color="auto"/>
        <w:bottom w:val="none" w:sz="0" w:space="0" w:color="auto"/>
        <w:right w:val="none" w:sz="0" w:space="0" w:color="auto"/>
      </w:divBdr>
    </w:div>
    <w:div w:id="1209606753">
      <w:bodyDiv w:val="1"/>
      <w:marLeft w:val="0"/>
      <w:marRight w:val="0"/>
      <w:marTop w:val="0"/>
      <w:marBottom w:val="0"/>
      <w:divBdr>
        <w:top w:val="none" w:sz="0" w:space="0" w:color="auto"/>
        <w:left w:val="none" w:sz="0" w:space="0" w:color="auto"/>
        <w:bottom w:val="none" w:sz="0" w:space="0" w:color="auto"/>
        <w:right w:val="none" w:sz="0" w:space="0" w:color="auto"/>
      </w:divBdr>
    </w:div>
    <w:div w:id="1378506485">
      <w:bodyDiv w:val="1"/>
      <w:marLeft w:val="0"/>
      <w:marRight w:val="0"/>
      <w:marTop w:val="0"/>
      <w:marBottom w:val="0"/>
      <w:divBdr>
        <w:top w:val="none" w:sz="0" w:space="0" w:color="auto"/>
        <w:left w:val="none" w:sz="0" w:space="0" w:color="auto"/>
        <w:bottom w:val="none" w:sz="0" w:space="0" w:color="auto"/>
        <w:right w:val="none" w:sz="0" w:space="0" w:color="auto"/>
      </w:divBdr>
    </w:div>
    <w:div w:id="1685404575">
      <w:bodyDiv w:val="1"/>
      <w:marLeft w:val="0"/>
      <w:marRight w:val="0"/>
      <w:marTop w:val="0"/>
      <w:marBottom w:val="0"/>
      <w:divBdr>
        <w:top w:val="none" w:sz="0" w:space="0" w:color="auto"/>
        <w:left w:val="none" w:sz="0" w:space="0" w:color="auto"/>
        <w:bottom w:val="none" w:sz="0" w:space="0" w:color="auto"/>
        <w:right w:val="none" w:sz="0" w:space="0" w:color="auto"/>
      </w:divBdr>
    </w:div>
    <w:div w:id="1707756961">
      <w:bodyDiv w:val="1"/>
      <w:marLeft w:val="0"/>
      <w:marRight w:val="0"/>
      <w:marTop w:val="0"/>
      <w:marBottom w:val="0"/>
      <w:divBdr>
        <w:top w:val="none" w:sz="0" w:space="0" w:color="auto"/>
        <w:left w:val="none" w:sz="0" w:space="0" w:color="auto"/>
        <w:bottom w:val="none" w:sz="0" w:space="0" w:color="auto"/>
        <w:right w:val="none" w:sz="0" w:space="0" w:color="auto"/>
      </w:divBdr>
    </w:div>
    <w:div w:id="20656435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footnotes.xml.rels><?xml version="1.0" encoding="UTF-8" standalone="yes"?>
<Relationships xmlns="http://schemas.openxmlformats.org/package/2006/relationships"><Relationship Id="rId3" Type="http://schemas.openxmlformats.org/officeDocument/2006/relationships/hyperlink" Target="http://www.ecw.org/resource_detail.php?resultid=430" TargetMode="External"/><Relationship Id="rId2" Type="http://schemas.openxmlformats.org/officeDocument/2006/relationships/hyperlink" Target="http://www.energy.ca.gov/appliances/2003rulemaking/documents/public_comments/2004-8-13_AHAM.PDF" TargetMode="External"/><Relationship Id="rId1" Type="http://schemas.openxmlformats.org/officeDocument/2006/relationships/hyperlink" Target="http://www.energy.ca.gov/appliances/2003rulemaking/documents/case_studies/CASE_Port_Room_Air_Cleaner.pdf" TargetMode="External"/><Relationship Id="rId6" Type="http://schemas.openxmlformats.org/officeDocument/2006/relationships/hyperlink" Target="http://www.energy.ca.gov/appliances/2003rulemaking/documents/case_studies/CASE_Port_Room_Air_Cleaner.pdf" TargetMode="External"/><Relationship Id="rId5" Type="http://schemas.openxmlformats.org/officeDocument/2006/relationships/hyperlink" Target="http://www.energy.ca.gov/appliances/2003rulemaking/documents/case_studies/CASE_Port_Room_Air_Cleaner.pdf" TargetMode="External"/><Relationship Id="rId4" Type="http://schemas.openxmlformats.org/officeDocument/2006/relationships/hyperlink" Target="https://www.google.com/url?sa=t&amp;rct=j&amp;q=&amp;esrc=s&amp;source=web&amp;cd=1&amp;ved=0ahUKEwiUqdumjp_QAhVB0WMKHS_GB8QQFggdMAA&amp;url=https%3A%2F%2Fwww.energystar.gov%2Fsites%2Fdefault%2Ffiles%2Fasset%2Fdocument%2Fappliance_calculator.xlsx&amp;usg=AFQjCNFAy5-mu5GR3BjLp4MR1LqrOHegCA&amp;sig2=Jo5zpqOmtzEgwd_Q5iESIA" TargetMode="External"/></Relationships>
</file>

<file path=word/theme/theme1.xml><?xml version="1.0" encoding="utf-8"?>
<a:theme xmlns:a="http://schemas.openxmlformats.org/drawingml/2006/main" name="EMI Consulting Them">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5B1D3-0924-4DAF-A08F-7C71923FBBB3}">
  <ds:schemaRefs>
    <ds:schemaRef ds:uri="http://schemas.openxmlformats.org/officeDocument/2006/bibliography"/>
  </ds:schemaRefs>
</ds:datastoreItem>
</file>

<file path=customXml/itemProps2.xml><?xml version="1.0" encoding="utf-8"?>
<ds:datastoreItem xmlns:ds="http://schemas.openxmlformats.org/officeDocument/2006/customXml" ds:itemID="{3F745C23-A039-4ECC-95F8-2B920FA69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3961</Words>
  <Characters>22582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2016 PG&amp;E Retail Products Platform (RPP) Air Cleaner Research Status Update</vt:lpstr>
    </vt:vector>
  </TitlesOfParts>
  <Company>EMI Consulting</Company>
  <LinksUpToDate>false</LinksUpToDate>
  <CharactersWithSpaces>26491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 PG&amp;E Retail Products Platform (RPP) Air Cleaner Research Status Update</dc:title>
  <dc:creator>MH</dc:creator>
  <cp:lastModifiedBy>Huang, Jia Chang</cp:lastModifiedBy>
  <cp:revision>4</cp:revision>
  <cp:lastPrinted>2014-05-15T17:26:00Z</cp:lastPrinted>
  <dcterms:created xsi:type="dcterms:W3CDTF">2016-12-30T23:29:00Z</dcterms:created>
  <dcterms:modified xsi:type="dcterms:W3CDTF">2016-12-31T00:29:00Z</dcterms:modified>
</cp:coreProperties>
</file>