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B551A8" w:rsidRDefault="00DA690B" w:rsidP="00DA690B">
      <w:pPr>
        <w:jc w:val="right"/>
        <w:rPr>
          <w:rFonts w:asciiTheme="minorHAnsi" w:hAnsiTheme="minorHAnsi" w:cstheme="minorHAnsi"/>
          <w:b/>
          <w:sz w:val="48"/>
          <w:szCs w:val="48"/>
        </w:rPr>
      </w:pPr>
      <w:bookmarkStart w:id="0" w:name="_Toc153189646"/>
      <w:bookmarkStart w:id="1" w:name="_Toc214003082"/>
      <w:r w:rsidRPr="00B551A8">
        <w:rPr>
          <w:rFonts w:asciiTheme="minorHAnsi" w:hAnsiTheme="minorHAnsi" w:cstheme="minorHAnsi"/>
          <w:b/>
          <w:sz w:val="48"/>
          <w:szCs w:val="48"/>
        </w:rPr>
        <w:t xml:space="preserve">Work Paper </w:t>
      </w:r>
      <w:bookmarkEnd w:id="0"/>
      <w:r w:rsidR="00B26B83" w:rsidRPr="00B551A8">
        <w:rPr>
          <w:rFonts w:asciiTheme="minorHAnsi" w:hAnsiTheme="minorHAnsi" w:cstheme="minorHAnsi"/>
          <w:b/>
          <w:sz w:val="48"/>
          <w:szCs w:val="48"/>
        </w:rPr>
        <w:t>SCE</w:t>
      </w:r>
      <w:r w:rsidR="00185B44" w:rsidRPr="00B551A8">
        <w:rPr>
          <w:rFonts w:asciiTheme="minorHAnsi" w:hAnsiTheme="minorHAnsi" w:cstheme="minorHAnsi"/>
          <w:b/>
          <w:sz w:val="48"/>
          <w:szCs w:val="48"/>
        </w:rPr>
        <w:t>13</w:t>
      </w:r>
      <w:r w:rsidR="00D615B0" w:rsidRPr="00B551A8">
        <w:rPr>
          <w:rFonts w:asciiTheme="minorHAnsi" w:hAnsiTheme="minorHAnsi" w:cstheme="minorHAnsi"/>
          <w:b/>
          <w:sz w:val="48"/>
          <w:szCs w:val="48"/>
        </w:rPr>
        <w:t>CC0</w:t>
      </w:r>
      <w:r w:rsidR="00061E9E">
        <w:rPr>
          <w:rFonts w:asciiTheme="minorHAnsi" w:hAnsiTheme="minorHAnsi" w:cstheme="minorHAnsi"/>
          <w:b/>
          <w:sz w:val="48"/>
          <w:szCs w:val="48"/>
        </w:rPr>
        <w:t>03</w:t>
      </w:r>
    </w:p>
    <w:p w:rsidR="00DA690B" w:rsidRPr="00B551A8" w:rsidRDefault="00DA690B" w:rsidP="00DA690B">
      <w:pPr>
        <w:jc w:val="right"/>
        <w:rPr>
          <w:rFonts w:asciiTheme="minorHAnsi" w:hAnsiTheme="minorHAnsi" w:cstheme="minorHAnsi"/>
          <w:b/>
          <w:sz w:val="48"/>
          <w:szCs w:val="48"/>
        </w:rPr>
      </w:pPr>
      <w:bookmarkStart w:id="2" w:name="_Toc153189647"/>
      <w:r w:rsidRPr="00B551A8">
        <w:rPr>
          <w:rFonts w:asciiTheme="minorHAnsi" w:hAnsiTheme="minorHAnsi" w:cstheme="minorHAnsi"/>
          <w:b/>
          <w:sz w:val="48"/>
          <w:szCs w:val="48"/>
        </w:rPr>
        <w:t>Revision</w:t>
      </w:r>
      <w:bookmarkEnd w:id="2"/>
      <w:r w:rsidRPr="00B551A8">
        <w:rPr>
          <w:rFonts w:asciiTheme="minorHAnsi" w:hAnsiTheme="minorHAnsi" w:cstheme="minorHAnsi"/>
          <w:b/>
          <w:sz w:val="48"/>
          <w:szCs w:val="48"/>
        </w:rPr>
        <w:t xml:space="preserve"> </w:t>
      </w:r>
      <w:r w:rsidR="00185B44" w:rsidRPr="00B551A8">
        <w:rPr>
          <w:rFonts w:asciiTheme="minorHAnsi" w:hAnsiTheme="minorHAnsi" w:cstheme="minorHAnsi"/>
          <w:b/>
          <w:sz w:val="48"/>
          <w:szCs w:val="48"/>
        </w:rPr>
        <w:t>1</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pBdr>
          <w:bottom w:val="single" w:sz="4" w:space="1" w:color="auto"/>
        </w:pBdr>
        <w:rPr>
          <w:rFonts w:asciiTheme="minorHAnsi" w:hAnsiTheme="minorHAnsi" w:cstheme="minorHAnsi"/>
          <w:b/>
          <w:sz w:val="36"/>
          <w:szCs w:val="36"/>
        </w:rPr>
      </w:pPr>
      <w:r w:rsidRPr="00B551A8">
        <w:rPr>
          <w:rFonts w:asciiTheme="minorHAnsi" w:hAnsiTheme="minorHAnsi" w:cstheme="minorHAnsi"/>
          <w:b/>
          <w:sz w:val="36"/>
          <w:szCs w:val="36"/>
        </w:rPr>
        <w:t>Southern California Edison Company</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9D0753" w:rsidP="009D0753">
      <w:pPr>
        <w:tabs>
          <w:tab w:val="left" w:pos="8190"/>
        </w:tabs>
        <w:rPr>
          <w:rFonts w:asciiTheme="minorHAnsi" w:hAnsiTheme="minorHAnsi" w:cstheme="minorHAnsi"/>
        </w:rPr>
      </w:pPr>
      <w:r w:rsidRPr="00B551A8">
        <w:rPr>
          <w:rFonts w:asciiTheme="minorHAnsi" w:hAnsiTheme="minorHAnsi" w:cstheme="minorHAnsi"/>
        </w:rPr>
        <w:tab/>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517A38" w:rsidP="00DA690B">
      <w:pPr>
        <w:rPr>
          <w:rFonts w:asciiTheme="minorHAnsi" w:hAnsiTheme="minorHAnsi" w:cstheme="minorHAnsi"/>
          <w:b/>
          <w:sz w:val="72"/>
          <w:szCs w:val="72"/>
        </w:rPr>
      </w:pPr>
      <w:r w:rsidRPr="00B551A8">
        <w:rPr>
          <w:rFonts w:asciiTheme="minorHAnsi" w:hAnsiTheme="minorHAnsi" w:cstheme="minorHAnsi"/>
          <w:b/>
          <w:sz w:val="72"/>
          <w:szCs w:val="72"/>
        </w:rPr>
        <w:t xml:space="preserve">Commercial </w:t>
      </w:r>
      <w:r w:rsidR="00061E9E">
        <w:rPr>
          <w:rFonts w:asciiTheme="minorHAnsi" w:hAnsiTheme="minorHAnsi" w:cstheme="minorHAnsi"/>
          <w:b/>
          <w:sz w:val="72"/>
          <w:szCs w:val="72"/>
        </w:rPr>
        <w:t>Insulated Holding Cabinets</w:t>
      </w:r>
    </w:p>
    <w:p w:rsidR="00DA690B" w:rsidRPr="00B551A8" w:rsidRDefault="00DA690B" w:rsidP="00DA690B">
      <w:pPr>
        <w:pStyle w:val="reminders0"/>
        <w:rPr>
          <w:rFonts w:asciiTheme="minorHAnsi" w:hAnsiTheme="minorHAnsi" w:cstheme="minorHAnsi"/>
          <w:color w:val="auto"/>
          <w:sz w:val="22"/>
          <w:szCs w:val="22"/>
        </w:rPr>
      </w:pPr>
    </w:p>
    <w:p w:rsidR="00DA690B" w:rsidRPr="00B551A8" w:rsidRDefault="00DA690B" w:rsidP="00EB34FC">
      <w:pPr>
        <w:pStyle w:val="reminders0"/>
        <w:rPr>
          <w:rFonts w:asciiTheme="minorHAnsi" w:hAnsiTheme="minorHAnsi" w:cstheme="minorHAnsi"/>
          <w:color w:val="auto"/>
          <w:sz w:val="22"/>
          <w:szCs w:val="22"/>
        </w:rPr>
      </w:pPr>
    </w:p>
    <w:p w:rsidR="00EB34FC" w:rsidRPr="00B551A8" w:rsidRDefault="00EB34FC" w:rsidP="00EB34FC">
      <w:pPr>
        <w:rPr>
          <w:rFonts w:asciiTheme="minorHAnsi" w:hAnsiTheme="minorHAnsi" w:cstheme="minorHAnsi"/>
          <w:sz w:val="22"/>
          <w:szCs w:val="22"/>
        </w:rPr>
      </w:pPr>
    </w:p>
    <w:p w:rsidR="00EB34FC" w:rsidRPr="00B551A8" w:rsidRDefault="00EB34FC" w:rsidP="00DA690B">
      <w:pPr>
        <w:rPr>
          <w:rFonts w:asciiTheme="minorHAnsi" w:hAnsiTheme="minorHAnsi" w:cstheme="minorHAnsi"/>
          <w:sz w:val="22"/>
          <w:szCs w:val="22"/>
        </w:rPr>
        <w:sectPr w:rsidR="00EB34FC" w:rsidRPr="00B551A8">
          <w:footerReference w:type="default" r:id="rId9"/>
          <w:pgSz w:w="12240" w:h="15840"/>
          <w:pgMar w:top="1440" w:right="1440" w:bottom="1440" w:left="1440" w:header="720" w:footer="720" w:gutter="0"/>
          <w:cols w:space="720"/>
          <w:docGrid w:linePitch="360"/>
        </w:sectPr>
      </w:pPr>
    </w:p>
    <w:p w:rsidR="00290ED8" w:rsidRPr="00B551A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B551A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B551A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B551A8" w:rsidRDefault="00AC5309" w:rsidP="009824E9">
            <w:pPr>
              <w:rPr>
                <w:rStyle w:val="Strong"/>
                <w:rFonts w:asciiTheme="minorHAnsi" w:hAnsiTheme="minorHAnsi"/>
                <w:b/>
                <w:sz w:val="20"/>
                <w:szCs w:val="20"/>
              </w:rPr>
            </w:pPr>
            <w:r w:rsidRPr="00B551A8">
              <w:rPr>
                <w:rStyle w:val="Strong"/>
                <w:rFonts w:asciiTheme="minorHAnsi" w:hAnsiTheme="minorHAnsi"/>
                <w:b/>
                <w:sz w:val="20"/>
                <w:szCs w:val="20"/>
              </w:rPr>
              <w:t>Applicable Measure Codes:</w:t>
            </w:r>
          </w:p>
        </w:tc>
        <w:tc>
          <w:tcPr>
            <w:tcW w:w="6030" w:type="dxa"/>
          </w:tcPr>
          <w:p w:rsidR="00517A38" w:rsidRPr="00B551A8" w:rsidRDefault="00061E9E" w:rsidP="00AB7554">
            <w:pPr>
              <w:rPr>
                <w:rFonts w:asciiTheme="minorHAnsi" w:hAnsiTheme="minorHAnsi" w:cs="Arial"/>
                <w:b w:val="0"/>
                <w:bCs w:val="0"/>
                <w:sz w:val="20"/>
                <w:szCs w:val="20"/>
              </w:rPr>
            </w:pPr>
            <w:r w:rsidRPr="00EF7EA7">
              <w:rPr>
                <w:rFonts w:asciiTheme="minorHAnsi" w:hAnsiTheme="minorHAnsi" w:cstheme="minorHAnsi"/>
                <w:color w:val="000000"/>
                <w:sz w:val="20"/>
                <w:szCs w:val="20"/>
              </w:rPr>
              <w:t>FS-20224</w:t>
            </w:r>
            <w:r>
              <w:rPr>
                <w:rFonts w:asciiTheme="minorHAnsi" w:hAnsiTheme="minorHAnsi" w:cstheme="minorHAnsi"/>
                <w:color w:val="000000"/>
                <w:sz w:val="20"/>
                <w:szCs w:val="20"/>
              </w:rPr>
              <w:t xml:space="preserve">, </w:t>
            </w:r>
            <w:r w:rsidRPr="00EF7EA7">
              <w:rPr>
                <w:rFonts w:asciiTheme="minorHAnsi" w:hAnsiTheme="minorHAnsi" w:cstheme="minorHAnsi"/>
                <w:color w:val="000000"/>
                <w:sz w:val="20"/>
                <w:szCs w:val="20"/>
              </w:rPr>
              <w:t>FS-31559</w:t>
            </w:r>
          </w:p>
        </w:tc>
      </w:tr>
      <w:tr w:rsidR="00670049"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Description: </w:t>
            </w:r>
          </w:p>
        </w:tc>
        <w:tc>
          <w:tcPr>
            <w:tcW w:w="6030" w:type="dxa"/>
          </w:tcPr>
          <w:p w:rsidR="00670049" w:rsidRPr="00B551A8" w:rsidRDefault="00680748" w:rsidP="00061E9E">
            <w:pPr>
              <w:rPr>
                <w:rFonts w:asciiTheme="minorHAnsi" w:hAnsiTheme="minorHAnsi" w:cs="Arial"/>
                <w:sz w:val="20"/>
                <w:szCs w:val="20"/>
              </w:rPr>
            </w:pPr>
            <w:r>
              <w:rPr>
                <w:rFonts w:asciiTheme="minorHAnsi" w:hAnsiTheme="minorHAnsi" w:cs="Arial"/>
                <w:sz w:val="20"/>
                <w:szCs w:val="20"/>
              </w:rPr>
              <w:t xml:space="preserve">Energy efficient </w:t>
            </w:r>
            <w:r w:rsidR="00061E9E">
              <w:rPr>
                <w:rFonts w:asciiTheme="minorHAnsi" w:hAnsiTheme="minorHAnsi" w:cs="Arial"/>
                <w:sz w:val="20"/>
                <w:szCs w:val="20"/>
              </w:rPr>
              <w:t>commercial electric insulated hot food holding cabinet</w:t>
            </w:r>
          </w:p>
        </w:tc>
      </w:tr>
      <w:tr w:rsidR="0067004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Base Case Description:</w:t>
            </w:r>
          </w:p>
        </w:tc>
        <w:tc>
          <w:tcPr>
            <w:tcW w:w="6030" w:type="dxa"/>
          </w:tcPr>
          <w:p w:rsidR="00670049" w:rsidRPr="00B551A8" w:rsidRDefault="00670049" w:rsidP="00061E9E">
            <w:pPr>
              <w:rPr>
                <w:rFonts w:asciiTheme="minorHAnsi" w:hAnsiTheme="minorHAnsi" w:cs="Arial"/>
                <w:sz w:val="20"/>
                <w:szCs w:val="20"/>
              </w:rPr>
            </w:pPr>
            <w:r w:rsidRPr="00B551A8">
              <w:rPr>
                <w:rFonts w:asciiTheme="minorHAnsi" w:hAnsiTheme="minorHAnsi" w:cs="Arial"/>
                <w:sz w:val="20"/>
                <w:szCs w:val="20"/>
              </w:rPr>
              <w:t xml:space="preserve">Standard efficiency </w:t>
            </w:r>
            <w:r w:rsidR="00061E9E">
              <w:rPr>
                <w:rFonts w:asciiTheme="minorHAnsi" w:hAnsiTheme="minorHAnsi" w:cs="Arial"/>
                <w:sz w:val="20"/>
                <w:szCs w:val="20"/>
              </w:rPr>
              <w:t>commercial hot food holding cabinet</w:t>
            </w:r>
          </w:p>
        </w:tc>
      </w:tr>
      <w:tr w:rsidR="00D36798" w:rsidRPr="00B551A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B551A8" w:rsidRDefault="00D36798" w:rsidP="00F76E7A">
            <w:pPr>
              <w:rPr>
                <w:rStyle w:val="Strong"/>
                <w:rFonts w:asciiTheme="minorHAnsi" w:hAnsiTheme="minorHAnsi"/>
                <w:sz w:val="20"/>
                <w:szCs w:val="20"/>
              </w:rPr>
            </w:pPr>
            <w:r w:rsidRPr="00B551A8">
              <w:rPr>
                <w:rStyle w:val="Strong"/>
                <w:rFonts w:asciiTheme="minorHAnsi" w:hAnsiTheme="minorHAnsi"/>
                <w:sz w:val="20"/>
                <w:szCs w:val="20"/>
              </w:rPr>
              <w:t xml:space="preserve">Energy Impact Common Units: </w:t>
            </w:r>
          </w:p>
        </w:tc>
        <w:tc>
          <w:tcPr>
            <w:tcW w:w="6030" w:type="dxa"/>
          </w:tcPr>
          <w:p w:rsidR="00D36798" w:rsidRPr="00B551A8" w:rsidRDefault="001A5C35" w:rsidP="001E18BE">
            <w:pPr>
              <w:rPr>
                <w:rFonts w:asciiTheme="minorHAnsi" w:hAnsiTheme="minorHAnsi" w:cs="Arial"/>
                <w:sz w:val="20"/>
                <w:szCs w:val="20"/>
              </w:rPr>
            </w:pPr>
            <w:r w:rsidRPr="00B551A8">
              <w:rPr>
                <w:rFonts w:asciiTheme="minorHAnsi" w:hAnsiTheme="minorHAnsi" w:cs="Arial"/>
                <w:sz w:val="20"/>
                <w:szCs w:val="20"/>
              </w:rPr>
              <w:t>Unit</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1"/>
                <w:rFonts w:asciiTheme="minorHAnsi" w:hAnsiTheme="minorHAnsi"/>
                <w:sz w:val="20"/>
                <w:szCs w:val="20"/>
              </w:rPr>
            </w:pPr>
            <w:r w:rsidRPr="00B551A8">
              <w:rPr>
                <w:rStyle w:val="Strong"/>
                <w:rFonts w:asciiTheme="minorHAnsi" w:hAnsiTheme="minorHAnsi"/>
                <w:sz w:val="20"/>
                <w:szCs w:val="20"/>
              </w:rPr>
              <w:t>Energy Savings :</w:t>
            </w:r>
          </w:p>
        </w:tc>
        <w:tc>
          <w:tcPr>
            <w:tcW w:w="6030" w:type="dxa"/>
          </w:tcPr>
          <w:p w:rsidR="00290ED8" w:rsidRPr="00B551A8" w:rsidRDefault="00D36798" w:rsidP="00AC530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Gross Measure Cost ($/unit)</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Incremental Cost ($/unit): </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Effective Useful Life (years): </w:t>
            </w:r>
          </w:p>
        </w:tc>
        <w:tc>
          <w:tcPr>
            <w:tcW w:w="6030" w:type="dxa"/>
          </w:tcPr>
          <w:p w:rsidR="00290ED8" w:rsidRPr="00B551A8" w:rsidRDefault="00061E9E" w:rsidP="00061E9E">
            <w:pPr>
              <w:rPr>
                <w:rFonts w:asciiTheme="minorHAnsi" w:hAnsiTheme="minorHAnsi" w:cstheme="minorHAnsi"/>
                <w:sz w:val="20"/>
                <w:szCs w:val="20"/>
              </w:rPr>
            </w:pPr>
            <w:r>
              <w:rPr>
                <w:rFonts w:asciiTheme="minorHAnsi" w:hAnsiTheme="minorHAnsi" w:cs="Arial"/>
                <w:sz w:val="20"/>
                <w:szCs w:val="20"/>
              </w:rPr>
              <w:t>Cook-HoldCab</w:t>
            </w:r>
            <w:r w:rsidR="005966A5">
              <w:rPr>
                <w:rFonts w:asciiTheme="minorHAnsi" w:hAnsiTheme="minorHAnsi" w:cs="Arial"/>
                <w:sz w:val="20"/>
                <w:szCs w:val="20"/>
              </w:rPr>
              <w:t>:</w:t>
            </w:r>
            <w:r w:rsidR="00290ED8" w:rsidRPr="00B551A8">
              <w:rPr>
                <w:rFonts w:asciiTheme="minorHAnsi" w:hAnsiTheme="minorHAnsi" w:cs="Arial"/>
                <w:sz w:val="20"/>
                <w:szCs w:val="20"/>
              </w:rPr>
              <w:t xml:space="preserve"> </w:t>
            </w:r>
            <w:r w:rsidR="001A5C35" w:rsidRPr="00B551A8">
              <w:rPr>
                <w:rFonts w:asciiTheme="minorHAnsi" w:hAnsiTheme="minorHAnsi" w:cs="Arial"/>
                <w:sz w:val="20"/>
                <w:szCs w:val="20"/>
              </w:rPr>
              <w:t>12 years</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Measure Application Type:</w:t>
            </w:r>
          </w:p>
        </w:tc>
        <w:tc>
          <w:tcPr>
            <w:tcW w:w="6030" w:type="dxa"/>
          </w:tcPr>
          <w:p w:rsidR="00290ED8" w:rsidRPr="00B551A8" w:rsidRDefault="001A5C35" w:rsidP="001A5C35">
            <w:pPr>
              <w:rPr>
                <w:rFonts w:asciiTheme="minorHAnsi" w:hAnsiTheme="minorHAnsi" w:cs="Arial"/>
                <w:sz w:val="20"/>
                <w:szCs w:val="20"/>
              </w:rPr>
            </w:pPr>
            <w:r w:rsidRPr="00B551A8">
              <w:rPr>
                <w:rFonts w:asciiTheme="minorHAnsi" w:hAnsiTheme="minorHAnsi" w:cs="Arial"/>
                <w:sz w:val="20"/>
                <w:szCs w:val="20"/>
              </w:rPr>
              <w:t>Replace on Burnout (ROB)</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Net-to-Gross Ratios: </w:t>
            </w:r>
          </w:p>
        </w:tc>
        <w:tc>
          <w:tcPr>
            <w:tcW w:w="6030" w:type="dxa"/>
          </w:tcPr>
          <w:p w:rsidR="00290ED8" w:rsidRPr="00B551A8" w:rsidRDefault="001A5C35" w:rsidP="00517A38">
            <w:pPr>
              <w:rPr>
                <w:rFonts w:asciiTheme="minorHAnsi" w:hAnsiTheme="minorHAnsi" w:cs="Arial"/>
                <w:sz w:val="20"/>
                <w:szCs w:val="20"/>
              </w:rPr>
            </w:pPr>
            <w:r w:rsidRPr="00B551A8">
              <w:rPr>
                <w:rFonts w:asciiTheme="minorHAnsi" w:hAnsiTheme="minorHAnsi" w:cs="Arial"/>
                <w:sz w:val="20"/>
                <w:szCs w:val="20"/>
              </w:rPr>
              <w:t>Com-Default&gt;2yrs: 0.6</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Important Comments:</w:t>
            </w:r>
          </w:p>
        </w:tc>
        <w:tc>
          <w:tcPr>
            <w:tcW w:w="6030" w:type="dxa"/>
          </w:tcPr>
          <w:p w:rsidR="00290ED8" w:rsidRPr="00B551A8" w:rsidRDefault="00A84127" w:rsidP="00317EB0">
            <w:pPr>
              <w:rPr>
                <w:rFonts w:asciiTheme="minorHAnsi" w:hAnsiTheme="minorHAnsi" w:cs="Arial"/>
                <w:sz w:val="20"/>
                <w:szCs w:val="20"/>
              </w:rPr>
            </w:pPr>
            <w:r w:rsidRPr="00B551A8">
              <w:rPr>
                <w:rFonts w:asciiTheme="minorHAnsi" w:hAnsiTheme="minorHAnsi" w:cs="Arial"/>
                <w:sz w:val="20"/>
                <w:szCs w:val="20"/>
              </w:rPr>
              <w:t>This work paper document does not contain a data set</w:t>
            </w:r>
            <w:r w:rsidR="00317EB0" w:rsidRPr="00B551A8">
              <w:rPr>
                <w:rFonts w:asciiTheme="minorHAnsi" w:hAnsiTheme="minorHAnsi" w:cs="Arial"/>
                <w:sz w:val="20"/>
                <w:szCs w:val="20"/>
              </w:rPr>
              <w:t xml:space="preserve"> in conformance with</w:t>
            </w:r>
            <w:r w:rsidRPr="00B551A8">
              <w:rPr>
                <w:rFonts w:asciiTheme="minorHAnsi" w:hAnsiTheme="minorHAnsi" w:cs="Arial"/>
                <w:sz w:val="20"/>
                <w:szCs w:val="20"/>
              </w:rPr>
              <w:t xml:space="preserve"> the 4/1/14</w:t>
            </w:r>
            <w:r w:rsidR="00317EB0" w:rsidRPr="00B551A8">
              <w:rPr>
                <w:rFonts w:asciiTheme="minorHAnsi" w:hAnsiTheme="minorHAnsi" w:cs="Arial"/>
                <w:sz w:val="20"/>
                <w:szCs w:val="20"/>
              </w:rPr>
              <w:t xml:space="preserve"> CPUC</w:t>
            </w:r>
            <w:r w:rsidRPr="00B551A8">
              <w:rPr>
                <w:rFonts w:asciiTheme="minorHAnsi" w:hAnsiTheme="minorHAnsi" w:cs="Arial"/>
                <w:sz w:val="20"/>
                <w:szCs w:val="20"/>
              </w:rPr>
              <w:t xml:space="preserve"> Ex Ante Data</w:t>
            </w:r>
            <w:r w:rsidR="00317EB0" w:rsidRPr="00B551A8">
              <w:rPr>
                <w:rFonts w:asciiTheme="minorHAnsi" w:hAnsiTheme="minorHAnsi" w:cs="Arial"/>
                <w:sz w:val="20"/>
                <w:szCs w:val="20"/>
              </w:rPr>
              <w:t>base</w:t>
            </w:r>
            <w:r w:rsidRPr="00B551A8">
              <w:rPr>
                <w:rFonts w:asciiTheme="minorHAnsi" w:hAnsiTheme="minorHAnsi" w:cs="Arial"/>
                <w:sz w:val="20"/>
                <w:szCs w:val="20"/>
              </w:rPr>
              <w:t xml:space="preserve"> Specification;</w:t>
            </w:r>
            <w:r w:rsidR="00317EB0" w:rsidRPr="00B551A8">
              <w:rPr>
                <w:rFonts w:asciiTheme="minorHAnsi" w:hAnsiTheme="minorHAnsi" w:cs="Arial"/>
                <w:sz w:val="20"/>
                <w:szCs w:val="20"/>
              </w:rPr>
              <w:t xml:space="preserve"> SCE will provide</w:t>
            </w:r>
            <w:r w:rsidRPr="00B551A8">
              <w:rPr>
                <w:rFonts w:asciiTheme="minorHAnsi" w:hAnsiTheme="minorHAnsi" w:cs="Arial"/>
                <w:sz w:val="20"/>
                <w:szCs w:val="20"/>
              </w:rPr>
              <w:t xml:space="preserve"> that data set </w:t>
            </w:r>
            <w:r w:rsidR="00317EB0" w:rsidRPr="00B551A8">
              <w:rPr>
                <w:rFonts w:asciiTheme="minorHAnsi" w:hAnsiTheme="minorHAnsi" w:cs="Arial"/>
                <w:sz w:val="20"/>
                <w:szCs w:val="20"/>
              </w:rPr>
              <w:t>separately</w:t>
            </w:r>
            <w:r w:rsidRPr="00B551A8">
              <w:rPr>
                <w:rFonts w:asciiTheme="minorHAnsi" w:hAnsiTheme="minorHAnsi" w:cs="Arial"/>
                <w:sz w:val="20"/>
                <w:szCs w:val="20"/>
              </w:rPr>
              <w:t>.</w:t>
            </w:r>
          </w:p>
        </w:tc>
      </w:tr>
    </w:tbl>
    <w:p w:rsidR="00AC5309" w:rsidRPr="00B551A8" w:rsidRDefault="00AC5309">
      <w:pPr>
        <w:spacing w:after="200" w:line="276" w:lineRule="auto"/>
        <w:rPr>
          <w:rFonts w:asciiTheme="minorHAnsi" w:hAnsiTheme="minorHAnsi" w:cstheme="minorHAnsi"/>
          <w:b/>
          <w:bCs/>
          <w:smallCaps/>
          <w:kern w:val="32"/>
          <w:sz w:val="36"/>
          <w:szCs w:val="32"/>
        </w:rPr>
      </w:pPr>
    </w:p>
    <w:p w:rsidR="00AC5309" w:rsidRPr="00B551A8" w:rsidRDefault="00AC5309">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b/>
          <w:bCs/>
          <w:smallCaps/>
          <w:kern w:val="32"/>
          <w:sz w:val="36"/>
          <w:szCs w:val="32"/>
        </w:rPr>
        <w:br w:type="page"/>
      </w:r>
    </w:p>
    <w:p w:rsidR="00EB34FC" w:rsidRPr="00B551A8" w:rsidRDefault="00EB34FC" w:rsidP="00AC5309">
      <w:pPr>
        <w:pStyle w:val="Heading1"/>
        <w:rPr>
          <w:rFonts w:asciiTheme="minorHAnsi" w:hAnsiTheme="minorHAnsi"/>
        </w:rPr>
      </w:pPr>
      <w:r w:rsidRPr="00B551A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B551A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B551A8" w:rsidRDefault="00413CDB" w:rsidP="00413CDB">
            <w:pPr>
              <w:rPr>
                <w:rFonts w:asciiTheme="minorHAnsi" w:hAnsiTheme="minorHAnsi" w:cstheme="minorHAnsi"/>
                <w:b w:val="0"/>
                <w:bCs w:val="0"/>
                <w:sz w:val="20"/>
                <w:szCs w:val="20"/>
              </w:rPr>
            </w:pPr>
            <w:r w:rsidRPr="00B551A8">
              <w:rPr>
                <w:rFonts w:asciiTheme="minorHAnsi" w:hAnsiTheme="minorHAnsi" w:cstheme="minorHAnsi"/>
                <w:sz w:val="20"/>
                <w:szCs w:val="20"/>
              </w:rPr>
              <w:t xml:space="preserve">Workpaper and </w:t>
            </w:r>
            <w:r w:rsidR="00CE28CF" w:rsidRPr="00B551A8">
              <w:rPr>
                <w:rFonts w:asciiTheme="minorHAnsi" w:hAnsiTheme="minorHAnsi" w:cstheme="minorHAnsi"/>
                <w:sz w:val="20"/>
                <w:szCs w:val="20"/>
              </w:rPr>
              <w:t>Revision #</w:t>
            </w:r>
          </w:p>
        </w:tc>
        <w:tc>
          <w:tcPr>
            <w:tcW w:w="517" w:type="pct"/>
          </w:tcPr>
          <w:p w:rsidR="00CE28CF" w:rsidRPr="00B551A8" w:rsidRDefault="00CE28CF" w:rsidP="00413CDB">
            <w:pPr>
              <w:rPr>
                <w:rFonts w:asciiTheme="minorHAnsi" w:hAnsiTheme="minorHAnsi" w:cstheme="minorHAnsi"/>
                <w:sz w:val="20"/>
                <w:szCs w:val="20"/>
              </w:rPr>
            </w:pPr>
            <w:r w:rsidRPr="00B551A8">
              <w:rPr>
                <w:rFonts w:asciiTheme="minorHAnsi" w:hAnsiTheme="minorHAnsi" w:cstheme="minorHAnsi"/>
                <w:sz w:val="20"/>
                <w:szCs w:val="20"/>
              </w:rPr>
              <w:t>Tech</w:t>
            </w:r>
            <w:r w:rsidR="00413CDB" w:rsidRPr="00B551A8">
              <w:rPr>
                <w:rFonts w:asciiTheme="minorHAnsi" w:hAnsiTheme="minorHAnsi" w:cstheme="minorHAnsi"/>
                <w:sz w:val="20"/>
                <w:szCs w:val="20"/>
              </w:rPr>
              <w:t>.</w:t>
            </w:r>
            <w:r w:rsidRPr="00B551A8">
              <w:rPr>
                <w:rFonts w:asciiTheme="minorHAnsi" w:hAnsiTheme="minorHAnsi" w:cstheme="minorHAnsi"/>
                <w:sz w:val="20"/>
                <w:szCs w:val="20"/>
              </w:rPr>
              <w:t xml:space="preserve"> Revision</w:t>
            </w:r>
          </w:p>
        </w:tc>
        <w:tc>
          <w:tcPr>
            <w:tcW w:w="658"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MM/DD/YY</w:t>
            </w:r>
          </w:p>
        </w:tc>
        <w:tc>
          <w:tcPr>
            <w:tcW w:w="940"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Author/Affiliation</w:t>
            </w:r>
          </w:p>
        </w:tc>
        <w:tc>
          <w:tcPr>
            <w:tcW w:w="2124"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Summary of Changes</w:t>
            </w:r>
          </w:p>
        </w:tc>
      </w:tr>
      <w:tr w:rsidR="00061E9E" w:rsidRPr="00B551A8" w:rsidTr="00AB7554">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061E9E" w:rsidRPr="00B551A8" w:rsidRDefault="00061E9E" w:rsidP="00E96E8D">
            <w:pPr>
              <w:jc w:val="center"/>
              <w:rPr>
                <w:rFonts w:asciiTheme="minorHAnsi" w:hAnsiTheme="minorHAnsi" w:cstheme="minorHAnsi"/>
                <w:sz w:val="20"/>
                <w:szCs w:val="20"/>
              </w:rPr>
            </w:pPr>
            <w:r>
              <w:rPr>
                <w:rFonts w:asciiTheme="minorHAnsi" w:hAnsiTheme="minorHAnsi" w:cstheme="minorHAnsi"/>
                <w:sz w:val="20"/>
                <w:szCs w:val="20"/>
              </w:rPr>
              <w:t>SCE13CC003</w:t>
            </w:r>
            <w:r w:rsidRPr="00B551A8">
              <w:rPr>
                <w:rFonts w:asciiTheme="minorHAnsi" w:hAnsiTheme="minorHAnsi" w:cstheme="minorHAnsi"/>
                <w:sz w:val="20"/>
                <w:szCs w:val="20"/>
              </w:rPr>
              <w:t>.0</w:t>
            </w:r>
          </w:p>
        </w:tc>
        <w:tc>
          <w:tcPr>
            <w:tcW w:w="517" w:type="pct"/>
          </w:tcPr>
          <w:p w:rsidR="00061E9E" w:rsidRPr="00B551A8" w:rsidRDefault="00061E9E"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061E9E" w:rsidRPr="005734A4" w:rsidRDefault="00061E9E" w:rsidP="00061E9E">
            <w:pPr>
              <w:jc w:val="center"/>
              <w:rPr>
                <w:rFonts w:asciiTheme="minorHAnsi" w:hAnsiTheme="minorHAnsi" w:cstheme="minorHAnsi"/>
                <w:sz w:val="20"/>
                <w:szCs w:val="20"/>
              </w:rPr>
            </w:pPr>
            <w:r>
              <w:rPr>
                <w:rFonts w:asciiTheme="minorHAnsi" w:hAnsiTheme="minorHAnsi" w:cstheme="minorHAnsi"/>
                <w:sz w:val="20"/>
                <w:szCs w:val="20"/>
              </w:rPr>
              <w:t>05/30</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061E9E" w:rsidRPr="005734A4" w:rsidRDefault="00061E9E" w:rsidP="00061E9E">
            <w:pPr>
              <w:rPr>
                <w:rFonts w:asciiTheme="minorHAnsi" w:hAnsiTheme="minorHAnsi" w:cstheme="minorHAnsi"/>
                <w:sz w:val="20"/>
                <w:szCs w:val="20"/>
              </w:rPr>
            </w:pPr>
            <w:r>
              <w:rPr>
                <w:rFonts w:asciiTheme="minorHAnsi" w:hAnsiTheme="minorHAnsi" w:cstheme="minorHAnsi"/>
                <w:sz w:val="20"/>
                <w:szCs w:val="20"/>
              </w:rPr>
              <w:t>Ricson Chude</w:t>
            </w:r>
            <w:r w:rsidRPr="005734A4">
              <w:rPr>
                <w:rFonts w:asciiTheme="minorHAnsi" w:hAnsiTheme="minorHAnsi" w:cstheme="minorHAnsi"/>
                <w:sz w:val="20"/>
                <w:szCs w:val="20"/>
              </w:rPr>
              <w:t>/SCE</w:t>
            </w:r>
          </w:p>
        </w:tc>
        <w:tc>
          <w:tcPr>
            <w:tcW w:w="2124" w:type="pct"/>
          </w:tcPr>
          <w:p w:rsidR="00061E9E" w:rsidRDefault="00061E9E" w:rsidP="00061E9E">
            <w:pPr>
              <w:rPr>
                <w:rFonts w:asciiTheme="minorHAnsi" w:hAnsiTheme="minorHAnsi" w:cstheme="minorHAnsi"/>
                <w:bCs/>
                <w:sz w:val="20"/>
                <w:szCs w:val="20"/>
              </w:rPr>
            </w:pPr>
            <w:r>
              <w:rPr>
                <w:rFonts w:asciiTheme="minorHAnsi" w:hAnsiTheme="minorHAnsi" w:cstheme="minorHAnsi"/>
                <w:bCs/>
                <w:sz w:val="20"/>
                <w:szCs w:val="20"/>
              </w:rPr>
              <w:t>Updates from WPSCENRCC0003.4:</w:t>
            </w:r>
          </w:p>
          <w:p w:rsidR="00061E9E" w:rsidRDefault="00061E9E" w:rsidP="00B93452">
            <w:pPr>
              <w:pStyle w:val="ListParagraph"/>
              <w:numPr>
                <w:ilvl w:val="0"/>
                <w:numId w:val="10"/>
              </w:numPr>
              <w:ind w:left="342"/>
              <w:rPr>
                <w:rFonts w:asciiTheme="minorHAnsi" w:hAnsiTheme="minorHAnsi" w:cstheme="minorHAnsi"/>
                <w:bCs/>
                <w:sz w:val="20"/>
                <w:szCs w:val="20"/>
              </w:rPr>
            </w:pPr>
            <w:r w:rsidRPr="00530F61">
              <w:rPr>
                <w:rFonts w:asciiTheme="minorHAnsi" w:hAnsiTheme="minorHAnsi" w:cstheme="minorHAnsi"/>
                <w:bCs/>
                <w:sz w:val="20"/>
                <w:szCs w:val="20"/>
              </w:rPr>
              <w:t xml:space="preserve">Consolidated ½ </w:t>
            </w:r>
            <w:proofErr w:type="gramStart"/>
            <w:r w:rsidRPr="00530F61">
              <w:rPr>
                <w:rFonts w:asciiTheme="minorHAnsi" w:hAnsiTheme="minorHAnsi" w:cstheme="minorHAnsi"/>
                <w:bCs/>
                <w:sz w:val="20"/>
                <w:szCs w:val="20"/>
              </w:rPr>
              <w:t>size</w:t>
            </w:r>
            <w:proofErr w:type="gramEnd"/>
            <w:r w:rsidRPr="00530F61">
              <w:rPr>
                <w:rFonts w:asciiTheme="minorHAnsi" w:hAnsiTheme="minorHAnsi" w:cstheme="minorHAnsi"/>
                <w:bCs/>
                <w:sz w:val="20"/>
                <w:szCs w:val="20"/>
              </w:rPr>
              <w:t xml:space="preserve"> and ¾ size into a single measure.</w:t>
            </w:r>
          </w:p>
          <w:p w:rsidR="00061E9E" w:rsidRPr="00530F61" w:rsidRDefault="00061E9E" w:rsidP="00B93452">
            <w:pPr>
              <w:pStyle w:val="ListParagraph"/>
              <w:numPr>
                <w:ilvl w:val="0"/>
                <w:numId w:val="10"/>
              </w:numPr>
              <w:ind w:left="342"/>
              <w:rPr>
                <w:rFonts w:asciiTheme="minorHAnsi" w:hAnsiTheme="minorHAnsi" w:cstheme="minorHAnsi"/>
                <w:bCs/>
                <w:sz w:val="20"/>
                <w:szCs w:val="20"/>
              </w:rPr>
            </w:pPr>
            <w:r>
              <w:rPr>
                <w:rFonts w:asciiTheme="minorHAnsi" w:hAnsiTheme="minorHAnsi" w:cstheme="minorHAnsi"/>
                <w:bCs/>
                <w:sz w:val="20"/>
                <w:szCs w:val="20"/>
              </w:rPr>
              <w:t>Changed measure names to match new groupings (Full and ½ size) and W/cu .ft requirement</w:t>
            </w:r>
          </w:p>
          <w:p w:rsidR="00061E9E" w:rsidRPr="00530F61" w:rsidRDefault="00061E9E" w:rsidP="00B93452">
            <w:pPr>
              <w:pStyle w:val="ListParagraph"/>
              <w:numPr>
                <w:ilvl w:val="0"/>
                <w:numId w:val="10"/>
              </w:numPr>
              <w:ind w:left="342"/>
              <w:rPr>
                <w:rFonts w:asciiTheme="minorHAnsi" w:hAnsiTheme="minorHAnsi" w:cstheme="minorHAnsi"/>
                <w:bCs/>
                <w:sz w:val="20"/>
                <w:szCs w:val="20"/>
              </w:rPr>
            </w:pPr>
            <w:r w:rsidRPr="00530F61">
              <w:rPr>
                <w:rFonts w:asciiTheme="minorHAnsi" w:hAnsiTheme="minorHAnsi" w:cstheme="minorHAnsi"/>
                <w:bCs/>
                <w:sz w:val="20"/>
                <w:szCs w:val="20"/>
              </w:rPr>
              <w:t>Updated description of full size and ½ size categories</w:t>
            </w:r>
          </w:p>
          <w:p w:rsidR="00061E9E" w:rsidRPr="00530F61" w:rsidRDefault="00061E9E" w:rsidP="00B93452">
            <w:pPr>
              <w:pStyle w:val="ListParagraph"/>
              <w:numPr>
                <w:ilvl w:val="0"/>
                <w:numId w:val="10"/>
              </w:numPr>
              <w:ind w:left="342"/>
              <w:rPr>
                <w:rFonts w:asciiTheme="minorHAnsi" w:hAnsiTheme="minorHAnsi" w:cstheme="minorHAnsi"/>
                <w:sz w:val="20"/>
                <w:szCs w:val="20"/>
              </w:rPr>
            </w:pPr>
            <w:r w:rsidRPr="00530F61">
              <w:rPr>
                <w:rFonts w:asciiTheme="minorHAnsi" w:hAnsiTheme="minorHAnsi" w:cstheme="minorHAnsi"/>
                <w:bCs/>
                <w:sz w:val="20"/>
                <w:szCs w:val="20"/>
              </w:rPr>
              <w:t>Adjusted calculated savings based on actual averages of energy consumption data from CEE database/ Energy Star/CA IOU Rebate Qualified list</w:t>
            </w:r>
          </w:p>
          <w:p w:rsidR="00061E9E" w:rsidRPr="00530F61" w:rsidRDefault="00061E9E" w:rsidP="00B93452">
            <w:pPr>
              <w:pStyle w:val="ListParagraph"/>
              <w:numPr>
                <w:ilvl w:val="0"/>
                <w:numId w:val="10"/>
              </w:numPr>
              <w:ind w:left="342"/>
              <w:rPr>
                <w:rFonts w:asciiTheme="minorHAnsi" w:hAnsiTheme="minorHAnsi" w:cstheme="minorHAnsi"/>
                <w:sz w:val="20"/>
                <w:szCs w:val="20"/>
              </w:rPr>
            </w:pPr>
            <w:r>
              <w:rPr>
                <w:rFonts w:asciiTheme="minorHAnsi" w:hAnsiTheme="minorHAnsi" w:cstheme="minorHAnsi"/>
                <w:bCs/>
                <w:sz w:val="20"/>
                <w:szCs w:val="20"/>
              </w:rPr>
              <w:t>Updated NTG values to DEER 2011</w:t>
            </w:r>
          </w:p>
        </w:tc>
      </w:tr>
      <w:tr w:rsidR="00413CDB" w:rsidRPr="00B551A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B551A8" w:rsidRDefault="00061E9E" w:rsidP="00E96E8D">
            <w:pPr>
              <w:jc w:val="center"/>
              <w:rPr>
                <w:rFonts w:asciiTheme="minorHAnsi" w:hAnsiTheme="minorHAnsi" w:cstheme="minorHAnsi"/>
                <w:sz w:val="20"/>
                <w:szCs w:val="20"/>
              </w:rPr>
            </w:pPr>
            <w:r>
              <w:rPr>
                <w:rFonts w:asciiTheme="minorHAnsi" w:hAnsiTheme="minorHAnsi" w:cstheme="minorHAnsi"/>
                <w:sz w:val="20"/>
                <w:szCs w:val="20"/>
              </w:rPr>
              <w:t>SCE13CC003</w:t>
            </w:r>
            <w:r w:rsidR="00185B44" w:rsidRPr="00B551A8">
              <w:rPr>
                <w:rFonts w:asciiTheme="minorHAnsi" w:hAnsiTheme="minorHAnsi" w:cstheme="minorHAnsi"/>
                <w:sz w:val="20"/>
                <w:szCs w:val="20"/>
              </w:rPr>
              <w:t>.1</w:t>
            </w:r>
          </w:p>
        </w:tc>
        <w:tc>
          <w:tcPr>
            <w:tcW w:w="517" w:type="pct"/>
          </w:tcPr>
          <w:p w:rsidR="00CE28CF" w:rsidRPr="00B551A8" w:rsidRDefault="00CE28CF"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CE28CF" w:rsidRPr="00B551A8" w:rsidRDefault="00061E9E" w:rsidP="00061E9E">
            <w:pPr>
              <w:jc w:val="center"/>
              <w:rPr>
                <w:rFonts w:asciiTheme="minorHAnsi" w:hAnsiTheme="minorHAnsi" w:cstheme="minorHAnsi"/>
                <w:sz w:val="20"/>
                <w:szCs w:val="20"/>
              </w:rPr>
            </w:pPr>
            <w:r>
              <w:rPr>
                <w:rFonts w:asciiTheme="minorHAnsi" w:hAnsiTheme="minorHAnsi" w:cstheme="minorHAnsi"/>
                <w:sz w:val="20"/>
                <w:szCs w:val="20"/>
              </w:rPr>
              <w:t>6</w:t>
            </w:r>
            <w:r w:rsidR="002143FB" w:rsidRPr="00B551A8">
              <w:rPr>
                <w:rFonts w:asciiTheme="minorHAnsi" w:hAnsiTheme="minorHAnsi" w:cstheme="minorHAnsi"/>
                <w:sz w:val="20"/>
                <w:szCs w:val="20"/>
              </w:rPr>
              <w:t>/</w:t>
            </w:r>
            <w:r>
              <w:rPr>
                <w:rFonts w:asciiTheme="minorHAnsi" w:hAnsiTheme="minorHAnsi" w:cstheme="minorHAnsi"/>
                <w:sz w:val="20"/>
                <w:szCs w:val="20"/>
              </w:rPr>
              <w:t>19</w:t>
            </w:r>
            <w:r w:rsidR="00CE28CF" w:rsidRPr="00B551A8">
              <w:rPr>
                <w:rFonts w:asciiTheme="minorHAnsi" w:hAnsiTheme="minorHAnsi" w:cstheme="minorHAnsi"/>
                <w:sz w:val="20"/>
                <w:szCs w:val="20"/>
              </w:rPr>
              <w:t>/2014</w:t>
            </w:r>
          </w:p>
        </w:tc>
        <w:tc>
          <w:tcPr>
            <w:tcW w:w="940" w:type="pct"/>
          </w:tcPr>
          <w:p w:rsidR="00CE28CF" w:rsidRPr="00B551A8" w:rsidRDefault="00061E9E" w:rsidP="00B93452">
            <w:pPr>
              <w:rPr>
                <w:rFonts w:asciiTheme="minorHAnsi" w:hAnsiTheme="minorHAnsi" w:cstheme="minorHAnsi"/>
                <w:sz w:val="20"/>
                <w:szCs w:val="20"/>
              </w:rPr>
            </w:pPr>
            <w:r>
              <w:rPr>
                <w:rFonts w:asciiTheme="minorHAnsi" w:hAnsiTheme="minorHAnsi" w:cstheme="minorHAnsi"/>
                <w:sz w:val="20"/>
                <w:szCs w:val="20"/>
              </w:rPr>
              <w:t>Jason Wang</w:t>
            </w:r>
            <w:r w:rsidR="00E96E8D" w:rsidRPr="00B551A8">
              <w:rPr>
                <w:rFonts w:asciiTheme="minorHAnsi" w:hAnsiTheme="minorHAnsi" w:cstheme="minorHAnsi"/>
                <w:sz w:val="20"/>
                <w:szCs w:val="20"/>
              </w:rPr>
              <w:t>/</w:t>
            </w:r>
            <w:r w:rsidR="00CE28CF" w:rsidRPr="00B551A8">
              <w:rPr>
                <w:rFonts w:asciiTheme="minorHAnsi" w:hAnsiTheme="minorHAnsi" w:cstheme="minorHAnsi"/>
                <w:sz w:val="20"/>
                <w:szCs w:val="20"/>
              </w:rPr>
              <w:t>SCE</w:t>
            </w:r>
          </w:p>
        </w:tc>
        <w:tc>
          <w:tcPr>
            <w:tcW w:w="2124" w:type="pct"/>
          </w:tcPr>
          <w:p w:rsidR="0022316B" w:rsidRDefault="00185B44" w:rsidP="005966A5">
            <w:pPr>
              <w:rPr>
                <w:rFonts w:asciiTheme="minorHAnsi" w:hAnsiTheme="minorHAnsi" w:cstheme="minorHAnsi"/>
                <w:bCs/>
                <w:sz w:val="20"/>
                <w:szCs w:val="20"/>
              </w:rPr>
            </w:pPr>
            <w:r w:rsidRPr="00B551A8">
              <w:rPr>
                <w:rFonts w:asciiTheme="minorHAnsi" w:hAnsiTheme="minorHAnsi" w:cstheme="minorHAnsi"/>
                <w:bCs/>
                <w:sz w:val="20"/>
                <w:szCs w:val="20"/>
              </w:rPr>
              <w:t>-Work paper updated for the reporting period, effective 7/1/14 – 12/31/14.</w:t>
            </w:r>
          </w:p>
          <w:p w:rsidR="009A5397" w:rsidRDefault="009A5397" w:rsidP="009A5397">
            <w:pPr>
              <w:rPr>
                <w:rFonts w:asciiTheme="minorHAnsi" w:hAnsiTheme="minorHAnsi" w:cstheme="minorHAnsi"/>
                <w:bCs/>
                <w:sz w:val="20"/>
                <w:szCs w:val="20"/>
              </w:rPr>
            </w:pPr>
            <w:r>
              <w:rPr>
                <w:rFonts w:asciiTheme="minorHAnsi" w:hAnsiTheme="minorHAnsi" w:cstheme="minorHAnsi"/>
                <w:bCs/>
                <w:sz w:val="20"/>
                <w:szCs w:val="20"/>
              </w:rPr>
              <w:t>-Changed Guest Rooms building type to Motel building type</w:t>
            </w:r>
          </w:p>
          <w:p w:rsidR="00B93452" w:rsidRDefault="00B93452" w:rsidP="009A5397">
            <w:pPr>
              <w:rPr>
                <w:rFonts w:asciiTheme="minorHAnsi" w:hAnsiTheme="minorHAnsi" w:cstheme="minorHAnsi"/>
                <w:bCs/>
                <w:sz w:val="20"/>
                <w:szCs w:val="20"/>
              </w:rPr>
            </w:pPr>
            <w:r>
              <w:rPr>
                <w:rFonts w:asciiTheme="minorHAnsi" w:hAnsiTheme="minorHAnsi" w:cstheme="minorHAnsi"/>
                <w:bCs/>
                <w:sz w:val="20"/>
                <w:szCs w:val="20"/>
              </w:rPr>
              <w:t>-Updated all savings using the FSTC qualifying products list and CEC database</w:t>
            </w:r>
          </w:p>
          <w:p w:rsidR="00D9309F" w:rsidRPr="00B551A8" w:rsidRDefault="00D9309F" w:rsidP="009A5397">
            <w:pPr>
              <w:rPr>
                <w:rFonts w:asciiTheme="minorHAnsi" w:hAnsiTheme="minorHAnsi" w:cstheme="minorHAnsi"/>
                <w:bCs/>
                <w:sz w:val="20"/>
                <w:szCs w:val="20"/>
              </w:rPr>
            </w:pPr>
            <w:r>
              <w:rPr>
                <w:rFonts w:asciiTheme="minorHAnsi" w:hAnsiTheme="minorHAnsi" w:cstheme="minorHAnsi"/>
                <w:bCs/>
                <w:sz w:val="20"/>
                <w:szCs w:val="20"/>
              </w:rPr>
              <w:t>-Updated measure names</w:t>
            </w:r>
          </w:p>
        </w:tc>
      </w:tr>
    </w:tbl>
    <w:p w:rsidR="009500DC" w:rsidRPr="00B551A8" w:rsidRDefault="009500DC" w:rsidP="00DA690B">
      <w:pPr>
        <w:rPr>
          <w:rFonts w:asciiTheme="minorHAnsi" w:hAnsiTheme="minorHAnsi" w:cstheme="minorHAnsi"/>
        </w:rPr>
        <w:sectPr w:rsidR="009500DC" w:rsidRPr="00B551A8" w:rsidSect="007F7FBA">
          <w:footerReference w:type="default" r:id="rId10"/>
          <w:pgSz w:w="12240" w:h="15840"/>
          <w:pgMar w:top="1440" w:right="1440" w:bottom="1440" w:left="1440" w:header="720" w:footer="720" w:gutter="0"/>
          <w:pgNumType w:fmt="lowerRoman" w:start="1"/>
          <w:cols w:space="720"/>
          <w:docGrid w:linePitch="360"/>
        </w:sectPr>
      </w:pPr>
    </w:p>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Section 1. General Measure &amp; Baseline Data</w:t>
      </w:r>
      <w:bookmarkEnd w:id="1"/>
    </w:p>
    <w:p w:rsidR="00E16609" w:rsidRPr="00B551A8" w:rsidRDefault="00824F1C" w:rsidP="00697868">
      <w:pPr>
        <w:pStyle w:val="Heading2"/>
        <w:rPr>
          <w:rFonts w:asciiTheme="minorHAnsi" w:hAnsiTheme="minorHAnsi"/>
        </w:rPr>
      </w:pPr>
      <w:bookmarkStart w:id="7" w:name="_Toc214003083"/>
      <w:r w:rsidRPr="00B551A8">
        <w:rPr>
          <w:rFonts w:asciiTheme="minorHAnsi" w:hAnsiTheme="minorHAnsi"/>
        </w:rPr>
        <w:t xml:space="preserve">1.1 </w:t>
      </w:r>
      <w:r w:rsidR="00AC5309" w:rsidRPr="00B551A8">
        <w:rPr>
          <w:rFonts w:asciiTheme="minorHAnsi" w:hAnsiTheme="minorHAnsi"/>
        </w:rPr>
        <w:t xml:space="preserve">Measure Description </w:t>
      </w:r>
      <w:r w:rsidR="00E16609" w:rsidRPr="00B551A8">
        <w:rPr>
          <w:rFonts w:asciiTheme="minorHAnsi" w:hAnsiTheme="minorHAnsi"/>
        </w:rPr>
        <w:t xml:space="preserve">&amp; </w:t>
      </w:r>
      <w:r w:rsidR="00AC5309" w:rsidRPr="00B551A8">
        <w:rPr>
          <w:rFonts w:asciiTheme="minorHAnsi" w:hAnsiTheme="minorHAnsi"/>
        </w:rPr>
        <w:t>Background</w:t>
      </w:r>
      <w:r w:rsidR="00E16609" w:rsidRPr="00B551A8">
        <w:rPr>
          <w:rFonts w:asciiTheme="minorHAnsi" w:hAnsiTheme="minorHAnsi"/>
        </w:rPr>
        <w:t xml:space="preserve"> </w:t>
      </w:r>
      <w:bookmarkEnd w:id="7"/>
    </w:p>
    <w:p w:rsidR="00680748" w:rsidRDefault="00680748" w:rsidP="00680748">
      <w:pPr>
        <w:pStyle w:val="Heading3"/>
        <w:rPr>
          <w:rFonts w:asciiTheme="minorHAnsi" w:hAnsiTheme="minorHAnsi" w:cstheme="minorHAnsi"/>
          <w:b w:val="0"/>
          <w:bCs w:val="0"/>
          <w:sz w:val="22"/>
          <w:szCs w:val="22"/>
        </w:rPr>
      </w:pPr>
      <w:r>
        <w:rPr>
          <w:rFonts w:asciiTheme="minorHAnsi" w:hAnsiTheme="minorHAnsi" w:cstheme="minorHAnsi"/>
          <w:b w:val="0"/>
          <w:bCs w:val="0"/>
          <w:sz w:val="22"/>
          <w:szCs w:val="22"/>
        </w:rPr>
        <w:t xml:space="preserve">This work paper details the replacement of a standard efficiency commercial electric </w:t>
      </w:r>
      <w:r w:rsidR="00061E9E">
        <w:rPr>
          <w:rFonts w:asciiTheme="minorHAnsi" w:hAnsiTheme="minorHAnsi" w:cstheme="minorHAnsi"/>
          <w:b w:val="0"/>
          <w:bCs w:val="0"/>
          <w:sz w:val="22"/>
          <w:szCs w:val="22"/>
        </w:rPr>
        <w:t>hot food holding cabinet</w:t>
      </w:r>
      <w:r>
        <w:rPr>
          <w:rFonts w:asciiTheme="minorHAnsi" w:hAnsiTheme="minorHAnsi" w:cstheme="minorHAnsi"/>
          <w:b w:val="0"/>
          <w:bCs w:val="0"/>
          <w:sz w:val="22"/>
          <w:szCs w:val="22"/>
        </w:rPr>
        <w:t xml:space="preserve"> with a high efficiency commercial electric </w:t>
      </w:r>
      <w:r w:rsidR="00061E9E">
        <w:rPr>
          <w:rFonts w:asciiTheme="minorHAnsi" w:hAnsiTheme="minorHAnsi" w:cstheme="minorHAnsi"/>
          <w:b w:val="0"/>
          <w:bCs w:val="0"/>
          <w:sz w:val="22"/>
          <w:szCs w:val="22"/>
        </w:rPr>
        <w:t>insulated hot food holding cabinet</w:t>
      </w:r>
      <w:r>
        <w:rPr>
          <w:rFonts w:asciiTheme="minorHAnsi" w:hAnsiTheme="minorHAnsi" w:cstheme="minorHAnsi"/>
          <w:b w:val="0"/>
          <w:bCs w:val="0"/>
          <w:sz w:val="22"/>
          <w:szCs w:val="22"/>
        </w:rPr>
        <w:t xml:space="preserve">.  </w:t>
      </w:r>
    </w:p>
    <w:p w:rsidR="0031434B" w:rsidRDefault="0031434B" w:rsidP="0031434B"/>
    <w:p w:rsidR="00B6061C" w:rsidRPr="00B551A8" w:rsidRDefault="00B6061C" w:rsidP="009C6AEC">
      <w:pPr>
        <w:pStyle w:val="Caption"/>
        <w:jc w:val="center"/>
        <w:rPr>
          <w:rFonts w:asciiTheme="minorHAnsi" w:hAnsiTheme="minorHAnsi" w:cstheme="minorHAnsi"/>
          <w:sz w:val="22"/>
          <w:szCs w:val="22"/>
        </w:rPr>
      </w:pPr>
      <w:bookmarkStart w:id="8" w:name="_Ref325629993"/>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90ADB">
        <w:rPr>
          <w:rFonts w:asciiTheme="minorHAnsi" w:hAnsiTheme="minorHAnsi" w:cstheme="minorHAnsi"/>
          <w:noProof/>
          <w:sz w:val="22"/>
          <w:szCs w:val="22"/>
        </w:rPr>
        <w:t>1</w:t>
      </w:r>
      <w:r w:rsidRPr="00B551A8">
        <w:rPr>
          <w:rFonts w:asciiTheme="minorHAnsi" w:hAnsiTheme="minorHAnsi" w:cstheme="minorHAnsi"/>
          <w:sz w:val="22"/>
          <w:szCs w:val="22"/>
        </w:rPr>
        <w:fldChar w:fldCharType="end"/>
      </w:r>
      <w:bookmarkEnd w:id="8"/>
      <w:r w:rsidRPr="00B551A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5524"/>
      </w:tblGrid>
      <w:tr w:rsidR="009C6AEC" w:rsidRPr="00B551A8" w:rsidTr="004A0F0F">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B551A8" w:rsidRDefault="009C6AEC" w:rsidP="0031434B">
            <w:pPr>
              <w:rPr>
                <w:rFonts w:asciiTheme="minorHAnsi" w:hAnsiTheme="minorHAnsi" w:cstheme="minorHAnsi"/>
                <w:sz w:val="20"/>
                <w:szCs w:val="20"/>
              </w:rPr>
            </w:pPr>
            <w:r w:rsidRPr="00B551A8">
              <w:rPr>
                <w:rFonts w:asciiTheme="minorHAnsi" w:hAnsiTheme="minorHAnsi" w:cstheme="minorHAnsi"/>
                <w:sz w:val="20"/>
                <w:szCs w:val="20"/>
              </w:rPr>
              <w:t>Solution Code</w:t>
            </w:r>
          </w:p>
        </w:tc>
        <w:tc>
          <w:tcPr>
            <w:tcW w:w="5524" w:type="dxa"/>
          </w:tcPr>
          <w:p w:rsidR="009C6AEC" w:rsidRPr="00B551A8" w:rsidRDefault="0031434B" w:rsidP="009C6AEC">
            <w:pPr>
              <w:rPr>
                <w:rFonts w:asciiTheme="minorHAnsi" w:hAnsiTheme="minorHAnsi" w:cstheme="minorHAnsi"/>
                <w:sz w:val="20"/>
                <w:szCs w:val="20"/>
              </w:rPr>
            </w:pPr>
            <w:r>
              <w:rPr>
                <w:rFonts w:asciiTheme="minorHAnsi" w:hAnsiTheme="minorHAnsi" w:cstheme="minorHAnsi"/>
                <w:sz w:val="20"/>
                <w:szCs w:val="20"/>
              </w:rPr>
              <w:t>Measure N</w:t>
            </w:r>
            <w:r w:rsidR="009C6AEC" w:rsidRPr="00B551A8">
              <w:rPr>
                <w:rFonts w:asciiTheme="minorHAnsi" w:hAnsiTheme="minorHAnsi" w:cstheme="minorHAnsi"/>
                <w:sz w:val="20"/>
                <w:szCs w:val="20"/>
              </w:rPr>
              <w:t>ame</w:t>
            </w:r>
          </w:p>
        </w:tc>
      </w:tr>
      <w:tr w:rsidR="00061E9E" w:rsidRPr="00B551A8" w:rsidTr="004A0F0F">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bottom"/>
          </w:tcPr>
          <w:p w:rsidR="00061E9E" w:rsidRPr="00EF7EA7" w:rsidRDefault="00061E9E" w:rsidP="00131BA5">
            <w:pPr>
              <w:rPr>
                <w:rFonts w:asciiTheme="minorHAnsi" w:hAnsiTheme="minorHAnsi" w:cstheme="minorHAnsi"/>
                <w:color w:val="000000"/>
                <w:sz w:val="20"/>
                <w:szCs w:val="20"/>
              </w:rPr>
            </w:pPr>
            <w:r>
              <w:rPr>
                <w:rFonts w:asciiTheme="minorHAnsi" w:hAnsiTheme="minorHAnsi" w:cstheme="minorHAnsi"/>
                <w:color w:val="000000"/>
                <w:sz w:val="20"/>
                <w:szCs w:val="20"/>
              </w:rPr>
              <w:t>FS-20224</w:t>
            </w:r>
          </w:p>
        </w:tc>
        <w:tc>
          <w:tcPr>
            <w:tcW w:w="5524" w:type="dxa"/>
          </w:tcPr>
          <w:p w:rsidR="00061E9E" w:rsidRPr="00EF7EA7" w:rsidRDefault="00061E9E" w:rsidP="00131BA5">
            <w:pPr>
              <w:rPr>
                <w:rFonts w:asciiTheme="minorHAnsi" w:hAnsiTheme="minorHAnsi" w:cstheme="minorHAnsi"/>
                <w:color w:val="000000"/>
                <w:sz w:val="20"/>
                <w:szCs w:val="20"/>
              </w:rPr>
            </w:pPr>
            <w:r>
              <w:rPr>
                <w:rFonts w:asciiTheme="minorHAnsi" w:hAnsiTheme="minorHAnsi" w:cstheme="minorHAnsi"/>
                <w:color w:val="000000"/>
                <w:sz w:val="20"/>
                <w:szCs w:val="20"/>
              </w:rPr>
              <w:t>Full Size (</w:t>
            </w:r>
            <w:r>
              <w:rPr>
                <w:rFonts w:ascii="Calibri" w:hAnsi="Calibri" w:cstheme="minorHAnsi"/>
                <w:color w:val="000000"/>
                <w:sz w:val="20"/>
                <w:szCs w:val="20"/>
              </w:rPr>
              <w:t>≥</w:t>
            </w:r>
            <w:r w:rsidRPr="00EF7EA7">
              <w:rPr>
                <w:rFonts w:asciiTheme="minorHAnsi" w:hAnsiTheme="minorHAnsi" w:cstheme="minorHAnsi"/>
                <w:color w:val="000000"/>
                <w:sz w:val="20"/>
                <w:szCs w:val="20"/>
              </w:rPr>
              <w:t xml:space="preserve"> </w:t>
            </w:r>
            <w:r>
              <w:rPr>
                <w:rFonts w:asciiTheme="minorHAnsi" w:hAnsiTheme="minorHAnsi" w:cstheme="minorHAnsi"/>
                <w:color w:val="000000"/>
                <w:sz w:val="20"/>
                <w:szCs w:val="20"/>
              </w:rPr>
              <w:t>15</w:t>
            </w:r>
            <w:r w:rsidRPr="00EF7EA7">
              <w:rPr>
                <w:rFonts w:asciiTheme="minorHAnsi" w:hAnsiTheme="minorHAnsi" w:cstheme="minorHAnsi"/>
                <w:color w:val="000000"/>
                <w:sz w:val="20"/>
                <w:szCs w:val="20"/>
              </w:rPr>
              <w:t xml:space="preserve"> cu</w:t>
            </w:r>
            <w:r>
              <w:rPr>
                <w:rFonts w:asciiTheme="minorHAnsi" w:hAnsiTheme="minorHAnsi" w:cstheme="minorHAnsi"/>
                <w:color w:val="000000"/>
                <w:sz w:val="20"/>
                <w:szCs w:val="20"/>
              </w:rPr>
              <w:t xml:space="preserve">. </w:t>
            </w:r>
            <w:r w:rsidRPr="00EF7EA7">
              <w:rPr>
                <w:rFonts w:asciiTheme="minorHAnsi" w:hAnsiTheme="minorHAnsi" w:cstheme="minorHAnsi"/>
                <w:color w:val="000000"/>
                <w:sz w:val="20"/>
                <w:szCs w:val="20"/>
              </w:rPr>
              <w:t>ft),</w:t>
            </w:r>
            <w:r>
              <w:rPr>
                <w:rFonts w:asciiTheme="minorHAnsi" w:hAnsiTheme="minorHAnsi" w:cstheme="minorHAnsi"/>
                <w:color w:val="000000"/>
                <w:sz w:val="20"/>
                <w:szCs w:val="20"/>
              </w:rPr>
              <w:t xml:space="preserve"> </w:t>
            </w:r>
            <w:r>
              <w:rPr>
                <w:rFonts w:ascii="Calibri" w:hAnsi="Calibri" w:cstheme="minorHAnsi"/>
                <w:color w:val="000000"/>
                <w:sz w:val="20"/>
                <w:szCs w:val="20"/>
              </w:rPr>
              <w:t>≤</w:t>
            </w:r>
            <w:r w:rsidRPr="00EF7EA7">
              <w:rPr>
                <w:rFonts w:asciiTheme="minorHAnsi" w:hAnsiTheme="minorHAnsi" w:cstheme="minorHAnsi"/>
                <w:color w:val="000000"/>
                <w:sz w:val="20"/>
                <w:szCs w:val="20"/>
              </w:rPr>
              <w:t xml:space="preserve"> 20</w:t>
            </w:r>
            <w:r w:rsidR="008E23D2">
              <w:rPr>
                <w:rFonts w:asciiTheme="minorHAnsi" w:hAnsiTheme="minorHAnsi" w:cstheme="minorHAnsi"/>
                <w:color w:val="000000"/>
                <w:sz w:val="20"/>
                <w:szCs w:val="20"/>
              </w:rPr>
              <w:t xml:space="preserve"> </w:t>
            </w:r>
            <w:r w:rsidRPr="00EF7EA7">
              <w:rPr>
                <w:rFonts w:asciiTheme="minorHAnsi" w:hAnsiTheme="minorHAnsi" w:cstheme="minorHAnsi"/>
                <w:color w:val="000000"/>
                <w:sz w:val="20"/>
                <w:szCs w:val="20"/>
              </w:rPr>
              <w:t>W/cu</w:t>
            </w:r>
            <w:r>
              <w:rPr>
                <w:rFonts w:asciiTheme="minorHAnsi" w:hAnsiTheme="minorHAnsi" w:cstheme="minorHAnsi"/>
                <w:color w:val="000000"/>
                <w:sz w:val="20"/>
                <w:szCs w:val="20"/>
              </w:rPr>
              <w:t>.</w:t>
            </w:r>
            <w:r w:rsidR="0035037E">
              <w:rPr>
                <w:rFonts w:asciiTheme="minorHAnsi" w:hAnsiTheme="minorHAnsi" w:cstheme="minorHAnsi"/>
                <w:color w:val="000000"/>
                <w:sz w:val="20"/>
                <w:szCs w:val="20"/>
              </w:rPr>
              <w:t xml:space="preserve"> ft Insulated Holding Cabinet</w:t>
            </w:r>
          </w:p>
        </w:tc>
      </w:tr>
      <w:tr w:rsidR="00061E9E" w:rsidRPr="00B551A8" w:rsidTr="004A0F0F">
        <w:trPr>
          <w:cnfStyle w:val="000000010000" w:firstRow="0" w:lastRow="0" w:firstColumn="0" w:lastColumn="0" w:oddVBand="0" w:evenVBand="0" w:oddHBand="0" w:evenHBand="1" w:firstRowFirstColumn="0" w:firstRowLastColumn="0" w:lastRowFirstColumn="0" w:lastRowLastColumn="0"/>
          <w:trHeight w:val="243"/>
          <w:jc w:val="center"/>
        </w:trPr>
        <w:tc>
          <w:tcPr>
            <w:tcW w:w="1475" w:type="dxa"/>
            <w:vAlign w:val="bottom"/>
          </w:tcPr>
          <w:p w:rsidR="00061E9E" w:rsidRPr="00EF7EA7" w:rsidRDefault="00061E9E" w:rsidP="00131BA5">
            <w:pPr>
              <w:rPr>
                <w:rFonts w:asciiTheme="minorHAnsi" w:hAnsiTheme="minorHAnsi" w:cstheme="minorHAnsi"/>
                <w:color w:val="000000"/>
                <w:sz w:val="20"/>
                <w:szCs w:val="20"/>
              </w:rPr>
            </w:pPr>
            <w:r>
              <w:rPr>
                <w:rFonts w:asciiTheme="minorHAnsi" w:hAnsiTheme="minorHAnsi" w:cstheme="minorHAnsi"/>
                <w:color w:val="000000"/>
                <w:sz w:val="20"/>
                <w:szCs w:val="20"/>
              </w:rPr>
              <w:t>FS-31559</w:t>
            </w:r>
          </w:p>
        </w:tc>
        <w:tc>
          <w:tcPr>
            <w:tcW w:w="5524" w:type="dxa"/>
          </w:tcPr>
          <w:p w:rsidR="00061E9E" w:rsidRPr="00EF7EA7" w:rsidRDefault="00061E9E" w:rsidP="00131BA5">
            <w:pPr>
              <w:rPr>
                <w:rFonts w:asciiTheme="minorHAnsi" w:hAnsiTheme="minorHAnsi" w:cstheme="minorHAnsi"/>
                <w:color w:val="000000"/>
                <w:sz w:val="20"/>
                <w:szCs w:val="20"/>
              </w:rPr>
            </w:pPr>
            <w:r w:rsidRPr="00EF7EA7">
              <w:rPr>
                <w:rFonts w:asciiTheme="minorHAnsi" w:hAnsiTheme="minorHAnsi" w:cstheme="minorHAnsi"/>
                <w:color w:val="000000"/>
                <w:sz w:val="20"/>
                <w:szCs w:val="20"/>
              </w:rPr>
              <w:t>Half Size (</w:t>
            </w:r>
            <w:r>
              <w:rPr>
                <w:rFonts w:asciiTheme="minorHAnsi" w:hAnsiTheme="minorHAnsi" w:cstheme="minorHAnsi"/>
                <w:color w:val="000000"/>
                <w:sz w:val="20"/>
                <w:szCs w:val="20"/>
              </w:rPr>
              <w:t>&lt;</w:t>
            </w:r>
            <w:r w:rsidRPr="00EF7EA7">
              <w:rPr>
                <w:rFonts w:asciiTheme="minorHAnsi" w:hAnsiTheme="minorHAnsi" w:cstheme="minorHAnsi"/>
                <w:color w:val="000000"/>
                <w:sz w:val="20"/>
                <w:szCs w:val="20"/>
              </w:rPr>
              <w:t xml:space="preserve"> 15 cu. ft)</w:t>
            </w:r>
            <w:r w:rsidR="005571F8">
              <w:rPr>
                <w:rFonts w:asciiTheme="minorHAnsi" w:hAnsiTheme="minorHAnsi" w:cstheme="minorHAnsi"/>
                <w:color w:val="000000"/>
                <w:sz w:val="20"/>
                <w:szCs w:val="20"/>
              </w:rPr>
              <w:t xml:space="preserve">, </w:t>
            </w:r>
            <w:r w:rsidR="005571F8">
              <w:rPr>
                <w:rFonts w:ascii="Calibri" w:hAnsi="Calibri" w:cstheme="minorHAnsi"/>
                <w:color w:val="000000"/>
                <w:sz w:val="20"/>
                <w:szCs w:val="20"/>
              </w:rPr>
              <w:t>≤</w:t>
            </w:r>
            <w:r w:rsidRPr="00EF7EA7">
              <w:rPr>
                <w:rFonts w:asciiTheme="minorHAnsi" w:hAnsiTheme="minorHAnsi" w:cstheme="minorHAnsi"/>
                <w:color w:val="000000"/>
                <w:sz w:val="20"/>
                <w:szCs w:val="20"/>
              </w:rPr>
              <w:t xml:space="preserve"> 20 W/cu</w:t>
            </w:r>
            <w:r w:rsidR="004A0F0F">
              <w:rPr>
                <w:rFonts w:asciiTheme="minorHAnsi" w:hAnsiTheme="minorHAnsi" w:cstheme="minorHAnsi"/>
                <w:color w:val="000000"/>
                <w:sz w:val="20"/>
                <w:szCs w:val="20"/>
              </w:rPr>
              <w:t>.</w:t>
            </w:r>
            <w:r w:rsidRPr="00EF7EA7">
              <w:rPr>
                <w:rFonts w:asciiTheme="minorHAnsi" w:hAnsiTheme="minorHAnsi" w:cstheme="minorHAnsi"/>
                <w:color w:val="000000"/>
                <w:sz w:val="20"/>
                <w:szCs w:val="20"/>
              </w:rPr>
              <w:t xml:space="preserve"> ft </w:t>
            </w:r>
            <w:r>
              <w:rPr>
                <w:rFonts w:asciiTheme="minorHAnsi" w:hAnsiTheme="minorHAnsi" w:cstheme="minorHAnsi"/>
                <w:color w:val="000000"/>
                <w:sz w:val="20"/>
                <w:szCs w:val="20"/>
              </w:rPr>
              <w:t>I</w:t>
            </w:r>
            <w:r w:rsidR="0035037E">
              <w:rPr>
                <w:rFonts w:asciiTheme="minorHAnsi" w:hAnsiTheme="minorHAnsi" w:cstheme="minorHAnsi"/>
                <w:color w:val="000000"/>
                <w:sz w:val="20"/>
                <w:szCs w:val="20"/>
              </w:rPr>
              <w:t>nsulated Holding Cabinet</w:t>
            </w:r>
          </w:p>
        </w:tc>
      </w:tr>
    </w:tbl>
    <w:p w:rsidR="0031434B" w:rsidRDefault="0031434B" w:rsidP="00670049">
      <w:pPr>
        <w:rPr>
          <w:rFonts w:asciiTheme="minorHAnsi" w:hAnsiTheme="minorHAnsi" w:cstheme="minorHAnsi"/>
          <w:sz w:val="22"/>
          <w:szCs w:val="22"/>
        </w:rPr>
      </w:pPr>
    </w:p>
    <w:p w:rsidR="00AB7554" w:rsidRPr="00AB7554" w:rsidRDefault="00AB7554" w:rsidP="00670049">
      <w:pPr>
        <w:rPr>
          <w:rFonts w:asciiTheme="minorHAnsi" w:hAnsiTheme="minorHAnsi" w:cstheme="minorHAnsi"/>
          <w:b/>
          <w:sz w:val="22"/>
          <w:szCs w:val="22"/>
        </w:rPr>
      </w:pPr>
      <w:r>
        <w:rPr>
          <w:rFonts w:asciiTheme="minorHAnsi" w:hAnsiTheme="minorHAnsi" w:cstheme="minorHAnsi"/>
          <w:b/>
          <w:sz w:val="22"/>
          <w:szCs w:val="22"/>
        </w:rPr>
        <w:t>Eligibility Requirements</w:t>
      </w:r>
    </w:p>
    <w:p w:rsidR="00131BA5" w:rsidRDefault="00131B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Eligible holding cabinets must be fully insulated on all sides and have solid or transparent doors designed to maintain the temperature of hot food that has been cooked using a separate appliance.</w:t>
      </w:r>
    </w:p>
    <w:p w:rsidR="00131BA5" w:rsidRDefault="00131B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Cook-and-hold and retherm equipment is not eligible.</w:t>
      </w:r>
    </w:p>
    <w:p w:rsidR="00131BA5" w:rsidRDefault="00131B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Eligible</w:t>
      </w:r>
      <w:r w:rsidRPr="00131BA5">
        <w:rPr>
          <w:rFonts w:asciiTheme="minorHAnsi" w:hAnsiTheme="minorHAnsi" w:cstheme="minorHAnsi"/>
          <w:i w:val="0"/>
          <w:color w:val="auto"/>
          <w:sz w:val="22"/>
          <w:szCs w:val="22"/>
        </w:rPr>
        <w:t xml:space="preserve"> cabinets must not exceed the maximum idle energy rate of 20 Watts per cubic foot in accordance with the ASTM Standard F2140 test method</w:t>
      </w:r>
      <w:r w:rsidR="00B93452">
        <w:rPr>
          <w:rFonts w:asciiTheme="minorHAnsi" w:hAnsiTheme="minorHAnsi" w:cstheme="minorHAnsi"/>
          <w:i w:val="0"/>
          <w:color w:val="auto"/>
          <w:sz w:val="22"/>
          <w:szCs w:val="22"/>
        </w:rPr>
        <w:t xml:space="preserve"> [140]</w:t>
      </w:r>
      <w:r w:rsidRPr="00131BA5">
        <w:rPr>
          <w:rFonts w:asciiTheme="minorHAnsi" w:hAnsiTheme="minorHAnsi" w:cstheme="minorHAnsi"/>
          <w:i w:val="0"/>
          <w:color w:val="auto"/>
          <w:sz w:val="22"/>
          <w:szCs w:val="22"/>
        </w:rPr>
        <w:t>.</w:t>
      </w:r>
    </w:p>
    <w:p w:rsidR="00131BA5" w:rsidRDefault="00131BA5" w:rsidP="005966A5">
      <w:pPr>
        <w:pStyle w:val="Reminders"/>
        <w:numPr>
          <w:ilvl w:val="0"/>
          <w:numId w:val="15"/>
        </w:numPr>
        <w:rPr>
          <w:rFonts w:asciiTheme="minorHAnsi" w:hAnsiTheme="minorHAnsi" w:cstheme="minorHAnsi"/>
          <w:i w:val="0"/>
          <w:color w:val="auto"/>
          <w:sz w:val="22"/>
          <w:szCs w:val="22"/>
        </w:rPr>
      </w:pPr>
      <w:r w:rsidRPr="00131BA5">
        <w:rPr>
          <w:rFonts w:asciiTheme="minorHAnsi" w:hAnsiTheme="minorHAnsi" w:cstheme="minorHAnsi"/>
          <w:i w:val="0"/>
          <w:color w:val="auto"/>
          <w:sz w:val="22"/>
          <w:szCs w:val="22"/>
        </w:rPr>
        <w:t>Full-size holding cabinets are defined as any holding cabinet with an internal measured volume of greater than or</w:t>
      </w:r>
      <w:r>
        <w:rPr>
          <w:rFonts w:asciiTheme="minorHAnsi" w:hAnsiTheme="minorHAnsi" w:cstheme="minorHAnsi"/>
          <w:i w:val="0"/>
          <w:color w:val="auto"/>
          <w:sz w:val="22"/>
          <w:szCs w:val="22"/>
        </w:rPr>
        <w:t xml:space="preserve"> equal to 15 cubic feet (≥ 15 cu. ft</w:t>
      </w:r>
      <w:r w:rsidRPr="00131BA5">
        <w:rPr>
          <w:rFonts w:asciiTheme="minorHAnsi" w:hAnsiTheme="minorHAnsi" w:cstheme="minorHAnsi"/>
          <w:i w:val="0"/>
          <w:color w:val="auto"/>
          <w:sz w:val="22"/>
          <w:szCs w:val="22"/>
        </w:rPr>
        <w:t>).</w:t>
      </w:r>
    </w:p>
    <w:p w:rsidR="00131BA5" w:rsidRPr="00131BA5" w:rsidRDefault="00131BA5" w:rsidP="005966A5">
      <w:pPr>
        <w:pStyle w:val="Reminders"/>
        <w:numPr>
          <w:ilvl w:val="0"/>
          <w:numId w:val="15"/>
        </w:numPr>
        <w:rPr>
          <w:rFonts w:asciiTheme="minorHAnsi" w:hAnsiTheme="minorHAnsi" w:cstheme="minorHAnsi"/>
          <w:i w:val="0"/>
          <w:color w:val="auto"/>
          <w:sz w:val="22"/>
          <w:szCs w:val="22"/>
        </w:rPr>
      </w:pPr>
      <w:r w:rsidRPr="00131BA5">
        <w:rPr>
          <w:rFonts w:asciiTheme="minorHAnsi" w:hAnsiTheme="minorHAnsi" w:cstheme="minorHAnsi"/>
          <w:i w:val="0"/>
          <w:color w:val="auto"/>
          <w:sz w:val="22"/>
          <w:szCs w:val="22"/>
        </w:rPr>
        <w:t xml:space="preserve">Half-size holding cabinets are defined as any holding cabinet with an internal measured volume of </w:t>
      </w:r>
      <w:r>
        <w:rPr>
          <w:rFonts w:asciiTheme="minorHAnsi" w:hAnsiTheme="minorHAnsi" w:cstheme="minorHAnsi"/>
          <w:i w:val="0"/>
          <w:color w:val="auto"/>
          <w:sz w:val="22"/>
          <w:szCs w:val="22"/>
        </w:rPr>
        <w:t>less than 15 cubic feet (&lt; 15 cu. ft).</w:t>
      </w:r>
    </w:p>
    <w:p w:rsidR="0022316B" w:rsidRDefault="0022316B" w:rsidP="0022316B">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Eligible </w:t>
      </w:r>
      <w:r w:rsidR="009A7462">
        <w:rPr>
          <w:rFonts w:asciiTheme="minorHAnsi" w:hAnsiTheme="minorHAnsi" w:cstheme="minorHAnsi"/>
          <w:i w:val="0"/>
          <w:color w:val="auto"/>
          <w:sz w:val="22"/>
          <w:szCs w:val="22"/>
        </w:rPr>
        <w:t>holding cabinets</w:t>
      </w:r>
      <w:r>
        <w:rPr>
          <w:rFonts w:asciiTheme="minorHAnsi" w:hAnsiTheme="minorHAnsi" w:cstheme="minorHAnsi"/>
          <w:i w:val="0"/>
          <w:color w:val="auto"/>
          <w:sz w:val="22"/>
          <w:szCs w:val="22"/>
        </w:rPr>
        <w:t xml:space="preserve"> must be on the </w:t>
      </w:r>
      <w:r w:rsidRPr="0022316B">
        <w:rPr>
          <w:rFonts w:asciiTheme="minorHAnsi" w:hAnsiTheme="minorHAnsi" w:cstheme="minorHAnsi"/>
          <w:i w:val="0"/>
          <w:color w:val="auto"/>
          <w:sz w:val="22"/>
          <w:szCs w:val="22"/>
        </w:rPr>
        <w:t>Food Service Technology Center pre-approved list</w:t>
      </w:r>
      <w:r>
        <w:rPr>
          <w:rFonts w:asciiTheme="minorHAnsi" w:hAnsiTheme="minorHAnsi" w:cstheme="minorHAnsi"/>
          <w:i w:val="0"/>
          <w:color w:val="auto"/>
          <w:sz w:val="22"/>
          <w:szCs w:val="22"/>
        </w:rPr>
        <w:t>.</w:t>
      </w:r>
    </w:p>
    <w:p w:rsidR="00E16609" w:rsidRPr="00B551A8" w:rsidRDefault="005966A5" w:rsidP="005966A5">
      <w:pPr>
        <w:pStyle w:val="Heading2"/>
        <w:rPr>
          <w:rFonts w:asciiTheme="minorHAnsi" w:hAnsiTheme="minorHAnsi"/>
        </w:rPr>
      </w:pPr>
      <w:r w:rsidRPr="00B551A8">
        <w:rPr>
          <w:rFonts w:asciiTheme="minorHAnsi" w:hAnsiTheme="minorHAnsi"/>
        </w:rPr>
        <w:t xml:space="preserve"> </w:t>
      </w:r>
      <w:r w:rsidR="00E16609" w:rsidRPr="00B551A8">
        <w:rPr>
          <w:rFonts w:asciiTheme="minorHAnsi" w:hAnsiTheme="minorHAnsi"/>
        </w:rPr>
        <w:t>1.</w:t>
      </w:r>
      <w:r w:rsidR="00AC5309" w:rsidRPr="00B551A8">
        <w:rPr>
          <w:rFonts w:asciiTheme="minorHAnsi" w:hAnsiTheme="minorHAnsi"/>
        </w:rPr>
        <w:t>2</w:t>
      </w:r>
      <w:r w:rsidR="00E16609" w:rsidRPr="00B551A8">
        <w:rPr>
          <w:rFonts w:asciiTheme="minorHAnsi" w:hAnsiTheme="minorHAnsi"/>
        </w:rPr>
        <w:t xml:space="preserve"> </w:t>
      </w:r>
      <w:r w:rsidR="00697868" w:rsidRPr="00B551A8">
        <w:rPr>
          <w:rFonts w:asciiTheme="minorHAnsi" w:hAnsiTheme="minorHAnsi"/>
        </w:rPr>
        <w:t>Technical</w:t>
      </w:r>
      <w:r w:rsidR="00E16609" w:rsidRPr="00B551A8">
        <w:rPr>
          <w:rFonts w:asciiTheme="minorHAnsi" w:hAnsiTheme="minorHAnsi"/>
        </w:rPr>
        <w:t xml:space="preserve"> Description</w:t>
      </w:r>
    </w:p>
    <w:p w:rsidR="009A7462" w:rsidRPr="009A7462" w:rsidRDefault="009A7462" w:rsidP="009A7462">
      <w:pPr>
        <w:rPr>
          <w:rFonts w:asciiTheme="minorHAnsi" w:hAnsiTheme="minorHAnsi" w:cstheme="minorHAnsi"/>
          <w:sz w:val="22"/>
          <w:szCs w:val="22"/>
        </w:rPr>
      </w:pPr>
      <w:r w:rsidRPr="009A7462">
        <w:rPr>
          <w:rFonts w:asciiTheme="minorHAnsi" w:hAnsiTheme="minorHAnsi" w:cstheme="minorHAnsi"/>
          <w:sz w:val="22"/>
          <w:szCs w:val="22"/>
        </w:rPr>
        <w:t>Commercial insulated hot food holding cabinet models that meet program requirements incorporate better insulation for reduced heat loss and may also offer additional energy saving devices such as magnetic door gaskets, auto-door closers, or Dutch doors. The insulation of the cabinet also offers better temperature uniformity within the cabinet from top to bottom. This means that qualified hot food holding cabinets are more effective at maintaining food temperature while using less energy.</w:t>
      </w:r>
    </w:p>
    <w:p w:rsidR="009A7462" w:rsidRPr="009A7462" w:rsidRDefault="009A7462" w:rsidP="009A7462">
      <w:pPr>
        <w:rPr>
          <w:rFonts w:asciiTheme="minorHAnsi" w:hAnsiTheme="minorHAnsi" w:cstheme="minorHAnsi"/>
          <w:sz w:val="22"/>
          <w:szCs w:val="22"/>
        </w:rPr>
      </w:pPr>
    </w:p>
    <w:p w:rsidR="005966A5" w:rsidRDefault="009A7462" w:rsidP="009A7462">
      <w:pPr>
        <w:rPr>
          <w:rFonts w:asciiTheme="minorHAnsi" w:hAnsiTheme="minorHAnsi" w:cstheme="minorHAnsi"/>
          <w:sz w:val="22"/>
          <w:szCs w:val="22"/>
        </w:rPr>
      </w:pPr>
      <w:r w:rsidRPr="009A7462">
        <w:rPr>
          <w:rFonts w:asciiTheme="minorHAnsi" w:hAnsiTheme="minorHAnsi" w:cstheme="minorHAnsi"/>
          <w:sz w:val="22"/>
          <w:szCs w:val="22"/>
        </w:rPr>
        <w:t>Holding cabinet performance is determined by applying the ASTM Standard Test Method for the Performance of Hot Food Holding Cabinets (F2140). The ASTM standard test method is considered to be the industry standard for quantifying the efficiency and performance of hot food holding cabinets.</w:t>
      </w:r>
    </w:p>
    <w:p w:rsidR="00697868" w:rsidRPr="00B551A8" w:rsidRDefault="005966A5" w:rsidP="005966A5">
      <w:pPr>
        <w:pStyle w:val="Heading2"/>
        <w:rPr>
          <w:rFonts w:asciiTheme="minorHAnsi" w:hAnsiTheme="minorHAnsi"/>
        </w:rPr>
      </w:pPr>
      <w:r w:rsidRPr="00B551A8">
        <w:rPr>
          <w:rFonts w:asciiTheme="minorHAnsi" w:hAnsiTheme="minorHAnsi"/>
        </w:rPr>
        <w:t xml:space="preserve"> </w:t>
      </w:r>
      <w:r w:rsidR="00697868" w:rsidRPr="00B551A8">
        <w:rPr>
          <w:rFonts w:asciiTheme="minorHAnsi" w:hAnsiTheme="minorHAnsi"/>
        </w:rPr>
        <w:t>1.3 Measure Application Type</w:t>
      </w:r>
    </w:p>
    <w:p w:rsidR="00344029" w:rsidRPr="00B551A8" w:rsidRDefault="00B6061C" w:rsidP="00B6061C">
      <w:pPr>
        <w:rPr>
          <w:rFonts w:asciiTheme="minorHAnsi" w:hAnsiTheme="minorHAnsi" w:cstheme="minorHAnsi"/>
          <w:sz w:val="22"/>
          <w:szCs w:val="22"/>
        </w:rPr>
      </w:pPr>
      <w:bookmarkStart w:id="9" w:name="_Toc214003084"/>
      <w:r w:rsidRPr="00B551A8">
        <w:rPr>
          <w:rFonts w:asciiTheme="minorHAnsi" w:hAnsiTheme="minorHAnsi" w:cstheme="minorHAnsi"/>
          <w:sz w:val="22"/>
          <w:szCs w:val="22"/>
        </w:rPr>
        <w:t>The delivery method is Financial Support -</w:t>
      </w:r>
      <w:r w:rsidR="00344029" w:rsidRPr="00B551A8">
        <w:rPr>
          <w:rFonts w:asciiTheme="minorHAnsi" w:hAnsiTheme="minorHAnsi" w:cstheme="minorHAnsi"/>
          <w:sz w:val="22"/>
          <w:szCs w:val="22"/>
        </w:rPr>
        <w:t xml:space="preserve"> Down-Stream Incentive – Deemed</w:t>
      </w:r>
      <w:r w:rsidR="0057341F" w:rsidRPr="00B551A8">
        <w:rPr>
          <w:rFonts w:asciiTheme="minorHAnsi" w:hAnsiTheme="minorHAnsi" w:cstheme="minorHAnsi"/>
          <w:sz w:val="22"/>
          <w:szCs w:val="22"/>
        </w:rPr>
        <w:t>.</w:t>
      </w:r>
    </w:p>
    <w:p w:rsidR="0057341F" w:rsidRPr="00B551A8" w:rsidRDefault="0057341F" w:rsidP="00B6061C">
      <w:pPr>
        <w:rPr>
          <w:rFonts w:asciiTheme="minorHAnsi" w:hAnsiTheme="minorHAnsi" w:cstheme="minorHAnsi"/>
          <w:sz w:val="22"/>
          <w:szCs w:val="22"/>
        </w:rPr>
      </w:pPr>
    </w:p>
    <w:p w:rsidR="00B6061C" w:rsidRPr="00B551A8" w:rsidRDefault="00344029" w:rsidP="00B6061C">
      <w:pPr>
        <w:rPr>
          <w:rFonts w:asciiTheme="minorHAnsi" w:hAnsiTheme="minorHAnsi" w:cstheme="minorHAnsi"/>
          <w:sz w:val="22"/>
          <w:szCs w:val="22"/>
        </w:rPr>
      </w:pPr>
      <w:r w:rsidRPr="00B551A8">
        <w:rPr>
          <w:rFonts w:asciiTheme="minorHAnsi" w:hAnsiTheme="minorHAnsi" w:cstheme="minorHAnsi"/>
          <w:sz w:val="22"/>
          <w:szCs w:val="22"/>
        </w:rPr>
        <w:t xml:space="preserve">The install type is </w:t>
      </w:r>
      <w:r w:rsidR="0057341F" w:rsidRPr="00B551A8">
        <w:rPr>
          <w:rFonts w:asciiTheme="minorHAnsi" w:hAnsiTheme="minorHAnsi" w:cstheme="minorHAnsi"/>
          <w:sz w:val="22"/>
          <w:szCs w:val="22"/>
        </w:rPr>
        <w:t>ROB (Replace-on-B</w:t>
      </w:r>
      <w:r w:rsidR="00B6061C" w:rsidRPr="00B551A8">
        <w:rPr>
          <w:rFonts w:asciiTheme="minorHAnsi" w:hAnsiTheme="minorHAnsi" w:cstheme="minorHAnsi"/>
          <w:sz w:val="22"/>
          <w:szCs w:val="22"/>
        </w:rPr>
        <w:t>urnout).</w:t>
      </w:r>
    </w:p>
    <w:p w:rsidR="00E16609" w:rsidRPr="00B551A8" w:rsidRDefault="00824F1C" w:rsidP="00824F1C">
      <w:pPr>
        <w:pStyle w:val="Heading2"/>
        <w:rPr>
          <w:rFonts w:asciiTheme="minorHAnsi" w:hAnsiTheme="minorHAnsi" w:cstheme="minorHAnsi"/>
        </w:rPr>
      </w:pPr>
      <w:proofErr w:type="gramStart"/>
      <w:r w:rsidRPr="00B551A8">
        <w:rPr>
          <w:rFonts w:asciiTheme="minorHAnsi" w:hAnsiTheme="minorHAnsi" w:cstheme="minorHAnsi"/>
        </w:rPr>
        <w:lastRenderedPageBreak/>
        <w:t>1.</w:t>
      </w:r>
      <w:r w:rsidR="00697868" w:rsidRPr="00B551A8">
        <w:rPr>
          <w:rFonts w:asciiTheme="minorHAnsi" w:hAnsiTheme="minorHAnsi" w:cstheme="minorHAnsi"/>
        </w:rPr>
        <w:t>4</w:t>
      </w:r>
      <w:r w:rsidRPr="00B551A8">
        <w:rPr>
          <w:rFonts w:asciiTheme="minorHAnsi" w:hAnsiTheme="minorHAnsi" w:cstheme="minorHAnsi"/>
        </w:rPr>
        <w:t xml:space="preserve">  </w:t>
      </w:r>
      <w:r w:rsidR="00697868" w:rsidRPr="00B551A8">
        <w:rPr>
          <w:rFonts w:asciiTheme="minorHAnsi" w:hAnsiTheme="minorHAnsi" w:cstheme="minorHAnsi"/>
        </w:rPr>
        <w:t>Measure</w:t>
      </w:r>
      <w:proofErr w:type="gramEnd"/>
      <w:r w:rsidR="00697868" w:rsidRPr="00B551A8">
        <w:rPr>
          <w:rFonts w:asciiTheme="minorHAnsi" w:hAnsiTheme="minorHAnsi" w:cstheme="minorHAnsi"/>
        </w:rPr>
        <w:t xml:space="preserve"> and Base Case</w:t>
      </w:r>
      <w:r w:rsidR="00E16609" w:rsidRPr="00B551A8">
        <w:rPr>
          <w:rFonts w:asciiTheme="minorHAnsi" w:hAnsiTheme="minorHAnsi" w:cstheme="minorHAnsi"/>
        </w:rPr>
        <w:t xml:space="preserve"> </w:t>
      </w:r>
      <w:r w:rsidR="00F06CCF" w:rsidRPr="00B551A8">
        <w:rPr>
          <w:rFonts w:asciiTheme="minorHAnsi" w:hAnsiTheme="minorHAnsi" w:cstheme="minorHAnsi"/>
        </w:rPr>
        <w:t>Cost Effectiveness Data</w:t>
      </w:r>
      <w:bookmarkEnd w:id="9"/>
    </w:p>
    <w:p w:rsidR="00F06CCF" w:rsidRPr="00B551A8" w:rsidRDefault="00F06CCF" w:rsidP="00F06CCF">
      <w:pPr>
        <w:pStyle w:val="Heading3"/>
        <w:rPr>
          <w:rFonts w:asciiTheme="minorHAnsi" w:hAnsiTheme="minorHAnsi"/>
        </w:rPr>
      </w:pPr>
      <w:r w:rsidRPr="00B551A8">
        <w:rPr>
          <w:rFonts w:asciiTheme="minorHAnsi" w:hAnsiTheme="minorHAnsi"/>
        </w:rPr>
        <w:t>1.4.1 DEER Measure and Base Case Analysis</w:t>
      </w:r>
    </w:p>
    <w:p w:rsidR="008E7177" w:rsidRDefault="008E7177" w:rsidP="00344029">
      <w:pPr>
        <w:pStyle w:val="Caption"/>
        <w:jc w:val="center"/>
        <w:rPr>
          <w:rFonts w:asciiTheme="minorHAnsi" w:hAnsiTheme="minorHAnsi"/>
          <w:sz w:val="22"/>
          <w:szCs w:val="22"/>
        </w:rPr>
      </w:pPr>
    </w:p>
    <w:p w:rsidR="009E1CDE"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2</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9E1CDE" w:rsidRPr="00B551A8">
        <w:rPr>
          <w:rFonts w:asciiTheme="minorHAnsi" w:hAnsiTheme="minorHAnsi" w:cstheme="minorHAnsi"/>
          <w:sz w:val="22"/>
          <w:szCs w:val="22"/>
        </w:rPr>
        <w:t xml:space="preserve">DEER Difference </w:t>
      </w:r>
      <w:r w:rsidR="00E81F3E" w:rsidRPr="00B551A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B551A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B551A8" w:rsidRDefault="006D2809" w:rsidP="00602799">
            <w:pPr>
              <w:jc w:val="center"/>
              <w:rPr>
                <w:rFonts w:asciiTheme="minorHAnsi" w:hAnsiTheme="minorHAnsi" w:cstheme="minorHAnsi"/>
                <w:sz w:val="20"/>
                <w:szCs w:val="20"/>
              </w:rPr>
            </w:pPr>
            <w:r w:rsidRPr="00B551A8">
              <w:rPr>
                <w:rFonts w:asciiTheme="minorHAnsi" w:hAnsiTheme="minorHAnsi" w:cstheme="minorHAnsi"/>
                <w:sz w:val="20"/>
                <w:szCs w:val="20"/>
              </w:rPr>
              <w:t>DEER Difference Summary Table</w:t>
            </w:r>
          </w:p>
        </w:tc>
      </w:tr>
      <w:tr w:rsidR="0046286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B551A8" w:rsidRDefault="0046286E" w:rsidP="00447CE5">
            <w:pPr>
              <w:rPr>
                <w:rFonts w:asciiTheme="minorHAnsi" w:hAnsiTheme="minorHAnsi" w:cstheme="minorHAnsi"/>
                <w:sz w:val="20"/>
                <w:szCs w:val="20"/>
              </w:rPr>
            </w:pPr>
            <w:r w:rsidRPr="00B551A8">
              <w:rPr>
                <w:rFonts w:asciiTheme="minorHAnsi" w:hAnsiTheme="minorHAnsi" w:cstheme="minorHAnsi"/>
                <w:sz w:val="20"/>
                <w:szCs w:val="20"/>
              </w:rPr>
              <w:t xml:space="preserve">Modified DEER </w:t>
            </w:r>
            <w:r w:rsidR="00D36798" w:rsidRPr="00B551A8">
              <w:rPr>
                <w:rFonts w:asciiTheme="minorHAnsi" w:hAnsiTheme="minorHAnsi" w:cstheme="minorHAnsi"/>
                <w:sz w:val="20"/>
                <w:szCs w:val="20"/>
              </w:rPr>
              <w:t>Methodology</w:t>
            </w:r>
          </w:p>
        </w:tc>
        <w:tc>
          <w:tcPr>
            <w:tcW w:w="5513" w:type="dxa"/>
            <w:vAlign w:val="center"/>
          </w:tcPr>
          <w:p w:rsidR="0046286E" w:rsidRPr="00B551A8" w:rsidRDefault="0046286E" w:rsidP="0088603B">
            <w:pPr>
              <w:jc w:val="center"/>
              <w:rPr>
                <w:rFonts w:asciiTheme="minorHAnsi" w:hAnsiTheme="minorHAnsi" w:cstheme="minorHAnsi"/>
                <w:b/>
                <w:sz w:val="20"/>
                <w:szCs w:val="20"/>
              </w:rPr>
            </w:pPr>
            <w:r w:rsidRPr="00B551A8">
              <w:rPr>
                <w:rFonts w:asciiTheme="minorHAnsi" w:hAnsiTheme="minorHAnsi" w:cstheme="minorHAnsi"/>
                <w:sz w:val="20"/>
                <w:szCs w:val="20"/>
              </w:rPr>
              <w:t>No</w:t>
            </w:r>
          </w:p>
        </w:tc>
      </w:tr>
      <w:tr w:rsidR="00447CE5"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B551A8" w:rsidRDefault="00447CE5" w:rsidP="00E81F3E">
            <w:pPr>
              <w:rPr>
                <w:rFonts w:asciiTheme="minorHAnsi" w:hAnsiTheme="minorHAnsi" w:cstheme="minorHAnsi"/>
                <w:sz w:val="20"/>
                <w:szCs w:val="20"/>
              </w:rPr>
            </w:pPr>
            <w:r w:rsidRPr="00B551A8">
              <w:rPr>
                <w:rFonts w:asciiTheme="minorHAnsi" w:hAnsiTheme="minorHAnsi" w:cstheme="minorHAnsi"/>
                <w:sz w:val="20"/>
                <w:szCs w:val="20"/>
              </w:rPr>
              <w:t>Scaled DEER Measure</w:t>
            </w:r>
          </w:p>
        </w:tc>
        <w:tc>
          <w:tcPr>
            <w:tcW w:w="5513" w:type="dxa"/>
            <w:vAlign w:val="center"/>
          </w:tcPr>
          <w:p w:rsidR="00447CE5" w:rsidRPr="00B551A8" w:rsidRDefault="00447CE5"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Building Prototypes Used</w:t>
            </w:r>
          </w:p>
        </w:tc>
        <w:tc>
          <w:tcPr>
            <w:tcW w:w="5513" w:type="dxa"/>
            <w:vAlign w:val="center"/>
          </w:tcPr>
          <w:p w:rsidR="00E81F3E" w:rsidRPr="00B551A8" w:rsidRDefault="00E81F3E"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Deviation from DEER</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DEER does not contain this measure</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Version</w:t>
            </w:r>
          </w:p>
        </w:tc>
        <w:tc>
          <w:tcPr>
            <w:tcW w:w="5513" w:type="dxa"/>
            <w:vAlign w:val="center"/>
          </w:tcPr>
          <w:p w:rsidR="00E81F3E" w:rsidRPr="00B551A8" w:rsidRDefault="00E81F3E" w:rsidP="00D36798">
            <w:pPr>
              <w:jc w:val="center"/>
              <w:rPr>
                <w:rFonts w:asciiTheme="minorHAnsi" w:hAnsiTheme="minorHAnsi" w:cstheme="minorHAnsi"/>
                <w:sz w:val="20"/>
                <w:szCs w:val="20"/>
              </w:rPr>
            </w:pPr>
            <w:r w:rsidRPr="00B551A8">
              <w:rPr>
                <w:rFonts w:asciiTheme="minorHAnsi" w:hAnsiTheme="minorHAnsi" w:cstheme="minorHAnsi"/>
                <w:sz w:val="20"/>
                <w:szCs w:val="20"/>
              </w:rPr>
              <w:t>N/A</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Run ID and Measure Name (Sample)</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N/A</w:t>
            </w:r>
          </w:p>
        </w:tc>
      </w:tr>
    </w:tbl>
    <w:p w:rsidR="000968C6" w:rsidRPr="00B551A8" w:rsidRDefault="000968C6" w:rsidP="000968C6">
      <w:pPr>
        <w:pStyle w:val="Reminders"/>
        <w:rPr>
          <w:rFonts w:asciiTheme="minorHAnsi" w:hAnsiTheme="minorHAnsi" w:cstheme="minorHAnsi"/>
          <w:color w:val="auto"/>
          <w:sz w:val="22"/>
          <w:szCs w:val="22"/>
        </w:rPr>
      </w:pPr>
      <w:bookmarkStart w:id="10" w:name="_Toc214003087"/>
    </w:p>
    <w:p w:rsidR="000968C6" w:rsidRPr="00B551A8" w:rsidRDefault="000968C6"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t>Net to Gross</w:t>
      </w:r>
    </w:p>
    <w:p w:rsidR="000968C6" w:rsidRPr="00B551A8" w:rsidRDefault="000968C6" w:rsidP="000968C6">
      <w:pPr>
        <w:rPr>
          <w:rFonts w:asciiTheme="minorHAnsi" w:hAnsiTheme="minorHAnsi" w:cstheme="minorHAnsi"/>
          <w:sz w:val="22"/>
          <w:szCs w:val="22"/>
        </w:rPr>
      </w:pPr>
      <w:r w:rsidRPr="00B551A8">
        <w:rPr>
          <w:rFonts w:asciiTheme="minorHAnsi" w:hAnsiTheme="minorHAnsi" w:cstheme="minorHAnsi"/>
          <w:sz w:val="22"/>
          <w:szCs w:val="22"/>
        </w:rPr>
        <w:t xml:space="preserve">The NTG value was obtained from the “DEER2011_NTGR_2012-05-16.xls” on the DEER website as required by Version </w:t>
      </w:r>
      <w:r w:rsidR="006B4A48" w:rsidRPr="00B551A8">
        <w:rPr>
          <w:rFonts w:asciiTheme="minorHAnsi" w:hAnsiTheme="minorHAnsi" w:cstheme="minorHAnsi"/>
          <w:sz w:val="22"/>
          <w:szCs w:val="22"/>
        </w:rPr>
        <w:t>5</w:t>
      </w:r>
      <w:r w:rsidRPr="00B551A8">
        <w:rPr>
          <w:rFonts w:asciiTheme="minorHAnsi" w:hAnsiTheme="minorHAnsi" w:cstheme="minorHAnsi"/>
          <w:sz w:val="22"/>
          <w:szCs w:val="22"/>
        </w:rPr>
        <w:t xml:space="preserve"> of the California Public Utilities Commission (CPUC) Energy Efficiency Policy Manual </w:t>
      </w:r>
      <w:r w:rsidR="009138A0" w:rsidRPr="00B551A8">
        <w:rPr>
          <w:rFonts w:asciiTheme="minorHAnsi" w:hAnsiTheme="minorHAnsi" w:cstheme="minorHAnsi"/>
          <w:sz w:val="22"/>
          <w:szCs w:val="22"/>
        </w:rPr>
        <w:t>[351]</w:t>
      </w:r>
      <w:r w:rsidRPr="00B551A8">
        <w:rPr>
          <w:rFonts w:asciiTheme="minorHAnsi" w:hAnsiTheme="minorHAnsi" w:cstheme="minorHAnsi"/>
          <w:sz w:val="22"/>
          <w:szCs w:val="22"/>
        </w:rPr>
        <w:t>. The relevant NTGR for this measure is shown in</w:t>
      </w:r>
      <w:r w:rsidR="00344029" w:rsidRPr="00B551A8">
        <w:rPr>
          <w:rFonts w:asciiTheme="minorHAnsi" w:hAnsiTheme="minorHAnsi" w:cstheme="minorHAnsi"/>
          <w:sz w:val="22"/>
          <w:szCs w:val="22"/>
        </w:rPr>
        <w:t xml:space="preserve"> </w:t>
      </w:r>
      <w:r w:rsidR="00344029" w:rsidRPr="00B551A8">
        <w:rPr>
          <w:rFonts w:asciiTheme="minorHAnsi" w:hAnsiTheme="minorHAnsi" w:cstheme="minorHAnsi"/>
          <w:sz w:val="22"/>
          <w:szCs w:val="22"/>
        </w:rPr>
        <w:fldChar w:fldCharType="begin"/>
      </w:r>
      <w:r w:rsidR="00344029" w:rsidRPr="00B551A8">
        <w:rPr>
          <w:rFonts w:asciiTheme="minorHAnsi" w:hAnsiTheme="minorHAnsi" w:cstheme="minorHAnsi"/>
          <w:sz w:val="22"/>
          <w:szCs w:val="22"/>
        </w:rPr>
        <w:instrText xml:space="preserve"> REF _Ref390773466 \h </w:instrText>
      </w:r>
      <w:r w:rsidR="00C5179F" w:rsidRPr="00B551A8">
        <w:rPr>
          <w:rFonts w:asciiTheme="minorHAnsi" w:hAnsiTheme="minorHAnsi" w:cstheme="minorHAnsi"/>
          <w:sz w:val="22"/>
          <w:szCs w:val="22"/>
        </w:rPr>
        <w:instrText xml:space="preserve"> \* MERGEFORMAT </w:instrText>
      </w:r>
      <w:r w:rsidR="00344029" w:rsidRPr="00B551A8">
        <w:rPr>
          <w:rFonts w:asciiTheme="minorHAnsi" w:hAnsiTheme="minorHAnsi" w:cstheme="minorHAnsi"/>
          <w:sz w:val="22"/>
          <w:szCs w:val="22"/>
        </w:rPr>
      </w:r>
      <w:r w:rsidR="00344029" w:rsidRPr="00B551A8">
        <w:rPr>
          <w:rFonts w:asciiTheme="minorHAnsi" w:hAnsiTheme="minorHAnsi" w:cstheme="minorHAnsi"/>
          <w:sz w:val="22"/>
          <w:szCs w:val="22"/>
        </w:rPr>
        <w:fldChar w:fldCharType="separate"/>
      </w:r>
      <w:r w:rsidR="00B90ADB" w:rsidRPr="00B551A8">
        <w:rPr>
          <w:rFonts w:asciiTheme="minorHAnsi" w:hAnsiTheme="minorHAnsi"/>
          <w:sz w:val="22"/>
          <w:szCs w:val="22"/>
        </w:rPr>
        <w:t xml:space="preserve">Table </w:t>
      </w:r>
      <w:r w:rsidR="00B90ADB">
        <w:rPr>
          <w:rFonts w:asciiTheme="minorHAnsi" w:hAnsiTheme="minorHAnsi"/>
          <w:noProof/>
          <w:sz w:val="22"/>
          <w:szCs w:val="22"/>
        </w:rPr>
        <w:t>3</w:t>
      </w:r>
      <w:r w:rsidR="00344029"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below.</w:t>
      </w:r>
    </w:p>
    <w:p w:rsidR="000968C6" w:rsidRPr="00B551A8" w:rsidRDefault="000968C6" w:rsidP="000968C6">
      <w:pPr>
        <w:rPr>
          <w:rFonts w:asciiTheme="minorHAnsi" w:hAnsiTheme="minorHAnsi" w:cstheme="minorHAnsi"/>
          <w:sz w:val="22"/>
          <w:szCs w:val="22"/>
        </w:rPr>
      </w:pPr>
    </w:p>
    <w:p w:rsidR="000968C6" w:rsidRPr="00B551A8" w:rsidRDefault="00344029" w:rsidP="00344029">
      <w:pPr>
        <w:pStyle w:val="Caption"/>
        <w:jc w:val="center"/>
        <w:rPr>
          <w:rFonts w:asciiTheme="minorHAnsi" w:hAnsiTheme="minorHAnsi" w:cstheme="minorHAnsi"/>
          <w:sz w:val="22"/>
          <w:szCs w:val="22"/>
        </w:rPr>
      </w:pPr>
      <w:bookmarkStart w:id="11" w:name="_Ref390773466"/>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3</w:t>
      </w:r>
      <w:r w:rsidRPr="00B551A8">
        <w:rPr>
          <w:rFonts w:asciiTheme="minorHAnsi" w:hAnsiTheme="minorHAnsi"/>
          <w:sz w:val="22"/>
          <w:szCs w:val="22"/>
        </w:rPr>
        <w:fldChar w:fldCharType="end"/>
      </w:r>
      <w:bookmarkEnd w:id="11"/>
      <w:r w:rsidRPr="00B551A8">
        <w:rPr>
          <w:rFonts w:asciiTheme="minorHAnsi" w:hAnsiTheme="minorHAnsi"/>
          <w:sz w:val="22"/>
          <w:szCs w:val="22"/>
        </w:rPr>
        <w:t xml:space="preserve"> </w:t>
      </w:r>
      <w:r w:rsidR="000968C6" w:rsidRPr="00B551A8">
        <w:rPr>
          <w:rFonts w:asciiTheme="minorHAnsi" w:hAnsiTheme="minorHAnsi" w:cstheme="minorHAnsi"/>
          <w:sz w:val="22"/>
          <w:szCs w:val="22"/>
        </w:rPr>
        <w:t>Net-to-Gross Ratio</w:t>
      </w:r>
    </w:p>
    <w:tbl>
      <w:tblPr>
        <w:tblStyle w:val="TableContemporary"/>
        <w:tblW w:w="4681" w:type="pct"/>
        <w:jc w:val="center"/>
        <w:tblInd w:w="611" w:type="dxa"/>
        <w:tblLook w:val="01E0" w:firstRow="1" w:lastRow="1" w:firstColumn="1" w:lastColumn="1" w:noHBand="0" w:noVBand="0"/>
      </w:tblPr>
      <w:tblGrid>
        <w:gridCol w:w="1513"/>
        <w:gridCol w:w="2304"/>
        <w:gridCol w:w="1399"/>
        <w:gridCol w:w="1718"/>
        <w:gridCol w:w="1278"/>
        <w:gridCol w:w="753"/>
      </w:tblGrid>
      <w:tr w:rsidR="003225E4" w:rsidRPr="00B551A8" w:rsidTr="003225E4">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NTGR_ID*</w:t>
            </w:r>
          </w:p>
        </w:tc>
        <w:tc>
          <w:tcPr>
            <w:tcW w:w="1285"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13" w:type="pct"/>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42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w:t>
            </w:r>
          </w:p>
        </w:tc>
      </w:tr>
      <w:tr w:rsidR="003225E4" w:rsidRPr="00B551A8" w:rsidTr="003225E4">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0968C6" w:rsidRPr="00B551A8" w:rsidRDefault="001A5C35" w:rsidP="009824E9">
            <w:pPr>
              <w:jc w:val="center"/>
              <w:rPr>
                <w:rFonts w:asciiTheme="minorHAnsi" w:hAnsiTheme="minorHAnsi" w:cstheme="minorHAnsi"/>
                <w:sz w:val="20"/>
                <w:szCs w:val="20"/>
              </w:rPr>
            </w:pPr>
            <w:r w:rsidRPr="00B551A8">
              <w:rPr>
                <w:rFonts w:asciiTheme="minorHAnsi" w:hAnsiTheme="minorHAnsi" w:cstheme="minorHAnsi"/>
                <w:sz w:val="20"/>
                <w:szCs w:val="20"/>
              </w:rPr>
              <w:t>Com-Default&gt;2yrs</w:t>
            </w:r>
          </w:p>
        </w:tc>
        <w:tc>
          <w:tcPr>
            <w:tcW w:w="1285"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Com</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13" w:type="pct"/>
            <w:vAlign w:val="center"/>
          </w:tcPr>
          <w:p w:rsidR="000968C6" w:rsidRPr="00B551A8" w:rsidRDefault="00CE4D61"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420"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0.6</w:t>
            </w:r>
          </w:p>
        </w:tc>
      </w:tr>
    </w:tbl>
    <w:p w:rsidR="000968C6" w:rsidRPr="00B551A8" w:rsidRDefault="000968C6" w:rsidP="000968C6">
      <w:pPr>
        <w:ind w:firstLine="720"/>
        <w:rPr>
          <w:rFonts w:asciiTheme="minorHAnsi" w:hAnsiTheme="minorHAnsi" w:cstheme="minorHAnsi"/>
          <w:sz w:val="20"/>
          <w:szCs w:val="20"/>
        </w:rPr>
      </w:pPr>
      <w:r w:rsidRPr="00B551A8">
        <w:rPr>
          <w:rFonts w:asciiTheme="minorHAnsi" w:hAnsiTheme="minorHAnsi" w:cstheme="minorHAnsi"/>
          <w:sz w:val="20"/>
          <w:szCs w:val="20"/>
        </w:rPr>
        <w:t>*Denotes that the column is taken from the DEER NTG Table.</w:t>
      </w:r>
    </w:p>
    <w:p w:rsidR="00A4321C" w:rsidRPr="00B551A8" w:rsidRDefault="00A4321C" w:rsidP="000968C6">
      <w:pPr>
        <w:pStyle w:val="Reminders"/>
        <w:rPr>
          <w:rFonts w:asciiTheme="minorHAnsi" w:hAnsiTheme="minorHAnsi" w:cstheme="minorHAnsi"/>
          <w:b/>
          <w:i w:val="0"/>
          <w:color w:val="auto"/>
          <w:sz w:val="22"/>
          <w:szCs w:val="22"/>
        </w:rPr>
      </w:pPr>
    </w:p>
    <w:p w:rsidR="000968C6" w:rsidRPr="00B551A8" w:rsidRDefault="000968C6" w:rsidP="0057341F">
      <w:pPr>
        <w:spacing w:line="276" w:lineRule="auto"/>
        <w:rPr>
          <w:rFonts w:asciiTheme="minorHAnsi" w:hAnsiTheme="minorHAnsi" w:cstheme="minorHAnsi"/>
          <w:b/>
          <w:i/>
          <w:sz w:val="22"/>
          <w:szCs w:val="22"/>
        </w:rPr>
      </w:pPr>
      <w:r w:rsidRPr="00B551A8">
        <w:rPr>
          <w:rFonts w:asciiTheme="minorHAnsi" w:hAnsiTheme="minorHAnsi" w:cstheme="minorHAnsi"/>
          <w:b/>
          <w:sz w:val="22"/>
          <w:szCs w:val="22"/>
        </w:rPr>
        <w:t>Installation Rate</w:t>
      </w:r>
    </w:p>
    <w:p w:rsidR="000968C6" w:rsidRPr="00B551A8" w:rsidRDefault="000968C6" w:rsidP="0057341F">
      <w:pPr>
        <w:pStyle w:val="Reminders"/>
        <w:spacing w:before="0"/>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B551A8">
        <w:rPr>
          <w:rFonts w:asciiTheme="minorHAnsi" w:hAnsiTheme="minorHAnsi" w:cstheme="minorHAnsi"/>
          <w:i w:val="0"/>
          <w:color w:val="auto"/>
          <w:sz w:val="22"/>
          <w:szCs w:val="22"/>
        </w:rPr>
        <w:t xml:space="preserve">the support table available in READi. Currently </w:t>
      </w:r>
      <w:r w:rsidR="00413CDB" w:rsidRPr="00B551A8">
        <w:rPr>
          <w:rFonts w:asciiTheme="minorHAnsi" w:hAnsiTheme="minorHAnsi" w:cstheme="minorHAnsi"/>
          <w:i w:val="0"/>
          <w:color w:val="auto"/>
          <w:sz w:val="22"/>
          <w:szCs w:val="22"/>
        </w:rPr>
        <w:t>there is no versioning on</w:t>
      </w:r>
      <w:r w:rsidR="00240B74" w:rsidRPr="00B551A8">
        <w:rPr>
          <w:rFonts w:asciiTheme="minorHAnsi" w:hAnsiTheme="minorHAnsi" w:cstheme="minorHAnsi"/>
          <w:i w:val="0"/>
          <w:color w:val="auto"/>
          <w:sz w:val="22"/>
          <w:szCs w:val="22"/>
        </w:rPr>
        <w:t xml:space="preserve"> the installation rate table</w:t>
      </w:r>
      <w:r w:rsidR="00413CDB" w:rsidRPr="00B551A8">
        <w:rPr>
          <w:rFonts w:asciiTheme="minorHAnsi" w:hAnsiTheme="minorHAnsi" w:cstheme="minorHAnsi"/>
          <w:i w:val="0"/>
          <w:color w:val="auto"/>
          <w:sz w:val="22"/>
          <w:szCs w:val="22"/>
        </w:rPr>
        <w:t>. To address appropriate selection of the installation rate</w:t>
      </w:r>
      <w:r w:rsidR="00240B74" w:rsidRPr="00B551A8">
        <w:rPr>
          <w:rFonts w:asciiTheme="minorHAnsi" w:hAnsiTheme="minorHAnsi" w:cstheme="minorHAnsi"/>
          <w:i w:val="0"/>
          <w:color w:val="auto"/>
          <w:sz w:val="22"/>
          <w:szCs w:val="22"/>
        </w:rPr>
        <w:t xml:space="preserve"> the date of the workpaper will serve as the last date checked for updated IR values.</w:t>
      </w:r>
      <w:r w:rsidRPr="00B551A8">
        <w:rPr>
          <w:rFonts w:asciiTheme="minorHAnsi" w:hAnsiTheme="minorHAnsi" w:cstheme="minorHAnsi"/>
          <w:i w:val="0"/>
          <w:color w:val="auto"/>
          <w:sz w:val="22"/>
          <w:szCs w:val="22"/>
        </w:rPr>
        <w:t xml:space="preserve"> The installation rate varies by end use, sector, technology, application, and delivery method.</w:t>
      </w:r>
      <w:r w:rsidR="006B4A48" w:rsidRPr="00B551A8">
        <w:rPr>
          <w:rFonts w:asciiTheme="minorHAnsi" w:hAnsiTheme="minorHAnsi" w:cstheme="minorHAnsi"/>
          <w:i w:val="0"/>
          <w:color w:val="auto"/>
          <w:sz w:val="22"/>
          <w:szCs w:val="22"/>
        </w:rPr>
        <w:t xml:space="preserve"> The relevant IR values for this measure are shown in</w:t>
      </w:r>
      <w:r w:rsidR="00344029" w:rsidRPr="00B551A8">
        <w:rPr>
          <w:rFonts w:asciiTheme="minorHAnsi" w:hAnsiTheme="minorHAnsi" w:cstheme="minorHAnsi"/>
          <w:i w:val="0"/>
          <w:color w:val="auto"/>
          <w:sz w:val="22"/>
          <w:szCs w:val="22"/>
        </w:rPr>
        <w:t xml:space="preserve"> </w:t>
      </w:r>
      <w:r w:rsidR="00344029" w:rsidRPr="00B551A8">
        <w:rPr>
          <w:rFonts w:asciiTheme="minorHAnsi" w:hAnsiTheme="minorHAnsi" w:cstheme="minorHAnsi"/>
          <w:i w:val="0"/>
          <w:color w:val="auto"/>
          <w:sz w:val="22"/>
          <w:szCs w:val="22"/>
        </w:rPr>
        <w:fldChar w:fldCharType="begin"/>
      </w:r>
      <w:r w:rsidR="00344029" w:rsidRPr="00B551A8">
        <w:rPr>
          <w:rFonts w:asciiTheme="minorHAnsi" w:hAnsiTheme="minorHAnsi" w:cstheme="minorHAnsi"/>
          <w:i w:val="0"/>
          <w:color w:val="auto"/>
          <w:sz w:val="22"/>
          <w:szCs w:val="22"/>
        </w:rPr>
        <w:instrText xml:space="preserve"> REF _Ref390773489 \h </w:instrText>
      </w:r>
      <w:r w:rsidR="00C5179F" w:rsidRPr="00B551A8">
        <w:rPr>
          <w:rFonts w:asciiTheme="minorHAnsi" w:hAnsiTheme="minorHAnsi" w:cstheme="minorHAnsi"/>
          <w:i w:val="0"/>
          <w:color w:val="auto"/>
          <w:sz w:val="22"/>
          <w:szCs w:val="22"/>
        </w:rPr>
        <w:instrText xml:space="preserve"> \* MERGEFORMAT </w:instrText>
      </w:r>
      <w:r w:rsidR="00344029" w:rsidRPr="00B551A8">
        <w:rPr>
          <w:rFonts w:asciiTheme="minorHAnsi" w:hAnsiTheme="minorHAnsi" w:cstheme="minorHAnsi"/>
          <w:i w:val="0"/>
          <w:color w:val="auto"/>
          <w:sz w:val="22"/>
          <w:szCs w:val="22"/>
        </w:rPr>
      </w:r>
      <w:r w:rsidR="00344029" w:rsidRPr="00B551A8">
        <w:rPr>
          <w:rFonts w:asciiTheme="minorHAnsi" w:hAnsiTheme="minorHAnsi" w:cstheme="minorHAnsi"/>
          <w:i w:val="0"/>
          <w:color w:val="auto"/>
          <w:sz w:val="22"/>
          <w:szCs w:val="22"/>
        </w:rPr>
        <w:fldChar w:fldCharType="separate"/>
      </w:r>
      <w:r w:rsidR="00B90ADB" w:rsidRPr="00B90ADB">
        <w:rPr>
          <w:rFonts w:asciiTheme="minorHAnsi" w:hAnsiTheme="minorHAnsi"/>
          <w:i w:val="0"/>
          <w:color w:val="auto"/>
          <w:sz w:val="22"/>
          <w:szCs w:val="22"/>
        </w:rPr>
        <w:t xml:space="preserve">Table </w:t>
      </w:r>
      <w:r w:rsidR="00B90ADB" w:rsidRPr="00B90ADB">
        <w:rPr>
          <w:rFonts w:asciiTheme="minorHAnsi" w:hAnsiTheme="minorHAnsi"/>
          <w:i w:val="0"/>
          <w:noProof/>
          <w:color w:val="auto"/>
          <w:sz w:val="22"/>
          <w:szCs w:val="22"/>
        </w:rPr>
        <w:t>4</w:t>
      </w:r>
      <w:r w:rsidR="00344029" w:rsidRPr="00B551A8">
        <w:rPr>
          <w:rFonts w:asciiTheme="minorHAnsi" w:hAnsiTheme="minorHAnsi" w:cstheme="minorHAnsi"/>
          <w:i w:val="0"/>
          <w:color w:val="auto"/>
          <w:sz w:val="22"/>
          <w:szCs w:val="22"/>
        </w:rPr>
        <w:fldChar w:fldCharType="end"/>
      </w:r>
      <w:r w:rsidR="006B4A48" w:rsidRPr="00B551A8">
        <w:rPr>
          <w:rFonts w:asciiTheme="minorHAnsi" w:hAnsiTheme="minorHAnsi" w:cstheme="minorHAnsi"/>
          <w:i w:val="0"/>
          <w:color w:val="auto"/>
          <w:sz w:val="22"/>
          <w:szCs w:val="22"/>
        </w:rPr>
        <w:t xml:space="preserve"> below.</w:t>
      </w:r>
    </w:p>
    <w:p w:rsidR="006B4A48" w:rsidRPr="00B551A8" w:rsidRDefault="006B4A48" w:rsidP="000968C6">
      <w:pPr>
        <w:pStyle w:val="Reminders"/>
        <w:rPr>
          <w:rFonts w:asciiTheme="minorHAnsi" w:hAnsiTheme="minorHAnsi" w:cstheme="minorHAnsi"/>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bookmarkStart w:id="12" w:name="_Ref390773489"/>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4</w:t>
      </w:r>
      <w:r w:rsidRPr="00B551A8">
        <w:rPr>
          <w:rFonts w:asciiTheme="minorHAnsi" w:hAnsiTheme="minorHAnsi"/>
          <w:sz w:val="22"/>
          <w:szCs w:val="22"/>
        </w:rPr>
        <w:fldChar w:fldCharType="end"/>
      </w:r>
      <w:bookmarkEnd w:id="12"/>
      <w:r w:rsidRPr="00B551A8">
        <w:rPr>
          <w:rFonts w:asciiTheme="minorHAnsi" w:hAnsiTheme="minorHAnsi"/>
          <w:sz w:val="22"/>
          <w:szCs w:val="22"/>
        </w:rPr>
        <w:t xml:space="preserve"> </w:t>
      </w:r>
      <w:r w:rsidR="00240B74" w:rsidRPr="00B551A8">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B551A8"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GSIA_ID*</w:t>
            </w:r>
          </w:p>
        </w:tc>
        <w:tc>
          <w:tcPr>
            <w:tcW w:w="1010"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69"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62"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707"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GSIAValue*</w:t>
            </w:r>
          </w:p>
        </w:tc>
      </w:tr>
      <w:tr w:rsidR="0057341F" w:rsidRPr="00B551A8"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Def-GSIA</w:t>
            </w:r>
          </w:p>
        </w:tc>
        <w:tc>
          <w:tcPr>
            <w:tcW w:w="1010"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Default GSIA values</w:t>
            </w:r>
          </w:p>
        </w:tc>
        <w:tc>
          <w:tcPr>
            <w:tcW w:w="769"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62"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07"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1.0</w:t>
            </w:r>
          </w:p>
        </w:tc>
      </w:tr>
    </w:tbl>
    <w:p w:rsidR="006B4A48" w:rsidRPr="00B551A8" w:rsidRDefault="006B4A48" w:rsidP="000968C6">
      <w:pPr>
        <w:pStyle w:val="Reminders"/>
        <w:rPr>
          <w:rFonts w:asciiTheme="minorHAnsi" w:hAnsiTheme="minorHAnsi" w:cstheme="minorHAnsi"/>
          <w:b/>
          <w:i w:val="0"/>
          <w:color w:val="auto"/>
          <w:sz w:val="22"/>
          <w:szCs w:val="22"/>
        </w:rPr>
      </w:pP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b/>
          <w:i w:val="0"/>
          <w:color w:val="auto"/>
          <w:sz w:val="22"/>
          <w:szCs w:val="22"/>
        </w:rPr>
        <w:t>Spillage Rate</w:t>
      </w: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B551A8">
        <w:rPr>
          <w:rFonts w:asciiTheme="minorHAnsi" w:hAnsiTheme="minorHAnsi" w:cstheme="minorHAnsi"/>
          <w:i w:val="0"/>
          <w:color w:val="auto"/>
          <w:sz w:val="22"/>
          <w:szCs w:val="22"/>
        </w:rPr>
        <w:t>.</w:t>
      </w:r>
    </w:p>
    <w:p w:rsidR="00E37F72" w:rsidRPr="00B551A8"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lastRenderedPageBreak/>
        <w:t>READi Technology Fields</w:t>
      </w:r>
    </w:p>
    <w:p w:rsidR="00E23679" w:rsidRPr="00B551A8" w:rsidRDefault="00E23679" w:rsidP="000968C6">
      <w:pPr>
        <w:pStyle w:val="Reminders"/>
        <w:rPr>
          <w:rFonts w:asciiTheme="minorHAnsi" w:hAnsiTheme="minorHAnsi" w:cstheme="minorHAnsi"/>
          <w:b/>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5</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240B74" w:rsidRPr="00B551A8">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3321"/>
      </w:tblGrid>
      <w:tr w:rsidR="00240B74" w:rsidRPr="00B551A8"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READi Field Name</w:t>
            </w:r>
          </w:p>
        </w:tc>
        <w:tc>
          <w:tcPr>
            <w:tcW w:w="3321"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Values included in this workpaper</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w:t>
            </w:r>
            <w:r w:rsidR="00344029" w:rsidRPr="00B551A8">
              <w:rPr>
                <w:rFonts w:asciiTheme="minorHAnsi" w:hAnsiTheme="minorHAnsi" w:cstheme="minorHAnsi"/>
                <w:i w:val="0"/>
                <w:color w:val="auto"/>
                <w:sz w:val="20"/>
                <w:szCs w:val="20"/>
              </w:rPr>
              <w:t>r</w:t>
            </w:r>
            <w:r w:rsidRPr="00B551A8">
              <w:rPr>
                <w:rFonts w:asciiTheme="minorHAnsi" w:hAnsiTheme="minorHAnsi" w:cstheme="minorHAnsi"/>
                <w:i w:val="0"/>
                <w:color w:val="auto"/>
                <w:sz w:val="20"/>
                <w:szCs w:val="20"/>
              </w:rPr>
              <w:t>e Case UseCategory</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Food Service</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UseSubCats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TechTypes</w:t>
            </w:r>
          </w:p>
        </w:tc>
        <w:tc>
          <w:tcPr>
            <w:tcW w:w="3321" w:type="dxa"/>
          </w:tcPr>
          <w:p w:rsidR="00240B74" w:rsidRPr="00B551A8" w:rsidRDefault="009A7462" w:rsidP="000944EC">
            <w:pPr>
              <w:pStyle w:val="Reminders"/>
              <w:jc w:val="center"/>
              <w:rPr>
                <w:rFonts w:asciiTheme="minorHAnsi" w:hAnsiTheme="minorHAnsi" w:cstheme="minorHAnsi"/>
                <w:i w:val="0"/>
                <w:color w:val="auto"/>
                <w:sz w:val="20"/>
                <w:szCs w:val="20"/>
              </w:rPr>
            </w:pPr>
            <w:r w:rsidRPr="009A7462">
              <w:rPr>
                <w:rFonts w:asciiTheme="minorHAnsi" w:hAnsiTheme="minorHAnsi" w:cstheme="minorHAnsi"/>
                <w:i w:val="0"/>
                <w:color w:val="auto"/>
                <w:sz w:val="20"/>
                <w:szCs w:val="20"/>
              </w:rPr>
              <w:t>Electric Holding Cabinet</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TechTypes</w:t>
            </w:r>
          </w:p>
        </w:tc>
        <w:tc>
          <w:tcPr>
            <w:tcW w:w="3321" w:type="dxa"/>
          </w:tcPr>
          <w:p w:rsidR="00240B74" w:rsidRPr="00B551A8" w:rsidRDefault="009A7462" w:rsidP="000944EC">
            <w:pPr>
              <w:pStyle w:val="Reminders"/>
              <w:jc w:val="center"/>
              <w:rPr>
                <w:rFonts w:asciiTheme="minorHAnsi" w:hAnsiTheme="minorHAnsi" w:cstheme="minorHAnsi"/>
                <w:i w:val="0"/>
                <w:color w:val="auto"/>
                <w:sz w:val="20"/>
                <w:szCs w:val="20"/>
              </w:rPr>
            </w:pPr>
            <w:r w:rsidRPr="009A7462">
              <w:rPr>
                <w:rFonts w:asciiTheme="minorHAnsi" w:hAnsiTheme="minorHAnsi" w:cstheme="minorHAnsi"/>
                <w:i w:val="0"/>
                <w:color w:val="auto"/>
                <w:sz w:val="20"/>
                <w:szCs w:val="20"/>
              </w:rPr>
              <w:t>Electric Holding Cabinet</w:t>
            </w:r>
          </w:p>
        </w:tc>
      </w:tr>
    </w:tbl>
    <w:p w:rsidR="00E16609" w:rsidRPr="00B551A8" w:rsidRDefault="00F06CCF" w:rsidP="00F06CCF">
      <w:pPr>
        <w:pStyle w:val="Heading3"/>
        <w:rPr>
          <w:rFonts w:asciiTheme="minorHAnsi" w:hAnsiTheme="minorHAnsi"/>
        </w:rPr>
      </w:pPr>
      <w:r w:rsidRPr="00B551A8">
        <w:rPr>
          <w:rFonts w:asciiTheme="minorHAnsi" w:hAnsiTheme="minorHAnsi"/>
        </w:rPr>
        <w:t>1.4.2</w:t>
      </w:r>
      <w:r w:rsidR="00824F1C" w:rsidRPr="00B551A8">
        <w:rPr>
          <w:rFonts w:asciiTheme="minorHAnsi" w:hAnsiTheme="minorHAnsi"/>
        </w:rPr>
        <w:t xml:space="preserve"> </w:t>
      </w:r>
      <w:r w:rsidR="00E16609" w:rsidRPr="00B551A8">
        <w:rPr>
          <w:rFonts w:asciiTheme="minorHAnsi" w:hAnsiTheme="minorHAnsi"/>
        </w:rPr>
        <w:t>Code</w:t>
      </w:r>
      <w:r w:rsidR="00B26778" w:rsidRPr="00B551A8">
        <w:rPr>
          <w:rFonts w:asciiTheme="minorHAnsi" w:hAnsiTheme="minorHAnsi"/>
        </w:rPr>
        <w:t xml:space="preserve">s and Standards </w:t>
      </w:r>
      <w:r w:rsidR="00E16609" w:rsidRPr="00B551A8">
        <w:rPr>
          <w:rFonts w:asciiTheme="minorHAnsi" w:hAnsiTheme="minorHAnsi"/>
        </w:rPr>
        <w:t xml:space="preserve">Analysis </w:t>
      </w:r>
      <w:bookmarkEnd w:id="10"/>
    </w:p>
    <w:p w:rsidR="00B07EE5" w:rsidRPr="00B551A8" w:rsidRDefault="00B07EE5" w:rsidP="00B07EE5">
      <w:pPr>
        <w:pStyle w:val="Caption"/>
        <w:keepNext/>
        <w:jc w:val="center"/>
        <w:rPr>
          <w:rFonts w:asciiTheme="minorHAnsi" w:hAnsiTheme="minorHAnsi" w:cstheme="minorHAnsi"/>
          <w:sz w:val="22"/>
          <w:szCs w:val="22"/>
        </w:rPr>
      </w:pPr>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90ADB">
        <w:rPr>
          <w:rFonts w:asciiTheme="minorHAnsi" w:hAnsiTheme="minorHAnsi" w:cstheme="minorHAnsi"/>
          <w:noProof/>
          <w:sz w:val="22"/>
          <w:szCs w:val="22"/>
        </w:rPr>
        <w:t>6</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r w:rsidR="005A1078" w:rsidRPr="00B551A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B551A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Code</w:t>
            </w:r>
          </w:p>
        </w:tc>
        <w:tc>
          <w:tcPr>
            <w:tcW w:w="4352" w:type="dxa"/>
          </w:tcPr>
          <w:p w:rsidR="00881A42" w:rsidRPr="00B551A8" w:rsidRDefault="00CB0100" w:rsidP="00283DE8">
            <w:pPr>
              <w:jc w:val="center"/>
              <w:rPr>
                <w:rFonts w:asciiTheme="minorHAnsi" w:hAnsiTheme="minorHAnsi" w:cstheme="minorHAnsi"/>
                <w:sz w:val="20"/>
                <w:szCs w:val="20"/>
              </w:rPr>
            </w:pPr>
            <w:r w:rsidRPr="00B551A8">
              <w:rPr>
                <w:rFonts w:asciiTheme="minorHAnsi" w:hAnsiTheme="minorHAnsi" w:cstheme="minorHAnsi"/>
                <w:sz w:val="20"/>
                <w:szCs w:val="20"/>
              </w:rPr>
              <w:t xml:space="preserve">Applicable </w:t>
            </w:r>
            <w:r w:rsidR="00881A42" w:rsidRPr="00B551A8">
              <w:rPr>
                <w:rFonts w:asciiTheme="minorHAnsi" w:hAnsiTheme="minorHAnsi" w:cstheme="minorHAnsi"/>
                <w:sz w:val="20"/>
                <w:szCs w:val="20"/>
              </w:rPr>
              <w:t>Code Reference</w:t>
            </w:r>
          </w:p>
        </w:tc>
        <w:tc>
          <w:tcPr>
            <w:tcW w:w="1821"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Effective Dates</w:t>
            </w:r>
          </w:p>
        </w:tc>
      </w:tr>
      <w:tr w:rsidR="004E7D74" w:rsidRPr="00B551A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4E7D74" w:rsidRPr="00B551A8" w:rsidRDefault="004E7D74" w:rsidP="007E43F8">
            <w:pPr>
              <w:jc w:val="center"/>
              <w:rPr>
                <w:rFonts w:asciiTheme="minorHAnsi" w:hAnsiTheme="minorHAnsi" w:cstheme="minorHAnsi"/>
                <w:sz w:val="20"/>
                <w:szCs w:val="20"/>
              </w:rPr>
            </w:pPr>
            <w:r>
              <w:rPr>
                <w:rFonts w:asciiTheme="minorHAnsi" w:hAnsiTheme="minorHAnsi" w:cstheme="minorHAnsi"/>
                <w:sz w:val="20"/>
                <w:szCs w:val="20"/>
              </w:rPr>
              <w:t>Title 20 (2014)</w:t>
            </w:r>
          </w:p>
        </w:tc>
        <w:tc>
          <w:tcPr>
            <w:tcW w:w="4352" w:type="dxa"/>
            <w:vAlign w:val="center"/>
          </w:tcPr>
          <w:p w:rsidR="004E7D74" w:rsidRDefault="004E7D74" w:rsidP="00670049">
            <w:pPr>
              <w:jc w:val="center"/>
              <w:rPr>
                <w:rFonts w:asciiTheme="minorHAnsi" w:hAnsiTheme="minorHAnsi" w:cstheme="minorHAnsi"/>
                <w:sz w:val="20"/>
                <w:szCs w:val="20"/>
              </w:rPr>
            </w:pPr>
            <w:r>
              <w:rPr>
                <w:rFonts w:asciiTheme="minorHAnsi" w:hAnsiTheme="minorHAnsi" w:cstheme="minorHAnsi"/>
                <w:sz w:val="20"/>
                <w:szCs w:val="20"/>
              </w:rPr>
              <w:t>Section 1605.3(r)(2)</w:t>
            </w:r>
          </w:p>
        </w:tc>
        <w:tc>
          <w:tcPr>
            <w:tcW w:w="1821" w:type="dxa"/>
            <w:vAlign w:val="center"/>
          </w:tcPr>
          <w:p w:rsidR="004E7D74" w:rsidRDefault="004E7D74" w:rsidP="007E43F8">
            <w:pPr>
              <w:jc w:val="center"/>
              <w:rPr>
                <w:rFonts w:asciiTheme="minorHAnsi" w:hAnsiTheme="minorHAnsi" w:cstheme="minorHAnsi"/>
                <w:sz w:val="20"/>
                <w:szCs w:val="20"/>
              </w:rPr>
            </w:pPr>
            <w:r>
              <w:rPr>
                <w:rFonts w:asciiTheme="minorHAnsi" w:hAnsiTheme="minorHAnsi" w:cstheme="minorHAnsi"/>
                <w:sz w:val="20"/>
                <w:szCs w:val="20"/>
              </w:rPr>
              <w:t>July 1, 2014</w:t>
            </w:r>
          </w:p>
        </w:tc>
      </w:tr>
      <w:tr w:rsidR="00D67BCF" w:rsidRPr="00B551A8"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C6C7A" w:rsidRPr="00B551A8" w:rsidRDefault="00A4321C" w:rsidP="007E43F8">
            <w:pPr>
              <w:jc w:val="center"/>
              <w:rPr>
                <w:rFonts w:asciiTheme="minorHAnsi" w:hAnsiTheme="minorHAnsi" w:cstheme="minorHAnsi"/>
                <w:sz w:val="20"/>
                <w:szCs w:val="20"/>
              </w:rPr>
            </w:pPr>
            <w:r w:rsidRPr="00B551A8">
              <w:rPr>
                <w:rFonts w:asciiTheme="minorHAnsi" w:hAnsiTheme="minorHAnsi" w:cstheme="minorHAnsi"/>
                <w:sz w:val="20"/>
                <w:szCs w:val="20"/>
              </w:rPr>
              <w:t>ASTM</w:t>
            </w:r>
          </w:p>
        </w:tc>
        <w:tc>
          <w:tcPr>
            <w:tcW w:w="4352" w:type="dxa"/>
            <w:vAlign w:val="center"/>
          </w:tcPr>
          <w:p w:rsidR="002C6C7A" w:rsidRPr="00B551A8" w:rsidRDefault="004E7D74" w:rsidP="00670049">
            <w:pPr>
              <w:jc w:val="center"/>
              <w:rPr>
                <w:rFonts w:asciiTheme="minorHAnsi" w:hAnsiTheme="minorHAnsi" w:cstheme="minorHAnsi"/>
                <w:sz w:val="20"/>
                <w:szCs w:val="20"/>
              </w:rPr>
            </w:pPr>
            <w:r>
              <w:rPr>
                <w:rFonts w:asciiTheme="minorHAnsi" w:hAnsiTheme="minorHAnsi" w:cstheme="minorHAnsi"/>
                <w:sz w:val="20"/>
                <w:szCs w:val="20"/>
              </w:rPr>
              <w:t>F2140</w:t>
            </w:r>
          </w:p>
        </w:tc>
        <w:tc>
          <w:tcPr>
            <w:tcW w:w="1821" w:type="dxa"/>
            <w:vAlign w:val="center"/>
          </w:tcPr>
          <w:p w:rsidR="002C6C7A" w:rsidRPr="00B551A8" w:rsidRDefault="004E7D74" w:rsidP="007E43F8">
            <w:pPr>
              <w:jc w:val="center"/>
              <w:rPr>
                <w:rFonts w:asciiTheme="minorHAnsi" w:hAnsiTheme="minorHAnsi" w:cstheme="minorHAnsi"/>
                <w:sz w:val="20"/>
                <w:szCs w:val="20"/>
              </w:rPr>
            </w:pPr>
            <w:r>
              <w:rPr>
                <w:rFonts w:asciiTheme="minorHAnsi" w:hAnsiTheme="minorHAnsi" w:cstheme="minorHAnsi"/>
                <w:sz w:val="20"/>
                <w:szCs w:val="20"/>
              </w:rPr>
              <w:t>January 1, 2011</w:t>
            </w:r>
          </w:p>
        </w:tc>
      </w:tr>
    </w:tbl>
    <w:p w:rsidR="000944EC" w:rsidRPr="00B551A8" w:rsidRDefault="000944EC" w:rsidP="00A4321C">
      <w:pPr>
        <w:rPr>
          <w:rFonts w:asciiTheme="minorHAnsi" w:hAnsiTheme="minorHAnsi" w:cstheme="minorHAnsi"/>
          <w:b/>
          <w:sz w:val="22"/>
          <w:szCs w:val="22"/>
        </w:rPr>
      </w:pPr>
    </w:p>
    <w:p w:rsidR="009C6AEC" w:rsidRPr="00B551A8" w:rsidRDefault="009C6AEC" w:rsidP="009C6AEC">
      <w:pPr>
        <w:rPr>
          <w:rFonts w:asciiTheme="minorHAnsi" w:hAnsiTheme="minorHAnsi" w:cstheme="minorHAnsi"/>
          <w:sz w:val="22"/>
          <w:szCs w:val="22"/>
        </w:rPr>
      </w:pPr>
      <w:r w:rsidRPr="00B551A8">
        <w:rPr>
          <w:rFonts w:asciiTheme="minorHAnsi" w:hAnsiTheme="minorHAnsi" w:cstheme="minorHAnsi"/>
          <w:b/>
          <w:sz w:val="22"/>
          <w:szCs w:val="22"/>
        </w:rPr>
        <w:t>California Title 24</w:t>
      </w:r>
      <w:r w:rsidR="00C5179F" w:rsidRPr="00B551A8">
        <w:rPr>
          <w:rFonts w:asciiTheme="minorHAnsi" w:hAnsiTheme="minorHAnsi" w:cstheme="minorHAnsi"/>
          <w:b/>
          <w:sz w:val="22"/>
          <w:szCs w:val="22"/>
        </w:rPr>
        <w:t xml:space="preserve"> 2013</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These measures do not fall under Title 24 of the California Energy Regulations.</w:t>
      </w:r>
    </w:p>
    <w:p w:rsidR="009C6AEC" w:rsidRPr="00B551A8" w:rsidRDefault="009C6AEC" w:rsidP="009C6AEC">
      <w:pPr>
        <w:rPr>
          <w:rFonts w:asciiTheme="minorHAnsi" w:hAnsiTheme="minorHAnsi" w:cstheme="minorHAnsi"/>
          <w:sz w:val="22"/>
          <w:szCs w:val="22"/>
        </w:rPr>
      </w:pPr>
    </w:p>
    <w:p w:rsidR="00A4321C" w:rsidRDefault="00A4321C" w:rsidP="00A4321C">
      <w:pPr>
        <w:rPr>
          <w:rFonts w:asciiTheme="minorHAnsi" w:hAnsiTheme="minorHAnsi" w:cstheme="minorHAnsi"/>
          <w:sz w:val="22"/>
          <w:szCs w:val="22"/>
        </w:rPr>
      </w:pPr>
      <w:r w:rsidRPr="00B551A8">
        <w:rPr>
          <w:rFonts w:asciiTheme="minorHAnsi" w:hAnsiTheme="minorHAnsi" w:cstheme="minorHAnsi"/>
          <w:b/>
          <w:sz w:val="22"/>
          <w:szCs w:val="22"/>
        </w:rPr>
        <w:t>California Title 20</w:t>
      </w:r>
      <w:r w:rsidR="00C5179F" w:rsidRPr="00B551A8">
        <w:rPr>
          <w:rFonts w:asciiTheme="minorHAnsi" w:hAnsiTheme="minorHAnsi" w:cstheme="minorHAnsi"/>
          <w:b/>
          <w:sz w:val="22"/>
          <w:szCs w:val="22"/>
        </w:rPr>
        <w:t xml:space="preserve"> 2014</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w:t>
      </w:r>
      <w:r w:rsidR="004E7D74">
        <w:rPr>
          <w:rFonts w:asciiTheme="minorHAnsi" w:hAnsiTheme="minorHAnsi" w:cstheme="minorHAnsi"/>
          <w:sz w:val="22"/>
          <w:szCs w:val="22"/>
        </w:rPr>
        <w:t>Title 20 [422] provides the following requ</w:t>
      </w:r>
      <w:r w:rsidR="00B93452">
        <w:rPr>
          <w:rFonts w:asciiTheme="minorHAnsi" w:hAnsiTheme="minorHAnsi" w:cstheme="minorHAnsi"/>
          <w:sz w:val="22"/>
          <w:szCs w:val="22"/>
        </w:rPr>
        <w:t>irement in Section 1605.3(r</w:t>
      </w:r>
      <w:proofErr w:type="gramStart"/>
      <w:r w:rsidR="00B93452">
        <w:rPr>
          <w:rFonts w:asciiTheme="minorHAnsi" w:hAnsiTheme="minorHAnsi" w:cstheme="minorHAnsi"/>
          <w:sz w:val="22"/>
          <w:szCs w:val="22"/>
        </w:rPr>
        <w:t>)(</w:t>
      </w:r>
      <w:proofErr w:type="gramEnd"/>
      <w:r w:rsidR="00B93452">
        <w:rPr>
          <w:rFonts w:asciiTheme="minorHAnsi" w:hAnsiTheme="minorHAnsi" w:cstheme="minorHAnsi"/>
          <w:sz w:val="22"/>
          <w:szCs w:val="22"/>
        </w:rPr>
        <w:t>2), which is used as the baseline for this work paper:</w:t>
      </w:r>
    </w:p>
    <w:p w:rsidR="004E7D74" w:rsidRPr="00B551A8" w:rsidRDefault="004E7D74" w:rsidP="00A4321C">
      <w:pPr>
        <w:rPr>
          <w:rFonts w:asciiTheme="minorHAnsi" w:hAnsiTheme="minorHAnsi" w:cstheme="minorHAnsi"/>
          <w:sz w:val="22"/>
          <w:szCs w:val="22"/>
        </w:rPr>
      </w:pPr>
      <w:r>
        <w:rPr>
          <w:noProof/>
        </w:rPr>
        <w:drawing>
          <wp:inline distT="0" distB="0" distL="0" distR="0" wp14:anchorId="4A2FD92A" wp14:editId="3628E1DF">
            <wp:extent cx="5505450" cy="598777"/>
            <wp:effectExtent l="19050" t="19050" r="19050"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505450" cy="598777"/>
                    </a:xfrm>
                    <a:prstGeom prst="rect">
                      <a:avLst/>
                    </a:prstGeom>
                    <a:ln>
                      <a:solidFill>
                        <a:schemeClr val="tx1"/>
                      </a:solidFill>
                    </a:ln>
                  </pic:spPr>
                </pic:pic>
              </a:graphicData>
            </a:graphic>
          </wp:inline>
        </w:drawing>
      </w:r>
    </w:p>
    <w:p w:rsidR="000944EC" w:rsidRPr="00B551A8" w:rsidRDefault="000944EC" w:rsidP="00A4321C">
      <w:pPr>
        <w:rPr>
          <w:rFonts w:asciiTheme="minorHAnsi" w:hAnsiTheme="minorHAnsi" w:cstheme="minorHAnsi"/>
          <w:b/>
          <w:sz w:val="22"/>
          <w:szCs w:val="22"/>
        </w:rPr>
      </w:pPr>
    </w:p>
    <w:p w:rsidR="009C6AEC" w:rsidRPr="00B551A8" w:rsidRDefault="00A4321C" w:rsidP="0057341F">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005966A5" w:rsidRPr="005966A5">
        <w:rPr>
          <w:rFonts w:asciiTheme="minorHAnsi" w:hAnsiTheme="minorHAnsi" w:cstheme="minorHAnsi"/>
          <w:b w:val="0"/>
          <w:bCs w:val="0"/>
          <w:sz w:val="22"/>
          <w:szCs w:val="22"/>
        </w:rPr>
        <w:t xml:space="preserve">ASTM Standard Test Method for the </w:t>
      </w:r>
      <w:r w:rsidR="004E7D74" w:rsidRPr="004E7D74">
        <w:rPr>
          <w:rFonts w:asciiTheme="minorHAnsi" w:hAnsiTheme="minorHAnsi" w:cstheme="minorHAnsi"/>
          <w:b w:val="0"/>
          <w:bCs w:val="0"/>
          <w:sz w:val="22"/>
          <w:szCs w:val="22"/>
        </w:rPr>
        <w:t xml:space="preserve">Performance of Hot Food Holding Cabinets (F2140) </w:t>
      </w:r>
      <w:r w:rsidR="005966A5" w:rsidRPr="005966A5">
        <w:rPr>
          <w:rFonts w:asciiTheme="minorHAnsi" w:hAnsiTheme="minorHAnsi" w:cstheme="minorHAnsi"/>
          <w:b w:val="0"/>
          <w:bCs w:val="0"/>
          <w:sz w:val="22"/>
          <w:szCs w:val="22"/>
        </w:rPr>
        <w:t>is applicable for estimating energy use and cooking performance. It was used to estimate the energy consumption of the base case and measure equipment.</w:t>
      </w:r>
    </w:p>
    <w:p w:rsidR="00A4321C" w:rsidRPr="00B551A8" w:rsidRDefault="00A4321C" w:rsidP="00A4321C">
      <w:pPr>
        <w:rPr>
          <w:rFonts w:asciiTheme="minorHAnsi" w:hAnsiTheme="minorHAnsi" w:cstheme="minorHAnsi"/>
          <w:sz w:val="22"/>
          <w:szCs w:val="22"/>
        </w:rPr>
      </w:pPr>
    </w:p>
    <w:p w:rsidR="00B07EE5" w:rsidRPr="00B551A8" w:rsidRDefault="000944EC" w:rsidP="000944EC">
      <w:pPr>
        <w:pStyle w:val="Reminders"/>
        <w:rPr>
          <w:rFonts w:asciiTheme="minorHAnsi" w:hAnsiTheme="minorHAnsi" w:cstheme="minorHAnsi"/>
          <w:color w:val="auto"/>
          <w:sz w:val="22"/>
          <w:szCs w:val="22"/>
        </w:rPr>
      </w:pPr>
      <w:r w:rsidRPr="00B551A8">
        <w:rPr>
          <w:rFonts w:asciiTheme="minorHAnsi" w:hAnsiTheme="minorHAnsi" w:cstheme="minorHAnsi"/>
          <w:b/>
          <w:i w:val="0"/>
          <w:color w:val="auto"/>
          <w:sz w:val="22"/>
          <w:szCs w:val="22"/>
        </w:rPr>
        <w:t>Federal Standards:</w:t>
      </w:r>
      <w:r w:rsidRPr="00B551A8">
        <w:rPr>
          <w:rFonts w:asciiTheme="minorHAnsi" w:hAnsiTheme="minorHAnsi" w:cstheme="minorHAnsi"/>
          <w:i w:val="0"/>
          <w:color w:val="auto"/>
          <w:sz w:val="22"/>
          <w:szCs w:val="22"/>
        </w:rPr>
        <w:t xml:space="preserve"> These measures do not fall under Federal DOE or EPA Energy Regulations</w:t>
      </w:r>
      <w:r w:rsidR="00B43AAF">
        <w:rPr>
          <w:rFonts w:asciiTheme="minorHAnsi" w:hAnsiTheme="minorHAnsi" w:cstheme="minorHAnsi"/>
          <w:i w:val="0"/>
          <w:color w:val="auto"/>
          <w:sz w:val="22"/>
          <w:szCs w:val="22"/>
        </w:rPr>
        <w:t>.</w:t>
      </w:r>
    </w:p>
    <w:p w:rsidR="00AB21F5" w:rsidRPr="00B551A8" w:rsidRDefault="00AB21F5" w:rsidP="00F06CCF">
      <w:pPr>
        <w:pStyle w:val="Heading3"/>
        <w:rPr>
          <w:rFonts w:asciiTheme="minorHAnsi" w:hAnsiTheme="minorHAnsi"/>
        </w:rPr>
      </w:pPr>
      <w:bookmarkStart w:id="13" w:name="_Toc214003088"/>
      <w:r w:rsidRPr="00B551A8">
        <w:rPr>
          <w:rFonts w:asciiTheme="minorHAnsi" w:hAnsiTheme="minorHAnsi"/>
        </w:rPr>
        <w:t>1.4.3 Non-DEER Study Review</w:t>
      </w:r>
    </w:p>
    <w:p w:rsidR="005966A5" w:rsidRDefault="00EB250D" w:rsidP="00EB250D">
      <w:pPr>
        <w:pStyle w:val="Heading3"/>
        <w:spacing w:before="0"/>
        <w:rPr>
          <w:rFonts w:asciiTheme="minorHAnsi" w:hAnsiTheme="minorHAnsi" w:cstheme="minorHAnsi"/>
          <w:b w:val="0"/>
          <w:bCs w:val="0"/>
          <w:sz w:val="22"/>
          <w:szCs w:val="22"/>
        </w:rPr>
      </w:pPr>
      <w:r>
        <w:rPr>
          <w:rFonts w:asciiTheme="minorHAnsi" w:hAnsiTheme="minorHAnsi" w:cstheme="minorHAnsi"/>
          <w:b w:val="0"/>
          <w:bCs w:val="0"/>
          <w:sz w:val="22"/>
          <w:szCs w:val="22"/>
        </w:rPr>
        <w:t>No Non-DEER studies were used in this work paper.</w:t>
      </w:r>
    </w:p>
    <w:p w:rsidR="00EB250D" w:rsidRPr="00EB250D" w:rsidRDefault="00EB250D" w:rsidP="00EB250D"/>
    <w:p w:rsidR="00E16609" w:rsidRPr="00B551A8" w:rsidRDefault="00824F1C" w:rsidP="00560A6D">
      <w:pPr>
        <w:rPr>
          <w:rFonts w:asciiTheme="minorHAnsi" w:hAnsiTheme="minorHAnsi" w:cs="Arial"/>
          <w:b/>
          <w:bCs/>
          <w:sz w:val="26"/>
          <w:szCs w:val="26"/>
        </w:rPr>
      </w:pPr>
      <w:proofErr w:type="gramStart"/>
      <w:r w:rsidRPr="00B551A8">
        <w:rPr>
          <w:rFonts w:asciiTheme="minorHAnsi" w:hAnsiTheme="minorHAnsi" w:cs="Arial"/>
          <w:b/>
          <w:bCs/>
          <w:sz w:val="26"/>
          <w:szCs w:val="26"/>
        </w:rPr>
        <w:t>1.4</w:t>
      </w:r>
      <w:r w:rsidR="00F06CCF" w:rsidRPr="00B551A8">
        <w:rPr>
          <w:rFonts w:asciiTheme="minorHAnsi" w:hAnsiTheme="minorHAnsi" w:cs="Arial"/>
          <w:b/>
          <w:bCs/>
          <w:sz w:val="26"/>
          <w:szCs w:val="26"/>
        </w:rPr>
        <w:t>.</w:t>
      </w:r>
      <w:r w:rsidR="00AB21F5" w:rsidRPr="00B551A8">
        <w:rPr>
          <w:rFonts w:asciiTheme="minorHAnsi" w:hAnsiTheme="minorHAnsi" w:cs="Arial"/>
          <w:b/>
          <w:bCs/>
          <w:sz w:val="26"/>
          <w:szCs w:val="26"/>
        </w:rPr>
        <w:t>4</w:t>
      </w:r>
      <w:r w:rsidRPr="00B551A8">
        <w:rPr>
          <w:rFonts w:asciiTheme="minorHAnsi" w:hAnsiTheme="minorHAnsi" w:cs="Arial"/>
          <w:b/>
          <w:bCs/>
          <w:sz w:val="26"/>
          <w:szCs w:val="26"/>
        </w:rPr>
        <w:t xml:space="preserve">  </w:t>
      </w:r>
      <w:r w:rsidR="00E16609" w:rsidRPr="00B551A8">
        <w:rPr>
          <w:rFonts w:asciiTheme="minorHAnsi" w:hAnsiTheme="minorHAnsi" w:cs="Arial"/>
          <w:b/>
          <w:bCs/>
          <w:sz w:val="26"/>
          <w:szCs w:val="26"/>
        </w:rPr>
        <w:t>Measure</w:t>
      </w:r>
      <w:proofErr w:type="gramEnd"/>
      <w:r w:rsidR="00F06CCF" w:rsidRPr="00B551A8">
        <w:rPr>
          <w:rFonts w:asciiTheme="minorHAnsi" w:hAnsiTheme="minorHAnsi" w:cs="Arial"/>
          <w:b/>
          <w:bCs/>
          <w:sz w:val="26"/>
          <w:szCs w:val="26"/>
        </w:rPr>
        <w:t xml:space="preserve"> and Base Case</w:t>
      </w:r>
      <w:r w:rsidR="00E16609" w:rsidRPr="00B551A8">
        <w:rPr>
          <w:rFonts w:asciiTheme="minorHAnsi" w:hAnsiTheme="minorHAnsi" w:cs="Arial"/>
          <w:b/>
          <w:bCs/>
          <w:sz w:val="26"/>
          <w:szCs w:val="26"/>
        </w:rPr>
        <w:t xml:space="preserve"> Effective Useful Life</w:t>
      </w:r>
      <w:bookmarkEnd w:id="13"/>
    </w:p>
    <w:p w:rsidR="005B28C1" w:rsidRPr="00B551A8" w:rsidRDefault="000F130A" w:rsidP="000F130A">
      <w:pPr>
        <w:rPr>
          <w:rFonts w:asciiTheme="minorHAnsi" w:hAnsiTheme="minorHAnsi" w:cstheme="minorHAnsi"/>
          <w:sz w:val="22"/>
          <w:szCs w:val="22"/>
        </w:rPr>
      </w:pPr>
      <w:r w:rsidRPr="00B551A8">
        <w:rPr>
          <w:rFonts w:asciiTheme="minorHAnsi" w:hAnsiTheme="minorHAnsi" w:cstheme="minorHAnsi"/>
          <w:sz w:val="22"/>
          <w:szCs w:val="22"/>
        </w:rPr>
        <w:t>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provides EUL and RUL information to be used for the </w:t>
      </w:r>
      <w:r w:rsidR="00A11917" w:rsidRPr="00B551A8">
        <w:rPr>
          <w:rFonts w:asciiTheme="minorHAnsi" w:hAnsiTheme="minorHAnsi" w:cstheme="minorHAnsi"/>
          <w:sz w:val="22"/>
          <w:szCs w:val="22"/>
        </w:rPr>
        <w:t>2013-14</w:t>
      </w:r>
      <w:r w:rsidRPr="00B551A8">
        <w:rPr>
          <w:rFonts w:asciiTheme="minorHAnsi" w:hAnsiTheme="minorHAnsi" w:cstheme="minorHAnsi"/>
          <w:sz w:val="22"/>
          <w:szCs w:val="22"/>
        </w:rPr>
        <w:t xml:space="preserve"> program cycle</w:t>
      </w:r>
      <w:r w:rsidR="00F06CCF" w:rsidRPr="00B551A8">
        <w:rPr>
          <w:rFonts w:asciiTheme="minorHAnsi" w:hAnsiTheme="minorHAnsi" w:cstheme="minorHAnsi"/>
          <w:sz w:val="22"/>
          <w:szCs w:val="22"/>
        </w:rPr>
        <w:t xml:space="preserve"> </w:t>
      </w:r>
      <w:r w:rsidRPr="00B551A8">
        <w:rPr>
          <w:rFonts w:asciiTheme="minorHAnsi" w:hAnsiTheme="minorHAnsi" w:cstheme="minorHAnsi"/>
          <w:sz w:val="22"/>
          <w:szCs w:val="22"/>
        </w:rPr>
        <w:t xml:space="preserve">on </w:t>
      </w:r>
      <w:hyperlink r:id="rId12" w:history="1">
        <w:r w:rsidRPr="00B551A8">
          <w:rPr>
            <w:rFonts w:asciiTheme="minorHAnsi" w:hAnsiTheme="minorHAnsi" w:cstheme="minorHAnsi"/>
            <w:sz w:val="22"/>
            <w:szCs w:val="22"/>
          </w:rPr>
          <w:t>www.deeresources.com</w:t>
        </w:r>
      </w:hyperlink>
      <w:r w:rsidR="00056947" w:rsidRPr="00B551A8">
        <w:rPr>
          <w:rFonts w:asciiTheme="minorHAnsi" w:hAnsiTheme="minorHAnsi" w:cstheme="minorHAnsi"/>
          <w:sz w:val="22"/>
          <w:szCs w:val="22"/>
        </w:rPr>
        <w:t xml:space="preserve">. </w:t>
      </w:r>
      <w:r w:rsidRPr="00B551A8">
        <w:rPr>
          <w:rFonts w:asciiTheme="minorHAnsi" w:hAnsiTheme="minorHAnsi" w:cstheme="minorHAnsi"/>
          <w:sz w:val="22"/>
          <w:szCs w:val="22"/>
        </w:rPr>
        <w:t>The DEER documentation “Summary of EUL-RUL Analysis for the April 2008 Update to DEER” provides the RUL value as a flat 1/3 of the EUL value.</w:t>
      </w:r>
      <w:r w:rsidR="009D0753" w:rsidRPr="00B551A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B551A8" w:rsidRDefault="00056947" w:rsidP="000F130A">
      <w:pPr>
        <w:rPr>
          <w:rFonts w:asciiTheme="minorHAnsi" w:hAnsiTheme="minorHAnsi" w:cstheme="minorHAnsi"/>
          <w:sz w:val="22"/>
          <w:szCs w:val="22"/>
        </w:rPr>
      </w:pPr>
    </w:p>
    <w:p w:rsidR="005B28C1" w:rsidRPr="00FA3A8B" w:rsidRDefault="005B28C1" w:rsidP="000F130A">
      <w:pPr>
        <w:rPr>
          <w:rFonts w:asciiTheme="minorHAnsi" w:hAnsiTheme="minorHAnsi"/>
          <w:sz w:val="22"/>
          <w:szCs w:val="22"/>
        </w:rPr>
      </w:pPr>
      <w:r w:rsidRPr="00B551A8">
        <w:rPr>
          <w:rFonts w:asciiTheme="minorHAnsi" w:hAnsiTheme="minorHAnsi" w:cstheme="minorHAnsi"/>
          <w:sz w:val="22"/>
          <w:szCs w:val="22"/>
        </w:rPr>
        <w:lastRenderedPageBreak/>
        <w:t>To obtain the EUL value the 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EUL_Summary_10-1-08.xls</w:t>
      </w:r>
      <w:r w:rsidR="00E07752" w:rsidRPr="00B551A8">
        <w:rPr>
          <w:rFonts w:asciiTheme="minorHAnsi" w:hAnsiTheme="minorHAnsi" w:cstheme="minorHAnsi"/>
          <w:sz w:val="22"/>
          <w:szCs w:val="22"/>
        </w:rPr>
        <w:t xml:space="preserve"> [213]</w:t>
      </w:r>
      <w:r w:rsidR="00056947" w:rsidRPr="00B551A8">
        <w:rPr>
          <w:rFonts w:asciiTheme="minorHAnsi" w:hAnsiTheme="minorHAnsi" w:cstheme="minorHAnsi"/>
          <w:sz w:val="22"/>
          <w:szCs w:val="22"/>
        </w:rPr>
        <w:t>, was consulted.</w:t>
      </w:r>
      <w:r w:rsidRPr="00B551A8">
        <w:rPr>
          <w:rFonts w:asciiTheme="minorHAnsi" w:hAnsiTheme="minorHAnsi" w:cstheme="minorHAnsi"/>
          <w:sz w:val="22"/>
          <w:szCs w:val="22"/>
        </w:rPr>
        <w:t xml:space="preserve"> </w:t>
      </w:r>
      <w:r w:rsidR="00476636" w:rsidRPr="00B551A8">
        <w:rPr>
          <w:rFonts w:asciiTheme="minorHAnsi" w:hAnsiTheme="minorHAnsi" w:cstheme="minorHAnsi"/>
          <w:sz w:val="22"/>
          <w:szCs w:val="22"/>
        </w:rPr>
        <w:fldChar w:fldCharType="begin"/>
      </w:r>
      <w:r w:rsidR="00476636" w:rsidRPr="00B551A8">
        <w:rPr>
          <w:rFonts w:asciiTheme="minorHAnsi" w:hAnsiTheme="minorHAnsi" w:cstheme="minorHAnsi"/>
          <w:sz w:val="22"/>
          <w:szCs w:val="22"/>
        </w:rPr>
        <w:instrText xml:space="preserve"> REF _Ref390777884 \h  \* MERGEFORMAT </w:instrText>
      </w:r>
      <w:r w:rsidR="00476636" w:rsidRPr="00B551A8">
        <w:rPr>
          <w:rFonts w:asciiTheme="minorHAnsi" w:hAnsiTheme="minorHAnsi" w:cstheme="minorHAnsi"/>
          <w:sz w:val="22"/>
          <w:szCs w:val="22"/>
        </w:rPr>
      </w:r>
      <w:r w:rsidR="00476636" w:rsidRPr="00B551A8">
        <w:rPr>
          <w:rFonts w:asciiTheme="minorHAnsi" w:hAnsiTheme="minorHAnsi" w:cstheme="minorHAnsi"/>
          <w:sz w:val="22"/>
          <w:szCs w:val="22"/>
        </w:rPr>
        <w:fldChar w:fldCharType="separate"/>
      </w:r>
      <w:r w:rsidR="00B90ADB" w:rsidRPr="00B551A8">
        <w:rPr>
          <w:rFonts w:asciiTheme="minorHAnsi" w:hAnsiTheme="minorHAnsi"/>
          <w:sz w:val="22"/>
          <w:szCs w:val="22"/>
        </w:rPr>
        <w:t>Table</w:t>
      </w:r>
      <w:r w:rsidR="00B90ADB" w:rsidRPr="00B551A8">
        <w:rPr>
          <w:rFonts w:asciiTheme="minorHAnsi" w:hAnsiTheme="minorHAnsi"/>
          <w:noProof/>
          <w:sz w:val="22"/>
          <w:szCs w:val="22"/>
        </w:rPr>
        <w:t xml:space="preserve"> </w:t>
      </w:r>
      <w:r w:rsidR="00B90ADB">
        <w:rPr>
          <w:rFonts w:asciiTheme="minorHAnsi" w:hAnsiTheme="minorHAnsi"/>
          <w:noProof/>
          <w:sz w:val="22"/>
          <w:szCs w:val="22"/>
        </w:rPr>
        <w:t>7</w:t>
      </w:r>
      <w:r w:rsidR="00476636" w:rsidRPr="00B551A8">
        <w:rPr>
          <w:rFonts w:asciiTheme="minorHAnsi" w:hAnsiTheme="minorHAnsi" w:cstheme="minorHAnsi"/>
          <w:sz w:val="22"/>
          <w:szCs w:val="22"/>
        </w:rPr>
        <w:fldChar w:fldCharType="end"/>
      </w:r>
      <w:r w:rsidR="00476636" w:rsidRPr="00B551A8">
        <w:rPr>
          <w:rFonts w:asciiTheme="minorHAnsi" w:hAnsiTheme="minorHAnsi" w:cstheme="minorHAnsi"/>
          <w:sz w:val="22"/>
          <w:szCs w:val="22"/>
        </w:rPr>
        <w:t xml:space="preserve"> </w:t>
      </w:r>
      <w:r w:rsidRPr="00B551A8">
        <w:rPr>
          <w:rFonts w:asciiTheme="minorHAnsi" w:hAnsiTheme="minorHAnsi" w:cstheme="minorHAnsi"/>
          <w:sz w:val="22"/>
          <w:szCs w:val="22"/>
        </w:rPr>
        <w:t>below identifies the value/methodology used for the measures in this work paper.</w:t>
      </w:r>
    </w:p>
    <w:p w:rsidR="008E7177" w:rsidRDefault="008E7177" w:rsidP="00C5179F">
      <w:pPr>
        <w:pStyle w:val="Caption"/>
        <w:jc w:val="center"/>
        <w:rPr>
          <w:rFonts w:asciiTheme="minorHAnsi" w:hAnsiTheme="minorHAnsi"/>
          <w:sz w:val="22"/>
          <w:szCs w:val="22"/>
        </w:rPr>
      </w:pPr>
      <w:bookmarkStart w:id="14" w:name="_Ref390777884"/>
    </w:p>
    <w:p w:rsidR="005B28C1" w:rsidRPr="00B551A8" w:rsidRDefault="00C5179F" w:rsidP="00C5179F">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7</w:t>
      </w:r>
      <w:r w:rsidRPr="00B551A8">
        <w:rPr>
          <w:rFonts w:asciiTheme="minorHAnsi" w:hAnsiTheme="minorHAnsi"/>
          <w:sz w:val="22"/>
          <w:szCs w:val="22"/>
        </w:rPr>
        <w:fldChar w:fldCharType="end"/>
      </w:r>
      <w:bookmarkEnd w:id="14"/>
      <w:r w:rsidRPr="00B551A8">
        <w:rPr>
          <w:rFonts w:asciiTheme="minorHAnsi" w:hAnsiTheme="minorHAnsi"/>
          <w:sz w:val="22"/>
          <w:szCs w:val="22"/>
        </w:rPr>
        <w:t xml:space="preserve"> </w:t>
      </w:r>
      <w:r w:rsidR="005B28C1" w:rsidRPr="00B551A8">
        <w:rPr>
          <w:rFonts w:asciiTheme="minorHAnsi" w:hAnsiTheme="minorHAnsi" w:cstheme="minorHAnsi"/>
          <w:sz w:val="22"/>
          <w:szCs w:val="22"/>
        </w:rPr>
        <w:t>DEER</w:t>
      </w:r>
      <w:r w:rsidR="003832D2" w:rsidRPr="00B551A8">
        <w:rPr>
          <w:rFonts w:asciiTheme="minorHAnsi" w:hAnsiTheme="minorHAnsi" w:cstheme="minorHAnsi"/>
          <w:sz w:val="22"/>
          <w:szCs w:val="22"/>
        </w:rPr>
        <w:t>14</w:t>
      </w:r>
      <w:r w:rsidR="005B28C1" w:rsidRPr="00B551A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READi EUL ID</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Market</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Enduse</w:t>
            </w:r>
          </w:p>
        </w:tc>
        <w:tc>
          <w:tcPr>
            <w:tcW w:w="1849"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Measure</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EUL (Years)</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RUL (Years)</w:t>
            </w:r>
          </w:p>
        </w:tc>
      </w:tr>
      <w:tr w:rsidR="001C5A94" w:rsidRPr="00B551A8"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B551A8" w:rsidRDefault="00061E9E" w:rsidP="00061E9E">
            <w:pPr>
              <w:jc w:val="center"/>
              <w:rPr>
                <w:rFonts w:asciiTheme="minorHAnsi" w:hAnsiTheme="minorHAnsi" w:cstheme="minorHAnsi"/>
                <w:sz w:val="20"/>
                <w:szCs w:val="20"/>
              </w:rPr>
            </w:pPr>
            <w:r>
              <w:rPr>
                <w:rFonts w:asciiTheme="minorHAnsi" w:hAnsiTheme="minorHAnsi" w:cs="Arial"/>
                <w:sz w:val="20"/>
                <w:szCs w:val="20"/>
              </w:rPr>
              <w:t>Cook-HoldCab</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Non-Residential</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Cooking</w:t>
            </w:r>
          </w:p>
        </w:tc>
        <w:tc>
          <w:tcPr>
            <w:tcW w:w="1849" w:type="dxa"/>
            <w:vAlign w:val="center"/>
          </w:tcPr>
          <w:p w:rsidR="001C5A94" w:rsidRPr="00B551A8" w:rsidRDefault="00061E9E" w:rsidP="00476636">
            <w:pPr>
              <w:jc w:val="center"/>
              <w:rPr>
                <w:rFonts w:asciiTheme="minorHAnsi" w:hAnsiTheme="minorHAnsi" w:cstheme="minorHAnsi"/>
                <w:sz w:val="20"/>
                <w:szCs w:val="20"/>
              </w:rPr>
            </w:pPr>
            <w:r w:rsidRPr="00061E9E">
              <w:rPr>
                <w:rFonts w:asciiTheme="minorHAnsi" w:hAnsiTheme="minorHAnsi" w:cstheme="minorHAnsi"/>
                <w:sz w:val="20"/>
                <w:szCs w:val="20"/>
              </w:rPr>
              <w:t>Commercial Insulated Holding Cabinet</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12</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4</w:t>
            </w:r>
          </w:p>
        </w:tc>
      </w:tr>
    </w:tbl>
    <w:p w:rsidR="00E16609" w:rsidRPr="00B551A8" w:rsidRDefault="00E16609" w:rsidP="00560934">
      <w:pPr>
        <w:pStyle w:val="Heading1"/>
        <w:keepNext w:val="0"/>
        <w:rPr>
          <w:rFonts w:asciiTheme="minorHAnsi" w:hAnsiTheme="minorHAnsi" w:cstheme="minorHAnsi"/>
        </w:rPr>
      </w:pPr>
      <w:bookmarkStart w:id="15" w:name="_Toc214003090"/>
      <w:proofErr w:type="gramStart"/>
      <w:r w:rsidRPr="00B551A8">
        <w:rPr>
          <w:rFonts w:asciiTheme="minorHAnsi" w:hAnsiTheme="minorHAnsi" w:cstheme="minorHAnsi"/>
        </w:rPr>
        <w:t>Section 2.</w:t>
      </w:r>
      <w:proofErr w:type="gramEnd"/>
      <w:r w:rsidRPr="00B551A8">
        <w:rPr>
          <w:rFonts w:asciiTheme="minorHAnsi" w:hAnsiTheme="minorHAnsi" w:cstheme="minorHAnsi"/>
        </w:rPr>
        <w:t xml:space="preserve"> Energy Savings &amp; Demand Reduction Calculations</w:t>
      </w:r>
      <w:bookmarkEnd w:id="15"/>
    </w:p>
    <w:p w:rsidR="00AA5ECC" w:rsidRPr="00B551A8" w:rsidRDefault="00AA5ECC" w:rsidP="00AA5ECC">
      <w:pPr>
        <w:pStyle w:val="Heading2"/>
        <w:rPr>
          <w:rFonts w:asciiTheme="minorHAnsi" w:hAnsiTheme="minorHAnsi" w:cstheme="minorHAnsi"/>
        </w:rPr>
      </w:pPr>
      <w:bookmarkStart w:id="16" w:name="_Toc326215672"/>
      <w:bookmarkStart w:id="17" w:name="_Toc214003093"/>
      <w:r w:rsidRPr="00B551A8">
        <w:rPr>
          <w:rFonts w:asciiTheme="minorHAnsi" w:hAnsiTheme="minorHAnsi" w:cstheme="minorHAnsi"/>
        </w:rPr>
        <w:t>2.1 Electric Energy Savings Estimation Methodologies</w:t>
      </w:r>
      <w:bookmarkEnd w:id="16"/>
    </w:p>
    <w:p w:rsidR="00EB250D" w:rsidRDefault="00EB250D" w:rsidP="00EB250D">
      <w:pPr>
        <w:rPr>
          <w:rFonts w:asciiTheme="minorHAnsi" w:hAnsiTheme="minorHAnsi" w:cstheme="minorHAnsi"/>
          <w:sz w:val="22"/>
          <w:szCs w:val="22"/>
        </w:rPr>
      </w:pPr>
      <w:r w:rsidRPr="00EB250D">
        <w:rPr>
          <w:rFonts w:asciiTheme="minorHAnsi" w:hAnsiTheme="minorHAnsi" w:cstheme="minorHAnsi"/>
          <w:sz w:val="22"/>
          <w:szCs w:val="22"/>
        </w:rPr>
        <w:t xml:space="preserve">The base case for both half and full size hot food holding cabinets in this work paper </w:t>
      </w:r>
      <w:r>
        <w:rPr>
          <w:rFonts w:asciiTheme="minorHAnsi" w:hAnsiTheme="minorHAnsi" w:cstheme="minorHAnsi"/>
          <w:sz w:val="22"/>
          <w:szCs w:val="22"/>
        </w:rPr>
        <w:t>i</w:t>
      </w:r>
      <w:r w:rsidRPr="00EB250D">
        <w:rPr>
          <w:rFonts w:asciiTheme="minorHAnsi" w:hAnsiTheme="minorHAnsi" w:cstheme="minorHAnsi"/>
          <w:sz w:val="22"/>
          <w:szCs w:val="22"/>
        </w:rPr>
        <w:t>s Title 20,</w:t>
      </w:r>
      <w:r>
        <w:rPr>
          <w:rFonts w:asciiTheme="minorHAnsi" w:hAnsiTheme="minorHAnsi" w:cstheme="minorHAnsi"/>
          <w:sz w:val="22"/>
          <w:szCs w:val="22"/>
        </w:rPr>
        <w:t xml:space="preserve"> which</w:t>
      </w:r>
      <w:r w:rsidRPr="00EB250D">
        <w:rPr>
          <w:rFonts w:asciiTheme="minorHAnsi" w:hAnsiTheme="minorHAnsi" w:cstheme="minorHAnsi"/>
          <w:sz w:val="22"/>
          <w:szCs w:val="22"/>
        </w:rPr>
        <w:t xml:space="preserve"> requir</w:t>
      </w:r>
      <w:r>
        <w:rPr>
          <w:rFonts w:asciiTheme="minorHAnsi" w:hAnsiTheme="minorHAnsi" w:cstheme="minorHAnsi"/>
          <w:sz w:val="22"/>
          <w:szCs w:val="22"/>
        </w:rPr>
        <w:t>es</w:t>
      </w:r>
      <w:r w:rsidRPr="00EB250D">
        <w:rPr>
          <w:rFonts w:asciiTheme="minorHAnsi" w:hAnsiTheme="minorHAnsi" w:cstheme="minorHAnsi"/>
          <w:sz w:val="22"/>
          <w:szCs w:val="22"/>
        </w:rPr>
        <w:t xml:space="preserve"> all new commercial hot food holding cabinets to have a maximum normalized idle energy rate o</w:t>
      </w:r>
      <w:r>
        <w:rPr>
          <w:rFonts w:asciiTheme="minorHAnsi" w:hAnsiTheme="minorHAnsi" w:cstheme="minorHAnsi"/>
          <w:sz w:val="22"/>
          <w:szCs w:val="22"/>
        </w:rPr>
        <w:t>f 40 W/ft³ based on ASTM F2140.</w:t>
      </w:r>
    </w:p>
    <w:p w:rsidR="00EB250D" w:rsidRPr="00EB250D" w:rsidRDefault="00EB250D" w:rsidP="00EB250D">
      <w:pPr>
        <w:rPr>
          <w:rFonts w:asciiTheme="minorHAnsi" w:hAnsiTheme="minorHAnsi" w:cstheme="minorHAnsi"/>
          <w:sz w:val="22"/>
          <w:szCs w:val="22"/>
        </w:rPr>
      </w:pPr>
    </w:p>
    <w:p w:rsidR="00AA5ECC" w:rsidRDefault="00EB250D" w:rsidP="00797F91">
      <w:pPr>
        <w:rPr>
          <w:rFonts w:asciiTheme="minorHAnsi" w:hAnsiTheme="minorHAnsi" w:cstheme="minorHAnsi"/>
          <w:sz w:val="22"/>
        </w:rPr>
      </w:pPr>
      <w:r w:rsidRPr="00EB250D">
        <w:rPr>
          <w:rFonts w:asciiTheme="minorHAnsi" w:hAnsiTheme="minorHAnsi" w:cstheme="minorHAnsi"/>
          <w:sz w:val="22"/>
          <w:szCs w:val="22"/>
        </w:rPr>
        <w:t>The measure case data was drawn from</w:t>
      </w:r>
      <w:r w:rsidR="00D9309F">
        <w:rPr>
          <w:rFonts w:asciiTheme="minorHAnsi" w:hAnsiTheme="minorHAnsi" w:cstheme="minorHAnsi"/>
          <w:sz w:val="22"/>
          <w:szCs w:val="22"/>
        </w:rPr>
        <w:t xml:space="preserve"> the Food Service Technology Center qualifying products list and</w:t>
      </w:r>
      <w:r w:rsidRPr="00EB250D">
        <w:rPr>
          <w:rFonts w:asciiTheme="minorHAnsi" w:hAnsiTheme="minorHAnsi" w:cstheme="minorHAnsi"/>
          <w:sz w:val="22"/>
          <w:szCs w:val="22"/>
        </w:rPr>
        <w:t xml:space="preserve"> the CEC Appliance database</w:t>
      </w:r>
      <w:r w:rsidR="00D9309F">
        <w:rPr>
          <w:rFonts w:asciiTheme="minorHAnsi" w:hAnsiTheme="minorHAnsi" w:cstheme="minorHAnsi"/>
          <w:sz w:val="22"/>
          <w:szCs w:val="22"/>
        </w:rPr>
        <w:t xml:space="preserve">. Qualifying products </w:t>
      </w:r>
      <w:r w:rsidRPr="00EB250D">
        <w:rPr>
          <w:rFonts w:asciiTheme="minorHAnsi" w:hAnsiTheme="minorHAnsi" w:cstheme="minorHAnsi"/>
          <w:sz w:val="22"/>
          <w:szCs w:val="22"/>
        </w:rPr>
        <w:t>met the specified idle energy rate of 20W/ft³ or less.</w:t>
      </w:r>
      <w:r>
        <w:rPr>
          <w:rFonts w:asciiTheme="minorHAnsi" w:hAnsiTheme="minorHAnsi" w:cstheme="minorHAnsi"/>
          <w:sz w:val="22"/>
          <w:szCs w:val="22"/>
        </w:rPr>
        <w:t xml:space="preserve"> </w:t>
      </w:r>
      <w:bookmarkStart w:id="18" w:name="_Toc174327975"/>
      <w:r w:rsidR="00C5179F" w:rsidRPr="00B551A8">
        <w:rPr>
          <w:rFonts w:asciiTheme="minorHAnsi" w:hAnsiTheme="minorHAnsi" w:cstheme="minorHAnsi"/>
          <w:sz w:val="22"/>
        </w:rPr>
        <w:fldChar w:fldCharType="begin"/>
      </w:r>
      <w:r w:rsidR="00C5179F" w:rsidRPr="00B551A8">
        <w:rPr>
          <w:rFonts w:asciiTheme="minorHAnsi" w:hAnsiTheme="minorHAnsi" w:cstheme="minorHAnsi"/>
          <w:sz w:val="22"/>
        </w:rPr>
        <w:instrText xml:space="preserve"> REF _Ref390773856 \h </w:instrText>
      </w:r>
      <w:r w:rsidR="00D67BCF" w:rsidRPr="00B551A8">
        <w:rPr>
          <w:rFonts w:asciiTheme="minorHAnsi" w:hAnsiTheme="minorHAnsi" w:cstheme="minorHAnsi"/>
          <w:sz w:val="22"/>
        </w:rPr>
        <w:instrText xml:space="preserve"> \* MERGEFORMAT </w:instrText>
      </w:r>
      <w:r w:rsidR="00C5179F" w:rsidRPr="00B551A8">
        <w:rPr>
          <w:rFonts w:asciiTheme="minorHAnsi" w:hAnsiTheme="minorHAnsi" w:cstheme="minorHAnsi"/>
          <w:sz w:val="22"/>
        </w:rPr>
      </w:r>
      <w:r w:rsidR="00C5179F" w:rsidRPr="00B551A8">
        <w:rPr>
          <w:rFonts w:asciiTheme="minorHAnsi" w:hAnsiTheme="minorHAnsi" w:cstheme="minorHAnsi"/>
          <w:sz w:val="22"/>
        </w:rPr>
        <w:fldChar w:fldCharType="separate"/>
      </w:r>
      <w:r w:rsidR="00B90ADB" w:rsidRPr="00B90ADB">
        <w:rPr>
          <w:rFonts w:asciiTheme="minorHAnsi" w:hAnsiTheme="minorHAnsi" w:cstheme="minorHAnsi"/>
          <w:sz w:val="22"/>
        </w:rPr>
        <w:t>Table 9</w:t>
      </w:r>
      <w:r w:rsidR="00C5179F" w:rsidRPr="00B551A8">
        <w:rPr>
          <w:rFonts w:asciiTheme="minorHAnsi" w:hAnsiTheme="minorHAnsi" w:cstheme="minorHAnsi"/>
          <w:sz w:val="22"/>
        </w:rPr>
        <w:fldChar w:fldCharType="end"/>
      </w:r>
      <w:r>
        <w:rPr>
          <w:rFonts w:asciiTheme="minorHAnsi" w:hAnsiTheme="minorHAnsi" w:cstheme="minorHAnsi"/>
          <w:sz w:val="22"/>
        </w:rPr>
        <w:t xml:space="preserve"> and</w:t>
      </w:r>
      <w:r w:rsidR="00BD6511">
        <w:rPr>
          <w:rFonts w:asciiTheme="minorHAnsi" w:hAnsiTheme="minorHAnsi" w:cstheme="minorHAnsi"/>
          <w:sz w:val="22"/>
        </w:rPr>
        <w:t xml:space="preserve"> </w:t>
      </w:r>
      <w:r w:rsidR="00BD6511">
        <w:rPr>
          <w:rFonts w:asciiTheme="minorHAnsi" w:hAnsiTheme="minorHAnsi" w:cstheme="minorHAnsi"/>
          <w:sz w:val="22"/>
        </w:rPr>
        <w:fldChar w:fldCharType="begin"/>
      </w:r>
      <w:r w:rsidR="00BD6511">
        <w:rPr>
          <w:rFonts w:asciiTheme="minorHAnsi" w:hAnsiTheme="minorHAnsi" w:cstheme="minorHAnsi"/>
          <w:sz w:val="22"/>
        </w:rPr>
        <w:instrText xml:space="preserve"> REF _Ref390949655 \h </w:instrText>
      </w:r>
      <w:r w:rsidR="00BD6511">
        <w:rPr>
          <w:rFonts w:asciiTheme="minorHAnsi" w:hAnsiTheme="minorHAnsi" w:cstheme="minorHAnsi"/>
          <w:sz w:val="22"/>
        </w:rPr>
      </w:r>
      <w:r w:rsidR="00BD6511">
        <w:rPr>
          <w:rFonts w:asciiTheme="minorHAnsi" w:hAnsiTheme="minorHAnsi" w:cstheme="minorHAnsi"/>
          <w:sz w:val="22"/>
        </w:rPr>
        <w:fldChar w:fldCharType="separate"/>
      </w:r>
      <w:r w:rsidR="00B90ADB" w:rsidRPr="009E0293">
        <w:rPr>
          <w:rFonts w:asciiTheme="minorHAnsi" w:hAnsiTheme="minorHAnsi" w:cstheme="minorHAnsi"/>
          <w:sz w:val="22"/>
          <w:szCs w:val="22"/>
        </w:rPr>
        <w:t xml:space="preserve">Table </w:t>
      </w:r>
      <w:r w:rsidR="00B90ADB">
        <w:rPr>
          <w:rFonts w:asciiTheme="minorHAnsi" w:hAnsiTheme="minorHAnsi" w:cstheme="minorHAnsi"/>
          <w:noProof/>
          <w:sz w:val="22"/>
          <w:szCs w:val="22"/>
        </w:rPr>
        <w:t>10</w:t>
      </w:r>
      <w:r w:rsidR="00BD6511">
        <w:rPr>
          <w:rFonts w:asciiTheme="minorHAnsi" w:hAnsiTheme="minorHAnsi" w:cstheme="minorHAnsi"/>
          <w:sz w:val="22"/>
        </w:rPr>
        <w:fldChar w:fldCharType="end"/>
      </w:r>
      <w:r w:rsidR="00BD6511">
        <w:rPr>
          <w:rFonts w:asciiTheme="minorHAnsi" w:hAnsiTheme="minorHAnsi" w:cstheme="minorHAnsi"/>
          <w:sz w:val="22"/>
        </w:rPr>
        <w:t xml:space="preserve"> </w:t>
      </w:r>
      <w:r w:rsidR="00CE30C7" w:rsidRPr="00B551A8">
        <w:rPr>
          <w:rFonts w:asciiTheme="minorHAnsi" w:hAnsiTheme="minorHAnsi" w:cstheme="minorHAnsi"/>
          <w:sz w:val="22"/>
        </w:rPr>
        <w:t>show the calculation results</w:t>
      </w:r>
      <w:r w:rsidR="00F07454">
        <w:rPr>
          <w:rFonts w:asciiTheme="minorHAnsi" w:hAnsiTheme="minorHAnsi" w:cstheme="minorHAnsi"/>
          <w:sz w:val="22"/>
        </w:rPr>
        <w:t>:</w:t>
      </w:r>
    </w:p>
    <w:p w:rsidR="007754FE" w:rsidRPr="00B551A8" w:rsidRDefault="007754FE" w:rsidP="00797F91">
      <w:pPr>
        <w:rPr>
          <w:rFonts w:asciiTheme="minorHAnsi" w:hAnsiTheme="minorHAnsi" w:cstheme="minorHAnsi"/>
          <w:sz w:val="22"/>
        </w:rPr>
      </w:pPr>
    </w:p>
    <w:p w:rsidR="00CE30C7" w:rsidRDefault="00CE30C7" w:rsidP="00442987">
      <w:pPr>
        <w:pStyle w:val="Caption"/>
        <w:jc w:val="center"/>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19" w:name="_Ref390773856"/>
      <w:bookmarkStart w:id="20" w:name="_Toc326914060"/>
      <w:r w:rsidR="00C5179F" w:rsidRPr="00B551A8">
        <w:rPr>
          <w:rFonts w:asciiTheme="minorHAnsi" w:hAnsiTheme="minorHAnsi"/>
          <w:sz w:val="22"/>
          <w:szCs w:val="22"/>
        </w:rPr>
        <w:t xml:space="preserve">Table </w:t>
      </w:r>
      <w:r w:rsidR="00C5179F" w:rsidRPr="00B551A8">
        <w:rPr>
          <w:rFonts w:asciiTheme="minorHAnsi" w:hAnsiTheme="minorHAnsi"/>
          <w:sz w:val="22"/>
          <w:szCs w:val="22"/>
        </w:rPr>
        <w:fldChar w:fldCharType="begin"/>
      </w:r>
      <w:r w:rsidR="00C5179F" w:rsidRPr="00B551A8">
        <w:rPr>
          <w:rFonts w:asciiTheme="minorHAnsi" w:hAnsiTheme="minorHAnsi"/>
          <w:sz w:val="22"/>
          <w:szCs w:val="22"/>
        </w:rPr>
        <w:instrText xml:space="preserve"> SEQ Table \* ARABIC </w:instrText>
      </w:r>
      <w:r w:rsidR="00C5179F" w:rsidRPr="00B551A8">
        <w:rPr>
          <w:rFonts w:asciiTheme="minorHAnsi" w:hAnsiTheme="minorHAnsi"/>
          <w:sz w:val="22"/>
          <w:szCs w:val="22"/>
        </w:rPr>
        <w:fldChar w:fldCharType="separate"/>
      </w:r>
      <w:r w:rsidR="00B90ADB">
        <w:rPr>
          <w:rFonts w:asciiTheme="minorHAnsi" w:hAnsiTheme="minorHAnsi"/>
          <w:noProof/>
          <w:sz w:val="22"/>
          <w:szCs w:val="22"/>
        </w:rPr>
        <w:t>9</w:t>
      </w:r>
      <w:r w:rsidR="00C5179F" w:rsidRPr="00B551A8">
        <w:rPr>
          <w:rFonts w:asciiTheme="minorHAnsi" w:hAnsiTheme="minorHAnsi"/>
          <w:sz w:val="22"/>
          <w:szCs w:val="22"/>
        </w:rPr>
        <w:fldChar w:fldCharType="end"/>
      </w:r>
      <w:bookmarkEnd w:id="19"/>
      <w:r w:rsidR="00C5179F" w:rsidRPr="00B551A8">
        <w:rPr>
          <w:rFonts w:asciiTheme="minorHAnsi" w:hAnsiTheme="minorHAnsi"/>
          <w:sz w:val="22"/>
          <w:szCs w:val="22"/>
        </w:rPr>
        <w:t xml:space="preserve"> </w:t>
      </w:r>
      <w:r w:rsidRPr="00B551A8">
        <w:rPr>
          <w:rFonts w:asciiTheme="minorHAnsi" w:hAnsiTheme="minorHAnsi" w:cstheme="minorHAnsi"/>
          <w:sz w:val="22"/>
          <w:szCs w:val="22"/>
        </w:rPr>
        <w:t>Commercial</w:t>
      </w:r>
      <w:bookmarkEnd w:id="20"/>
      <w:r w:rsidR="00442987" w:rsidRPr="00B551A8">
        <w:rPr>
          <w:rFonts w:asciiTheme="minorHAnsi" w:hAnsiTheme="minorHAnsi" w:cstheme="minorHAnsi"/>
          <w:sz w:val="22"/>
          <w:szCs w:val="22"/>
        </w:rPr>
        <w:t xml:space="preserve"> Electric</w:t>
      </w:r>
      <w:r w:rsidR="003B4596">
        <w:rPr>
          <w:rFonts w:asciiTheme="minorHAnsi" w:hAnsiTheme="minorHAnsi" w:cstheme="minorHAnsi"/>
          <w:sz w:val="22"/>
          <w:szCs w:val="22"/>
        </w:rPr>
        <w:t xml:space="preserve"> </w:t>
      </w:r>
      <w:r w:rsidR="00B90ADB">
        <w:rPr>
          <w:rFonts w:asciiTheme="minorHAnsi" w:hAnsiTheme="minorHAnsi" w:cstheme="minorHAnsi"/>
          <w:sz w:val="22"/>
          <w:szCs w:val="22"/>
        </w:rPr>
        <w:t>Full</w:t>
      </w:r>
      <w:r w:rsidR="003B4596">
        <w:rPr>
          <w:rFonts w:asciiTheme="minorHAnsi" w:hAnsiTheme="minorHAnsi" w:cstheme="minorHAnsi"/>
          <w:sz w:val="22"/>
          <w:szCs w:val="22"/>
        </w:rPr>
        <w:t>-Size</w:t>
      </w:r>
      <w:r w:rsidR="00442987" w:rsidRPr="00B551A8">
        <w:rPr>
          <w:rFonts w:asciiTheme="minorHAnsi" w:hAnsiTheme="minorHAnsi" w:cstheme="minorHAnsi"/>
          <w:sz w:val="22"/>
          <w:szCs w:val="22"/>
        </w:rPr>
        <w:t xml:space="preserve"> </w:t>
      </w:r>
      <w:r w:rsidR="00B90ADB">
        <w:rPr>
          <w:rFonts w:asciiTheme="minorHAnsi" w:hAnsiTheme="minorHAnsi" w:cstheme="minorHAnsi"/>
          <w:sz w:val="22"/>
          <w:szCs w:val="22"/>
        </w:rPr>
        <w:t>Holding Cabinet</w:t>
      </w:r>
      <w:r w:rsidR="00442987" w:rsidRPr="00B551A8">
        <w:rPr>
          <w:rFonts w:asciiTheme="minorHAnsi" w:hAnsiTheme="minorHAnsi" w:cstheme="minorHAnsi"/>
          <w:sz w:val="22"/>
          <w:szCs w:val="22"/>
        </w:rPr>
        <w:t xml:space="preserve"> Calculations</w:t>
      </w:r>
    </w:p>
    <w:tbl>
      <w:tblPr>
        <w:tblStyle w:val="TableContemporary"/>
        <w:tblW w:w="3571" w:type="pct"/>
        <w:jc w:val="center"/>
        <w:tblInd w:w="378" w:type="dxa"/>
        <w:tblLook w:val="00A0" w:firstRow="1" w:lastRow="0" w:firstColumn="1" w:lastColumn="0" w:noHBand="0" w:noVBand="0"/>
      </w:tblPr>
      <w:tblGrid>
        <w:gridCol w:w="3632"/>
        <w:gridCol w:w="1226"/>
        <w:gridCol w:w="1981"/>
      </w:tblGrid>
      <w:tr w:rsidR="00EB250D" w:rsidRPr="00EB250D" w:rsidTr="008E23D2">
        <w:trPr>
          <w:cnfStyle w:val="100000000000" w:firstRow="1" w:lastRow="0" w:firstColumn="0" w:lastColumn="0" w:oddVBand="0" w:evenVBand="0" w:oddHBand="0" w:evenHBand="0" w:firstRowFirstColumn="0" w:firstRowLastColumn="0" w:lastRowFirstColumn="0" w:lastRowLastColumn="0"/>
          <w:trHeight w:val="512"/>
          <w:jc w:val="center"/>
        </w:trPr>
        <w:tc>
          <w:tcPr>
            <w:tcW w:w="2655" w:type="pct"/>
          </w:tcPr>
          <w:bookmarkEnd w:id="18"/>
          <w:p w:rsidR="00EB250D" w:rsidRPr="00EB250D" w:rsidRDefault="00EB250D" w:rsidP="009A5397">
            <w:pPr>
              <w:rPr>
                <w:rFonts w:asciiTheme="minorHAnsi" w:hAnsiTheme="minorHAnsi" w:cs="Arial"/>
                <w:b w:val="0"/>
                <w:bCs w:val="0"/>
                <w:sz w:val="20"/>
                <w:szCs w:val="20"/>
              </w:rPr>
            </w:pPr>
            <w:r w:rsidRPr="00EB250D">
              <w:rPr>
                <w:rFonts w:asciiTheme="minorHAnsi" w:hAnsiTheme="minorHAnsi" w:cs="Arial"/>
                <w:sz w:val="20"/>
                <w:szCs w:val="20"/>
              </w:rPr>
              <w:t>Performance</w:t>
            </w:r>
          </w:p>
        </w:tc>
        <w:tc>
          <w:tcPr>
            <w:tcW w:w="896" w:type="pct"/>
          </w:tcPr>
          <w:p w:rsidR="00EB250D" w:rsidRPr="00EB250D" w:rsidRDefault="008E23D2" w:rsidP="009A5397">
            <w:pPr>
              <w:jc w:val="center"/>
              <w:rPr>
                <w:rFonts w:asciiTheme="minorHAnsi" w:hAnsiTheme="minorHAnsi" w:cs="Arial"/>
                <w:b w:val="0"/>
                <w:bCs w:val="0"/>
                <w:sz w:val="20"/>
                <w:szCs w:val="20"/>
              </w:rPr>
            </w:pPr>
            <w:r>
              <w:rPr>
                <w:rFonts w:asciiTheme="minorHAnsi" w:hAnsiTheme="minorHAnsi" w:cs="Arial"/>
                <w:sz w:val="20"/>
                <w:szCs w:val="20"/>
              </w:rPr>
              <w:t>Base Case</w:t>
            </w:r>
          </w:p>
          <w:p w:rsidR="00EB250D" w:rsidRPr="00EB250D" w:rsidRDefault="00EB250D" w:rsidP="009A5397">
            <w:pPr>
              <w:jc w:val="center"/>
              <w:rPr>
                <w:rFonts w:asciiTheme="minorHAnsi" w:hAnsiTheme="minorHAnsi" w:cs="Arial"/>
                <w:b w:val="0"/>
                <w:bCs w:val="0"/>
                <w:sz w:val="20"/>
                <w:szCs w:val="20"/>
              </w:rPr>
            </w:pPr>
          </w:p>
        </w:tc>
        <w:tc>
          <w:tcPr>
            <w:tcW w:w="1448" w:type="pct"/>
          </w:tcPr>
          <w:p w:rsidR="00EB250D" w:rsidRPr="00EB250D" w:rsidRDefault="008E23D2" w:rsidP="009A5397">
            <w:pPr>
              <w:jc w:val="center"/>
              <w:rPr>
                <w:rFonts w:asciiTheme="minorHAnsi" w:hAnsiTheme="minorHAnsi" w:cs="Arial"/>
                <w:b w:val="0"/>
                <w:bCs w:val="0"/>
                <w:sz w:val="20"/>
                <w:szCs w:val="20"/>
              </w:rPr>
            </w:pPr>
            <w:r>
              <w:rPr>
                <w:rFonts w:asciiTheme="minorHAnsi" w:hAnsiTheme="minorHAnsi" w:cs="Arial"/>
                <w:sz w:val="20"/>
                <w:szCs w:val="20"/>
              </w:rPr>
              <w:t>Measure Case</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Cabinet Volume (ft³)</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26.12</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26.12</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Normalized Idle Energy Rate (W/ft³)</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40.00</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11.13</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342"/>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Idle Energy Rate (kW)</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1.04</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0.29</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Operating Hours/Day</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15</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15</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Operating Days/Year</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365</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365</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Daily Energy Consumption (kWh)</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15.67</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4.36</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Average Demand (kW)</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1.04</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0.29</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pPr>
              <w:rPr>
                <w:rFonts w:ascii="Calibri" w:hAnsi="Calibri"/>
                <w:sz w:val="20"/>
                <w:szCs w:val="20"/>
              </w:rPr>
            </w:pPr>
            <w:r>
              <w:rPr>
                <w:rFonts w:ascii="Calibri" w:hAnsi="Calibri"/>
                <w:sz w:val="20"/>
                <w:szCs w:val="20"/>
              </w:rPr>
              <w:t>Estimated Demand Reduction (kW)</w:t>
            </w:r>
          </w:p>
        </w:tc>
        <w:tc>
          <w:tcPr>
            <w:tcW w:w="896" w:type="pct"/>
            <w:vAlign w:val="bottom"/>
          </w:tcPr>
          <w:p w:rsidR="008E23D2" w:rsidRDefault="008E23D2">
            <w:pPr>
              <w:rPr>
                <w:rFonts w:ascii="Calibri" w:hAnsi="Calibri"/>
                <w:sz w:val="20"/>
                <w:szCs w:val="20"/>
              </w:rPr>
            </w:pPr>
          </w:p>
        </w:tc>
        <w:tc>
          <w:tcPr>
            <w:tcW w:w="1448" w:type="pct"/>
            <w:vAlign w:val="bottom"/>
          </w:tcPr>
          <w:p w:rsidR="008E23D2" w:rsidRDefault="008E23D2">
            <w:pPr>
              <w:jc w:val="right"/>
              <w:rPr>
                <w:rFonts w:ascii="Calibri" w:hAnsi="Calibri"/>
                <w:sz w:val="20"/>
                <w:szCs w:val="20"/>
              </w:rPr>
            </w:pPr>
            <w:r>
              <w:rPr>
                <w:rFonts w:ascii="Calibri" w:hAnsi="Calibri"/>
                <w:sz w:val="20"/>
                <w:szCs w:val="20"/>
              </w:rPr>
              <w:t>0.75424</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pPr>
              <w:rPr>
                <w:rFonts w:ascii="Calibri" w:hAnsi="Calibri"/>
                <w:b/>
                <w:bCs/>
                <w:sz w:val="20"/>
                <w:szCs w:val="20"/>
              </w:rPr>
            </w:pPr>
            <w:r>
              <w:rPr>
                <w:rFonts w:ascii="Calibri" w:hAnsi="Calibri"/>
                <w:b/>
                <w:bCs/>
                <w:sz w:val="20"/>
                <w:szCs w:val="20"/>
              </w:rPr>
              <w:t>Coincident Demand Reduction (kW)</w:t>
            </w:r>
          </w:p>
        </w:tc>
        <w:tc>
          <w:tcPr>
            <w:tcW w:w="896" w:type="pct"/>
            <w:vAlign w:val="bottom"/>
          </w:tcPr>
          <w:p w:rsidR="008E23D2" w:rsidRDefault="008E23D2">
            <w:pPr>
              <w:rPr>
                <w:rFonts w:ascii="Calibri" w:hAnsi="Calibri"/>
                <w:b/>
                <w:bCs/>
                <w:sz w:val="20"/>
                <w:szCs w:val="20"/>
              </w:rPr>
            </w:pPr>
            <w:r>
              <w:rPr>
                <w:rFonts w:ascii="Calibri" w:hAnsi="Calibri"/>
                <w:b/>
                <w:bCs/>
                <w:sz w:val="20"/>
                <w:szCs w:val="20"/>
              </w:rPr>
              <w:t> </w:t>
            </w:r>
          </w:p>
        </w:tc>
        <w:tc>
          <w:tcPr>
            <w:tcW w:w="1448" w:type="pct"/>
            <w:vAlign w:val="bottom"/>
          </w:tcPr>
          <w:p w:rsidR="008E23D2" w:rsidRDefault="008E23D2">
            <w:pPr>
              <w:jc w:val="right"/>
              <w:rPr>
                <w:rFonts w:ascii="Calibri" w:hAnsi="Calibri"/>
                <w:b/>
                <w:bCs/>
                <w:sz w:val="20"/>
                <w:szCs w:val="20"/>
              </w:rPr>
            </w:pPr>
            <w:r>
              <w:rPr>
                <w:rFonts w:ascii="Calibri" w:hAnsi="Calibri"/>
                <w:b/>
                <w:bCs/>
                <w:sz w:val="20"/>
                <w:szCs w:val="20"/>
              </w:rPr>
              <w:t>0.67882</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pPr>
              <w:rPr>
                <w:rFonts w:ascii="Calibri" w:hAnsi="Calibri"/>
                <w:color w:val="000000"/>
                <w:sz w:val="20"/>
                <w:szCs w:val="20"/>
              </w:rPr>
            </w:pPr>
            <w:r>
              <w:rPr>
                <w:rFonts w:ascii="Calibri" w:hAnsi="Calibri"/>
                <w:color w:val="000000"/>
                <w:sz w:val="20"/>
                <w:szCs w:val="20"/>
              </w:rPr>
              <w:t>Annual Energy Consumption (kWh)</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5,720.59</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1,591.12</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pPr>
              <w:rPr>
                <w:rFonts w:ascii="Calibri" w:hAnsi="Calibri"/>
                <w:b/>
                <w:bCs/>
                <w:sz w:val="20"/>
                <w:szCs w:val="20"/>
              </w:rPr>
            </w:pPr>
            <w:r>
              <w:rPr>
                <w:rFonts w:ascii="Calibri" w:hAnsi="Calibri"/>
                <w:b/>
                <w:bCs/>
                <w:sz w:val="20"/>
                <w:szCs w:val="20"/>
              </w:rPr>
              <w:t>Estimated Energy Savings (kWh/yr)</w:t>
            </w:r>
          </w:p>
        </w:tc>
        <w:tc>
          <w:tcPr>
            <w:tcW w:w="896" w:type="pct"/>
            <w:vAlign w:val="bottom"/>
          </w:tcPr>
          <w:p w:rsidR="008E23D2" w:rsidRDefault="008E23D2">
            <w:pPr>
              <w:rPr>
                <w:rFonts w:ascii="Calibri" w:hAnsi="Calibri"/>
                <w:b/>
                <w:bCs/>
                <w:sz w:val="20"/>
                <w:szCs w:val="20"/>
              </w:rPr>
            </w:pPr>
            <w:r>
              <w:rPr>
                <w:rFonts w:ascii="Calibri" w:hAnsi="Calibri"/>
                <w:b/>
                <w:bCs/>
                <w:sz w:val="20"/>
                <w:szCs w:val="20"/>
              </w:rPr>
              <w:t> </w:t>
            </w:r>
          </w:p>
        </w:tc>
        <w:tc>
          <w:tcPr>
            <w:tcW w:w="1448" w:type="pct"/>
            <w:vAlign w:val="bottom"/>
          </w:tcPr>
          <w:p w:rsidR="008E23D2" w:rsidRDefault="008E23D2">
            <w:pPr>
              <w:jc w:val="right"/>
              <w:rPr>
                <w:rFonts w:ascii="Calibri" w:hAnsi="Calibri"/>
                <w:b/>
                <w:bCs/>
                <w:sz w:val="20"/>
                <w:szCs w:val="20"/>
              </w:rPr>
            </w:pPr>
            <w:r>
              <w:rPr>
                <w:rFonts w:ascii="Calibri" w:hAnsi="Calibri"/>
                <w:b/>
                <w:bCs/>
                <w:sz w:val="20"/>
                <w:szCs w:val="20"/>
              </w:rPr>
              <w:t>4,129.46</w:t>
            </w:r>
          </w:p>
        </w:tc>
      </w:tr>
    </w:tbl>
    <w:p w:rsidR="003B4596" w:rsidRPr="009E0293" w:rsidRDefault="003B4596" w:rsidP="009E0293">
      <w:pPr>
        <w:spacing w:line="276" w:lineRule="auto"/>
        <w:rPr>
          <w:rFonts w:asciiTheme="minorHAnsi" w:hAnsiTheme="minorHAnsi" w:cstheme="minorHAnsi"/>
          <w:b/>
          <w:sz w:val="20"/>
          <w:szCs w:val="20"/>
        </w:rPr>
      </w:pPr>
    </w:p>
    <w:p w:rsidR="003B4596" w:rsidRDefault="009E0293" w:rsidP="009E0293">
      <w:pPr>
        <w:pStyle w:val="Caption"/>
        <w:jc w:val="center"/>
        <w:rPr>
          <w:rFonts w:asciiTheme="minorHAnsi" w:hAnsiTheme="minorHAnsi" w:cstheme="minorHAnsi"/>
          <w:b w:val="0"/>
          <w:i/>
          <w:sz w:val="20"/>
          <w:szCs w:val="20"/>
        </w:rPr>
      </w:pPr>
      <w:bookmarkStart w:id="21" w:name="_Ref390949655"/>
      <w:r w:rsidRPr="009E0293">
        <w:rPr>
          <w:rFonts w:asciiTheme="minorHAnsi" w:hAnsiTheme="minorHAnsi" w:cstheme="minorHAnsi"/>
          <w:sz w:val="22"/>
          <w:szCs w:val="22"/>
        </w:rPr>
        <w:t xml:space="preserve">Table </w:t>
      </w:r>
      <w:r w:rsidRPr="009E0293">
        <w:rPr>
          <w:rFonts w:asciiTheme="minorHAnsi" w:hAnsiTheme="minorHAnsi" w:cstheme="minorHAnsi"/>
          <w:sz w:val="22"/>
          <w:szCs w:val="22"/>
        </w:rPr>
        <w:fldChar w:fldCharType="begin"/>
      </w:r>
      <w:r w:rsidRPr="009E0293">
        <w:rPr>
          <w:rFonts w:asciiTheme="minorHAnsi" w:hAnsiTheme="minorHAnsi" w:cstheme="minorHAnsi"/>
          <w:sz w:val="22"/>
          <w:szCs w:val="22"/>
        </w:rPr>
        <w:instrText xml:space="preserve"> SEQ Table \* ARABIC </w:instrText>
      </w:r>
      <w:r w:rsidRPr="009E0293">
        <w:rPr>
          <w:rFonts w:asciiTheme="minorHAnsi" w:hAnsiTheme="minorHAnsi" w:cstheme="minorHAnsi"/>
          <w:sz w:val="22"/>
          <w:szCs w:val="22"/>
        </w:rPr>
        <w:fldChar w:fldCharType="separate"/>
      </w:r>
      <w:r w:rsidR="00B90ADB">
        <w:rPr>
          <w:rFonts w:asciiTheme="minorHAnsi" w:hAnsiTheme="minorHAnsi" w:cstheme="minorHAnsi"/>
          <w:noProof/>
          <w:sz w:val="22"/>
          <w:szCs w:val="22"/>
        </w:rPr>
        <w:t>10</w:t>
      </w:r>
      <w:r w:rsidRPr="009E0293">
        <w:rPr>
          <w:rFonts w:asciiTheme="minorHAnsi" w:hAnsiTheme="minorHAnsi" w:cstheme="minorHAnsi"/>
          <w:sz w:val="22"/>
          <w:szCs w:val="22"/>
        </w:rPr>
        <w:fldChar w:fldCharType="end"/>
      </w:r>
      <w:bookmarkEnd w:id="21"/>
      <w:r w:rsidRPr="009E0293">
        <w:rPr>
          <w:rFonts w:asciiTheme="minorHAnsi" w:hAnsiTheme="minorHAnsi" w:cstheme="minorHAnsi"/>
          <w:sz w:val="22"/>
          <w:szCs w:val="22"/>
        </w:rPr>
        <w:t xml:space="preserve"> </w:t>
      </w:r>
      <w:r w:rsidRPr="00B551A8">
        <w:rPr>
          <w:rFonts w:asciiTheme="minorHAnsi" w:hAnsiTheme="minorHAnsi" w:cstheme="minorHAnsi"/>
          <w:sz w:val="22"/>
          <w:szCs w:val="22"/>
        </w:rPr>
        <w:t>Commercial</w:t>
      </w:r>
      <w:r w:rsidR="00B90ADB">
        <w:rPr>
          <w:rFonts w:asciiTheme="minorHAnsi" w:hAnsiTheme="minorHAnsi" w:cstheme="minorHAnsi"/>
          <w:sz w:val="22"/>
          <w:szCs w:val="22"/>
        </w:rPr>
        <w:t xml:space="preserve"> Half-Size</w:t>
      </w:r>
      <w:r w:rsidRPr="00B551A8">
        <w:rPr>
          <w:rFonts w:asciiTheme="minorHAnsi" w:hAnsiTheme="minorHAnsi" w:cstheme="minorHAnsi"/>
          <w:sz w:val="22"/>
          <w:szCs w:val="22"/>
        </w:rPr>
        <w:t xml:space="preserve"> Electric</w:t>
      </w:r>
      <w:r>
        <w:rPr>
          <w:rFonts w:asciiTheme="minorHAnsi" w:hAnsiTheme="minorHAnsi" w:cstheme="minorHAnsi"/>
          <w:sz w:val="22"/>
          <w:szCs w:val="22"/>
        </w:rPr>
        <w:t xml:space="preserve"> </w:t>
      </w:r>
      <w:r w:rsidR="00B90ADB">
        <w:rPr>
          <w:rFonts w:asciiTheme="minorHAnsi" w:hAnsiTheme="minorHAnsi" w:cstheme="minorHAnsi"/>
          <w:sz w:val="22"/>
          <w:szCs w:val="22"/>
        </w:rPr>
        <w:t>Holding Cabinet</w:t>
      </w:r>
      <w:r w:rsidRPr="00B551A8">
        <w:rPr>
          <w:rFonts w:asciiTheme="minorHAnsi" w:hAnsiTheme="minorHAnsi" w:cstheme="minorHAnsi"/>
          <w:sz w:val="22"/>
          <w:szCs w:val="22"/>
        </w:rPr>
        <w:t xml:space="preserve"> Calculations</w:t>
      </w:r>
    </w:p>
    <w:tbl>
      <w:tblPr>
        <w:tblStyle w:val="TableContemporary"/>
        <w:tblW w:w="3571" w:type="pct"/>
        <w:jc w:val="center"/>
        <w:tblInd w:w="378" w:type="dxa"/>
        <w:tblLook w:val="00A0" w:firstRow="1" w:lastRow="0" w:firstColumn="1" w:lastColumn="0" w:noHBand="0" w:noVBand="0"/>
      </w:tblPr>
      <w:tblGrid>
        <w:gridCol w:w="3632"/>
        <w:gridCol w:w="1226"/>
        <w:gridCol w:w="1981"/>
      </w:tblGrid>
      <w:tr w:rsidR="008E23D2" w:rsidRPr="00EB250D" w:rsidTr="008E23D2">
        <w:trPr>
          <w:cnfStyle w:val="100000000000" w:firstRow="1" w:lastRow="0" w:firstColumn="0" w:lastColumn="0" w:oddVBand="0" w:evenVBand="0" w:oddHBand="0" w:evenHBand="0" w:firstRowFirstColumn="0" w:firstRowLastColumn="0" w:lastRowFirstColumn="0" w:lastRowLastColumn="0"/>
          <w:trHeight w:val="512"/>
          <w:jc w:val="center"/>
        </w:trPr>
        <w:tc>
          <w:tcPr>
            <w:tcW w:w="2655" w:type="pct"/>
          </w:tcPr>
          <w:p w:rsidR="008E23D2" w:rsidRPr="00EB250D" w:rsidRDefault="008E23D2" w:rsidP="00011FE4">
            <w:pPr>
              <w:rPr>
                <w:rFonts w:asciiTheme="minorHAnsi" w:hAnsiTheme="minorHAnsi" w:cs="Arial"/>
                <w:b w:val="0"/>
                <w:bCs w:val="0"/>
                <w:sz w:val="20"/>
                <w:szCs w:val="20"/>
              </w:rPr>
            </w:pPr>
            <w:r w:rsidRPr="00EB250D">
              <w:rPr>
                <w:rFonts w:asciiTheme="minorHAnsi" w:hAnsiTheme="minorHAnsi" w:cs="Arial"/>
                <w:sz w:val="20"/>
                <w:szCs w:val="20"/>
              </w:rPr>
              <w:t>Performance</w:t>
            </w:r>
          </w:p>
        </w:tc>
        <w:tc>
          <w:tcPr>
            <w:tcW w:w="896" w:type="pct"/>
          </w:tcPr>
          <w:p w:rsidR="008E23D2" w:rsidRPr="00EB250D" w:rsidRDefault="008E23D2" w:rsidP="00011FE4">
            <w:pPr>
              <w:jc w:val="center"/>
              <w:rPr>
                <w:rFonts w:asciiTheme="minorHAnsi" w:hAnsiTheme="minorHAnsi" w:cs="Arial"/>
                <w:b w:val="0"/>
                <w:bCs w:val="0"/>
                <w:sz w:val="20"/>
                <w:szCs w:val="20"/>
              </w:rPr>
            </w:pPr>
            <w:r>
              <w:rPr>
                <w:rFonts w:asciiTheme="minorHAnsi" w:hAnsiTheme="minorHAnsi" w:cs="Arial"/>
                <w:sz w:val="20"/>
                <w:szCs w:val="20"/>
              </w:rPr>
              <w:t>Base Case</w:t>
            </w:r>
          </w:p>
          <w:p w:rsidR="008E23D2" w:rsidRPr="00EB250D" w:rsidRDefault="008E23D2" w:rsidP="00011FE4">
            <w:pPr>
              <w:jc w:val="center"/>
              <w:rPr>
                <w:rFonts w:asciiTheme="minorHAnsi" w:hAnsiTheme="minorHAnsi" w:cs="Arial"/>
                <w:b w:val="0"/>
                <w:bCs w:val="0"/>
                <w:sz w:val="20"/>
                <w:szCs w:val="20"/>
              </w:rPr>
            </w:pPr>
          </w:p>
        </w:tc>
        <w:tc>
          <w:tcPr>
            <w:tcW w:w="1448" w:type="pct"/>
          </w:tcPr>
          <w:p w:rsidR="008E23D2" w:rsidRPr="00EB250D" w:rsidRDefault="008E23D2" w:rsidP="00011FE4">
            <w:pPr>
              <w:jc w:val="center"/>
              <w:rPr>
                <w:rFonts w:asciiTheme="minorHAnsi" w:hAnsiTheme="minorHAnsi" w:cs="Arial"/>
                <w:b w:val="0"/>
                <w:bCs w:val="0"/>
                <w:sz w:val="20"/>
                <w:szCs w:val="20"/>
              </w:rPr>
            </w:pPr>
            <w:r>
              <w:rPr>
                <w:rFonts w:asciiTheme="minorHAnsi" w:hAnsiTheme="minorHAnsi" w:cs="Arial"/>
                <w:sz w:val="20"/>
                <w:szCs w:val="20"/>
              </w:rPr>
              <w:t>Measure Case</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Cabinet Volume (ft³)</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8.57</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8.57</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Normalized Idle Energy Rate (W/ft³)</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40.00</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6.07</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342"/>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Idle Energy Rate (kW)</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0.34</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0.05</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Operating Hours/Day</w:t>
            </w:r>
          </w:p>
        </w:tc>
        <w:tc>
          <w:tcPr>
            <w:tcW w:w="896" w:type="pct"/>
            <w:vAlign w:val="bottom"/>
          </w:tcPr>
          <w:p w:rsidR="008E23D2" w:rsidRDefault="008E23D2" w:rsidP="00011FE4">
            <w:pPr>
              <w:jc w:val="right"/>
              <w:rPr>
                <w:rFonts w:ascii="Calibri" w:hAnsi="Calibri"/>
                <w:color w:val="000000"/>
                <w:sz w:val="20"/>
                <w:szCs w:val="20"/>
              </w:rPr>
            </w:pPr>
            <w:r>
              <w:rPr>
                <w:rFonts w:ascii="Calibri" w:hAnsi="Calibri"/>
                <w:color w:val="000000"/>
                <w:sz w:val="20"/>
                <w:szCs w:val="20"/>
              </w:rPr>
              <w:t>15</w:t>
            </w:r>
          </w:p>
        </w:tc>
        <w:tc>
          <w:tcPr>
            <w:tcW w:w="1448" w:type="pct"/>
            <w:vAlign w:val="bottom"/>
          </w:tcPr>
          <w:p w:rsidR="008E23D2" w:rsidRDefault="008E23D2" w:rsidP="00011FE4">
            <w:pPr>
              <w:jc w:val="right"/>
              <w:rPr>
                <w:rFonts w:ascii="Calibri" w:hAnsi="Calibri"/>
                <w:color w:val="000000"/>
                <w:sz w:val="20"/>
                <w:szCs w:val="20"/>
              </w:rPr>
            </w:pPr>
            <w:r>
              <w:rPr>
                <w:rFonts w:ascii="Calibri" w:hAnsi="Calibri"/>
                <w:color w:val="000000"/>
                <w:sz w:val="20"/>
                <w:szCs w:val="20"/>
              </w:rPr>
              <w:t>15</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lastRenderedPageBreak/>
              <w:t>Operating Days/Year</w:t>
            </w:r>
          </w:p>
        </w:tc>
        <w:tc>
          <w:tcPr>
            <w:tcW w:w="896" w:type="pct"/>
            <w:vAlign w:val="bottom"/>
          </w:tcPr>
          <w:p w:rsidR="008E23D2" w:rsidRDefault="008E23D2" w:rsidP="00011FE4">
            <w:pPr>
              <w:jc w:val="right"/>
              <w:rPr>
                <w:rFonts w:ascii="Calibri" w:hAnsi="Calibri"/>
                <w:color w:val="000000"/>
                <w:sz w:val="20"/>
                <w:szCs w:val="20"/>
              </w:rPr>
            </w:pPr>
            <w:r>
              <w:rPr>
                <w:rFonts w:ascii="Calibri" w:hAnsi="Calibri"/>
                <w:color w:val="000000"/>
                <w:sz w:val="20"/>
                <w:szCs w:val="20"/>
              </w:rPr>
              <w:t>365</w:t>
            </w:r>
          </w:p>
        </w:tc>
        <w:tc>
          <w:tcPr>
            <w:tcW w:w="1448" w:type="pct"/>
            <w:vAlign w:val="bottom"/>
          </w:tcPr>
          <w:p w:rsidR="008E23D2" w:rsidRDefault="008E23D2" w:rsidP="00011FE4">
            <w:pPr>
              <w:jc w:val="right"/>
              <w:rPr>
                <w:rFonts w:ascii="Calibri" w:hAnsi="Calibri"/>
                <w:color w:val="000000"/>
                <w:sz w:val="20"/>
                <w:szCs w:val="20"/>
              </w:rPr>
            </w:pPr>
            <w:r>
              <w:rPr>
                <w:rFonts w:ascii="Calibri" w:hAnsi="Calibri"/>
                <w:color w:val="000000"/>
                <w:sz w:val="20"/>
                <w:szCs w:val="20"/>
              </w:rPr>
              <w:t>365</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Daily Energy Consumption (kWh)</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5.14</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0.78</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Average Demand (kW)</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0.34</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0.05</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sz w:val="20"/>
                <w:szCs w:val="20"/>
              </w:rPr>
            </w:pPr>
            <w:r>
              <w:rPr>
                <w:rFonts w:ascii="Calibri" w:hAnsi="Calibri"/>
                <w:sz w:val="20"/>
                <w:szCs w:val="20"/>
              </w:rPr>
              <w:t>Estimated Demand Reduction (kW)</w:t>
            </w:r>
          </w:p>
        </w:tc>
        <w:tc>
          <w:tcPr>
            <w:tcW w:w="896" w:type="pct"/>
            <w:vAlign w:val="bottom"/>
          </w:tcPr>
          <w:p w:rsidR="008E23D2" w:rsidRDefault="008E23D2">
            <w:pPr>
              <w:rPr>
                <w:rFonts w:ascii="Calibri" w:hAnsi="Calibri"/>
                <w:sz w:val="20"/>
                <w:szCs w:val="20"/>
              </w:rPr>
            </w:pPr>
          </w:p>
        </w:tc>
        <w:tc>
          <w:tcPr>
            <w:tcW w:w="1448" w:type="pct"/>
            <w:vAlign w:val="bottom"/>
          </w:tcPr>
          <w:p w:rsidR="008E23D2" w:rsidRDefault="008E23D2">
            <w:pPr>
              <w:jc w:val="right"/>
              <w:rPr>
                <w:rFonts w:ascii="Calibri" w:hAnsi="Calibri"/>
                <w:sz w:val="20"/>
                <w:szCs w:val="20"/>
              </w:rPr>
            </w:pPr>
            <w:r>
              <w:rPr>
                <w:rFonts w:ascii="Calibri" w:hAnsi="Calibri"/>
                <w:sz w:val="20"/>
                <w:szCs w:val="20"/>
              </w:rPr>
              <w:t>0.29092</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b/>
                <w:bCs/>
                <w:sz w:val="20"/>
                <w:szCs w:val="20"/>
              </w:rPr>
            </w:pPr>
            <w:r>
              <w:rPr>
                <w:rFonts w:ascii="Calibri" w:hAnsi="Calibri"/>
                <w:b/>
                <w:bCs/>
                <w:sz w:val="20"/>
                <w:szCs w:val="20"/>
              </w:rPr>
              <w:t>Coincident Demand Reduction (kW)</w:t>
            </w:r>
          </w:p>
        </w:tc>
        <w:tc>
          <w:tcPr>
            <w:tcW w:w="896" w:type="pct"/>
            <w:vAlign w:val="bottom"/>
          </w:tcPr>
          <w:p w:rsidR="008E23D2" w:rsidRDefault="008E23D2">
            <w:pPr>
              <w:rPr>
                <w:rFonts w:ascii="Calibri" w:hAnsi="Calibri"/>
                <w:b/>
                <w:bCs/>
                <w:sz w:val="20"/>
                <w:szCs w:val="20"/>
              </w:rPr>
            </w:pPr>
            <w:r>
              <w:rPr>
                <w:rFonts w:ascii="Calibri" w:hAnsi="Calibri"/>
                <w:b/>
                <w:bCs/>
                <w:sz w:val="20"/>
                <w:szCs w:val="20"/>
              </w:rPr>
              <w:t> </w:t>
            </w:r>
          </w:p>
        </w:tc>
        <w:tc>
          <w:tcPr>
            <w:tcW w:w="1448" w:type="pct"/>
            <w:vAlign w:val="bottom"/>
          </w:tcPr>
          <w:p w:rsidR="008E23D2" w:rsidRDefault="008E23D2">
            <w:pPr>
              <w:jc w:val="right"/>
              <w:rPr>
                <w:rFonts w:ascii="Calibri" w:hAnsi="Calibri"/>
                <w:b/>
                <w:bCs/>
                <w:sz w:val="20"/>
                <w:szCs w:val="20"/>
              </w:rPr>
            </w:pPr>
            <w:r>
              <w:rPr>
                <w:rFonts w:ascii="Calibri" w:hAnsi="Calibri"/>
                <w:b/>
                <w:bCs/>
                <w:sz w:val="20"/>
                <w:szCs w:val="20"/>
              </w:rPr>
              <w:t>0.26183</w:t>
            </w:r>
          </w:p>
        </w:tc>
      </w:tr>
      <w:tr w:rsidR="008E23D2" w:rsidRPr="00EB250D" w:rsidTr="008E23D2">
        <w:trPr>
          <w:cnfStyle w:val="000000010000" w:firstRow="0" w:lastRow="0" w:firstColumn="0" w:lastColumn="0" w:oddVBand="0" w:evenVBand="0" w:oddHBand="0" w:evenHBand="1"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color w:val="000000"/>
                <w:sz w:val="20"/>
                <w:szCs w:val="20"/>
              </w:rPr>
            </w:pPr>
            <w:r>
              <w:rPr>
                <w:rFonts w:ascii="Calibri" w:hAnsi="Calibri"/>
                <w:color w:val="000000"/>
                <w:sz w:val="20"/>
                <w:szCs w:val="20"/>
              </w:rPr>
              <w:t>Annual Energy Consumption (kWh)</w:t>
            </w:r>
          </w:p>
        </w:tc>
        <w:tc>
          <w:tcPr>
            <w:tcW w:w="896"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1,877.79</w:t>
            </w:r>
          </w:p>
        </w:tc>
        <w:tc>
          <w:tcPr>
            <w:tcW w:w="1448" w:type="pct"/>
            <w:vAlign w:val="bottom"/>
          </w:tcPr>
          <w:p w:rsidR="008E23D2" w:rsidRDefault="008E23D2">
            <w:pPr>
              <w:jc w:val="right"/>
              <w:rPr>
                <w:rFonts w:ascii="Calibri" w:hAnsi="Calibri"/>
                <w:color w:val="000000"/>
                <w:sz w:val="20"/>
                <w:szCs w:val="20"/>
              </w:rPr>
            </w:pPr>
            <w:r>
              <w:rPr>
                <w:rFonts w:ascii="Calibri" w:hAnsi="Calibri"/>
                <w:color w:val="000000"/>
                <w:sz w:val="20"/>
                <w:szCs w:val="20"/>
              </w:rPr>
              <w:t>285.01</w:t>
            </w:r>
          </w:p>
        </w:tc>
      </w:tr>
      <w:tr w:rsidR="008E23D2" w:rsidRPr="00EB250D" w:rsidTr="008E23D2">
        <w:trPr>
          <w:cnfStyle w:val="000000100000" w:firstRow="0" w:lastRow="0" w:firstColumn="0" w:lastColumn="0" w:oddVBand="0" w:evenVBand="0" w:oddHBand="1" w:evenHBand="0" w:firstRowFirstColumn="0" w:firstRowLastColumn="0" w:lastRowFirstColumn="0" w:lastRowLastColumn="0"/>
          <w:trHeight w:val="288"/>
          <w:jc w:val="center"/>
        </w:trPr>
        <w:tc>
          <w:tcPr>
            <w:tcW w:w="2655" w:type="pct"/>
            <w:vAlign w:val="bottom"/>
          </w:tcPr>
          <w:p w:rsidR="008E23D2" w:rsidRDefault="008E23D2" w:rsidP="00011FE4">
            <w:pPr>
              <w:rPr>
                <w:rFonts w:ascii="Calibri" w:hAnsi="Calibri"/>
                <w:b/>
                <w:bCs/>
                <w:sz w:val="20"/>
                <w:szCs w:val="20"/>
              </w:rPr>
            </w:pPr>
            <w:r>
              <w:rPr>
                <w:rFonts w:ascii="Calibri" w:hAnsi="Calibri"/>
                <w:b/>
                <w:bCs/>
                <w:sz w:val="20"/>
                <w:szCs w:val="20"/>
              </w:rPr>
              <w:t>Estimated Energy Savings (kWh/yr)</w:t>
            </w:r>
          </w:p>
        </w:tc>
        <w:tc>
          <w:tcPr>
            <w:tcW w:w="896" w:type="pct"/>
            <w:vAlign w:val="bottom"/>
          </w:tcPr>
          <w:p w:rsidR="008E23D2" w:rsidRDefault="008E23D2">
            <w:pPr>
              <w:rPr>
                <w:rFonts w:ascii="Calibri" w:hAnsi="Calibri"/>
                <w:b/>
                <w:bCs/>
                <w:sz w:val="20"/>
                <w:szCs w:val="20"/>
              </w:rPr>
            </w:pPr>
            <w:r>
              <w:rPr>
                <w:rFonts w:ascii="Calibri" w:hAnsi="Calibri"/>
                <w:b/>
                <w:bCs/>
                <w:sz w:val="20"/>
                <w:szCs w:val="20"/>
              </w:rPr>
              <w:t> </w:t>
            </w:r>
          </w:p>
        </w:tc>
        <w:tc>
          <w:tcPr>
            <w:tcW w:w="1448" w:type="pct"/>
            <w:vAlign w:val="bottom"/>
          </w:tcPr>
          <w:p w:rsidR="008E23D2" w:rsidRDefault="008E23D2">
            <w:pPr>
              <w:jc w:val="right"/>
              <w:rPr>
                <w:rFonts w:ascii="Calibri" w:hAnsi="Calibri"/>
                <w:b/>
                <w:bCs/>
                <w:sz w:val="20"/>
                <w:szCs w:val="20"/>
              </w:rPr>
            </w:pPr>
            <w:r>
              <w:rPr>
                <w:rFonts w:ascii="Calibri" w:hAnsi="Calibri"/>
                <w:b/>
                <w:bCs/>
                <w:sz w:val="20"/>
                <w:szCs w:val="20"/>
              </w:rPr>
              <w:t>1,592.78</w:t>
            </w:r>
          </w:p>
        </w:tc>
      </w:tr>
    </w:tbl>
    <w:p w:rsidR="00B90ADB" w:rsidRDefault="00B90ADB" w:rsidP="00B90ADB">
      <w:pPr>
        <w:rPr>
          <w:rFonts w:asciiTheme="minorHAnsi" w:hAnsiTheme="minorHAnsi" w:cs="Arial"/>
          <w:b/>
          <w:sz w:val="22"/>
          <w:szCs w:val="22"/>
        </w:rPr>
      </w:pPr>
    </w:p>
    <w:p w:rsidR="00B90ADB" w:rsidRPr="00B90ADB" w:rsidRDefault="00B90ADB" w:rsidP="00534E2F">
      <w:pPr>
        <w:rPr>
          <w:rFonts w:asciiTheme="minorHAnsi" w:hAnsiTheme="minorHAnsi"/>
          <w:sz w:val="22"/>
          <w:szCs w:val="22"/>
        </w:rPr>
      </w:pPr>
      <w:r w:rsidRPr="00B90ADB">
        <w:rPr>
          <w:rFonts w:asciiTheme="minorHAnsi" w:hAnsiTheme="minorHAnsi"/>
          <w:sz w:val="22"/>
          <w:szCs w:val="22"/>
        </w:rPr>
        <w:t>Energy usage calculations are based on 15 hours a day, 365 days per year operation at a typical temperature setting of 150°F.</w:t>
      </w:r>
    </w:p>
    <w:p w:rsidR="0026221B" w:rsidRPr="00B551A8" w:rsidRDefault="0026221B" w:rsidP="0026221B">
      <w:pPr>
        <w:rPr>
          <w:rFonts w:asciiTheme="minorHAnsi" w:hAnsiTheme="minorHAnsi" w:cstheme="minorHAnsi"/>
          <w:sz w:val="22"/>
          <w:szCs w:val="22"/>
        </w:rPr>
      </w:pPr>
    </w:p>
    <w:p w:rsidR="0026221B" w:rsidRPr="00B551A8" w:rsidRDefault="0026221B" w:rsidP="0026221B">
      <w:pPr>
        <w:rPr>
          <w:rFonts w:asciiTheme="minorHAnsi" w:hAnsiTheme="minorHAnsi" w:cstheme="minorHAnsi"/>
          <w:sz w:val="22"/>
          <w:szCs w:val="22"/>
        </w:rPr>
      </w:pPr>
      <w:r w:rsidRPr="00B551A8">
        <w:rPr>
          <w:rFonts w:asciiTheme="minorHAnsi" w:hAnsiTheme="minorHAnsi" w:cstheme="minorHAnsi"/>
          <w:sz w:val="22"/>
          <w:szCs w:val="22"/>
        </w:rPr>
        <w:t xml:space="preserve">See Attachment </w:t>
      </w:r>
      <w:r w:rsidR="00411693" w:rsidRPr="00B551A8">
        <w:rPr>
          <w:rFonts w:asciiTheme="minorHAnsi" w:hAnsiTheme="minorHAnsi" w:cstheme="minorHAnsi"/>
          <w:sz w:val="22"/>
          <w:szCs w:val="22"/>
        </w:rPr>
        <w:t>2</w:t>
      </w:r>
      <w:r w:rsidRPr="00B551A8">
        <w:rPr>
          <w:rFonts w:asciiTheme="minorHAnsi" w:hAnsiTheme="minorHAnsi" w:cstheme="minorHAnsi"/>
          <w:sz w:val="22"/>
          <w:szCs w:val="22"/>
        </w:rPr>
        <w:t xml:space="preserve"> for all calculations.</w:t>
      </w:r>
      <w:r w:rsidR="00411693" w:rsidRPr="00B551A8">
        <w:rPr>
          <w:rFonts w:asciiTheme="minorHAnsi" w:hAnsiTheme="minorHAnsi" w:cstheme="minorHAnsi"/>
          <w:sz w:val="22"/>
          <w:szCs w:val="22"/>
        </w:rPr>
        <w:t xml:space="preserve"> See Attachment 1 for a complete list of savings.</w:t>
      </w:r>
    </w:p>
    <w:p w:rsidR="00AA5ECC" w:rsidRPr="00B551A8" w:rsidRDefault="00AA5ECC" w:rsidP="00AA5ECC">
      <w:pPr>
        <w:pStyle w:val="Heading2"/>
        <w:rPr>
          <w:rFonts w:asciiTheme="minorHAnsi" w:hAnsiTheme="minorHAnsi" w:cstheme="minorHAnsi"/>
        </w:rPr>
      </w:pPr>
      <w:bookmarkStart w:id="22" w:name="_Toc326215673"/>
      <w:r w:rsidRPr="00B551A8">
        <w:rPr>
          <w:rFonts w:asciiTheme="minorHAnsi" w:hAnsiTheme="minorHAnsi" w:cstheme="minorHAnsi"/>
        </w:rPr>
        <w:t>2.2. Demand Reduction Estimation Methodologies</w:t>
      </w:r>
      <w:bookmarkEnd w:id="22"/>
    </w:p>
    <w:p w:rsidR="00A83D2F" w:rsidRPr="00B551A8" w:rsidRDefault="00B90ADB" w:rsidP="00A83D2F">
      <w:pPr>
        <w:rPr>
          <w:rFonts w:asciiTheme="minorHAnsi" w:hAnsiTheme="minorHAnsi" w:cs="Arial"/>
          <w:sz w:val="22"/>
          <w:szCs w:val="22"/>
        </w:rPr>
      </w:pPr>
      <w:r>
        <w:rPr>
          <w:rFonts w:asciiTheme="minorHAnsi" w:hAnsiTheme="minorHAnsi" w:cstheme="minorHAnsi"/>
          <w:sz w:val="22"/>
          <w:szCs w:val="22"/>
        </w:rPr>
        <w:t>A</w:t>
      </w:r>
      <w:r w:rsidR="003B4596">
        <w:rPr>
          <w:rFonts w:asciiTheme="minorHAnsi" w:hAnsiTheme="minorHAnsi" w:cstheme="minorHAnsi"/>
          <w:sz w:val="22"/>
          <w:szCs w:val="22"/>
        </w:rPr>
        <w:t xml:space="preserve"> </w:t>
      </w:r>
      <w:r>
        <w:rPr>
          <w:rFonts w:asciiTheme="minorHAnsi" w:hAnsiTheme="minorHAnsi" w:cstheme="minorHAnsi"/>
          <w:sz w:val="22"/>
          <w:szCs w:val="22"/>
        </w:rPr>
        <w:t>holding cabinet</w:t>
      </w:r>
      <w:r w:rsidR="003B4596">
        <w:rPr>
          <w:rFonts w:asciiTheme="minorHAnsi" w:hAnsiTheme="minorHAnsi" w:cstheme="minorHAnsi"/>
          <w:sz w:val="22"/>
          <w:szCs w:val="22"/>
        </w:rPr>
        <w:t>’s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r w:rsidR="00F07454">
        <w:rPr>
          <w:rFonts w:asciiTheme="minorHAnsi" w:hAnsiTheme="minorHAnsi" w:cstheme="minorHAnsi"/>
          <w:sz w:val="22"/>
          <w:szCs w:val="22"/>
        </w:rPr>
        <w:t xml:space="preserve"> </w:t>
      </w:r>
      <w:r w:rsidR="003B4596" w:rsidRPr="00B551A8">
        <w:rPr>
          <w:rFonts w:asciiTheme="minorHAnsi" w:hAnsiTheme="minorHAnsi" w:cs="Arial"/>
          <w:sz w:val="22"/>
          <w:szCs w:val="22"/>
        </w:rPr>
        <w:t>A coincidence factor of 0.9 from DEER 2005 [26] is applied to demand reduction</w:t>
      </w:r>
      <w:r>
        <w:rPr>
          <w:rFonts w:asciiTheme="minorHAnsi" w:hAnsiTheme="minorHAnsi" w:cs="Arial"/>
          <w:sz w:val="22"/>
          <w:szCs w:val="22"/>
        </w:rPr>
        <w:t>;</w:t>
      </w:r>
      <w:r w:rsidR="003B4596" w:rsidRPr="00B551A8">
        <w:rPr>
          <w:rFonts w:asciiTheme="minorHAnsi" w:hAnsiTheme="minorHAnsi" w:cs="Arial"/>
          <w:sz w:val="22"/>
          <w:szCs w:val="22"/>
        </w:rPr>
        <w:t xml:space="preserve"> </w:t>
      </w:r>
      <w:r>
        <w:rPr>
          <w:rFonts w:asciiTheme="minorHAnsi" w:hAnsiTheme="minorHAnsi" w:cs="Arial"/>
          <w:sz w:val="22"/>
          <w:szCs w:val="22"/>
        </w:rPr>
        <w:t>s</w:t>
      </w:r>
      <w:r w:rsidR="003B4596" w:rsidRPr="00B551A8">
        <w:rPr>
          <w:rFonts w:asciiTheme="minorHAnsi" w:hAnsiTheme="minorHAnsi" w:cs="Arial"/>
          <w:sz w:val="22"/>
          <w:szCs w:val="22"/>
        </w:rPr>
        <w:t>ee Section 2.1 for final values.</w:t>
      </w:r>
    </w:p>
    <w:p w:rsidR="00A83D2F" w:rsidRPr="00B551A8" w:rsidRDefault="00A83D2F" w:rsidP="00A83D2F">
      <w:pPr>
        <w:rPr>
          <w:rFonts w:asciiTheme="minorHAnsi" w:hAnsiTheme="minorHAnsi" w:cs="Arial"/>
          <w:sz w:val="22"/>
          <w:szCs w:val="22"/>
        </w:rPr>
      </w:pPr>
    </w:p>
    <w:p w:rsidR="00A83D2F" w:rsidRPr="00B551A8" w:rsidRDefault="00A83D2F" w:rsidP="00A83D2F">
      <w:pPr>
        <w:rPr>
          <w:rFonts w:asciiTheme="minorHAnsi" w:hAnsiTheme="minorHAnsi" w:cs="Arial"/>
          <w:sz w:val="22"/>
          <w:szCs w:val="22"/>
        </w:rPr>
      </w:pPr>
      <w:r w:rsidRPr="00B551A8">
        <w:rPr>
          <w:rFonts w:asciiTheme="minorHAnsi" w:hAnsiTheme="minorHAnsi"/>
          <w:noProof/>
        </w:rPr>
        <w:drawing>
          <wp:inline distT="0" distB="0" distL="0" distR="0" wp14:anchorId="09DB0F8F" wp14:editId="33F09C12">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137410"/>
                    </a:xfrm>
                    <a:prstGeom prst="rect">
                      <a:avLst/>
                    </a:prstGeom>
                    <a:ln>
                      <a:solidFill>
                        <a:schemeClr val="tx1"/>
                      </a:solidFill>
                    </a:ln>
                  </pic:spPr>
                </pic:pic>
              </a:graphicData>
            </a:graphic>
          </wp:inline>
        </w:drawing>
      </w:r>
    </w:p>
    <w:p w:rsidR="00A83D2F" w:rsidRPr="00B551A8" w:rsidRDefault="00A83D2F" w:rsidP="00A83D2F">
      <w:pPr>
        <w:pStyle w:val="Caption"/>
        <w:jc w:val="center"/>
        <w:rPr>
          <w:rFonts w:asciiTheme="minorHAnsi" w:hAnsiTheme="minorHAnsi" w:cs="Arial"/>
          <w:sz w:val="22"/>
          <w:szCs w:val="22"/>
        </w:rPr>
      </w:pPr>
      <w:r w:rsidRPr="00B551A8">
        <w:rPr>
          <w:rFonts w:asciiTheme="minorHAnsi" w:hAnsiTheme="minorHAnsi"/>
          <w:sz w:val="22"/>
          <w:szCs w:val="22"/>
        </w:rPr>
        <w:t xml:space="preserve">Figure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Figure \* ARABIC </w:instrText>
      </w:r>
      <w:r w:rsidRPr="00B551A8">
        <w:rPr>
          <w:rFonts w:asciiTheme="minorHAnsi" w:hAnsiTheme="minorHAnsi"/>
          <w:sz w:val="22"/>
          <w:szCs w:val="22"/>
        </w:rPr>
        <w:fldChar w:fldCharType="separate"/>
      </w:r>
      <w:r w:rsidR="00B90ADB">
        <w:rPr>
          <w:rFonts w:asciiTheme="minorHAnsi" w:hAnsiTheme="minorHAnsi"/>
          <w:noProof/>
          <w:sz w:val="22"/>
          <w:szCs w:val="22"/>
        </w:rPr>
        <w:t>1</w:t>
      </w:r>
      <w:r w:rsidRPr="00B551A8">
        <w:rPr>
          <w:rFonts w:asciiTheme="minorHAnsi" w:hAnsiTheme="minorHAnsi"/>
          <w:sz w:val="22"/>
          <w:szCs w:val="22"/>
        </w:rPr>
        <w:fldChar w:fldCharType="end"/>
      </w:r>
      <w:r w:rsidRPr="00B551A8">
        <w:rPr>
          <w:rFonts w:asciiTheme="minorHAnsi" w:hAnsiTheme="minorHAnsi"/>
          <w:sz w:val="22"/>
          <w:szCs w:val="22"/>
        </w:rPr>
        <w:t xml:space="preserve"> DEER 2005 Cooking Coincidence Factor</w:t>
      </w:r>
    </w:p>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3.</w:t>
      </w:r>
      <w:proofErr w:type="gramEnd"/>
      <w:r w:rsidRPr="00B551A8">
        <w:rPr>
          <w:rFonts w:asciiTheme="minorHAnsi" w:hAnsiTheme="minorHAnsi" w:cstheme="minorHAnsi"/>
        </w:rPr>
        <w:t xml:space="preserve"> Load Shape</w:t>
      </w:r>
      <w:bookmarkEnd w:id="17"/>
      <w:r w:rsidRPr="00B551A8">
        <w:rPr>
          <w:rFonts w:asciiTheme="minorHAnsi" w:hAnsiTheme="minorHAnsi" w:cstheme="minorHAnsi"/>
        </w:rPr>
        <w:t>s</w:t>
      </w:r>
    </w:p>
    <w:p w:rsidR="00E16609" w:rsidRPr="00B551A8" w:rsidRDefault="00E16609" w:rsidP="00E16609">
      <w:pPr>
        <w:rPr>
          <w:rFonts w:asciiTheme="minorHAnsi" w:hAnsiTheme="minorHAnsi" w:cstheme="minorHAnsi"/>
          <w:sz w:val="22"/>
          <w:szCs w:val="22"/>
        </w:rPr>
      </w:pPr>
      <w:r w:rsidRPr="00B551A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XE "load shape" </w:instrTex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the closest load shape chosen for this measure is the </w:t>
      </w:r>
      <w:r w:rsidR="003F0623" w:rsidRPr="00B551A8">
        <w:rPr>
          <w:rFonts w:asciiTheme="minorHAnsi" w:hAnsiTheme="minorHAnsi" w:cstheme="minorHAnsi"/>
          <w:sz w:val="22"/>
          <w:szCs w:val="22"/>
        </w:rPr>
        <w:t xml:space="preserve">DEER:Indoor_Non-CFL_Ltg </w:t>
      </w:r>
      <w:r w:rsidRPr="00B551A8">
        <w:rPr>
          <w:rFonts w:asciiTheme="minorHAnsi" w:hAnsiTheme="minorHAnsi" w:cstheme="minorHAnsi"/>
          <w:sz w:val="22"/>
          <w:szCs w:val="22"/>
        </w:rPr>
        <w:t>load shape.  See</w:t>
      </w:r>
      <w:r w:rsidR="00C5179F" w:rsidRPr="00B551A8">
        <w:rPr>
          <w:rFonts w:asciiTheme="minorHAnsi" w:hAnsiTheme="minorHAnsi" w:cstheme="minorHAnsi"/>
          <w:sz w:val="22"/>
          <w:szCs w:val="22"/>
        </w:rPr>
        <w:t xml:space="preserve"> </w:t>
      </w:r>
      <w:r w:rsidR="00C5179F" w:rsidRPr="00B551A8">
        <w:rPr>
          <w:rFonts w:asciiTheme="minorHAnsi" w:hAnsiTheme="minorHAnsi" w:cstheme="minorHAnsi"/>
          <w:sz w:val="22"/>
          <w:szCs w:val="22"/>
        </w:rPr>
        <w:fldChar w:fldCharType="begin"/>
      </w:r>
      <w:r w:rsidR="00C5179F" w:rsidRPr="00B551A8">
        <w:rPr>
          <w:rFonts w:asciiTheme="minorHAnsi" w:hAnsiTheme="minorHAnsi" w:cstheme="minorHAnsi"/>
          <w:sz w:val="22"/>
          <w:szCs w:val="22"/>
        </w:rPr>
        <w:instrText xml:space="preserve"> REF _Ref390773894 \h </w:instrText>
      </w:r>
      <w:r w:rsidR="00D67BCF" w:rsidRPr="00B551A8">
        <w:rPr>
          <w:rFonts w:asciiTheme="minorHAnsi" w:hAnsiTheme="minorHAnsi" w:cstheme="minorHAnsi"/>
          <w:sz w:val="22"/>
          <w:szCs w:val="22"/>
        </w:rPr>
        <w:instrText xml:space="preserve"> \* MERGEFORMAT </w:instrText>
      </w:r>
      <w:r w:rsidR="00C5179F" w:rsidRPr="00B551A8">
        <w:rPr>
          <w:rFonts w:asciiTheme="minorHAnsi" w:hAnsiTheme="minorHAnsi" w:cstheme="minorHAnsi"/>
          <w:sz w:val="22"/>
          <w:szCs w:val="22"/>
        </w:rPr>
      </w:r>
      <w:r w:rsidR="00C5179F" w:rsidRPr="00B551A8">
        <w:rPr>
          <w:rFonts w:asciiTheme="minorHAnsi" w:hAnsiTheme="minorHAnsi" w:cstheme="minorHAnsi"/>
          <w:sz w:val="22"/>
          <w:szCs w:val="22"/>
        </w:rPr>
        <w:fldChar w:fldCharType="separate"/>
      </w:r>
      <w:r w:rsidR="00B90ADB" w:rsidRPr="00534E2F">
        <w:rPr>
          <w:rFonts w:asciiTheme="minorHAnsi" w:hAnsiTheme="minorHAnsi" w:cstheme="minorHAnsi"/>
          <w:sz w:val="22"/>
          <w:szCs w:val="22"/>
        </w:rPr>
        <w:t xml:space="preserve">Table </w:t>
      </w:r>
      <w:r w:rsidR="00B90ADB">
        <w:rPr>
          <w:rFonts w:asciiTheme="minorHAnsi" w:hAnsiTheme="minorHAnsi" w:cstheme="minorHAnsi"/>
          <w:sz w:val="22"/>
          <w:szCs w:val="22"/>
        </w:rPr>
        <w:t>11</w:t>
      </w:r>
      <w:r w:rsidR="00C5179F"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B75449" w:rsidRPr="00B551A8" w:rsidRDefault="00B75449" w:rsidP="00E16609">
      <w:pPr>
        <w:rPr>
          <w:rFonts w:asciiTheme="minorHAnsi" w:hAnsiTheme="minorHAnsi" w:cstheme="minorHAnsi"/>
          <w:sz w:val="22"/>
          <w:szCs w:val="22"/>
        </w:rPr>
      </w:pPr>
    </w:p>
    <w:p w:rsidR="00FA3A8B" w:rsidRDefault="00FA3A8B" w:rsidP="00C5179F">
      <w:pPr>
        <w:pStyle w:val="Caption"/>
        <w:jc w:val="center"/>
        <w:rPr>
          <w:rFonts w:asciiTheme="minorHAnsi" w:hAnsiTheme="minorHAnsi" w:cstheme="minorHAnsi"/>
          <w:sz w:val="22"/>
          <w:szCs w:val="22"/>
        </w:rPr>
      </w:pPr>
      <w:bookmarkStart w:id="23" w:name="_Ref390773894"/>
    </w:p>
    <w:p w:rsidR="00E16609" w:rsidRPr="00B551A8" w:rsidRDefault="00C5179F" w:rsidP="00C5179F">
      <w:pPr>
        <w:pStyle w:val="Caption"/>
        <w:jc w:val="center"/>
        <w:rPr>
          <w:rFonts w:asciiTheme="minorHAnsi" w:hAnsiTheme="minorHAnsi" w:cstheme="minorHAnsi"/>
          <w:b w:val="0"/>
          <w:sz w:val="22"/>
          <w:szCs w:val="22"/>
        </w:rPr>
      </w:pPr>
      <w:r w:rsidRPr="00534E2F">
        <w:rPr>
          <w:rFonts w:asciiTheme="minorHAnsi" w:hAnsiTheme="minorHAnsi" w:cstheme="minorHAnsi"/>
          <w:sz w:val="22"/>
          <w:szCs w:val="22"/>
        </w:rPr>
        <w:lastRenderedPageBreak/>
        <w:t xml:space="preserve">Table </w:t>
      </w:r>
      <w:r w:rsidRPr="00534E2F">
        <w:rPr>
          <w:rFonts w:asciiTheme="minorHAnsi" w:hAnsiTheme="minorHAnsi" w:cstheme="minorHAnsi"/>
          <w:sz w:val="22"/>
          <w:szCs w:val="22"/>
        </w:rPr>
        <w:fldChar w:fldCharType="begin"/>
      </w:r>
      <w:r w:rsidRPr="00534E2F">
        <w:rPr>
          <w:rFonts w:asciiTheme="minorHAnsi" w:hAnsiTheme="minorHAnsi" w:cstheme="minorHAnsi"/>
          <w:sz w:val="22"/>
          <w:szCs w:val="22"/>
        </w:rPr>
        <w:instrText xml:space="preserve"> SEQ Table \* ARABIC </w:instrText>
      </w:r>
      <w:r w:rsidRPr="00534E2F">
        <w:rPr>
          <w:rFonts w:asciiTheme="minorHAnsi" w:hAnsiTheme="minorHAnsi" w:cstheme="minorHAnsi"/>
          <w:sz w:val="22"/>
          <w:szCs w:val="22"/>
        </w:rPr>
        <w:fldChar w:fldCharType="separate"/>
      </w:r>
      <w:r w:rsidR="00B90ADB">
        <w:rPr>
          <w:rFonts w:asciiTheme="minorHAnsi" w:hAnsiTheme="minorHAnsi" w:cstheme="minorHAnsi"/>
          <w:noProof/>
          <w:sz w:val="22"/>
          <w:szCs w:val="22"/>
        </w:rPr>
        <w:t>11</w:t>
      </w:r>
      <w:r w:rsidRPr="00534E2F">
        <w:rPr>
          <w:rFonts w:asciiTheme="minorHAnsi" w:hAnsiTheme="minorHAnsi" w:cstheme="minorHAnsi"/>
          <w:sz w:val="22"/>
          <w:szCs w:val="22"/>
        </w:rPr>
        <w:fldChar w:fldCharType="end"/>
      </w:r>
      <w:bookmarkEnd w:id="23"/>
      <w:r w:rsidRPr="00534E2F">
        <w:rPr>
          <w:rFonts w:asciiTheme="minorHAnsi" w:hAnsiTheme="minorHAnsi" w:cstheme="minorHAnsi"/>
          <w:sz w:val="22"/>
          <w:szCs w:val="22"/>
        </w:rPr>
        <w:t xml:space="preserve"> </w:t>
      </w:r>
      <w:r w:rsidR="002A3D26" w:rsidRPr="00B551A8">
        <w:rPr>
          <w:rFonts w:asciiTheme="minorHAnsi" w:hAnsiTheme="minorHAnsi" w:cstheme="minorHAnsi"/>
          <w:sz w:val="22"/>
          <w:szCs w:val="22"/>
        </w:rPr>
        <w:t>Building Types</w:t>
      </w:r>
      <w:r w:rsidR="00E16609" w:rsidRPr="00B551A8">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B551A8"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B551A8" w:rsidRDefault="001E53D0" w:rsidP="001E53D0">
            <w:pPr>
              <w:jc w:val="center"/>
              <w:rPr>
                <w:rFonts w:asciiTheme="minorHAnsi" w:hAnsiTheme="minorHAnsi" w:cstheme="minorHAnsi"/>
                <w:sz w:val="20"/>
                <w:szCs w:val="20"/>
                <w:highlight w:val="yellow"/>
              </w:rPr>
            </w:pPr>
            <w:bookmarkStart w:id="24" w:name="_Toc214003096"/>
            <w:r w:rsidRPr="00B551A8">
              <w:rPr>
                <w:rFonts w:asciiTheme="minorHAnsi" w:hAnsiTheme="minorHAnsi" w:cstheme="minorHAnsi"/>
                <w:sz w:val="20"/>
                <w:szCs w:val="20"/>
              </w:rPr>
              <w:t>Building Type</w:t>
            </w:r>
          </w:p>
        </w:tc>
        <w:tc>
          <w:tcPr>
            <w:tcW w:w="1384"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E3 Alt.</w:t>
            </w:r>
          </w:p>
          <w:p w:rsidR="001E53D0" w:rsidRPr="00B551A8" w:rsidRDefault="001E53D0" w:rsidP="001E53D0">
            <w:pPr>
              <w:jc w:val="center"/>
              <w:rPr>
                <w:rFonts w:asciiTheme="minorHAnsi" w:hAnsiTheme="minorHAnsi" w:cstheme="minorHAnsi"/>
                <w:sz w:val="20"/>
                <w:szCs w:val="20"/>
                <w:highlight w:val="yellow"/>
              </w:rPr>
            </w:pPr>
            <w:r w:rsidRPr="00B551A8">
              <w:rPr>
                <w:rFonts w:asciiTheme="minorHAnsi" w:hAnsiTheme="minorHAnsi" w:cstheme="minorHAnsi"/>
                <w:sz w:val="20"/>
                <w:szCs w:val="20"/>
              </w:rPr>
              <w:t>Building Type</w:t>
            </w:r>
          </w:p>
        </w:tc>
        <w:tc>
          <w:tcPr>
            <w:tcW w:w="1619"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Load Shape</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Education - Community College</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Education - Primary School</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Education - Secondary School</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Education - University</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BD6511">
        <w:trPr>
          <w:cnfStyle w:val="000000100000" w:firstRow="0" w:lastRow="0" w:firstColumn="0" w:lastColumn="0" w:oddVBand="0" w:evenVBand="0" w:oddHBand="1" w:evenHBand="0" w:firstRowFirstColumn="0" w:firstRowLastColumn="0" w:lastRowFirstColumn="0" w:lastRowLastColumn="0"/>
          <w:trHeight w:val="35"/>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Health/Medical - Nursing Home</w:t>
            </w:r>
          </w:p>
        </w:tc>
        <w:tc>
          <w:tcPr>
            <w:tcW w:w="1384"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061E9E">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Industrial</w:t>
            </w:r>
          </w:p>
        </w:tc>
        <w:tc>
          <w:tcPr>
            <w:tcW w:w="1384"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061E9E">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Lodging - Hotel</w:t>
            </w:r>
          </w:p>
        </w:tc>
        <w:tc>
          <w:tcPr>
            <w:tcW w:w="1384"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171"/>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Lodging - Motel</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217"/>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Manufacturing - Bio/Tech</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Manufacturing - Light Industrial</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Misc - Commercial</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Office - Large</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Restaurant - Fast-Food</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Restaurant - Sit-Down</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AA3F27"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AA3F27" w:rsidRPr="002A711D" w:rsidRDefault="00AA3F27" w:rsidP="009A5397">
            <w:pPr>
              <w:rPr>
                <w:rFonts w:asciiTheme="minorHAnsi" w:hAnsiTheme="minorHAnsi" w:cstheme="minorHAnsi"/>
                <w:sz w:val="20"/>
              </w:rPr>
            </w:pPr>
            <w:r w:rsidRPr="002A711D">
              <w:rPr>
                <w:rFonts w:asciiTheme="minorHAnsi" w:hAnsiTheme="minorHAnsi" w:cstheme="minorHAnsi"/>
                <w:sz w:val="20"/>
              </w:rPr>
              <w:t>Retail - Multistory Large</w:t>
            </w:r>
          </w:p>
        </w:tc>
        <w:tc>
          <w:tcPr>
            <w:tcW w:w="1384"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AA3F27" w:rsidRDefault="00AA3F27">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bl>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4.</w:t>
      </w:r>
      <w:proofErr w:type="gramEnd"/>
      <w:r w:rsidRPr="00B551A8">
        <w:rPr>
          <w:rFonts w:asciiTheme="minorHAnsi" w:hAnsiTheme="minorHAnsi" w:cstheme="minorHAnsi"/>
        </w:rPr>
        <w:t xml:space="preserve"> Base Case &amp; Measure Costs</w:t>
      </w:r>
      <w:bookmarkEnd w:id="24"/>
    </w:p>
    <w:p w:rsidR="001E53D0" w:rsidRPr="00B551A8" w:rsidRDefault="001E53D0" w:rsidP="001E53D0">
      <w:pPr>
        <w:autoSpaceDE w:val="0"/>
        <w:autoSpaceDN w:val="0"/>
        <w:adjustRightInd w:val="0"/>
        <w:rPr>
          <w:rFonts w:asciiTheme="minorHAnsi" w:hAnsiTheme="minorHAnsi" w:cstheme="minorHAnsi"/>
          <w:sz w:val="22"/>
          <w:szCs w:val="22"/>
        </w:rPr>
      </w:pPr>
      <w:bookmarkStart w:id="25" w:name="_MON_1399297811"/>
      <w:bookmarkStart w:id="26" w:name="_Toc214003097"/>
      <w:bookmarkStart w:id="27" w:name="_Toc214003098"/>
      <w:bookmarkEnd w:id="25"/>
      <w:r w:rsidRPr="00B551A8">
        <w:rPr>
          <w:rFonts w:asciiTheme="minorHAnsi" w:hAnsiTheme="minorHAnsi" w:cstheme="minorHAnsi"/>
          <w:sz w:val="22"/>
          <w:szCs w:val="22"/>
        </w:rPr>
        <w:t xml:space="preserve">High-efficiency </w:t>
      </w:r>
      <w:r w:rsidR="00F07454">
        <w:rPr>
          <w:rFonts w:asciiTheme="minorHAnsi" w:hAnsiTheme="minorHAnsi" w:cstheme="minorHAnsi"/>
          <w:sz w:val="22"/>
          <w:szCs w:val="22"/>
        </w:rPr>
        <w:t>holding cabinet</w:t>
      </w:r>
      <w:r w:rsidR="00374665">
        <w:rPr>
          <w:rFonts w:asciiTheme="minorHAnsi" w:hAnsiTheme="minorHAnsi" w:cstheme="minorHAnsi"/>
          <w:sz w:val="22"/>
          <w:szCs w:val="22"/>
        </w:rPr>
        <w:t>s</w:t>
      </w:r>
      <w:r w:rsidRPr="00B551A8">
        <w:rPr>
          <w:rFonts w:asciiTheme="minorHAnsi" w:hAnsiTheme="minorHAnsi" w:cstheme="minorHAnsi"/>
          <w:sz w:val="22"/>
          <w:szCs w:val="22"/>
        </w:rPr>
        <w:t xml:space="preserve"> typically have a higher list price than standard efficiency </w:t>
      </w:r>
      <w:r w:rsidR="00F07454">
        <w:rPr>
          <w:rFonts w:asciiTheme="minorHAnsi" w:hAnsiTheme="minorHAnsi" w:cstheme="minorHAnsi"/>
          <w:sz w:val="22"/>
          <w:szCs w:val="22"/>
        </w:rPr>
        <w:t>holding cabinet</w:t>
      </w:r>
      <w:r w:rsidR="009268EB">
        <w:rPr>
          <w:rFonts w:asciiTheme="minorHAnsi" w:hAnsiTheme="minorHAnsi" w:cstheme="minorHAnsi"/>
          <w:sz w:val="22"/>
          <w:szCs w:val="22"/>
        </w:rPr>
        <w:t>s</w:t>
      </w:r>
      <w:r w:rsidRPr="00B551A8">
        <w:rPr>
          <w:rFonts w:asciiTheme="minorHAnsi" w:hAnsiTheme="minorHAnsi" w:cstheme="minorHAnsi"/>
          <w:sz w:val="22"/>
          <w:szCs w:val="22"/>
        </w:rPr>
        <w:t xml:space="preserve">. However, high-efficiency designs are often bundled with other features such as all stainless steel construction and high quality components and controls. In addition to lower operating costs, high-efficiency </w:t>
      </w:r>
      <w:r w:rsidR="00F07454">
        <w:rPr>
          <w:rFonts w:asciiTheme="minorHAnsi" w:hAnsiTheme="minorHAnsi" w:cstheme="minorHAnsi"/>
          <w:sz w:val="22"/>
          <w:szCs w:val="22"/>
        </w:rPr>
        <w:t>holding cabinets</w:t>
      </w:r>
      <w:r w:rsidRPr="00B551A8">
        <w:rPr>
          <w:rFonts w:asciiTheme="minorHAnsi" w:hAnsiTheme="minorHAnsi" w:cstheme="minorHAnsi"/>
          <w:sz w:val="22"/>
          <w:szCs w:val="22"/>
        </w:rPr>
        <w:t xml:space="preserve"> exhibit better uniformity and higher production rates that inc</w:t>
      </w:r>
      <w:r w:rsidR="00B551A8" w:rsidRPr="00B551A8">
        <w:rPr>
          <w:rFonts w:asciiTheme="minorHAnsi" w:hAnsiTheme="minorHAnsi" w:cstheme="minorHAnsi"/>
          <w:sz w:val="22"/>
          <w:szCs w:val="22"/>
        </w:rPr>
        <w:t>rease their cost-effectiveness.</w:t>
      </w:r>
    </w:p>
    <w:p w:rsidR="0081052E" w:rsidRPr="00B551A8" w:rsidRDefault="0081052E" w:rsidP="0081052E">
      <w:pPr>
        <w:pStyle w:val="Heading2"/>
        <w:rPr>
          <w:rFonts w:asciiTheme="minorHAnsi" w:hAnsiTheme="minorHAnsi" w:cstheme="minorHAnsi"/>
        </w:rPr>
      </w:pPr>
      <w:r w:rsidRPr="00B551A8">
        <w:rPr>
          <w:rFonts w:asciiTheme="minorHAnsi" w:hAnsiTheme="minorHAnsi" w:cstheme="minorHAnsi"/>
        </w:rPr>
        <w:t>4.1 Base Case Cost</w:t>
      </w:r>
      <w:bookmarkEnd w:id="26"/>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Base case costs are calculated by applying an industry-standard 50% discount to manufacturer published list prices. It is assumed that the labor cost is the same in base and measure cases, so only equipment costs are presented here.</w:t>
      </w:r>
    </w:p>
    <w:p w:rsidR="00A83D2F" w:rsidRPr="00B551A8" w:rsidRDefault="00A83D2F" w:rsidP="00A83D2F">
      <w:pPr>
        <w:pStyle w:val="Reminders"/>
        <w:rPr>
          <w:rFonts w:asciiTheme="minorHAnsi" w:hAnsiTheme="minorHAnsi" w:cstheme="minorHAnsi"/>
          <w:i w:val="0"/>
          <w:color w:val="auto"/>
          <w:sz w:val="22"/>
          <w:szCs w:val="22"/>
        </w:rPr>
      </w:pPr>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rsidR="0081052E" w:rsidRPr="00B551A8" w:rsidRDefault="0081052E" w:rsidP="001E53D0">
      <w:pPr>
        <w:pStyle w:val="Heading2"/>
        <w:rPr>
          <w:rFonts w:asciiTheme="minorHAnsi" w:hAnsiTheme="minorHAnsi" w:cstheme="minorHAnsi"/>
        </w:rPr>
      </w:pPr>
      <w:r w:rsidRPr="00B551A8">
        <w:rPr>
          <w:rFonts w:asciiTheme="minorHAnsi" w:hAnsiTheme="minorHAnsi" w:cstheme="minorHAnsi"/>
        </w:rPr>
        <w:lastRenderedPageBreak/>
        <w:t>4.2 Gross Measure Cost</w:t>
      </w: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i/>
          <w:sz w:val="22"/>
          <w:szCs w:val="22"/>
        </w:rPr>
      </w:pPr>
      <w:r w:rsidRPr="00B551A8">
        <w:rPr>
          <w:rFonts w:asciiTheme="minorHAnsi" w:hAnsiTheme="minorHAnsi" w:cstheme="minorHAnsi"/>
          <w:i/>
          <w:sz w:val="22"/>
          <w:szCs w:val="22"/>
        </w:rPr>
        <w:tab/>
        <w:t>Gross Measure Cost = Measure Case Material Cost – Base Case Material Cost</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90ADB" w:rsidRPr="00B551A8">
        <w:rPr>
          <w:rFonts w:asciiTheme="minorHAnsi" w:hAnsiTheme="minorHAnsi"/>
          <w:sz w:val="22"/>
          <w:szCs w:val="22"/>
        </w:rPr>
        <w:t xml:space="preserve">Table </w:t>
      </w:r>
      <w:r w:rsidR="00B90ADB">
        <w:rPr>
          <w:rFonts w:asciiTheme="minorHAnsi" w:hAnsiTheme="minorHAnsi"/>
          <w:noProof/>
          <w:sz w:val="22"/>
          <w:szCs w:val="22"/>
        </w:rPr>
        <w:t>12</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shows the calculation of gross measure cost:</w:t>
      </w:r>
    </w:p>
    <w:p w:rsidR="0081052E" w:rsidRPr="00B551A8" w:rsidRDefault="0081052E" w:rsidP="0081052E">
      <w:pPr>
        <w:keepNext/>
        <w:rPr>
          <w:rFonts w:asciiTheme="minorHAnsi" w:hAnsiTheme="minorHAnsi" w:cstheme="minorHAnsi"/>
        </w:rPr>
      </w:pPr>
    </w:p>
    <w:p w:rsidR="0081052E" w:rsidRPr="00B551A8" w:rsidRDefault="00C5179F" w:rsidP="00C5179F">
      <w:pPr>
        <w:pStyle w:val="Caption"/>
        <w:jc w:val="center"/>
        <w:rPr>
          <w:rFonts w:asciiTheme="minorHAnsi" w:hAnsiTheme="minorHAnsi" w:cstheme="minorHAnsi"/>
          <w:sz w:val="22"/>
          <w:szCs w:val="22"/>
        </w:rPr>
      </w:pPr>
      <w:bookmarkStart w:id="28" w:name="_Ref390780181"/>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90ADB">
        <w:rPr>
          <w:rFonts w:asciiTheme="minorHAnsi" w:hAnsiTheme="minorHAnsi"/>
          <w:noProof/>
          <w:sz w:val="22"/>
          <w:szCs w:val="22"/>
        </w:rPr>
        <w:t>12</w:t>
      </w:r>
      <w:r w:rsidRPr="00B551A8">
        <w:rPr>
          <w:rFonts w:asciiTheme="minorHAnsi" w:hAnsiTheme="minorHAnsi"/>
          <w:sz w:val="22"/>
          <w:szCs w:val="22"/>
        </w:rPr>
        <w:fldChar w:fldCharType="end"/>
      </w:r>
      <w:bookmarkEnd w:id="28"/>
      <w:r w:rsidRPr="00B551A8">
        <w:rPr>
          <w:rFonts w:asciiTheme="minorHAnsi" w:hAnsiTheme="minorHAnsi"/>
          <w:sz w:val="22"/>
          <w:szCs w:val="22"/>
        </w:rPr>
        <w:t xml:space="preserve"> </w:t>
      </w:r>
      <w:r w:rsidR="00EC11B9" w:rsidRPr="00B551A8">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2125"/>
        <w:gridCol w:w="1349"/>
        <w:gridCol w:w="1544"/>
        <w:gridCol w:w="1319"/>
        <w:gridCol w:w="1319"/>
        <w:gridCol w:w="1633"/>
      </w:tblGrid>
      <w:tr w:rsidR="009268EB" w:rsidRPr="00F07454" w:rsidTr="009268EB">
        <w:trPr>
          <w:cnfStyle w:val="100000000000" w:firstRow="1" w:lastRow="0" w:firstColumn="0" w:lastColumn="0" w:oddVBand="0" w:evenVBand="0" w:oddHBand="0" w:evenHBand="0" w:firstRowFirstColumn="0" w:firstRowLastColumn="0" w:lastRowFirstColumn="0" w:lastRowLastColumn="0"/>
          <w:trHeight w:val="780"/>
          <w:jc w:val="center"/>
        </w:trPr>
        <w:tc>
          <w:tcPr>
            <w:tcW w:w="1144" w:type="pct"/>
          </w:tcPr>
          <w:p w:rsidR="009268EB" w:rsidRPr="00F07454" w:rsidRDefault="00F07454">
            <w:pPr>
              <w:jc w:val="center"/>
              <w:rPr>
                <w:rFonts w:asciiTheme="minorHAnsi" w:hAnsiTheme="minorHAnsi" w:cs="Arial"/>
                <w:bCs w:val="0"/>
                <w:color w:val="000000"/>
                <w:sz w:val="20"/>
                <w:szCs w:val="20"/>
              </w:rPr>
            </w:pPr>
            <w:r>
              <w:rPr>
                <w:rFonts w:asciiTheme="minorHAnsi" w:hAnsiTheme="minorHAnsi" w:cs="Arial"/>
                <w:bCs w:val="0"/>
                <w:color w:val="000000"/>
                <w:sz w:val="20"/>
                <w:szCs w:val="20"/>
              </w:rPr>
              <w:t>Holding Cabinet</w:t>
            </w:r>
            <w:r w:rsidR="009268EB" w:rsidRPr="00F07454">
              <w:rPr>
                <w:rFonts w:asciiTheme="minorHAnsi" w:hAnsiTheme="minorHAnsi" w:cs="Arial"/>
                <w:bCs w:val="0"/>
                <w:color w:val="000000"/>
                <w:sz w:val="20"/>
                <w:szCs w:val="20"/>
              </w:rPr>
              <w:t xml:space="preserve"> Type</w:t>
            </w:r>
          </w:p>
        </w:tc>
        <w:tc>
          <w:tcPr>
            <w:tcW w:w="726" w:type="pct"/>
          </w:tcPr>
          <w:p w:rsidR="009268EB" w:rsidRPr="00F07454" w:rsidRDefault="009268EB">
            <w:pPr>
              <w:jc w:val="center"/>
              <w:rPr>
                <w:rFonts w:asciiTheme="minorHAnsi" w:hAnsiTheme="minorHAnsi" w:cs="Arial"/>
                <w:bCs w:val="0"/>
                <w:color w:val="000000"/>
                <w:sz w:val="20"/>
                <w:szCs w:val="20"/>
              </w:rPr>
            </w:pPr>
            <w:r w:rsidRPr="00F07454">
              <w:rPr>
                <w:rFonts w:asciiTheme="minorHAnsi" w:hAnsiTheme="minorHAnsi" w:cs="Arial"/>
                <w:bCs w:val="0"/>
                <w:color w:val="000000"/>
                <w:sz w:val="20"/>
                <w:szCs w:val="20"/>
              </w:rPr>
              <w:t>Baseline Unit Price</w:t>
            </w:r>
          </w:p>
        </w:tc>
        <w:tc>
          <w:tcPr>
            <w:tcW w:w="831" w:type="pct"/>
          </w:tcPr>
          <w:p w:rsidR="009268EB" w:rsidRPr="00F07454" w:rsidRDefault="009268EB">
            <w:pPr>
              <w:jc w:val="center"/>
              <w:rPr>
                <w:rFonts w:asciiTheme="minorHAnsi" w:hAnsiTheme="minorHAnsi" w:cs="Arial"/>
                <w:bCs w:val="0"/>
                <w:color w:val="000000"/>
                <w:sz w:val="20"/>
                <w:szCs w:val="20"/>
              </w:rPr>
            </w:pPr>
            <w:r w:rsidRPr="00F07454">
              <w:rPr>
                <w:rFonts w:asciiTheme="minorHAnsi" w:hAnsiTheme="minorHAnsi" w:cs="Arial"/>
                <w:bCs w:val="0"/>
                <w:color w:val="000000"/>
                <w:sz w:val="20"/>
                <w:szCs w:val="20"/>
              </w:rPr>
              <w:t>Energy Efficient Unit Price</w:t>
            </w:r>
          </w:p>
        </w:tc>
        <w:tc>
          <w:tcPr>
            <w:tcW w:w="710" w:type="pct"/>
          </w:tcPr>
          <w:p w:rsidR="009268EB" w:rsidRPr="00F07454" w:rsidRDefault="009268EB">
            <w:pPr>
              <w:jc w:val="center"/>
              <w:rPr>
                <w:rFonts w:asciiTheme="minorHAnsi" w:hAnsiTheme="minorHAnsi" w:cs="Arial"/>
                <w:bCs w:val="0"/>
                <w:color w:val="000000"/>
                <w:sz w:val="20"/>
                <w:szCs w:val="20"/>
              </w:rPr>
            </w:pPr>
            <w:r w:rsidRPr="00F07454">
              <w:rPr>
                <w:rFonts w:asciiTheme="minorHAnsi" w:hAnsiTheme="minorHAnsi" w:cs="Arial"/>
                <w:bCs w:val="0"/>
                <w:color w:val="000000"/>
                <w:sz w:val="20"/>
                <w:szCs w:val="20"/>
              </w:rPr>
              <w:t>Baseline Unit Cost</w:t>
            </w:r>
          </w:p>
        </w:tc>
        <w:tc>
          <w:tcPr>
            <w:tcW w:w="710" w:type="pct"/>
          </w:tcPr>
          <w:p w:rsidR="009268EB" w:rsidRPr="00F07454" w:rsidRDefault="009268EB">
            <w:pPr>
              <w:jc w:val="center"/>
              <w:rPr>
                <w:rFonts w:asciiTheme="minorHAnsi" w:hAnsiTheme="minorHAnsi" w:cs="Arial"/>
                <w:bCs w:val="0"/>
                <w:color w:val="000000"/>
                <w:sz w:val="20"/>
                <w:szCs w:val="20"/>
              </w:rPr>
            </w:pPr>
            <w:r w:rsidRPr="00F07454">
              <w:rPr>
                <w:rFonts w:asciiTheme="minorHAnsi" w:hAnsiTheme="minorHAnsi" w:cs="Arial"/>
                <w:bCs w:val="0"/>
                <w:color w:val="000000"/>
                <w:sz w:val="20"/>
                <w:szCs w:val="20"/>
              </w:rPr>
              <w:t>Energy Efficient Unit Cost</w:t>
            </w:r>
          </w:p>
        </w:tc>
        <w:tc>
          <w:tcPr>
            <w:tcW w:w="879" w:type="pct"/>
          </w:tcPr>
          <w:p w:rsidR="009268EB" w:rsidRPr="00F07454" w:rsidRDefault="009268EB">
            <w:pPr>
              <w:jc w:val="center"/>
              <w:rPr>
                <w:rFonts w:asciiTheme="minorHAnsi" w:hAnsiTheme="minorHAnsi" w:cs="Arial"/>
                <w:bCs w:val="0"/>
                <w:color w:val="000000"/>
                <w:sz w:val="20"/>
                <w:szCs w:val="20"/>
              </w:rPr>
            </w:pPr>
            <w:r w:rsidRPr="00F07454">
              <w:rPr>
                <w:rFonts w:asciiTheme="minorHAnsi" w:hAnsiTheme="minorHAnsi" w:cs="Arial"/>
                <w:bCs w:val="0"/>
                <w:color w:val="000000"/>
                <w:sz w:val="20"/>
                <w:szCs w:val="20"/>
              </w:rPr>
              <w:t>Incremental Measure Cost (IMC)</w:t>
            </w:r>
          </w:p>
        </w:tc>
      </w:tr>
      <w:tr w:rsidR="00F07454" w:rsidRPr="00F07454" w:rsidTr="009A5397">
        <w:trPr>
          <w:cnfStyle w:val="000000100000" w:firstRow="0" w:lastRow="0" w:firstColumn="0" w:lastColumn="0" w:oddVBand="0" w:evenVBand="0" w:oddHBand="1" w:evenHBand="0" w:firstRowFirstColumn="0" w:firstRowLastColumn="0" w:lastRowFirstColumn="0" w:lastRowLastColumn="0"/>
          <w:trHeight w:val="300"/>
          <w:jc w:val="center"/>
        </w:trPr>
        <w:tc>
          <w:tcPr>
            <w:tcW w:w="1144" w:type="pct"/>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 xml:space="preserve">Full-Size </w:t>
            </w:r>
            <w:r w:rsidRPr="00F07454">
              <w:rPr>
                <w:rFonts w:asciiTheme="minorHAnsi" w:hAnsiTheme="minorHAnsi" w:cs="Arial"/>
                <w:color w:val="000000"/>
                <w:sz w:val="20"/>
                <w:szCs w:val="20"/>
              </w:rPr>
              <w:br/>
              <w:t>Hot Food Holding Cabinet</w:t>
            </w:r>
          </w:p>
        </w:tc>
        <w:tc>
          <w:tcPr>
            <w:tcW w:w="726"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$7,156</w:t>
            </w:r>
          </w:p>
        </w:tc>
        <w:tc>
          <w:tcPr>
            <w:tcW w:w="831"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$11,828</w:t>
            </w:r>
          </w:p>
        </w:tc>
        <w:tc>
          <w:tcPr>
            <w:tcW w:w="710" w:type="pct"/>
            <w:noWrap/>
            <w:vAlign w:val="center"/>
          </w:tcPr>
          <w:p w:rsidR="00F07454" w:rsidRPr="00F07454" w:rsidRDefault="00F07454" w:rsidP="009A5397">
            <w:pPr>
              <w:jc w:val="center"/>
              <w:rPr>
                <w:rFonts w:asciiTheme="minorHAnsi" w:hAnsiTheme="minorHAnsi" w:cs="Arial"/>
                <w:sz w:val="20"/>
                <w:szCs w:val="20"/>
              </w:rPr>
            </w:pPr>
            <w:r w:rsidRPr="00F07454">
              <w:rPr>
                <w:rFonts w:asciiTheme="minorHAnsi" w:hAnsiTheme="minorHAnsi" w:cs="Arial"/>
                <w:sz w:val="20"/>
                <w:szCs w:val="20"/>
              </w:rPr>
              <w:t>$3,578</w:t>
            </w:r>
          </w:p>
        </w:tc>
        <w:tc>
          <w:tcPr>
            <w:tcW w:w="710" w:type="pct"/>
            <w:noWrap/>
            <w:vAlign w:val="center"/>
          </w:tcPr>
          <w:p w:rsidR="00F07454" w:rsidRPr="00F07454" w:rsidRDefault="00F07454" w:rsidP="009A5397">
            <w:pPr>
              <w:jc w:val="center"/>
              <w:rPr>
                <w:rFonts w:asciiTheme="minorHAnsi" w:hAnsiTheme="minorHAnsi" w:cs="Arial"/>
                <w:sz w:val="20"/>
                <w:szCs w:val="20"/>
              </w:rPr>
            </w:pPr>
            <w:r w:rsidRPr="00F07454">
              <w:rPr>
                <w:rFonts w:asciiTheme="minorHAnsi" w:hAnsiTheme="minorHAnsi" w:cs="Arial"/>
                <w:sz w:val="20"/>
                <w:szCs w:val="20"/>
              </w:rPr>
              <w:t>$5,914</w:t>
            </w:r>
          </w:p>
        </w:tc>
        <w:tc>
          <w:tcPr>
            <w:tcW w:w="879"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$2,336</w:t>
            </w:r>
          </w:p>
        </w:tc>
      </w:tr>
      <w:tr w:rsidR="00F07454" w:rsidRPr="00F07454" w:rsidTr="009A5397">
        <w:trPr>
          <w:cnfStyle w:val="000000010000" w:firstRow="0" w:lastRow="0" w:firstColumn="0" w:lastColumn="0" w:oddVBand="0" w:evenVBand="0" w:oddHBand="0" w:evenHBand="1" w:firstRowFirstColumn="0" w:firstRowLastColumn="0" w:lastRowFirstColumn="0" w:lastRowLastColumn="0"/>
          <w:trHeight w:val="300"/>
          <w:jc w:val="center"/>
        </w:trPr>
        <w:tc>
          <w:tcPr>
            <w:tcW w:w="1144" w:type="pct"/>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 xml:space="preserve">Half-Size </w:t>
            </w:r>
            <w:r w:rsidRPr="00F07454">
              <w:rPr>
                <w:rFonts w:asciiTheme="minorHAnsi" w:hAnsiTheme="minorHAnsi" w:cs="Arial"/>
                <w:color w:val="000000"/>
                <w:sz w:val="20"/>
                <w:szCs w:val="20"/>
              </w:rPr>
              <w:br/>
              <w:t>Hot Food Holding Cabinet</w:t>
            </w:r>
          </w:p>
        </w:tc>
        <w:tc>
          <w:tcPr>
            <w:tcW w:w="726"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$4,527</w:t>
            </w:r>
          </w:p>
        </w:tc>
        <w:tc>
          <w:tcPr>
            <w:tcW w:w="831"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$5,289</w:t>
            </w:r>
          </w:p>
        </w:tc>
        <w:tc>
          <w:tcPr>
            <w:tcW w:w="710" w:type="pct"/>
            <w:noWrap/>
            <w:vAlign w:val="center"/>
          </w:tcPr>
          <w:p w:rsidR="00F07454" w:rsidRPr="00F07454" w:rsidRDefault="00F07454" w:rsidP="009A5397">
            <w:pPr>
              <w:jc w:val="center"/>
              <w:rPr>
                <w:rFonts w:asciiTheme="minorHAnsi" w:hAnsiTheme="minorHAnsi" w:cs="Arial"/>
                <w:sz w:val="20"/>
                <w:szCs w:val="20"/>
              </w:rPr>
            </w:pPr>
            <w:r w:rsidRPr="00F07454">
              <w:rPr>
                <w:rFonts w:asciiTheme="minorHAnsi" w:hAnsiTheme="minorHAnsi" w:cs="Arial"/>
                <w:sz w:val="20"/>
                <w:szCs w:val="20"/>
              </w:rPr>
              <w:t>$2,263</w:t>
            </w:r>
          </w:p>
        </w:tc>
        <w:tc>
          <w:tcPr>
            <w:tcW w:w="710" w:type="pct"/>
            <w:noWrap/>
            <w:vAlign w:val="center"/>
          </w:tcPr>
          <w:p w:rsidR="00F07454" w:rsidRPr="00F07454" w:rsidRDefault="00F07454" w:rsidP="009A5397">
            <w:pPr>
              <w:jc w:val="center"/>
              <w:rPr>
                <w:rFonts w:asciiTheme="minorHAnsi" w:hAnsiTheme="minorHAnsi" w:cs="Arial"/>
                <w:sz w:val="20"/>
                <w:szCs w:val="20"/>
              </w:rPr>
            </w:pPr>
            <w:r w:rsidRPr="00F07454">
              <w:rPr>
                <w:rFonts w:asciiTheme="minorHAnsi" w:hAnsiTheme="minorHAnsi" w:cs="Arial"/>
                <w:sz w:val="20"/>
                <w:szCs w:val="20"/>
              </w:rPr>
              <w:t>$2,644</w:t>
            </w:r>
          </w:p>
        </w:tc>
        <w:tc>
          <w:tcPr>
            <w:tcW w:w="879" w:type="pct"/>
            <w:noWrap/>
            <w:vAlign w:val="center"/>
          </w:tcPr>
          <w:p w:rsidR="00F07454" w:rsidRPr="00F07454" w:rsidRDefault="00F07454" w:rsidP="009A5397">
            <w:pPr>
              <w:jc w:val="center"/>
              <w:rPr>
                <w:rFonts w:asciiTheme="minorHAnsi" w:hAnsiTheme="minorHAnsi" w:cs="Arial"/>
                <w:color w:val="000000"/>
                <w:sz w:val="20"/>
                <w:szCs w:val="20"/>
              </w:rPr>
            </w:pPr>
            <w:r w:rsidRPr="00F07454">
              <w:rPr>
                <w:rFonts w:asciiTheme="minorHAnsi" w:hAnsiTheme="minorHAnsi" w:cs="Arial"/>
                <w:color w:val="000000"/>
                <w:sz w:val="20"/>
                <w:szCs w:val="20"/>
              </w:rPr>
              <w:t>$381</w:t>
            </w:r>
          </w:p>
        </w:tc>
      </w:tr>
    </w:tbl>
    <w:p w:rsidR="001E53D0" w:rsidRPr="00B551A8" w:rsidRDefault="001E53D0" w:rsidP="001E53D0">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rPr>
        <w:t>4.3 Incremental Measure Cost</w:t>
      </w:r>
    </w:p>
    <w:p w:rsidR="001E53D0" w:rsidRPr="00B551A8" w:rsidRDefault="00A83D2F" w:rsidP="001E53D0">
      <w:pPr>
        <w:keepNext/>
        <w:rPr>
          <w:rFonts w:asciiTheme="minorHAnsi" w:hAnsiTheme="minorHAnsi" w:cstheme="minorHAnsi"/>
          <w:sz w:val="22"/>
          <w:szCs w:val="22"/>
        </w:rPr>
      </w:pPr>
      <w:r w:rsidRPr="00B551A8">
        <w:rPr>
          <w:rFonts w:asciiTheme="minorHAnsi" w:hAnsiTheme="minorHAnsi" w:cstheme="minorHAnsi"/>
          <w:sz w:val="22"/>
          <w:szCs w:val="22"/>
        </w:rPr>
        <w:t xml:space="preserve">The incremental cost is the same as the gross measure cost and is shown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90ADB" w:rsidRPr="00B551A8">
        <w:rPr>
          <w:rFonts w:asciiTheme="minorHAnsi" w:hAnsiTheme="minorHAnsi"/>
          <w:sz w:val="22"/>
          <w:szCs w:val="22"/>
        </w:rPr>
        <w:t xml:space="preserve">Table </w:t>
      </w:r>
      <w:r w:rsidR="00B90ADB">
        <w:rPr>
          <w:rFonts w:asciiTheme="minorHAnsi" w:hAnsiTheme="minorHAnsi"/>
          <w:noProof/>
          <w:sz w:val="22"/>
          <w:szCs w:val="22"/>
        </w:rPr>
        <w:t>12</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w:t>
      </w:r>
    </w:p>
    <w:p w:rsidR="0081052E" w:rsidRPr="00B551A8" w:rsidRDefault="0081052E" w:rsidP="0081052E">
      <w:pPr>
        <w:pStyle w:val="Reminder"/>
        <w:rPr>
          <w:rFonts w:asciiTheme="minorHAnsi" w:hAnsiTheme="minorHAnsi" w:cstheme="minorHAnsi"/>
          <w:color w:val="auto"/>
          <w:sz w:val="22"/>
          <w:szCs w:val="22"/>
        </w:rPr>
      </w:pPr>
    </w:p>
    <w:bookmarkEnd w:id="27"/>
    <w:p w:rsidR="00BD6511" w:rsidRDefault="00BD6511">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Attachments</w:t>
      </w:r>
    </w:p>
    <w:bookmarkStart w:id="29" w:name="_MON_1464520663"/>
    <w:bookmarkStart w:id="30" w:name="_GoBack"/>
    <w:bookmarkEnd w:id="29"/>
    <w:bookmarkStart w:id="31" w:name="_MON_1464606118"/>
    <w:bookmarkEnd w:id="31"/>
    <w:p w:rsidR="0026221B" w:rsidRPr="00B551A8" w:rsidRDefault="00FA3A8B" w:rsidP="0026221B">
      <w:pPr>
        <w:pStyle w:val="ListParagraph"/>
        <w:numPr>
          <w:ilvl w:val="0"/>
          <w:numId w:val="11"/>
        </w:numPr>
        <w:rPr>
          <w:rFonts w:asciiTheme="minorHAnsi" w:hAnsiTheme="minorHAnsi"/>
        </w:rPr>
      </w:pPr>
      <w:r w:rsidRPr="00B551A8">
        <w:rPr>
          <w:rFonts w:asciiTheme="minorHAnsi" w:hAnsi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2.75pt;height:66pt" o:ole="">
            <v:imagedata r:id="rId14" o:title=""/>
          </v:shape>
          <o:OLEObject Type="Embed" ProgID="Excel.SheetMacroEnabled.12" ShapeID="_x0000_i1029" DrawAspect="Icon" ObjectID="_1464768210" r:id="rId15"/>
        </w:object>
      </w:r>
      <w:bookmarkEnd w:id="30"/>
    </w:p>
    <w:bookmarkStart w:id="32" w:name="_MON_1464763424"/>
    <w:bookmarkEnd w:id="32"/>
    <w:p w:rsidR="005015B8" w:rsidRPr="00B551A8" w:rsidRDefault="00D9309F" w:rsidP="0026221B">
      <w:pPr>
        <w:pStyle w:val="ListParagraph"/>
        <w:numPr>
          <w:ilvl w:val="0"/>
          <w:numId w:val="11"/>
        </w:numPr>
        <w:rPr>
          <w:rFonts w:asciiTheme="minorHAnsi" w:hAnsiTheme="minorHAnsi"/>
        </w:rPr>
      </w:pPr>
      <w:r>
        <w:rPr>
          <w:rFonts w:asciiTheme="minorHAnsi" w:hAnsiTheme="minorHAnsi" w:cstheme="minorHAnsi"/>
        </w:rPr>
        <w:object w:dxaOrig="1551" w:dyaOrig="991">
          <v:shape id="_x0000_i1026" type="#_x0000_t75" style="width:77.25pt;height:49.5pt" o:ole="">
            <v:imagedata r:id="rId16" o:title=""/>
          </v:shape>
          <o:OLEObject Type="Embed" ProgID="Excel.Sheet.12" ShapeID="_x0000_i1026" DrawAspect="Icon" ObjectID="_1464768211" r:id="rId17"/>
        </w:object>
      </w:r>
    </w:p>
    <w:p w:rsidR="009873AE" w:rsidRPr="00B551A8" w:rsidRDefault="009873AE" w:rsidP="009873AE">
      <w:pPr>
        <w:rPr>
          <w:rFonts w:asciiTheme="minorHAnsi" w:hAnsiTheme="minorHAnsi" w:cs="Arial"/>
          <w:b/>
        </w:rPr>
      </w:pPr>
    </w:p>
    <w:p w:rsidR="00D67BCF" w:rsidRPr="00B551A8" w:rsidRDefault="00D67BCF">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rPr>
        <w:br w:type="page"/>
      </w:r>
    </w:p>
    <w:p w:rsidR="00C54EFF" w:rsidRPr="00B551A8" w:rsidRDefault="00C54EFF" w:rsidP="00C54EFF">
      <w:pPr>
        <w:pStyle w:val="Heading1"/>
        <w:rPr>
          <w:rFonts w:asciiTheme="minorHAnsi" w:hAnsiTheme="minorHAnsi" w:cstheme="minorHAnsi"/>
        </w:rPr>
      </w:pPr>
      <w:r w:rsidRPr="00B551A8">
        <w:rPr>
          <w:rFonts w:asciiTheme="minorHAnsi" w:hAnsiTheme="minorHAnsi" w:cstheme="minorHAnsi"/>
        </w:rPr>
        <w:lastRenderedPageBreak/>
        <w:t>References</w:t>
      </w:r>
    </w:p>
    <w:bookmarkStart w:id="33" w:name="_MON_1464606558"/>
    <w:bookmarkEnd w:id="33"/>
    <w:p w:rsidR="003E2675" w:rsidRDefault="00D9309F" w:rsidP="005015B8">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51" w:dyaOrig="991">
          <v:shape id="_x0000_i1027" type="#_x0000_t75" style="width:77.25pt;height:49.5pt" o:ole="">
            <v:imagedata r:id="rId18" o:title=""/>
          </v:shape>
          <o:OLEObject Type="Embed" ProgID="Excel.Sheet.12" ShapeID="_x0000_i1027" DrawAspect="Icon" ObjectID="_1464768212" r:id="rId19"/>
        </w:object>
      </w:r>
    </w:p>
    <w:p w:rsidR="00D9309F" w:rsidRDefault="00D9309F" w:rsidP="005015B8">
      <w:pPr>
        <w:rPr>
          <w:rStyle w:val="ReminderChar"/>
          <w:rFonts w:asciiTheme="minorHAnsi" w:hAnsiTheme="minorHAnsi" w:cstheme="minorHAnsi"/>
          <w:i w:val="0"/>
          <w:color w:val="auto"/>
        </w:rPr>
      </w:pPr>
    </w:p>
    <w:tbl>
      <w:tblPr>
        <w:tblW w:w="8744" w:type="dxa"/>
        <w:tblInd w:w="93" w:type="dxa"/>
        <w:tblLook w:val="04A0" w:firstRow="1" w:lastRow="0" w:firstColumn="1" w:lastColumn="0" w:noHBand="0" w:noVBand="1"/>
      </w:tblPr>
      <w:tblGrid>
        <w:gridCol w:w="686"/>
        <w:gridCol w:w="8164"/>
      </w:tblGrid>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2004-2005 Database for Energy Efficiency Resources (DEER) Update Study - Final Report - Itron Inc. - Dec. 2005</w:t>
            </w:r>
          </w:p>
        </w:tc>
      </w:tr>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Load Shape Update Initiative - KEMA / JJ Hirsch and Assoc. / Itron Inc. - November 17, 2006</w:t>
            </w:r>
          </w:p>
        </w:tc>
      </w:tr>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[140]</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Standard Test Method for the Performance of Hot Food Holding Cabinets.</w:t>
            </w:r>
          </w:p>
        </w:tc>
      </w:tr>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[213]</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EUL/RUL Values Provided through Excel Spreadsheet</w:t>
            </w:r>
          </w:p>
        </w:tc>
      </w:tr>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Energy Efficiency Policy Manual-Version 5</w:t>
            </w:r>
          </w:p>
        </w:tc>
      </w:tr>
      <w:tr w:rsidR="00D9309F" w:rsidRPr="00D9309F" w:rsidTr="00D9309F">
        <w:trPr>
          <w:trHeight w:val="300"/>
        </w:trPr>
        <w:tc>
          <w:tcPr>
            <w:tcW w:w="580"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[422]</w:t>
            </w:r>
          </w:p>
        </w:tc>
        <w:tc>
          <w:tcPr>
            <w:tcW w:w="8164" w:type="dxa"/>
            <w:tcBorders>
              <w:top w:val="nil"/>
              <w:left w:val="nil"/>
              <w:bottom w:val="nil"/>
              <w:right w:val="nil"/>
            </w:tcBorders>
            <w:shd w:val="clear" w:color="auto" w:fill="auto"/>
            <w:noWrap/>
            <w:hideMark/>
          </w:tcPr>
          <w:p w:rsidR="00D9309F" w:rsidRPr="00D9309F" w:rsidRDefault="00D9309F" w:rsidP="00D9309F">
            <w:pPr>
              <w:rPr>
                <w:rFonts w:ascii="Calibri" w:hAnsi="Calibri"/>
                <w:color w:val="000000"/>
                <w:sz w:val="22"/>
                <w:szCs w:val="22"/>
              </w:rPr>
            </w:pPr>
            <w:r w:rsidRPr="00D9309F">
              <w:rPr>
                <w:rFonts w:ascii="Calibri" w:hAnsi="Calibri"/>
                <w:color w:val="000000"/>
                <w:sz w:val="22"/>
                <w:szCs w:val="22"/>
              </w:rPr>
              <w:t>2014 Appliance Efficiency Regulations (Title 20)</w:t>
            </w:r>
          </w:p>
        </w:tc>
      </w:tr>
    </w:tbl>
    <w:p w:rsidR="00D9309F" w:rsidRDefault="00D9309F" w:rsidP="005015B8">
      <w:pPr>
        <w:rPr>
          <w:rStyle w:val="ReminderChar"/>
          <w:rFonts w:asciiTheme="minorHAnsi" w:hAnsiTheme="minorHAnsi" w:cstheme="minorHAnsi"/>
          <w:i w:val="0"/>
          <w:color w:val="auto"/>
        </w:rPr>
      </w:pPr>
    </w:p>
    <w:p w:rsidR="00D9309F" w:rsidRDefault="00D9309F" w:rsidP="005015B8">
      <w:pPr>
        <w:rPr>
          <w:rStyle w:val="ReminderChar"/>
          <w:rFonts w:asciiTheme="minorHAnsi" w:hAnsiTheme="minorHAnsi" w:cstheme="minorHAnsi"/>
          <w:i w:val="0"/>
          <w:color w:val="auto"/>
        </w:rPr>
      </w:pPr>
    </w:p>
    <w:p w:rsidR="00A904E4" w:rsidRDefault="00A904E4" w:rsidP="005015B8">
      <w:pPr>
        <w:rPr>
          <w:rStyle w:val="ReminderChar"/>
          <w:rFonts w:asciiTheme="minorHAnsi" w:hAnsiTheme="minorHAnsi" w:cstheme="minorHAnsi"/>
          <w:i w:val="0"/>
          <w:color w:val="auto"/>
        </w:rPr>
      </w:pPr>
    </w:p>
    <w:p w:rsidR="00DD3477" w:rsidRPr="00B551A8" w:rsidRDefault="00DD3477" w:rsidP="005015B8">
      <w:pPr>
        <w:rPr>
          <w:rStyle w:val="ReminderChar"/>
          <w:rFonts w:asciiTheme="minorHAnsi" w:hAnsiTheme="minorHAnsi" w:cstheme="minorHAnsi"/>
          <w:i w:val="0"/>
          <w:color w:val="auto"/>
        </w:rPr>
      </w:pPr>
    </w:p>
    <w:p w:rsidR="003E2675" w:rsidRDefault="003E2675" w:rsidP="005015B8">
      <w:pPr>
        <w:rPr>
          <w:rStyle w:val="ReminderChar"/>
          <w:rFonts w:asciiTheme="minorHAnsi" w:hAnsiTheme="minorHAnsi" w:cstheme="minorHAnsi"/>
          <w:i w:val="0"/>
          <w:color w:val="auto"/>
        </w:rPr>
      </w:pPr>
    </w:p>
    <w:p w:rsidR="0018730C" w:rsidRPr="00B551A8" w:rsidRDefault="0018730C" w:rsidP="005015B8">
      <w:pPr>
        <w:rPr>
          <w:rStyle w:val="ReminderChar"/>
          <w:rFonts w:asciiTheme="minorHAnsi" w:hAnsiTheme="minorHAnsi" w:cstheme="minorHAnsi"/>
          <w:i w:val="0"/>
          <w:color w:val="auto"/>
        </w:rPr>
      </w:pPr>
    </w:p>
    <w:p w:rsidR="00D67BCF" w:rsidRPr="00B551A8" w:rsidRDefault="00D67BCF" w:rsidP="009824E9">
      <w:pPr>
        <w:rPr>
          <w:rFonts w:asciiTheme="minorHAnsi" w:hAnsiTheme="minorHAnsi" w:cstheme="minorHAnsi"/>
        </w:rPr>
      </w:pPr>
    </w:p>
    <w:p w:rsidR="005015B8" w:rsidRPr="00B551A8" w:rsidRDefault="005015B8" w:rsidP="009873AE">
      <w:pPr>
        <w:rPr>
          <w:rFonts w:asciiTheme="minorHAnsi" w:hAnsiTheme="minorHAnsi"/>
        </w:rPr>
        <w:sectPr w:rsidR="005015B8" w:rsidRPr="00B551A8" w:rsidSect="00CE69E9">
          <w:pgSz w:w="12240" w:h="15840"/>
          <w:pgMar w:top="1440" w:right="1440" w:bottom="1557" w:left="1440" w:header="720" w:footer="720" w:gutter="0"/>
          <w:pgNumType w:start="1"/>
          <w:cols w:space="720"/>
          <w:docGrid w:linePitch="360"/>
        </w:sectPr>
      </w:pPr>
    </w:p>
    <w:p w:rsidR="009824E9" w:rsidRPr="00B551A8" w:rsidRDefault="009824E9" w:rsidP="009824E9">
      <w:pPr>
        <w:rPr>
          <w:rFonts w:asciiTheme="minorHAnsi" w:hAnsiTheme="minorHAnsi"/>
        </w:rPr>
      </w:pPr>
    </w:p>
    <w:p w:rsidR="009824E9" w:rsidRPr="00B551A8" w:rsidRDefault="009824E9" w:rsidP="009824E9">
      <w:pPr>
        <w:pStyle w:val="Heading1"/>
        <w:rPr>
          <w:rFonts w:asciiTheme="minorHAnsi" w:hAnsiTheme="minorHAnsi" w:cstheme="minorHAnsi"/>
        </w:rPr>
      </w:pPr>
      <w:r w:rsidRPr="00B551A8">
        <w:rPr>
          <w:rFonts w:asciiTheme="minorHAnsi" w:hAnsiTheme="minorHAnsi" w:cstheme="minorHAnsi"/>
        </w:rPr>
        <w:t xml:space="preserve">Appendix </w:t>
      </w:r>
      <w:r w:rsidR="00CE28CF" w:rsidRPr="00B551A8">
        <w:rPr>
          <w:rFonts w:asciiTheme="minorHAnsi" w:hAnsiTheme="minorHAnsi" w:cstheme="minorHAnsi"/>
        </w:rPr>
        <w:t>A</w:t>
      </w:r>
      <w:r w:rsidRPr="00B551A8">
        <w:rPr>
          <w:rFonts w:asciiTheme="minorHAnsi" w:hAnsiTheme="minorHAnsi" w:cstheme="minorHAnsi"/>
        </w:rPr>
        <w:t xml:space="preserve"> – SCE/ED </w:t>
      </w:r>
      <w:r w:rsidR="00CE28CF" w:rsidRPr="00B551A8">
        <w:rPr>
          <w:rFonts w:asciiTheme="minorHAnsi" w:hAnsiTheme="minorHAnsi" w:cstheme="minorHAnsi"/>
        </w:rPr>
        <w:t>Application</w:t>
      </w:r>
      <w:r w:rsidRPr="00B551A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B551A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SCE Program Type</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ED Application Type</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Savings</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Savings</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Life</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Life</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 Construction (Nc)</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(Rob)/Normal Replacement (NR)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(RET)</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(ER)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EUL-RUL</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 First Baseline Only (REF)</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RUL (ErRul)</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Add-on (REA)</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bl>
    <w:p w:rsidR="00697868" w:rsidRPr="00B551A8" w:rsidRDefault="00697868">
      <w:pPr>
        <w:rPr>
          <w:rFonts w:asciiTheme="minorHAnsi" w:hAnsiTheme="minorHAnsi" w:cstheme="minorHAnsi"/>
        </w:rPr>
      </w:pPr>
    </w:p>
    <w:sectPr w:rsidR="00697868" w:rsidRPr="00B551A8" w:rsidSect="00CE28CF">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5397" w:rsidRDefault="009A5397" w:rsidP="00447D6E">
      <w:r>
        <w:separator/>
      </w:r>
    </w:p>
  </w:endnote>
  <w:endnote w:type="continuationSeparator" w:id="0">
    <w:p w:rsidR="009A5397" w:rsidRDefault="009A5397"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5397" w:rsidRPr="009500DC" w:rsidRDefault="009A5397" w:rsidP="00447D6E">
    <w:pPr>
      <w:pStyle w:val="Footer"/>
      <w:jc w:val="right"/>
      <w:rPr>
        <w:rFonts w:asciiTheme="minorHAnsi" w:hAnsiTheme="minorHAnsi" w:cstheme="minorHAnsi"/>
      </w:rPr>
    </w:pPr>
    <w:r>
      <w:rPr>
        <w:rFonts w:asciiTheme="minorHAnsi" w:hAnsiTheme="minorHAnsi" w:cstheme="minorHAnsi"/>
        <w:b/>
        <w:sz w:val="36"/>
        <w:szCs w:val="36"/>
      </w:rPr>
      <w:t>June 19,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5397" w:rsidRPr="009500DC" w:rsidRDefault="009A5397"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A3A8B">
      <w:rPr>
        <w:rFonts w:asciiTheme="minorHAnsi" w:hAnsiTheme="minorHAnsi" w:cstheme="minorHAnsi"/>
        <w:b/>
        <w:noProof/>
        <w:sz w:val="20"/>
        <w:szCs w:val="20"/>
      </w:rPr>
      <w:t>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19, 2014</w:t>
    </w:r>
  </w:p>
  <w:p w:rsidR="009A5397" w:rsidRPr="009500DC" w:rsidRDefault="009A5397"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5397" w:rsidRPr="009500DC" w:rsidRDefault="009A5397"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A3A8B">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19, 2014</w:t>
    </w:r>
  </w:p>
  <w:p w:rsidR="009A5397" w:rsidRPr="009500DC" w:rsidRDefault="009A5397"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5397" w:rsidRDefault="009A5397" w:rsidP="00447D6E">
      <w:r>
        <w:separator/>
      </w:r>
    </w:p>
  </w:footnote>
  <w:footnote w:type="continuationSeparator" w:id="0">
    <w:p w:rsidR="009A5397" w:rsidRDefault="009A5397"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6D71EF8"/>
    <w:multiLevelType w:val="hybridMultilevel"/>
    <w:tmpl w:val="991C4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7"/>
  </w:num>
  <w:num w:numId="3">
    <w:abstractNumId w:val="6"/>
  </w:num>
  <w:num w:numId="4">
    <w:abstractNumId w:val="4"/>
  </w:num>
  <w:num w:numId="5">
    <w:abstractNumId w:val="4"/>
  </w:num>
  <w:num w:numId="6">
    <w:abstractNumId w:val="1"/>
  </w:num>
  <w:num w:numId="7">
    <w:abstractNumId w:val="8"/>
  </w:num>
  <w:num w:numId="8">
    <w:abstractNumId w:val="5"/>
  </w:num>
  <w:num w:numId="9">
    <w:abstractNumId w:val="0"/>
  </w:num>
  <w:num w:numId="10">
    <w:abstractNumId w:val="3"/>
  </w:num>
  <w:num w:numId="11">
    <w:abstractNumId w:val="11"/>
  </w:num>
  <w:num w:numId="12">
    <w:abstractNumId w:val="10"/>
  </w:num>
  <w:num w:numId="13">
    <w:abstractNumId w:val="10"/>
  </w:num>
  <w:num w:numId="14">
    <w:abstractNumId w:val="9"/>
  </w:num>
  <w:num w:numId="15">
    <w:abstractNumId w:val="0"/>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5795"/>
    <w:rsid w:val="00027183"/>
    <w:rsid w:val="00033EA1"/>
    <w:rsid w:val="00056947"/>
    <w:rsid w:val="00061E9E"/>
    <w:rsid w:val="00076DF4"/>
    <w:rsid w:val="0009074D"/>
    <w:rsid w:val="000944EC"/>
    <w:rsid w:val="0009592B"/>
    <w:rsid w:val="000968C6"/>
    <w:rsid w:val="000A63C9"/>
    <w:rsid w:val="000C0000"/>
    <w:rsid w:val="000C18CC"/>
    <w:rsid w:val="000F130A"/>
    <w:rsid w:val="00107242"/>
    <w:rsid w:val="0011212F"/>
    <w:rsid w:val="001125FB"/>
    <w:rsid w:val="001206F7"/>
    <w:rsid w:val="00131BA5"/>
    <w:rsid w:val="00132DBD"/>
    <w:rsid w:val="00147155"/>
    <w:rsid w:val="00153CB3"/>
    <w:rsid w:val="00165357"/>
    <w:rsid w:val="00177166"/>
    <w:rsid w:val="001811EE"/>
    <w:rsid w:val="00185B44"/>
    <w:rsid w:val="0018730C"/>
    <w:rsid w:val="001A0EB4"/>
    <w:rsid w:val="001A5C35"/>
    <w:rsid w:val="001A5F62"/>
    <w:rsid w:val="001B618B"/>
    <w:rsid w:val="001C4140"/>
    <w:rsid w:val="001C5A94"/>
    <w:rsid w:val="001E0829"/>
    <w:rsid w:val="001E18BE"/>
    <w:rsid w:val="001E53D0"/>
    <w:rsid w:val="001F05CE"/>
    <w:rsid w:val="001F39EC"/>
    <w:rsid w:val="001F4A65"/>
    <w:rsid w:val="002143FB"/>
    <w:rsid w:val="0022316B"/>
    <w:rsid w:val="0023254A"/>
    <w:rsid w:val="00240B74"/>
    <w:rsid w:val="0026221B"/>
    <w:rsid w:val="00274FBE"/>
    <w:rsid w:val="002762E1"/>
    <w:rsid w:val="002811BC"/>
    <w:rsid w:val="00283DE8"/>
    <w:rsid w:val="00285966"/>
    <w:rsid w:val="00290ED8"/>
    <w:rsid w:val="002A3D26"/>
    <w:rsid w:val="002B1ADF"/>
    <w:rsid w:val="002C444C"/>
    <w:rsid w:val="002C6C7A"/>
    <w:rsid w:val="002F03E5"/>
    <w:rsid w:val="002F1437"/>
    <w:rsid w:val="002F3943"/>
    <w:rsid w:val="002F7C28"/>
    <w:rsid w:val="0030363A"/>
    <w:rsid w:val="0031434B"/>
    <w:rsid w:val="00317EB0"/>
    <w:rsid w:val="003225E4"/>
    <w:rsid w:val="00332700"/>
    <w:rsid w:val="00344029"/>
    <w:rsid w:val="00345D80"/>
    <w:rsid w:val="003471D4"/>
    <w:rsid w:val="0035037E"/>
    <w:rsid w:val="003560BA"/>
    <w:rsid w:val="00374665"/>
    <w:rsid w:val="003832D2"/>
    <w:rsid w:val="003B4596"/>
    <w:rsid w:val="003D2871"/>
    <w:rsid w:val="003D5B83"/>
    <w:rsid w:val="003E2675"/>
    <w:rsid w:val="003E6E47"/>
    <w:rsid w:val="003F0623"/>
    <w:rsid w:val="004067C9"/>
    <w:rsid w:val="00411693"/>
    <w:rsid w:val="00413CDB"/>
    <w:rsid w:val="004200FE"/>
    <w:rsid w:val="00421183"/>
    <w:rsid w:val="00441957"/>
    <w:rsid w:val="00442987"/>
    <w:rsid w:val="00443D32"/>
    <w:rsid w:val="00447CE5"/>
    <w:rsid w:val="00447D6E"/>
    <w:rsid w:val="0046286E"/>
    <w:rsid w:val="00471234"/>
    <w:rsid w:val="00476636"/>
    <w:rsid w:val="00477522"/>
    <w:rsid w:val="00493457"/>
    <w:rsid w:val="00494628"/>
    <w:rsid w:val="004A0F0F"/>
    <w:rsid w:val="004B4A3A"/>
    <w:rsid w:val="004C23F1"/>
    <w:rsid w:val="004D0D16"/>
    <w:rsid w:val="004D145C"/>
    <w:rsid w:val="004E01F5"/>
    <w:rsid w:val="004E76CA"/>
    <w:rsid w:val="004E7D74"/>
    <w:rsid w:val="004F18CC"/>
    <w:rsid w:val="005015B8"/>
    <w:rsid w:val="0051020F"/>
    <w:rsid w:val="00516BFF"/>
    <w:rsid w:val="00517A38"/>
    <w:rsid w:val="00533E54"/>
    <w:rsid w:val="00534E2F"/>
    <w:rsid w:val="005571F8"/>
    <w:rsid w:val="00560934"/>
    <w:rsid w:val="00560A6D"/>
    <w:rsid w:val="00564960"/>
    <w:rsid w:val="0057341F"/>
    <w:rsid w:val="005734A4"/>
    <w:rsid w:val="005966A5"/>
    <w:rsid w:val="005A0E53"/>
    <w:rsid w:val="005A1078"/>
    <w:rsid w:val="005B28C1"/>
    <w:rsid w:val="005B4036"/>
    <w:rsid w:val="005C2E48"/>
    <w:rsid w:val="005D4DD7"/>
    <w:rsid w:val="005D7A87"/>
    <w:rsid w:val="005E12A9"/>
    <w:rsid w:val="00602799"/>
    <w:rsid w:val="00612041"/>
    <w:rsid w:val="00636828"/>
    <w:rsid w:val="006404E6"/>
    <w:rsid w:val="00647ABE"/>
    <w:rsid w:val="0065778A"/>
    <w:rsid w:val="00664B05"/>
    <w:rsid w:val="00665448"/>
    <w:rsid w:val="00670049"/>
    <w:rsid w:val="00680748"/>
    <w:rsid w:val="0068394F"/>
    <w:rsid w:val="00685651"/>
    <w:rsid w:val="00695DE8"/>
    <w:rsid w:val="00697868"/>
    <w:rsid w:val="006A055F"/>
    <w:rsid w:val="006A5293"/>
    <w:rsid w:val="006B0DF3"/>
    <w:rsid w:val="006B4A48"/>
    <w:rsid w:val="006C430A"/>
    <w:rsid w:val="006D2809"/>
    <w:rsid w:val="006E3342"/>
    <w:rsid w:val="006E4B12"/>
    <w:rsid w:val="007048AC"/>
    <w:rsid w:val="00733C7D"/>
    <w:rsid w:val="00740761"/>
    <w:rsid w:val="00745F77"/>
    <w:rsid w:val="00764D0D"/>
    <w:rsid w:val="007754FE"/>
    <w:rsid w:val="007933F1"/>
    <w:rsid w:val="00797F91"/>
    <w:rsid w:val="007B1E34"/>
    <w:rsid w:val="007E43F8"/>
    <w:rsid w:val="007E656B"/>
    <w:rsid w:val="007F50E8"/>
    <w:rsid w:val="007F7FBA"/>
    <w:rsid w:val="00800319"/>
    <w:rsid w:val="00801F7F"/>
    <w:rsid w:val="0081052E"/>
    <w:rsid w:val="00813641"/>
    <w:rsid w:val="0081490E"/>
    <w:rsid w:val="00824F1C"/>
    <w:rsid w:val="00863762"/>
    <w:rsid w:val="00870213"/>
    <w:rsid w:val="00874177"/>
    <w:rsid w:val="00880F45"/>
    <w:rsid w:val="00881A42"/>
    <w:rsid w:val="00885359"/>
    <w:rsid w:val="00885E0A"/>
    <w:rsid w:val="0088603B"/>
    <w:rsid w:val="00893FC3"/>
    <w:rsid w:val="0089577B"/>
    <w:rsid w:val="008C2E0E"/>
    <w:rsid w:val="008C7421"/>
    <w:rsid w:val="008E17CC"/>
    <w:rsid w:val="008E23D2"/>
    <w:rsid w:val="008E7177"/>
    <w:rsid w:val="008F33B4"/>
    <w:rsid w:val="0090077A"/>
    <w:rsid w:val="009138A0"/>
    <w:rsid w:val="00922B85"/>
    <w:rsid w:val="009268EB"/>
    <w:rsid w:val="0093164F"/>
    <w:rsid w:val="009500DC"/>
    <w:rsid w:val="00951923"/>
    <w:rsid w:val="00972C81"/>
    <w:rsid w:val="009824E9"/>
    <w:rsid w:val="009873AE"/>
    <w:rsid w:val="00993A40"/>
    <w:rsid w:val="00995CB0"/>
    <w:rsid w:val="00997E77"/>
    <w:rsid w:val="009A2734"/>
    <w:rsid w:val="009A4E36"/>
    <w:rsid w:val="009A5397"/>
    <w:rsid w:val="009A7462"/>
    <w:rsid w:val="009B2C67"/>
    <w:rsid w:val="009B5256"/>
    <w:rsid w:val="009B5B7B"/>
    <w:rsid w:val="009C1777"/>
    <w:rsid w:val="009C2C86"/>
    <w:rsid w:val="009C6AEC"/>
    <w:rsid w:val="009D0753"/>
    <w:rsid w:val="009D6043"/>
    <w:rsid w:val="009E0293"/>
    <w:rsid w:val="009E1802"/>
    <w:rsid w:val="009E1CDE"/>
    <w:rsid w:val="009E51E2"/>
    <w:rsid w:val="009F7A61"/>
    <w:rsid w:val="00A11917"/>
    <w:rsid w:val="00A11C16"/>
    <w:rsid w:val="00A1423E"/>
    <w:rsid w:val="00A2134C"/>
    <w:rsid w:val="00A37BF8"/>
    <w:rsid w:val="00A4321C"/>
    <w:rsid w:val="00A500D6"/>
    <w:rsid w:val="00A62783"/>
    <w:rsid w:val="00A83D2F"/>
    <w:rsid w:val="00A84127"/>
    <w:rsid w:val="00A86DA2"/>
    <w:rsid w:val="00A904E4"/>
    <w:rsid w:val="00AA3F27"/>
    <w:rsid w:val="00AA5ECC"/>
    <w:rsid w:val="00AA62E2"/>
    <w:rsid w:val="00AB21F5"/>
    <w:rsid w:val="00AB3386"/>
    <w:rsid w:val="00AB7554"/>
    <w:rsid w:val="00AC2E15"/>
    <w:rsid w:val="00AC5309"/>
    <w:rsid w:val="00AC7E3A"/>
    <w:rsid w:val="00AD4DD0"/>
    <w:rsid w:val="00AE7148"/>
    <w:rsid w:val="00AF6342"/>
    <w:rsid w:val="00B053FB"/>
    <w:rsid w:val="00B07EE5"/>
    <w:rsid w:val="00B26778"/>
    <w:rsid w:val="00B26B83"/>
    <w:rsid w:val="00B32479"/>
    <w:rsid w:val="00B403ED"/>
    <w:rsid w:val="00B43AAF"/>
    <w:rsid w:val="00B47E27"/>
    <w:rsid w:val="00B52E6B"/>
    <w:rsid w:val="00B551A8"/>
    <w:rsid w:val="00B6061C"/>
    <w:rsid w:val="00B75449"/>
    <w:rsid w:val="00B866B4"/>
    <w:rsid w:val="00B90ADB"/>
    <w:rsid w:val="00B93452"/>
    <w:rsid w:val="00BA590A"/>
    <w:rsid w:val="00BB0B39"/>
    <w:rsid w:val="00BB5F75"/>
    <w:rsid w:val="00BD3931"/>
    <w:rsid w:val="00BD5B88"/>
    <w:rsid w:val="00BD6511"/>
    <w:rsid w:val="00C03127"/>
    <w:rsid w:val="00C11F79"/>
    <w:rsid w:val="00C12B80"/>
    <w:rsid w:val="00C24D03"/>
    <w:rsid w:val="00C25E61"/>
    <w:rsid w:val="00C5179F"/>
    <w:rsid w:val="00C54EFF"/>
    <w:rsid w:val="00C72B8B"/>
    <w:rsid w:val="00CA2AB4"/>
    <w:rsid w:val="00CB0100"/>
    <w:rsid w:val="00CE28CF"/>
    <w:rsid w:val="00CE30C7"/>
    <w:rsid w:val="00CE4D61"/>
    <w:rsid w:val="00CE5BEB"/>
    <w:rsid w:val="00CE69E9"/>
    <w:rsid w:val="00CF03B2"/>
    <w:rsid w:val="00CF7C92"/>
    <w:rsid w:val="00D17EAF"/>
    <w:rsid w:val="00D25074"/>
    <w:rsid w:val="00D36798"/>
    <w:rsid w:val="00D615B0"/>
    <w:rsid w:val="00D67BCF"/>
    <w:rsid w:val="00D7380B"/>
    <w:rsid w:val="00D75D77"/>
    <w:rsid w:val="00D765EC"/>
    <w:rsid w:val="00D9309F"/>
    <w:rsid w:val="00DA11A0"/>
    <w:rsid w:val="00DA690B"/>
    <w:rsid w:val="00DA7225"/>
    <w:rsid w:val="00DD3477"/>
    <w:rsid w:val="00DE73FE"/>
    <w:rsid w:val="00DF2EE9"/>
    <w:rsid w:val="00DF5A5D"/>
    <w:rsid w:val="00E07752"/>
    <w:rsid w:val="00E16609"/>
    <w:rsid w:val="00E16F08"/>
    <w:rsid w:val="00E233F3"/>
    <w:rsid w:val="00E23679"/>
    <w:rsid w:val="00E246BC"/>
    <w:rsid w:val="00E25B33"/>
    <w:rsid w:val="00E37F72"/>
    <w:rsid w:val="00E42A30"/>
    <w:rsid w:val="00E70DB1"/>
    <w:rsid w:val="00E81F3E"/>
    <w:rsid w:val="00E859BD"/>
    <w:rsid w:val="00E96759"/>
    <w:rsid w:val="00E96E8D"/>
    <w:rsid w:val="00EB250D"/>
    <w:rsid w:val="00EB34FC"/>
    <w:rsid w:val="00EB7171"/>
    <w:rsid w:val="00EB76E1"/>
    <w:rsid w:val="00EC11B9"/>
    <w:rsid w:val="00EC2C76"/>
    <w:rsid w:val="00EF5416"/>
    <w:rsid w:val="00F0485C"/>
    <w:rsid w:val="00F06CCF"/>
    <w:rsid w:val="00F07454"/>
    <w:rsid w:val="00F20DCF"/>
    <w:rsid w:val="00F25CAF"/>
    <w:rsid w:val="00F43BA6"/>
    <w:rsid w:val="00F46AB7"/>
    <w:rsid w:val="00F4752B"/>
    <w:rsid w:val="00F51A6A"/>
    <w:rsid w:val="00F56792"/>
    <w:rsid w:val="00F60E32"/>
    <w:rsid w:val="00F7242E"/>
    <w:rsid w:val="00F76E7A"/>
    <w:rsid w:val="00FA3A8B"/>
    <w:rsid w:val="00FC0712"/>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35090">
      <w:bodyDiv w:val="1"/>
      <w:marLeft w:val="0"/>
      <w:marRight w:val="0"/>
      <w:marTop w:val="0"/>
      <w:marBottom w:val="0"/>
      <w:divBdr>
        <w:top w:val="none" w:sz="0" w:space="0" w:color="auto"/>
        <w:left w:val="none" w:sz="0" w:space="0" w:color="auto"/>
        <w:bottom w:val="none" w:sz="0" w:space="0" w:color="auto"/>
        <w:right w:val="none" w:sz="0" w:space="0" w:color="auto"/>
      </w:divBdr>
    </w:div>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10859445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1329946">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0489054">
      <w:bodyDiv w:val="1"/>
      <w:marLeft w:val="0"/>
      <w:marRight w:val="0"/>
      <w:marTop w:val="0"/>
      <w:marBottom w:val="0"/>
      <w:divBdr>
        <w:top w:val="none" w:sz="0" w:space="0" w:color="auto"/>
        <w:left w:val="none" w:sz="0" w:space="0" w:color="auto"/>
        <w:bottom w:val="none" w:sz="0" w:space="0" w:color="auto"/>
        <w:right w:val="none" w:sz="0" w:space="0" w:color="auto"/>
      </w:divBdr>
    </w:div>
    <w:div w:id="842597106">
      <w:bodyDiv w:val="1"/>
      <w:marLeft w:val="0"/>
      <w:marRight w:val="0"/>
      <w:marTop w:val="0"/>
      <w:marBottom w:val="0"/>
      <w:divBdr>
        <w:top w:val="none" w:sz="0" w:space="0" w:color="auto"/>
        <w:left w:val="none" w:sz="0" w:space="0" w:color="auto"/>
        <w:bottom w:val="none" w:sz="0" w:space="0" w:color="auto"/>
        <w:right w:val="none" w:sz="0" w:space="0" w:color="auto"/>
      </w:divBdr>
    </w:div>
    <w:div w:id="938295097">
      <w:bodyDiv w:val="1"/>
      <w:marLeft w:val="0"/>
      <w:marRight w:val="0"/>
      <w:marTop w:val="0"/>
      <w:marBottom w:val="0"/>
      <w:divBdr>
        <w:top w:val="none" w:sz="0" w:space="0" w:color="auto"/>
        <w:left w:val="none" w:sz="0" w:space="0" w:color="auto"/>
        <w:bottom w:val="none" w:sz="0" w:space="0" w:color="auto"/>
        <w:right w:val="none" w:sz="0" w:space="0" w:color="auto"/>
      </w:divBdr>
    </w:div>
    <w:div w:id="992217158">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2391465">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97618792">
      <w:bodyDiv w:val="1"/>
      <w:marLeft w:val="0"/>
      <w:marRight w:val="0"/>
      <w:marTop w:val="0"/>
      <w:marBottom w:val="0"/>
      <w:divBdr>
        <w:top w:val="none" w:sz="0" w:space="0" w:color="auto"/>
        <w:left w:val="none" w:sz="0" w:space="0" w:color="auto"/>
        <w:bottom w:val="none" w:sz="0" w:space="0" w:color="auto"/>
        <w:right w:val="none" w:sz="0" w:space="0" w:color="auto"/>
      </w:divBdr>
    </w:div>
    <w:div w:id="1293487047">
      <w:bodyDiv w:val="1"/>
      <w:marLeft w:val="0"/>
      <w:marRight w:val="0"/>
      <w:marTop w:val="0"/>
      <w:marBottom w:val="0"/>
      <w:divBdr>
        <w:top w:val="none" w:sz="0" w:space="0" w:color="auto"/>
        <w:left w:val="none" w:sz="0" w:space="0" w:color="auto"/>
        <w:bottom w:val="none" w:sz="0" w:space="0" w:color="auto"/>
        <w:right w:val="none" w:sz="0" w:space="0" w:color="auto"/>
      </w:divBdr>
    </w:div>
    <w:div w:id="1306742827">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483544652">
      <w:bodyDiv w:val="1"/>
      <w:marLeft w:val="0"/>
      <w:marRight w:val="0"/>
      <w:marTop w:val="0"/>
      <w:marBottom w:val="0"/>
      <w:divBdr>
        <w:top w:val="none" w:sz="0" w:space="0" w:color="auto"/>
        <w:left w:val="none" w:sz="0" w:space="0" w:color="auto"/>
        <w:bottom w:val="none" w:sz="0" w:space="0" w:color="auto"/>
        <w:right w:val="none" w:sz="0" w:space="0" w:color="auto"/>
      </w:divBdr>
    </w:div>
    <w:div w:id="1694305701">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1980575211">
      <w:bodyDiv w:val="1"/>
      <w:marLeft w:val="0"/>
      <w:marRight w:val="0"/>
      <w:marTop w:val="0"/>
      <w:marBottom w:val="0"/>
      <w:divBdr>
        <w:top w:val="none" w:sz="0" w:space="0" w:color="auto"/>
        <w:left w:val="none" w:sz="0" w:space="0" w:color="auto"/>
        <w:bottom w:val="none" w:sz="0" w:space="0" w:color="auto"/>
        <w:right w:val="none" w:sz="0" w:space="0" w:color="auto"/>
      </w:divBdr>
    </w:div>
    <w:div w:id="2010283135">
      <w:bodyDiv w:val="1"/>
      <w:marLeft w:val="0"/>
      <w:marRight w:val="0"/>
      <w:marTop w:val="0"/>
      <w:marBottom w:val="0"/>
      <w:divBdr>
        <w:top w:val="none" w:sz="0" w:space="0" w:color="auto"/>
        <w:left w:val="none" w:sz="0" w:space="0" w:color="auto"/>
        <w:bottom w:val="none" w:sz="0" w:space="0" w:color="auto"/>
        <w:right w:val="none" w:sz="0" w:space="0" w:color="auto"/>
      </w:divBdr>
    </w:div>
    <w:div w:id="2055814087">
      <w:bodyDiv w:val="1"/>
      <w:marLeft w:val="0"/>
      <w:marRight w:val="0"/>
      <w:marTop w:val="0"/>
      <w:marBottom w:val="0"/>
      <w:divBdr>
        <w:top w:val="none" w:sz="0" w:space="0" w:color="auto"/>
        <w:left w:val="none" w:sz="0" w:space="0" w:color="auto"/>
        <w:bottom w:val="none" w:sz="0" w:space="0" w:color="auto"/>
        <w:right w:val="none" w:sz="0" w:space="0" w:color="auto"/>
      </w:divBdr>
    </w:div>
    <w:div w:id="2132935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Macro-Enabled_Worksheet1.xlsm"/><Relationship Id="rId10" Type="http://schemas.openxmlformats.org/officeDocument/2006/relationships/footer" Target="footer2.xml"/><Relationship Id="rId19" Type="http://schemas.openxmlformats.org/officeDocument/2006/relationships/package" Target="embeddings/Microsoft_Excel_Worksheet3.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BB378D-D017-4EB0-A237-8E04F8E7CD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13</Pages>
  <Words>2391</Words>
  <Characters>13635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15995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2014-06-20T18:07:00Z</dcterms:created>
  <dcterms:modified xsi:type="dcterms:W3CDTF">2014-06-20T18:17:00Z</dcterms:modified>
</cp:coreProperties>
</file>