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BD7B74" w14:textId="77777777" w:rsidR="005E7BB4" w:rsidRPr="005E7BB4" w:rsidRDefault="005E7BB4" w:rsidP="005E7BB4">
      <w:pPr>
        <w:contextualSpacing/>
      </w:pPr>
      <w:r w:rsidRPr="005E7BB4">
        <w:t xml:space="preserve">PG&amp;E Response to Preliminary </w:t>
      </w:r>
      <w:proofErr w:type="spellStart"/>
      <w:r w:rsidRPr="005E7BB4">
        <w:t>Workpaper</w:t>
      </w:r>
      <w:proofErr w:type="spellEnd"/>
      <w:r w:rsidRPr="005E7BB4">
        <w:t xml:space="preserve"> Review</w:t>
      </w:r>
    </w:p>
    <w:p w14:paraId="7435B5A1" w14:textId="77777777" w:rsidR="005E7BB4" w:rsidRPr="005E7BB4" w:rsidRDefault="005E7BB4" w:rsidP="005E7BB4">
      <w:pPr>
        <w:contextualSpacing/>
      </w:pPr>
      <w:r w:rsidRPr="005E7BB4">
        <w:t>PGECOAPP128 r6 Retail Products Platform</w:t>
      </w:r>
    </w:p>
    <w:p w14:paraId="5A90643B" w14:textId="55B4B109" w:rsidR="003C0D81" w:rsidRDefault="006A3A48" w:rsidP="005E7BB4">
      <w:pPr>
        <w:contextualSpacing/>
      </w:pPr>
      <w:r>
        <w:t>April 9</w:t>
      </w:r>
      <w:r w:rsidR="005E7BB4" w:rsidRPr="005E7BB4">
        <w:t>, 2018</w:t>
      </w:r>
    </w:p>
    <w:p w14:paraId="6713D8F2" w14:textId="77777777" w:rsidR="005E7BB4" w:rsidRDefault="005E7BB4" w:rsidP="005E7BB4">
      <w:pPr>
        <w:contextualSpacing/>
      </w:pPr>
    </w:p>
    <w:p w14:paraId="74C810D4" w14:textId="2FC6C236" w:rsidR="002E178D" w:rsidRPr="005E7BB4" w:rsidRDefault="002E178D" w:rsidP="005E7BB4">
      <w:r>
        <w:t xml:space="preserve">This document is intended to add clarity to concerns raised in CPUC staff’s Preliminary Review of </w:t>
      </w:r>
      <w:proofErr w:type="spellStart"/>
      <w:r>
        <w:t>workpaper</w:t>
      </w:r>
      <w:proofErr w:type="spellEnd"/>
      <w:r>
        <w:t xml:space="preserve"> PGECOAPP128 R6 issued on March 20, 2018. Please note that PG&amp;E has decided to remove dehumidifiers from the 2018 program and thus we will not seek approval for dehumidifiers to be added to this revision of the </w:t>
      </w:r>
      <w:proofErr w:type="spellStart"/>
      <w:r>
        <w:t>workpaper</w:t>
      </w:r>
      <w:proofErr w:type="spellEnd"/>
      <w:r>
        <w:t xml:space="preserve">. </w:t>
      </w:r>
      <w:r w:rsidR="002D56E4">
        <w:t xml:space="preserve">Ex ante data relating to dehumidifiers have been removed in the revised submission of the </w:t>
      </w:r>
      <w:proofErr w:type="spellStart"/>
      <w:r w:rsidR="002D56E4">
        <w:t>workpaper</w:t>
      </w:r>
      <w:proofErr w:type="spellEnd"/>
      <w:r w:rsidR="002D56E4">
        <w:t xml:space="preserve"> accompanying this document. PG&amp;E asks for expedited approval of the remaining changes in this revision: 1) Addition of measure code HV382 for connected room air conditioners and 2) Sunset measure codes AP053 to AP058 (CEE Tier 3) and replace with measure codes AP068 to AP073 (ENERGY STAR Most Efficient 2018)</w:t>
      </w:r>
      <w:r w:rsidR="00A35D7D">
        <w:t xml:space="preserve"> to align with the updated ENERGY STAR specification.</w:t>
      </w:r>
      <w:r w:rsidR="002D56E4">
        <w:t xml:space="preserve"> </w:t>
      </w:r>
      <w:r w:rsidR="005525EA">
        <w:t>PG&amp;E requests a start date of 4/1/2018 to align with the 2018 RPP program cycle.</w:t>
      </w:r>
    </w:p>
    <w:p w14:paraId="7F7699DF" w14:textId="77777777" w:rsidR="00C45484" w:rsidRPr="00C45484" w:rsidRDefault="00C45484" w:rsidP="00C45484">
      <w:pPr>
        <w:rPr>
          <w:u w:val="single"/>
        </w:rPr>
      </w:pPr>
      <w:r w:rsidRPr="00C45484">
        <w:rPr>
          <w:b/>
          <w:bCs/>
          <w:u w:val="single"/>
        </w:rPr>
        <w:t>Dehumidifiers:</w:t>
      </w:r>
    </w:p>
    <w:p w14:paraId="03F9F7AD" w14:textId="752B0B74" w:rsidR="00E426F8" w:rsidRDefault="00C45484" w:rsidP="00C45484">
      <w:r w:rsidRPr="00C45484">
        <w:t>Dehumidifier baseline assumes energy performance is equivalent to the USDOE minimum standard, however, data</w:t>
      </w:r>
      <w:r>
        <w:t xml:space="preserve"> </w:t>
      </w:r>
      <w:r w:rsidRPr="00C45484">
        <w:t>collected by PG&amp;E for the cost analysis shows that most units available in stores meet the obsolete EnergyStar 3.0</w:t>
      </w:r>
      <w:r>
        <w:t xml:space="preserve"> </w:t>
      </w:r>
      <w:r w:rsidRPr="00C45484">
        <w:t>requiremen</w:t>
      </w:r>
      <w:bookmarkStart w:id="0" w:name="_GoBack"/>
      <w:bookmarkEnd w:id="0"/>
      <w:r w:rsidRPr="00C45484">
        <w:t xml:space="preserve">t and are much more efficient than the USDOE minimum. Furthermore the </w:t>
      </w:r>
      <w:proofErr w:type="spellStart"/>
      <w:r w:rsidRPr="00C45484">
        <w:t>workpaper</w:t>
      </w:r>
      <w:proofErr w:type="spellEnd"/>
      <w:r w:rsidRPr="00C45484">
        <w:t xml:space="preserve"> does not contemplate</w:t>
      </w:r>
      <w:r>
        <w:t xml:space="preserve"> </w:t>
      </w:r>
      <w:r w:rsidRPr="00C45484">
        <w:t>the possibility that IOU assistance to retailers will cause the purchase of dehumidifiers when, without the IOU</w:t>
      </w:r>
      <w:r>
        <w:t xml:space="preserve"> </w:t>
      </w:r>
      <w:r w:rsidRPr="00C45484">
        <w:t>involvement, nothing would have been purchased before. Revise the baseline analysis to be a standard practice that</w:t>
      </w:r>
      <w:r>
        <w:t xml:space="preserve"> </w:t>
      </w:r>
      <w:r w:rsidRPr="00C45484">
        <w:t>reflects typical performance of non-qualifying units (not the USDOE minimum standard) along with current installed</w:t>
      </w:r>
      <w:r>
        <w:t xml:space="preserve"> </w:t>
      </w:r>
      <w:r w:rsidRPr="00C45484">
        <w:t>population. Analysis shall assign negative savings to units purchased due to program influence where no purchase would</w:t>
      </w:r>
      <w:r>
        <w:t xml:space="preserve"> </w:t>
      </w:r>
      <w:r w:rsidRPr="00C45484">
        <w:t>have otherwise occu</w:t>
      </w:r>
      <w:r w:rsidR="002E178D">
        <w:t>r</w:t>
      </w:r>
      <w:r w:rsidRPr="00C45484">
        <w:t>red.</w:t>
      </w:r>
    </w:p>
    <w:p w14:paraId="279F5E79" w14:textId="77777777" w:rsidR="00C45484" w:rsidRDefault="00786D05" w:rsidP="00C45484">
      <w:r w:rsidRPr="00786D05">
        <w:rPr>
          <w:b/>
        </w:rPr>
        <w:t>Response</w:t>
      </w:r>
      <w:r>
        <w:t>:</w:t>
      </w:r>
    </w:p>
    <w:p w14:paraId="27F80B65" w14:textId="2154430B" w:rsidR="00010554" w:rsidRDefault="00010554" w:rsidP="00C45484">
      <w:r>
        <w:t xml:space="preserve">Determining the baseline for a long term market transformation program is likely not as straightforward as it is for a typical resource acquisition program. However, </w:t>
      </w:r>
      <w:r w:rsidR="001B2C32">
        <w:t>we understand that this program</w:t>
      </w:r>
      <w:r>
        <w:t xml:space="preserve"> is generally expected to follow the baseline selection process that applies to other resource savings programs. Baseline and savings methods specific to market transformation programs may be more appropriate in the longer term. </w:t>
      </w:r>
    </w:p>
    <w:p w14:paraId="71D9E772" w14:textId="711C01BE" w:rsidR="00786D05" w:rsidRDefault="00010554" w:rsidP="00C45484">
      <w:r>
        <w:t>However, PG&amp;E</w:t>
      </w:r>
      <w:r w:rsidR="00786D05">
        <w:t xml:space="preserve"> accept</w:t>
      </w:r>
      <w:r>
        <w:t>s</w:t>
      </w:r>
      <w:r w:rsidR="00786D05">
        <w:t xml:space="preserve"> the standard practice baseline </w:t>
      </w:r>
      <w:r>
        <w:t xml:space="preserve">described in the disposition </w:t>
      </w:r>
      <w:r w:rsidR="00786D05">
        <w:t>and propose</w:t>
      </w:r>
      <w:r>
        <w:t>s</w:t>
      </w:r>
      <w:r w:rsidR="00786D05">
        <w:t xml:space="preserve"> to revise the dehumidifier baseline to the sales-weighted average energy factor of non-qualifying units provided in the table below. These values are derived from 12 months of historical data from participating RPP retailers from April 2016 to March 2017.</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62"/>
        <w:gridCol w:w="1980"/>
        <w:gridCol w:w="1980"/>
      </w:tblGrid>
      <w:tr w:rsidR="00786D05" w14:paraId="28A9BD9F" w14:textId="77777777" w:rsidTr="00786D05">
        <w:tc>
          <w:tcPr>
            <w:tcW w:w="2062" w:type="dxa"/>
            <w:tcMar>
              <w:top w:w="0" w:type="dxa"/>
              <w:left w:w="108" w:type="dxa"/>
              <w:bottom w:w="0" w:type="dxa"/>
              <w:right w:w="108" w:type="dxa"/>
            </w:tcMar>
            <w:hideMark/>
          </w:tcPr>
          <w:p w14:paraId="4F9104BD" w14:textId="77777777" w:rsidR="00786D05" w:rsidRDefault="00786D05">
            <w:pPr>
              <w:rPr>
                <w:rFonts w:ascii="Calibri" w:hAnsi="Calibri"/>
              </w:rPr>
            </w:pPr>
            <w:r>
              <w:t>Product class (pints/day)</w:t>
            </w:r>
          </w:p>
        </w:tc>
        <w:tc>
          <w:tcPr>
            <w:tcW w:w="1980" w:type="dxa"/>
          </w:tcPr>
          <w:p w14:paraId="096F981C" w14:textId="77777777" w:rsidR="00786D05" w:rsidRDefault="00786D05">
            <w:pPr>
              <w:rPr>
                <w:rFonts w:ascii="Calibri" w:hAnsi="Calibri"/>
              </w:rPr>
            </w:pPr>
            <w:r>
              <w:t>Sales-weighted average capacity (pints/day)</w:t>
            </w:r>
          </w:p>
        </w:tc>
        <w:tc>
          <w:tcPr>
            <w:tcW w:w="1980" w:type="dxa"/>
            <w:tcMar>
              <w:top w:w="0" w:type="dxa"/>
              <w:left w:w="108" w:type="dxa"/>
              <w:bottom w:w="0" w:type="dxa"/>
              <w:right w:w="108" w:type="dxa"/>
            </w:tcMar>
            <w:hideMark/>
          </w:tcPr>
          <w:p w14:paraId="192B2EA9" w14:textId="77777777" w:rsidR="00786D05" w:rsidRDefault="00786D05">
            <w:pPr>
              <w:rPr>
                <w:rFonts w:ascii="Calibri" w:hAnsi="Calibri"/>
              </w:rPr>
            </w:pPr>
            <w:r>
              <w:t>Sales-weighted average EF (non-qualifying)</w:t>
            </w:r>
          </w:p>
        </w:tc>
      </w:tr>
      <w:tr w:rsidR="00786D05" w14:paraId="538DA372" w14:textId="77777777" w:rsidTr="00786D05">
        <w:tc>
          <w:tcPr>
            <w:tcW w:w="2062" w:type="dxa"/>
            <w:tcMar>
              <w:top w:w="0" w:type="dxa"/>
              <w:left w:w="108" w:type="dxa"/>
              <w:bottom w:w="0" w:type="dxa"/>
              <w:right w:w="108" w:type="dxa"/>
            </w:tcMar>
            <w:hideMark/>
          </w:tcPr>
          <w:p w14:paraId="12DC4765" w14:textId="77777777" w:rsidR="00786D05" w:rsidRDefault="00786D05">
            <w:pPr>
              <w:rPr>
                <w:rFonts w:ascii="Calibri" w:hAnsi="Calibri"/>
              </w:rPr>
            </w:pPr>
            <w:r>
              <w:lastRenderedPageBreak/>
              <w:t>Up to  35</w:t>
            </w:r>
          </w:p>
        </w:tc>
        <w:tc>
          <w:tcPr>
            <w:tcW w:w="1980" w:type="dxa"/>
          </w:tcPr>
          <w:p w14:paraId="27AB9DDF" w14:textId="77777777" w:rsidR="00786D05" w:rsidRDefault="00786D05">
            <w:pPr>
              <w:rPr>
                <w:rFonts w:ascii="Calibri" w:hAnsi="Calibri"/>
              </w:rPr>
            </w:pPr>
            <w:r>
              <w:t>30</w:t>
            </w:r>
          </w:p>
        </w:tc>
        <w:tc>
          <w:tcPr>
            <w:tcW w:w="1980" w:type="dxa"/>
            <w:tcMar>
              <w:top w:w="0" w:type="dxa"/>
              <w:left w:w="108" w:type="dxa"/>
              <w:bottom w:w="0" w:type="dxa"/>
              <w:right w:w="108" w:type="dxa"/>
            </w:tcMar>
            <w:hideMark/>
          </w:tcPr>
          <w:p w14:paraId="7DD445FB" w14:textId="77777777" w:rsidR="00786D05" w:rsidRDefault="00786D05">
            <w:pPr>
              <w:rPr>
                <w:rFonts w:ascii="Calibri" w:hAnsi="Calibri"/>
              </w:rPr>
            </w:pPr>
            <w:r>
              <w:t>1.40</w:t>
            </w:r>
          </w:p>
        </w:tc>
      </w:tr>
      <w:tr w:rsidR="00786D05" w14:paraId="599AFEDA" w14:textId="77777777" w:rsidTr="00786D05">
        <w:tc>
          <w:tcPr>
            <w:tcW w:w="2062" w:type="dxa"/>
            <w:tcMar>
              <w:top w:w="0" w:type="dxa"/>
              <w:left w:w="108" w:type="dxa"/>
              <w:bottom w:w="0" w:type="dxa"/>
              <w:right w:w="108" w:type="dxa"/>
            </w:tcMar>
            <w:hideMark/>
          </w:tcPr>
          <w:p w14:paraId="7BC43097" w14:textId="77777777" w:rsidR="00786D05" w:rsidRDefault="00786D05">
            <w:pPr>
              <w:rPr>
                <w:rFonts w:ascii="Calibri" w:hAnsi="Calibri"/>
              </w:rPr>
            </w:pPr>
            <w:r>
              <w:t>35.01 – 45</w:t>
            </w:r>
          </w:p>
        </w:tc>
        <w:tc>
          <w:tcPr>
            <w:tcW w:w="1980" w:type="dxa"/>
          </w:tcPr>
          <w:p w14:paraId="30890B70" w14:textId="77777777" w:rsidR="00786D05" w:rsidRDefault="00786D05">
            <w:pPr>
              <w:rPr>
                <w:rFonts w:ascii="Calibri" w:hAnsi="Calibri"/>
              </w:rPr>
            </w:pPr>
            <w:r>
              <w:t>45</w:t>
            </w:r>
          </w:p>
        </w:tc>
        <w:tc>
          <w:tcPr>
            <w:tcW w:w="1980" w:type="dxa"/>
            <w:tcMar>
              <w:top w:w="0" w:type="dxa"/>
              <w:left w:w="108" w:type="dxa"/>
              <w:bottom w:w="0" w:type="dxa"/>
              <w:right w:w="108" w:type="dxa"/>
            </w:tcMar>
            <w:hideMark/>
          </w:tcPr>
          <w:p w14:paraId="1488A7D3" w14:textId="77777777" w:rsidR="00786D05" w:rsidRDefault="00786D05">
            <w:pPr>
              <w:rPr>
                <w:rFonts w:ascii="Calibri" w:hAnsi="Calibri"/>
              </w:rPr>
            </w:pPr>
            <w:r>
              <w:t>1.50</w:t>
            </w:r>
          </w:p>
        </w:tc>
      </w:tr>
      <w:tr w:rsidR="00786D05" w14:paraId="08C89721" w14:textId="77777777" w:rsidTr="00786D05">
        <w:tc>
          <w:tcPr>
            <w:tcW w:w="2062" w:type="dxa"/>
            <w:tcMar>
              <w:top w:w="0" w:type="dxa"/>
              <w:left w:w="108" w:type="dxa"/>
              <w:bottom w:w="0" w:type="dxa"/>
              <w:right w:w="108" w:type="dxa"/>
            </w:tcMar>
            <w:hideMark/>
          </w:tcPr>
          <w:p w14:paraId="2A2FC9B0" w14:textId="77777777" w:rsidR="00786D05" w:rsidRDefault="00786D05">
            <w:pPr>
              <w:rPr>
                <w:rFonts w:ascii="Calibri" w:hAnsi="Calibri"/>
              </w:rPr>
            </w:pPr>
            <w:r>
              <w:t>45.01 – 54</w:t>
            </w:r>
          </w:p>
        </w:tc>
        <w:tc>
          <w:tcPr>
            <w:tcW w:w="1980" w:type="dxa"/>
          </w:tcPr>
          <w:p w14:paraId="06592C46" w14:textId="77777777" w:rsidR="00786D05" w:rsidRDefault="00786D05">
            <w:pPr>
              <w:rPr>
                <w:rFonts w:ascii="Calibri" w:hAnsi="Calibri"/>
              </w:rPr>
            </w:pPr>
            <w:r>
              <w:t>50</w:t>
            </w:r>
          </w:p>
        </w:tc>
        <w:tc>
          <w:tcPr>
            <w:tcW w:w="1980" w:type="dxa"/>
            <w:tcMar>
              <w:top w:w="0" w:type="dxa"/>
              <w:left w:w="108" w:type="dxa"/>
              <w:bottom w:w="0" w:type="dxa"/>
              <w:right w:w="108" w:type="dxa"/>
            </w:tcMar>
            <w:hideMark/>
          </w:tcPr>
          <w:p w14:paraId="260429E9" w14:textId="77777777" w:rsidR="00786D05" w:rsidRDefault="00786D05">
            <w:pPr>
              <w:rPr>
                <w:rFonts w:ascii="Calibri" w:hAnsi="Calibri"/>
              </w:rPr>
            </w:pPr>
            <w:r>
              <w:t>1.87</w:t>
            </w:r>
          </w:p>
        </w:tc>
      </w:tr>
      <w:tr w:rsidR="00786D05" w14:paraId="3DE97387" w14:textId="77777777" w:rsidTr="00786D05">
        <w:tc>
          <w:tcPr>
            <w:tcW w:w="2062" w:type="dxa"/>
            <w:tcMar>
              <w:top w:w="0" w:type="dxa"/>
              <w:left w:w="108" w:type="dxa"/>
              <w:bottom w:w="0" w:type="dxa"/>
              <w:right w:w="108" w:type="dxa"/>
            </w:tcMar>
            <w:hideMark/>
          </w:tcPr>
          <w:p w14:paraId="125A8B68" w14:textId="77777777" w:rsidR="00786D05" w:rsidRDefault="00786D05">
            <w:pPr>
              <w:rPr>
                <w:rFonts w:ascii="Calibri" w:hAnsi="Calibri"/>
              </w:rPr>
            </w:pPr>
            <w:r>
              <w:t>54.01 – 75</w:t>
            </w:r>
          </w:p>
        </w:tc>
        <w:tc>
          <w:tcPr>
            <w:tcW w:w="1980" w:type="dxa"/>
          </w:tcPr>
          <w:p w14:paraId="36A2D406" w14:textId="77777777" w:rsidR="00786D05" w:rsidRDefault="00786D05">
            <w:pPr>
              <w:rPr>
                <w:rFonts w:ascii="Calibri" w:hAnsi="Calibri"/>
              </w:rPr>
            </w:pPr>
            <w:r>
              <w:t>70</w:t>
            </w:r>
          </w:p>
        </w:tc>
        <w:tc>
          <w:tcPr>
            <w:tcW w:w="1980" w:type="dxa"/>
            <w:tcMar>
              <w:top w:w="0" w:type="dxa"/>
              <w:left w:w="108" w:type="dxa"/>
              <w:bottom w:w="0" w:type="dxa"/>
              <w:right w:w="108" w:type="dxa"/>
            </w:tcMar>
            <w:hideMark/>
          </w:tcPr>
          <w:p w14:paraId="1FACA959" w14:textId="77777777" w:rsidR="00786D05" w:rsidRDefault="00786D05">
            <w:pPr>
              <w:rPr>
                <w:rFonts w:ascii="Calibri" w:hAnsi="Calibri"/>
              </w:rPr>
            </w:pPr>
            <w:r>
              <w:t>1.87</w:t>
            </w:r>
          </w:p>
        </w:tc>
      </w:tr>
      <w:tr w:rsidR="00786D05" w14:paraId="62720EF0" w14:textId="77777777" w:rsidTr="00786D05">
        <w:tc>
          <w:tcPr>
            <w:tcW w:w="2062" w:type="dxa"/>
            <w:tcMar>
              <w:top w:w="0" w:type="dxa"/>
              <w:left w:w="108" w:type="dxa"/>
              <w:bottom w:w="0" w:type="dxa"/>
              <w:right w:w="108" w:type="dxa"/>
            </w:tcMar>
            <w:hideMark/>
          </w:tcPr>
          <w:p w14:paraId="4001E4B9" w14:textId="77777777" w:rsidR="00786D05" w:rsidRDefault="00786D05">
            <w:pPr>
              <w:rPr>
                <w:rFonts w:ascii="Calibri" w:hAnsi="Calibri"/>
              </w:rPr>
            </w:pPr>
            <w:r>
              <w:t>75.01 or more</w:t>
            </w:r>
          </w:p>
        </w:tc>
        <w:tc>
          <w:tcPr>
            <w:tcW w:w="1980" w:type="dxa"/>
          </w:tcPr>
          <w:p w14:paraId="23B06F84" w14:textId="77777777" w:rsidR="00786D05" w:rsidRDefault="00786D05">
            <w:pPr>
              <w:rPr>
                <w:rFonts w:ascii="Calibri" w:hAnsi="Calibri"/>
              </w:rPr>
            </w:pPr>
            <w:r>
              <w:t>95</w:t>
            </w:r>
          </w:p>
        </w:tc>
        <w:tc>
          <w:tcPr>
            <w:tcW w:w="1980" w:type="dxa"/>
            <w:tcMar>
              <w:top w:w="0" w:type="dxa"/>
              <w:left w:w="108" w:type="dxa"/>
              <w:bottom w:w="0" w:type="dxa"/>
              <w:right w:w="108" w:type="dxa"/>
            </w:tcMar>
            <w:hideMark/>
          </w:tcPr>
          <w:p w14:paraId="42B2DA6B" w14:textId="77777777" w:rsidR="00786D05" w:rsidRDefault="00786D05">
            <w:pPr>
              <w:rPr>
                <w:rFonts w:ascii="Calibri" w:hAnsi="Calibri"/>
              </w:rPr>
            </w:pPr>
            <w:r>
              <w:t>2.50</w:t>
            </w:r>
          </w:p>
        </w:tc>
      </w:tr>
      <w:tr w:rsidR="00786D05" w14:paraId="692BA9DE" w14:textId="77777777" w:rsidTr="00786D05">
        <w:tc>
          <w:tcPr>
            <w:tcW w:w="2062" w:type="dxa"/>
            <w:tcMar>
              <w:top w:w="0" w:type="dxa"/>
              <w:left w:w="108" w:type="dxa"/>
              <w:bottom w:w="0" w:type="dxa"/>
              <w:right w:w="108" w:type="dxa"/>
            </w:tcMar>
            <w:hideMark/>
          </w:tcPr>
          <w:p w14:paraId="4CB405BF" w14:textId="77777777" w:rsidR="00786D05" w:rsidRDefault="00786D05">
            <w:pPr>
              <w:rPr>
                <w:rFonts w:ascii="Calibri" w:hAnsi="Calibri"/>
              </w:rPr>
            </w:pPr>
            <w:r>
              <w:t>All</w:t>
            </w:r>
          </w:p>
        </w:tc>
        <w:tc>
          <w:tcPr>
            <w:tcW w:w="1980" w:type="dxa"/>
          </w:tcPr>
          <w:p w14:paraId="314D5431" w14:textId="77777777" w:rsidR="00786D05" w:rsidRDefault="00786D05">
            <w:pPr>
              <w:rPr>
                <w:rFonts w:ascii="Calibri" w:hAnsi="Calibri"/>
              </w:rPr>
            </w:pPr>
            <w:r>
              <w:t>52.85</w:t>
            </w:r>
          </w:p>
        </w:tc>
        <w:tc>
          <w:tcPr>
            <w:tcW w:w="1980" w:type="dxa"/>
            <w:tcMar>
              <w:top w:w="0" w:type="dxa"/>
              <w:left w:w="108" w:type="dxa"/>
              <w:bottom w:w="0" w:type="dxa"/>
              <w:right w:w="108" w:type="dxa"/>
            </w:tcMar>
            <w:hideMark/>
          </w:tcPr>
          <w:p w14:paraId="7EA3B38A" w14:textId="77777777" w:rsidR="00786D05" w:rsidRDefault="00786D05">
            <w:pPr>
              <w:rPr>
                <w:rFonts w:ascii="Calibri" w:hAnsi="Calibri"/>
              </w:rPr>
            </w:pPr>
            <w:r>
              <w:t>1.66</w:t>
            </w:r>
          </w:p>
        </w:tc>
      </w:tr>
    </w:tbl>
    <w:p w14:paraId="4B20A9DA" w14:textId="77777777" w:rsidR="00786D05" w:rsidRDefault="00786D05" w:rsidP="00C45484"/>
    <w:p w14:paraId="516BB281" w14:textId="13238DBE" w:rsidR="003C0D81" w:rsidRDefault="003C0D81" w:rsidP="00C45484">
      <w:r>
        <w:t>Since RPP is a midstream program, it is not necessary to examine the current installed population in the development of a standard baseline.  D.16-08-019</w:t>
      </w:r>
      <w:r>
        <w:rPr>
          <w:rStyle w:val="FootnoteReference"/>
        </w:rPr>
        <w:footnoteReference w:id="1"/>
      </w:r>
      <w:r>
        <w:t xml:space="preserve"> requires a code (or standard practice) baseline for mid-stream / upstream programs. The existing condition (e.g. what if anything the customer is replacing) is not considered. The working assumption for all mid-stream and upstream programs is that the customer has already decided to purchase a technology and the program </w:t>
      </w:r>
      <w:proofErr w:type="gramStart"/>
      <w:r>
        <w:t>is</w:t>
      </w:r>
      <w:proofErr w:type="gramEnd"/>
      <w:r>
        <w:t xml:space="preserve"> designed to encourage the purchase of a more efficient version.</w:t>
      </w:r>
    </w:p>
    <w:p w14:paraId="0930DCDD" w14:textId="6DE6E09C" w:rsidR="00786D05" w:rsidRDefault="00010554" w:rsidP="00C45484">
      <w:r>
        <w:t>Regarding the contemplation of negative savings associated with customer’s purchase of EE equipment in cases where would not have otherwise purchased the baseline equipment</w:t>
      </w:r>
      <w:r w:rsidR="00DA476E">
        <w:t>,</w:t>
      </w:r>
      <w:r w:rsidR="00E210E8" w:rsidRPr="00E210E8">
        <w:t xml:space="preserve"> RPP does not encourage consumers to purchase</w:t>
      </w:r>
      <w:r w:rsidR="0013176A">
        <w:t xml:space="preserve"> products but rather </w:t>
      </w:r>
      <w:r>
        <w:t>that retailers</w:t>
      </w:r>
      <w:r w:rsidR="0013176A">
        <w:t xml:space="preserve"> </w:t>
      </w:r>
      <w:r>
        <w:t>provide custome</w:t>
      </w:r>
      <w:r w:rsidR="00E56192">
        <w:t>r</w:t>
      </w:r>
      <w:r>
        <w:t>s</w:t>
      </w:r>
      <w:r w:rsidR="0013176A">
        <w:t xml:space="preserve"> with </w:t>
      </w:r>
      <w:r>
        <w:t xml:space="preserve">more opportunities </w:t>
      </w:r>
      <w:r w:rsidR="0013176A">
        <w:t>and choice</w:t>
      </w:r>
      <w:r>
        <w:t>s for the</w:t>
      </w:r>
      <w:r w:rsidR="0013176A">
        <w:t xml:space="preserve"> purchase</w:t>
      </w:r>
      <w:r>
        <w:t xml:space="preserve"> of</w:t>
      </w:r>
      <w:r w:rsidR="0013176A">
        <w:t xml:space="preserve"> more efficient versions of the products for which they were already shopping.</w:t>
      </w:r>
      <w:r w:rsidR="00E210E8" w:rsidRPr="00E210E8">
        <w:t xml:space="preserve"> </w:t>
      </w:r>
      <w:r w:rsidR="00763FC1">
        <w:t xml:space="preserve">PG&amp;E is willing to provide more information about the program model if this description does not satisfy Commission Staff’s concern about potential for negative savings. </w:t>
      </w:r>
    </w:p>
    <w:p w14:paraId="3295AFAD" w14:textId="77777777" w:rsidR="00C45484" w:rsidRPr="00C45484" w:rsidRDefault="00C45484" w:rsidP="00C45484">
      <w:pPr>
        <w:rPr>
          <w:b/>
          <w:bCs/>
          <w:u w:val="single"/>
        </w:rPr>
      </w:pPr>
      <w:r w:rsidRPr="00C45484">
        <w:rPr>
          <w:b/>
          <w:bCs/>
          <w:u w:val="single"/>
        </w:rPr>
        <w:t>Connected Room Air Conditioners:</w:t>
      </w:r>
    </w:p>
    <w:p w14:paraId="33814BD3" w14:textId="4D43C06D" w:rsidR="003634AE" w:rsidRDefault="00C45484" w:rsidP="00C45484">
      <w:proofErr w:type="spellStart"/>
      <w:r w:rsidRPr="00C45484">
        <w:t>Workpaper</w:t>
      </w:r>
      <w:proofErr w:type="spellEnd"/>
      <w:r w:rsidRPr="00C45484">
        <w:t xml:space="preserve"> proposes the same savings values as have been approved for non-connected room ACs. However, as is</w:t>
      </w:r>
      <w:r>
        <w:rPr>
          <w:b/>
          <w:bCs/>
        </w:rPr>
        <w:t xml:space="preserve"> </w:t>
      </w:r>
      <w:r w:rsidRPr="00C45484">
        <w:t>considered for smart thermostats, connected technologies present the possibility that operational hours will change</w:t>
      </w:r>
      <w:r>
        <w:rPr>
          <w:b/>
          <w:bCs/>
        </w:rPr>
        <w:t xml:space="preserve"> </w:t>
      </w:r>
      <w:r w:rsidRPr="00C45484">
        <w:t>(either increase or decrease) which would mean the current approved UES values could not be used. Provide baseline</w:t>
      </w:r>
      <w:r>
        <w:rPr>
          <w:b/>
          <w:bCs/>
        </w:rPr>
        <w:t xml:space="preserve"> </w:t>
      </w:r>
      <w:r w:rsidRPr="00C45484">
        <w:t>analysis that develops a standard practice baseline that reflects the typical installed population. Analysis shall assign</w:t>
      </w:r>
      <w:r>
        <w:rPr>
          <w:b/>
          <w:bCs/>
        </w:rPr>
        <w:t xml:space="preserve"> </w:t>
      </w:r>
      <w:r w:rsidRPr="00C45484">
        <w:t xml:space="preserve">negative savings to units purchased due to program influence where no purchase would have otherwise </w:t>
      </w:r>
      <w:proofErr w:type="spellStart"/>
      <w:r w:rsidRPr="00C45484">
        <w:t>occured</w:t>
      </w:r>
      <w:proofErr w:type="spellEnd"/>
      <w:r w:rsidRPr="00C45484">
        <w:t>.</w:t>
      </w:r>
    </w:p>
    <w:p w14:paraId="0246BE8A" w14:textId="36E8C147" w:rsidR="003634AE" w:rsidRDefault="003634AE" w:rsidP="00FA6E5B">
      <w:r w:rsidRPr="00CD0630">
        <w:rPr>
          <w:b/>
        </w:rPr>
        <w:t>Response</w:t>
      </w:r>
      <w:r>
        <w:t xml:space="preserve">: Connected room air conditioners currently represent a very small portion of the market. </w:t>
      </w:r>
      <w:r w:rsidR="00186EE0">
        <w:t xml:space="preserve">The ENERGY STAR qualified products list only contains 5 eligible models from a single manufacturer, and PG&amp;E has paid $0 in incentives for connected room ACs since April 2017. We do not expect significant volume for this category in 2018. </w:t>
      </w:r>
      <w:r w:rsidR="00466300">
        <w:t xml:space="preserve">Therefore, uncertainty in the savings estimates for this measure does not pose a risk to the program. We believe it is reasonable to claim the same savings as non-connected room ACs and evaluate the effect of connectivity features </w:t>
      </w:r>
      <w:r w:rsidR="00C548DB">
        <w:t xml:space="preserve">when this technology attains significant </w:t>
      </w:r>
      <w:r w:rsidR="00C548DB">
        <w:lastRenderedPageBreak/>
        <w:t>market uptake.</w:t>
      </w:r>
      <w:r w:rsidR="00FA6E5B">
        <w:t xml:space="preserve"> </w:t>
      </w:r>
      <w:r w:rsidR="00FA6E5B">
        <w:rPr>
          <w:rFonts w:eastAsia="Times New Roman"/>
        </w:rPr>
        <w:t xml:space="preserve">Collecting this data specifically for connected devices would likely be a costly and time-consuming endeavor. Consider ongoing smart thermostat research, which has eclipsed several hundred thousand dollars in pursuit of similar questions. </w:t>
      </w:r>
      <w:r w:rsidR="00FA6E5B" w:rsidDel="00FA6E5B">
        <w:rPr>
          <w:rStyle w:val="CommentReference"/>
        </w:rPr>
        <w:t xml:space="preserve"> </w:t>
      </w:r>
    </w:p>
    <w:p w14:paraId="6F086249" w14:textId="77777777" w:rsidR="00C45484" w:rsidRPr="00C45484" w:rsidRDefault="00C45484" w:rsidP="00FA6E5B">
      <w:pPr>
        <w:rPr>
          <w:u w:val="single"/>
        </w:rPr>
      </w:pPr>
      <w:r w:rsidRPr="00C45484">
        <w:rPr>
          <w:b/>
          <w:bCs/>
          <w:u w:val="single"/>
        </w:rPr>
        <w:t>Dehumidifiers (kWh):</w:t>
      </w:r>
    </w:p>
    <w:p w14:paraId="2FAF8688" w14:textId="77777777" w:rsidR="00C45484" w:rsidRDefault="00C45484" w:rsidP="00FA6E5B">
      <w:pPr>
        <w:rPr>
          <w:bCs/>
        </w:rPr>
      </w:pPr>
      <w:r w:rsidRPr="00C45484">
        <w:rPr>
          <w:bCs/>
        </w:rPr>
        <w:t>Savings are based on annual operational hours in each of three modes: s</w:t>
      </w:r>
      <w:r>
        <w:rPr>
          <w:bCs/>
        </w:rPr>
        <w:t xml:space="preserve">tandby, fan-only and compressor </w:t>
      </w:r>
      <w:r w:rsidRPr="00C45484">
        <w:rPr>
          <w:bCs/>
        </w:rPr>
        <w:t>dehumidification. Research results cited to support operating hours appear to be based</w:t>
      </w:r>
      <w:r>
        <w:rPr>
          <w:bCs/>
        </w:rPr>
        <w:t xml:space="preserve"> on investigations in primarily </w:t>
      </w:r>
      <w:r w:rsidRPr="00C45484">
        <w:rPr>
          <w:bCs/>
        </w:rPr>
        <w:t>humid climates. PG&amp;E notes that since PG&amp;E average vapor density is approximately equal to nationa</w:t>
      </w:r>
      <w:r>
        <w:rPr>
          <w:bCs/>
        </w:rPr>
        <w:t xml:space="preserve">l average vapor </w:t>
      </w:r>
      <w:r w:rsidRPr="00C45484">
        <w:rPr>
          <w:bCs/>
        </w:rPr>
        <w:t>density, that operating hours and other savings parameters developed from the cited researc</w:t>
      </w:r>
      <w:r>
        <w:rPr>
          <w:bCs/>
        </w:rPr>
        <w:t xml:space="preserve">h are applicable to California. </w:t>
      </w:r>
      <w:r w:rsidRPr="00C45484">
        <w:rPr>
          <w:bCs/>
        </w:rPr>
        <w:t>Furthermore, the operational hours assumed are those used in the USDOE rulemaking and appear to be the highest values</w:t>
      </w:r>
      <w:r>
        <w:rPr>
          <w:bCs/>
        </w:rPr>
        <w:t xml:space="preserve"> </w:t>
      </w:r>
      <w:r w:rsidRPr="00C45484">
        <w:rPr>
          <w:bCs/>
        </w:rPr>
        <w:t>of any of the available research results. (Note that PG&amp;E cites other studies whe</w:t>
      </w:r>
      <w:r>
        <w:rPr>
          <w:bCs/>
        </w:rPr>
        <w:t xml:space="preserve">re lower operational hours were </w:t>
      </w:r>
      <w:r w:rsidRPr="00C45484">
        <w:rPr>
          <w:bCs/>
        </w:rPr>
        <w:t>observed.) The analysis of operating hours needs to be expanded to examine the average</w:t>
      </w:r>
      <w:r>
        <w:rPr>
          <w:bCs/>
        </w:rPr>
        <w:t xml:space="preserve"> vapor density from the studied </w:t>
      </w:r>
      <w:r w:rsidRPr="00C45484">
        <w:rPr>
          <w:bCs/>
        </w:rPr>
        <w:t>units as that is the basis for the USDOE savings.</w:t>
      </w:r>
    </w:p>
    <w:p w14:paraId="7BC8CB1F" w14:textId="21BAD266" w:rsidR="00A921AB" w:rsidRDefault="006843FF" w:rsidP="00C45484">
      <w:pPr>
        <w:rPr>
          <w:bCs/>
        </w:rPr>
      </w:pPr>
      <w:r w:rsidRPr="006843FF">
        <w:rPr>
          <w:b/>
          <w:bCs/>
        </w:rPr>
        <w:t>Response</w:t>
      </w:r>
      <w:r>
        <w:rPr>
          <w:bCs/>
        </w:rPr>
        <w:t xml:space="preserve">: </w:t>
      </w:r>
      <w:r w:rsidR="001B2C32">
        <w:rPr>
          <w:bCs/>
        </w:rPr>
        <w:t>PG&amp;E does not believe that the operational hours used in the USDOE rulemaking are higher than what was evaluated in other available studies. T</w:t>
      </w:r>
      <w:r>
        <w:rPr>
          <w:bCs/>
        </w:rPr>
        <w:t xml:space="preserve">he definition of what is considered an operational mode varies between studies and such a determination is uncertain in some studies. The definitions for standby, fan-only, and dehumidification mode are only defined strictly within the scope of the DOE Technical Support Document. Therefore, caution should be considered when comparing operating hours between different studies. Although the DOE TSD estimates 3,799 hours of operation (for portable dehumidifiers), only 1,341 of those hours were in dehumidification mode, which is the only mode that affects energy savings. </w:t>
      </w:r>
      <w:r w:rsidR="006029A1">
        <w:rPr>
          <w:bCs/>
        </w:rPr>
        <w:t xml:space="preserve">LBNL’s survey study (Yang, 2014) estimates 1,580 hours of operation, but notes that the survey was imprecise in defining what is considered a dehumidifier in operation. The study was meant to exclude periods of idle operation, and thus the 1,580 hours </w:t>
      </w:r>
      <w:r w:rsidR="005B175A">
        <w:rPr>
          <w:bCs/>
        </w:rPr>
        <w:t>may not be inclusive of standby mode. The Cadmus report’s estimate of 2,160 hours also excludes time in standby mode. Thus, when comparing hours of use in dehumidification mode only, the DOE’s estimates may likely be conservative compared to other studies cited.</w:t>
      </w:r>
    </w:p>
    <w:p w14:paraId="7135EA4A" w14:textId="38FC4816" w:rsidR="00A921AB" w:rsidRDefault="00D506F8" w:rsidP="00C45484">
      <w:pPr>
        <w:rPr>
          <w:bCs/>
        </w:rPr>
      </w:pPr>
      <w:r>
        <w:rPr>
          <w:bCs/>
        </w:rPr>
        <w:t xml:space="preserve">In the DOE’s rulemaking, the primary source for portable dehumidifiers was LBNL’s filed study on portable dehumidifiers (Willem, 2013). In this study, the purpose of field monitoring was to correlate outdoor vapor density to compressor runtime. The field results were further combined with RECS data to derive the final values for hours of operation that reflect the national average. Thus, the DOE estimates for portable dehumidifiers already reflect the national average and are not tied to the specific site from which the field data was obtained. The DOE’s </w:t>
      </w:r>
      <w:r w:rsidR="00A921AB">
        <w:rPr>
          <w:bCs/>
        </w:rPr>
        <w:t xml:space="preserve">primary source for hours of operation of whole-house dehumidifiers was an LBNL study (Burke, 2014), which studies 4 sites (one in Wisconsin and 3 in Florida). </w:t>
      </w:r>
      <w:r w:rsidR="00C9351A">
        <w:rPr>
          <w:bCs/>
        </w:rPr>
        <w:t xml:space="preserve">While Wisconsin’s climate is dry with and average vapor density of 6.8 g/m^3, Florida is particularly humid with an average vapor density of 15.3 g/m^3. </w:t>
      </w:r>
      <w:r w:rsidR="00A921AB">
        <w:rPr>
          <w:bCs/>
        </w:rPr>
        <w:t>For the 4 sites, the percentage of time spent in compressor</w:t>
      </w:r>
      <w:r w:rsidR="00081280">
        <w:rPr>
          <w:bCs/>
        </w:rPr>
        <w:t xml:space="preserve"> dehumidification mode w</w:t>
      </w:r>
      <w:r w:rsidR="00A23AD8">
        <w:rPr>
          <w:bCs/>
        </w:rPr>
        <w:t>as</w:t>
      </w:r>
      <w:r w:rsidR="00081280">
        <w:rPr>
          <w:bCs/>
        </w:rPr>
        <w:t xml:space="preserve"> </w:t>
      </w:r>
      <w:r w:rsidR="00A23AD8">
        <w:rPr>
          <w:bCs/>
        </w:rPr>
        <w:t>32.7</w:t>
      </w:r>
      <w:r w:rsidR="00A921AB">
        <w:rPr>
          <w:bCs/>
        </w:rPr>
        <w:t xml:space="preserve">% for the Wisconsin site and </w:t>
      </w:r>
      <w:r w:rsidR="00A23AD8">
        <w:rPr>
          <w:bCs/>
        </w:rPr>
        <w:t>28.4</w:t>
      </w:r>
      <w:r w:rsidR="009413A9">
        <w:rPr>
          <w:bCs/>
        </w:rPr>
        <w:t>%</w:t>
      </w:r>
      <w:r w:rsidR="00081280">
        <w:rPr>
          <w:bCs/>
        </w:rPr>
        <w:t>, 70.5%, and 51.1%</w:t>
      </w:r>
      <w:r w:rsidR="00A921AB">
        <w:rPr>
          <w:bCs/>
        </w:rPr>
        <w:t xml:space="preserve"> respectively for the Florida sites. The DOE TSD estimates 50% </w:t>
      </w:r>
      <w:r w:rsidR="00F10E11">
        <w:rPr>
          <w:bCs/>
        </w:rPr>
        <w:t>based on the average amount of time a dehumidifier operated during a 24-hour period</w:t>
      </w:r>
      <w:r w:rsidR="00A921AB">
        <w:rPr>
          <w:bCs/>
        </w:rPr>
        <w:t xml:space="preserve">. </w:t>
      </w:r>
      <w:r w:rsidR="00C9351A">
        <w:rPr>
          <w:bCs/>
        </w:rPr>
        <w:t xml:space="preserve">Although </w:t>
      </w:r>
      <w:r>
        <w:rPr>
          <w:bCs/>
        </w:rPr>
        <w:t xml:space="preserve">this is the best available data regarding consumer usage patterns for whole-house dehumidifiers, a sample size of 4 is insufficient to extrapolate </w:t>
      </w:r>
      <w:r>
        <w:rPr>
          <w:bCs/>
        </w:rPr>
        <w:lastRenderedPageBreak/>
        <w:t>hours of operation for different geographical regions. However, w</w:t>
      </w:r>
      <w:r w:rsidR="009413A9">
        <w:rPr>
          <w:bCs/>
        </w:rPr>
        <w:t xml:space="preserve">e propose to </w:t>
      </w:r>
      <w:r>
        <w:rPr>
          <w:bCs/>
        </w:rPr>
        <w:t xml:space="preserve">conservatively </w:t>
      </w:r>
      <w:r w:rsidR="009413A9">
        <w:rPr>
          <w:bCs/>
        </w:rPr>
        <w:t>revise the percentage of time in dehumidification mode</w:t>
      </w:r>
      <w:r w:rsidR="00B32F33">
        <w:rPr>
          <w:bCs/>
        </w:rPr>
        <w:t xml:space="preserve"> for whole-house dehumidifiers</w:t>
      </w:r>
      <w:r w:rsidR="009413A9">
        <w:rPr>
          <w:bCs/>
        </w:rPr>
        <w:t xml:space="preserve"> from 50% to </w:t>
      </w:r>
      <w:r>
        <w:rPr>
          <w:bCs/>
        </w:rPr>
        <w:t xml:space="preserve">the Wisconsin site’s </w:t>
      </w:r>
      <w:r w:rsidR="009413A9">
        <w:rPr>
          <w:bCs/>
        </w:rPr>
        <w:t>3</w:t>
      </w:r>
      <w:r>
        <w:rPr>
          <w:bCs/>
        </w:rPr>
        <w:t>3</w:t>
      </w:r>
      <w:r w:rsidR="009413A9">
        <w:rPr>
          <w:bCs/>
        </w:rPr>
        <w:t>%</w:t>
      </w:r>
      <w:r>
        <w:rPr>
          <w:bCs/>
        </w:rPr>
        <w:t>.</w:t>
      </w:r>
      <w:r w:rsidR="00B32F33">
        <w:rPr>
          <w:bCs/>
        </w:rPr>
        <w:t xml:space="preserve"> </w:t>
      </w:r>
      <w:r w:rsidR="00A921AB">
        <w:rPr>
          <w:bCs/>
        </w:rPr>
        <w:t xml:space="preserve"> </w:t>
      </w:r>
    </w:p>
    <w:p w14:paraId="3C6A1052" w14:textId="416647C4" w:rsidR="006843FF" w:rsidRDefault="006843FF" w:rsidP="00C45484">
      <w:pPr>
        <w:rPr>
          <w:bCs/>
        </w:rPr>
      </w:pPr>
    </w:p>
    <w:p w14:paraId="4C00E1F2" w14:textId="77777777" w:rsidR="006843FF" w:rsidRDefault="00A921AB" w:rsidP="00C45484">
      <w:pPr>
        <w:rPr>
          <w:bCs/>
        </w:rPr>
      </w:pPr>
      <w:r>
        <w:rPr>
          <w:bCs/>
        </w:rPr>
        <w:object w:dxaOrig="1550" w:dyaOrig="991" w14:anchorId="2559E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2" o:title=""/>
          </v:shape>
          <o:OLEObject Type="Embed" ProgID="AcroExch.Document.DC" ShapeID="_x0000_i1025" DrawAspect="Icon" ObjectID="_1584794314" r:id="rId13"/>
        </w:object>
      </w:r>
    </w:p>
    <w:p w14:paraId="58E8D7AE" w14:textId="77777777" w:rsidR="00C45484" w:rsidRPr="00C45484" w:rsidRDefault="00C45484" w:rsidP="00C45484">
      <w:pPr>
        <w:rPr>
          <w:bCs/>
          <w:u w:val="single"/>
        </w:rPr>
      </w:pPr>
      <w:r w:rsidRPr="00C45484">
        <w:rPr>
          <w:b/>
          <w:bCs/>
          <w:u w:val="single"/>
        </w:rPr>
        <w:t>Dehumidifiers (kW):</w:t>
      </w:r>
    </w:p>
    <w:p w14:paraId="77A71516" w14:textId="77777777" w:rsidR="00C45484" w:rsidRDefault="00C45484" w:rsidP="00C45484">
      <w:pPr>
        <w:rPr>
          <w:bCs/>
        </w:rPr>
      </w:pPr>
      <w:r w:rsidRPr="00C45484">
        <w:rPr>
          <w:bCs/>
        </w:rPr>
        <w:t>Demand savings appear to be calculated assuming full dehumidification mode and a CDF of 0.6. The CDF represents the</w:t>
      </w:r>
      <w:r>
        <w:rPr>
          <w:bCs/>
        </w:rPr>
        <w:t xml:space="preserve"> </w:t>
      </w:r>
      <w:r w:rsidRPr="00C45484">
        <w:rPr>
          <w:bCs/>
        </w:rPr>
        <w:t>probability that the unit will be turned on during the DEER peak demand period. Note that the DEER demand period is the</w:t>
      </w:r>
      <w:r>
        <w:rPr>
          <w:bCs/>
        </w:rPr>
        <w:t xml:space="preserve"> </w:t>
      </w:r>
      <w:r w:rsidRPr="00C45484">
        <w:rPr>
          <w:bCs/>
        </w:rPr>
        <w:t>3 day average of the operation during the hours of 2pm-5pm for the three hottest days of the year. It is likely that</w:t>
      </w:r>
      <w:r>
        <w:rPr>
          <w:bCs/>
        </w:rPr>
        <w:t xml:space="preserve"> </w:t>
      </w:r>
      <w:r w:rsidRPr="00C45484">
        <w:rPr>
          <w:bCs/>
        </w:rPr>
        <w:t>dehumidifiers will operate in the other two modes (standby and fan-only) as well during the peak demand period. Using</w:t>
      </w:r>
      <w:r>
        <w:rPr>
          <w:bCs/>
        </w:rPr>
        <w:t xml:space="preserve"> </w:t>
      </w:r>
      <w:r w:rsidRPr="00C45484">
        <w:rPr>
          <w:bCs/>
        </w:rPr>
        <w:t>the dehumidifying mode will result in the highest possible demand savings. Provide additional analysis and supporting</w:t>
      </w:r>
      <w:r>
        <w:rPr>
          <w:bCs/>
        </w:rPr>
        <w:t xml:space="preserve"> </w:t>
      </w:r>
      <w:r w:rsidRPr="00C45484">
        <w:rPr>
          <w:bCs/>
        </w:rPr>
        <w:t>information that considers the other two operational modes in the calculation of peak demand.</w:t>
      </w:r>
    </w:p>
    <w:p w14:paraId="5FE0D5E4" w14:textId="77777777" w:rsidR="00C45484" w:rsidRDefault="00C45484" w:rsidP="00C45484">
      <w:pPr>
        <w:rPr>
          <w:bCs/>
        </w:rPr>
      </w:pPr>
      <w:r w:rsidRPr="00CD0630">
        <w:rPr>
          <w:b/>
          <w:bCs/>
        </w:rPr>
        <w:t>Response</w:t>
      </w:r>
      <w:r>
        <w:rPr>
          <w:bCs/>
        </w:rPr>
        <w:t xml:space="preserve">: </w:t>
      </w:r>
    </w:p>
    <w:p w14:paraId="4F7A710E" w14:textId="77777777" w:rsidR="00C45484" w:rsidRDefault="00C45484" w:rsidP="00C45484">
      <w:pPr>
        <w:rPr>
          <w:bCs/>
        </w:rPr>
      </w:pPr>
      <w:r>
        <w:rPr>
          <w:bCs/>
        </w:rPr>
        <w:t>The base and measure case calculation for peak demand is calculated using the following equation (EF differentiates base and measure case dehumidifier efficiency):</w:t>
      </w:r>
    </w:p>
    <w:p w14:paraId="27500F23" w14:textId="77777777" w:rsidR="00C45484" w:rsidRDefault="00C45484" w:rsidP="00C45484">
      <w:pPr>
        <w:jc w:val="center"/>
        <w:rPr>
          <w:bCs/>
        </w:rPr>
      </w:pPr>
      <w:r>
        <w:rPr>
          <w:noProof/>
        </w:rPr>
        <w:drawing>
          <wp:inline distT="0" distB="0" distL="0" distR="0" wp14:anchorId="056007C8" wp14:editId="5017382E">
            <wp:extent cx="2912605" cy="536695"/>
            <wp:effectExtent l="0" t="0" r="254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a:stretch>
                      <a:fillRect/>
                    </a:stretch>
                  </pic:blipFill>
                  <pic:spPr>
                    <a:xfrm>
                      <a:off x="0" y="0"/>
                      <a:ext cx="2912605" cy="536695"/>
                    </a:xfrm>
                    <a:prstGeom prst="rect">
                      <a:avLst/>
                    </a:prstGeom>
                  </pic:spPr>
                </pic:pic>
              </a:graphicData>
            </a:graphic>
          </wp:inline>
        </w:drawing>
      </w:r>
    </w:p>
    <w:p w14:paraId="45617E84" w14:textId="52CF886E" w:rsidR="00C45484" w:rsidRDefault="002C2603" w:rsidP="00C45484">
      <w:pPr>
        <w:rPr>
          <w:bCs/>
        </w:rPr>
      </w:pPr>
      <w:r>
        <w:rPr>
          <w:bCs/>
        </w:rPr>
        <w:t xml:space="preserve">The CDF of 0.6 assumes that the dehumidifier is operating (in any mode) during the DEER peak demand period. An additional factor </w:t>
      </w:r>
      <m:oMath>
        <m:sSub>
          <m:sSubPr>
            <m:ctrlPr>
              <w:rPr>
                <w:rFonts w:ascii="Cambria Math" w:hAnsi="Cambria Math"/>
                <w:bCs/>
                <w:i/>
              </w:rPr>
            </m:ctrlPr>
          </m:sSubPr>
          <m:e>
            <m:r>
              <w:rPr>
                <w:rFonts w:ascii="Cambria Math" w:hAnsi="Cambria Math"/>
              </w:rPr>
              <m:t>X</m:t>
            </m:r>
          </m:e>
          <m:sub>
            <m:r>
              <w:rPr>
                <w:rFonts w:ascii="Cambria Math" w:hAnsi="Cambria Math"/>
              </w:rPr>
              <m:t>Dehum</m:t>
            </m:r>
          </m:sub>
        </m:sSub>
      </m:oMath>
      <w:r>
        <w:rPr>
          <w:rFonts w:eastAsiaTheme="minorEastAsia"/>
          <w:bCs/>
        </w:rPr>
        <w:t xml:space="preserve"> accounts for the time fraction of the operation (35% for portable and </w:t>
      </w:r>
      <w:r w:rsidR="00C72AC5">
        <w:rPr>
          <w:rFonts w:eastAsiaTheme="minorEastAsia"/>
          <w:bCs/>
        </w:rPr>
        <w:t>33</w:t>
      </w:r>
      <w:r>
        <w:rPr>
          <w:rFonts w:eastAsiaTheme="minorEastAsia"/>
          <w:bCs/>
        </w:rPr>
        <w:t>%</w:t>
      </w:r>
      <w:r w:rsidR="00C72AC5">
        <w:rPr>
          <w:rStyle w:val="FootnoteReference"/>
          <w:rFonts w:eastAsiaTheme="minorEastAsia"/>
          <w:bCs/>
        </w:rPr>
        <w:footnoteReference w:id="2"/>
      </w:r>
      <w:r>
        <w:rPr>
          <w:rFonts w:eastAsiaTheme="minorEastAsia"/>
          <w:bCs/>
        </w:rPr>
        <w:t xml:space="preserve"> for whole-house dehumidifiers) that is in dehumidification mode. This measure does not claim energy savings for standby and fan-only modes since only </w:t>
      </w:r>
      <w:r w:rsidR="00347B10">
        <w:rPr>
          <w:rFonts w:eastAsiaTheme="minorEastAsia"/>
          <w:bCs/>
        </w:rPr>
        <w:t xml:space="preserve">the efficiency in dehumidification mode is required in the current DOE specification (base and measure case energy consumption would be the same and therefore cancel out). </w:t>
      </w:r>
    </w:p>
    <w:p w14:paraId="483F6EC3" w14:textId="77777777" w:rsidR="00C45484" w:rsidRPr="00C45484" w:rsidRDefault="00C45484" w:rsidP="00C45484">
      <w:pPr>
        <w:rPr>
          <w:bCs/>
          <w:u w:val="single"/>
        </w:rPr>
      </w:pPr>
      <w:r w:rsidRPr="00C45484">
        <w:rPr>
          <w:b/>
          <w:bCs/>
          <w:u w:val="single"/>
        </w:rPr>
        <w:t>Dehumidifiers (Interactive Effects):</w:t>
      </w:r>
    </w:p>
    <w:p w14:paraId="4488FC64" w14:textId="77777777" w:rsidR="00347B10" w:rsidRDefault="00C45484" w:rsidP="00C45484">
      <w:pPr>
        <w:rPr>
          <w:bCs/>
        </w:rPr>
      </w:pPr>
      <w:r w:rsidRPr="00C45484">
        <w:rPr>
          <w:bCs/>
        </w:rPr>
        <w:t>Adjustments to enduse savings to consider HVAC interactive effects assume that only 36% are installed in "climate</w:t>
      </w:r>
      <w:r>
        <w:rPr>
          <w:bCs/>
        </w:rPr>
        <w:t xml:space="preserve"> </w:t>
      </w:r>
      <w:r w:rsidRPr="00C45484">
        <w:rPr>
          <w:bCs/>
        </w:rPr>
        <w:t>controlled spaces." Direct enduse savings are then multiplied by the DEER interactive effects factors along with a</w:t>
      </w:r>
      <w:r>
        <w:rPr>
          <w:bCs/>
        </w:rPr>
        <w:t xml:space="preserve"> </w:t>
      </w:r>
      <w:r w:rsidRPr="00C45484">
        <w:rPr>
          <w:bCs/>
        </w:rPr>
        <w:t>multiplier of 0.36. This seems low for portable dehumidifiers as it is likely that these would almost always be installed in</w:t>
      </w:r>
      <w:r>
        <w:rPr>
          <w:bCs/>
        </w:rPr>
        <w:t xml:space="preserve"> </w:t>
      </w:r>
      <w:r w:rsidRPr="00C45484">
        <w:rPr>
          <w:bCs/>
        </w:rPr>
        <w:t>conditioned space. On the other hand this seems high for whole house units as they would like be installed near the air</w:t>
      </w:r>
      <w:r>
        <w:rPr>
          <w:bCs/>
        </w:rPr>
        <w:t xml:space="preserve"> </w:t>
      </w:r>
      <w:r w:rsidRPr="00C45484">
        <w:rPr>
          <w:bCs/>
        </w:rPr>
        <w:t xml:space="preserve">handler, outside of the conditioned space. For </w:t>
      </w:r>
      <w:r w:rsidRPr="00C45484">
        <w:rPr>
          <w:bCs/>
        </w:rPr>
        <w:lastRenderedPageBreak/>
        <w:t>whole house units, there may be some interaction between the</w:t>
      </w:r>
      <w:r>
        <w:rPr>
          <w:bCs/>
        </w:rPr>
        <w:t xml:space="preserve"> </w:t>
      </w:r>
      <w:r w:rsidRPr="00C45484">
        <w:rPr>
          <w:bCs/>
        </w:rPr>
        <w:t>refrigeration unit and the supply air stream, but that interaction is most likely very small. Provide more complete</w:t>
      </w:r>
      <w:r>
        <w:rPr>
          <w:bCs/>
        </w:rPr>
        <w:t xml:space="preserve"> </w:t>
      </w:r>
      <w:r w:rsidRPr="00C45484">
        <w:rPr>
          <w:bCs/>
        </w:rPr>
        <w:t>information about what is meant by "climate controlled." Alternatively, savings may be revised to assume portable units</w:t>
      </w:r>
      <w:r>
        <w:rPr>
          <w:bCs/>
        </w:rPr>
        <w:t xml:space="preserve"> </w:t>
      </w:r>
      <w:r w:rsidRPr="00C45484">
        <w:rPr>
          <w:bCs/>
        </w:rPr>
        <w:t>are installed in conditioned space entirely (full DEER interactive effects) and whole house units are installed in</w:t>
      </w:r>
      <w:r>
        <w:rPr>
          <w:bCs/>
        </w:rPr>
        <w:t xml:space="preserve"> </w:t>
      </w:r>
      <w:r w:rsidRPr="00C45484">
        <w:rPr>
          <w:bCs/>
        </w:rPr>
        <w:t>unconditioned space (no interactive effects.)</w:t>
      </w:r>
    </w:p>
    <w:p w14:paraId="56476217" w14:textId="3034B9DB" w:rsidR="00605485" w:rsidRDefault="00347B10" w:rsidP="00C45484">
      <w:pPr>
        <w:rPr>
          <w:bCs/>
        </w:rPr>
      </w:pPr>
      <w:r w:rsidRPr="00CD0630">
        <w:rPr>
          <w:b/>
          <w:bCs/>
        </w:rPr>
        <w:t>Response</w:t>
      </w:r>
      <w:r>
        <w:rPr>
          <w:bCs/>
        </w:rPr>
        <w:t>:</w:t>
      </w:r>
      <w:r w:rsidR="00605485">
        <w:rPr>
          <w:bCs/>
        </w:rPr>
        <w:t xml:space="preserve"> The LBNL report </w:t>
      </w:r>
      <w:r w:rsidR="00605485" w:rsidRPr="00605485">
        <w:rPr>
          <w:bCs/>
          <w:i/>
        </w:rPr>
        <w:t>Using Field-Metered Data to Quantify Annual Energy Use of Residential Portable Unit Dehumidifiers</w:t>
      </w:r>
      <w:r w:rsidR="00605485">
        <w:rPr>
          <w:bCs/>
        </w:rPr>
        <w:t xml:space="preserve"> (Willem, 2013) studies portable dehumidifiers and found that 36% were installed in climate controlled-spaces. The report mentions that a climate-controlled space has a finished ceiling, floor, and walls and is either heated or cooled. A draft version of the same report provides further detail</w:t>
      </w:r>
      <w:r w:rsidR="00AD44AE">
        <w:rPr>
          <w:bCs/>
        </w:rPr>
        <w:t xml:space="preserve"> and states that this information was provided through a participant survey</w:t>
      </w:r>
      <w:r w:rsidR="00F0531B">
        <w:rPr>
          <w:bCs/>
        </w:rPr>
        <w:t xml:space="preserve"> (see survey question below)</w:t>
      </w:r>
      <w:r w:rsidR="00AD44AE">
        <w:rPr>
          <w:bCs/>
        </w:rPr>
        <w:t xml:space="preserve">. A climate-controlled space is any conditioned space including </w:t>
      </w:r>
      <w:r w:rsidR="003A2E68">
        <w:rPr>
          <w:bCs/>
        </w:rPr>
        <w:t>but not limited to rooms, basements, and garages.</w:t>
      </w:r>
      <w:r w:rsidR="00605485">
        <w:rPr>
          <w:bCs/>
        </w:rPr>
        <w:t xml:space="preserve"> </w:t>
      </w:r>
      <w:r w:rsidR="00FA6E5B">
        <w:rPr>
          <w:bCs/>
        </w:rPr>
        <w:t>Based on the results of this research, we believe it is reasonable to apply an interactive effects factor of 0.36 to portable dehumidifiers.</w:t>
      </w:r>
    </w:p>
    <w:p w14:paraId="0B8AFD6D" w14:textId="77777777" w:rsidR="00347B10" w:rsidRDefault="00605485" w:rsidP="00C45484">
      <w:pPr>
        <w:rPr>
          <w:bCs/>
        </w:rPr>
      </w:pPr>
      <w:r>
        <w:rPr>
          <w:noProof/>
        </w:rPr>
        <w:drawing>
          <wp:inline distT="0" distB="0" distL="0" distR="0" wp14:anchorId="25D32337" wp14:editId="2FFABB0A">
            <wp:extent cx="4552950" cy="13527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62794" cy="1355676"/>
                    </a:xfrm>
                    <a:prstGeom prst="rect">
                      <a:avLst/>
                    </a:prstGeom>
                  </pic:spPr>
                </pic:pic>
              </a:graphicData>
            </a:graphic>
          </wp:inline>
        </w:drawing>
      </w:r>
      <w:r>
        <w:rPr>
          <w:bCs/>
        </w:rPr>
        <w:t xml:space="preserve"> </w:t>
      </w:r>
    </w:p>
    <w:p w14:paraId="6E28F5BE" w14:textId="77777777" w:rsidR="003A2E68" w:rsidRDefault="00C72AC5" w:rsidP="00C45484">
      <w:pPr>
        <w:rPr>
          <w:bCs/>
        </w:rPr>
      </w:pPr>
      <w:r>
        <w:rPr>
          <w:bCs/>
        </w:rPr>
        <w:object w:dxaOrig="1550" w:dyaOrig="991" w14:anchorId="40E6421A">
          <v:shape id="_x0000_i1026" type="#_x0000_t75" style="width:77.25pt;height:49.5pt" o:ole="">
            <v:imagedata r:id="rId16" o:title=""/>
          </v:shape>
          <o:OLEObject Type="Embed" ProgID="AcroExch.Document.DC" ShapeID="_x0000_i1026" DrawAspect="Icon" ObjectID="_1584794315" r:id="rId17"/>
        </w:object>
      </w:r>
      <w:r>
        <w:rPr>
          <w:bCs/>
        </w:rPr>
        <w:object w:dxaOrig="1550" w:dyaOrig="991" w14:anchorId="5C82C69F">
          <v:shape id="_x0000_i1027" type="#_x0000_t75" style="width:77.25pt;height:49.5pt" o:ole="">
            <v:imagedata r:id="rId18" o:title=""/>
          </v:shape>
          <o:OLEObject Type="Embed" ProgID="AcroExch.Document.DC" ShapeID="_x0000_i1027" DrawAspect="Icon" ObjectID="_1584794316" r:id="rId19"/>
        </w:object>
      </w:r>
    </w:p>
    <w:p w14:paraId="34686E3D" w14:textId="0BDBF788" w:rsidR="003A2E68" w:rsidRPr="00C45484" w:rsidRDefault="00F0531B" w:rsidP="00C45484">
      <w:pPr>
        <w:rPr>
          <w:bCs/>
        </w:rPr>
      </w:pPr>
      <w:r>
        <w:rPr>
          <w:bCs/>
        </w:rPr>
        <w:t xml:space="preserve">There is limited information available regarding consumer use of whole-house dehumidifiers and according to an LBNL survey (Yang, 2014), only 1.34% of U.S. dehumidifier-owning households own whole-house dehumidifiers. </w:t>
      </w:r>
      <w:r w:rsidR="00FA6E5B">
        <w:rPr>
          <w:bCs/>
        </w:rPr>
        <w:t xml:space="preserve">We accept the preliminary review’s recommendation to assume that all </w:t>
      </w:r>
      <w:r>
        <w:rPr>
          <w:bCs/>
        </w:rPr>
        <w:t>whole-house dehumidifiers are installed in unconditioned spaces.</w:t>
      </w:r>
    </w:p>
    <w:sectPr w:rsidR="003A2E68" w:rsidRPr="00C45484">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2E5894" w15:done="0"/>
  <w15:commentEx w15:paraId="33EF046F" w15:done="0"/>
  <w15:commentEx w15:paraId="522B9EEF" w15:done="0"/>
  <w15:commentEx w15:paraId="18B364A8" w15:done="0"/>
  <w15:commentEx w15:paraId="6B7DDA43" w15:done="0"/>
  <w15:commentEx w15:paraId="7527F70A" w15:done="0"/>
  <w15:commentEx w15:paraId="1C4777A3" w15:done="0"/>
  <w15:commentEx w15:paraId="021FB6D2" w15:done="0"/>
  <w15:commentEx w15:paraId="686E1423" w15:done="0"/>
  <w15:commentEx w15:paraId="7CC57B15" w15:done="0"/>
  <w15:commentEx w15:paraId="35235A70" w15:paraIdParent="7CC57B15" w15:done="0"/>
  <w15:commentEx w15:paraId="3F0FD0C9" w15:paraIdParent="7CC57B15" w15:done="0"/>
  <w15:commentEx w15:paraId="5CC9881C" w15:done="0"/>
  <w15:commentEx w15:paraId="7A10E6C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2E5894" w16cid:durableId="1E648291"/>
  <w16cid:commentId w16cid:paraId="33EF046F" w16cid:durableId="1E6482B6"/>
  <w16cid:commentId w16cid:paraId="522B9EEF" w16cid:durableId="1E64827B"/>
  <w16cid:commentId w16cid:paraId="18B364A8" w16cid:durableId="1E64827C"/>
  <w16cid:commentId w16cid:paraId="6B7DDA43" w16cid:durableId="1E648309"/>
  <w16cid:commentId w16cid:paraId="7527F70A" w16cid:durableId="1E648388"/>
  <w16cid:commentId w16cid:paraId="1C4777A3" w16cid:durableId="1E64827D"/>
  <w16cid:commentId w16cid:paraId="021FB6D2" w16cid:durableId="1E64827E"/>
  <w16cid:commentId w16cid:paraId="686E1423" w16cid:durableId="1E6483F0"/>
  <w16cid:commentId w16cid:paraId="7CC57B15" w16cid:durableId="1E64827F"/>
  <w16cid:commentId w16cid:paraId="35235A70" w16cid:durableId="1E648280"/>
  <w16cid:commentId w16cid:paraId="3F0FD0C9" w16cid:durableId="1E648281"/>
  <w16cid:commentId w16cid:paraId="5CC9881C" w16cid:durableId="1E648282"/>
  <w16cid:commentId w16cid:paraId="7A10E6C9" w16cid:durableId="1E64828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BFC2F3" w14:textId="77777777" w:rsidR="00330AC2" w:rsidRDefault="00330AC2" w:rsidP="00330AC2">
      <w:pPr>
        <w:spacing w:after="0" w:line="240" w:lineRule="auto"/>
      </w:pPr>
      <w:r>
        <w:separator/>
      </w:r>
    </w:p>
  </w:endnote>
  <w:endnote w:type="continuationSeparator" w:id="0">
    <w:p w14:paraId="48245917" w14:textId="77777777" w:rsidR="00330AC2" w:rsidRDefault="00330AC2" w:rsidP="00330A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67C2D0" w14:textId="77777777" w:rsidR="00330AC2" w:rsidRDefault="00330AC2" w:rsidP="00330AC2">
      <w:pPr>
        <w:spacing w:after="0" w:line="240" w:lineRule="auto"/>
      </w:pPr>
      <w:r>
        <w:separator/>
      </w:r>
    </w:p>
  </w:footnote>
  <w:footnote w:type="continuationSeparator" w:id="0">
    <w:p w14:paraId="4B0415D4" w14:textId="77777777" w:rsidR="00330AC2" w:rsidRDefault="00330AC2" w:rsidP="00330AC2">
      <w:pPr>
        <w:spacing w:after="0" w:line="240" w:lineRule="auto"/>
      </w:pPr>
      <w:r>
        <w:continuationSeparator/>
      </w:r>
    </w:p>
  </w:footnote>
  <w:footnote w:id="1">
    <w:p w14:paraId="2D25C7D1" w14:textId="77777777" w:rsidR="003C0D81" w:rsidRDefault="003C0D81" w:rsidP="003C0D81">
      <w:pPr>
        <w:pStyle w:val="FootnoteText"/>
      </w:pPr>
      <w:r>
        <w:rPr>
          <w:rStyle w:val="FootnoteReference"/>
        </w:rPr>
        <w:footnoteRef/>
      </w:r>
      <w:r>
        <w:t xml:space="preserve"> From page 101 of D.16-08-019: “Upstream and midstream programs should have their baseline set based on current building codes and/or appliance standards.”</w:t>
      </w:r>
    </w:p>
  </w:footnote>
  <w:footnote w:id="2">
    <w:p w14:paraId="7EB1CBF5" w14:textId="3DF328B1" w:rsidR="00C72AC5" w:rsidRDefault="00C72AC5">
      <w:pPr>
        <w:pStyle w:val="FootnoteText"/>
      </w:pPr>
      <w:r>
        <w:rPr>
          <w:rStyle w:val="FootnoteReference"/>
        </w:rPr>
        <w:footnoteRef/>
      </w:r>
      <w:r>
        <w:t xml:space="preserve"> Originally 50% in original submission of WP, revised to 33% per above.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1F49DB"/>
    <w:multiLevelType w:val="hybridMultilevel"/>
    <w:tmpl w:val="C4707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itzpatrick, Halley">
    <w15:presenceInfo w15:providerId="AD" w15:userId="S-1-5-21-115761338-343289930-1325754085-44728"/>
  </w15:person>
  <w15:person w15:author="Gaspari Jr., Al">
    <w15:presenceInfo w15:providerId="AD" w15:userId="S-1-5-21-115761338-343289930-1325754085-2976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7ABA"/>
    <w:rsid w:val="00010554"/>
    <w:rsid w:val="00081280"/>
    <w:rsid w:val="00121354"/>
    <w:rsid w:val="001224D9"/>
    <w:rsid w:val="0013176A"/>
    <w:rsid w:val="00165D94"/>
    <w:rsid w:val="00186EE0"/>
    <w:rsid w:val="001B2C32"/>
    <w:rsid w:val="002C2603"/>
    <w:rsid w:val="002D56E4"/>
    <w:rsid w:val="002E178D"/>
    <w:rsid w:val="002F0AC0"/>
    <w:rsid w:val="003216D6"/>
    <w:rsid w:val="00330AC2"/>
    <w:rsid w:val="00347B10"/>
    <w:rsid w:val="003634AE"/>
    <w:rsid w:val="003A2E68"/>
    <w:rsid w:val="003C0D81"/>
    <w:rsid w:val="00466300"/>
    <w:rsid w:val="00483368"/>
    <w:rsid w:val="004D353A"/>
    <w:rsid w:val="005525EA"/>
    <w:rsid w:val="005868EA"/>
    <w:rsid w:val="005B175A"/>
    <w:rsid w:val="005E7BB4"/>
    <w:rsid w:val="006029A1"/>
    <w:rsid w:val="00605485"/>
    <w:rsid w:val="006120F5"/>
    <w:rsid w:val="006843FF"/>
    <w:rsid w:val="0068440D"/>
    <w:rsid w:val="006A3A48"/>
    <w:rsid w:val="006A4102"/>
    <w:rsid w:val="006D1301"/>
    <w:rsid w:val="0070777A"/>
    <w:rsid w:val="00763FC1"/>
    <w:rsid w:val="00786D05"/>
    <w:rsid w:val="007F1121"/>
    <w:rsid w:val="00803F11"/>
    <w:rsid w:val="009413A9"/>
    <w:rsid w:val="009A7C3D"/>
    <w:rsid w:val="00A23AD8"/>
    <w:rsid w:val="00A35579"/>
    <w:rsid w:val="00A35D7D"/>
    <w:rsid w:val="00A921AB"/>
    <w:rsid w:val="00AD44AE"/>
    <w:rsid w:val="00B32F33"/>
    <w:rsid w:val="00BA39C4"/>
    <w:rsid w:val="00BE1861"/>
    <w:rsid w:val="00C45484"/>
    <w:rsid w:val="00C548DB"/>
    <w:rsid w:val="00C72AC5"/>
    <w:rsid w:val="00C9351A"/>
    <w:rsid w:val="00CD0630"/>
    <w:rsid w:val="00D506F8"/>
    <w:rsid w:val="00D63E6C"/>
    <w:rsid w:val="00DA476E"/>
    <w:rsid w:val="00E210E8"/>
    <w:rsid w:val="00E426F8"/>
    <w:rsid w:val="00E56192"/>
    <w:rsid w:val="00F0531B"/>
    <w:rsid w:val="00F07ABA"/>
    <w:rsid w:val="00F10E11"/>
    <w:rsid w:val="00F72286"/>
    <w:rsid w:val="00FA6E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51FA9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54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5484"/>
    <w:rPr>
      <w:rFonts w:ascii="Tahoma" w:hAnsi="Tahoma" w:cs="Tahoma"/>
      <w:sz w:val="16"/>
      <w:szCs w:val="16"/>
    </w:rPr>
  </w:style>
  <w:style w:type="character" w:styleId="PlaceholderText">
    <w:name w:val="Placeholder Text"/>
    <w:basedOn w:val="DefaultParagraphFont"/>
    <w:uiPriority w:val="99"/>
    <w:semiHidden/>
    <w:rsid w:val="002C2603"/>
    <w:rPr>
      <w:color w:val="808080"/>
    </w:rPr>
  </w:style>
  <w:style w:type="character" w:styleId="CommentReference">
    <w:name w:val="annotation reference"/>
    <w:basedOn w:val="DefaultParagraphFont"/>
    <w:uiPriority w:val="99"/>
    <w:semiHidden/>
    <w:unhideWhenUsed/>
    <w:rsid w:val="007F1121"/>
    <w:rPr>
      <w:sz w:val="16"/>
      <w:szCs w:val="16"/>
    </w:rPr>
  </w:style>
  <w:style w:type="paragraph" w:styleId="CommentText">
    <w:name w:val="annotation text"/>
    <w:basedOn w:val="Normal"/>
    <w:link w:val="CommentTextChar"/>
    <w:uiPriority w:val="99"/>
    <w:semiHidden/>
    <w:unhideWhenUsed/>
    <w:rsid w:val="007F1121"/>
    <w:pPr>
      <w:spacing w:line="240" w:lineRule="auto"/>
    </w:pPr>
    <w:rPr>
      <w:sz w:val="20"/>
      <w:szCs w:val="20"/>
    </w:rPr>
  </w:style>
  <w:style w:type="character" w:customStyle="1" w:styleId="CommentTextChar">
    <w:name w:val="Comment Text Char"/>
    <w:basedOn w:val="DefaultParagraphFont"/>
    <w:link w:val="CommentText"/>
    <w:uiPriority w:val="99"/>
    <w:semiHidden/>
    <w:rsid w:val="007F1121"/>
    <w:rPr>
      <w:sz w:val="20"/>
      <w:szCs w:val="20"/>
    </w:rPr>
  </w:style>
  <w:style w:type="paragraph" w:styleId="CommentSubject">
    <w:name w:val="annotation subject"/>
    <w:basedOn w:val="CommentText"/>
    <w:next w:val="CommentText"/>
    <w:link w:val="CommentSubjectChar"/>
    <w:uiPriority w:val="99"/>
    <w:semiHidden/>
    <w:unhideWhenUsed/>
    <w:rsid w:val="007F1121"/>
    <w:rPr>
      <w:b/>
      <w:bCs/>
    </w:rPr>
  </w:style>
  <w:style w:type="character" w:customStyle="1" w:styleId="CommentSubjectChar">
    <w:name w:val="Comment Subject Char"/>
    <w:basedOn w:val="CommentTextChar"/>
    <w:link w:val="CommentSubject"/>
    <w:uiPriority w:val="99"/>
    <w:semiHidden/>
    <w:rsid w:val="007F1121"/>
    <w:rPr>
      <w:b/>
      <w:bCs/>
      <w:sz w:val="20"/>
      <w:szCs w:val="20"/>
    </w:rPr>
  </w:style>
  <w:style w:type="paragraph" w:styleId="FootnoteText">
    <w:name w:val="footnote text"/>
    <w:basedOn w:val="Normal"/>
    <w:link w:val="FootnoteTextChar"/>
    <w:uiPriority w:val="99"/>
    <w:semiHidden/>
    <w:unhideWhenUsed/>
    <w:rsid w:val="00330AC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30AC2"/>
    <w:rPr>
      <w:sz w:val="20"/>
      <w:szCs w:val="20"/>
    </w:rPr>
  </w:style>
  <w:style w:type="character" w:styleId="FootnoteReference">
    <w:name w:val="footnote reference"/>
    <w:basedOn w:val="DefaultParagraphFont"/>
    <w:uiPriority w:val="99"/>
    <w:semiHidden/>
    <w:unhideWhenUsed/>
    <w:rsid w:val="00330AC2"/>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54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5484"/>
    <w:rPr>
      <w:rFonts w:ascii="Tahoma" w:hAnsi="Tahoma" w:cs="Tahoma"/>
      <w:sz w:val="16"/>
      <w:szCs w:val="16"/>
    </w:rPr>
  </w:style>
  <w:style w:type="character" w:styleId="PlaceholderText">
    <w:name w:val="Placeholder Text"/>
    <w:basedOn w:val="DefaultParagraphFont"/>
    <w:uiPriority w:val="99"/>
    <w:semiHidden/>
    <w:rsid w:val="002C2603"/>
    <w:rPr>
      <w:color w:val="808080"/>
    </w:rPr>
  </w:style>
  <w:style w:type="character" w:styleId="CommentReference">
    <w:name w:val="annotation reference"/>
    <w:basedOn w:val="DefaultParagraphFont"/>
    <w:uiPriority w:val="99"/>
    <w:semiHidden/>
    <w:unhideWhenUsed/>
    <w:rsid w:val="007F1121"/>
    <w:rPr>
      <w:sz w:val="16"/>
      <w:szCs w:val="16"/>
    </w:rPr>
  </w:style>
  <w:style w:type="paragraph" w:styleId="CommentText">
    <w:name w:val="annotation text"/>
    <w:basedOn w:val="Normal"/>
    <w:link w:val="CommentTextChar"/>
    <w:uiPriority w:val="99"/>
    <w:semiHidden/>
    <w:unhideWhenUsed/>
    <w:rsid w:val="007F1121"/>
    <w:pPr>
      <w:spacing w:line="240" w:lineRule="auto"/>
    </w:pPr>
    <w:rPr>
      <w:sz w:val="20"/>
      <w:szCs w:val="20"/>
    </w:rPr>
  </w:style>
  <w:style w:type="character" w:customStyle="1" w:styleId="CommentTextChar">
    <w:name w:val="Comment Text Char"/>
    <w:basedOn w:val="DefaultParagraphFont"/>
    <w:link w:val="CommentText"/>
    <w:uiPriority w:val="99"/>
    <w:semiHidden/>
    <w:rsid w:val="007F1121"/>
    <w:rPr>
      <w:sz w:val="20"/>
      <w:szCs w:val="20"/>
    </w:rPr>
  </w:style>
  <w:style w:type="paragraph" w:styleId="CommentSubject">
    <w:name w:val="annotation subject"/>
    <w:basedOn w:val="CommentText"/>
    <w:next w:val="CommentText"/>
    <w:link w:val="CommentSubjectChar"/>
    <w:uiPriority w:val="99"/>
    <w:semiHidden/>
    <w:unhideWhenUsed/>
    <w:rsid w:val="007F1121"/>
    <w:rPr>
      <w:b/>
      <w:bCs/>
    </w:rPr>
  </w:style>
  <w:style w:type="character" w:customStyle="1" w:styleId="CommentSubjectChar">
    <w:name w:val="Comment Subject Char"/>
    <w:basedOn w:val="CommentTextChar"/>
    <w:link w:val="CommentSubject"/>
    <w:uiPriority w:val="99"/>
    <w:semiHidden/>
    <w:rsid w:val="007F1121"/>
    <w:rPr>
      <w:b/>
      <w:bCs/>
      <w:sz w:val="20"/>
      <w:szCs w:val="20"/>
    </w:rPr>
  </w:style>
  <w:style w:type="paragraph" w:styleId="FootnoteText">
    <w:name w:val="footnote text"/>
    <w:basedOn w:val="Normal"/>
    <w:link w:val="FootnoteTextChar"/>
    <w:uiPriority w:val="99"/>
    <w:semiHidden/>
    <w:unhideWhenUsed/>
    <w:rsid w:val="00330AC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30AC2"/>
    <w:rPr>
      <w:sz w:val="20"/>
      <w:szCs w:val="20"/>
    </w:rPr>
  </w:style>
  <w:style w:type="character" w:styleId="FootnoteReference">
    <w:name w:val="footnote reference"/>
    <w:basedOn w:val="DefaultParagraphFont"/>
    <w:uiPriority w:val="99"/>
    <w:semiHidden/>
    <w:unhideWhenUsed/>
    <w:rsid w:val="00330AC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8006669">
      <w:bodyDiv w:val="1"/>
      <w:marLeft w:val="0"/>
      <w:marRight w:val="0"/>
      <w:marTop w:val="0"/>
      <w:marBottom w:val="0"/>
      <w:divBdr>
        <w:top w:val="none" w:sz="0" w:space="0" w:color="auto"/>
        <w:left w:val="none" w:sz="0" w:space="0" w:color="auto"/>
        <w:bottom w:val="none" w:sz="0" w:space="0" w:color="auto"/>
        <w:right w:val="none" w:sz="0" w:space="0" w:color="auto"/>
      </w:divBdr>
    </w:div>
    <w:div w:id="664167231">
      <w:bodyDiv w:val="1"/>
      <w:marLeft w:val="0"/>
      <w:marRight w:val="0"/>
      <w:marTop w:val="0"/>
      <w:marBottom w:val="0"/>
      <w:divBdr>
        <w:top w:val="none" w:sz="0" w:space="0" w:color="auto"/>
        <w:left w:val="none" w:sz="0" w:space="0" w:color="auto"/>
        <w:bottom w:val="none" w:sz="0" w:space="0" w:color="auto"/>
        <w:right w:val="none" w:sz="0" w:space="0" w:color="auto"/>
      </w:divBdr>
    </w:div>
    <w:div w:id="1340157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oleObject" Target="embeddings/oleObject2.bin"/><Relationship Id="rId25"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image" Target="media/image3.png"/><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05362243595F84EBF92E9F0BFC80EE0" ma:contentTypeVersion="0" ma:contentTypeDescription="Create a new document." ma:contentTypeScope="" ma:versionID="ddeae4fced6587a724cdeb9301e23cc9">
  <xsd:schema xmlns:xsd="http://www.w3.org/2001/XMLSchema" xmlns:xs="http://www.w3.org/2001/XMLSchema" xmlns:p="http://schemas.microsoft.com/office/2006/metadata/properties" targetNamespace="http://schemas.microsoft.com/office/2006/metadata/properties" ma:root="true" ma:fieldsID="be49189b09f1ade3a025730c41919c3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A05BA1-9276-4E89-9A66-7D60EE7C2C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97A91D9-F968-4E46-B0D9-828A4CE68004}">
  <ds:schemaRefs>
    <ds:schemaRef ds:uri="http://schemas.microsoft.com/sharepoint/v3/contenttype/forms"/>
  </ds:schemaRefs>
</ds:datastoreItem>
</file>

<file path=customXml/itemProps3.xml><?xml version="1.0" encoding="utf-8"?>
<ds:datastoreItem xmlns:ds="http://schemas.openxmlformats.org/officeDocument/2006/customXml" ds:itemID="{504D8CE3-B2D7-48FF-93FF-56700EBEE7A9}">
  <ds:schemaRefs>
    <ds:schemaRef ds:uri="http://purl.org/dc/dcmitype/"/>
    <ds:schemaRef ds:uri="http://schemas.openxmlformats.org/package/2006/metadata/core-properties"/>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www.w3.org/XML/1998/namespace"/>
    <ds:schemaRef ds:uri="http://purl.org/dc/terms/"/>
  </ds:schemaRefs>
</ds:datastoreItem>
</file>

<file path=customXml/itemProps4.xml><?xml version="1.0" encoding="utf-8"?>
<ds:datastoreItem xmlns:ds="http://schemas.openxmlformats.org/officeDocument/2006/customXml" ds:itemID="{A6675D5E-19B2-4219-8309-B5F1FBAB1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Pages>
  <Words>1901</Words>
  <Characters>10841</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Pacific Gas and Electric</Company>
  <LinksUpToDate>false</LinksUpToDate>
  <CharactersWithSpaces>12717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Huang, Jia Chang</dc:creator>
  <cp:lastModifiedBy>Huang, Jia Chang</cp:lastModifiedBy>
  <cp:revision>5</cp:revision>
  <dcterms:created xsi:type="dcterms:W3CDTF">2018-04-09T20:31:00Z</dcterms:created>
  <dcterms:modified xsi:type="dcterms:W3CDTF">2018-04-09T22:51:00Z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0x010100905362243595F84EBF92E9F0BFC80EE0</vt:lpwstr>
  </property>
</Properties>
</file>