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A" w:rsidRPr="00500C4E" w:rsidRDefault="00E6385A" w:rsidP="000E19CA">
      <w:pPr>
        <w:pStyle w:val="WPnumber"/>
      </w:pPr>
      <w:bookmarkStart w:id="0" w:name="_Toc153189647"/>
      <w:r>
        <w:t xml:space="preserve">Short Form </w:t>
      </w:r>
      <w:r w:rsidR="00F117C6" w:rsidRPr="00500C4E">
        <w:t>Work Paper</w:t>
      </w:r>
      <w:r w:rsidR="00132AEE">
        <w:t xml:space="preserve"> PGECO</w:t>
      </w:r>
      <w:r w:rsidR="00FF2DDF">
        <w:t>ALL109</w:t>
      </w:r>
    </w:p>
    <w:p w:rsidR="00E6385A" w:rsidRPr="00500C4E" w:rsidRDefault="00E6385A" w:rsidP="00F117C6">
      <w:pPr>
        <w:pStyle w:val="WPnumber"/>
      </w:pPr>
      <w:r>
        <w:tab/>
      </w:r>
      <w:r w:rsidR="000E19CA">
        <w:rPr>
          <w:rStyle w:val="CaptionChar"/>
          <w:b/>
          <w:bCs w:val="0"/>
        </w:rPr>
        <w:t xml:space="preserve">Revision </w:t>
      </w:r>
      <w:r w:rsidR="00FF2DDF">
        <w:rPr>
          <w:rStyle w:val="CaptionChar"/>
          <w:b/>
          <w:bCs w:val="0"/>
        </w:rPr>
        <w:t>3</w:t>
      </w:r>
    </w:p>
    <w:bookmarkEnd w:id="0"/>
    <w:p w:rsidR="00F117C6" w:rsidRPr="00500C4E" w:rsidRDefault="00F117C6" w:rsidP="00F117C6">
      <w:pPr>
        <w:jc w:val="right"/>
        <w:rPr>
          <w:rFonts w:cstheme="minorHAnsi"/>
          <w:b/>
          <w:sz w:val="48"/>
          <w:szCs w:val="48"/>
        </w:rPr>
      </w:pPr>
    </w:p>
    <w:p w:rsidR="00E6385A" w:rsidRPr="00E6385A" w:rsidRDefault="00132AEE" w:rsidP="00E6385A">
      <w:pPr>
        <w:pBdr>
          <w:bottom w:val="single" w:sz="4" w:space="1" w:color="auto"/>
        </w:pBdr>
        <w:rPr>
          <w:rFonts w:cstheme="minorHAnsi"/>
          <w:b/>
          <w:sz w:val="36"/>
          <w:szCs w:val="36"/>
        </w:rPr>
      </w:pPr>
      <w:r>
        <w:rPr>
          <w:rFonts w:cstheme="minorHAnsi"/>
          <w:b/>
          <w:sz w:val="36"/>
          <w:szCs w:val="36"/>
        </w:rPr>
        <w:t>Pacific Gas and Electric</w:t>
      </w:r>
    </w:p>
    <w:p w:rsidR="00E6385A" w:rsidRPr="00E6385A" w:rsidRDefault="002217AC" w:rsidP="00E6385A">
      <w:pPr>
        <w:rPr>
          <w:rFonts w:cstheme="minorHAnsi"/>
          <w:b/>
          <w:sz w:val="32"/>
        </w:rPr>
      </w:pPr>
      <w:r>
        <w:rPr>
          <w:rFonts w:cstheme="minorHAnsi"/>
          <w:b/>
          <w:sz w:val="32"/>
        </w:rPr>
        <w:t>Customer Energy Solutions</w:t>
      </w:r>
    </w:p>
    <w:p w:rsidR="00F117C6" w:rsidRPr="00500C4E" w:rsidRDefault="00F117C6" w:rsidP="00F117C6">
      <w:pPr>
        <w:rPr>
          <w:rFonts w:cstheme="minorHAnsi"/>
        </w:rPr>
      </w:pPr>
    </w:p>
    <w:p w:rsidR="00F117C6" w:rsidRPr="00500C4E" w:rsidRDefault="00F117C6" w:rsidP="00F117C6">
      <w:pPr>
        <w:tabs>
          <w:tab w:val="left" w:pos="8190"/>
        </w:tabs>
        <w:rPr>
          <w:rFonts w:cstheme="minorHAnsi"/>
        </w:rPr>
      </w:pPr>
      <w:r w:rsidRPr="00500C4E">
        <w:rPr>
          <w:rFonts w:cstheme="minorHAnsi"/>
        </w:rPr>
        <w:tab/>
      </w: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0E19CA" w:rsidRDefault="00FF2DDF" w:rsidP="00884B9C">
      <w:pPr>
        <w:rPr>
          <w:rFonts w:cstheme="minorHAnsi"/>
          <w:b/>
          <w:sz w:val="28"/>
          <w:szCs w:val="28"/>
        </w:rPr>
      </w:pPr>
      <w:r>
        <w:rPr>
          <w:rFonts w:cstheme="minorHAnsi"/>
          <w:b/>
          <w:sz w:val="72"/>
          <w:szCs w:val="72"/>
        </w:rPr>
        <w:t>Energy Upgrade</w:t>
      </w:r>
      <w:bookmarkStart w:id="1" w:name="_GoBack"/>
      <w:bookmarkEnd w:id="1"/>
      <w:r>
        <w:rPr>
          <w:rFonts w:cstheme="minorHAnsi"/>
          <w:b/>
          <w:sz w:val="72"/>
          <w:szCs w:val="72"/>
        </w:rPr>
        <w:t xml:space="preserve"> California- Prescriptive Whole Home Upgrade</w:t>
      </w: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E372B8" w:rsidRDefault="00E372B8" w:rsidP="000E19CA">
      <w:pPr>
        <w:jc w:val="right"/>
        <w:rPr>
          <w:rFonts w:cstheme="minorHAnsi"/>
          <w:b/>
          <w:sz w:val="28"/>
          <w:szCs w:val="28"/>
        </w:rPr>
      </w:pPr>
    </w:p>
    <w:p w:rsidR="00E372B8" w:rsidRDefault="002225B3" w:rsidP="00241A1F">
      <w:pPr>
        <w:jc w:val="right"/>
        <w:rPr>
          <w:rFonts w:cstheme="minorHAnsi"/>
          <w:b/>
          <w:sz w:val="28"/>
          <w:szCs w:val="28"/>
        </w:rPr>
      </w:pPr>
      <w:r>
        <w:rPr>
          <w:rFonts w:cstheme="minorHAnsi"/>
          <w:b/>
          <w:sz w:val="28"/>
          <w:szCs w:val="28"/>
        </w:rPr>
        <w:t>December</w:t>
      </w:r>
      <w:r w:rsidR="002956A5">
        <w:rPr>
          <w:rFonts w:cstheme="minorHAnsi"/>
          <w:b/>
          <w:sz w:val="28"/>
          <w:szCs w:val="28"/>
        </w:rPr>
        <w:t xml:space="preserve"> </w:t>
      </w:r>
      <w:r w:rsidR="00FF2DDF">
        <w:rPr>
          <w:rFonts w:cstheme="minorHAnsi"/>
          <w:b/>
          <w:sz w:val="28"/>
          <w:szCs w:val="28"/>
        </w:rPr>
        <w:t>28</w:t>
      </w:r>
      <w:r w:rsidR="000E19CA">
        <w:rPr>
          <w:rFonts w:cstheme="minorHAnsi"/>
          <w:b/>
          <w:sz w:val="28"/>
          <w:szCs w:val="28"/>
        </w:rPr>
        <w:t>, 201</w:t>
      </w:r>
      <w:r w:rsidR="00103A51">
        <w:rPr>
          <w:rFonts w:cstheme="minorHAnsi"/>
          <w:b/>
          <w:sz w:val="28"/>
          <w:szCs w:val="28"/>
        </w:rPr>
        <w:t>7</w:t>
      </w:r>
    </w:p>
    <w:p w:rsidR="00E372B8" w:rsidRPr="000F72EF" w:rsidRDefault="00E372B8" w:rsidP="00241A1F">
      <w:pPr>
        <w:jc w:val="right"/>
        <w:rPr>
          <w:rFonts w:cstheme="minorHAnsi"/>
          <w:b/>
          <w:sz w:val="72"/>
          <w:szCs w:val="72"/>
        </w:rPr>
        <w:sectPr w:rsidR="00E372B8" w:rsidRPr="000F72EF" w:rsidSect="00241A1F">
          <w:footerReference w:type="default" r:id="rId10"/>
          <w:pgSz w:w="12240" w:h="15840"/>
          <w:pgMar w:top="1440" w:right="1440" w:bottom="1440" w:left="1440" w:header="720" w:footer="720" w:gutter="0"/>
          <w:cols w:space="720"/>
          <w:titlePg/>
          <w:docGrid w:linePitch="360"/>
        </w:sectPr>
      </w:pPr>
    </w:p>
    <w:p w:rsidR="00FE520B" w:rsidRDefault="00132AEE" w:rsidP="00FE520B">
      <w:pPr>
        <w:pStyle w:val="Heading1"/>
      </w:pPr>
      <w:r>
        <w:lastRenderedPageBreak/>
        <w:t>PG&amp;E</w:t>
      </w:r>
      <w:r w:rsidR="0059117D">
        <w:t xml:space="preserve"> </w:t>
      </w:r>
      <w:r w:rsidR="00FF2DDF">
        <w:t>Energy Upgrade California</w:t>
      </w:r>
    </w:p>
    <w:p w:rsidR="00413EF4" w:rsidRDefault="00413EF4" w:rsidP="00413EF4">
      <w:pPr>
        <w:pStyle w:val="Heading2"/>
      </w:pPr>
      <w:r>
        <w:t>Introduction</w:t>
      </w:r>
    </w:p>
    <w:p w:rsidR="00413EF4" w:rsidRDefault="001E03A1" w:rsidP="00FF2DDF">
      <w:r>
        <w:t xml:space="preserve">This short form </w:t>
      </w:r>
      <w:proofErr w:type="spellStart"/>
      <w:r>
        <w:t>workpaper</w:t>
      </w:r>
      <w:proofErr w:type="spellEnd"/>
      <w:r>
        <w:t xml:space="preserve"> documents (WP) the values adopted from SCE’s WP entitled “</w:t>
      </w:r>
      <w:r w:rsidR="00FF2DDF">
        <w:t>Energy Upgrade California- Prescriptive Whole Home Upgrade</w:t>
      </w:r>
      <w:r>
        <w:t>” (</w:t>
      </w:r>
      <w:r w:rsidR="00FF2DDF">
        <w:t>SCE17MI005.0 -</w:t>
      </w:r>
      <w:r w:rsidR="00FF2DDF" w:rsidRPr="00FF2DDF">
        <w:t>EUCA_10.3_CC_11_06_2017.docx</w:t>
      </w:r>
      <w:r>
        <w:t xml:space="preserve">).  PG&amp;E adopts all of the values in </w:t>
      </w:r>
      <w:r w:rsidR="00FF2DDF">
        <w:t>SCE17MI005Rev 0</w:t>
      </w:r>
      <w:r w:rsidRPr="004016D3">
        <w:t xml:space="preserve"> </w:t>
      </w:r>
      <w:r>
        <w:t>–</w:t>
      </w:r>
      <w:r w:rsidRPr="0018460F">
        <w:t xml:space="preserve"> </w:t>
      </w:r>
      <w:r w:rsidR="00C777AD">
        <w:t>Energy Upgrade California</w:t>
      </w:r>
      <w:r>
        <w:t>, with no exceptions.</w:t>
      </w:r>
    </w:p>
    <w:p w:rsidR="00DB71F1" w:rsidRDefault="00B57F32" w:rsidP="001E03A1">
      <w:pPr>
        <w:pStyle w:val="Heading2"/>
      </w:pPr>
      <w:r w:rsidRPr="005734A4">
        <w:t>Document Revision History</w:t>
      </w:r>
      <w:r w:rsidRPr="0025216C">
        <w:t xml:space="preserve"> </w:t>
      </w:r>
    </w:p>
    <w:tbl>
      <w:tblPr>
        <w:tblStyle w:val="WPTable1"/>
        <w:tblW w:w="5179" w:type="pct"/>
        <w:tblLayout w:type="fixed"/>
        <w:tblLook w:val="01E0" w:firstRow="1" w:lastRow="1" w:firstColumn="1" w:lastColumn="1" w:noHBand="0" w:noVBand="0"/>
      </w:tblPr>
      <w:tblGrid>
        <w:gridCol w:w="1362"/>
        <w:gridCol w:w="1752"/>
        <w:gridCol w:w="2141"/>
        <w:gridCol w:w="4664"/>
      </w:tblGrid>
      <w:tr w:rsidR="00FF2DDF" w:rsidRPr="002D1DC5" w:rsidTr="00FF2DDF">
        <w:trPr>
          <w:cnfStyle w:val="100000000000" w:firstRow="1" w:lastRow="0" w:firstColumn="0" w:lastColumn="0" w:oddVBand="0" w:evenVBand="0" w:oddHBand="0" w:evenHBand="0" w:firstRowFirstColumn="0" w:firstRowLastColumn="0" w:lastRowFirstColumn="0" w:lastRowLastColumn="0"/>
          <w:trHeight w:val="298"/>
        </w:trPr>
        <w:tc>
          <w:tcPr>
            <w:tcW w:w="687" w:type="pct"/>
          </w:tcPr>
          <w:p w:rsidR="00FF2DDF" w:rsidRPr="002D1DC5" w:rsidRDefault="00FF2DDF" w:rsidP="00C8745E">
            <w:pPr>
              <w:rPr>
                <w:rFonts w:asciiTheme="minorHAnsi" w:hAnsiTheme="minorHAnsi" w:cstheme="minorHAnsi"/>
                <w:b w:val="0"/>
                <w:bCs w:val="0"/>
                <w:szCs w:val="20"/>
              </w:rPr>
            </w:pPr>
            <w:r w:rsidRPr="002D1DC5">
              <w:rPr>
                <w:rFonts w:asciiTheme="minorHAnsi" w:hAnsiTheme="minorHAnsi" w:cstheme="minorHAnsi"/>
                <w:szCs w:val="20"/>
              </w:rPr>
              <w:t>Revision #</w:t>
            </w:r>
          </w:p>
        </w:tc>
        <w:tc>
          <w:tcPr>
            <w:tcW w:w="883" w:type="pct"/>
            <w:vAlign w:val="center"/>
          </w:tcPr>
          <w:p w:rsidR="00FF2DDF" w:rsidRPr="002D1DC5" w:rsidRDefault="00FF2DDF" w:rsidP="00C8745E">
            <w:pPr>
              <w:rPr>
                <w:rFonts w:asciiTheme="minorHAnsi" w:hAnsiTheme="minorHAnsi" w:cstheme="minorHAnsi"/>
                <w:b w:val="0"/>
                <w:bCs w:val="0"/>
                <w:szCs w:val="20"/>
              </w:rPr>
            </w:pPr>
            <w:r w:rsidRPr="002D1DC5">
              <w:rPr>
                <w:rFonts w:asciiTheme="minorHAnsi" w:hAnsiTheme="minorHAnsi" w:cstheme="minorHAnsi"/>
                <w:szCs w:val="20"/>
              </w:rPr>
              <w:t>Revision Date</w:t>
            </w:r>
          </w:p>
        </w:tc>
        <w:tc>
          <w:tcPr>
            <w:tcW w:w="1079" w:type="pct"/>
            <w:vAlign w:val="center"/>
          </w:tcPr>
          <w:p w:rsidR="00FF2DDF" w:rsidRPr="002D1DC5" w:rsidRDefault="00FF2DDF" w:rsidP="00C8745E">
            <w:pPr>
              <w:rPr>
                <w:rFonts w:asciiTheme="minorHAnsi" w:hAnsiTheme="minorHAnsi" w:cstheme="minorHAnsi"/>
                <w:b w:val="0"/>
                <w:bCs w:val="0"/>
                <w:szCs w:val="20"/>
              </w:rPr>
            </w:pPr>
            <w:r w:rsidRPr="002D1DC5">
              <w:rPr>
                <w:rFonts w:asciiTheme="minorHAnsi" w:hAnsiTheme="minorHAnsi" w:cstheme="minorHAnsi"/>
                <w:szCs w:val="20"/>
              </w:rPr>
              <w:t>Author (Affiliation)</w:t>
            </w:r>
          </w:p>
        </w:tc>
        <w:tc>
          <w:tcPr>
            <w:tcW w:w="2351" w:type="pct"/>
            <w:vAlign w:val="center"/>
          </w:tcPr>
          <w:p w:rsidR="00FF2DDF" w:rsidRPr="002D1DC5" w:rsidRDefault="00FF2DDF" w:rsidP="00C8745E">
            <w:pPr>
              <w:rPr>
                <w:rFonts w:asciiTheme="minorHAnsi" w:hAnsiTheme="minorHAnsi" w:cstheme="minorHAnsi"/>
                <w:b w:val="0"/>
                <w:bCs w:val="0"/>
                <w:szCs w:val="20"/>
              </w:rPr>
            </w:pPr>
            <w:r w:rsidRPr="002D1DC5">
              <w:rPr>
                <w:rFonts w:asciiTheme="minorHAnsi" w:hAnsiTheme="minorHAnsi" w:cstheme="minorHAnsi"/>
                <w:szCs w:val="20"/>
              </w:rPr>
              <w:t>Summary of Changes</w:t>
            </w:r>
          </w:p>
        </w:tc>
      </w:tr>
      <w:tr w:rsidR="00FF2DDF" w:rsidRPr="002D1DC5" w:rsidTr="00FF2DDF">
        <w:trPr>
          <w:cnfStyle w:val="000000100000" w:firstRow="0" w:lastRow="0" w:firstColumn="0" w:lastColumn="0" w:oddVBand="0" w:evenVBand="0" w:oddHBand="1" w:evenHBand="0" w:firstRowFirstColumn="0" w:firstRowLastColumn="0" w:lastRowFirstColumn="0" w:lastRowLastColumn="0"/>
          <w:trHeight w:val="702"/>
        </w:trPr>
        <w:tc>
          <w:tcPr>
            <w:tcW w:w="687" w:type="pct"/>
            <w:vMerge w:val="restart"/>
          </w:tcPr>
          <w:p w:rsidR="00FF2DDF" w:rsidRPr="002D1DC5" w:rsidRDefault="00FF2DDF" w:rsidP="00C8745E">
            <w:pPr>
              <w:jc w:val="center"/>
              <w:rPr>
                <w:rFonts w:asciiTheme="minorHAnsi" w:hAnsiTheme="minorHAnsi" w:cstheme="minorHAnsi"/>
                <w:szCs w:val="20"/>
              </w:rPr>
            </w:pPr>
            <w:r w:rsidRPr="002D1DC5">
              <w:rPr>
                <w:rFonts w:asciiTheme="minorHAnsi" w:hAnsiTheme="minorHAnsi" w:cstheme="minorHAnsi"/>
                <w:szCs w:val="20"/>
              </w:rPr>
              <w:t>0</w:t>
            </w:r>
          </w:p>
        </w:tc>
        <w:tc>
          <w:tcPr>
            <w:tcW w:w="883" w:type="pct"/>
            <w:vAlign w:val="center"/>
          </w:tcPr>
          <w:p w:rsidR="00FF2DDF" w:rsidRPr="002D1DC5" w:rsidRDefault="00FF2DDF" w:rsidP="00C8745E">
            <w:pPr>
              <w:rPr>
                <w:rFonts w:asciiTheme="minorHAnsi" w:hAnsiTheme="minorHAnsi" w:cstheme="minorHAnsi"/>
                <w:szCs w:val="20"/>
              </w:rPr>
            </w:pPr>
            <w:r w:rsidRPr="002D1DC5">
              <w:rPr>
                <w:rFonts w:asciiTheme="minorHAnsi" w:hAnsiTheme="minorHAnsi" w:cstheme="minorHAnsi"/>
                <w:szCs w:val="20"/>
              </w:rPr>
              <w:t>02/10/2013</w:t>
            </w:r>
          </w:p>
        </w:tc>
        <w:tc>
          <w:tcPr>
            <w:tcW w:w="1079" w:type="pct"/>
            <w:vAlign w:val="center"/>
          </w:tcPr>
          <w:p w:rsidR="00FF2DDF" w:rsidRPr="002D1DC5" w:rsidRDefault="00FF2DDF" w:rsidP="00C8745E">
            <w:pPr>
              <w:rPr>
                <w:rFonts w:asciiTheme="minorHAnsi" w:hAnsiTheme="minorHAnsi" w:cstheme="minorHAnsi"/>
                <w:szCs w:val="20"/>
              </w:rPr>
            </w:pPr>
            <w:r w:rsidRPr="002D1DC5">
              <w:rPr>
                <w:rFonts w:asciiTheme="minorHAnsi" w:hAnsiTheme="minorHAnsi" w:cstheme="minorHAnsi"/>
                <w:szCs w:val="20"/>
              </w:rPr>
              <w:t>James Russell/PECI</w:t>
            </w:r>
          </w:p>
        </w:tc>
        <w:tc>
          <w:tcPr>
            <w:tcW w:w="2351" w:type="pct"/>
            <w:vAlign w:val="center"/>
          </w:tcPr>
          <w:p w:rsidR="00FF2DDF" w:rsidRPr="002D1DC5" w:rsidRDefault="00FF2DDF" w:rsidP="00C8745E">
            <w:pPr>
              <w:rPr>
                <w:rFonts w:asciiTheme="minorHAnsi" w:hAnsiTheme="minorHAnsi" w:cstheme="minorHAnsi"/>
                <w:szCs w:val="20"/>
              </w:rPr>
            </w:pPr>
            <w:r w:rsidRPr="002D1DC5">
              <w:rPr>
                <w:rFonts w:asciiTheme="minorHAnsi" w:hAnsiTheme="minorHAnsi" w:cstheme="minorHAnsi"/>
                <w:bCs/>
                <w:szCs w:val="20"/>
              </w:rPr>
              <w:t>Original work paper for 2013 PC</w:t>
            </w:r>
          </w:p>
        </w:tc>
      </w:tr>
      <w:tr w:rsidR="00FF2DDF" w:rsidRPr="002D1DC5" w:rsidTr="00FF2DDF">
        <w:trPr>
          <w:cnfStyle w:val="000000010000" w:firstRow="0" w:lastRow="0" w:firstColumn="0" w:lastColumn="0" w:oddVBand="0" w:evenVBand="0" w:oddHBand="0" w:evenHBand="1" w:firstRowFirstColumn="0" w:firstRowLastColumn="0" w:lastRowFirstColumn="0" w:lastRowLastColumn="0"/>
          <w:trHeight w:val="1683"/>
        </w:trPr>
        <w:tc>
          <w:tcPr>
            <w:tcW w:w="687" w:type="pct"/>
            <w:vMerge/>
          </w:tcPr>
          <w:p w:rsidR="00FF2DDF" w:rsidRPr="002D1DC5" w:rsidRDefault="00FF2DDF" w:rsidP="00C8745E">
            <w:pPr>
              <w:jc w:val="center"/>
              <w:rPr>
                <w:rFonts w:asciiTheme="minorHAnsi" w:hAnsiTheme="minorHAnsi" w:cstheme="minorHAnsi"/>
                <w:szCs w:val="20"/>
              </w:rPr>
            </w:pPr>
          </w:p>
        </w:tc>
        <w:tc>
          <w:tcPr>
            <w:tcW w:w="883" w:type="pct"/>
            <w:vAlign w:val="center"/>
          </w:tcPr>
          <w:p w:rsidR="00FF2DDF" w:rsidRPr="002D1DC5" w:rsidRDefault="00FF2DDF" w:rsidP="00C8745E">
            <w:pPr>
              <w:rPr>
                <w:rFonts w:asciiTheme="minorHAnsi" w:hAnsiTheme="minorHAnsi" w:cstheme="minorHAnsi"/>
                <w:szCs w:val="20"/>
              </w:rPr>
            </w:pPr>
            <w:r w:rsidRPr="002D1DC5">
              <w:rPr>
                <w:rFonts w:asciiTheme="minorHAnsi" w:hAnsiTheme="minorHAnsi" w:cstheme="minorHAnsi"/>
                <w:szCs w:val="20"/>
              </w:rPr>
              <w:t>7/18/2013</w:t>
            </w:r>
          </w:p>
        </w:tc>
        <w:tc>
          <w:tcPr>
            <w:tcW w:w="1079" w:type="pct"/>
            <w:vAlign w:val="center"/>
          </w:tcPr>
          <w:p w:rsidR="00FF2DDF" w:rsidRPr="002D1DC5" w:rsidRDefault="00FF2DDF" w:rsidP="00C8745E">
            <w:pPr>
              <w:rPr>
                <w:rFonts w:asciiTheme="minorHAnsi" w:hAnsiTheme="minorHAnsi" w:cstheme="minorHAnsi"/>
                <w:szCs w:val="20"/>
              </w:rPr>
            </w:pPr>
            <w:r w:rsidRPr="002D1DC5">
              <w:rPr>
                <w:rFonts w:asciiTheme="minorHAnsi" w:hAnsiTheme="minorHAnsi" w:cstheme="minorHAnsi"/>
                <w:szCs w:val="20"/>
              </w:rPr>
              <w:t>James Russell/PECI</w:t>
            </w:r>
          </w:p>
          <w:p w:rsidR="00FF2DDF" w:rsidRPr="002D1DC5" w:rsidRDefault="00FF2DDF" w:rsidP="00C8745E">
            <w:pPr>
              <w:rPr>
                <w:rFonts w:asciiTheme="minorHAnsi" w:hAnsiTheme="minorHAnsi" w:cstheme="minorHAnsi"/>
                <w:szCs w:val="20"/>
              </w:rPr>
            </w:pPr>
            <w:r w:rsidRPr="002D1DC5">
              <w:rPr>
                <w:rFonts w:asciiTheme="minorHAnsi" w:hAnsiTheme="minorHAnsi" w:cstheme="minorHAnsi"/>
                <w:szCs w:val="20"/>
              </w:rPr>
              <w:t>Alfredo Gutierrez/SCE</w:t>
            </w:r>
          </w:p>
        </w:tc>
        <w:tc>
          <w:tcPr>
            <w:tcW w:w="2351" w:type="pct"/>
            <w:vAlign w:val="center"/>
          </w:tcPr>
          <w:p w:rsidR="00FF2DDF" w:rsidRPr="002D1DC5" w:rsidRDefault="00FF2DDF" w:rsidP="00C8745E">
            <w:pPr>
              <w:rPr>
                <w:rFonts w:asciiTheme="minorHAnsi" w:hAnsiTheme="minorHAnsi" w:cstheme="minorHAnsi"/>
                <w:bCs/>
                <w:szCs w:val="20"/>
              </w:rPr>
            </w:pPr>
            <w:r w:rsidRPr="002D1DC5">
              <w:rPr>
                <w:rFonts w:asciiTheme="minorHAnsi" w:hAnsiTheme="minorHAnsi" w:cstheme="minorHAnsi"/>
                <w:bCs/>
                <w:szCs w:val="20"/>
              </w:rPr>
              <w:t>Updated the work paper per the ED disposition titled “EnergyUpgradeCalifornia-Modified-Basic-Path_EDDisposition_1May2013_Final”</w:t>
            </w:r>
          </w:p>
          <w:p w:rsidR="00FF2DDF" w:rsidRPr="002D1DC5" w:rsidRDefault="00FF2DDF" w:rsidP="00C8745E">
            <w:pPr>
              <w:rPr>
                <w:rFonts w:asciiTheme="minorHAnsi" w:hAnsiTheme="minorHAnsi" w:cstheme="minorHAnsi"/>
                <w:bCs/>
                <w:szCs w:val="20"/>
              </w:rPr>
            </w:pPr>
          </w:p>
          <w:p w:rsidR="00FF2DDF" w:rsidRPr="002D1DC5" w:rsidRDefault="00FF2DDF" w:rsidP="00C8745E">
            <w:pPr>
              <w:rPr>
                <w:rFonts w:asciiTheme="minorHAnsi" w:hAnsiTheme="minorHAnsi" w:cstheme="minorHAnsi"/>
                <w:bCs/>
                <w:szCs w:val="20"/>
              </w:rPr>
            </w:pPr>
            <w:r w:rsidRPr="002D1DC5">
              <w:rPr>
                <w:rFonts w:asciiTheme="minorHAnsi" w:hAnsiTheme="minorHAnsi" w:cstheme="minorHAnsi"/>
                <w:bCs/>
                <w:szCs w:val="20"/>
              </w:rPr>
              <w:t>The cost has also been updated for all Attic Insulation measures, as there was an error in the calculation spreadsheet.</w:t>
            </w:r>
          </w:p>
        </w:tc>
      </w:tr>
      <w:tr w:rsidR="00FF2DDF" w:rsidRPr="002D1DC5" w:rsidTr="00FF2DDF">
        <w:trPr>
          <w:cnfStyle w:val="000000100000" w:firstRow="0" w:lastRow="0" w:firstColumn="0" w:lastColumn="0" w:oddVBand="0" w:evenVBand="0" w:oddHBand="1" w:evenHBand="0" w:firstRowFirstColumn="0" w:firstRowLastColumn="0" w:lastRowFirstColumn="0" w:lastRowLastColumn="0"/>
          <w:trHeight w:val="1827"/>
        </w:trPr>
        <w:tc>
          <w:tcPr>
            <w:tcW w:w="687" w:type="pct"/>
            <w:vMerge/>
          </w:tcPr>
          <w:p w:rsidR="00FF2DDF" w:rsidRPr="002D1DC5" w:rsidRDefault="00FF2DDF" w:rsidP="00C8745E">
            <w:pPr>
              <w:jc w:val="center"/>
              <w:rPr>
                <w:rFonts w:asciiTheme="minorHAnsi" w:hAnsiTheme="minorHAnsi" w:cstheme="minorHAnsi"/>
                <w:szCs w:val="20"/>
              </w:rPr>
            </w:pPr>
          </w:p>
        </w:tc>
        <w:tc>
          <w:tcPr>
            <w:tcW w:w="883" w:type="pct"/>
            <w:vAlign w:val="center"/>
          </w:tcPr>
          <w:p w:rsidR="00FF2DDF" w:rsidRPr="002D1DC5" w:rsidRDefault="00FF2DDF" w:rsidP="00C8745E">
            <w:pPr>
              <w:rPr>
                <w:rFonts w:asciiTheme="minorHAnsi" w:hAnsiTheme="minorHAnsi" w:cstheme="minorHAnsi"/>
                <w:szCs w:val="20"/>
              </w:rPr>
            </w:pPr>
            <w:r w:rsidRPr="002D1DC5">
              <w:rPr>
                <w:rFonts w:asciiTheme="minorHAnsi" w:hAnsiTheme="minorHAnsi" w:cstheme="minorHAnsi"/>
                <w:szCs w:val="20"/>
              </w:rPr>
              <w:t>9/18/13</w:t>
            </w:r>
          </w:p>
        </w:tc>
        <w:tc>
          <w:tcPr>
            <w:tcW w:w="1079" w:type="pct"/>
            <w:vAlign w:val="center"/>
          </w:tcPr>
          <w:p w:rsidR="00FF2DDF" w:rsidRPr="002D1DC5" w:rsidRDefault="00FF2DDF" w:rsidP="00C8745E">
            <w:pPr>
              <w:rPr>
                <w:rFonts w:asciiTheme="minorHAnsi" w:hAnsiTheme="minorHAnsi" w:cstheme="minorHAnsi"/>
                <w:szCs w:val="20"/>
              </w:rPr>
            </w:pPr>
            <w:r w:rsidRPr="002D1DC5">
              <w:rPr>
                <w:rFonts w:asciiTheme="minorHAnsi" w:hAnsiTheme="minorHAnsi" w:cstheme="minorHAnsi"/>
                <w:szCs w:val="20"/>
              </w:rPr>
              <w:t>James Russell/PECI</w:t>
            </w:r>
          </w:p>
          <w:p w:rsidR="00FF2DDF" w:rsidRPr="002D1DC5" w:rsidRDefault="00FF2DDF" w:rsidP="00C8745E">
            <w:pPr>
              <w:rPr>
                <w:rFonts w:asciiTheme="minorHAnsi" w:hAnsiTheme="minorHAnsi" w:cstheme="minorHAnsi"/>
                <w:szCs w:val="20"/>
              </w:rPr>
            </w:pPr>
            <w:r w:rsidRPr="002D1DC5">
              <w:rPr>
                <w:rFonts w:asciiTheme="minorHAnsi" w:hAnsiTheme="minorHAnsi" w:cstheme="minorHAnsi"/>
                <w:szCs w:val="20"/>
              </w:rPr>
              <w:t>Alfredo Gutierrez/SCE</w:t>
            </w:r>
          </w:p>
        </w:tc>
        <w:tc>
          <w:tcPr>
            <w:tcW w:w="2351" w:type="pct"/>
            <w:vAlign w:val="center"/>
          </w:tcPr>
          <w:p w:rsidR="00FF2DDF" w:rsidRPr="002D1DC5" w:rsidRDefault="00FF2DDF" w:rsidP="00C8745E">
            <w:pPr>
              <w:rPr>
                <w:rFonts w:asciiTheme="minorHAnsi" w:hAnsiTheme="minorHAnsi" w:cstheme="minorHAnsi"/>
                <w:bCs/>
                <w:szCs w:val="20"/>
              </w:rPr>
            </w:pPr>
            <w:r w:rsidRPr="002D1DC5">
              <w:rPr>
                <w:rFonts w:asciiTheme="minorHAnsi" w:hAnsiTheme="minorHAnsi" w:cstheme="minorHAnsi"/>
                <w:bCs/>
                <w:szCs w:val="20"/>
              </w:rPr>
              <w:t>Revised costs to correct error, making 2</w:t>
            </w:r>
            <w:r w:rsidRPr="002D1DC5">
              <w:rPr>
                <w:rFonts w:asciiTheme="minorHAnsi" w:hAnsiTheme="minorHAnsi" w:cstheme="minorHAnsi"/>
                <w:bCs/>
                <w:szCs w:val="20"/>
                <w:vertAlign w:val="superscript"/>
              </w:rPr>
              <w:t>nd</w:t>
            </w:r>
            <w:r w:rsidRPr="002D1DC5">
              <w:rPr>
                <w:rFonts w:asciiTheme="minorHAnsi" w:hAnsiTheme="minorHAnsi" w:cstheme="minorHAnsi"/>
                <w:bCs/>
                <w:szCs w:val="20"/>
              </w:rPr>
              <w:t xml:space="preserve"> Baseline GMC equal to IMC.</w:t>
            </w:r>
          </w:p>
          <w:p w:rsidR="00FF2DDF" w:rsidRPr="002D1DC5" w:rsidRDefault="00FF2DDF" w:rsidP="00C8745E">
            <w:pPr>
              <w:rPr>
                <w:rFonts w:asciiTheme="minorHAnsi" w:hAnsiTheme="minorHAnsi" w:cstheme="minorHAnsi"/>
                <w:bCs/>
                <w:szCs w:val="20"/>
              </w:rPr>
            </w:pPr>
          </w:p>
          <w:p w:rsidR="00FF2DDF" w:rsidRPr="002D1DC5" w:rsidRDefault="00FF2DDF" w:rsidP="00C8745E">
            <w:pPr>
              <w:rPr>
                <w:rFonts w:asciiTheme="minorHAnsi" w:hAnsiTheme="minorHAnsi" w:cstheme="minorHAnsi"/>
                <w:bCs/>
                <w:szCs w:val="20"/>
              </w:rPr>
            </w:pPr>
            <w:r w:rsidRPr="002D1DC5">
              <w:rPr>
                <w:rFonts w:asciiTheme="minorHAnsi" w:hAnsiTheme="minorHAnsi" w:cstheme="minorHAnsi"/>
                <w:bCs/>
                <w:szCs w:val="20"/>
              </w:rPr>
              <w:t xml:space="preserve">Revised Measure Addition </w:t>
            </w:r>
            <w:proofErr w:type="spellStart"/>
            <w:r w:rsidRPr="002D1DC5">
              <w:rPr>
                <w:rFonts w:asciiTheme="minorHAnsi" w:hAnsiTheme="minorHAnsi" w:cstheme="minorHAnsi"/>
                <w:bCs/>
                <w:szCs w:val="20"/>
              </w:rPr>
              <w:t>Calc</w:t>
            </w:r>
            <w:proofErr w:type="spellEnd"/>
            <w:r w:rsidRPr="002D1DC5">
              <w:rPr>
                <w:rFonts w:asciiTheme="minorHAnsi" w:hAnsiTheme="minorHAnsi" w:cstheme="minorHAnsi"/>
                <w:bCs/>
                <w:szCs w:val="20"/>
              </w:rPr>
              <w:t xml:space="preserve"> Tool to include IR and Cost.</w:t>
            </w:r>
          </w:p>
          <w:p w:rsidR="00FF2DDF" w:rsidRPr="002D1DC5" w:rsidRDefault="00FF2DDF" w:rsidP="00C8745E">
            <w:pPr>
              <w:rPr>
                <w:rFonts w:asciiTheme="minorHAnsi" w:hAnsiTheme="minorHAnsi" w:cstheme="minorHAnsi"/>
                <w:bCs/>
                <w:szCs w:val="20"/>
              </w:rPr>
            </w:pPr>
          </w:p>
          <w:p w:rsidR="00FF2DDF" w:rsidRPr="002D1DC5" w:rsidRDefault="00FF2DDF" w:rsidP="00C8745E">
            <w:pPr>
              <w:rPr>
                <w:rFonts w:asciiTheme="minorHAnsi" w:hAnsiTheme="minorHAnsi" w:cstheme="minorHAnsi"/>
                <w:bCs/>
                <w:szCs w:val="20"/>
              </w:rPr>
            </w:pPr>
            <w:r w:rsidRPr="002D1DC5">
              <w:rPr>
                <w:rFonts w:asciiTheme="minorHAnsi" w:hAnsiTheme="minorHAnsi" w:cstheme="minorHAnsi"/>
                <w:bCs/>
                <w:szCs w:val="20"/>
              </w:rPr>
              <w:t>Changed 5% to 10% (minimum savings) in two instances.</w:t>
            </w:r>
          </w:p>
          <w:p w:rsidR="00FF2DDF" w:rsidRPr="002D1DC5" w:rsidRDefault="00FF2DDF" w:rsidP="00C8745E">
            <w:pPr>
              <w:rPr>
                <w:rFonts w:asciiTheme="minorHAnsi" w:hAnsiTheme="minorHAnsi" w:cstheme="minorHAnsi"/>
                <w:bCs/>
                <w:szCs w:val="20"/>
              </w:rPr>
            </w:pPr>
          </w:p>
          <w:p w:rsidR="00FF2DDF" w:rsidRPr="002D1DC5" w:rsidRDefault="00FF2DDF" w:rsidP="00C8745E">
            <w:pPr>
              <w:rPr>
                <w:rFonts w:asciiTheme="minorHAnsi" w:hAnsiTheme="minorHAnsi" w:cstheme="minorHAnsi"/>
                <w:bCs/>
                <w:szCs w:val="20"/>
              </w:rPr>
            </w:pPr>
            <w:r w:rsidRPr="002D1DC5">
              <w:rPr>
                <w:rFonts w:asciiTheme="minorHAnsi" w:hAnsiTheme="minorHAnsi" w:cstheme="minorHAnsi"/>
                <w:bCs/>
                <w:szCs w:val="20"/>
              </w:rPr>
              <w:t>The installation type for all measures has been changed to RET. The RUL/EUL-RUL values have been updated.</w:t>
            </w:r>
          </w:p>
        </w:tc>
      </w:tr>
      <w:tr w:rsidR="00FF2DDF" w:rsidRPr="002D1DC5" w:rsidTr="00FF2DDF">
        <w:trPr>
          <w:cnfStyle w:val="000000010000" w:firstRow="0" w:lastRow="0" w:firstColumn="0" w:lastColumn="0" w:oddVBand="0" w:evenVBand="0" w:oddHBand="0" w:evenHBand="1" w:firstRowFirstColumn="0" w:firstRowLastColumn="0" w:lastRowFirstColumn="0" w:lastRowLastColumn="0"/>
          <w:trHeight w:val="325"/>
        </w:trPr>
        <w:tc>
          <w:tcPr>
            <w:tcW w:w="687" w:type="pct"/>
            <w:vMerge/>
          </w:tcPr>
          <w:p w:rsidR="00FF2DDF" w:rsidRPr="002D1DC5" w:rsidRDefault="00FF2DDF" w:rsidP="00C8745E">
            <w:pPr>
              <w:rPr>
                <w:rFonts w:cstheme="minorHAnsi"/>
                <w:szCs w:val="20"/>
              </w:rPr>
            </w:pPr>
          </w:p>
        </w:tc>
        <w:tc>
          <w:tcPr>
            <w:tcW w:w="883" w:type="pct"/>
            <w:vAlign w:val="center"/>
          </w:tcPr>
          <w:p w:rsidR="00FF2DDF" w:rsidRPr="002D1DC5" w:rsidRDefault="00FF2DDF" w:rsidP="00C8745E">
            <w:pPr>
              <w:rPr>
                <w:rFonts w:asciiTheme="minorHAnsi" w:hAnsiTheme="minorHAnsi" w:cstheme="minorHAnsi"/>
                <w:szCs w:val="20"/>
              </w:rPr>
            </w:pPr>
            <w:r w:rsidRPr="002D1DC5">
              <w:rPr>
                <w:rFonts w:asciiTheme="minorHAnsi" w:hAnsiTheme="minorHAnsi" w:cstheme="minorHAnsi"/>
                <w:szCs w:val="20"/>
              </w:rPr>
              <w:t>02/14/2014</w:t>
            </w:r>
          </w:p>
        </w:tc>
        <w:tc>
          <w:tcPr>
            <w:tcW w:w="1079" w:type="pct"/>
            <w:vAlign w:val="center"/>
          </w:tcPr>
          <w:p w:rsidR="00FF2DDF" w:rsidRPr="002D1DC5" w:rsidRDefault="00FF2DDF" w:rsidP="00C8745E">
            <w:pPr>
              <w:rPr>
                <w:rFonts w:asciiTheme="minorHAnsi" w:hAnsiTheme="minorHAnsi" w:cstheme="minorHAnsi"/>
                <w:szCs w:val="20"/>
              </w:rPr>
            </w:pPr>
            <w:r w:rsidRPr="002D1DC5">
              <w:rPr>
                <w:rFonts w:asciiTheme="minorHAnsi" w:hAnsiTheme="minorHAnsi" w:cstheme="minorHAnsi"/>
                <w:szCs w:val="20"/>
              </w:rPr>
              <w:t>James Russell/PEC</w:t>
            </w:r>
            <w:r>
              <w:rPr>
                <w:rFonts w:asciiTheme="minorHAnsi" w:hAnsiTheme="minorHAnsi" w:cstheme="minorHAnsi"/>
                <w:szCs w:val="20"/>
              </w:rPr>
              <w:t>I</w:t>
            </w:r>
          </w:p>
        </w:tc>
        <w:tc>
          <w:tcPr>
            <w:tcW w:w="2351" w:type="pct"/>
            <w:vAlign w:val="center"/>
          </w:tcPr>
          <w:p w:rsidR="00FF2DDF" w:rsidRPr="002D1DC5" w:rsidRDefault="00FF2DDF" w:rsidP="00C8745E">
            <w:pPr>
              <w:rPr>
                <w:rFonts w:asciiTheme="minorHAnsi" w:hAnsiTheme="minorHAnsi" w:cstheme="minorHAnsi"/>
                <w:bCs/>
                <w:szCs w:val="20"/>
              </w:rPr>
            </w:pPr>
            <w:r w:rsidRPr="002D1DC5">
              <w:rPr>
                <w:rFonts w:asciiTheme="minorHAnsi" w:hAnsiTheme="minorHAnsi" w:cstheme="minorHAnsi"/>
                <w:bCs/>
                <w:szCs w:val="20"/>
              </w:rPr>
              <w:t>Adjusted baseline models from DEER CA average to reflect actual program participants</w:t>
            </w:r>
          </w:p>
          <w:p w:rsidR="00FF2DDF" w:rsidRPr="002D1DC5" w:rsidRDefault="00FF2DDF" w:rsidP="00C8745E">
            <w:pPr>
              <w:rPr>
                <w:rFonts w:asciiTheme="minorHAnsi" w:hAnsiTheme="minorHAnsi" w:cstheme="minorHAnsi"/>
                <w:bCs/>
                <w:szCs w:val="20"/>
              </w:rPr>
            </w:pPr>
          </w:p>
          <w:p w:rsidR="00FF2DDF" w:rsidRPr="002D1DC5" w:rsidRDefault="00FF2DDF" w:rsidP="00C8745E">
            <w:pPr>
              <w:rPr>
                <w:rFonts w:asciiTheme="minorHAnsi" w:hAnsiTheme="minorHAnsi" w:cstheme="minorHAnsi"/>
                <w:bCs/>
                <w:szCs w:val="20"/>
              </w:rPr>
            </w:pPr>
            <w:r w:rsidRPr="002D1DC5">
              <w:rPr>
                <w:rFonts w:asciiTheme="minorHAnsi" w:hAnsiTheme="minorHAnsi" w:cstheme="minorHAnsi"/>
                <w:bCs/>
                <w:szCs w:val="20"/>
              </w:rPr>
              <w:t>Added measures:  R-44 attic insulation, SEER15 AC, AFUE 95% furnace, AFUE 70% wall furnace, high performance windows</w:t>
            </w:r>
          </w:p>
          <w:p w:rsidR="00FF2DDF" w:rsidRPr="002D1DC5" w:rsidRDefault="00FF2DDF" w:rsidP="00C8745E">
            <w:pPr>
              <w:rPr>
                <w:rFonts w:asciiTheme="minorHAnsi" w:hAnsiTheme="minorHAnsi" w:cstheme="minorHAnsi"/>
                <w:bCs/>
                <w:szCs w:val="20"/>
              </w:rPr>
            </w:pPr>
          </w:p>
          <w:p w:rsidR="00FF2DDF" w:rsidRPr="002D1DC5" w:rsidRDefault="00FF2DDF" w:rsidP="00C8745E">
            <w:pPr>
              <w:rPr>
                <w:rFonts w:asciiTheme="minorHAnsi" w:hAnsiTheme="minorHAnsi" w:cstheme="minorHAnsi"/>
                <w:bCs/>
                <w:szCs w:val="20"/>
              </w:rPr>
            </w:pPr>
            <w:r w:rsidRPr="002D1DC5">
              <w:rPr>
                <w:rFonts w:asciiTheme="minorHAnsi" w:hAnsiTheme="minorHAnsi" w:cstheme="minorHAnsi"/>
                <w:bCs/>
                <w:szCs w:val="20"/>
              </w:rPr>
              <w:t>Revised method to allow direct calculation of savings for any combination of measures</w:t>
            </w:r>
          </w:p>
          <w:p w:rsidR="00FF2DDF" w:rsidRPr="002D1DC5" w:rsidRDefault="00FF2DDF" w:rsidP="00C8745E">
            <w:pPr>
              <w:rPr>
                <w:rFonts w:asciiTheme="minorHAnsi" w:hAnsiTheme="minorHAnsi" w:cstheme="minorHAnsi"/>
                <w:bCs/>
                <w:szCs w:val="20"/>
              </w:rPr>
            </w:pPr>
          </w:p>
          <w:p w:rsidR="00FF2DDF" w:rsidRPr="002D1DC5" w:rsidRDefault="00FF2DDF" w:rsidP="00C8745E">
            <w:pPr>
              <w:rPr>
                <w:rFonts w:asciiTheme="minorHAnsi" w:hAnsiTheme="minorHAnsi" w:cstheme="minorHAnsi"/>
                <w:bCs/>
                <w:szCs w:val="20"/>
              </w:rPr>
            </w:pPr>
            <w:r w:rsidRPr="002D1DC5">
              <w:rPr>
                <w:rFonts w:asciiTheme="minorHAnsi" w:hAnsiTheme="minorHAnsi" w:cstheme="minorHAnsi"/>
                <w:bCs/>
                <w:szCs w:val="20"/>
              </w:rPr>
              <w:t>Updated code levels to Title 24 (2013)</w:t>
            </w:r>
          </w:p>
        </w:tc>
      </w:tr>
      <w:tr w:rsidR="00FF2DDF" w:rsidRPr="002D1DC5" w:rsidTr="00FF2DDF">
        <w:trPr>
          <w:cnfStyle w:val="000000100000" w:firstRow="0" w:lastRow="0" w:firstColumn="0" w:lastColumn="0" w:oddVBand="0" w:evenVBand="0" w:oddHBand="1" w:evenHBand="0" w:firstRowFirstColumn="0" w:firstRowLastColumn="0" w:lastRowFirstColumn="0" w:lastRowLastColumn="0"/>
          <w:trHeight w:val="325"/>
        </w:trPr>
        <w:tc>
          <w:tcPr>
            <w:tcW w:w="687" w:type="pct"/>
          </w:tcPr>
          <w:p w:rsidR="00FF2DDF" w:rsidRPr="002D1DC5" w:rsidRDefault="00FF2DDF" w:rsidP="00C8745E">
            <w:pPr>
              <w:jc w:val="center"/>
              <w:rPr>
                <w:rFonts w:asciiTheme="minorHAnsi" w:hAnsiTheme="minorHAnsi" w:cstheme="minorHAnsi"/>
                <w:szCs w:val="20"/>
              </w:rPr>
            </w:pPr>
            <w:r>
              <w:rPr>
                <w:rFonts w:asciiTheme="minorHAnsi" w:hAnsiTheme="minorHAnsi" w:cstheme="minorHAnsi"/>
                <w:szCs w:val="20"/>
              </w:rPr>
              <w:t>1</w:t>
            </w:r>
          </w:p>
        </w:tc>
        <w:tc>
          <w:tcPr>
            <w:tcW w:w="883" w:type="pct"/>
            <w:vAlign w:val="center"/>
          </w:tcPr>
          <w:p w:rsidR="00FF2DDF" w:rsidRPr="002D1DC5" w:rsidRDefault="00FF2DDF" w:rsidP="00C8745E">
            <w:pPr>
              <w:rPr>
                <w:rFonts w:asciiTheme="minorHAnsi" w:hAnsiTheme="minorHAnsi" w:cstheme="minorHAnsi"/>
                <w:szCs w:val="20"/>
              </w:rPr>
            </w:pPr>
            <w:r w:rsidRPr="002D1DC5">
              <w:rPr>
                <w:rFonts w:asciiTheme="minorHAnsi" w:hAnsiTheme="minorHAnsi" w:cstheme="minorHAnsi"/>
                <w:szCs w:val="20"/>
              </w:rPr>
              <w:t>01/16/2015</w:t>
            </w:r>
          </w:p>
        </w:tc>
        <w:tc>
          <w:tcPr>
            <w:tcW w:w="1079" w:type="pct"/>
          </w:tcPr>
          <w:p w:rsidR="00FF2DDF" w:rsidRPr="002D1DC5" w:rsidRDefault="00FF2DDF" w:rsidP="00C8745E">
            <w:pPr>
              <w:rPr>
                <w:rFonts w:cstheme="minorHAnsi"/>
                <w:szCs w:val="20"/>
              </w:rPr>
            </w:pPr>
            <w:r w:rsidRPr="002D1DC5">
              <w:rPr>
                <w:rFonts w:asciiTheme="minorHAnsi" w:hAnsiTheme="minorHAnsi" w:cstheme="minorHAnsi"/>
                <w:szCs w:val="20"/>
              </w:rPr>
              <w:t xml:space="preserve">Nick </w:t>
            </w:r>
            <w:proofErr w:type="spellStart"/>
            <w:r w:rsidRPr="002D1DC5">
              <w:rPr>
                <w:rFonts w:asciiTheme="minorHAnsi" w:hAnsiTheme="minorHAnsi" w:cstheme="minorHAnsi"/>
                <w:szCs w:val="20"/>
              </w:rPr>
              <w:t>Bengtson</w:t>
            </w:r>
            <w:proofErr w:type="spellEnd"/>
            <w:r w:rsidRPr="002D1DC5">
              <w:rPr>
                <w:rFonts w:asciiTheme="minorHAnsi" w:hAnsiTheme="minorHAnsi" w:cstheme="minorHAnsi"/>
                <w:szCs w:val="20"/>
              </w:rPr>
              <w:t>/</w:t>
            </w:r>
            <w:proofErr w:type="spellStart"/>
            <w:r w:rsidRPr="002D1DC5">
              <w:rPr>
                <w:rFonts w:asciiTheme="minorHAnsi" w:hAnsiTheme="minorHAnsi" w:cstheme="minorHAnsi"/>
                <w:szCs w:val="20"/>
              </w:rPr>
              <w:t>CLEAResult</w:t>
            </w:r>
            <w:proofErr w:type="spellEnd"/>
          </w:p>
        </w:tc>
        <w:tc>
          <w:tcPr>
            <w:tcW w:w="2351" w:type="pct"/>
          </w:tcPr>
          <w:p w:rsidR="00FF2DDF" w:rsidRPr="002D1DC5" w:rsidRDefault="00FF2DDF" w:rsidP="00C8745E">
            <w:pPr>
              <w:rPr>
                <w:rFonts w:asciiTheme="minorHAnsi" w:hAnsiTheme="minorHAnsi" w:cstheme="minorHAnsi"/>
                <w:bCs/>
                <w:szCs w:val="20"/>
              </w:rPr>
            </w:pPr>
            <w:r w:rsidRPr="002D1DC5">
              <w:rPr>
                <w:rFonts w:asciiTheme="minorHAnsi" w:hAnsiTheme="minorHAnsi" w:cstheme="minorHAnsi"/>
                <w:bCs/>
                <w:szCs w:val="20"/>
              </w:rPr>
              <w:t>Updated to new template for 2015</w:t>
            </w:r>
          </w:p>
          <w:p w:rsidR="00FF2DDF" w:rsidRPr="002D1DC5" w:rsidRDefault="00FF2DDF" w:rsidP="00C8745E">
            <w:pPr>
              <w:rPr>
                <w:rFonts w:asciiTheme="minorHAnsi" w:hAnsiTheme="minorHAnsi" w:cstheme="minorHAnsi"/>
                <w:bCs/>
                <w:szCs w:val="20"/>
              </w:rPr>
            </w:pPr>
          </w:p>
          <w:p w:rsidR="00FF2DDF" w:rsidRPr="002D1DC5" w:rsidRDefault="00FF2DDF" w:rsidP="00C8745E">
            <w:pPr>
              <w:rPr>
                <w:rFonts w:asciiTheme="minorHAnsi" w:hAnsiTheme="minorHAnsi" w:cstheme="minorHAnsi"/>
                <w:bCs/>
                <w:szCs w:val="20"/>
              </w:rPr>
            </w:pPr>
            <w:r w:rsidRPr="002D1DC5">
              <w:rPr>
                <w:rFonts w:asciiTheme="minorHAnsi" w:hAnsiTheme="minorHAnsi" w:cstheme="minorHAnsi"/>
                <w:bCs/>
                <w:szCs w:val="20"/>
              </w:rPr>
              <w:t>Updated AC and furnace measures to align with Title 24 adopting federal code standards</w:t>
            </w:r>
          </w:p>
          <w:p w:rsidR="00FF2DDF" w:rsidRPr="002D1DC5" w:rsidRDefault="00FF2DDF" w:rsidP="00C8745E">
            <w:pPr>
              <w:rPr>
                <w:rFonts w:asciiTheme="minorHAnsi" w:hAnsiTheme="minorHAnsi" w:cstheme="minorHAnsi"/>
                <w:bCs/>
                <w:szCs w:val="20"/>
              </w:rPr>
            </w:pPr>
          </w:p>
          <w:p w:rsidR="00FF2DDF" w:rsidRPr="002D1DC5" w:rsidRDefault="00FF2DDF" w:rsidP="00C8745E">
            <w:pPr>
              <w:rPr>
                <w:rFonts w:asciiTheme="minorHAnsi" w:hAnsiTheme="minorHAnsi" w:cstheme="minorHAnsi"/>
                <w:bCs/>
                <w:szCs w:val="20"/>
              </w:rPr>
            </w:pPr>
            <w:r w:rsidRPr="002D1DC5">
              <w:rPr>
                <w:rFonts w:asciiTheme="minorHAnsi" w:hAnsiTheme="minorHAnsi" w:cstheme="minorHAnsi"/>
                <w:bCs/>
                <w:szCs w:val="20"/>
              </w:rPr>
              <w:lastRenderedPageBreak/>
              <w:t>Updated water heater measures according to DEER 2015 updates</w:t>
            </w:r>
          </w:p>
          <w:p w:rsidR="00FF2DDF" w:rsidRPr="002D1DC5" w:rsidRDefault="00FF2DDF" w:rsidP="00C8745E">
            <w:pPr>
              <w:rPr>
                <w:rFonts w:asciiTheme="minorHAnsi" w:hAnsiTheme="minorHAnsi" w:cstheme="minorHAnsi"/>
                <w:bCs/>
                <w:szCs w:val="20"/>
              </w:rPr>
            </w:pPr>
          </w:p>
          <w:p w:rsidR="00FF2DDF" w:rsidRPr="002D1DC5" w:rsidRDefault="00FF2DDF" w:rsidP="00C8745E">
            <w:pPr>
              <w:rPr>
                <w:rFonts w:cstheme="minorHAnsi"/>
                <w:szCs w:val="20"/>
              </w:rPr>
            </w:pPr>
            <w:r w:rsidRPr="002D1DC5">
              <w:rPr>
                <w:rFonts w:cstheme="minorHAnsi"/>
                <w:bCs/>
                <w:szCs w:val="20"/>
              </w:rPr>
              <w:t>Updated costs for the new AC, furnace, and water heater measures</w:t>
            </w:r>
          </w:p>
        </w:tc>
      </w:tr>
      <w:tr w:rsidR="00FF2DDF" w:rsidRPr="002D1DC5" w:rsidTr="00FF2DDF">
        <w:trPr>
          <w:cnfStyle w:val="000000010000" w:firstRow="0" w:lastRow="0" w:firstColumn="0" w:lastColumn="0" w:oddVBand="0" w:evenVBand="0" w:oddHBand="0" w:evenHBand="1" w:firstRowFirstColumn="0" w:firstRowLastColumn="0" w:lastRowFirstColumn="0" w:lastRowLastColumn="0"/>
          <w:trHeight w:val="423"/>
        </w:trPr>
        <w:tc>
          <w:tcPr>
            <w:tcW w:w="687" w:type="pct"/>
            <w:vMerge w:val="restart"/>
          </w:tcPr>
          <w:p w:rsidR="00FF2DDF" w:rsidRPr="002D1DC5" w:rsidRDefault="00FF2DDF" w:rsidP="00C8745E">
            <w:pPr>
              <w:jc w:val="center"/>
              <w:rPr>
                <w:rFonts w:cstheme="minorHAnsi"/>
                <w:szCs w:val="20"/>
              </w:rPr>
            </w:pPr>
            <w:r>
              <w:rPr>
                <w:rFonts w:asciiTheme="minorHAnsi" w:hAnsiTheme="minorHAnsi" w:cstheme="minorHAnsi"/>
                <w:szCs w:val="20"/>
              </w:rPr>
              <w:lastRenderedPageBreak/>
              <w:t>2</w:t>
            </w:r>
          </w:p>
        </w:tc>
        <w:tc>
          <w:tcPr>
            <w:tcW w:w="883" w:type="pct"/>
          </w:tcPr>
          <w:p w:rsidR="00FF2DDF" w:rsidRPr="002D1DC5" w:rsidRDefault="00FF2DDF" w:rsidP="00C8745E">
            <w:pPr>
              <w:rPr>
                <w:rFonts w:cstheme="minorHAnsi"/>
                <w:szCs w:val="20"/>
              </w:rPr>
            </w:pPr>
            <w:r>
              <w:rPr>
                <w:rFonts w:cstheme="minorHAnsi"/>
                <w:szCs w:val="20"/>
              </w:rPr>
              <w:t>1/1/2016</w:t>
            </w:r>
          </w:p>
        </w:tc>
        <w:tc>
          <w:tcPr>
            <w:tcW w:w="1079" w:type="pct"/>
          </w:tcPr>
          <w:p w:rsidR="00FF2DDF" w:rsidRPr="002D1DC5" w:rsidRDefault="00FF2DDF" w:rsidP="00C8745E">
            <w:pPr>
              <w:rPr>
                <w:rFonts w:cstheme="minorHAnsi"/>
                <w:szCs w:val="20"/>
              </w:rPr>
            </w:pPr>
            <w:r>
              <w:rPr>
                <w:rFonts w:cstheme="minorHAnsi"/>
                <w:szCs w:val="20"/>
              </w:rPr>
              <w:t>Henry Liu/PG&amp;E</w:t>
            </w:r>
          </w:p>
        </w:tc>
        <w:tc>
          <w:tcPr>
            <w:tcW w:w="2351" w:type="pct"/>
          </w:tcPr>
          <w:p w:rsidR="00FF2DDF" w:rsidRPr="002D1DC5" w:rsidRDefault="00FF2DDF" w:rsidP="00C8745E">
            <w:pPr>
              <w:rPr>
                <w:rFonts w:cstheme="minorHAnsi"/>
                <w:bCs/>
                <w:szCs w:val="20"/>
              </w:rPr>
            </w:pPr>
            <w:r w:rsidRPr="009F6E77">
              <w:rPr>
                <w:rFonts w:cstheme="minorHAnsi"/>
                <w:bCs/>
                <w:szCs w:val="20"/>
              </w:rPr>
              <w:t>DEER16 update for NTG change of 0.85 to 0.70</w:t>
            </w:r>
          </w:p>
        </w:tc>
      </w:tr>
      <w:tr w:rsidR="00FF2DDF" w:rsidRPr="002D1DC5" w:rsidTr="00FF2DDF">
        <w:trPr>
          <w:cnfStyle w:val="000000100000" w:firstRow="0" w:lastRow="0" w:firstColumn="0" w:lastColumn="0" w:oddVBand="0" w:evenVBand="0" w:oddHBand="1" w:evenHBand="0" w:firstRowFirstColumn="0" w:firstRowLastColumn="0" w:lastRowFirstColumn="0" w:lastRowLastColumn="0"/>
          <w:trHeight w:val="675"/>
        </w:trPr>
        <w:tc>
          <w:tcPr>
            <w:tcW w:w="687" w:type="pct"/>
            <w:vMerge/>
          </w:tcPr>
          <w:p w:rsidR="00FF2DDF" w:rsidRDefault="00FF2DDF" w:rsidP="00C8745E">
            <w:pPr>
              <w:jc w:val="center"/>
              <w:rPr>
                <w:rFonts w:asciiTheme="minorHAnsi" w:hAnsiTheme="minorHAnsi" w:cstheme="minorHAnsi"/>
                <w:szCs w:val="20"/>
              </w:rPr>
            </w:pPr>
          </w:p>
        </w:tc>
        <w:tc>
          <w:tcPr>
            <w:tcW w:w="883" w:type="pct"/>
          </w:tcPr>
          <w:p w:rsidR="00FF2DDF" w:rsidRPr="002D1DC5" w:rsidRDefault="00FF2DDF" w:rsidP="00C8745E">
            <w:pPr>
              <w:rPr>
                <w:rFonts w:cstheme="minorHAnsi"/>
                <w:szCs w:val="20"/>
              </w:rPr>
            </w:pPr>
            <w:r>
              <w:rPr>
                <w:rFonts w:cstheme="minorHAnsi"/>
                <w:szCs w:val="20"/>
              </w:rPr>
              <w:t>1/1/2017</w:t>
            </w:r>
          </w:p>
        </w:tc>
        <w:tc>
          <w:tcPr>
            <w:tcW w:w="1079" w:type="pct"/>
          </w:tcPr>
          <w:p w:rsidR="00FF2DDF" w:rsidRPr="002D1DC5" w:rsidRDefault="00FF2DDF" w:rsidP="00C8745E">
            <w:pPr>
              <w:rPr>
                <w:rFonts w:cstheme="minorHAnsi"/>
                <w:szCs w:val="20"/>
              </w:rPr>
            </w:pPr>
            <w:r>
              <w:rPr>
                <w:rFonts w:cstheme="minorHAnsi"/>
                <w:szCs w:val="20"/>
              </w:rPr>
              <w:t>Henry Liu/PG&amp;E</w:t>
            </w:r>
          </w:p>
        </w:tc>
        <w:tc>
          <w:tcPr>
            <w:tcW w:w="2351" w:type="pct"/>
          </w:tcPr>
          <w:p w:rsidR="00FF2DDF" w:rsidRPr="002D1DC5" w:rsidRDefault="00FF2DDF" w:rsidP="00C8745E">
            <w:pPr>
              <w:rPr>
                <w:rFonts w:cstheme="minorHAnsi"/>
                <w:bCs/>
                <w:szCs w:val="20"/>
              </w:rPr>
            </w:pPr>
            <w:r>
              <w:rPr>
                <w:rFonts w:cstheme="minorHAnsi"/>
                <w:bCs/>
                <w:szCs w:val="20"/>
              </w:rPr>
              <w:t xml:space="preserve">Updated word doc to reflect 6% duct leakage requirements to 5% due to Title 24 2016.   </w:t>
            </w:r>
          </w:p>
        </w:tc>
      </w:tr>
      <w:tr w:rsidR="00FF2DDF" w:rsidRPr="002D1DC5" w:rsidTr="00FF2DDF">
        <w:trPr>
          <w:cnfStyle w:val="000000010000" w:firstRow="0" w:lastRow="0" w:firstColumn="0" w:lastColumn="0" w:oddVBand="0" w:evenVBand="0" w:oddHBand="0" w:evenHBand="1" w:firstRowFirstColumn="0" w:firstRowLastColumn="0" w:lastRowFirstColumn="0" w:lastRowLastColumn="0"/>
          <w:trHeight w:val="675"/>
        </w:trPr>
        <w:tc>
          <w:tcPr>
            <w:tcW w:w="687" w:type="pct"/>
          </w:tcPr>
          <w:p w:rsidR="00FF2DDF" w:rsidRDefault="00FF2DDF" w:rsidP="00C8745E">
            <w:pPr>
              <w:jc w:val="center"/>
              <w:rPr>
                <w:rFonts w:cstheme="minorHAnsi"/>
                <w:szCs w:val="20"/>
              </w:rPr>
            </w:pPr>
            <w:r>
              <w:rPr>
                <w:rFonts w:cstheme="minorHAnsi"/>
                <w:szCs w:val="20"/>
              </w:rPr>
              <w:t>3</w:t>
            </w:r>
          </w:p>
        </w:tc>
        <w:tc>
          <w:tcPr>
            <w:tcW w:w="883" w:type="pct"/>
          </w:tcPr>
          <w:p w:rsidR="00FF2DDF" w:rsidRDefault="00FF2DDF" w:rsidP="00C8745E">
            <w:pPr>
              <w:rPr>
                <w:rFonts w:cstheme="minorHAnsi"/>
                <w:szCs w:val="20"/>
              </w:rPr>
            </w:pPr>
            <w:r>
              <w:rPr>
                <w:rFonts w:cstheme="minorHAnsi"/>
                <w:szCs w:val="20"/>
              </w:rPr>
              <w:t>12/28/2017</w:t>
            </w:r>
          </w:p>
        </w:tc>
        <w:tc>
          <w:tcPr>
            <w:tcW w:w="1079" w:type="pct"/>
          </w:tcPr>
          <w:p w:rsidR="00FF2DDF" w:rsidRDefault="00FF2DDF" w:rsidP="00C8745E">
            <w:pPr>
              <w:rPr>
                <w:rFonts w:cstheme="minorHAnsi"/>
                <w:szCs w:val="20"/>
              </w:rPr>
            </w:pPr>
            <w:r>
              <w:rPr>
                <w:rFonts w:cstheme="minorHAnsi"/>
                <w:szCs w:val="20"/>
              </w:rPr>
              <w:t>Jia Huang/PG&amp;E</w:t>
            </w:r>
          </w:p>
        </w:tc>
        <w:tc>
          <w:tcPr>
            <w:tcW w:w="2351" w:type="pct"/>
          </w:tcPr>
          <w:p w:rsidR="00FF2DDF" w:rsidRDefault="00FF2DDF" w:rsidP="00C8745E">
            <w:r>
              <w:rPr>
                <w:rFonts w:cstheme="minorHAnsi"/>
                <w:bCs/>
                <w:szCs w:val="20"/>
              </w:rPr>
              <w:t xml:space="preserve">Adopt SCE lead WP SCE17MI005.0 </w:t>
            </w:r>
            <w:r>
              <w:t>“Energy Upgrade California- Prescriptive Whole Home Upgrade”</w:t>
            </w:r>
            <w:r>
              <w:t>. Per SCE revision notes:</w:t>
            </w:r>
          </w:p>
          <w:p w:rsidR="00FF2DDF" w:rsidRDefault="00FF2DDF" w:rsidP="00FF2DDF">
            <w:pPr>
              <w:pStyle w:val="ListBullet"/>
            </w:pPr>
            <w:r w:rsidRPr="00867FB8">
              <w:t>Updated Duct leakage measure</w:t>
            </w:r>
            <w:r>
              <w:t xml:space="preserve"> requirements</w:t>
            </w:r>
            <w:r w:rsidRPr="00867FB8">
              <w:t xml:space="preserve"> to align with Title 24 </w:t>
            </w:r>
            <w:r>
              <w:t>(2016)</w:t>
            </w:r>
          </w:p>
          <w:p w:rsidR="00FF2DDF" w:rsidRDefault="00FF2DDF" w:rsidP="00FF2DDF">
            <w:pPr>
              <w:pStyle w:val="ListBullet"/>
            </w:pPr>
            <w:r w:rsidRPr="00867FB8">
              <w:t xml:space="preserve">Updated High Performance Windows measure </w:t>
            </w:r>
            <w:r>
              <w:t xml:space="preserve">to use existing baseline, in conformance with D.13-11-008. </w:t>
            </w:r>
          </w:p>
          <w:p w:rsidR="00FF2DDF" w:rsidRPr="00867FB8" w:rsidRDefault="00FF2DDF" w:rsidP="00FF2DDF">
            <w:pPr>
              <w:pStyle w:val="ListBullet"/>
            </w:pPr>
            <w:r w:rsidRPr="00867FB8">
              <w:t>Updated Thermostatic Shut-Off Valve and Low Flow Showerhead measure per updates to work paper SCGWP100303B Rev6</w:t>
            </w:r>
          </w:p>
          <w:p w:rsidR="00FF2DDF" w:rsidRDefault="00FF2DDF" w:rsidP="00FF2DDF">
            <w:pPr>
              <w:pStyle w:val="ListBullet"/>
            </w:pPr>
            <w:r>
              <w:t>Updated</w:t>
            </w:r>
            <w:r w:rsidRPr="00867FB8">
              <w:t xml:space="preserve"> Thermostatic Shut-Off Valve (work paper SCGWP100303B Rev6)</w:t>
            </w:r>
          </w:p>
          <w:p w:rsidR="00FF2DDF" w:rsidRDefault="00FF2DDF" w:rsidP="00FF2DDF">
            <w:pPr>
              <w:pStyle w:val="ListBullet"/>
            </w:pPr>
            <w:r w:rsidRPr="00867FB8">
              <w:t>Added Auto-Diverting Tub Spout measure (work paper SWWH001v00)</w:t>
            </w:r>
          </w:p>
          <w:p w:rsidR="00FF2DDF" w:rsidRDefault="00FF2DDF" w:rsidP="00FF2DDF">
            <w:pPr>
              <w:pStyle w:val="ListBullet"/>
            </w:pPr>
            <w:r>
              <w:t>Specified</w:t>
            </w:r>
            <w:r w:rsidRPr="00867FB8">
              <w:t xml:space="preserve"> EER requirement for AC</w:t>
            </w:r>
            <w:r>
              <w:t xml:space="preserve"> </w:t>
            </w:r>
            <w:r w:rsidRPr="00867FB8">
              <w:t>Replacement measure</w:t>
            </w:r>
          </w:p>
          <w:p w:rsidR="00FF2DDF" w:rsidRDefault="00FF2DDF" w:rsidP="00FF2DDF">
            <w:pPr>
              <w:pStyle w:val="ListBullet"/>
            </w:pPr>
            <w:r w:rsidRPr="00867FB8">
              <w:t>Reviewed and updated cost data sources</w:t>
            </w:r>
          </w:p>
          <w:p w:rsidR="00FF2DDF" w:rsidRDefault="00FF2DDF" w:rsidP="00FF2DDF">
            <w:pPr>
              <w:pStyle w:val="ListBullet"/>
            </w:pPr>
            <w:r w:rsidRPr="00867FB8">
              <w:t xml:space="preserve">Updated </w:t>
            </w:r>
            <w:r>
              <w:t xml:space="preserve">package </w:t>
            </w:r>
            <w:r w:rsidRPr="00867FB8">
              <w:t xml:space="preserve">EUL and GSIA </w:t>
            </w:r>
            <w:r>
              <w:t>values using simplified</w:t>
            </w:r>
            <w:r w:rsidRPr="00867FB8">
              <w:t xml:space="preserve"> measure weight</w:t>
            </w:r>
            <w:r>
              <w:t>ing method</w:t>
            </w:r>
          </w:p>
          <w:p w:rsidR="00FF2DDF" w:rsidRDefault="00FF2DDF" w:rsidP="00FF2DDF">
            <w:pPr>
              <w:pStyle w:val="ListBullet"/>
            </w:pPr>
            <w:r>
              <w:t xml:space="preserve">Updated natural gas water heating measures per the June 2017 DEER update, which reflects an adjustment of the baseline conditions and efficient case conditions.  </w:t>
            </w:r>
          </w:p>
          <w:p w:rsidR="00FF2DDF" w:rsidRDefault="00FF2DDF" w:rsidP="00FF2DDF">
            <w:pPr>
              <w:pStyle w:val="ListBullet"/>
            </w:pPr>
            <w:r>
              <w:t>Updated the Efficient Air Conditioner measure per the June 2017 DEER update, which modified the Existing Condition from SEER 10 to SEER 11.4.</w:t>
            </w:r>
          </w:p>
          <w:p w:rsidR="00FF2DDF" w:rsidRPr="00FF2DDF" w:rsidRDefault="00FF2DDF" w:rsidP="00FF2DDF">
            <w:pPr>
              <w:pStyle w:val="ListBullet"/>
            </w:pPr>
            <w:r w:rsidRPr="00FF2DDF">
              <w:t>See Log tab in calculator (Attachment 4) for modifications</w:t>
            </w:r>
          </w:p>
          <w:p w:rsidR="00FF2DDF" w:rsidRDefault="00FF2DDF" w:rsidP="00C8745E">
            <w:pPr>
              <w:rPr>
                <w:rFonts w:cstheme="minorHAnsi"/>
                <w:bCs/>
                <w:szCs w:val="20"/>
              </w:rPr>
            </w:pPr>
          </w:p>
        </w:tc>
      </w:tr>
    </w:tbl>
    <w:p w:rsidR="00DB71F1" w:rsidRDefault="00DB71F1">
      <w:pPr>
        <w:spacing w:after="200" w:line="276" w:lineRule="auto"/>
      </w:pPr>
      <w:r>
        <w:br w:type="page"/>
      </w:r>
    </w:p>
    <w:p w:rsidR="00DB71F1" w:rsidRDefault="00DB71F1" w:rsidP="00DB71F1">
      <w:pPr>
        <w:pStyle w:val="Heading2"/>
      </w:pPr>
      <w:r>
        <w:lastRenderedPageBreak/>
        <w:t>Measure Summary</w:t>
      </w:r>
      <w:r w:rsidRPr="0025216C">
        <w:t xml:space="preserve"> </w:t>
      </w:r>
    </w:p>
    <w:p w:rsidR="00EE6CFE" w:rsidRPr="00EE6CFE" w:rsidRDefault="00EE6CFE" w:rsidP="0081521B"/>
    <w:p w:rsidR="00DB71F1" w:rsidRDefault="00DB71F1" w:rsidP="00DB71F1">
      <w:pPr>
        <w:pStyle w:val="Caption"/>
        <w:keepNext/>
        <w:jc w:val="center"/>
      </w:pPr>
      <w:r>
        <w:t xml:space="preserve">Table </w:t>
      </w:r>
      <w:r w:rsidR="006F51DA">
        <w:fldChar w:fldCharType="begin"/>
      </w:r>
      <w:r w:rsidR="006F51DA">
        <w:instrText xml:space="preserve"> SEQ Table \* ARABIC </w:instrText>
      </w:r>
      <w:r w:rsidR="006F51DA">
        <w:fldChar w:fldCharType="separate"/>
      </w:r>
      <w:r>
        <w:rPr>
          <w:noProof/>
        </w:rPr>
        <w:t>1</w:t>
      </w:r>
      <w:r w:rsidR="006F51DA">
        <w:rPr>
          <w:noProof/>
        </w:rPr>
        <w:fldChar w:fldCharType="end"/>
      </w:r>
      <w:r>
        <w:t>: Measure Summary Table</w:t>
      </w:r>
    </w:p>
    <w:tbl>
      <w:tblPr>
        <w:tblStyle w:val="TableGrid"/>
        <w:tblW w:w="0" w:type="auto"/>
        <w:tblLook w:val="04A0" w:firstRow="1" w:lastRow="0" w:firstColumn="1" w:lastColumn="0" w:noHBand="0" w:noVBand="1"/>
      </w:tblPr>
      <w:tblGrid>
        <w:gridCol w:w="2718"/>
        <w:gridCol w:w="6858"/>
      </w:tblGrid>
      <w:tr w:rsidR="00DB71F1" w:rsidTr="00241A1F">
        <w:trPr>
          <w:cantSplit/>
          <w:tblHeader/>
        </w:trPr>
        <w:tc>
          <w:tcPr>
            <w:tcW w:w="2718" w:type="dxa"/>
          </w:tcPr>
          <w:p w:rsidR="00DB71F1" w:rsidRPr="00D86243" w:rsidRDefault="00DB71F1" w:rsidP="00393EC8">
            <w:pPr>
              <w:jc w:val="center"/>
              <w:rPr>
                <w:b/>
              </w:rPr>
            </w:pPr>
            <w:r w:rsidRPr="00D86243">
              <w:rPr>
                <w:b/>
              </w:rPr>
              <w:t>Section</w:t>
            </w:r>
          </w:p>
        </w:tc>
        <w:tc>
          <w:tcPr>
            <w:tcW w:w="6858" w:type="dxa"/>
          </w:tcPr>
          <w:p w:rsidR="00DB71F1" w:rsidRPr="00D86243" w:rsidRDefault="00DB71F1" w:rsidP="00393EC8">
            <w:pPr>
              <w:jc w:val="center"/>
              <w:rPr>
                <w:b/>
              </w:rPr>
            </w:pPr>
            <w:r w:rsidRPr="00D86243">
              <w:rPr>
                <w:b/>
              </w:rPr>
              <w:t>Value</w:t>
            </w:r>
          </w:p>
        </w:tc>
      </w:tr>
      <w:tr w:rsidR="00DB71F1" w:rsidTr="00241A1F">
        <w:trPr>
          <w:cantSplit/>
        </w:trPr>
        <w:tc>
          <w:tcPr>
            <w:tcW w:w="2718" w:type="dxa"/>
            <w:vAlign w:val="center"/>
          </w:tcPr>
          <w:p w:rsidR="00DB71F1" w:rsidRPr="001D77F7" w:rsidRDefault="00DB71F1" w:rsidP="00393EC8">
            <w:pPr>
              <w:rPr>
                <w:b/>
              </w:rPr>
            </w:pPr>
            <w:r>
              <w:rPr>
                <w:b/>
              </w:rPr>
              <w:t>Summary &amp; Purpose</w:t>
            </w:r>
          </w:p>
        </w:tc>
        <w:tc>
          <w:tcPr>
            <w:tcW w:w="6858" w:type="dxa"/>
          </w:tcPr>
          <w:p w:rsidR="00DB71F1" w:rsidRPr="004C35E4" w:rsidRDefault="00DB71F1" w:rsidP="00FF2DDF">
            <w:pPr>
              <w:rPr>
                <w:rFonts w:cs="Arial"/>
                <w:sz w:val="20"/>
                <w:szCs w:val="20"/>
              </w:rPr>
            </w:pPr>
            <w:r w:rsidRPr="004C35E4">
              <w:rPr>
                <w:rFonts w:cs="Arial"/>
                <w:sz w:val="20"/>
                <w:szCs w:val="20"/>
              </w:rPr>
              <w:t>This short form workpaper documents ex-ante load impact</w:t>
            </w:r>
            <w:r w:rsidR="00E733C7" w:rsidRPr="004C35E4">
              <w:rPr>
                <w:rFonts w:cs="Arial"/>
                <w:sz w:val="20"/>
                <w:szCs w:val="20"/>
              </w:rPr>
              <w:t>s</w:t>
            </w:r>
            <w:r w:rsidRPr="004C35E4">
              <w:rPr>
                <w:rFonts w:cs="Arial"/>
                <w:sz w:val="20"/>
                <w:szCs w:val="20"/>
              </w:rPr>
              <w:t xml:space="preserve"> and cost-effectiveness values for </w:t>
            </w:r>
            <w:r w:rsidR="00FF2DDF">
              <w:rPr>
                <w:rFonts w:cs="Arial"/>
                <w:sz w:val="20"/>
                <w:szCs w:val="20"/>
              </w:rPr>
              <w:t>Energy Upgrade California</w:t>
            </w:r>
            <w:r w:rsidRPr="004C35E4">
              <w:rPr>
                <w:rFonts w:cs="Arial"/>
                <w:sz w:val="20"/>
                <w:szCs w:val="20"/>
              </w:rPr>
              <w:t xml:space="preserve">. </w:t>
            </w:r>
            <w:r w:rsidR="00884B9C" w:rsidRPr="004C35E4">
              <w:rPr>
                <w:rFonts w:cs="Arial"/>
                <w:sz w:val="20"/>
                <w:szCs w:val="20"/>
              </w:rPr>
              <w:t xml:space="preserve">The energy savings and load impacts are based on </w:t>
            </w:r>
            <w:r w:rsidR="0023444F" w:rsidRPr="004C35E4">
              <w:rPr>
                <w:rFonts w:cs="Arial"/>
                <w:sz w:val="20"/>
                <w:szCs w:val="20"/>
              </w:rPr>
              <w:t>the lea</w:t>
            </w:r>
            <w:r w:rsidR="00363449">
              <w:rPr>
                <w:rFonts w:cs="Arial"/>
                <w:sz w:val="20"/>
                <w:szCs w:val="20"/>
              </w:rPr>
              <w:t xml:space="preserve">d IOU </w:t>
            </w:r>
            <w:proofErr w:type="spellStart"/>
            <w:r w:rsidR="00363449">
              <w:rPr>
                <w:rFonts w:cs="Arial"/>
                <w:sz w:val="20"/>
                <w:szCs w:val="20"/>
              </w:rPr>
              <w:t>workpaper</w:t>
            </w:r>
            <w:proofErr w:type="spellEnd"/>
            <w:r w:rsidR="00363449">
              <w:rPr>
                <w:rFonts w:cs="Arial"/>
                <w:sz w:val="20"/>
                <w:szCs w:val="20"/>
              </w:rPr>
              <w:t xml:space="preserve"> “</w:t>
            </w:r>
            <w:r w:rsidR="00FF2DDF">
              <w:rPr>
                <w:rFonts w:cs="Arial"/>
                <w:sz w:val="20"/>
                <w:szCs w:val="20"/>
              </w:rPr>
              <w:t>SCE17MI005 Rev0</w:t>
            </w:r>
            <w:r w:rsidR="002225B3">
              <w:rPr>
                <w:rFonts w:cs="Arial"/>
                <w:sz w:val="20"/>
                <w:szCs w:val="20"/>
              </w:rPr>
              <w:t xml:space="preserve"> – </w:t>
            </w:r>
            <w:r w:rsidR="00FF2DDF" w:rsidRPr="00FF2DDF">
              <w:rPr>
                <w:rFonts w:cs="Arial"/>
                <w:sz w:val="20"/>
                <w:szCs w:val="20"/>
              </w:rPr>
              <w:t>Energy Upgrade California- Prescriptive Whole Home Upgrade”</w:t>
            </w:r>
            <w:r w:rsidR="00FF2DDF">
              <w:rPr>
                <w:rFonts w:cs="Arial"/>
                <w:sz w:val="20"/>
                <w:szCs w:val="20"/>
              </w:rPr>
              <w:t>.</w:t>
            </w:r>
          </w:p>
        </w:tc>
      </w:tr>
      <w:tr w:rsidR="00DB71F1" w:rsidTr="00241A1F">
        <w:trPr>
          <w:cantSplit/>
        </w:trPr>
        <w:tc>
          <w:tcPr>
            <w:tcW w:w="2718" w:type="dxa"/>
            <w:vAlign w:val="center"/>
          </w:tcPr>
          <w:p w:rsidR="00DB71F1" w:rsidRPr="001D77F7" w:rsidRDefault="00DB71F1" w:rsidP="00393EC8">
            <w:pPr>
              <w:rPr>
                <w:b/>
              </w:rPr>
            </w:pPr>
            <w:r w:rsidRPr="001D77F7">
              <w:rPr>
                <w:b/>
              </w:rPr>
              <w:t>1.1 Measure &amp; Baseline Data</w:t>
            </w:r>
          </w:p>
        </w:tc>
        <w:tc>
          <w:tcPr>
            <w:tcW w:w="6858" w:type="dxa"/>
          </w:tcPr>
          <w:p w:rsidR="00DB71F1" w:rsidRDefault="00EE6CFE" w:rsidP="001D57D7">
            <w:pPr>
              <w:rPr>
                <w:rFonts w:ascii="Calibri" w:hAnsi="Calibri"/>
                <w:sz w:val="20"/>
                <w:szCs w:val="20"/>
              </w:rPr>
            </w:pPr>
            <w:r w:rsidRPr="00B91BFF">
              <w:rPr>
                <w:sz w:val="20"/>
                <w:szCs w:val="20"/>
              </w:rPr>
              <w:t xml:space="preserve">Measure: </w:t>
            </w:r>
            <w:r w:rsidR="00FF2DDF" w:rsidRPr="00FF2DDF">
              <w:rPr>
                <w:rFonts w:ascii="Calibri" w:hAnsi="Calibri"/>
                <w:sz w:val="20"/>
                <w:szCs w:val="20"/>
              </w:rPr>
              <w:t>There are 22 measures that can be implemented in various packages under the Home Upgrade program. These measures improve the efficiency of the building shell, the heating and cooling system, as well as the domestic hot water system.</w:t>
            </w:r>
          </w:p>
          <w:p w:rsidR="002225B3" w:rsidRPr="00B91BFF" w:rsidRDefault="002225B3" w:rsidP="001D57D7">
            <w:pPr>
              <w:rPr>
                <w:sz w:val="20"/>
                <w:szCs w:val="20"/>
              </w:rPr>
            </w:pPr>
          </w:p>
          <w:p w:rsidR="00EE6CFE" w:rsidRPr="00241A1F" w:rsidRDefault="0023444F" w:rsidP="001D57D7">
            <w:pPr>
              <w:rPr>
                <w:rFonts w:cs="Arial"/>
                <w:sz w:val="20"/>
                <w:szCs w:val="20"/>
              </w:rPr>
            </w:pPr>
            <w:r w:rsidRPr="00B91BFF">
              <w:rPr>
                <w:sz w:val="20"/>
                <w:szCs w:val="20"/>
              </w:rPr>
              <w:t xml:space="preserve">Baseline: </w:t>
            </w:r>
            <w:r w:rsidR="00FF2DDF" w:rsidRPr="00FF2DDF">
              <w:rPr>
                <w:rFonts w:ascii="Calibri" w:hAnsi="Calibri"/>
                <w:sz w:val="20"/>
                <w:szCs w:val="20"/>
              </w:rPr>
              <w:t>Existing customer equipment; average derived from base case measurements of past program participants</w:t>
            </w:r>
          </w:p>
        </w:tc>
      </w:tr>
      <w:tr w:rsidR="00DB71F1" w:rsidTr="00241A1F">
        <w:trPr>
          <w:cantSplit/>
        </w:trPr>
        <w:tc>
          <w:tcPr>
            <w:tcW w:w="2718" w:type="dxa"/>
            <w:vAlign w:val="center"/>
          </w:tcPr>
          <w:p w:rsidR="00DB71F1" w:rsidRPr="001D77F7" w:rsidRDefault="00DB71F1" w:rsidP="00393EC8">
            <w:pPr>
              <w:rPr>
                <w:b/>
              </w:rPr>
            </w:pPr>
            <w:r w:rsidRPr="001D77F7">
              <w:rPr>
                <w:b/>
              </w:rPr>
              <w:t xml:space="preserve">1.2 Technical Description </w:t>
            </w:r>
          </w:p>
        </w:tc>
        <w:tc>
          <w:tcPr>
            <w:tcW w:w="6858" w:type="dxa"/>
          </w:tcPr>
          <w:p w:rsidR="00DB71F1" w:rsidRPr="00B91BFF" w:rsidRDefault="00000482" w:rsidP="00FF2DDF">
            <w:pPr>
              <w:pStyle w:val="Reminders"/>
              <w:tabs>
                <w:tab w:val="num" w:pos="360"/>
              </w:tabs>
              <w:rPr>
                <w:rFonts w:ascii="Calibri" w:hAnsi="Calibri"/>
                <w:i w:val="0"/>
                <w:color w:val="auto"/>
                <w:sz w:val="20"/>
                <w:szCs w:val="20"/>
              </w:rPr>
            </w:pPr>
            <w:r>
              <w:rPr>
                <w:rFonts w:ascii="Calibri" w:hAnsi="Calibri"/>
                <w:i w:val="0"/>
                <w:color w:val="auto"/>
                <w:sz w:val="20"/>
                <w:szCs w:val="20"/>
              </w:rPr>
              <w:t xml:space="preserve">Per cited per </w:t>
            </w:r>
            <w:r w:rsidR="002225B3">
              <w:rPr>
                <w:rFonts w:ascii="Calibri" w:hAnsi="Calibri"/>
                <w:i w:val="0"/>
                <w:color w:val="auto"/>
                <w:sz w:val="20"/>
                <w:szCs w:val="20"/>
              </w:rPr>
              <w:t>SCE</w:t>
            </w:r>
            <w:r w:rsidR="00FF2DDF">
              <w:rPr>
                <w:rFonts w:ascii="Calibri" w:hAnsi="Calibri"/>
                <w:i w:val="0"/>
                <w:color w:val="auto"/>
                <w:sz w:val="20"/>
                <w:szCs w:val="20"/>
              </w:rPr>
              <w:t>17MI005.0</w:t>
            </w:r>
            <w:r w:rsidR="002225B3">
              <w:rPr>
                <w:rFonts w:ascii="Calibri" w:hAnsi="Calibri"/>
                <w:i w:val="0"/>
                <w:color w:val="auto"/>
                <w:sz w:val="20"/>
                <w:szCs w:val="20"/>
              </w:rPr>
              <w:t xml:space="preserve"> </w:t>
            </w:r>
            <w:proofErr w:type="spellStart"/>
            <w:r w:rsidR="00222120" w:rsidRPr="00B91BFF">
              <w:rPr>
                <w:rFonts w:ascii="Calibri" w:hAnsi="Calibri"/>
                <w:i w:val="0"/>
                <w:color w:val="auto"/>
                <w:sz w:val="20"/>
                <w:szCs w:val="20"/>
              </w:rPr>
              <w:t>workpaper</w:t>
            </w:r>
            <w:proofErr w:type="spellEnd"/>
          </w:p>
        </w:tc>
      </w:tr>
      <w:tr w:rsidR="008775D7" w:rsidRPr="008775D7" w:rsidTr="00241A1F">
        <w:trPr>
          <w:cantSplit/>
        </w:trPr>
        <w:tc>
          <w:tcPr>
            <w:tcW w:w="2718" w:type="dxa"/>
          </w:tcPr>
          <w:p w:rsidR="008775D7" w:rsidRPr="00241A1F" w:rsidRDefault="008775D7" w:rsidP="00241A1F">
            <w:pPr>
              <w:jc w:val="right"/>
              <w:rPr>
                <w:sz w:val="20"/>
                <w:szCs w:val="20"/>
              </w:rPr>
            </w:pPr>
            <w:r w:rsidRPr="00241A1F">
              <w:rPr>
                <w:sz w:val="20"/>
                <w:szCs w:val="20"/>
              </w:rPr>
              <w:t>Measures</w:t>
            </w:r>
          </w:p>
        </w:tc>
        <w:tc>
          <w:tcPr>
            <w:tcW w:w="6858" w:type="dxa"/>
          </w:tcPr>
          <w:p w:rsidR="00222120" w:rsidRPr="00E733C7" w:rsidRDefault="00FF2DDF">
            <w:pPr>
              <w:rPr>
                <w:rFonts w:cs="Arial"/>
                <w:sz w:val="20"/>
                <w:szCs w:val="20"/>
              </w:rPr>
            </w:pPr>
            <w:r>
              <w:rPr>
                <w:rFonts w:cs="Arial"/>
                <w:sz w:val="20"/>
                <w:szCs w:val="20"/>
              </w:rPr>
              <w:t>PG&amp;E measure code HV176 to HV226.</w:t>
            </w:r>
          </w:p>
        </w:tc>
      </w:tr>
      <w:tr w:rsidR="008775D7" w:rsidRPr="008775D7" w:rsidTr="00241A1F">
        <w:trPr>
          <w:cantSplit/>
        </w:trPr>
        <w:tc>
          <w:tcPr>
            <w:tcW w:w="2718" w:type="dxa"/>
          </w:tcPr>
          <w:p w:rsidR="008775D7" w:rsidRPr="00241A1F" w:rsidRDefault="008775D7" w:rsidP="00241A1F">
            <w:pPr>
              <w:jc w:val="right"/>
              <w:rPr>
                <w:sz w:val="20"/>
                <w:szCs w:val="20"/>
              </w:rPr>
            </w:pPr>
            <w:r w:rsidRPr="00241A1F">
              <w:rPr>
                <w:sz w:val="20"/>
                <w:szCs w:val="20"/>
              </w:rPr>
              <w:t>Code for All Measures</w:t>
            </w:r>
          </w:p>
        </w:tc>
        <w:tc>
          <w:tcPr>
            <w:tcW w:w="6858" w:type="dxa"/>
          </w:tcPr>
          <w:p w:rsidR="007B314A" w:rsidRPr="00A93078" w:rsidRDefault="00FF2DDF" w:rsidP="00A93078">
            <w:pPr>
              <w:rPr>
                <w:sz w:val="20"/>
              </w:rPr>
            </w:pPr>
            <w:r>
              <w:rPr>
                <w:sz w:val="20"/>
              </w:rPr>
              <w:t>Applicable for certain measures with dual baselines.</w:t>
            </w:r>
          </w:p>
        </w:tc>
      </w:tr>
      <w:tr w:rsidR="00E84938" w:rsidTr="00241A1F">
        <w:trPr>
          <w:cantSplit/>
        </w:trPr>
        <w:tc>
          <w:tcPr>
            <w:tcW w:w="2718" w:type="dxa"/>
          </w:tcPr>
          <w:p w:rsidR="00E84938" w:rsidRPr="001D77F7" w:rsidRDefault="00E84938" w:rsidP="008724D6">
            <w:pPr>
              <w:jc w:val="right"/>
              <w:rPr>
                <w:b/>
              </w:rPr>
            </w:pPr>
            <w:r w:rsidRPr="00197677">
              <w:rPr>
                <w:rFonts w:cs="Arial"/>
                <w:sz w:val="20"/>
                <w:szCs w:val="20"/>
              </w:rPr>
              <w:t>Requirements</w:t>
            </w:r>
          </w:p>
        </w:tc>
        <w:tc>
          <w:tcPr>
            <w:tcW w:w="6858" w:type="dxa"/>
          </w:tcPr>
          <w:p w:rsidR="003C038E" w:rsidRPr="00FF2DDF" w:rsidRDefault="00FF2DDF" w:rsidP="00FF2DDF">
            <w:pPr>
              <w:rPr>
                <w:rFonts w:ascii="Calibri" w:hAnsi="Calibri"/>
                <w:sz w:val="20"/>
                <w:szCs w:val="20"/>
              </w:rPr>
            </w:pPr>
            <w:r>
              <w:rPr>
                <w:rFonts w:ascii="Calibri" w:hAnsi="Calibri"/>
                <w:sz w:val="20"/>
                <w:szCs w:val="20"/>
              </w:rPr>
              <w:t>See</w:t>
            </w:r>
            <w:r w:rsidR="002225B3">
              <w:rPr>
                <w:rFonts w:ascii="Calibri" w:hAnsi="Calibri"/>
                <w:sz w:val="20"/>
                <w:szCs w:val="20"/>
              </w:rPr>
              <w:t xml:space="preserve"> </w:t>
            </w:r>
            <w:r w:rsidR="002225B3" w:rsidRPr="002225B3">
              <w:rPr>
                <w:rFonts w:ascii="Calibri" w:hAnsi="Calibri"/>
                <w:sz w:val="20"/>
                <w:szCs w:val="20"/>
              </w:rPr>
              <w:t>SCE17HC030.1</w:t>
            </w:r>
            <w:r w:rsidR="00A93078" w:rsidRPr="00A93078">
              <w:rPr>
                <w:rFonts w:ascii="Calibri" w:hAnsi="Calibri"/>
                <w:sz w:val="20"/>
                <w:szCs w:val="20"/>
              </w:rPr>
              <w:t xml:space="preserve"> </w:t>
            </w:r>
            <w:proofErr w:type="spellStart"/>
            <w:r>
              <w:rPr>
                <w:rFonts w:ascii="Calibri" w:hAnsi="Calibri"/>
                <w:sz w:val="20"/>
                <w:szCs w:val="20"/>
              </w:rPr>
              <w:t>workpaper</w:t>
            </w:r>
            <w:proofErr w:type="spellEnd"/>
          </w:p>
        </w:tc>
      </w:tr>
      <w:tr w:rsidR="00DB71F1" w:rsidTr="00241A1F">
        <w:trPr>
          <w:cantSplit/>
        </w:trPr>
        <w:tc>
          <w:tcPr>
            <w:tcW w:w="2718" w:type="dxa"/>
          </w:tcPr>
          <w:p w:rsidR="00DB71F1" w:rsidRPr="001D77F7" w:rsidRDefault="00DB71F1" w:rsidP="00393EC8">
            <w:pPr>
              <w:rPr>
                <w:b/>
              </w:rPr>
            </w:pPr>
            <w:r w:rsidRPr="001D77F7">
              <w:rPr>
                <w:b/>
              </w:rPr>
              <w:t>1.3 Installation Type and Delivery Mechanisms</w:t>
            </w:r>
          </w:p>
        </w:tc>
        <w:tc>
          <w:tcPr>
            <w:tcW w:w="6858" w:type="dxa"/>
          </w:tcPr>
          <w:p w:rsidR="00DB71F1" w:rsidRPr="00D86243" w:rsidRDefault="00DB71F1" w:rsidP="00393EC8">
            <w:pPr>
              <w:rPr>
                <w:rFonts w:cs="Arial"/>
                <w:sz w:val="20"/>
                <w:szCs w:val="20"/>
              </w:rPr>
            </w:pPr>
          </w:p>
        </w:tc>
      </w:tr>
      <w:tr w:rsidR="00DB71F1" w:rsidTr="00241A1F">
        <w:trPr>
          <w:cantSplit/>
        </w:trPr>
        <w:tc>
          <w:tcPr>
            <w:tcW w:w="2718" w:type="dxa"/>
            <w:vAlign w:val="center"/>
          </w:tcPr>
          <w:p w:rsidR="00DB71F1" w:rsidRPr="00822B6F" w:rsidRDefault="00DB71F1" w:rsidP="00393EC8">
            <w:pPr>
              <w:jc w:val="right"/>
              <w:rPr>
                <w:sz w:val="20"/>
                <w:szCs w:val="20"/>
              </w:rPr>
            </w:pPr>
            <w:r w:rsidRPr="00822B6F">
              <w:rPr>
                <w:sz w:val="20"/>
                <w:szCs w:val="20"/>
              </w:rPr>
              <w:t>Installation Type</w:t>
            </w:r>
          </w:p>
        </w:tc>
        <w:tc>
          <w:tcPr>
            <w:tcW w:w="6858" w:type="dxa"/>
          </w:tcPr>
          <w:p w:rsidR="00DB71F1" w:rsidRDefault="00FF2DDF" w:rsidP="00004D4E">
            <w:pPr>
              <w:pStyle w:val="ListParagraph"/>
              <w:numPr>
                <w:ilvl w:val="0"/>
                <w:numId w:val="6"/>
              </w:numPr>
              <w:rPr>
                <w:rFonts w:cs="Arial"/>
                <w:sz w:val="20"/>
                <w:szCs w:val="20"/>
              </w:rPr>
            </w:pPr>
            <w:r>
              <w:rPr>
                <w:rFonts w:cs="Arial"/>
                <w:sz w:val="20"/>
                <w:szCs w:val="20"/>
              </w:rPr>
              <w:t>Early Retirement (ER)</w:t>
            </w:r>
          </w:p>
          <w:p w:rsidR="00FF2DDF" w:rsidRDefault="00FF2DDF" w:rsidP="00004D4E">
            <w:pPr>
              <w:pStyle w:val="ListParagraph"/>
              <w:numPr>
                <w:ilvl w:val="0"/>
                <w:numId w:val="6"/>
              </w:numPr>
              <w:rPr>
                <w:rFonts w:cs="Arial"/>
                <w:sz w:val="20"/>
                <w:szCs w:val="20"/>
              </w:rPr>
            </w:pPr>
            <w:r>
              <w:rPr>
                <w:rFonts w:cs="Arial"/>
                <w:sz w:val="20"/>
                <w:szCs w:val="20"/>
              </w:rPr>
              <w:t>Retrofit Add On (REA)</w:t>
            </w:r>
          </w:p>
          <w:p w:rsidR="00CF2ABA" w:rsidRPr="00393EC8" w:rsidRDefault="00CF2ABA" w:rsidP="00B33D20">
            <w:pPr>
              <w:pStyle w:val="ListParagraph"/>
              <w:ind w:left="360"/>
              <w:rPr>
                <w:rFonts w:cs="Arial"/>
                <w:sz w:val="20"/>
                <w:szCs w:val="20"/>
              </w:rPr>
            </w:pPr>
          </w:p>
        </w:tc>
      </w:tr>
      <w:tr w:rsidR="00DB71F1" w:rsidTr="00241A1F">
        <w:trPr>
          <w:cantSplit/>
        </w:trPr>
        <w:tc>
          <w:tcPr>
            <w:tcW w:w="2718" w:type="dxa"/>
            <w:vAlign w:val="center"/>
          </w:tcPr>
          <w:p w:rsidR="00DB71F1" w:rsidRPr="00822B6F" w:rsidRDefault="00DB71F1" w:rsidP="00393EC8">
            <w:pPr>
              <w:jc w:val="right"/>
              <w:rPr>
                <w:sz w:val="20"/>
                <w:szCs w:val="20"/>
              </w:rPr>
            </w:pPr>
            <w:r w:rsidRPr="00822B6F">
              <w:rPr>
                <w:sz w:val="20"/>
                <w:szCs w:val="20"/>
              </w:rPr>
              <w:t>Delivery Mechanisms</w:t>
            </w:r>
          </w:p>
        </w:tc>
        <w:tc>
          <w:tcPr>
            <w:tcW w:w="6858" w:type="dxa"/>
          </w:tcPr>
          <w:p w:rsidR="00000482" w:rsidRPr="00A93078" w:rsidRDefault="00FF2DDF" w:rsidP="002225B3">
            <w:pPr>
              <w:pStyle w:val="ListParagraph"/>
              <w:numPr>
                <w:ilvl w:val="0"/>
                <w:numId w:val="7"/>
              </w:numPr>
              <w:rPr>
                <w:rFonts w:cs="Arial"/>
                <w:sz w:val="20"/>
                <w:szCs w:val="20"/>
              </w:rPr>
            </w:pPr>
            <w:r>
              <w:rPr>
                <w:rFonts w:cs="Arial"/>
                <w:sz w:val="20"/>
                <w:szCs w:val="20"/>
              </w:rPr>
              <w:t>Downstream</w:t>
            </w:r>
            <w:r w:rsidR="00DB71F1" w:rsidRPr="00476F40">
              <w:rPr>
                <w:rFonts w:cs="Arial"/>
                <w:sz w:val="20"/>
                <w:szCs w:val="20"/>
              </w:rPr>
              <w:t xml:space="preserve"> </w:t>
            </w:r>
            <w:r w:rsidR="002225B3">
              <w:rPr>
                <w:rFonts w:cs="Arial"/>
                <w:sz w:val="20"/>
                <w:szCs w:val="20"/>
              </w:rPr>
              <w:t>Incentive</w:t>
            </w:r>
          </w:p>
        </w:tc>
      </w:tr>
      <w:tr w:rsidR="00DB71F1" w:rsidTr="00241A1F">
        <w:trPr>
          <w:cantSplit/>
        </w:trPr>
        <w:tc>
          <w:tcPr>
            <w:tcW w:w="2718" w:type="dxa"/>
          </w:tcPr>
          <w:p w:rsidR="00DB71F1" w:rsidRPr="001D77F7" w:rsidRDefault="00DB71F1" w:rsidP="00393EC8">
            <w:pPr>
              <w:rPr>
                <w:b/>
              </w:rPr>
            </w:pPr>
            <w:r w:rsidRPr="001D77F7">
              <w:rPr>
                <w:b/>
              </w:rPr>
              <w:t>1.4.1 DEER Data</w:t>
            </w:r>
          </w:p>
        </w:tc>
        <w:tc>
          <w:tcPr>
            <w:tcW w:w="6858" w:type="dxa"/>
          </w:tcPr>
          <w:p w:rsidR="00DB71F1" w:rsidRPr="00B91BFF" w:rsidRDefault="00000482" w:rsidP="00FF2DDF">
            <w:pPr>
              <w:rPr>
                <w:sz w:val="20"/>
                <w:szCs w:val="20"/>
              </w:rPr>
            </w:pPr>
            <w:r>
              <w:rPr>
                <w:sz w:val="20"/>
                <w:szCs w:val="20"/>
              </w:rPr>
              <w:t>As cited per “</w:t>
            </w:r>
            <w:r w:rsidR="00FF2DDF">
              <w:rPr>
                <w:rFonts w:ascii="Calibri" w:hAnsi="Calibri"/>
                <w:sz w:val="20"/>
                <w:szCs w:val="20"/>
              </w:rPr>
              <w:t>SCE17MI005.0</w:t>
            </w:r>
            <w:r w:rsidR="00B33D20" w:rsidRPr="00B91BFF">
              <w:rPr>
                <w:sz w:val="20"/>
                <w:szCs w:val="20"/>
              </w:rPr>
              <w:t xml:space="preserve">” lead IOU </w:t>
            </w:r>
            <w:proofErr w:type="spellStart"/>
            <w:r w:rsidR="00B33D20" w:rsidRPr="00B91BFF">
              <w:rPr>
                <w:sz w:val="20"/>
                <w:szCs w:val="20"/>
              </w:rPr>
              <w:t>workpaper</w:t>
            </w:r>
            <w:proofErr w:type="spellEnd"/>
          </w:p>
        </w:tc>
      </w:tr>
      <w:tr w:rsidR="00A61271" w:rsidTr="00241A1F">
        <w:trPr>
          <w:cantSplit/>
        </w:trPr>
        <w:tc>
          <w:tcPr>
            <w:tcW w:w="2718" w:type="dxa"/>
            <w:vAlign w:val="center"/>
          </w:tcPr>
          <w:p w:rsidR="00A61271" w:rsidRPr="00DC4E59" w:rsidRDefault="00A61271" w:rsidP="00393EC8">
            <w:pPr>
              <w:jc w:val="right"/>
              <w:rPr>
                <w:sz w:val="20"/>
                <w:szCs w:val="20"/>
              </w:rPr>
            </w:pPr>
            <w:r w:rsidRPr="00DC4E59">
              <w:rPr>
                <w:sz w:val="20"/>
                <w:szCs w:val="20"/>
              </w:rPr>
              <w:t>Net-to-Gross Ratio</w:t>
            </w:r>
          </w:p>
        </w:tc>
        <w:tc>
          <w:tcPr>
            <w:tcW w:w="6858" w:type="dxa"/>
          </w:tcPr>
          <w:p w:rsidR="00B33D20" w:rsidRPr="00DC4E59" w:rsidRDefault="00FF2DDF" w:rsidP="00393EC8">
            <w:pPr>
              <w:tabs>
                <w:tab w:val="right" w:pos="6732"/>
              </w:tabs>
              <w:rPr>
                <w:rFonts w:cs="Arial"/>
                <w:sz w:val="20"/>
                <w:szCs w:val="20"/>
              </w:rPr>
            </w:pPr>
            <w:r>
              <w:rPr>
                <w:rFonts w:cs="Arial"/>
                <w:sz w:val="20"/>
                <w:szCs w:val="20"/>
              </w:rPr>
              <w:t>EUC-Default</w:t>
            </w:r>
          </w:p>
          <w:p w:rsidR="00EE4484" w:rsidRPr="00DC4E59" w:rsidRDefault="00FF2DDF" w:rsidP="00000482">
            <w:pPr>
              <w:tabs>
                <w:tab w:val="right" w:pos="6732"/>
              </w:tabs>
              <w:rPr>
                <w:rFonts w:cs="Arial"/>
                <w:sz w:val="20"/>
                <w:szCs w:val="20"/>
              </w:rPr>
            </w:pPr>
            <w:r>
              <w:rPr>
                <w:rFonts w:cs="Arial"/>
                <w:sz w:val="20"/>
                <w:szCs w:val="20"/>
              </w:rPr>
              <w:t>Energy Upgrade California</w:t>
            </w:r>
          </w:p>
        </w:tc>
      </w:tr>
      <w:tr w:rsidR="00EE4484" w:rsidTr="00241A1F">
        <w:trPr>
          <w:cantSplit/>
        </w:trPr>
        <w:tc>
          <w:tcPr>
            <w:tcW w:w="2718" w:type="dxa"/>
            <w:vAlign w:val="center"/>
          </w:tcPr>
          <w:p w:rsidR="00EE4484" w:rsidRPr="00DC4E59" w:rsidRDefault="00EE4484" w:rsidP="00393EC8">
            <w:pPr>
              <w:jc w:val="right"/>
              <w:rPr>
                <w:sz w:val="20"/>
                <w:szCs w:val="20"/>
              </w:rPr>
            </w:pPr>
            <w:r w:rsidRPr="00DC4E59">
              <w:rPr>
                <w:sz w:val="20"/>
                <w:szCs w:val="20"/>
              </w:rPr>
              <w:t>GSIA</w:t>
            </w:r>
          </w:p>
        </w:tc>
        <w:tc>
          <w:tcPr>
            <w:tcW w:w="6858" w:type="dxa"/>
          </w:tcPr>
          <w:p w:rsidR="00EE4484" w:rsidRPr="00DC4E59" w:rsidRDefault="00FF2DDF">
            <w:pPr>
              <w:tabs>
                <w:tab w:val="right" w:pos="6732"/>
              </w:tabs>
              <w:rPr>
                <w:rFonts w:cs="Arial"/>
                <w:sz w:val="20"/>
                <w:szCs w:val="20"/>
              </w:rPr>
            </w:pPr>
            <w:r>
              <w:rPr>
                <w:rFonts w:cs="Arial"/>
                <w:sz w:val="20"/>
                <w:szCs w:val="20"/>
              </w:rPr>
              <w:t>Varies</w:t>
            </w:r>
          </w:p>
        </w:tc>
      </w:tr>
      <w:tr w:rsidR="00A61271" w:rsidTr="00241A1F">
        <w:trPr>
          <w:cantSplit/>
        </w:trPr>
        <w:tc>
          <w:tcPr>
            <w:tcW w:w="2718" w:type="dxa"/>
            <w:vAlign w:val="center"/>
          </w:tcPr>
          <w:p w:rsidR="00A61271" w:rsidRPr="00DC4E59" w:rsidRDefault="00A61271" w:rsidP="00393EC8">
            <w:pPr>
              <w:jc w:val="right"/>
              <w:rPr>
                <w:sz w:val="20"/>
                <w:szCs w:val="20"/>
              </w:rPr>
            </w:pPr>
            <w:r w:rsidRPr="00DC4E59">
              <w:rPr>
                <w:sz w:val="20"/>
                <w:szCs w:val="20"/>
              </w:rPr>
              <w:t>Effective and Remaining Useful Life</w:t>
            </w:r>
          </w:p>
        </w:tc>
        <w:tc>
          <w:tcPr>
            <w:tcW w:w="6858" w:type="dxa"/>
          </w:tcPr>
          <w:p w:rsidR="00A61271" w:rsidRPr="00DC4E59" w:rsidRDefault="00FF2DDF">
            <w:pPr>
              <w:tabs>
                <w:tab w:val="right" w:pos="6732"/>
              </w:tabs>
              <w:rPr>
                <w:rFonts w:cs="Arial"/>
                <w:sz w:val="20"/>
                <w:szCs w:val="20"/>
              </w:rPr>
            </w:pPr>
            <w:r>
              <w:rPr>
                <w:rFonts w:cs="Arial"/>
                <w:sz w:val="20"/>
                <w:szCs w:val="20"/>
              </w:rPr>
              <w:t>Varies</w:t>
            </w:r>
          </w:p>
        </w:tc>
      </w:tr>
      <w:tr w:rsidR="00A61271" w:rsidTr="00241A1F">
        <w:trPr>
          <w:cantSplit/>
        </w:trPr>
        <w:tc>
          <w:tcPr>
            <w:tcW w:w="2718" w:type="dxa"/>
            <w:vAlign w:val="center"/>
          </w:tcPr>
          <w:p w:rsidR="00A61271" w:rsidRPr="00B91BFF" w:rsidRDefault="00A61271" w:rsidP="00393EC8">
            <w:pPr>
              <w:rPr>
                <w:b/>
                <w:szCs w:val="22"/>
              </w:rPr>
            </w:pPr>
            <w:r w:rsidRPr="00B91BFF">
              <w:rPr>
                <w:b/>
                <w:szCs w:val="22"/>
              </w:rPr>
              <w:t>Section 2. Calculation Methodology</w:t>
            </w:r>
          </w:p>
        </w:tc>
        <w:tc>
          <w:tcPr>
            <w:tcW w:w="6858" w:type="dxa"/>
            <w:vAlign w:val="center"/>
          </w:tcPr>
          <w:p w:rsidR="00103A51" w:rsidRPr="00B91BFF" w:rsidRDefault="00103A51" w:rsidP="00B91BFF">
            <w:pPr>
              <w:pStyle w:val="ListParagraph"/>
              <w:ind w:left="360"/>
              <w:rPr>
                <w:rFonts w:cs="Arial"/>
                <w:sz w:val="20"/>
                <w:szCs w:val="20"/>
              </w:rPr>
            </w:pPr>
          </w:p>
        </w:tc>
      </w:tr>
      <w:tr w:rsidR="00A61271" w:rsidTr="00241A1F">
        <w:trPr>
          <w:cantSplit/>
        </w:trPr>
        <w:tc>
          <w:tcPr>
            <w:tcW w:w="2718" w:type="dxa"/>
            <w:vAlign w:val="center"/>
          </w:tcPr>
          <w:p w:rsidR="00A61271" w:rsidRPr="00DC4E59" w:rsidRDefault="00A61271" w:rsidP="00787D7C">
            <w:pPr>
              <w:jc w:val="right"/>
              <w:rPr>
                <w:sz w:val="20"/>
                <w:szCs w:val="20"/>
              </w:rPr>
            </w:pPr>
            <w:r w:rsidRPr="00DC4E59">
              <w:rPr>
                <w:rFonts w:cs="Arial"/>
                <w:sz w:val="20"/>
                <w:szCs w:val="20"/>
              </w:rPr>
              <w:t>Energy Savings/Peak Demand Reduction – All Measures</w:t>
            </w:r>
          </w:p>
        </w:tc>
        <w:tc>
          <w:tcPr>
            <w:tcW w:w="6858" w:type="dxa"/>
          </w:tcPr>
          <w:p w:rsidR="00DC4E59" w:rsidRPr="00DC4E59" w:rsidRDefault="00FF2DDF" w:rsidP="00EE4484">
            <w:pPr>
              <w:tabs>
                <w:tab w:val="right" w:pos="6732"/>
              </w:tabs>
              <w:rPr>
                <w:rFonts w:cs="Arial"/>
                <w:sz w:val="20"/>
                <w:szCs w:val="20"/>
              </w:rPr>
            </w:pPr>
            <w:r>
              <w:rPr>
                <w:rFonts w:cs="Arial"/>
                <w:sz w:val="20"/>
                <w:szCs w:val="20"/>
              </w:rPr>
              <w:t>“</w:t>
            </w:r>
            <w:r w:rsidRPr="00FF2DDF">
              <w:rPr>
                <w:rFonts w:cs="Arial"/>
                <w:sz w:val="20"/>
                <w:szCs w:val="20"/>
              </w:rPr>
              <w:t xml:space="preserve">SCE17MI005.0 A4 - Home Upgrade WP </w:t>
            </w:r>
            <w:proofErr w:type="spellStart"/>
            <w:r w:rsidRPr="00FF2DDF">
              <w:rPr>
                <w:rFonts w:cs="Arial"/>
                <w:sz w:val="20"/>
                <w:szCs w:val="20"/>
              </w:rPr>
              <w:t>Calc</w:t>
            </w:r>
            <w:proofErr w:type="spellEnd"/>
            <w:r w:rsidRPr="00FF2DDF">
              <w:rPr>
                <w:rFonts w:cs="Arial"/>
                <w:sz w:val="20"/>
                <w:szCs w:val="20"/>
              </w:rPr>
              <w:t xml:space="preserve"> Tool v7</w:t>
            </w:r>
            <w:r>
              <w:rPr>
                <w:rFonts w:cs="Arial"/>
                <w:sz w:val="20"/>
                <w:szCs w:val="20"/>
              </w:rPr>
              <w:t xml:space="preserve">” is a calculator file that generates all values for this </w:t>
            </w:r>
            <w:proofErr w:type="spellStart"/>
            <w:r>
              <w:rPr>
                <w:rFonts w:cs="Arial"/>
                <w:sz w:val="20"/>
                <w:szCs w:val="20"/>
              </w:rPr>
              <w:t>workpaper</w:t>
            </w:r>
            <w:proofErr w:type="spellEnd"/>
            <w:r>
              <w:rPr>
                <w:rFonts w:cs="Arial"/>
                <w:sz w:val="20"/>
                <w:szCs w:val="20"/>
              </w:rPr>
              <w:t xml:space="preserve">. </w:t>
            </w:r>
          </w:p>
        </w:tc>
      </w:tr>
      <w:tr w:rsidR="00A61271" w:rsidTr="00241A1F">
        <w:trPr>
          <w:cantSplit/>
        </w:trPr>
        <w:tc>
          <w:tcPr>
            <w:tcW w:w="2718" w:type="dxa"/>
            <w:vAlign w:val="center"/>
          </w:tcPr>
          <w:p w:rsidR="00A61271" w:rsidRPr="00B91BFF" w:rsidRDefault="00A61271" w:rsidP="00393EC8">
            <w:pPr>
              <w:rPr>
                <w:b/>
                <w:szCs w:val="22"/>
              </w:rPr>
            </w:pPr>
            <w:r w:rsidRPr="00B91BFF">
              <w:rPr>
                <w:b/>
                <w:szCs w:val="22"/>
              </w:rPr>
              <w:t>Section 3. Load Shapes</w:t>
            </w:r>
          </w:p>
        </w:tc>
        <w:tc>
          <w:tcPr>
            <w:tcW w:w="6858" w:type="dxa"/>
          </w:tcPr>
          <w:p w:rsidR="002225B3" w:rsidRDefault="002225B3" w:rsidP="00E048EA">
            <w:pPr>
              <w:tabs>
                <w:tab w:val="right" w:pos="6732"/>
              </w:tabs>
              <w:rPr>
                <w:rFonts w:cs="Arial"/>
                <w:sz w:val="20"/>
                <w:szCs w:val="20"/>
              </w:rPr>
            </w:pPr>
            <w:proofErr w:type="spellStart"/>
            <w:r>
              <w:rPr>
                <w:rFonts w:cs="Arial"/>
                <w:sz w:val="20"/>
                <w:szCs w:val="20"/>
              </w:rPr>
              <w:t>ElecImpactProfileID</w:t>
            </w:r>
            <w:proofErr w:type="spellEnd"/>
            <w:r>
              <w:rPr>
                <w:rFonts w:cs="Arial"/>
                <w:sz w:val="20"/>
                <w:szCs w:val="20"/>
              </w:rPr>
              <w:t xml:space="preserve">: </w:t>
            </w:r>
            <w:proofErr w:type="spellStart"/>
            <w:r w:rsidRPr="002225B3">
              <w:rPr>
                <w:rFonts w:cs="Arial"/>
                <w:sz w:val="20"/>
                <w:szCs w:val="20"/>
              </w:rPr>
              <w:t>PGE</w:t>
            </w:r>
            <w:r w:rsidR="00FF2DDF">
              <w:rPr>
                <w:rFonts w:cs="Arial"/>
                <w:sz w:val="20"/>
                <w:szCs w:val="20"/>
              </w:rPr>
              <w:t>:RES:DEER:HVAC_Eff_AC</w:t>
            </w:r>
            <w:proofErr w:type="spellEnd"/>
          </w:p>
          <w:p w:rsidR="00A61271" w:rsidRPr="00DC4E59" w:rsidRDefault="000374E9" w:rsidP="00E048EA">
            <w:pPr>
              <w:tabs>
                <w:tab w:val="right" w:pos="6732"/>
              </w:tabs>
              <w:rPr>
                <w:rFonts w:cs="Arial"/>
                <w:sz w:val="20"/>
                <w:szCs w:val="20"/>
              </w:rPr>
            </w:pPr>
            <w:proofErr w:type="spellStart"/>
            <w:r>
              <w:rPr>
                <w:rFonts w:cs="Arial"/>
                <w:sz w:val="20"/>
                <w:szCs w:val="20"/>
              </w:rPr>
              <w:t>GasImpactProfileID</w:t>
            </w:r>
            <w:proofErr w:type="spellEnd"/>
            <w:r>
              <w:rPr>
                <w:rFonts w:cs="Arial"/>
                <w:sz w:val="20"/>
                <w:szCs w:val="20"/>
              </w:rPr>
              <w:t>: Annual</w:t>
            </w:r>
          </w:p>
        </w:tc>
      </w:tr>
      <w:tr w:rsidR="00A61271" w:rsidTr="00FF2DDF">
        <w:trPr>
          <w:cantSplit/>
          <w:trHeight w:val="692"/>
        </w:trPr>
        <w:tc>
          <w:tcPr>
            <w:tcW w:w="2718" w:type="dxa"/>
            <w:vAlign w:val="center"/>
          </w:tcPr>
          <w:p w:rsidR="00A61271" w:rsidRPr="00B91BFF" w:rsidRDefault="00A61271" w:rsidP="00393EC8">
            <w:pPr>
              <w:rPr>
                <w:b/>
                <w:szCs w:val="22"/>
              </w:rPr>
            </w:pPr>
            <w:r w:rsidRPr="00B91BFF">
              <w:rPr>
                <w:b/>
                <w:szCs w:val="22"/>
              </w:rPr>
              <w:t>Section 4. Costs</w:t>
            </w:r>
          </w:p>
        </w:tc>
        <w:tc>
          <w:tcPr>
            <w:tcW w:w="6858" w:type="dxa"/>
          </w:tcPr>
          <w:p w:rsidR="00A61271" w:rsidRPr="00DC4E59" w:rsidRDefault="00DC4E59" w:rsidP="001E03A1">
            <w:pPr>
              <w:rPr>
                <w:rFonts w:cs="Arial"/>
                <w:sz w:val="20"/>
                <w:szCs w:val="20"/>
              </w:rPr>
            </w:pPr>
            <w:r w:rsidRPr="00DC4E59">
              <w:rPr>
                <w:rFonts w:cs="Arial"/>
                <w:sz w:val="20"/>
                <w:szCs w:val="20"/>
              </w:rPr>
              <w:t>All cost adopted</w:t>
            </w:r>
            <w:r w:rsidR="00BA4491">
              <w:rPr>
                <w:rFonts w:cs="Arial"/>
                <w:sz w:val="20"/>
                <w:szCs w:val="20"/>
              </w:rPr>
              <w:t xml:space="preserve"> and cited from</w:t>
            </w:r>
            <w:r w:rsidR="001E03A1">
              <w:rPr>
                <w:rFonts w:cs="Arial"/>
                <w:sz w:val="20"/>
                <w:szCs w:val="20"/>
              </w:rPr>
              <w:t xml:space="preserve"> the</w:t>
            </w:r>
            <w:r w:rsidR="00BA4491">
              <w:rPr>
                <w:rFonts w:cs="Arial"/>
                <w:sz w:val="20"/>
                <w:szCs w:val="20"/>
              </w:rPr>
              <w:t xml:space="preserve"> </w:t>
            </w:r>
            <w:r w:rsidR="001E03A1">
              <w:rPr>
                <w:rFonts w:cs="Arial"/>
                <w:sz w:val="20"/>
                <w:szCs w:val="20"/>
              </w:rPr>
              <w:t>“</w:t>
            </w:r>
            <w:r w:rsidR="001E03A1" w:rsidRPr="002225B3">
              <w:rPr>
                <w:rFonts w:ascii="Calibri" w:hAnsi="Calibri"/>
                <w:sz w:val="20"/>
                <w:szCs w:val="20"/>
              </w:rPr>
              <w:t>SCE17HC030.1</w:t>
            </w:r>
            <w:r w:rsidR="001E03A1">
              <w:rPr>
                <w:rFonts w:ascii="Calibri" w:hAnsi="Calibri"/>
                <w:sz w:val="20"/>
                <w:szCs w:val="20"/>
              </w:rPr>
              <w:t xml:space="preserve">” </w:t>
            </w:r>
            <w:proofErr w:type="spellStart"/>
            <w:r w:rsidR="001E03A1">
              <w:rPr>
                <w:rFonts w:ascii="Calibri" w:hAnsi="Calibri"/>
                <w:sz w:val="20"/>
                <w:szCs w:val="20"/>
              </w:rPr>
              <w:t>workpaper</w:t>
            </w:r>
            <w:proofErr w:type="spellEnd"/>
            <w:r w:rsidR="001E03A1">
              <w:rPr>
                <w:rFonts w:ascii="Calibri" w:hAnsi="Calibri"/>
                <w:sz w:val="20"/>
                <w:szCs w:val="20"/>
              </w:rPr>
              <w:t>.</w:t>
            </w:r>
            <w:r w:rsidR="00FF2DDF">
              <w:rPr>
                <w:rFonts w:ascii="Calibri" w:hAnsi="Calibri"/>
                <w:sz w:val="20"/>
                <w:szCs w:val="20"/>
              </w:rPr>
              <w:t xml:space="preserve"> </w:t>
            </w:r>
            <w:r w:rsidR="00FF2DDF">
              <w:rPr>
                <w:rFonts w:cs="Arial"/>
                <w:sz w:val="20"/>
                <w:szCs w:val="20"/>
              </w:rPr>
              <w:t>“</w:t>
            </w:r>
            <w:r w:rsidR="00FF2DDF" w:rsidRPr="00FF2DDF">
              <w:rPr>
                <w:rFonts w:cs="Arial"/>
                <w:sz w:val="20"/>
                <w:szCs w:val="20"/>
              </w:rPr>
              <w:t xml:space="preserve">SCE17MI005.0 A4 - Home Upgrade WP </w:t>
            </w:r>
            <w:proofErr w:type="spellStart"/>
            <w:r w:rsidR="00FF2DDF" w:rsidRPr="00FF2DDF">
              <w:rPr>
                <w:rFonts w:cs="Arial"/>
                <w:sz w:val="20"/>
                <w:szCs w:val="20"/>
              </w:rPr>
              <w:t>Calc</w:t>
            </w:r>
            <w:proofErr w:type="spellEnd"/>
            <w:r w:rsidR="00FF2DDF" w:rsidRPr="00FF2DDF">
              <w:rPr>
                <w:rFonts w:cs="Arial"/>
                <w:sz w:val="20"/>
                <w:szCs w:val="20"/>
              </w:rPr>
              <w:t xml:space="preserve"> Tool v7</w:t>
            </w:r>
            <w:r w:rsidR="00FF2DDF">
              <w:rPr>
                <w:rFonts w:cs="Arial"/>
                <w:sz w:val="20"/>
                <w:szCs w:val="20"/>
              </w:rPr>
              <w:t>”</w:t>
            </w:r>
            <w:r w:rsidR="00FF2DDF">
              <w:rPr>
                <w:rFonts w:cs="Arial"/>
                <w:sz w:val="20"/>
                <w:szCs w:val="20"/>
              </w:rPr>
              <w:t xml:space="preserve"> generates costs for different combinations of measures.</w:t>
            </w:r>
          </w:p>
        </w:tc>
      </w:tr>
      <w:tr w:rsidR="00A61271" w:rsidRPr="00393EC8" w:rsidTr="00393EC8">
        <w:trPr>
          <w:cantSplit/>
        </w:trPr>
        <w:tc>
          <w:tcPr>
            <w:tcW w:w="2718" w:type="dxa"/>
          </w:tcPr>
          <w:p w:rsidR="00A61271" w:rsidRPr="00B91BFF" w:rsidRDefault="00A61271" w:rsidP="00393EC8">
            <w:pPr>
              <w:rPr>
                <w:b/>
                <w:szCs w:val="22"/>
              </w:rPr>
            </w:pPr>
            <w:r w:rsidRPr="00B91BFF">
              <w:rPr>
                <w:b/>
                <w:szCs w:val="22"/>
              </w:rPr>
              <w:t>Section 4.1 Modeled Costs</w:t>
            </w:r>
          </w:p>
        </w:tc>
        <w:tc>
          <w:tcPr>
            <w:tcW w:w="6858" w:type="dxa"/>
          </w:tcPr>
          <w:p w:rsidR="00A61271" w:rsidRPr="00DC4E59" w:rsidRDefault="00DC4E59" w:rsidP="00FF2DDF">
            <w:pPr>
              <w:rPr>
                <w:sz w:val="20"/>
                <w:szCs w:val="20"/>
              </w:rPr>
            </w:pPr>
            <w:r>
              <w:rPr>
                <w:sz w:val="20"/>
                <w:szCs w:val="20"/>
              </w:rPr>
              <w:t xml:space="preserve">All cost </w:t>
            </w:r>
            <w:proofErr w:type="gramStart"/>
            <w:r>
              <w:rPr>
                <w:sz w:val="20"/>
                <w:szCs w:val="20"/>
              </w:rPr>
              <w:t>have</w:t>
            </w:r>
            <w:proofErr w:type="gramEnd"/>
            <w:r>
              <w:rPr>
                <w:sz w:val="20"/>
                <w:szCs w:val="20"/>
              </w:rPr>
              <w:t xml:space="preserve"> b</w:t>
            </w:r>
            <w:r w:rsidR="00BA4491">
              <w:rPr>
                <w:sz w:val="20"/>
                <w:szCs w:val="20"/>
              </w:rPr>
              <w:t>een normalized per</w:t>
            </w:r>
            <w:r w:rsidR="000374E9">
              <w:rPr>
                <w:sz w:val="20"/>
                <w:szCs w:val="20"/>
              </w:rPr>
              <w:t xml:space="preserve"> </w:t>
            </w:r>
            <w:r w:rsidR="00FF2DDF">
              <w:rPr>
                <w:sz w:val="20"/>
                <w:szCs w:val="20"/>
              </w:rPr>
              <w:t>Household</w:t>
            </w:r>
            <w:r w:rsidR="000374E9">
              <w:rPr>
                <w:sz w:val="20"/>
                <w:szCs w:val="20"/>
              </w:rPr>
              <w:t xml:space="preserve"> from</w:t>
            </w:r>
            <w:r w:rsidR="00BA4491">
              <w:rPr>
                <w:sz w:val="20"/>
                <w:szCs w:val="20"/>
              </w:rPr>
              <w:t xml:space="preserve"> </w:t>
            </w:r>
            <w:r w:rsidR="000374E9">
              <w:rPr>
                <w:sz w:val="20"/>
                <w:szCs w:val="20"/>
              </w:rPr>
              <w:t>“</w:t>
            </w:r>
            <w:r w:rsidR="00FF2DDF" w:rsidRPr="00FF2DDF">
              <w:rPr>
                <w:rFonts w:cs="Arial"/>
                <w:sz w:val="20"/>
                <w:szCs w:val="20"/>
              </w:rPr>
              <w:t>SCE17MI005.0</w:t>
            </w:r>
            <w:r w:rsidR="000374E9" w:rsidRPr="00B91BFF">
              <w:rPr>
                <w:sz w:val="20"/>
                <w:szCs w:val="20"/>
              </w:rPr>
              <w:t>”</w:t>
            </w:r>
            <w:r w:rsidR="000374E9" w:rsidRPr="00DC4E59">
              <w:rPr>
                <w:rFonts w:cs="Arial"/>
                <w:sz w:val="20"/>
                <w:szCs w:val="20"/>
              </w:rPr>
              <w:t xml:space="preserve"> </w:t>
            </w:r>
            <w:proofErr w:type="spellStart"/>
            <w:r w:rsidR="000374E9">
              <w:rPr>
                <w:sz w:val="20"/>
                <w:szCs w:val="20"/>
              </w:rPr>
              <w:t>workpaper</w:t>
            </w:r>
            <w:proofErr w:type="spellEnd"/>
            <w:r w:rsidR="001E03A1">
              <w:rPr>
                <w:sz w:val="20"/>
                <w:szCs w:val="20"/>
              </w:rPr>
              <w:t>.</w:t>
            </w:r>
          </w:p>
        </w:tc>
      </w:tr>
      <w:tr w:rsidR="00A61271" w:rsidTr="00241A1F">
        <w:trPr>
          <w:cantSplit/>
        </w:trPr>
        <w:tc>
          <w:tcPr>
            <w:tcW w:w="2718" w:type="dxa"/>
          </w:tcPr>
          <w:p w:rsidR="00A61271" w:rsidRPr="00DC4E59" w:rsidRDefault="001E03A1" w:rsidP="001E03A1">
            <w:pPr>
              <w:jc w:val="right"/>
              <w:rPr>
                <w:sz w:val="20"/>
                <w:szCs w:val="20"/>
              </w:rPr>
            </w:pPr>
            <w:r>
              <w:rPr>
                <w:sz w:val="20"/>
                <w:szCs w:val="20"/>
              </w:rPr>
              <w:t xml:space="preserve">Base Cost </w:t>
            </w:r>
          </w:p>
        </w:tc>
        <w:tc>
          <w:tcPr>
            <w:tcW w:w="6858" w:type="dxa"/>
          </w:tcPr>
          <w:p w:rsidR="00A61271" w:rsidRPr="00896FA7" w:rsidRDefault="001E03A1" w:rsidP="00896FA7">
            <w:pPr>
              <w:rPr>
                <w:color w:val="FF0000"/>
              </w:rPr>
            </w:pPr>
            <w:r>
              <w:rPr>
                <w:rFonts w:cs="Arial"/>
                <w:sz w:val="20"/>
                <w:szCs w:val="20"/>
              </w:rPr>
              <w:t>Refer to data submission.</w:t>
            </w:r>
            <w:r w:rsidR="00A61271" w:rsidRPr="00DC4E59">
              <w:rPr>
                <w:rFonts w:cs="Arial"/>
                <w:sz w:val="20"/>
                <w:szCs w:val="20"/>
              </w:rPr>
              <w:tab/>
            </w:r>
          </w:p>
        </w:tc>
      </w:tr>
      <w:tr w:rsidR="00A61271" w:rsidTr="00241A1F">
        <w:trPr>
          <w:cantSplit/>
        </w:trPr>
        <w:tc>
          <w:tcPr>
            <w:tcW w:w="2718" w:type="dxa"/>
          </w:tcPr>
          <w:p w:rsidR="00A61271" w:rsidRPr="00DC4E59" w:rsidRDefault="00A61271" w:rsidP="001E03A1">
            <w:pPr>
              <w:jc w:val="right"/>
              <w:rPr>
                <w:sz w:val="20"/>
                <w:szCs w:val="20"/>
              </w:rPr>
            </w:pPr>
            <w:r w:rsidRPr="00DC4E59">
              <w:rPr>
                <w:sz w:val="20"/>
                <w:szCs w:val="20"/>
              </w:rPr>
              <w:t>Measure Cost</w:t>
            </w:r>
          </w:p>
        </w:tc>
        <w:tc>
          <w:tcPr>
            <w:tcW w:w="6858" w:type="dxa"/>
          </w:tcPr>
          <w:p w:rsidR="00A61271" w:rsidRPr="00DC4E59" w:rsidRDefault="001E03A1" w:rsidP="00DC4E59">
            <w:pPr>
              <w:tabs>
                <w:tab w:val="right" w:pos="6732"/>
              </w:tabs>
              <w:rPr>
                <w:rFonts w:cs="Arial"/>
                <w:sz w:val="20"/>
                <w:szCs w:val="20"/>
              </w:rPr>
            </w:pPr>
            <w:r>
              <w:rPr>
                <w:rFonts w:cs="Arial"/>
                <w:sz w:val="20"/>
                <w:szCs w:val="20"/>
              </w:rPr>
              <w:t>Refer to data submission.</w:t>
            </w:r>
            <w:r w:rsidR="00A61271" w:rsidRPr="00DC4E59">
              <w:rPr>
                <w:rFonts w:cs="Arial"/>
                <w:sz w:val="20"/>
                <w:szCs w:val="20"/>
              </w:rPr>
              <w:tab/>
            </w:r>
          </w:p>
        </w:tc>
      </w:tr>
    </w:tbl>
    <w:p w:rsidR="00787D7C" w:rsidRDefault="00787D7C">
      <w:pPr>
        <w:spacing w:after="200" w:line="276" w:lineRule="auto"/>
      </w:pPr>
    </w:p>
    <w:p w:rsidR="00A20C34" w:rsidRPr="0059117D" w:rsidRDefault="00A20C34" w:rsidP="0059117D"/>
    <w:sectPr w:rsidR="00A20C34" w:rsidRPr="005911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865" w:rsidRDefault="00364865" w:rsidP="00FE520B">
      <w:r>
        <w:separator/>
      </w:r>
    </w:p>
  </w:endnote>
  <w:endnote w:type="continuationSeparator" w:id="0">
    <w:p w:rsidR="00364865" w:rsidRDefault="00364865"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E00" w:rsidRPr="00241A1F" w:rsidRDefault="00B57F32" w:rsidP="00241A1F">
    <w:pPr>
      <w:pStyle w:val="Footer"/>
      <w:rPr>
        <w:rFonts w:cstheme="minorHAnsi"/>
        <w:b/>
        <w:szCs w:val="22"/>
      </w:rPr>
    </w:pPr>
    <w:proofErr w:type="spellStart"/>
    <w:r>
      <w:rPr>
        <w:b/>
      </w:rPr>
      <w:t>Workpaper</w:t>
    </w:r>
    <w:proofErr w:type="spellEnd"/>
    <w:r w:rsidR="00B91BFF">
      <w:rPr>
        <w:b/>
      </w:rPr>
      <w:t xml:space="preserve"> </w:t>
    </w:r>
    <w:r w:rsidR="00363449">
      <w:rPr>
        <w:b/>
      </w:rPr>
      <w:t>PGE</w:t>
    </w:r>
    <w:r w:rsidR="00FF2DDF">
      <w:rPr>
        <w:b/>
      </w:rPr>
      <w:t>COALL109</w:t>
    </w:r>
    <w:r>
      <w:rPr>
        <w:b/>
      </w:rPr>
      <w:t xml:space="preserve">, Revision </w:t>
    </w:r>
    <w:r w:rsidR="00FF2DDF">
      <w:rPr>
        <w:b/>
      </w:rPr>
      <w:t>3</w:t>
    </w:r>
    <w:r w:rsidR="00E372B8">
      <w:rPr>
        <w:b/>
      </w:rPr>
      <w:tab/>
    </w:r>
    <w:r w:rsidR="00E372B8">
      <w:rPr>
        <w:b/>
      </w:rPr>
      <w:tab/>
    </w:r>
    <w:r w:rsidR="00FF2DDF">
      <w:rPr>
        <w:b/>
      </w:rPr>
      <w:t>December 28</w:t>
    </w:r>
    <w:r w:rsidR="00E372B8" w:rsidRPr="00241A1F">
      <w:rPr>
        <w:rFonts w:cstheme="minorHAnsi"/>
        <w:b/>
        <w:szCs w:val="22"/>
      </w:rPr>
      <w:t>, 201</w:t>
    </w:r>
    <w:r w:rsidR="000E5A40">
      <w:rPr>
        <w:rFonts w:cstheme="minorHAnsi"/>
        <w:b/>
        <w:szCs w:val="22"/>
      </w:rPr>
      <w:t>7</w:t>
    </w:r>
  </w:p>
  <w:p w:rsidR="008F2E00" w:rsidRPr="009500DC" w:rsidRDefault="00363449" w:rsidP="00241A1F">
    <w:pPr>
      <w:pStyle w:val="Footer"/>
      <w:tabs>
        <w:tab w:val="clear" w:pos="4680"/>
        <w:tab w:val="clear" w:pos="9360"/>
        <w:tab w:val="left" w:pos="5274"/>
      </w:tabs>
      <w:rPr>
        <w:rFonts w:cstheme="minorHAnsi"/>
      </w:rPr>
    </w:pPr>
    <w:r>
      <w:rPr>
        <w:b/>
      </w:rPr>
      <w:t>Pacific</w:t>
    </w:r>
    <w:r w:rsidR="00E372B8">
      <w:rPr>
        <w:b/>
      </w:rPr>
      <w:t xml:space="preserve"> Gas &amp; Electric</w:t>
    </w:r>
    <w:r w:rsidR="00E372B8">
      <w:rPr>
        <w: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865" w:rsidRDefault="00364865" w:rsidP="00FE520B">
      <w:r>
        <w:separator/>
      </w:r>
    </w:p>
  </w:footnote>
  <w:footnote w:type="continuationSeparator" w:id="0">
    <w:p w:rsidR="00364865" w:rsidRDefault="00364865" w:rsidP="00FE52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CC4E1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7AF0096"/>
    <w:multiLevelType w:val="hybridMultilevel"/>
    <w:tmpl w:val="3C5A9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314839"/>
    <w:multiLevelType w:val="hybridMultilevel"/>
    <w:tmpl w:val="CA7808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E952A15"/>
    <w:multiLevelType w:val="hybridMultilevel"/>
    <w:tmpl w:val="5468A0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A3331E"/>
    <w:multiLevelType w:val="hybridMultilevel"/>
    <w:tmpl w:val="9F9E0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F577B2"/>
    <w:multiLevelType w:val="hybridMultilevel"/>
    <w:tmpl w:val="7FAA1FD0"/>
    <w:lvl w:ilvl="0" w:tplc="77D6C7E6">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731B3E"/>
    <w:multiLevelType w:val="hybridMultilevel"/>
    <w:tmpl w:val="1988E0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8030879"/>
    <w:multiLevelType w:val="hybridMultilevel"/>
    <w:tmpl w:val="ED5EDA5C"/>
    <w:lvl w:ilvl="0" w:tplc="C60A0BC6">
      <w:numFmt w:val="bullet"/>
      <w:lvlText w:val=""/>
      <w:lvlJc w:val="left"/>
      <w:pPr>
        <w:ind w:left="360" w:hanging="360"/>
      </w:pPr>
      <w:rPr>
        <w:rFonts w:ascii="Symbol" w:eastAsia="Times New Roman" w:hAnsi="Symbol" w:cstheme="minorHAns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CDA7F6F"/>
    <w:multiLevelType w:val="hybridMultilevel"/>
    <w:tmpl w:val="47504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D452181"/>
    <w:multiLevelType w:val="hybridMultilevel"/>
    <w:tmpl w:val="08D2E2AE"/>
    <w:lvl w:ilvl="0" w:tplc="AF40B9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9"/>
  </w:num>
  <w:num w:numId="5">
    <w:abstractNumId w:val="11"/>
  </w:num>
  <w:num w:numId="6">
    <w:abstractNumId w:val="7"/>
  </w:num>
  <w:num w:numId="7">
    <w:abstractNumId w:val="16"/>
  </w:num>
  <w:num w:numId="8">
    <w:abstractNumId w:val="13"/>
  </w:num>
  <w:num w:numId="9">
    <w:abstractNumId w:val="8"/>
  </w:num>
  <w:num w:numId="10">
    <w:abstractNumId w:val="14"/>
  </w:num>
  <w:num w:numId="11">
    <w:abstractNumId w:val="18"/>
  </w:num>
  <w:num w:numId="12">
    <w:abstractNumId w:val="10"/>
  </w:num>
  <w:num w:numId="13">
    <w:abstractNumId w:val="12"/>
  </w:num>
  <w:num w:numId="14">
    <w:abstractNumId w:val="17"/>
  </w:num>
  <w:num w:numId="15">
    <w:abstractNumId w:val="1"/>
  </w:num>
  <w:num w:numId="16">
    <w:abstractNumId w:val="15"/>
  </w:num>
  <w:num w:numId="17">
    <w:abstractNumId w:val="2"/>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7C6"/>
    <w:rsid w:val="00000482"/>
    <w:rsid w:val="00002DCC"/>
    <w:rsid w:val="00004D4E"/>
    <w:rsid w:val="00023C32"/>
    <w:rsid w:val="00031BA0"/>
    <w:rsid w:val="000374E9"/>
    <w:rsid w:val="000425A3"/>
    <w:rsid w:val="00052743"/>
    <w:rsid w:val="00052CE4"/>
    <w:rsid w:val="000C014D"/>
    <w:rsid w:val="000C13AE"/>
    <w:rsid w:val="000D5C32"/>
    <w:rsid w:val="000E19CA"/>
    <w:rsid w:val="000E5A40"/>
    <w:rsid w:val="000F72EF"/>
    <w:rsid w:val="00103A51"/>
    <w:rsid w:val="00132AEE"/>
    <w:rsid w:val="00186FB0"/>
    <w:rsid w:val="00194466"/>
    <w:rsid w:val="001A13A4"/>
    <w:rsid w:val="001A4875"/>
    <w:rsid w:val="001B1C8A"/>
    <w:rsid w:val="001C3663"/>
    <w:rsid w:val="001C5E24"/>
    <w:rsid w:val="001D0AB9"/>
    <w:rsid w:val="001D57D7"/>
    <w:rsid w:val="001E03A1"/>
    <w:rsid w:val="002146D1"/>
    <w:rsid w:val="00215828"/>
    <w:rsid w:val="002217AC"/>
    <w:rsid w:val="00222120"/>
    <w:rsid w:val="002225B3"/>
    <w:rsid w:val="0023444F"/>
    <w:rsid w:val="00241A1F"/>
    <w:rsid w:val="00291820"/>
    <w:rsid w:val="00291B2B"/>
    <w:rsid w:val="002956A5"/>
    <w:rsid w:val="00297481"/>
    <w:rsid w:val="002E0948"/>
    <w:rsid w:val="00305F25"/>
    <w:rsid w:val="00360CFA"/>
    <w:rsid w:val="00363449"/>
    <w:rsid w:val="00364865"/>
    <w:rsid w:val="00365A8F"/>
    <w:rsid w:val="003A0D2B"/>
    <w:rsid w:val="003A7B4E"/>
    <w:rsid w:val="003B5DCF"/>
    <w:rsid w:val="003C038E"/>
    <w:rsid w:val="003C2EE4"/>
    <w:rsid w:val="003C6175"/>
    <w:rsid w:val="003D1C21"/>
    <w:rsid w:val="003E0DC8"/>
    <w:rsid w:val="003E122A"/>
    <w:rsid w:val="003E6E57"/>
    <w:rsid w:val="003E6FA5"/>
    <w:rsid w:val="003E6FD6"/>
    <w:rsid w:val="0040500F"/>
    <w:rsid w:val="00413EF4"/>
    <w:rsid w:val="004252CE"/>
    <w:rsid w:val="00435A01"/>
    <w:rsid w:val="0044686E"/>
    <w:rsid w:val="00467DB3"/>
    <w:rsid w:val="00484D18"/>
    <w:rsid w:val="004A6215"/>
    <w:rsid w:val="004B4E5C"/>
    <w:rsid w:val="004C35E4"/>
    <w:rsid w:val="004D0326"/>
    <w:rsid w:val="004D5D19"/>
    <w:rsid w:val="005428E1"/>
    <w:rsid w:val="00566F2B"/>
    <w:rsid w:val="0059117D"/>
    <w:rsid w:val="005A1665"/>
    <w:rsid w:val="005B5614"/>
    <w:rsid w:val="00636490"/>
    <w:rsid w:val="00650C31"/>
    <w:rsid w:val="00684ABA"/>
    <w:rsid w:val="006B0D5C"/>
    <w:rsid w:val="006D54BA"/>
    <w:rsid w:val="006F51DA"/>
    <w:rsid w:val="00727839"/>
    <w:rsid w:val="007378BD"/>
    <w:rsid w:val="00785AC8"/>
    <w:rsid w:val="00787D7C"/>
    <w:rsid w:val="00792928"/>
    <w:rsid w:val="00797B54"/>
    <w:rsid w:val="007A268C"/>
    <w:rsid w:val="007B314A"/>
    <w:rsid w:val="007B623E"/>
    <w:rsid w:val="007D1F1E"/>
    <w:rsid w:val="007D3432"/>
    <w:rsid w:val="007D3A21"/>
    <w:rsid w:val="007F7C0C"/>
    <w:rsid w:val="0081521B"/>
    <w:rsid w:val="00856FA4"/>
    <w:rsid w:val="00862113"/>
    <w:rsid w:val="008724D6"/>
    <w:rsid w:val="008775D7"/>
    <w:rsid w:val="00884B9C"/>
    <w:rsid w:val="00896FA7"/>
    <w:rsid w:val="008A1557"/>
    <w:rsid w:val="008A1D1C"/>
    <w:rsid w:val="008A4224"/>
    <w:rsid w:val="00910D54"/>
    <w:rsid w:val="00950249"/>
    <w:rsid w:val="00957C01"/>
    <w:rsid w:val="0099350E"/>
    <w:rsid w:val="009A44F7"/>
    <w:rsid w:val="009C3F2D"/>
    <w:rsid w:val="00A051D9"/>
    <w:rsid w:val="00A20C34"/>
    <w:rsid w:val="00A61271"/>
    <w:rsid w:val="00A75EDC"/>
    <w:rsid w:val="00A93078"/>
    <w:rsid w:val="00B33D20"/>
    <w:rsid w:val="00B46CC8"/>
    <w:rsid w:val="00B47B58"/>
    <w:rsid w:val="00B57F32"/>
    <w:rsid w:val="00B61FCD"/>
    <w:rsid w:val="00B75260"/>
    <w:rsid w:val="00B91BFF"/>
    <w:rsid w:val="00B9234D"/>
    <w:rsid w:val="00BA4491"/>
    <w:rsid w:val="00BD0DF3"/>
    <w:rsid w:val="00C048F4"/>
    <w:rsid w:val="00C06B9E"/>
    <w:rsid w:val="00C15F66"/>
    <w:rsid w:val="00C32FF9"/>
    <w:rsid w:val="00C414A6"/>
    <w:rsid w:val="00C4427B"/>
    <w:rsid w:val="00C44E5A"/>
    <w:rsid w:val="00C54AC6"/>
    <w:rsid w:val="00C777AD"/>
    <w:rsid w:val="00CB56F3"/>
    <w:rsid w:val="00CF2ABA"/>
    <w:rsid w:val="00D60240"/>
    <w:rsid w:val="00D73723"/>
    <w:rsid w:val="00DB71F1"/>
    <w:rsid w:val="00DC4E59"/>
    <w:rsid w:val="00DC7243"/>
    <w:rsid w:val="00DE1C5D"/>
    <w:rsid w:val="00DF0107"/>
    <w:rsid w:val="00E048EA"/>
    <w:rsid w:val="00E165FC"/>
    <w:rsid w:val="00E372B8"/>
    <w:rsid w:val="00E56CE7"/>
    <w:rsid w:val="00E60781"/>
    <w:rsid w:val="00E6385A"/>
    <w:rsid w:val="00E6631C"/>
    <w:rsid w:val="00E733C7"/>
    <w:rsid w:val="00E8235F"/>
    <w:rsid w:val="00E84938"/>
    <w:rsid w:val="00EC6CB8"/>
    <w:rsid w:val="00ED3B34"/>
    <w:rsid w:val="00EE38DA"/>
    <w:rsid w:val="00EE4484"/>
    <w:rsid w:val="00EE6CFE"/>
    <w:rsid w:val="00F117C6"/>
    <w:rsid w:val="00F31D17"/>
    <w:rsid w:val="00F77C08"/>
    <w:rsid w:val="00F855DD"/>
    <w:rsid w:val="00FD7937"/>
    <w:rsid w:val="00FE520B"/>
    <w:rsid w:val="00FF2DDF"/>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uiPriority w:val="99"/>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uiPriority w:val="99"/>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paragraph" w:customStyle="1" w:styleId="Reminder">
    <w:name w:val="Reminder"/>
    <w:basedOn w:val="Reminders"/>
    <w:link w:val="ReminderChar"/>
    <w:uiPriority w:val="99"/>
    <w:rsid w:val="0023444F"/>
  </w:style>
  <w:style w:type="character" w:customStyle="1" w:styleId="ReminderChar">
    <w:name w:val="Reminder Char"/>
    <w:basedOn w:val="RemindersChar"/>
    <w:link w:val="Reminder"/>
    <w:uiPriority w:val="99"/>
    <w:rsid w:val="0023444F"/>
    <w:rPr>
      <w:rFonts w:ascii="Trebuchet MS" w:eastAsia="Times New Roman" w:hAnsi="Trebuchet MS" w:cs="Times New Roman"/>
      <w:i/>
      <w:color w:val="FF0000"/>
      <w:szCs w:val="24"/>
    </w:rPr>
  </w:style>
  <w:style w:type="character" w:styleId="CommentReference">
    <w:name w:val="annotation reference"/>
    <w:basedOn w:val="DefaultParagraphFont"/>
    <w:uiPriority w:val="99"/>
    <w:semiHidden/>
    <w:unhideWhenUsed/>
    <w:rsid w:val="00484D18"/>
    <w:rPr>
      <w:sz w:val="16"/>
      <w:szCs w:val="16"/>
    </w:rPr>
  </w:style>
  <w:style w:type="paragraph" w:styleId="CommentText">
    <w:name w:val="annotation text"/>
    <w:basedOn w:val="Normal"/>
    <w:link w:val="CommentTextChar"/>
    <w:uiPriority w:val="99"/>
    <w:semiHidden/>
    <w:unhideWhenUsed/>
    <w:rsid w:val="00484D18"/>
    <w:rPr>
      <w:sz w:val="20"/>
      <w:szCs w:val="20"/>
    </w:rPr>
  </w:style>
  <w:style w:type="character" w:customStyle="1" w:styleId="CommentTextChar">
    <w:name w:val="Comment Text Char"/>
    <w:basedOn w:val="DefaultParagraphFont"/>
    <w:link w:val="CommentText"/>
    <w:uiPriority w:val="99"/>
    <w:semiHidden/>
    <w:rsid w:val="00484D18"/>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84D18"/>
    <w:rPr>
      <w:b/>
      <w:bCs/>
    </w:rPr>
  </w:style>
  <w:style w:type="character" w:customStyle="1" w:styleId="CommentSubjectChar">
    <w:name w:val="Comment Subject Char"/>
    <w:basedOn w:val="CommentTextChar"/>
    <w:link w:val="CommentSubject"/>
    <w:uiPriority w:val="99"/>
    <w:semiHidden/>
    <w:rsid w:val="00484D18"/>
    <w:rPr>
      <w:rFonts w:eastAsia="Times New Roman" w:cs="Times New Roman"/>
      <w:b/>
      <w:bCs/>
      <w:sz w:val="20"/>
      <w:szCs w:val="20"/>
    </w:rPr>
  </w:style>
  <w:style w:type="paragraph" w:customStyle="1" w:styleId="TableContents">
    <w:name w:val="Table Contents"/>
    <w:basedOn w:val="BodyText"/>
    <w:uiPriority w:val="99"/>
    <w:rsid w:val="001E03A1"/>
    <w:pPr>
      <w:widowControl w:val="0"/>
      <w:suppressAutoHyphens/>
      <w:spacing w:after="0"/>
    </w:pPr>
    <w:rPr>
      <w:rFonts w:ascii="Times New Roman" w:hAnsi="Times New Roman"/>
      <w:sz w:val="24"/>
    </w:rPr>
  </w:style>
  <w:style w:type="table" w:styleId="TableContemporary">
    <w:name w:val="Table Contemporary"/>
    <w:basedOn w:val="TableNormal"/>
    <w:uiPriority w:val="99"/>
    <w:rsid w:val="001E03A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odyText">
    <w:name w:val="Body Text"/>
    <w:basedOn w:val="Normal"/>
    <w:link w:val="BodyTextChar"/>
    <w:uiPriority w:val="99"/>
    <w:semiHidden/>
    <w:unhideWhenUsed/>
    <w:rsid w:val="001E03A1"/>
    <w:pPr>
      <w:spacing w:after="120"/>
    </w:pPr>
  </w:style>
  <w:style w:type="character" w:customStyle="1" w:styleId="BodyTextChar">
    <w:name w:val="Body Text Char"/>
    <w:basedOn w:val="DefaultParagraphFont"/>
    <w:link w:val="BodyText"/>
    <w:uiPriority w:val="99"/>
    <w:semiHidden/>
    <w:rsid w:val="001E03A1"/>
    <w:rPr>
      <w:rFonts w:eastAsia="Times New Roman" w:cs="Times New Roman"/>
      <w:szCs w:val="24"/>
    </w:rPr>
  </w:style>
  <w:style w:type="table" w:customStyle="1" w:styleId="WPTable1">
    <w:name w:val="WP Table1"/>
    <w:basedOn w:val="TableNormal"/>
    <w:next w:val="TableContemporary"/>
    <w:rsid w:val="00FF2DDF"/>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Bullet">
    <w:name w:val="List Bullet"/>
    <w:basedOn w:val="Normal"/>
    <w:uiPriority w:val="99"/>
    <w:unhideWhenUsed/>
    <w:rsid w:val="00FF2DDF"/>
    <w:pPr>
      <w:numPr>
        <w:numId w:val="19"/>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uiPriority w:val="99"/>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uiPriority w:val="99"/>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paragraph" w:customStyle="1" w:styleId="Reminder">
    <w:name w:val="Reminder"/>
    <w:basedOn w:val="Reminders"/>
    <w:link w:val="ReminderChar"/>
    <w:uiPriority w:val="99"/>
    <w:rsid w:val="0023444F"/>
  </w:style>
  <w:style w:type="character" w:customStyle="1" w:styleId="ReminderChar">
    <w:name w:val="Reminder Char"/>
    <w:basedOn w:val="RemindersChar"/>
    <w:link w:val="Reminder"/>
    <w:uiPriority w:val="99"/>
    <w:rsid w:val="0023444F"/>
    <w:rPr>
      <w:rFonts w:ascii="Trebuchet MS" w:eastAsia="Times New Roman" w:hAnsi="Trebuchet MS" w:cs="Times New Roman"/>
      <w:i/>
      <w:color w:val="FF0000"/>
      <w:szCs w:val="24"/>
    </w:rPr>
  </w:style>
  <w:style w:type="character" w:styleId="CommentReference">
    <w:name w:val="annotation reference"/>
    <w:basedOn w:val="DefaultParagraphFont"/>
    <w:uiPriority w:val="99"/>
    <w:semiHidden/>
    <w:unhideWhenUsed/>
    <w:rsid w:val="00484D18"/>
    <w:rPr>
      <w:sz w:val="16"/>
      <w:szCs w:val="16"/>
    </w:rPr>
  </w:style>
  <w:style w:type="paragraph" w:styleId="CommentText">
    <w:name w:val="annotation text"/>
    <w:basedOn w:val="Normal"/>
    <w:link w:val="CommentTextChar"/>
    <w:uiPriority w:val="99"/>
    <w:semiHidden/>
    <w:unhideWhenUsed/>
    <w:rsid w:val="00484D18"/>
    <w:rPr>
      <w:sz w:val="20"/>
      <w:szCs w:val="20"/>
    </w:rPr>
  </w:style>
  <w:style w:type="character" w:customStyle="1" w:styleId="CommentTextChar">
    <w:name w:val="Comment Text Char"/>
    <w:basedOn w:val="DefaultParagraphFont"/>
    <w:link w:val="CommentText"/>
    <w:uiPriority w:val="99"/>
    <w:semiHidden/>
    <w:rsid w:val="00484D18"/>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84D18"/>
    <w:rPr>
      <w:b/>
      <w:bCs/>
    </w:rPr>
  </w:style>
  <w:style w:type="character" w:customStyle="1" w:styleId="CommentSubjectChar">
    <w:name w:val="Comment Subject Char"/>
    <w:basedOn w:val="CommentTextChar"/>
    <w:link w:val="CommentSubject"/>
    <w:uiPriority w:val="99"/>
    <w:semiHidden/>
    <w:rsid w:val="00484D18"/>
    <w:rPr>
      <w:rFonts w:eastAsia="Times New Roman" w:cs="Times New Roman"/>
      <w:b/>
      <w:bCs/>
      <w:sz w:val="20"/>
      <w:szCs w:val="20"/>
    </w:rPr>
  </w:style>
  <w:style w:type="paragraph" w:customStyle="1" w:styleId="TableContents">
    <w:name w:val="Table Contents"/>
    <w:basedOn w:val="BodyText"/>
    <w:uiPriority w:val="99"/>
    <w:rsid w:val="001E03A1"/>
    <w:pPr>
      <w:widowControl w:val="0"/>
      <w:suppressAutoHyphens/>
      <w:spacing w:after="0"/>
    </w:pPr>
    <w:rPr>
      <w:rFonts w:ascii="Times New Roman" w:hAnsi="Times New Roman"/>
      <w:sz w:val="24"/>
    </w:rPr>
  </w:style>
  <w:style w:type="table" w:styleId="TableContemporary">
    <w:name w:val="Table Contemporary"/>
    <w:basedOn w:val="TableNormal"/>
    <w:uiPriority w:val="99"/>
    <w:rsid w:val="001E03A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odyText">
    <w:name w:val="Body Text"/>
    <w:basedOn w:val="Normal"/>
    <w:link w:val="BodyTextChar"/>
    <w:uiPriority w:val="99"/>
    <w:semiHidden/>
    <w:unhideWhenUsed/>
    <w:rsid w:val="001E03A1"/>
    <w:pPr>
      <w:spacing w:after="120"/>
    </w:pPr>
  </w:style>
  <w:style w:type="character" w:customStyle="1" w:styleId="BodyTextChar">
    <w:name w:val="Body Text Char"/>
    <w:basedOn w:val="DefaultParagraphFont"/>
    <w:link w:val="BodyText"/>
    <w:uiPriority w:val="99"/>
    <w:semiHidden/>
    <w:rsid w:val="001E03A1"/>
    <w:rPr>
      <w:rFonts w:eastAsia="Times New Roman" w:cs="Times New Roman"/>
      <w:szCs w:val="24"/>
    </w:rPr>
  </w:style>
  <w:style w:type="table" w:customStyle="1" w:styleId="WPTable1">
    <w:name w:val="WP Table1"/>
    <w:basedOn w:val="TableNormal"/>
    <w:next w:val="TableContemporary"/>
    <w:rsid w:val="00FF2DDF"/>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Bullet">
    <w:name w:val="List Bullet"/>
    <w:basedOn w:val="Normal"/>
    <w:uiPriority w:val="99"/>
    <w:unhideWhenUsed/>
    <w:rsid w:val="00FF2DDF"/>
    <w:pPr>
      <w:numPr>
        <w:numId w:val="1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362306">
      <w:bodyDiv w:val="1"/>
      <w:marLeft w:val="0"/>
      <w:marRight w:val="0"/>
      <w:marTop w:val="0"/>
      <w:marBottom w:val="0"/>
      <w:divBdr>
        <w:top w:val="none" w:sz="0" w:space="0" w:color="auto"/>
        <w:left w:val="none" w:sz="0" w:space="0" w:color="auto"/>
        <w:bottom w:val="none" w:sz="0" w:space="0" w:color="auto"/>
        <w:right w:val="none" w:sz="0" w:space="0" w:color="auto"/>
      </w:divBdr>
    </w:div>
    <w:div w:id="887451231">
      <w:bodyDiv w:val="1"/>
      <w:marLeft w:val="0"/>
      <w:marRight w:val="0"/>
      <w:marTop w:val="0"/>
      <w:marBottom w:val="0"/>
      <w:divBdr>
        <w:top w:val="none" w:sz="0" w:space="0" w:color="auto"/>
        <w:left w:val="none" w:sz="0" w:space="0" w:color="auto"/>
        <w:bottom w:val="none" w:sz="0" w:space="0" w:color="auto"/>
        <w:right w:val="none" w:sz="0" w:space="0" w:color="auto"/>
      </w:divBdr>
    </w:div>
    <w:div w:id="1449352087">
      <w:bodyDiv w:val="1"/>
      <w:marLeft w:val="0"/>
      <w:marRight w:val="0"/>
      <w:marTop w:val="0"/>
      <w:marBottom w:val="0"/>
      <w:divBdr>
        <w:top w:val="none" w:sz="0" w:space="0" w:color="auto"/>
        <w:left w:val="none" w:sz="0" w:space="0" w:color="auto"/>
        <w:bottom w:val="none" w:sz="0" w:space="0" w:color="auto"/>
        <w:right w:val="none" w:sz="0" w:space="0" w:color="auto"/>
      </w:divBdr>
    </w:div>
    <w:div w:id="1488402905">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EA970A0-4832-440A-8DFC-4582DA1CC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785</Words>
  <Characters>4478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2017-12-28T23:57:00Z</dcterms:created>
  <dcterms:modified xsi:type="dcterms:W3CDTF">2017-12-29T00:34:00Z</dcterms:modified>
</cp:coreProperties>
</file>