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43050A" w:rsidRDefault="003129E8" w:rsidP="00DD6B5E">
      <w:pPr>
        <w:jc w:val="right"/>
        <w:rPr>
          <w:rFonts w:cs="Arial"/>
          <w:b/>
          <w:sz w:val="48"/>
          <w:szCs w:val="48"/>
        </w:rPr>
      </w:pPr>
      <w:bookmarkStart w:id="0" w:name="_Toc153189646"/>
      <w:r w:rsidRPr="005A1336">
        <w:rPr>
          <w:rFonts w:cs="Arial"/>
          <w:b/>
          <w:sz w:val="48"/>
          <w:szCs w:val="48"/>
        </w:rPr>
        <w:t xml:space="preserve">Work Paper </w:t>
      </w:r>
      <w:bookmarkEnd w:id="0"/>
      <w:r w:rsidR="00AC6C3F" w:rsidRPr="0043050A">
        <w:rPr>
          <w:rFonts w:cs="Arial"/>
          <w:b/>
          <w:sz w:val="48"/>
          <w:szCs w:val="48"/>
        </w:rPr>
        <w:t>PGE</w:t>
      </w:r>
      <w:r w:rsidR="000D0941" w:rsidRPr="0043050A">
        <w:rPr>
          <w:rFonts w:cs="Arial"/>
          <w:b/>
          <w:sz w:val="48"/>
          <w:szCs w:val="48"/>
        </w:rPr>
        <w:t>COALL</w:t>
      </w:r>
      <w:r w:rsidR="003F0D8A" w:rsidRPr="0043050A">
        <w:rPr>
          <w:rFonts w:cs="Arial"/>
          <w:b/>
          <w:sz w:val="48"/>
          <w:szCs w:val="48"/>
        </w:rPr>
        <w:t>107</w:t>
      </w:r>
    </w:p>
    <w:p w:rsidR="00A167EC" w:rsidRPr="0043050A" w:rsidRDefault="000D0941" w:rsidP="00A167EC">
      <w:pPr>
        <w:jc w:val="right"/>
        <w:rPr>
          <w:rFonts w:cs="Arial"/>
          <w:b/>
          <w:sz w:val="48"/>
          <w:szCs w:val="48"/>
        </w:rPr>
      </w:pPr>
      <w:r w:rsidRPr="0043050A">
        <w:rPr>
          <w:rFonts w:cs="Arial"/>
          <w:b/>
          <w:sz w:val="48"/>
          <w:szCs w:val="48"/>
        </w:rPr>
        <w:t>Home Energy Reports</w:t>
      </w:r>
    </w:p>
    <w:p w:rsidR="003129E8" w:rsidRPr="005A1336" w:rsidRDefault="003129E8" w:rsidP="002E0043">
      <w:pPr>
        <w:jc w:val="right"/>
        <w:rPr>
          <w:rFonts w:cs="Arial"/>
          <w:b/>
          <w:sz w:val="48"/>
          <w:szCs w:val="48"/>
        </w:rPr>
      </w:pPr>
      <w:bookmarkStart w:id="1" w:name="_Toc153189647"/>
      <w:r w:rsidRPr="005A1336">
        <w:rPr>
          <w:rFonts w:cs="Arial"/>
          <w:b/>
          <w:sz w:val="48"/>
          <w:szCs w:val="48"/>
        </w:rPr>
        <w:t>Revision #</w:t>
      </w:r>
      <w:bookmarkEnd w:id="1"/>
      <w:r w:rsidR="00D7047A" w:rsidRPr="005A1336">
        <w:rPr>
          <w:rFonts w:cs="Arial"/>
          <w:b/>
          <w:sz w:val="48"/>
          <w:szCs w:val="48"/>
        </w:rPr>
        <w:t xml:space="preserve"> </w:t>
      </w:r>
      <w:r w:rsidR="000D0941" w:rsidRPr="0043050A">
        <w:rPr>
          <w:rFonts w:cs="Arial"/>
          <w:b/>
          <w:sz w:val="48"/>
          <w:szCs w:val="48"/>
        </w:rPr>
        <w:t>0</w:t>
      </w:r>
    </w:p>
    <w:p w:rsidR="003129E8" w:rsidRPr="0043050A" w:rsidRDefault="003129E8" w:rsidP="003129E8"/>
    <w:p w:rsidR="00D7047A" w:rsidRPr="0043050A" w:rsidRDefault="00DD6B5E" w:rsidP="00D7047A">
      <w:pPr>
        <w:pBdr>
          <w:bottom w:val="single" w:sz="4" w:space="1" w:color="auto"/>
        </w:pBdr>
        <w:rPr>
          <w:rFonts w:cs="Arial"/>
          <w:b/>
          <w:sz w:val="36"/>
          <w:szCs w:val="36"/>
        </w:rPr>
      </w:pPr>
      <w:r w:rsidRPr="0043050A">
        <w:rPr>
          <w:rFonts w:cs="Arial"/>
          <w:b/>
          <w:sz w:val="36"/>
          <w:szCs w:val="36"/>
        </w:rPr>
        <w:t>Pacific Gas &amp; Electric</w:t>
      </w:r>
      <w:r w:rsidR="00DF21B8" w:rsidRPr="0043050A">
        <w:rPr>
          <w:rFonts w:cs="Arial"/>
          <w:b/>
          <w:sz w:val="36"/>
          <w:szCs w:val="36"/>
        </w:rPr>
        <w:t xml:space="preserve"> Company</w:t>
      </w:r>
    </w:p>
    <w:p w:rsidR="00D7047A" w:rsidRPr="0043050A" w:rsidRDefault="00661864" w:rsidP="00D7047A">
      <w:pPr>
        <w:rPr>
          <w:rFonts w:cs="Arial"/>
          <w:b/>
          <w:sz w:val="32"/>
          <w:szCs w:val="32"/>
        </w:rPr>
      </w:pPr>
      <w:r w:rsidRPr="0043050A">
        <w:rPr>
          <w:rFonts w:cs="Arial"/>
          <w:b/>
          <w:sz w:val="32"/>
          <w:szCs w:val="32"/>
        </w:rPr>
        <w:t xml:space="preserve">Customer Energy Solutions </w:t>
      </w:r>
    </w:p>
    <w:p w:rsidR="00E34E73" w:rsidRPr="0043050A" w:rsidRDefault="00E34E73" w:rsidP="00324D0F">
      <w:pPr>
        <w:rPr>
          <w:rFonts w:cs="Arial"/>
          <w:b/>
          <w:highlight w:val="cyan"/>
        </w:rPr>
      </w:pPr>
    </w:p>
    <w:p w:rsidR="00C274E0" w:rsidRPr="0043050A" w:rsidRDefault="00C274E0" w:rsidP="00324D0F">
      <w:pPr>
        <w:rPr>
          <w:rFonts w:cs="Arial"/>
          <w:b/>
          <w:highlight w:val="cyan"/>
        </w:rPr>
      </w:pPr>
    </w:p>
    <w:p w:rsidR="00C274E0" w:rsidRPr="0043050A" w:rsidRDefault="00C274E0" w:rsidP="00324D0F">
      <w:pPr>
        <w:rPr>
          <w:rFonts w:cs="Arial"/>
          <w:b/>
          <w:highlight w:val="cyan"/>
        </w:rPr>
      </w:pPr>
    </w:p>
    <w:p w:rsidR="00324D0F" w:rsidRPr="005A1336" w:rsidRDefault="000D0941" w:rsidP="00A167EC">
      <w:pPr>
        <w:ind w:right="-720"/>
        <w:rPr>
          <w:rFonts w:cs="Arial"/>
          <w:b/>
          <w:sz w:val="72"/>
          <w:szCs w:val="72"/>
        </w:rPr>
      </w:pPr>
      <w:r w:rsidRPr="0043050A">
        <w:rPr>
          <w:rFonts w:cs="Arial"/>
          <w:b/>
          <w:sz w:val="72"/>
          <w:szCs w:val="72"/>
        </w:rPr>
        <w:t>Home Energy Reports</w:t>
      </w:r>
    </w:p>
    <w:p w:rsidR="00B421F2" w:rsidRPr="0043050A" w:rsidRDefault="00A167EC" w:rsidP="002D4621">
      <w:pPr>
        <w:ind w:right="-720"/>
        <w:rPr>
          <w:rFonts w:cs="Arial"/>
          <w:b/>
        </w:rPr>
      </w:pPr>
      <w:r w:rsidRPr="005A1336">
        <w:rPr>
          <w:rFonts w:cs="Arial"/>
          <w:b/>
        </w:rPr>
        <w:t>Measure Codes</w:t>
      </w:r>
      <w:r w:rsidR="00AC6C60" w:rsidRPr="0043050A">
        <w:rPr>
          <w:rFonts w:cs="Arial"/>
          <w:b/>
        </w:rPr>
        <w:t xml:space="preserve"> – Procedural </w:t>
      </w:r>
      <w:r w:rsidR="009B00D1" w:rsidRPr="0043050A">
        <w:rPr>
          <w:rFonts w:cs="Arial"/>
          <w:b/>
        </w:rPr>
        <w:t>work paper</w:t>
      </w:r>
    </w:p>
    <w:p w:rsidR="00CB3583" w:rsidRPr="00C274E0" w:rsidRDefault="00CB3583" w:rsidP="002E0043">
      <w:pPr>
        <w:rPr>
          <w:rFonts w:cs="Arial"/>
          <w:b/>
          <w:i/>
          <w:highlight w:val="cyan"/>
        </w:rPr>
      </w:pPr>
    </w:p>
    <w:p w:rsidR="003D3F36" w:rsidRPr="00C274E0" w:rsidRDefault="003D3F36" w:rsidP="00844B27">
      <w:pPr>
        <w:rPr>
          <w:rFonts w:cs="Arial"/>
          <w:b/>
          <w:i/>
          <w:highlight w:val="cyan"/>
        </w:rPr>
      </w:pPr>
    </w:p>
    <w:p w:rsidR="00E84DBD"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026ED5">
      <w:pPr>
        <w:rPr>
          <w:rFonts w:cs="Arial"/>
          <w:b/>
          <w:i/>
        </w:rPr>
      </w:pPr>
    </w:p>
    <w:p w:rsidR="00C274E0" w:rsidRDefault="00C274E0" w:rsidP="0043050A">
      <w:pPr>
        <w:jc w:val="cente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2" w:name="_Toc304800192"/>
      <w:bookmarkStart w:id="3" w:name="_Toc324318330"/>
      <w:bookmarkStart w:id="4" w:name="_Toc324340474"/>
      <w:bookmarkStart w:id="5" w:name="_Toc354582124"/>
      <w:r>
        <w:lastRenderedPageBreak/>
        <w:t>At-</w:t>
      </w:r>
      <w:r w:rsidR="00E71EF1">
        <w:t>a</w:t>
      </w:r>
      <w:r>
        <w:t>-</w:t>
      </w:r>
      <w:r w:rsidR="00E71EF1">
        <w:t>Glance Summary</w:t>
      </w:r>
      <w:bookmarkEnd w:id="2"/>
      <w:bookmarkEnd w:id="3"/>
      <w:bookmarkEnd w:id="4"/>
      <w:bookmarkEnd w:id="5"/>
    </w:p>
    <w:tbl>
      <w:tblPr>
        <w:tblW w:w="8930" w:type="dxa"/>
        <w:tblBorders>
          <w:insideH w:val="single" w:sz="18" w:space="0" w:color="FFFFFF"/>
          <w:insideV w:val="single" w:sz="18" w:space="0" w:color="FFFFFF"/>
        </w:tblBorders>
        <w:tblLayout w:type="fixed"/>
        <w:tblLook w:val="01E0" w:firstRow="1" w:lastRow="1" w:firstColumn="1" w:lastColumn="1" w:noHBand="0" w:noVBand="0"/>
      </w:tblPr>
      <w:tblGrid>
        <w:gridCol w:w="3797"/>
        <w:gridCol w:w="5133"/>
      </w:tblGrid>
      <w:tr w:rsidR="00466CD6" w:rsidRPr="00A55DD1" w:rsidTr="000A06AB">
        <w:trPr>
          <w:trHeight w:val="465"/>
        </w:trPr>
        <w:tc>
          <w:tcPr>
            <w:tcW w:w="3797" w:type="dxa"/>
            <w:shd w:val="pct20" w:color="000000" w:fill="FFFFFF"/>
          </w:tcPr>
          <w:p w:rsidR="00466CD6" w:rsidRPr="00610FC6" w:rsidRDefault="00466CD6" w:rsidP="0028709C">
            <w:pPr>
              <w:rPr>
                <w:rStyle w:val="Strong"/>
              </w:rPr>
            </w:pPr>
            <w:r w:rsidRPr="00610FC6">
              <w:rPr>
                <w:rStyle w:val="Strong"/>
              </w:rPr>
              <w:t>Applicable Measure Codes:</w:t>
            </w:r>
          </w:p>
        </w:tc>
        <w:tc>
          <w:tcPr>
            <w:tcW w:w="5133" w:type="dxa"/>
            <w:shd w:val="pct20" w:color="000000" w:fill="FFFFFF"/>
          </w:tcPr>
          <w:p w:rsidR="00466CD6" w:rsidRPr="00F621AD" w:rsidRDefault="00466CD6" w:rsidP="00466CD6">
            <w:pPr>
              <w:rPr>
                <w:rFonts w:cs="Arial"/>
                <w:b/>
                <w:bCs/>
                <w:sz w:val="20"/>
                <w:szCs w:val="20"/>
                <w:highlight w:val="yellow"/>
              </w:rPr>
            </w:pPr>
          </w:p>
        </w:tc>
      </w:tr>
      <w:tr w:rsidR="000571F6" w:rsidRPr="00A55DD1" w:rsidTr="00F621AD">
        <w:trPr>
          <w:trHeight w:val="465"/>
        </w:trPr>
        <w:tc>
          <w:tcPr>
            <w:tcW w:w="3797" w:type="dxa"/>
            <w:shd w:val="pct5" w:color="000000" w:fill="FFFFFF"/>
          </w:tcPr>
          <w:p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133" w:type="dxa"/>
            <w:shd w:val="pct5" w:color="000000" w:fill="FFFFFF"/>
          </w:tcPr>
          <w:p w:rsidR="000571F6" w:rsidRPr="000E22C9" w:rsidRDefault="00EE52ED" w:rsidP="00554299">
            <w:pPr>
              <w:rPr>
                <w:rFonts w:cs="Arial"/>
                <w:sz w:val="20"/>
                <w:szCs w:val="20"/>
              </w:rPr>
            </w:pPr>
            <w:r>
              <w:rPr>
                <w:rFonts w:cs="Arial"/>
                <w:sz w:val="20"/>
                <w:szCs w:val="20"/>
              </w:rPr>
              <w:t>Home Energy Reports is an information-based measure that provides usage feedback and comparisons of energy usage to similar residences</w:t>
            </w:r>
            <w:r w:rsidR="00095411">
              <w:rPr>
                <w:rFonts w:cs="Arial"/>
                <w:sz w:val="20"/>
                <w:szCs w:val="20"/>
              </w:rPr>
              <w:t>. Information is provided</w:t>
            </w:r>
            <w:r>
              <w:rPr>
                <w:rFonts w:cs="Arial"/>
                <w:sz w:val="20"/>
                <w:szCs w:val="20"/>
              </w:rPr>
              <w:t xml:space="preserve"> via printed reports mailed to residential bill payers.  The measure uses </w:t>
            </w:r>
            <w:r w:rsidR="005A1336">
              <w:rPr>
                <w:rFonts w:cs="Arial"/>
                <w:sz w:val="20"/>
                <w:szCs w:val="20"/>
              </w:rPr>
              <w:t>a</w:t>
            </w:r>
            <w:r>
              <w:rPr>
                <w:rFonts w:cs="Arial"/>
                <w:sz w:val="20"/>
                <w:szCs w:val="20"/>
              </w:rPr>
              <w:t xml:space="preserve"> </w:t>
            </w:r>
            <w:r w:rsidR="00095411">
              <w:rPr>
                <w:rFonts w:cs="Arial"/>
                <w:sz w:val="20"/>
                <w:szCs w:val="20"/>
              </w:rPr>
              <w:t xml:space="preserve">random </w:t>
            </w:r>
            <w:r w:rsidR="00554299">
              <w:rPr>
                <w:rFonts w:cs="Arial"/>
                <w:sz w:val="20"/>
                <w:szCs w:val="20"/>
              </w:rPr>
              <w:t xml:space="preserve">control trial </w:t>
            </w:r>
            <w:r>
              <w:rPr>
                <w:rFonts w:cs="Arial"/>
                <w:sz w:val="20"/>
                <w:szCs w:val="20"/>
              </w:rPr>
              <w:t xml:space="preserve">whereby </w:t>
            </w:r>
            <w:r w:rsidR="00095411">
              <w:rPr>
                <w:rFonts w:cs="Arial"/>
                <w:sz w:val="20"/>
                <w:szCs w:val="20"/>
              </w:rPr>
              <w:t xml:space="preserve">a homogeneous set of </w:t>
            </w:r>
            <w:r>
              <w:rPr>
                <w:rFonts w:cs="Arial"/>
                <w:sz w:val="20"/>
                <w:szCs w:val="20"/>
              </w:rPr>
              <w:t xml:space="preserve">residential customers </w:t>
            </w:r>
            <w:r w:rsidR="00095411">
              <w:rPr>
                <w:rFonts w:cs="Arial"/>
                <w:sz w:val="20"/>
                <w:szCs w:val="20"/>
              </w:rPr>
              <w:t xml:space="preserve">defined using multiple characteristics is </w:t>
            </w:r>
            <w:r>
              <w:rPr>
                <w:rFonts w:cs="Arial"/>
                <w:sz w:val="20"/>
                <w:szCs w:val="20"/>
              </w:rPr>
              <w:t>randomly assigned either to receive reports (“treatment condition”) or not (“control condition”)</w:t>
            </w:r>
            <w:r w:rsidR="00095411">
              <w:rPr>
                <w:rFonts w:cs="Arial"/>
                <w:sz w:val="20"/>
                <w:szCs w:val="20"/>
              </w:rPr>
              <w:t xml:space="preserve"> </w:t>
            </w:r>
            <w:r w:rsidR="007106BE">
              <w:rPr>
                <w:rFonts w:cs="Arial"/>
                <w:sz w:val="20"/>
                <w:szCs w:val="20"/>
              </w:rPr>
              <w:t>for each experiment</w:t>
            </w:r>
            <w:r>
              <w:rPr>
                <w:rFonts w:cs="Arial"/>
                <w:sz w:val="20"/>
                <w:szCs w:val="20"/>
              </w:rPr>
              <w:t>.</w:t>
            </w:r>
            <w:r w:rsidR="00095411">
              <w:rPr>
                <w:rFonts w:cs="Arial"/>
                <w:sz w:val="20"/>
                <w:szCs w:val="20"/>
              </w:rPr>
              <w:t xml:space="preserve"> Due to the unique composition</w:t>
            </w:r>
            <w:r w:rsidR="00554299">
              <w:rPr>
                <w:rFonts w:cs="Arial"/>
                <w:sz w:val="20"/>
                <w:szCs w:val="20"/>
              </w:rPr>
              <w:t xml:space="preserve"> of each randomized control trial</w:t>
            </w:r>
            <w:r w:rsidR="005764C6">
              <w:rPr>
                <w:rFonts w:cs="Arial"/>
                <w:sz w:val="20"/>
                <w:szCs w:val="20"/>
              </w:rPr>
              <w:t>, savings for this measure must be calculated for each experiment separately.</w:t>
            </w:r>
          </w:p>
        </w:tc>
      </w:tr>
      <w:tr w:rsidR="000571F6" w:rsidRPr="00A55DD1" w:rsidTr="00F621AD">
        <w:trPr>
          <w:trHeight w:val="465"/>
        </w:trPr>
        <w:tc>
          <w:tcPr>
            <w:tcW w:w="3797" w:type="dxa"/>
            <w:shd w:val="pct20" w:color="000000" w:fill="FFFFFF"/>
          </w:tcPr>
          <w:p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133" w:type="dxa"/>
            <w:shd w:val="pct20" w:color="000000" w:fill="FFFFFF"/>
          </w:tcPr>
          <w:p w:rsidR="000571F6" w:rsidRPr="000E22C9" w:rsidRDefault="00E10650" w:rsidP="00AC6C60">
            <w:pPr>
              <w:rPr>
                <w:rFonts w:cs="Arial"/>
                <w:sz w:val="20"/>
                <w:szCs w:val="20"/>
              </w:rPr>
            </w:pPr>
            <w:r>
              <w:rPr>
                <w:rFonts w:cs="Arial"/>
                <w:sz w:val="20"/>
                <w:szCs w:val="20"/>
              </w:rPr>
              <w:t xml:space="preserve">kWh,  </w:t>
            </w:r>
            <w:r w:rsidR="00EE52ED">
              <w:rPr>
                <w:rFonts w:cs="Arial"/>
                <w:sz w:val="20"/>
                <w:szCs w:val="20"/>
              </w:rPr>
              <w:t>T</w:t>
            </w:r>
            <w:r>
              <w:rPr>
                <w:rFonts w:cs="Arial"/>
                <w:sz w:val="20"/>
                <w:szCs w:val="20"/>
              </w:rPr>
              <w:t>herms per household</w:t>
            </w:r>
            <w:r w:rsidR="00721C75" w:rsidRPr="000E22C9">
              <w:rPr>
                <w:rFonts w:cs="Arial"/>
                <w:sz w:val="20"/>
                <w:szCs w:val="20"/>
              </w:rPr>
              <w:t xml:space="preserve"> </w:t>
            </w:r>
          </w:p>
        </w:tc>
      </w:tr>
      <w:tr w:rsidR="000571F6" w:rsidRPr="00A55DD1" w:rsidTr="00F621AD">
        <w:trPr>
          <w:trHeight w:val="465"/>
        </w:trPr>
        <w:tc>
          <w:tcPr>
            <w:tcW w:w="3797" w:type="dxa"/>
            <w:shd w:val="pct5" w:color="000000" w:fill="FFFFFF"/>
          </w:tcPr>
          <w:p w:rsidR="000571F6" w:rsidRPr="00610FC6" w:rsidRDefault="00EB367C" w:rsidP="0028709C">
            <w:pPr>
              <w:rPr>
                <w:rStyle w:val="Strong"/>
              </w:rPr>
            </w:pPr>
            <w:r w:rsidRPr="00610FC6">
              <w:rPr>
                <w:rStyle w:val="Strong"/>
              </w:rPr>
              <w:t>Base Case Description:</w:t>
            </w:r>
          </w:p>
        </w:tc>
        <w:tc>
          <w:tcPr>
            <w:tcW w:w="5133" w:type="dxa"/>
            <w:shd w:val="pct5" w:color="000000" w:fill="FFFFFF"/>
          </w:tcPr>
          <w:p w:rsidR="005F57B5" w:rsidRPr="000E22C9" w:rsidRDefault="00E9687D" w:rsidP="00EE52ED">
            <w:pPr>
              <w:rPr>
                <w:rFonts w:cs="Arial"/>
                <w:sz w:val="20"/>
                <w:szCs w:val="20"/>
              </w:rPr>
            </w:pPr>
            <w:r>
              <w:rPr>
                <w:rFonts w:cs="Arial"/>
                <w:sz w:val="20"/>
                <w:szCs w:val="20"/>
              </w:rPr>
              <w:t>PG&amp;E:</w:t>
            </w:r>
            <w:r w:rsidR="00EE52ED">
              <w:rPr>
                <w:rFonts w:cs="Arial"/>
                <w:sz w:val="20"/>
                <w:szCs w:val="20"/>
              </w:rPr>
              <w:t xml:space="preserve"> Customers that are assigned to the control condition for any given experiment (“wave”).</w:t>
            </w:r>
          </w:p>
        </w:tc>
      </w:tr>
      <w:tr w:rsidR="000571F6" w:rsidRPr="00A55DD1" w:rsidTr="00F621AD">
        <w:trPr>
          <w:trHeight w:val="465"/>
        </w:trPr>
        <w:tc>
          <w:tcPr>
            <w:tcW w:w="3797" w:type="dxa"/>
            <w:shd w:val="pct20" w:color="000000" w:fill="FFFFFF"/>
          </w:tcPr>
          <w:p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133" w:type="dxa"/>
            <w:shd w:val="pct20" w:color="000000" w:fill="FFFFFF"/>
          </w:tcPr>
          <w:p w:rsidR="000571F6" w:rsidRPr="000E22C9" w:rsidRDefault="00E9687D" w:rsidP="007106BE">
            <w:pPr>
              <w:rPr>
                <w:rFonts w:cs="Arial"/>
                <w:sz w:val="20"/>
                <w:szCs w:val="20"/>
              </w:rPr>
            </w:pPr>
            <w:r>
              <w:rPr>
                <w:rFonts w:cs="Arial"/>
                <w:sz w:val="20"/>
                <w:szCs w:val="20"/>
              </w:rPr>
              <w:t xml:space="preserve">PG&amp;E: The Base Case energy consumption is that of </w:t>
            </w:r>
            <w:r w:rsidR="007106BE">
              <w:rPr>
                <w:rFonts w:cs="Arial"/>
                <w:sz w:val="20"/>
                <w:szCs w:val="20"/>
              </w:rPr>
              <w:t xml:space="preserve">the average of </w:t>
            </w:r>
            <w:r w:rsidR="00EE52ED">
              <w:rPr>
                <w:rFonts w:cs="Arial"/>
                <w:sz w:val="20"/>
                <w:szCs w:val="20"/>
              </w:rPr>
              <w:t xml:space="preserve">residential customers assigned to the control condition for a given </w:t>
            </w:r>
            <w:r w:rsidR="007106BE">
              <w:rPr>
                <w:rFonts w:cs="Arial"/>
                <w:sz w:val="20"/>
                <w:szCs w:val="20"/>
              </w:rPr>
              <w:t>experiment</w:t>
            </w:r>
            <w:r w:rsidR="00EE52ED">
              <w:rPr>
                <w:rFonts w:cs="Arial"/>
                <w:sz w:val="20"/>
                <w:szCs w:val="20"/>
              </w:rPr>
              <w:t xml:space="preserve">. </w:t>
            </w:r>
            <w:r>
              <w:rPr>
                <w:rFonts w:cs="Arial"/>
                <w:sz w:val="20"/>
                <w:szCs w:val="20"/>
              </w:rPr>
              <w:t xml:space="preserve">Since savings are calculated </w:t>
            </w:r>
            <w:r w:rsidR="00EE52ED">
              <w:rPr>
                <w:rFonts w:cs="Arial"/>
                <w:sz w:val="20"/>
                <w:szCs w:val="20"/>
              </w:rPr>
              <w:t xml:space="preserve">by comparing usage between treatment and control conditions for every wave separately, </w:t>
            </w:r>
            <w:r>
              <w:rPr>
                <w:rFonts w:cs="Arial"/>
                <w:sz w:val="20"/>
                <w:szCs w:val="20"/>
              </w:rPr>
              <w:t>the</w:t>
            </w:r>
            <w:r w:rsidR="00EE52ED">
              <w:rPr>
                <w:rFonts w:cs="Arial"/>
                <w:sz w:val="20"/>
                <w:szCs w:val="20"/>
              </w:rPr>
              <w:t>re</w:t>
            </w:r>
            <w:r>
              <w:rPr>
                <w:rFonts w:cs="Arial"/>
                <w:sz w:val="20"/>
                <w:szCs w:val="20"/>
              </w:rPr>
              <w:t xml:space="preserve"> is not a </w:t>
            </w:r>
            <w:r w:rsidR="00EE52ED">
              <w:rPr>
                <w:rFonts w:cs="Arial"/>
                <w:sz w:val="20"/>
                <w:szCs w:val="20"/>
              </w:rPr>
              <w:t xml:space="preserve">single </w:t>
            </w:r>
            <w:r>
              <w:rPr>
                <w:rFonts w:cs="Arial"/>
                <w:sz w:val="20"/>
                <w:szCs w:val="20"/>
              </w:rPr>
              <w:t>numerical base case</w:t>
            </w:r>
            <w:r w:rsidR="00EE52ED">
              <w:rPr>
                <w:rFonts w:cs="Arial"/>
                <w:sz w:val="20"/>
                <w:szCs w:val="20"/>
              </w:rPr>
              <w:t>.</w:t>
            </w:r>
          </w:p>
        </w:tc>
      </w:tr>
      <w:tr w:rsidR="002C4F1C" w:rsidRPr="00A55DD1" w:rsidTr="00F621AD">
        <w:trPr>
          <w:trHeight w:val="465"/>
        </w:trPr>
        <w:tc>
          <w:tcPr>
            <w:tcW w:w="3797" w:type="dxa"/>
            <w:shd w:val="pct5" w:color="000000" w:fill="FFFFFF"/>
          </w:tcPr>
          <w:p w:rsidR="002C4F1C" w:rsidRPr="00610FC6" w:rsidRDefault="002C4F1C" w:rsidP="0028709C">
            <w:pPr>
              <w:rPr>
                <w:rStyle w:val="Strong"/>
              </w:rPr>
            </w:pPr>
            <w:r w:rsidRPr="00610FC6">
              <w:rPr>
                <w:rStyle w:val="Strong"/>
              </w:rPr>
              <w:t>Measure Energy Consumption:</w:t>
            </w:r>
          </w:p>
          <w:p w:rsidR="00806EE8" w:rsidRPr="000E22C9" w:rsidRDefault="00806EE8" w:rsidP="0028709C">
            <w:pPr>
              <w:rPr>
                <w:rFonts w:cs="Arial"/>
                <w:b/>
                <w:sz w:val="20"/>
                <w:szCs w:val="20"/>
              </w:rPr>
            </w:pPr>
          </w:p>
        </w:tc>
        <w:tc>
          <w:tcPr>
            <w:tcW w:w="5133" w:type="dxa"/>
            <w:shd w:val="pct5" w:color="000000" w:fill="FFFFFF"/>
          </w:tcPr>
          <w:p w:rsidR="002C4F1C" w:rsidRPr="000E22C9" w:rsidRDefault="00E9687D" w:rsidP="00490650">
            <w:pPr>
              <w:rPr>
                <w:rFonts w:cs="Arial"/>
                <w:sz w:val="20"/>
                <w:szCs w:val="20"/>
              </w:rPr>
            </w:pPr>
            <w:r>
              <w:rPr>
                <w:rFonts w:cs="Arial"/>
                <w:sz w:val="20"/>
                <w:szCs w:val="20"/>
              </w:rPr>
              <w:t xml:space="preserve">PG&amp;E: The </w:t>
            </w:r>
            <w:r w:rsidR="00490650">
              <w:rPr>
                <w:rFonts w:cs="Arial"/>
                <w:sz w:val="20"/>
                <w:szCs w:val="20"/>
              </w:rPr>
              <w:t xml:space="preserve">Measure Case assumes that the customer receiving the HER will act on it during the time he continues to receive them and after. </w:t>
            </w:r>
            <w:r w:rsidR="005A1336">
              <w:rPr>
                <w:rFonts w:cs="Arial"/>
                <w:sz w:val="20"/>
                <w:szCs w:val="20"/>
              </w:rPr>
              <w:t>Energy</w:t>
            </w:r>
            <w:r>
              <w:rPr>
                <w:rFonts w:cs="Arial"/>
                <w:sz w:val="20"/>
                <w:szCs w:val="20"/>
              </w:rPr>
              <w:t xml:space="preserve"> consumption</w:t>
            </w:r>
            <w:r w:rsidR="00490650">
              <w:rPr>
                <w:rFonts w:cs="Arial"/>
                <w:sz w:val="20"/>
                <w:szCs w:val="20"/>
              </w:rPr>
              <w:t xml:space="preserve"> of the treatment </w:t>
            </w:r>
            <w:r w:rsidR="005A1336">
              <w:rPr>
                <w:rFonts w:cs="Arial"/>
                <w:sz w:val="20"/>
                <w:szCs w:val="20"/>
              </w:rPr>
              <w:t>group is</w:t>
            </w:r>
            <w:r w:rsidR="00490650">
              <w:rPr>
                <w:rFonts w:cs="Arial"/>
                <w:sz w:val="20"/>
                <w:szCs w:val="20"/>
              </w:rPr>
              <w:t xml:space="preserve"> recorded from billing and is used for comparison to the control group.  Savings due to other rebate programs will be subtracted from the Measure Case.to leave only those assume d to be from customers acting on the reports. </w:t>
            </w:r>
            <w:r w:rsidR="005A1336">
              <w:rPr>
                <w:rFonts w:cs="Arial"/>
                <w:sz w:val="20"/>
                <w:szCs w:val="20"/>
              </w:rPr>
              <w:t>(Households</w:t>
            </w:r>
            <w:r w:rsidR="00EE52ED">
              <w:rPr>
                <w:rFonts w:cs="Arial"/>
                <w:sz w:val="20"/>
                <w:szCs w:val="20"/>
              </w:rPr>
              <w:t xml:space="preserve"> that are randomly-assigned to receive the usage feedback via mail-based reports) and its corresponding control condition (households that are randomly-assigned to not receive the reports). </w:t>
            </w:r>
          </w:p>
        </w:tc>
      </w:tr>
      <w:tr w:rsidR="00342330" w:rsidRPr="00A55DD1" w:rsidTr="000E7219">
        <w:trPr>
          <w:trHeight w:val="465"/>
        </w:trPr>
        <w:tc>
          <w:tcPr>
            <w:tcW w:w="3797" w:type="dxa"/>
            <w:shd w:val="pct20" w:color="000000" w:fill="FFFFFF"/>
          </w:tcPr>
          <w:p w:rsidR="00342330" w:rsidRPr="00AC6C60" w:rsidRDefault="00342330" w:rsidP="00A55DD1">
            <w:pPr>
              <w:rPr>
                <w:rStyle w:val="Strong"/>
              </w:rPr>
            </w:pPr>
            <w:r w:rsidRPr="00AC6C60">
              <w:rPr>
                <w:rStyle w:val="Strong"/>
              </w:rPr>
              <w:t xml:space="preserve">Energy Savings </w:t>
            </w:r>
          </w:p>
          <w:p w:rsidR="00342330" w:rsidRPr="00644D17" w:rsidRDefault="00342330" w:rsidP="00A55DD1">
            <w:pPr>
              <w:rPr>
                <w:rStyle w:val="Strong1"/>
                <w:b w:val="0"/>
              </w:rPr>
            </w:pPr>
            <w:r w:rsidRPr="00AC6C60">
              <w:rPr>
                <w:rStyle w:val="Strong"/>
              </w:rPr>
              <w:t>(Base Case – Measure):</w:t>
            </w:r>
          </w:p>
        </w:tc>
        <w:tc>
          <w:tcPr>
            <w:tcW w:w="5133" w:type="dxa"/>
            <w:shd w:val="pct20" w:color="000000" w:fill="FFFFFF"/>
          </w:tcPr>
          <w:p w:rsidR="00342330" w:rsidRPr="000E22C9" w:rsidRDefault="00490650" w:rsidP="00EB4429">
            <w:pPr>
              <w:rPr>
                <w:rFonts w:cs="Arial"/>
                <w:sz w:val="20"/>
                <w:szCs w:val="20"/>
              </w:rPr>
            </w:pPr>
            <w:r>
              <w:rPr>
                <w:rFonts w:cs="Arial"/>
                <w:sz w:val="20"/>
                <w:szCs w:val="20"/>
              </w:rPr>
              <w:t>PG&amp;E: The energy consumption savings from the HER program is calculated by unique experiment by comparing usage between each treatment condition (households that are randomly-assigned to receive the usage feedback via mail-based reports) and its corresponding control condition (households that are randomly-assigned to not receive the reports).</w:t>
            </w:r>
          </w:p>
        </w:tc>
      </w:tr>
      <w:tr w:rsidR="000571F6" w:rsidRPr="00A55DD1" w:rsidTr="00F621AD">
        <w:trPr>
          <w:trHeight w:val="465"/>
        </w:trPr>
        <w:tc>
          <w:tcPr>
            <w:tcW w:w="3797" w:type="dxa"/>
            <w:shd w:val="pct5" w:color="000000" w:fill="FFFFFF"/>
          </w:tcPr>
          <w:p w:rsidR="000571F6" w:rsidRPr="00610FC6" w:rsidRDefault="000571F6" w:rsidP="0028709C">
            <w:pPr>
              <w:rPr>
                <w:rStyle w:val="Strong"/>
              </w:rPr>
            </w:pPr>
            <w:r w:rsidRPr="00610FC6">
              <w:rPr>
                <w:rStyle w:val="Strong"/>
              </w:rPr>
              <w:t xml:space="preserve">Costs Common Units: </w:t>
            </w:r>
          </w:p>
        </w:tc>
        <w:tc>
          <w:tcPr>
            <w:tcW w:w="5133" w:type="dxa"/>
            <w:shd w:val="pct5" w:color="000000" w:fill="FFFFFF"/>
          </w:tcPr>
          <w:p w:rsidR="000571F6" w:rsidRPr="000E22C9" w:rsidRDefault="00DF7681" w:rsidP="002129D0">
            <w:pPr>
              <w:rPr>
                <w:rFonts w:cs="Arial"/>
                <w:sz w:val="20"/>
                <w:szCs w:val="20"/>
              </w:rPr>
            </w:pPr>
            <w:r w:rsidRPr="000E22C9">
              <w:rPr>
                <w:rFonts w:cs="Arial"/>
                <w:sz w:val="20"/>
                <w:szCs w:val="20"/>
              </w:rPr>
              <w:t xml:space="preserve">$ per </w:t>
            </w:r>
            <w:r w:rsidR="002129D0">
              <w:rPr>
                <w:rFonts w:cs="Arial"/>
                <w:sz w:val="20"/>
                <w:szCs w:val="20"/>
              </w:rPr>
              <w:t>household</w:t>
            </w:r>
          </w:p>
        </w:tc>
      </w:tr>
      <w:tr w:rsidR="007B44FB" w:rsidRPr="00A55DD1" w:rsidTr="00F621AD">
        <w:trPr>
          <w:trHeight w:val="465"/>
        </w:trPr>
        <w:tc>
          <w:tcPr>
            <w:tcW w:w="3797" w:type="dxa"/>
            <w:shd w:val="pct20" w:color="000000" w:fill="FFFFFF"/>
          </w:tcPr>
          <w:p w:rsidR="007B44FB" w:rsidRPr="00610FC6" w:rsidRDefault="007B44FB" w:rsidP="0028709C">
            <w:pPr>
              <w:rPr>
                <w:rStyle w:val="Strong"/>
                <w:highlight w:val="cyan"/>
              </w:rPr>
            </w:pPr>
            <w:r w:rsidRPr="00610FC6">
              <w:rPr>
                <w:rStyle w:val="Strong"/>
              </w:rPr>
              <w:t>Base Case Equipment Cost ($/unit):</w:t>
            </w:r>
          </w:p>
          <w:p w:rsidR="00806EE8" w:rsidRPr="000E22C9" w:rsidRDefault="00806EE8" w:rsidP="000E22C9">
            <w:pPr>
              <w:rPr>
                <w:highlight w:val="cyan"/>
              </w:rPr>
            </w:pPr>
          </w:p>
        </w:tc>
        <w:tc>
          <w:tcPr>
            <w:tcW w:w="5133" w:type="dxa"/>
            <w:shd w:val="pct20" w:color="000000" w:fill="FFFFFF"/>
          </w:tcPr>
          <w:p w:rsidR="007B44FB" w:rsidRPr="000E22C9" w:rsidRDefault="00E9687D" w:rsidP="00EB4429">
            <w:pPr>
              <w:rPr>
                <w:rFonts w:cs="Arial"/>
                <w:sz w:val="20"/>
                <w:szCs w:val="20"/>
              </w:rPr>
            </w:pPr>
            <w:r>
              <w:rPr>
                <w:rFonts w:cs="Arial"/>
                <w:sz w:val="20"/>
                <w:szCs w:val="20"/>
              </w:rPr>
              <w:t xml:space="preserve">PG&amp;E: There is no action </w:t>
            </w:r>
            <w:r w:rsidR="00F621AD">
              <w:rPr>
                <w:rFonts w:cs="Arial"/>
                <w:sz w:val="20"/>
                <w:szCs w:val="20"/>
              </w:rPr>
              <w:t>required</w:t>
            </w:r>
            <w:r>
              <w:rPr>
                <w:rFonts w:cs="Arial"/>
                <w:sz w:val="20"/>
                <w:szCs w:val="20"/>
              </w:rPr>
              <w:t xml:space="preserve"> for the Base Case, hence no cost.</w:t>
            </w:r>
          </w:p>
        </w:tc>
      </w:tr>
      <w:tr w:rsidR="000571F6" w:rsidRPr="00A55DD1" w:rsidTr="00F621AD">
        <w:trPr>
          <w:trHeight w:val="465"/>
        </w:trPr>
        <w:tc>
          <w:tcPr>
            <w:tcW w:w="3797" w:type="dxa"/>
            <w:shd w:val="pct5" w:color="000000" w:fill="FFFFFF"/>
          </w:tcPr>
          <w:p w:rsidR="000571F6" w:rsidRPr="00610FC6" w:rsidRDefault="000571F6" w:rsidP="0028709C">
            <w:pPr>
              <w:rPr>
                <w:rStyle w:val="Strong"/>
              </w:rPr>
            </w:pPr>
            <w:r w:rsidRPr="00610FC6">
              <w:rPr>
                <w:rStyle w:val="Strong"/>
              </w:rPr>
              <w:t xml:space="preserve">Measure Equipment Cost ($/unit): </w:t>
            </w:r>
          </w:p>
        </w:tc>
        <w:tc>
          <w:tcPr>
            <w:tcW w:w="5133" w:type="dxa"/>
            <w:shd w:val="pct5" w:color="000000" w:fill="FFFFFF"/>
          </w:tcPr>
          <w:p w:rsidR="000571F6" w:rsidRPr="00A55DD1" w:rsidRDefault="00E9687D" w:rsidP="00466CD6">
            <w:pPr>
              <w:rPr>
                <w:rFonts w:cs="Arial"/>
                <w:sz w:val="20"/>
                <w:szCs w:val="20"/>
              </w:rPr>
            </w:pPr>
            <w:r>
              <w:rPr>
                <w:rFonts w:cs="Arial"/>
                <w:sz w:val="20"/>
                <w:szCs w:val="20"/>
              </w:rPr>
              <w:t xml:space="preserve">PG&amp;E: </w:t>
            </w:r>
            <w:r w:rsidR="00577B7E">
              <w:rPr>
                <w:rFonts w:cs="Arial"/>
                <w:sz w:val="20"/>
                <w:szCs w:val="20"/>
              </w:rPr>
              <w:t xml:space="preserve">This is not </w:t>
            </w:r>
            <w:r w:rsidR="005A1336">
              <w:rPr>
                <w:rFonts w:cs="Arial"/>
                <w:sz w:val="20"/>
                <w:szCs w:val="20"/>
              </w:rPr>
              <w:t>a “widget</w:t>
            </w:r>
            <w:r w:rsidR="00577B7E">
              <w:rPr>
                <w:rFonts w:cs="Arial"/>
                <w:sz w:val="20"/>
                <w:szCs w:val="20"/>
              </w:rPr>
              <w:t>-based</w:t>
            </w:r>
            <w:r w:rsidR="00466CD6">
              <w:rPr>
                <w:rFonts w:cs="Arial"/>
                <w:sz w:val="20"/>
                <w:szCs w:val="20"/>
              </w:rPr>
              <w:t>”</w:t>
            </w:r>
            <w:r w:rsidR="00577B7E">
              <w:rPr>
                <w:rFonts w:cs="Arial"/>
                <w:sz w:val="20"/>
                <w:szCs w:val="20"/>
              </w:rPr>
              <w:t xml:space="preserve"> measure. The changes in c</w:t>
            </w:r>
            <w:r w:rsidR="002129D0">
              <w:rPr>
                <w:rFonts w:cs="Arial"/>
                <w:sz w:val="20"/>
                <w:szCs w:val="20"/>
              </w:rPr>
              <w:t>ustomer</w:t>
            </w:r>
            <w:r>
              <w:rPr>
                <w:rFonts w:cs="Arial"/>
                <w:sz w:val="20"/>
                <w:szCs w:val="20"/>
              </w:rPr>
              <w:t xml:space="preserve"> </w:t>
            </w:r>
            <w:r w:rsidR="002129D0">
              <w:rPr>
                <w:rFonts w:cs="Arial"/>
                <w:sz w:val="20"/>
                <w:szCs w:val="20"/>
              </w:rPr>
              <w:t xml:space="preserve">behavior </w:t>
            </w:r>
            <w:r w:rsidR="00577B7E">
              <w:rPr>
                <w:rFonts w:cs="Arial"/>
                <w:sz w:val="20"/>
                <w:szCs w:val="20"/>
              </w:rPr>
              <w:t xml:space="preserve">resulting in energy savings have no identifiable cost. PG&amp;E is conducting </w:t>
            </w:r>
            <w:r w:rsidR="007106BE">
              <w:rPr>
                <w:rFonts w:cs="Arial"/>
                <w:sz w:val="20"/>
                <w:szCs w:val="20"/>
              </w:rPr>
              <w:t xml:space="preserve">an analysis of rebate records and conducting </w:t>
            </w:r>
            <w:r w:rsidR="00577B7E">
              <w:rPr>
                <w:rFonts w:cs="Arial"/>
                <w:sz w:val="20"/>
                <w:szCs w:val="20"/>
              </w:rPr>
              <w:t xml:space="preserve">home inventories to identify whether specific equipment has been </w:t>
            </w:r>
            <w:r w:rsidR="007106BE">
              <w:rPr>
                <w:rFonts w:cs="Arial"/>
                <w:sz w:val="20"/>
                <w:szCs w:val="20"/>
              </w:rPr>
              <w:t>rebated and claimed by other measures are drivers of</w:t>
            </w:r>
            <w:r w:rsidR="00577B7E">
              <w:rPr>
                <w:rFonts w:cs="Arial"/>
                <w:sz w:val="20"/>
                <w:szCs w:val="20"/>
              </w:rPr>
              <w:t xml:space="preserve"> energy savings.</w:t>
            </w:r>
          </w:p>
        </w:tc>
      </w:tr>
      <w:tr w:rsidR="001E7CA0" w:rsidRPr="00A55DD1" w:rsidTr="00F621AD">
        <w:trPr>
          <w:trHeight w:val="465"/>
        </w:trPr>
        <w:tc>
          <w:tcPr>
            <w:tcW w:w="3797" w:type="dxa"/>
            <w:shd w:val="pct20" w:color="000000" w:fill="FFFFFF"/>
          </w:tcPr>
          <w:p w:rsidR="001E7CA0" w:rsidRPr="00610FC6" w:rsidRDefault="001E7CA0" w:rsidP="0028709C">
            <w:pPr>
              <w:rPr>
                <w:rStyle w:val="Strong"/>
              </w:rPr>
            </w:pPr>
            <w:r w:rsidRPr="00610FC6">
              <w:rPr>
                <w:rStyle w:val="Strong"/>
              </w:rPr>
              <w:t>Gross Measure Cost ($/unit)</w:t>
            </w:r>
          </w:p>
        </w:tc>
        <w:tc>
          <w:tcPr>
            <w:tcW w:w="5133" w:type="dxa"/>
            <w:shd w:val="pct20" w:color="000000" w:fill="FFFFFF"/>
          </w:tcPr>
          <w:p w:rsidR="001E7CA0" w:rsidRPr="00A55DD1" w:rsidRDefault="00D92BFE" w:rsidP="0028709C">
            <w:pPr>
              <w:rPr>
                <w:rFonts w:cs="Arial"/>
                <w:sz w:val="20"/>
                <w:szCs w:val="20"/>
              </w:rPr>
            </w:pPr>
            <w:r>
              <w:rPr>
                <w:rFonts w:cs="Arial"/>
                <w:sz w:val="20"/>
                <w:szCs w:val="20"/>
              </w:rPr>
              <w:t>Since the savings of the program are posited to be changes in customer behavior and PG&amp;E is accounting for rebate related activity, the Measure Cost is zero.</w:t>
            </w:r>
            <w:r w:rsidR="002129D0">
              <w:rPr>
                <w:rFonts w:cs="Arial"/>
                <w:sz w:val="20"/>
                <w:szCs w:val="20"/>
              </w:rPr>
              <w:t>0</w:t>
            </w:r>
          </w:p>
        </w:tc>
      </w:tr>
      <w:tr w:rsidR="000571F6" w:rsidRPr="00A55DD1" w:rsidTr="00F621AD">
        <w:trPr>
          <w:trHeight w:val="465"/>
        </w:trPr>
        <w:tc>
          <w:tcPr>
            <w:tcW w:w="3797" w:type="dxa"/>
            <w:shd w:val="pct20" w:color="000000" w:fill="FFFFFF"/>
          </w:tcPr>
          <w:p w:rsidR="000571F6" w:rsidRPr="00610FC6" w:rsidRDefault="000571F6" w:rsidP="0028709C">
            <w:pPr>
              <w:rPr>
                <w:rStyle w:val="Strong"/>
              </w:rPr>
            </w:pPr>
            <w:r w:rsidRPr="00610FC6">
              <w:rPr>
                <w:rStyle w:val="Strong"/>
              </w:rPr>
              <w:t xml:space="preserve">Measure Incremental Cost ($/unit): </w:t>
            </w:r>
          </w:p>
        </w:tc>
        <w:tc>
          <w:tcPr>
            <w:tcW w:w="5133" w:type="dxa"/>
            <w:shd w:val="pct20" w:color="000000" w:fill="FFFFFF"/>
          </w:tcPr>
          <w:p w:rsidR="00D16E24" w:rsidRPr="00A55DD1" w:rsidRDefault="007B44FB" w:rsidP="0028709C">
            <w:pPr>
              <w:rPr>
                <w:rFonts w:cs="Arial"/>
                <w:sz w:val="20"/>
                <w:szCs w:val="20"/>
              </w:rPr>
            </w:pPr>
            <w:r w:rsidRPr="00A55DD1">
              <w:rPr>
                <w:rFonts w:cs="Arial"/>
                <w:sz w:val="20"/>
                <w:szCs w:val="20"/>
              </w:rPr>
              <w:t>Source:</w:t>
            </w:r>
            <w:r w:rsidR="002129D0">
              <w:rPr>
                <w:rFonts w:cs="Arial"/>
                <w:sz w:val="20"/>
                <w:szCs w:val="20"/>
              </w:rPr>
              <w:t xml:space="preserve"> PG&amp;E</w:t>
            </w:r>
            <w:r w:rsidRPr="00A55DD1">
              <w:rPr>
                <w:rFonts w:cs="Arial"/>
                <w:sz w:val="20"/>
                <w:szCs w:val="20"/>
              </w:rPr>
              <w:t xml:space="preserve"> </w:t>
            </w:r>
            <w:r w:rsidR="00785DCD">
              <w:rPr>
                <w:rFonts w:cs="Arial"/>
                <w:sz w:val="20"/>
                <w:szCs w:val="20"/>
              </w:rPr>
              <w:t xml:space="preserve">These measures are considered ROB since this depends on customer behavioral action. Incremental cost is zero. </w:t>
            </w:r>
            <w:r w:rsidR="00437BE1">
              <w:rPr>
                <w:rFonts w:cs="Arial"/>
                <w:sz w:val="20"/>
                <w:szCs w:val="20"/>
              </w:rPr>
              <w:t xml:space="preserve"> </w:t>
            </w:r>
            <w:r w:rsidR="00577B7E">
              <w:rPr>
                <w:rFonts w:cs="Arial"/>
                <w:sz w:val="20"/>
                <w:szCs w:val="20"/>
              </w:rPr>
              <w:t xml:space="preserve"> PG&amp;E is conducting home inventories to treatment and control households to identify whether specific equipment has been purchased to result in energy savings.</w:t>
            </w:r>
          </w:p>
        </w:tc>
      </w:tr>
      <w:tr w:rsidR="000571F6" w:rsidRPr="00A55DD1" w:rsidTr="00F621AD">
        <w:trPr>
          <w:trHeight w:val="465"/>
        </w:trPr>
        <w:tc>
          <w:tcPr>
            <w:tcW w:w="3797" w:type="dxa"/>
            <w:shd w:val="pct5" w:color="000000" w:fill="FFFFFF"/>
          </w:tcPr>
          <w:p w:rsidR="000571F6" w:rsidRPr="00610FC6" w:rsidRDefault="000571F6" w:rsidP="0028709C">
            <w:pPr>
              <w:rPr>
                <w:rStyle w:val="Strong"/>
              </w:rPr>
            </w:pPr>
            <w:r w:rsidRPr="00610FC6">
              <w:rPr>
                <w:rStyle w:val="Strong"/>
              </w:rPr>
              <w:t xml:space="preserve">Effective Useful Life (years): </w:t>
            </w:r>
          </w:p>
        </w:tc>
        <w:tc>
          <w:tcPr>
            <w:tcW w:w="5133" w:type="dxa"/>
            <w:shd w:val="pct5" w:color="000000" w:fill="FFFFFF"/>
          </w:tcPr>
          <w:p w:rsidR="000571F6" w:rsidRPr="00A55DD1" w:rsidRDefault="00E03431" w:rsidP="00D92BFE">
            <w:pPr>
              <w:rPr>
                <w:rFonts w:cs="Arial"/>
                <w:sz w:val="20"/>
                <w:szCs w:val="20"/>
              </w:rPr>
            </w:pPr>
            <w:r w:rsidRPr="00AC6C60">
              <w:rPr>
                <w:rFonts w:cs="Arial"/>
                <w:sz w:val="20"/>
                <w:szCs w:val="20"/>
              </w:rPr>
              <w:t>Source:</w:t>
            </w:r>
            <w:r w:rsidR="00AC6C60">
              <w:rPr>
                <w:rFonts w:cs="Arial"/>
                <w:sz w:val="20"/>
                <w:szCs w:val="20"/>
              </w:rPr>
              <w:t xml:space="preserve"> </w:t>
            </w:r>
            <w:r w:rsidR="00AC6C60" w:rsidRPr="00D92BFE">
              <w:rPr>
                <w:rFonts w:cs="Arial"/>
                <w:sz w:val="20"/>
                <w:szCs w:val="20"/>
              </w:rPr>
              <w:t>PG&amp;E The estimated useful life is approximated at 20 years.  The length of the program may be shorter</w:t>
            </w:r>
            <w:r w:rsidR="00D92BFE" w:rsidRPr="00D92BFE">
              <w:rPr>
                <w:rFonts w:cs="Arial"/>
                <w:sz w:val="20"/>
                <w:szCs w:val="20"/>
              </w:rPr>
              <w:t xml:space="preserve">. </w:t>
            </w:r>
            <w:r w:rsidR="00AC6C60" w:rsidRPr="00D92BFE">
              <w:rPr>
                <w:rFonts w:cs="Arial"/>
                <w:sz w:val="20"/>
                <w:szCs w:val="20"/>
              </w:rPr>
              <w:t xml:space="preserve"> </w:t>
            </w:r>
            <w:r w:rsidR="00D92BFE" w:rsidRPr="00D92BFE">
              <w:rPr>
                <w:rFonts w:cs="Arial"/>
                <w:sz w:val="20"/>
                <w:szCs w:val="20"/>
              </w:rPr>
              <w:t xml:space="preserve">At </w:t>
            </w:r>
            <w:r w:rsidR="00AC6C60" w:rsidRPr="00D92BFE">
              <w:rPr>
                <w:rFonts w:cs="Arial"/>
                <w:sz w:val="20"/>
                <w:szCs w:val="20"/>
              </w:rPr>
              <w:t xml:space="preserve">that point, PG&amp;E will determine actual life of the measures based on </w:t>
            </w:r>
            <w:r w:rsidR="00D92BFE" w:rsidRPr="00D92BFE">
              <w:rPr>
                <w:rFonts w:cs="Arial"/>
                <w:sz w:val="20"/>
                <w:szCs w:val="20"/>
              </w:rPr>
              <w:t xml:space="preserve">subsequent </w:t>
            </w:r>
            <w:r w:rsidR="00AC6C60" w:rsidRPr="00D92BFE">
              <w:rPr>
                <w:rFonts w:cs="Arial"/>
                <w:sz w:val="20"/>
                <w:szCs w:val="20"/>
              </w:rPr>
              <w:t>billing data</w:t>
            </w:r>
            <w:r w:rsidR="00AC6C60">
              <w:rPr>
                <w:rFonts w:cs="Arial"/>
                <w:sz w:val="20"/>
                <w:szCs w:val="20"/>
              </w:rPr>
              <w:t xml:space="preserve"> </w:t>
            </w:r>
          </w:p>
        </w:tc>
      </w:tr>
      <w:tr w:rsidR="00530B04" w:rsidRPr="00A55DD1" w:rsidTr="00F621AD">
        <w:trPr>
          <w:trHeight w:val="465"/>
        </w:trPr>
        <w:tc>
          <w:tcPr>
            <w:tcW w:w="3797" w:type="dxa"/>
            <w:shd w:val="pct20" w:color="000000" w:fill="FFFFFF"/>
          </w:tcPr>
          <w:p w:rsidR="00530B04" w:rsidRPr="00610FC6" w:rsidRDefault="003541A6" w:rsidP="0028709C">
            <w:pPr>
              <w:rPr>
                <w:rStyle w:val="Strong"/>
              </w:rPr>
            </w:pPr>
            <w:r>
              <w:rPr>
                <w:rStyle w:val="Strong"/>
              </w:rPr>
              <w:t>Measure Application Type</w:t>
            </w:r>
            <w:r w:rsidR="00695ED2" w:rsidRPr="00610FC6">
              <w:rPr>
                <w:rStyle w:val="Strong"/>
              </w:rPr>
              <w:t>:</w:t>
            </w:r>
          </w:p>
        </w:tc>
        <w:tc>
          <w:tcPr>
            <w:tcW w:w="5133" w:type="dxa"/>
            <w:shd w:val="pct20" w:color="000000" w:fill="FFFFFF"/>
          </w:tcPr>
          <w:p w:rsidR="00530B04" w:rsidRPr="000D0941" w:rsidRDefault="00E53131" w:rsidP="00785DCD">
            <w:pPr>
              <w:rPr>
                <w:rFonts w:cs="Arial"/>
                <w:color w:val="FF0000"/>
                <w:sz w:val="20"/>
                <w:szCs w:val="20"/>
              </w:rPr>
            </w:pPr>
            <w:r w:rsidRPr="007A0C2E">
              <w:rPr>
                <w:rFonts w:cs="Arial"/>
                <w:sz w:val="20"/>
                <w:szCs w:val="20"/>
              </w:rPr>
              <w:t>Replace on Burnout</w:t>
            </w:r>
            <w:r w:rsidR="00E879C6" w:rsidRPr="007A0C2E">
              <w:rPr>
                <w:rFonts w:cs="Arial"/>
                <w:sz w:val="20"/>
                <w:szCs w:val="20"/>
              </w:rPr>
              <w:t xml:space="preserve"> (ROB)</w:t>
            </w:r>
          </w:p>
        </w:tc>
      </w:tr>
      <w:tr w:rsidR="000571F6" w:rsidRPr="00A55DD1" w:rsidTr="00F621AD">
        <w:trPr>
          <w:trHeight w:val="465"/>
        </w:trPr>
        <w:tc>
          <w:tcPr>
            <w:tcW w:w="3797" w:type="dxa"/>
            <w:shd w:val="pct5" w:color="000000" w:fill="FFFFFF"/>
          </w:tcPr>
          <w:p w:rsidR="000571F6" w:rsidRPr="00610FC6" w:rsidRDefault="000571F6" w:rsidP="0028709C">
            <w:pPr>
              <w:rPr>
                <w:rStyle w:val="Strong"/>
              </w:rPr>
            </w:pPr>
            <w:r w:rsidRPr="00610FC6">
              <w:rPr>
                <w:rStyle w:val="Strong"/>
              </w:rPr>
              <w:t xml:space="preserve">Net-to-Gross Ratios: </w:t>
            </w:r>
          </w:p>
        </w:tc>
        <w:tc>
          <w:tcPr>
            <w:tcW w:w="5133" w:type="dxa"/>
            <w:shd w:val="pct5" w:color="000000" w:fill="FFFFFF"/>
          </w:tcPr>
          <w:p w:rsidR="000571F6" w:rsidRPr="00A55DD1" w:rsidRDefault="00194E14" w:rsidP="00577B7E">
            <w:pPr>
              <w:rPr>
                <w:rFonts w:cs="Arial"/>
                <w:sz w:val="20"/>
                <w:szCs w:val="20"/>
              </w:rPr>
            </w:pPr>
            <w:r w:rsidRPr="00A55DD1">
              <w:rPr>
                <w:rFonts w:cs="Arial"/>
                <w:sz w:val="20"/>
                <w:szCs w:val="20"/>
              </w:rPr>
              <w:t xml:space="preserve">Source: </w:t>
            </w:r>
            <w:r w:rsidR="00785DCD">
              <w:rPr>
                <w:rFonts w:cs="Arial"/>
                <w:sz w:val="20"/>
                <w:szCs w:val="20"/>
              </w:rPr>
              <w:t>Since these measures are evaluated by</w:t>
            </w:r>
            <w:r w:rsidR="007106BE">
              <w:rPr>
                <w:rFonts w:cs="Arial"/>
                <w:sz w:val="20"/>
                <w:szCs w:val="20"/>
              </w:rPr>
              <w:t xml:space="preserve"> a billing analysis of</w:t>
            </w:r>
            <w:r w:rsidR="00785DCD">
              <w:rPr>
                <w:rFonts w:cs="Arial"/>
                <w:sz w:val="20"/>
                <w:szCs w:val="20"/>
              </w:rPr>
              <w:t xml:space="preserve"> changes in </w:t>
            </w:r>
            <w:r w:rsidR="00577B7E">
              <w:rPr>
                <w:rFonts w:cs="Arial"/>
                <w:sz w:val="20"/>
                <w:szCs w:val="20"/>
              </w:rPr>
              <w:t xml:space="preserve">energy use in treatment vs. control households using </w:t>
            </w:r>
            <w:r w:rsidR="00785DCD">
              <w:rPr>
                <w:rFonts w:cs="Arial"/>
                <w:sz w:val="20"/>
                <w:szCs w:val="20"/>
              </w:rPr>
              <w:t xml:space="preserve">billing </w:t>
            </w:r>
            <w:r w:rsidR="00577B7E">
              <w:rPr>
                <w:rFonts w:cs="Arial"/>
                <w:sz w:val="20"/>
                <w:szCs w:val="20"/>
              </w:rPr>
              <w:t>analysis</w:t>
            </w:r>
            <w:r w:rsidR="00785DCD">
              <w:rPr>
                <w:rFonts w:cs="Arial"/>
                <w:sz w:val="20"/>
                <w:szCs w:val="20"/>
              </w:rPr>
              <w:t>, NTG is built in</w:t>
            </w:r>
            <w:r w:rsidR="00577B7E">
              <w:rPr>
                <w:rFonts w:cs="Arial"/>
                <w:sz w:val="20"/>
                <w:szCs w:val="20"/>
              </w:rPr>
              <w:t>to the experimental design. Given this methodology, and the attribution analysis using utility rebate records for downstream measures and home inventories for upstream measures</w:t>
            </w:r>
            <w:r w:rsidR="007106BE">
              <w:rPr>
                <w:rFonts w:cs="Arial"/>
                <w:sz w:val="20"/>
                <w:szCs w:val="20"/>
              </w:rPr>
              <w:t xml:space="preserve"> to avoid double-counting</w:t>
            </w:r>
            <w:r w:rsidR="00AC6C60">
              <w:rPr>
                <w:rFonts w:cs="Arial"/>
                <w:sz w:val="20"/>
                <w:szCs w:val="20"/>
              </w:rPr>
              <w:t>, NTG</w:t>
            </w:r>
            <w:r w:rsidR="00577B7E">
              <w:rPr>
                <w:rFonts w:cs="Arial"/>
                <w:sz w:val="20"/>
                <w:szCs w:val="20"/>
              </w:rPr>
              <w:t>=1.0.</w:t>
            </w:r>
          </w:p>
        </w:tc>
      </w:tr>
      <w:tr w:rsidR="00127CC8" w:rsidRPr="00A55DD1" w:rsidTr="00F621AD">
        <w:trPr>
          <w:trHeight w:val="465"/>
        </w:trPr>
        <w:tc>
          <w:tcPr>
            <w:tcW w:w="3797" w:type="dxa"/>
            <w:shd w:val="pct20" w:color="000000" w:fill="FFFFFF"/>
          </w:tcPr>
          <w:p w:rsidR="00127CC8" w:rsidRPr="00610FC6" w:rsidRDefault="00127CC8" w:rsidP="0028709C">
            <w:pPr>
              <w:rPr>
                <w:rStyle w:val="Strong"/>
              </w:rPr>
            </w:pPr>
            <w:r w:rsidRPr="00610FC6">
              <w:rPr>
                <w:rStyle w:val="Strong"/>
              </w:rPr>
              <w:t>Important Comments:</w:t>
            </w:r>
          </w:p>
        </w:tc>
        <w:tc>
          <w:tcPr>
            <w:tcW w:w="5133" w:type="dxa"/>
            <w:shd w:val="pct20" w:color="000000" w:fill="FFFFFF"/>
          </w:tcPr>
          <w:p w:rsidR="00CD6046" w:rsidRPr="00A55DD1" w:rsidRDefault="00CD6046" w:rsidP="0028709C">
            <w:pPr>
              <w:rPr>
                <w:rFonts w:cs="Arial"/>
                <w:sz w:val="20"/>
                <w:szCs w:val="20"/>
              </w:rPr>
            </w:pPr>
          </w:p>
        </w:tc>
      </w:tr>
    </w:tbl>
    <w:p w:rsidR="007F2147" w:rsidRDefault="007F2147" w:rsidP="0006490F">
      <w:pPr>
        <w:rPr>
          <w:rFonts w:cs="Arial"/>
          <w:b/>
          <w:i/>
          <w:color w:val="FF0000"/>
          <w:sz w:val="20"/>
          <w:szCs w:val="20"/>
        </w:rPr>
      </w:pPr>
    </w:p>
    <w:p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FE079D" w:rsidRDefault="00FE079D" w:rsidP="00FE079D">
      <w:pPr>
        <w:pStyle w:val="Heading1"/>
      </w:pPr>
      <w:bookmarkStart w:id="6" w:name="_Toc354582125"/>
      <w:r>
        <w:t>Work Paper Approvals</w:t>
      </w:r>
      <w:bookmarkEnd w:id="6"/>
    </w:p>
    <w:p w:rsidR="00FE079D" w:rsidRDefault="00FE079D" w:rsidP="00FE079D">
      <w:r>
        <w:t>The following Manager</w:t>
      </w:r>
      <w:r w:rsidR="00014EC1">
        <w:t>(s)</w:t>
      </w:r>
      <w:r>
        <w:t xml:space="preserve"> approved this work</w:t>
      </w:r>
      <w:r w:rsidR="009B00D1">
        <w:t xml:space="preserve"> </w:t>
      </w:r>
      <w:r>
        <w:t>paper through the PG&amp;E Electronic Data Routing System under Routing Requisition #</w:t>
      </w:r>
      <w:r w:rsidRPr="005A1336">
        <w:t xml:space="preserve"> </w:t>
      </w:r>
      <w:r w:rsidR="005A1336" w:rsidRPr="0043050A">
        <w:rPr>
          <w:color w:val="000000" w:themeColor="text1"/>
        </w:rPr>
        <w:t>2013-15423</w:t>
      </w:r>
    </w:p>
    <w:tbl>
      <w:tblPr>
        <w:tblW w:w="3064" w:type="pct"/>
        <w:tblLook w:val="0000" w:firstRow="0" w:lastRow="0" w:firstColumn="0" w:lastColumn="0" w:noHBand="0" w:noVBand="0"/>
      </w:tblPr>
      <w:tblGrid>
        <w:gridCol w:w="5868"/>
      </w:tblGrid>
      <w:tr w:rsidR="00FE079D" w:rsidTr="000D0941">
        <w:tc>
          <w:tcPr>
            <w:tcW w:w="5000" w:type="pct"/>
          </w:tcPr>
          <w:p w:rsidR="00FE079D" w:rsidRPr="00636012" w:rsidRDefault="00FE079D" w:rsidP="000D0941"/>
        </w:tc>
      </w:tr>
      <w:tr w:rsidR="00FE079D" w:rsidTr="000D0941">
        <w:tc>
          <w:tcPr>
            <w:tcW w:w="5000" w:type="pct"/>
          </w:tcPr>
          <w:p w:rsidR="00FE079D" w:rsidRDefault="00FE079D" w:rsidP="000D0941">
            <w:pPr>
              <w:rPr>
                <w:b/>
              </w:rPr>
            </w:pPr>
            <w:r>
              <w:rPr>
                <w:b/>
              </w:rPr>
              <w:t>Grant Brohard</w:t>
            </w:r>
          </w:p>
          <w:p w:rsidR="00FE079D" w:rsidRPr="00636012" w:rsidRDefault="00FE079D" w:rsidP="000D0941">
            <w:r w:rsidRPr="00636012">
              <w:t xml:space="preserve">Manager, </w:t>
            </w:r>
            <w:r w:rsidR="005A1336">
              <w:t>Engineering Services</w:t>
            </w:r>
          </w:p>
        </w:tc>
      </w:tr>
      <w:tr w:rsidR="00FE079D" w:rsidRPr="00534386" w:rsidTr="000D0941">
        <w:tc>
          <w:tcPr>
            <w:tcW w:w="5000" w:type="pct"/>
          </w:tcPr>
          <w:p w:rsidR="00FE079D" w:rsidRDefault="00FE079D" w:rsidP="000D0941">
            <w:pPr>
              <w:rPr>
                <w:b/>
              </w:rPr>
            </w:pPr>
          </w:p>
          <w:p w:rsidR="00FE079D" w:rsidRPr="00534386" w:rsidRDefault="00F51CED" w:rsidP="000D0941">
            <w:pPr>
              <w:rPr>
                <w:b/>
              </w:rPr>
            </w:pPr>
            <w:r w:rsidRPr="00342330">
              <w:rPr>
                <w:b/>
              </w:rPr>
              <w:t>Aaron Berndt</w:t>
            </w:r>
          </w:p>
          <w:p w:rsidR="00FE079D" w:rsidRPr="00534386" w:rsidRDefault="00FE079D" w:rsidP="000D0941">
            <w:r w:rsidRPr="00534386">
              <w:t xml:space="preserve">Manager, </w:t>
            </w:r>
            <w:r>
              <w:t xml:space="preserve">Core </w:t>
            </w:r>
            <w:r w:rsidR="00F51CED">
              <w:t>EMS and Information Products</w:t>
            </w:r>
            <w:r>
              <w:t xml:space="preserve"> </w:t>
            </w:r>
          </w:p>
          <w:p w:rsidR="00FE079D" w:rsidRDefault="00FE079D" w:rsidP="000D0941">
            <w:pPr>
              <w:rPr>
                <w:b/>
              </w:rPr>
            </w:pPr>
          </w:p>
          <w:p w:rsidR="00FE079D" w:rsidRPr="00534386" w:rsidRDefault="00FE079D" w:rsidP="00F51CED"/>
        </w:tc>
      </w:tr>
    </w:tbl>
    <w:p w:rsidR="00FE079D" w:rsidRPr="00EE7092" w:rsidRDefault="00FE079D" w:rsidP="00FE079D"/>
    <w:p w:rsidR="00EE7092" w:rsidRPr="00EE7092" w:rsidRDefault="00EE7092" w:rsidP="00EE7092"/>
    <w:p w:rsidR="00E71EF1" w:rsidRDefault="009B5F5D" w:rsidP="00E71EF1">
      <w:pPr>
        <w:pStyle w:val="Heading1"/>
      </w:pPr>
      <w:r>
        <w:br w:type="page"/>
      </w:r>
      <w:bookmarkStart w:id="7" w:name="_Toc304800196"/>
      <w:bookmarkStart w:id="8" w:name="_Toc324318333"/>
      <w:bookmarkStart w:id="9" w:name="_Toc324340477"/>
      <w:bookmarkStart w:id="10" w:name="_Toc354582126"/>
      <w:r w:rsidR="00E71EF1">
        <w:t>Document Revision History</w:t>
      </w:r>
      <w:bookmarkEnd w:id="7"/>
      <w:bookmarkEnd w:id="8"/>
      <w:bookmarkEnd w:id="9"/>
      <w:bookmarkEnd w:id="10"/>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rsidTr="003B48D2">
        <w:trPr>
          <w:trHeight w:val="464"/>
        </w:trPr>
        <w:tc>
          <w:tcPr>
            <w:tcW w:w="870"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rsidR="000374A5" w:rsidRPr="002B4FEF" w:rsidRDefault="005B00A6" w:rsidP="000374A5">
            <w:pPr>
              <w:jc w:val="center"/>
              <w:rPr>
                <w:b/>
                <w:bCs/>
                <w:sz w:val="20"/>
                <w:szCs w:val="20"/>
              </w:rPr>
            </w:pPr>
            <w:r>
              <w:rPr>
                <w:b/>
              </w:rPr>
              <w:t>Revision Date</w:t>
            </w:r>
            <w:r w:rsidR="000374A5" w:rsidRPr="002B4FEF">
              <w:rPr>
                <w:b/>
              </w:rPr>
              <w:tab/>
            </w:r>
          </w:p>
        </w:tc>
        <w:tc>
          <w:tcPr>
            <w:tcW w:w="1692"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91C15" w:rsidRPr="00783DAC" w:rsidTr="003B48D2">
        <w:trPr>
          <w:trHeight w:val="464"/>
        </w:trPr>
        <w:tc>
          <w:tcPr>
            <w:tcW w:w="870" w:type="pct"/>
            <w:tcBorders>
              <w:top w:val="single" w:sz="18" w:space="0" w:color="FFFFFF"/>
              <w:bottom w:val="single" w:sz="18" w:space="0" w:color="FFFFFF"/>
            </w:tcBorders>
            <w:shd w:val="pct5" w:color="000000" w:fill="FFFFFF"/>
          </w:tcPr>
          <w:p w:rsidR="00E91C15" w:rsidRPr="00783DAC" w:rsidRDefault="00E91C15" w:rsidP="008948E0">
            <w:pPr>
              <w:rPr>
                <w:b/>
                <w:bCs/>
              </w:rPr>
            </w:pPr>
            <w:r w:rsidRPr="00783DAC">
              <w:rPr>
                <w:b/>
                <w:bCs/>
              </w:rPr>
              <w:t>Revision 0</w:t>
            </w:r>
          </w:p>
        </w:tc>
        <w:tc>
          <w:tcPr>
            <w:tcW w:w="746" w:type="pct"/>
            <w:tcBorders>
              <w:top w:val="single" w:sz="18" w:space="0" w:color="FFFFFF"/>
              <w:bottom w:val="single" w:sz="18" w:space="0" w:color="FFFFFF"/>
            </w:tcBorders>
            <w:shd w:val="pct5" w:color="000000" w:fill="FFFFFF"/>
          </w:tcPr>
          <w:p w:rsidR="00E91C15" w:rsidRPr="00783DAC" w:rsidRDefault="00D92BFE" w:rsidP="00D92BFE">
            <w:pPr>
              <w:rPr>
                <w:b/>
                <w:bCs/>
                <w:sz w:val="20"/>
                <w:szCs w:val="20"/>
                <w:highlight w:val="yellow"/>
              </w:rPr>
            </w:pPr>
            <w:r>
              <w:rPr>
                <w:b/>
                <w:bCs/>
                <w:sz w:val="20"/>
                <w:szCs w:val="20"/>
              </w:rPr>
              <w:t>3</w:t>
            </w:r>
            <w:r w:rsidR="00AC6C60">
              <w:rPr>
                <w:b/>
                <w:bCs/>
                <w:sz w:val="20"/>
                <w:szCs w:val="20"/>
              </w:rPr>
              <w:t>/</w:t>
            </w:r>
            <w:r>
              <w:rPr>
                <w:b/>
                <w:bCs/>
                <w:sz w:val="20"/>
                <w:szCs w:val="20"/>
              </w:rPr>
              <w:t>01</w:t>
            </w:r>
            <w:r w:rsidR="00AC6C60">
              <w:rPr>
                <w:b/>
                <w:bCs/>
                <w:sz w:val="20"/>
                <w:szCs w:val="20"/>
              </w:rPr>
              <w:t>/2013</w:t>
            </w:r>
          </w:p>
        </w:tc>
        <w:tc>
          <w:tcPr>
            <w:tcW w:w="1692" w:type="pct"/>
            <w:tcBorders>
              <w:top w:val="single" w:sz="18" w:space="0" w:color="FFFFFF"/>
              <w:bottom w:val="single" w:sz="18" w:space="0" w:color="FFFFFF"/>
            </w:tcBorders>
            <w:shd w:val="pct5" w:color="000000" w:fill="FFFFFF"/>
          </w:tcPr>
          <w:p w:rsidR="00E91C15" w:rsidRPr="00783DAC" w:rsidRDefault="000D0941" w:rsidP="008948E0">
            <w:pPr>
              <w:rPr>
                <w:b/>
                <w:bCs/>
                <w:sz w:val="20"/>
                <w:szCs w:val="20"/>
              </w:rPr>
            </w:pPr>
            <w:r>
              <w:rPr>
                <w:b/>
                <w:bCs/>
                <w:sz w:val="20"/>
                <w:szCs w:val="20"/>
              </w:rPr>
              <w:t>Home Energy Reports original work paper.</w:t>
            </w:r>
          </w:p>
        </w:tc>
        <w:tc>
          <w:tcPr>
            <w:tcW w:w="1692" w:type="pct"/>
            <w:tcBorders>
              <w:top w:val="single" w:sz="18" w:space="0" w:color="FFFFFF"/>
              <w:bottom w:val="single" w:sz="18" w:space="0" w:color="FFFFFF"/>
            </w:tcBorders>
            <w:shd w:val="pct5" w:color="000000" w:fill="FFFFFF"/>
          </w:tcPr>
          <w:p w:rsidR="00E91C15" w:rsidRPr="000D0941" w:rsidRDefault="000D0941" w:rsidP="00342330">
            <w:pPr>
              <w:rPr>
                <w:rFonts w:eastAsia="Calibri"/>
                <w:b/>
                <w:bCs/>
                <w:i/>
                <w:color w:val="FF0000"/>
                <w:sz w:val="20"/>
                <w:szCs w:val="20"/>
              </w:rPr>
            </w:pPr>
            <w:r w:rsidRPr="000D0941">
              <w:rPr>
                <w:b/>
                <w:bCs/>
                <w:sz w:val="20"/>
                <w:szCs w:val="20"/>
              </w:rPr>
              <w:t>Steve Blanc, Brian Smith</w:t>
            </w:r>
            <w:r w:rsidR="00C811C4">
              <w:rPr>
                <w:b/>
                <w:bCs/>
                <w:sz w:val="20"/>
                <w:szCs w:val="20"/>
              </w:rPr>
              <w:t>,</w:t>
            </w:r>
            <w:r w:rsidR="00E91C15" w:rsidRPr="000D0941">
              <w:rPr>
                <w:b/>
                <w:bCs/>
                <w:sz w:val="20"/>
                <w:szCs w:val="20"/>
              </w:rPr>
              <w:t xml:space="preserve"> </w:t>
            </w:r>
            <w:r w:rsidR="00C811C4" w:rsidRPr="000D0941">
              <w:rPr>
                <w:b/>
                <w:bCs/>
                <w:sz w:val="20"/>
                <w:szCs w:val="20"/>
              </w:rPr>
              <w:t xml:space="preserve">Jim Wyatt </w:t>
            </w:r>
            <w:r w:rsidR="00E91C15" w:rsidRPr="000D0941">
              <w:rPr>
                <w:b/>
                <w:bCs/>
                <w:sz w:val="20"/>
                <w:szCs w:val="20"/>
              </w:rPr>
              <w:t>(PG&amp;E)</w:t>
            </w:r>
            <w:r w:rsidR="00B008BF" w:rsidRPr="000D0941">
              <w:rPr>
                <w:b/>
                <w:bCs/>
                <w:sz w:val="20"/>
                <w:szCs w:val="20"/>
              </w:rPr>
              <w:t xml:space="preserve"> </w:t>
            </w:r>
          </w:p>
        </w:tc>
      </w:tr>
      <w:tr w:rsidR="00E91C15" w:rsidRPr="00DE21B1" w:rsidTr="003B48D2">
        <w:trPr>
          <w:trHeight w:val="464"/>
        </w:trPr>
        <w:tc>
          <w:tcPr>
            <w:tcW w:w="870" w:type="pct"/>
            <w:tcBorders>
              <w:top w:val="single" w:sz="18" w:space="0" w:color="FFFFFF"/>
              <w:bottom w:val="nil"/>
            </w:tcBorders>
            <w:shd w:val="pct20" w:color="000000" w:fill="FFFFFF"/>
          </w:tcPr>
          <w:p w:rsidR="00E91C15" w:rsidRPr="00DE21B1" w:rsidRDefault="00E91C15" w:rsidP="008948E0">
            <w:pPr>
              <w:rPr>
                <w:b/>
              </w:rPr>
            </w:pPr>
          </w:p>
        </w:tc>
        <w:tc>
          <w:tcPr>
            <w:tcW w:w="746" w:type="pct"/>
            <w:tcBorders>
              <w:top w:val="single" w:sz="18" w:space="0" w:color="FFFFFF"/>
              <w:bottom w:val="nil"/>
            </w:tcBorders>
            <w:shd w:val="pct20" w:color="000000" w:fill="FFFFFF"/>
          </w:tcPr>
          <w:p w:rsidR="00E91C15" w:rsidRPr="005B00A6" w:rsidRDefault="00E91C15" w:rsidP="005B00A6">
            <w:pPr>
              <w:autoSpaceDE w:val="0"/>
              <w:autoSpaceDN w:val="0"/>
              <w:adjustRightInd w:val="0"/>
              <w:rPr>
                <w:b/>
                <w:sz w:val="20"/>
                <w:szCs w:val="20"/>
                <w:highlight w:val="yellow"/>
              </w:rPr>
            </w:pPr>
          </w:p>
        </w:tc>
        <w:tc>
          <w:tcPr>
            <w:tcW w:w="1692" w:type="pct"/>
            <w:tcBorders>
              <w:top w:val="single" w:sz="18" w:space="0" w:color="FFFFFF"/>
              <w:bottom w:val="nil"/>
            </w:tcBorders>
            <w:shd w:val="pct20" w:color="000000" w:fill="FFFFFF"/>
          </w:tcPr>
          <w:p w:rsidR="00E91C15" w:rsidRPr="00DE21B1" w:rsidRDefault="00E91C15" w:rsidP="008948E0">
            <w:pPr>
              <w:rPr>
                <w:b/>
                <w:sz w:val="20"/>
                <w:szCs w:val="20"/>
              </w:rPr>
            </w:pPr>
          </w:p>
        </w:tc>
        <w:tc>
          <w:tcPr>
            <w:tcW w:w="1692" w:type="pct"/>
            <w:tcBorders>
              <w:top w:val="single" w:sz="18" w:space="0" w:color="FFFFFF"/>
              <w:bottom w:val="nil"/>
            </w:tcBorders>
            <w:shd w:val="pct20" w:color="000000" w:fill="FFFFFF"/>
          </w:tcPr>
          <w:p w:rsidR="00E91C15" w:rsidRPr="00DE21B1" w:rsidRDefault="00E91C15" w:rsidP="00746DDC">
            <w:pPr>
              <w:rPr>
                <w:b/>
                <w:bCs/>
                <w:sz w:val="20"/>
                <w:szCs w:val="20"/>
              </w:rPr>
            </w:pPr>
          </w:p>
        </w:tc>
      </w:tr>
    </w:tbl>
    <w:p w:rsidR="00E71EF1" w:rsidRDefault="00E71EF1" w:rsidP="00F55847">
      <w:pPr>
        <w:pStyle w:val="Heading1"/>
      </w:pPr>
      <w:bookmarkStart w:id="11" w:name="_Toc186621650"/>
      <w:bookmarkStart w:id="12" w:name="_Toc304800197"/>
      <w:bookmarkStart w:id="13" w:name="_Toc324318334"/>
      <w:r w:rsidRPr="006832A4">
        <w:br w:type="page"/>
      </w:r>
      <w:bookmarkStart w:id="14" w:name="_Toc304800198"/>
      <w:bookmarkStart w:id="15" w:name="_Toc324340478"/>
      <w:bookmarkStart w:id="16" w:name="_Toc354582127"/>
      <w:r w:rsidR="001248A3">
        <w:t>Table</w:t>
      </w:r>
      <w:r w:rsidR="006559C8">
        <w:t xml:space="preserve"> of Contents</w:t>
      </w:r>
      <w:bookmarkEnd w:id="11"/>
      <w:bookmarkEnd w:id="12"/>
      <w:bookmarkEnd w:id="13"/>
      <w:bookmarkEnd w:id="14"/>
      <w:bookmarkEnd w:id="15"/>
      <w:bookmarkEnd w:id="16"/>
    </w:p>
    <w:p w:rsidR="009B00D1"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54582124" w:history="1">
        <w:r w:rsidR="009B00D1" w:rsidRPr="001B6A84">
          <w:rPr>
            <w:rStyle w:val="Hyperlink"/>
            <w:noProof/>
          </w:rPr>
          <w:t>At-a-Glance Summary</w:t>
        </w:r>
        <w:r w:rsidR="009B00D1">
          <w:rPr>
            <w:noProof/>
            <w:webHidden/>
          </w:rPr>
          <w:tab/>
        </w:r>
        <w:r w:rsidR="009B00D1">
          <w:rPr>
            <w:noProof/>
            <w:webHidden/>
          </w:rPr>
          <w:fldChar w:fldCharType="begin"/>
        </w:r>
        <w:r w:rsidR="009B00D1">
          <w:rPr>
            <w:noProof/>
            <w:webHidden/>
          </w:rPr>
          <w:instrText xml:space="preserve"> PAGEREF _Toc354582124 \h </w:instrText>
        </w:r>
        <w:r w:rsidR="009B00D1">
          <w:rPr>
            <w:noProof/>
            <w:webHidden/>
          </w:rPr>
        </w:r>
        <w:r w:rsidR="009B00D1">
          <w:rPr>
            <w:noProof/>
            <w:webHidden/>
          </w:rPr>
          <w:fldChar w:fldCharType="separate"/>
        </w:r>
        <w:r w:rsidR="009B00D1">
          <w:rPr>
            <w:noProof/>
            <w:webHidden/>
          </w:rPr>
          <w:t>ii</w:t>
        </w:r>
        <w:r w:rsidR="009B00D1">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25" w:history="1">
        <w:r w:rsidRPr="001B6A84">
          <w:rPr>
            <w:rStyle w:val="Hyperlink"/>
            <w:noProof/>
          </w:rPr>
          <w:t>Work Paper Approvals</w:t>
        </w:r>
        <w:r>
          <w:rPr>
            <w:noProof/>
            <w:webHidden/>
          </w:rPr>
          <w:tab/>
        </w:r>
        <w:r>
          <w:rPr>
            <w:noProof/>
            <w:webHidden/>
          </w:rPr>
          <w:fldChar w:fldCharType="begin"/>
        </w:r>
        <w:r>
          <w:rPr>
            <w:noProof/>
            <w:webHidden/>
          </w:rPr>
          <w:instrText xml:space="preserve"> PAGEREF _Toc354582125 \h </w:instrText>
        </w:r>
        <w:r>
          <w:rPr>
            <w:noProof/>
            <w:webHidden/>
          </w:rPr>
        </w:r>
        <w:r>
          <w:rPr>
            <w:noProof/>
            <w:webHidden/>
          </w:rPr>
          <w:fldChar w:fldCharType="separate"/>
        </w:r>
        <w:r>
          <w:rPr>
            <w:noProof/>
            <w:webHidden/>
          </w:rPr>
          <w:t>iv</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26" w:history="1">
        <w:r w:rsidRPr="001B6A84">
          <w:rPr>
            <w:rStyle w:val="Hyperlink"/>
            <w:noProof/>
          </w:rPr>
          <w:t>Document Revision History</w:t>
        </w:r>
        <w:r>
          <w:rPr>
            <w:noProof/>
            <w:webHidden/>
          </w:rPr>
          <w:tab/>
        </w:r>
        <w:r>
          <w:rPr>
            <w:noProof/>
            <w:webHidden/>
          </w:rPr>
          <w:fldChar w:fldCharType="begin"/>
        </w:r>
        <w:r>
          <w:rPr>
            <w:noProof/>
            <w:webHidden/>
          </w:rPr>
          <w:instrText xml:space="preserve"> PAGEREF _Toc354582126 \h </w:instrText>
        </w:r>
        <w:r>
          <w:rPr>
            <w:noProof/>
            <w:webHidden/>
          </w:rPr>
        </w:r>
        <w:r>
          <w:rPr>
            <w:noProof/>
            <w:webHidden/>
          </w:rPr>
          <w:fldChar w:fldCharType="separate"/>
        </w:r>
        <w:r>
          <w:rPr>
            <w:noProof/>
            <w:webHidden/>
          </w:rPr>
          <w:t>v</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27" w:history="1">
        <w:r w:rsidRPr="001B6A84">
          <w:rPr>
            <w:rStyle w:val="Hyperlink"/>
            <w:noProof/>
          </w:rPr>
          <w:t>Table of Contents</w:t>
        </w:r>
        <w:r>
          <w:rPr>
            <w:noProof/>
            <w:webHidden/>
          </w:rPr>
          <w:tab/>
        </w:r>
        <w:r>
          <w:rPr>
            <w:noProof/>
            <w:webHidden/>
          </w:rPr>
          <w:fldChar w:fldCharType="begin"/>
        </w:r>
        <w:r>
          <w:rPr>
            <w:noProof/>
            <w:webHidden/>
          </w:rPr>
          <w:instrText xml:space="preserve"> PAGEREF _Toc354582127 \h </w:instrText>
        </w:r>
        <w:r>
          <w:rPr>
            <w:noProof/>
            <w:webHidden/>
          </w:rPr>
        </w:r>
        <w:r>
          <w:rPr>
            <w:noProof/>
            <w:webHidden/>
          </w:rPr>
          <w:fldChar w:fldCharType="separate"/>
        </w:r>
        <w:r>
          <w:rPr>
            <w:noProof/>
            <w:webHidden/>
          </w:rPr>
          <w:t>vi</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28" w:history="1">
        <w:r w:rsidRPr="001B6A84">
          <w:rPr>
            <w:rStyle w:val="Hyperlink"/>
            <w:noProof/>
          </w:rPr>
          <w:t>Section 1. General Measure &amp; Baseline Data</w:t>
        </w:r>
        <w:r>
          <w:rPr>
            <w:noProof/>
            <w:webHidden/>
          </w:rPr>
          <w:tab/>
        </w:r>
        <w:r>
          <w:rPr>
            <w:noProof/>
            <w:webHidden/>
          </w:rPr>
          <w:fldChar w:fldCharType="begin"/>
        </w:r>
        <w:r>
          <w:rPr>
            <w:noProof/>
            <w:webHidden/>
          </w:rPr>
          <w:instrText xml:space="preserve"> PAGEREF _Toc354582128 \h </w:instrText>
        </w:r>
        <w:r>
          <w:rPr>
            <w:noProof/>
            <w:webHidden/>
          </w:rPr>
        </w:r>
        <w:r>
          <w:rPr>
            <w:noProof/>
            <w:webHidden/>
          </w:rPr>
          <w:fldChar w:fldCharType="separate"/>
        </w:r>
        <w:r>
          <w:rPr>
            <w:noProof/>
            <w:webHidden/>
          </w:rPr>
          <w:t>1</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29" w:history="1">
        <w:r w:rsidRPr="001B6A84">
          <w:rPr>
            <w:rStyle w:val="Hyperlink"/>
            <w:noProof/>
          </w:rPr>
          <w:t>1.1 Product Measure Description &amp; Background</w:t>
        </w:r>
        <w:r>
          <w:rPr>
            <w:noProof/>
            <w:webHidden/>
          </w:rPr>
          <w:tab/>
        </w:r>
        <w:r>
          <w:rPr>
            <w:noProof/>
            <w:webHidden/>
          </w:rPr>
          <w:fldChar w:fldCharType="begin"/>
        </w:r>
        <w:r>
          <w:rPr>
            <w:noProof/>
            <w:webHidden/>
          </w:rPr>
          <w:instrText xml:space="preserve"> PAGEREF _Toc354582129 \h </w:instrText>
        </w:r>
        <w:r>
          <w:rPr>
            <w:noProof/>
            <w:webHidden/>
          </w:rPr>
        </w:r>
        <w:r>
          <w:rPr>
            <w:noProof/>
            <w:webHidden/>
          </w:rPr>
          <w:fldChar w:fldCharType="separate"/>
        </w:r>
        <w:r>
          <w:rPr>
            <w:noProof/>
            <w:webHidden/>
          </w:rPr>
          <w:t>1</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0" w:history="1">
        <w:r w:rsidRPr="001B6A84">
          <w:rPr>
            <w:rStyle w:val="Hyperlink"/>
            <w:noProof/>
          </w:rPr>
          <w:t>1.2 Product Technical Description</w:t>
        </w:r>
        <w:r>
          <w:rPr>
            <w:noProof/>
            <w:webHidden/>
          </w:rPr>
          <w:tab/>
        </w:r>
        <w:r>
          <w:rPr>
            <w:noProof/>
            <w:webHidden/>
          </w:rPr>
          <w:fldChar w:fldCharType="begin"/>
        </w:r>
        <w:r>
          <w:rPr>
            <w:noProof/>
            <w:webHidden/>
          </w:rPr>
          <w:instrText xml:space="preserve"> PAGEREF _Toc354582130 \h </w:instrText>
        </w:r>
        <w:r>
          <w:rPr>
            <w:noProof/>
            <w:webHidden/>
          </w:rPr>
        </w:r>
        <w:r>
          <w:rPr>
            <w:noProof/>
            <w:webHidden/>
          </w:rPr>
          <w:fldChar w:fldCharType="separate"/>
        </w:r>
        <w:r>
          <w:rPr>
            <w:noProof/>
            <w:webHidden/>
          </w:rPr>
          <w:t>1</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1" w:history="1">
        <w:r w:rsidRPr="001B6A84">
          <w:rPr>
            <w:rStyle w:val="Hyperlink"/>
            <w:noProof/>
          </w:rPr>
          <w:t>1.3 Measure Application Type</w:t>
        </w:r>
        <w:r>
          <w:rPr>
            <w:noProof/>
            <w:webHidden/>
          </w:rPr>
          <w:tab/>
        </w:r>
        <w:r>
          <w:rPr>
            <w:noProof/>
            <w:webHidden/>
          </w:rPr>
          <w:fldChar w:fldCharType="begin"/>
        </w:r>
        <w:r>
          <w:rPr>
            <w:noProof/>
            <w:webHidden/>
          </w:rPr>
          <w:instrText xml:space="preserve"> PAGEREF _Toc354582131 \h </w:instrText>
        </w:r>
        <w:r>
          <w:rPr>
            <w:noProof/>
            <w:webHidden/>
          </w:rPr>
        </w:r>
        <w:r>
          <w:rPr>
            <w:noProof/>
            <w:webHidden/>
          </w:rPr>
          <w:fldChar w:fldCharType="separate"/>
        </w:r>
        <w:r>
          <w:rPr>
            <w:noProof/>
            <w:webHidden/>
          </w:rPr>
          <w:t>2</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2" w:history="1">
        <w:r w:rsidRPr="001B6A84">
          <w:rPr>
            <w:rStyle w:val="Hyperlink"/>
            <w:noProof/>
          </w:rPr>
          <w:t>1.4 Product Base Case and Measure Case Data</w:t>
        </w:r>
        <w:r>
          <w:rPr>
            <w:noProof/>
            <w:webHidden/>
          </w:rPr>
          <w:tab/>
        </w:r>
        <w:r>
          <w:rPr>
            <w:noProof/>
            <w:webHidden/>
          </w:rPr>
          <w:fldChar w:fldCharType="begin"/>
        </w:r>
        <w:r>
          <w:rPr>
            <w:noProof/>
            <w:webHidden/>
          </w:rPr>
          <w:instrText xml:space="preserve"> PAGEREF _Toc354582132 \h </w:instrText>
        </w:r>
        <w:r>
          <w:rPr>
            <w:noProof/>
            <w:webHidden/>
          </w:rPr>
        </w:r>
        <w:r>
          <w:rPr>
            <w:noProof/>
            <w:webHidden/>
          </w:rPr>
          <w:fldChar w:fldCharType="separate"/>
        </w:r>
        <w:r>
          <w:rPr>
            <w:noProof/>
            <w:webHidden/>
          </w:rPr>
          <w:t>3</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3" w:history="1">
        <w:r w:rsidRPr="001B6A84">
          <w:rPr>
            <w:rStyle w:val="Hyperlink"/>
            <w:noProof/>
          </w:rPr>
          <w:t>1.4.1 DEER Base Case and Measure Case Information</w:t>
        </w:r>
        <w:r>
          <w:rPr>
            <w:noProof/>
            <w:webHidden/>
          </w:rPr>
          <w:tab/>
        </w:r>
        <w:r>
          <w:rPr>
            <w:noProof/>
            <w:webHidden/>
          </w:rPr>
          <w:fldChar w:fldCharType="begin"/>
        </w:r>
        <w:r>
          <w:rPr>
            <w:noProof/>
            <w:webHidden/>
          </w:rPr>
          <w:instrText xml:space="preserve"> PAGEREF _Toc354582133 \h </w:instrText>
        </w:r>
        <w:r>
          <w:rPr>
            <w:noProof/>
            <w:webHidden/>
          </w:rPr>
        </w:r>
        <w:r>
          <w:rPr>
            <w:noProof/>
            <w:webHidden/>
          </w:rPr>
          <w:fldChar w:fldCharType="separate"/>
        </w:r>
        <w:r>
          <w:rPr>
            <w:noProof/>
            <w:webHidden/>
          </w:rPr>
          <w:t>3</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4" w:history="1">
        <w:r w:rsidRPr="001B6A84">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_Toc354582134 \h </w:instrText>
        </w:r>
        <w:r>
          <w:rPr>
            <w:noProof/>
            <w:webHidden/>
          </w:rPr>
        </w:r>
        <w:r>
          <w:rPr>
            <w:noProof/>
            <w:webHidden/>
          </w:rPr>
          <w:fldChar w:fldCharType="separate"/>
        </w:r>
        <w:r>
          <w:rPr>
            <w:noProof/>
            <w:webHidden/>
          </w:rPr>
          <w:t>3</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5" w:history="1">
        <w:r w:rsidRPr="001B6A84">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_Toc354582135 \h </w:instrText>
        </w:r>
        <w:r>
          <w:rPr>
            <w:noProof/>
            <w:webHidden/>
          </w:rPr>
        </w:r>
        <w:r>
          <w:rPr>
            <w:noProof/>
            <w:webHidden/>
          </w:rPr>
          <w:fldChar w:fldCharType="separate"/>
        </w:r>
        <w:r>
          <w:rPr>
            <w:noProof/>
            <w:webHidden/>
          </w:rPr>
          <w:t>4</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6" w:history="1">
        <w:r w:rsidRPr="001B6A84">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_Toc354582136 \h </w:instrText>
        </w:r>
        <w:r>
          <w:rPr>
            <w:noProof/>
            <w:webHidden/>
          </w:rPr>
        </w:r>
        <w:r>
          <w:rPr>
            <w:noProof/>
            <w:webHidden/>
          </w:rPr>
          <w:fldChar w:fldCharType="separate"/>
        </w:r>
        <w:r>
          <w:rPr>
            <w:noProof/>
            <w:webHidden/>
          </w:rPr>
          <w:t>6</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37" w:history="1">
        <w:r w:rsidRPr="001B6A84">
          <w:rPr>
            <w:rStyle w:val="Hyperlink"/>
            <w:noProof/>
          </w:rPr>
          <w:t>Section 2. Calculation Methods</w:t>
        </w:r>
        <w:r>
          <w:rPr>
            <w:noProof/>
            <w:webHidden/>
          </w:rPr>
          <w:tab/>
        </w:r>
        <w:r>
          <w:rPr>
            <w:noProof/>
            <w:webHidden/>
          </w:rPr>
          <w:fldChar w:fldCharType="begin"/>
        </w:r>
        <w:r>
          <w:rPr>
            <w:noProof/>
            <w:webHidden/>
          </w:rPr>
          <w:instrText xml:space="preserve"> PAGEREF _Toc354582137 \h </w:instrText>
        </w:r>
        <w:r>
          <w:rPr>
            <w:noProof/>
            <w:webHidden/>
          </w:rPr>
        </w:r>
        <w:r>
          <w:rPr>
            <w:noProof/>
            <w:webHidden/>
          </w:rPr>
          <w:fldChar w:fldCharType="separate"/>
        </w:r>
        <w:r>
          <w:rPr>
            <w:noProof/>
            <w:webHidden/>
          </w:rPr>
          <w:t>8</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8" w:history="1">
        <w:r w:rsidRPr="001B6A84">
          <w:rPr>
            <w:rStyle w:val="Hyperlink"/>
            <w:noProof/>
          </w:rPr>
          <w:t>2.1 Electric Energy Savings Estimation Methodologies</w:t>
        </w:r>
        <w:r>
          <w:rPr>
            <w:noProof/>
            <w:webHidden/>
          </w:rPr>
          <w:tab/>
        </w:r>
        <w:r>
          <w:rPr>
            <w:noProof/>
            <w:webHidden/>
          </w:rPr>
          <w:fldChar w:fldCharType="begin"/>
        </w:r>
        <w:r>
          <w:rPr>
            <w:noProof/>
            <w:webHidden/>
          </w:rPr>
          <w:instrText xml:space="preserve"> PAGEREF _Toc354582138 \h </w:instrText>
        </w:r>
        <w:r>
          <w:rPr>
            <w:noProof/>
            <w:webHidden/>
          </w:rPr>
        </w:r>
        <w:r>
          <w:rPr>
            <w:noProof/>
            <w:webHidden/>
          </w:rPr>
          <w:fldChar w:fldCharType="separate"/>
        </w:r>
        <w:r>
          <w:rPr>
            <w:noProof/>
            <w:webHidden/>
          </w:rPr>
          <w:t>8</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39" w:history="1">
        <w:r w:rsidRPr="001B6A84">
          <w:rPr>
            <w:rStyle w:val="Hyperlink"/>
            <w:noProof/>
          </w:rPr>
          <w:t>2.2. Demand Reduction Estimation Methodologies</w:t>
        </w:r>
        <w:r>
          <w:rPr>
            <w:noProof/>
            <w:webHidden/>
          </w:rPr>
          <w:tab/>
        </w:r>
        <w:r>
          <w:rPr>
            <w:noProof/>
            <w:webHidden/>
          </w:rPr>
          <w:fldChar w:fldCharType="begin"/>
        </w:r>
        <w:r>
          <w:rPr>
            <w:noProof/>
            <w:webHidden/>
          </w:rPr>
          <w:instrText xml:space="preserve"> PAGEREF _Toc354582139 \h </w:instrText>
        </w:r>
        <w:r>
          <w:rPr>
            <w:noProof/>
            <w:webHidden/>
          </w:rPr>
        </w:r>
        <w:r>
          <w:rPr>
            <w:noProof/>
            <w:webHidden/>
          </w:rPr>
          <w:fldChar w:fldCharType="separate"/>
        </w:r>
        <w:r>
          <w:rPr>
            <w:noProof/>
            <w:webHidden/>
          </w:rPr>
          <w:t>9</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40" w:history="1">
        <w:r w:rsidRPr="001B6A84">
          <w:rPr>
            <w:rStyle w:val="Hyperlink"/>
            <w:noProof/>
          </w:rPr>
          <w:t>2.3. Gas Energy Savings Estimation Methodologies</w:t>
        </w:r>
        <w:r>
          <w:rPr>
            <w:noProof/>
            <w:webHidden/>
          </w:rPr>
          <w:tab/>
        </w:r>
        <w:r>
          <w:rPr>
            <w:noProof/>
            <w:webHidden/>
          </w:rPr>
          <w:fldChar w:fldCharType="begin"/>
        </w:r>
        <w:r>
          <w:rPr>
            <w:noProof/>
            <w:webHidden/>
          </w:rPr>
          <w:instrText xml:space="preserve"> PAGEREF _Toc354582140 \h </w:instrText>
        </w:r>
        <w:r>
          <w:rPr>
            <w:noProof/>
            <w:webHidden/>
          </w:rPr>
        </w:r>
        <w:r>
          <w:rPr>
            <w:noProof/>
            <w:webHidden/>
          </w:rPr>
          <w:fldChar w:fldCharType="separate"/>
        </w:r>
        <w:r>
          <w:rPr>
            <w:noProof/>
            <w:webHidden/>
          </w:rPr>
          <w:t>9</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41" w:history="1">
        <w:r w:rsidRPr="001B6A84">
          <w:rPr>
            <w:rStyle w:val="Hyperlink"/>
            <w:noProof/>
          </w:rPr>
          <w:t>3.1 Base Case Load Shapes</w:t>
        </w:r>
        <w:r>
          <w:rPr>
            <w:noProof/>
            <w:webHidden/>
          </w:rPr>
          <w:tab/>
        </w:r>
        <w:r>
          <w:rPr>
            <w:noProof/>
            <w:webHidden/>
          </w:rPr>
          <w:fldChar w:fldCharType="begin"/>
        </w:r>
        <w:r>
          <w:rPr>
            <w:noProof/>
            <w:webHidden/>
          </w:rPr>
          <w:instrText xml:space="preserve"> PAGEREF _Toc354582141 \h </w:instrText>
        </w:r>
        <w:r>
          <w:rPr>
            <w:noProof/>
            <w:webHidden/>
          </w:rPr>
        </w:r>
        <w:r>
          <w:rPr>
            <w:noProof/>
            <w:webHidden/>
          </w:rPr>
          <w:fldChar w:fldCharType="separate"/>
        </w:r>
        <w:r>
          <w:rPr>
            <w:noProof/>
            <w:webHidden/>
          </w:rPr>
          <w:t>10</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42" w:history="1">
        <w:r w:rsidRPr="001B6A84">
          <w:rPr>
            <w:rStyle w:val="Hyperlink"/>
            <w:noProof/>
          </w:rPr>
          <w:t>3.2 Measure Load Shapes</w:t>
        </w:r>
        <w:r>
          <w:rPr>
            <w:noProof/>
            <w:webHidden/>
          </w:rPr>
          <w:tab/>
        </w:r>
        <w:r>
          <w:rPr>
            <w:noProof/>
            <w:webHidden/>
          </w:rPr>
          <w:fldChar w:fldCharType="begin"/>
        </w:r>
        <w:r>
          <w:rPr>
            <w:noProof/>
            <w:webHidden/>
          </w:rPr>
          <w:instrText xml:space="preserve"> PAGEREF _Toc354582142 \h </w:instrText>
        </w:r>
        <w:r>
          <w:rPr>
            <w:noProof/>
            <w:webHidden/>
          </w:rPr>
        </w:r>
        <w:r>
          <w:rPr>
            <w:noProof/>
            <w:webHidden/>
          </w:rPr>
          <w:fldChar w:fldCharType="separate"/>
        </w:r>
        <w:r>
          <w:rPr>
            <w:noProof/>
            <w:webHidden/>
          </w:rPr>
          <w:t>10</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43" w:history="1">
        <w:r w:rsidRPr="001B6A84">
          <w:rPr>
            <w:rStyle w:val="Hyperlink"/>
            <w:noProof/>
          </w:rPr>
          <w:t>Section 4. Base Case &amp; Measure Costs</w:t>
        </w:r>
        <w:r>
          <w:rPr>
            <w:noProof/>
            <w:webHidden/>
          </w:rPr>
          <w:tab/>
        </w:r>
        <w:r>
          <w:rPr>
            <w:noProof/>
            <w:webHidden/>
          </w:rPr>
          <w:fldChar w:fldCharType="begin"/>
        </w:r>
        <w:r>
          <w:rPr>
            <w:noProof/>
            <w:webHidden/>
          </w:rPr>
          <w:instrText xml:space="preserve"> PAGEREF _Toc354582143 \h </w:instrText>
        </w:r>
        <w:r>
          <w:rPr>
            <w:noProof/>
            <w:webHidden/>
          </w:rPr>
        </w:r>
        <w:r>
          <w:rPr>
            <w:noProof/>
            <w:webHidden/>
          </w:rPr>
          <w:fldChar w:fldCharType="separate"/>
        </w:r>
        <w:r>
          <w:rPr>
            <w:noProof/>
            <w:webHidden/>
          </w:rPr>
          <w:t>11</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44" w:history="1">
        <w:r w:rsidRPr="001B6A84">
          <w:rPr>
            <w:rStyle w:val="Hyperlink"/>
            <w:noProof/>
          </w:rPr>
          <w:t>4.1 Base Case(s) Costs</w:t>
        </w:r>
        <w:r>
          <w:rPr>
            <w:noProof/>
            <w:webHidden/>
          </w:rPr>
          <w:tab/>
        </w:r>
        <w:r>
          <w:rPr>
            <w:noProof/>
            <w:webHidden/>
          </w:rPr>
          <w:fldChar w:fldCharType="begin"/>
        </w:r>
        <w:r>
          <w:rPr>
            <w:noProof/>
            <w:webHidden/>
          </w:rPr>
          <w:instrText xml:space="preserve"> PAGEREF _Toc354582144 \h </w:instrText>
        </w:r>
        <w:r>
          <w:rPr>
            <w:noProof/>
            <w:webHidden/>
          </w:rPr>
        </w:r>
        <w:r>
          <w:rPr>
            <w:noProof/>
            <w:webHidden/>
          </w:rPr>
          <w:fldChar w:fldCharType="separate"/>
        </w:r>
        <w:r>
          <w:rPr>
            <w:noProof/>
            <w:webHidden/>
          </w:rPr>
          <w:t>11</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45" w:history="1">
        <w:r w:rsidRPr="001B6A84">
          <w:rPr>
            <w:rStyle w:val="Hyperlink"/>
            <w:noProof/>
          </w:rPr>
          <w:t>4.2 Measure Case Costs</w:t>
        </w:r>
        <w:r>
          <w:rPr>
            <w:noProof/>
            <w:webHidden/>
          </w:rPr>
          <w:tab/>
        </w:r>
        <w:r>
          <w:rPr>
            <w:noProof/>
            <w:webHidden/>
          </w:rPr>
          <w:fldChar w:fldCharType="begin"/>
        </w:r>
        <w:r>
          <w:rPr>
            <w:noProof/>
            <w:webHidden/>
          </w:rPr>
          <w:instrText xml:space="preserve"> PAGEREF _Toc354582145 \h </w:instrText>
        </w:r>
        <w:r>
          <w:rPr>
            <w:noProof/>
            <w:webHidden/>
          </w:rPr>
        </w:r>
        <w:r>
          <w:rPr>
            <w:noProof/>
            <w:webHidden/>
          </w:rPr>
          <w:fldChar w:fldCharType="separate"/>
        </w:r>
        <w:r>
          <w:rPr>
            <w:noProof/>
            <w:webHidden/>
          </w:rPr>
          <w:t>11</w:t>
        </w:r>
        <w:r>
          <w:rPr>
            <w:noProof/>
            <w:webHidden/>
          </w:rPr>
          <w:fldChar w:fldCharType="end"/>
        </w:r>
      </w:hyperlink>
    </w:p>
    <w:p w:rsidR="009B00D1" w:rsidRDefault="009B00D1">
      <w:pPr>
        <w:pStyle w:val="TOC2"/>
        <w:tabs>
          <w:tab w:val="right" w:leader="dot" w:pos="9350"/>
        </w:tabs>
        <w:rPr>
          <w:rFonts w:asciiTheme="minorHAnsi" w:eastAsiaTheme="minorEastAsia" w:hAnsiTheme="minorHAnsi" w:cstheme="minorBidi"/>
          <w:noProof/>
          <w:szCs w:val="22"/>
        </w:rPr>
      </w:pPr>
      <w:hyperlink w:anchor="_Toc354582146" w:history="1">
        <w:r w:rsidRPr="001B6A84">
          <w:rPr>
            <w:rStyle w:val="Hyperlink"/>
            <w:noProof/>
          </w:rPr>
          <w:t>4.3 Incremental &amp; Full Measure Costs</w:t>
        </w:r>
        <w:r>
          <w:rPr>
            <w:noProof/>
            <w:webHidden/>
          </w:rPr>
          <w:tab/>
        </w:r>
        <w:r>
          <w:rPr>
            <w:noProof/>
            <w:webHidden/>
          </w:rPr>
          <w:fldChar w:fldCharType="begin"/>
        </w:r>
        <w:r>
          <w:rPr>
            <w:noProof/>
            <w:webHidden/>
          </w:rPr>
          <w:instrText xml:space="preserve"> PAGEREF _Toc354582146 \h </w:instrText>
        </w:r>
        <w:r>
          <w:rPr>
            <w:noProof/>
            <w:webHidden/>
          </w:rPr>
        </w:r>
        <w:r>
          <w:rPr>
            <w:noProof/>
            <w:webHidden/>
          </w:rPr>
          <w:fldChar w:fldCharType="separate"/>
        </w:r>
        <w:r>
          <w:rPr>
            <w:noProof/>
            <w:webHidden/>
          </w:rPr>
          <w:t>11</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47" w:history="1">
        <w:r w:rsidRPr="001B6A84">
          <w:rPr>
            <w:rStyle w:val="Hyperlink"/>
            <w:i/>
            <w:noProof/>
          </w:rPr>
          <w:t>4.3.1 Gross Measure Cost</w:t>
        </w:r>
        <w:r>
          <w:rPr>
            <w:noProof/>
            <w:webHidden/>
          </w:rPr>
          <w:tab/>
        </w:r>
        <w:r>
          <w:rPr>
            <w:noProof/>
            <w:webHidden/>
          </w:rPr>
          <w:fldChar w:fldCharType="begin"/>
        </w:r>
        <w:r>
          <w:rPr>
            <w:noProof/>
            <w:webHidden/>
          </w:rPr>
          <w:instrText xml:space="preserve"> PAGEREF _Toc354582147 \h </w:instrText>
        </w:r>
        <w:r>
          <w:rPr>
            <w:noProof/>
            <w:webHidden/>
          </w:rPr>
        </w:r>
        <w:r>
          <w:rPr>
            <w:noProof/>
            <w:webHidden/>
          </w:rPr>
          <w:fldChar w:fldCharType="separate"/>
        </w:r>
        <w:r>
          <w:rPr>
            <w:noProof/>
            <w:webHidden/>
          </w:rPr>
          <w:t>12</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48" w:history="1">
        <w:r w:rsidRPr="001B6A84">
          <w:rPr>
            <w:rStyle w:val="Hyperlink"/>
            <w:i/>
            <w:noProof/>
          </w:rPr>
          <w:t>4.3.2 Incremental Measure Costs</w:t>
        </w:r>
        <w:r>
          <w:rPr>
            <w:noProof/>
            <w:webHidden/>
          </w:rPr>
          <w:tab/>
        </w:r>
        <w:r>
          <w:rPr>
            <w:noProof/>
            <w:webHidden/>
          </w:rPr>
          <w:fldChar w:fldCharType="begin"/>
        </w:r>
        <w:r>
          <w:rPr>
            <w:noProof/>
            <w:webHidden/>
          </w:rPr>
          <w:instrText xml:space="preserve"> PAGEREF _Toc354582148 \h </w:instrText>
        </w:r>
        <w:r>
          <w:rPr>
            <w:noProof/>
            <w:webHidden/>
          </w:rPr>
        </w:r>
        <w:r>
          <w:rPr>
            <w:noProof/>
            <w:webHidden/>
          </w:rPr>
          <w:fldChar w:fldCharType="separate"/>
        </w:r>
        <w:r>
          <w:rPr>
            <w:noProof/>
            <w:webHidden/>
          </w:rPr>
          <w:t>12</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49" w:history="1">
        <w:r w:rsidRPr="001B6A84">
          <w:rPr>
            <w:rStyle w:val="Hyperlink"/>
            <w:noProof/>
          </w:rPr>
          <w:t>Input Appendices</w:t>
        </w:r>
        <w:r>
          <w:rPr>
            <w:noProof/>
            <w:webHidden/>
          </w:rPr>
          <w:tab/>
        </w:r>
        <w:r>
          <w:rPr>
            <w:noProof/>
            <w:webHidden/>
          </w:rPr>
          <w:fldChar w:fldCharType="begin"/>
        </w:r>
        <w:r>
          <w:rPr>
            <w:noProof/>
            <w:webHidden/>
          </w:rPr>
          <w:instrText xml:space="preserve"> PAGEREF _Toc354582149 \h </w:instrText>
        </w:r>
        <w:r>
          <w:rPr>
            <w:noProof/>
            <w:webHidden/>
          </w:rPr>
        </w:r>
        <w:r>
          <w:rPr>
            <w:noProof/>
            <w:webHidden/>
          </w:rPr>
          <w:fldChar w:fldCharType="separate"/>
        </w:r>
        <w:r>
          <w:rPr>
            <w:noProof/>
            <w:webHidden/>
          </w:rPr>
          <w:t>13</w:t>
        </w:r>
        <w:r>
          <w:rPr>
            <w:noProof/>
            <w:webHidden/>
          </w:rPr>
          <w:fldChar w:fldCharType="end"/>
        </w:r>
      </w:hyperlink>
    </w:p>
    <w:p w:rsidR="009B00D1" w:rsidRDefault="009B00D1">
      <w:pPr>
        <w:pStyle w:val="TOC1"/>
        <w:tabs>
          <w:tab w:val="right" w:leader="dot" w:pos="9350"/>
        </w:tabs>
        <w:rPr>
          <w:rFonts w:asciiTheme="minorHAnsi" w:eastAsiaTheme="minorEastAsia" w:hAnsiTheme="minorHAnsi" w:cstheme="minorBidi"/>
          <w:noProof/>
          <w:szCs w:val="22"/>
        </w:rPr>
      </w:pPr>
      <w:hyperlink w:anchor="_Toc354582150" w:history="1">
        <w:r w:rsidRPr="001B6A84">
          <w:rPr>
            <w:rStyle w:val="Hyperlink"/>
            <w:noProof/>
          </w:rPr>
          <w:t>References</w:t>
        </w:r>
        <w:r>
          <w:rPr>
            <w:noProof/>
            <w:webHidden/>
          </w:rPr>
          <w:tab/>
        </w:r>
        <w:r>
          <w:rPr>
            <w:noProof/>
            <w:webHidden/>
          </w:rPr>
          <w:fldChar w:fldCharType="begin"/>
        </w:r>
        <w:r>
          <w:rPr>
            <w:noProof/>
            <w:webHidden/>
          </w:rPr>
          <w:instrText xml:space="preserve"> PAGEREF _Toc354582150 \h </w:instrText>
        </w:r>
        <w:r>
          <w:rPr>
            <w:noProof/>
            <w:webHidden/>
          </w:rPr>
        </w:r>
        <w:r>
          <w:rPr>
            <w:noProof/>
            <w:webHidden/>
          </w:rPr>
          <w:fldChar w:fldCharType="separate"/>
        </w:r>
        <w:r>
          <w:rPr>
            <w:noProof/>
            <w:webHidden/>
          </w:rPr>
          <w:t>14</w:t>
        </w:r>
        <w:r>
          <w:rPr>
            <w:noProof/>
            <w:webHidden/>
          </w:rPr>
          <w:fldChar w:fldCharType="end"/>
        </w:r>
      </w:hyperlink>
    </w:p>
    <w:p w:rsidR="00ED21EE" w:rsidRPr="00D92BFE" w:rsidRDefault="001E4C31" w:rsidP="00D92BFE">
      <w:pPr>
        <w:rPr>
          <w:b/>
          <w:sz w:val="32"/>
          <w:szCs w:val="32"/>
        </w:rPr>
      </w:pPr>
      <w:r>
        <w:rPr>
          <w:b/>
          <w:bCs/>
          <w:noProof/>
        </w:rPr>
        <w:fldChar w:fldCharType="end"/>
      </w:r>
      <w:bookmarkStart w:id="17" w:name="_Toc172205729"/>
      <w:bookmarkStart w:id="18" w:name="_Toc304800199"/>
      <w:bookmarkStart w:id="19" w:name="_Toc324318335"/>
      <w:bookmarkStart w:id="20" w:name="_Toc324340479"/>
      <w:r w:rsidR="00ED21EE" w:rsidRPr="00D92BFE">
        <w:rPr>
          <w:b/>
          <w:sz w:val="32"/>
          <w:szCs w:val="32"/>
        </w:rPr>
        <w:t>List of Tables</w:t>
      </w:r>
      <w:bookmarkEnd w:id="17"/>
      <w:bookmarkEnd w:id="18"/>
      <w:bookmarkEnd w:id="19"/>
      <w:bookmarkEnd w:id="20"/>
    </w:p>
    <w:p w:rsidR="009B00D1"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54582159" w:history="1">
        <w:r w:rsidR="009B00D1" w:rsidRPr="00CE427F">
          <w:rPr>
            <w:rStyle w:val="Hyperlink"/>
            <w:noProof/>
          </w:rPr>
          <w:t>Table 1</w:t>
        </w:r>
        <w:r w:rsidR="009B00D1" w:rsidRPr="00CE427F">
          <w:rPr>
            <w:rStyle w:val="Hyperlink"/>
            <w:rFonts w:ascii="Calibri" w:hAnsi="Calibri" w:cs="Calibri"/>
            <w:noProof/>
          </w:rPr>
          <w:t xml:space="preserve"> </w:t>
        </w:r>
        <w:r w:rsidR="009B00D1" w:rsidRPr="00CE427F">
          <w:rPr>
            <w:rStyle w:val="Hyperlink"/>
            <w:rFonts w:cs="Arial"/>
            <w:noProof/>
          </w:rPr>
          <w:t>Measure Application Type</w:t>
        </w:r>
        <w:r w:rsidR="009B00D1">
          <w:rPr>
            <w:noProof/>
            <w:webHidden/>
          </w:rPr>
          <w:tab/>
        </w:r>
        <w:r w:rsidR="009B00D1">
          <w:rPr>
            <w:noProof/>
            <w:webHidden/>
          </w:rPr>
          <w:fldChar w:fldCharType="begin"/>
        </w:r>
        <w:r w:rsidR="009B00D1">
          <w:rPr>
            <w:noProof/>
            <w:webHidden/>
          </w:rPr>
          <w:instrText xml:space="preserve"> PAGEREF _Toc354582159 \h </w:instrText>
        </w:r>
        <w:r w:rsidR="009B00D1">
          <w:rPr>
            <w:noProof/>
            <w:webHidden/>
          </w:rPr>
        </w:r>
        <w:r w:rsidR="009B00D1">
          <w:rPr>
            <w:noProof/>
            <w:webHidden/>
          </w:rPr>
          <w:fldChar w:fldCharType="separate"/>
        </w:r>
        <w:r w:rsidR="009B00D1">
          <w:rPr>
            <w:noProof/>
            <w:webHidden/>
          </w:rPr>
          <w:t>3</w:t>
        </w:r>
        <w:r w:rsidR="009B00D1">
          <w:rPr>
            <w:noProof/>
            <w:webHidden/>
          </w:rPr>
          <w:fldChar w:fldCharType="end"/>
        </w:r>
      </w:hyperlink>
    </w:p>
    <w:p w:rsidR="009B00D1" w:rsidRDefault="009B00D1">
      <w:pPr>
        <w:pStyle w:val="TableofFigures"/>
        <w:tabs>
          <w:tab w:val="right" w:leader="dot" w:pos="9350"/>
        </w:tabs>
        <w:rPr>
          <w:rFonts w:asciiTheme="minorHAnsi" w:eastAsiaTheme="minorEastAsia" w:hAnsiTheme="minorHAnsi" w:cstheme="minorBidi"/>
          <w:noProof/>
          <w:szCs w:val="22"/>
        </w:rPr>
      </w:pPr>
      <w:hyperlink w:anchor="_Toc354582160" w:history="1">
        <w:r w:rsidRPr="00CE427F">
          <w:rPr>
            <w:rStyle w:val="Hyperlink"/>
            <w:rFonts w:cs="Arial"/>
            <w:noProof/>
          </w:rPr>
          <w:t>Table 2 Net-to-Gross Ratios</w:t>
        </w:r>
        <w:r>
          <w:rPr>
            <w:noProof/>
            <w:webHidden/>
          </w:rPr>
          <w:tab/>
        </w:r>
        <w:r>
          <w:rPr>
            <w:noProof/>
            <w:webHidden/>
          </w:rPr>
          <w:fldChar w:fldCharType="begin"/>
        </w:r>
        <w:r>
          <w:rPr>
            <w:noProof/>
            <w:webHidden/>
          </w:rPr>
          <w:instrText xml:space="preserve"> PAGEREF _Toc354582160 \h </w:instrText>
        </w:r>
        <w:r>
          <w:rPr>
            <w:noProof/>
            <w:webHidden/>
          </w:rPr>
        </w:r>
        <w:r>
          <w:rPr>
            <w:noProof/>
            <w:webHidden/>
          </w:rPr>
          <w:fldChar w:fldCharType="separate"/>
        </w:r>
        <w:r>
          <w:rPr>
            <w:noProof/>
            <w:webHidden/>
          </w:rPr>
          <w:t>6</w:t>
        </w:r>
        <w:r>
          <w:rPr>
            <w:noProof/>
            <w:webHidden/>
          </w:rPr>
          <w:fldChar w:fldCharType="end"/>
        </w:r>
      </w:hyperlink>
    </w:p>
    <w:p w:rsidR="009B00D1" w:rsidRDefault="009B00D1">
      <w:pPr>
        <w:pStyle w:val="TableofFigures"/>
        <w:tabs>
          <w:tab w:val="right" w:leader="dot" w:pos="9350"/>
        </w:tabs>
        <w:rPr>
          <w:rFonts w:asciiTheme="minorHAnsi" w:eastAsiaTheme="minorEastAsia" w:hAnsiTheme="minorHAnsi" w:cstheme="minorBidi"/>
          <w:noProof/>
          <w:szCs w:val="22"/>
        </w:rPr>
      </w:pPr>
      <w:hyperlink w:anchor="_Toc354582161" w:history="1">
        <w:r w:rsidRPr="00CE427F">
          <w:rPr>
            <w:rStyle w:val="Hyperlink"/>
            <w:rFonts w:cs="Arial"/>
            <w:noProof/>
          </w:rPr>
          <w:t>Table 4 TOU Adjustment Factors</w:t>
        </w:r>
        <w:r>
          <w:rPr>
            <w:noProof/>
            <w:webHidden/>
          </w:rPr>
          <w:tab/>
        </w:r>
        <w:r>
          <w:rPr>
            <w:noProof/>
            <w:webHidden/>
          </w:rPr>
          <w:fldChar w:fldCharType="begin"/>
        </w:r>
        <w:r>
          <w:rPr>
            <w:noProof/>
            <w:webHidden/>
          </w:rPr>
          <w:instrText xml:space="preserve"> PAGEREF _Toc354582161 \h </w:instrText>
        </w:r>
        <w:r>
          <w:rPr>
            <w:noProof/>
            <w:webHidden/>
          </w:rPr>
        </w:r>
        <w:r>
          <w:rPr>
            <w:noProof/>
            <w:webHidden/>
          </w:rPr>
          <w:fldChar w:fldCharType="separate"/>
        </w:r>
        <w:r>
          <w:rPr>
            <w:noProof/>
            <w:webHidden/>
          </w:rPr>
          <w:t>7</w:t>
        </w:r>
        <w:r>
          <w:rPr>
            <w:noProof/>
            <w:webHidden/>
          </w:rPr>
          <w:fldChar w:fldCharType="end"/>
        </w:r>
      </w:hyperlink>
    </w:p>
    <w:p w:rsidR="009B00D1" w:rsidRDefault="009B00D1">
      <w:pPr>
        <w:pStyle w:val="TableofFigures"/>
        <w:tabs>
          <w:tab w:val="right" w:leader="dot" w:pos="9350"/>
        </w:tabs>
        <w:rPr>
          <w:rFonts w:asciiTheme="minorHAnsi" w:eastAsiaTheme="minorEastAsia" w:hAnsiTheme="minorHAnsi" w:cstheme="minorBidi"/>
          <w:noProof/>
          <w:szCs w:val="22"/>
        </w:rPr>
      </w:pPr>
      <w:hyperlink w:anchor="_Toc354582162" w:history="1">
        <w:r w:rsidRPr="00CE427F">
          <w:rPr>
            <w:rStyle w:val="Hyperlink"/>
            <w:rFonts w:cs="Arial"/>
            <w:noProof/>
          </w:rPr>
          <w:t>Table 6 Base Case Building Types and Load Shapes</w:t>
        </w:r>
        <w:r>
          <w:rPr>
            <w:noProof/>
            <w:webHidden/>
          </w:rPr>
          <w:tab/>
        </w:r>
        <w:r>
          <w:rPr>
            <w:noProof/>
            <w:webHidden/>
          </w:rPr>
          <w:fldChar w:fldCharType="begin"/>
        </w:r>
        <w:r>
          <w:rPr>
            <w:noProof/>
            <w:webHidden/>
          </w:rPr>
          <w:instrText xml:space="preserve"> PAGEREF _Toc354582162 \h </w:instrText>
        </w:r>
        <w:r>
          <w:rPr>
            <w:noProof/>
            <w:webHidden/>
          </w:rPr>
        </w:r>
        <w:r>
          <w:rPr>
            <w:noProof/>
            <w:webHidden/>
          </w:rPr>
          <w:fldChar w:fldCharType="separate"/>
        </w:r>
        <w:r>
          <w:rPr>
            <w:noProof/>
            <w:webHidden/>
          </w:rPr>
          <w:t>10</w:t>
        </w:r>
        <w:r>
          <w:rPr>
            <w:noProof/>
            <w:webHidden/>
          </w:rPr>
          <w:fldChar w:fldCharType="end"/>
        </w:r>
      </w:hyperlink>
    </w:p>
    <w:p w:rsidR="009B00D1" w:rsidRDefault="009B00D1">
      <w:pPr>
        <w:pStyle w:val="TableofFigures"/>
        <w:tabs>
          <w:tab w:val="right" w:leader="dot" w:pos="9350"/>
        </w:tabs>
        <w:rPr>
          <w:rFonts w:asciiTheme="minorHAnsi" w:eastAsiaTheme="minorEastAsia" w:hAnsiTheme="minorHAnsi" w:cstheme="minorBidi"/>
          <w:noProof/>
          <w:szCs w:val="22"/>
        </w:rPr>
      </w:pPr>
      <w:hyperlink w:anchor="_Toc354582163" w:history="1">
        <w:r w:rsidRPr="00CE427F">
          <w:rPr>
            <w:rStyle w:val="Hyperlink"/>
            <w:rFonts w:cs="Arial"/>
            <w:noProof/>
          </w:rPr>
          <w:t>Table 7 Measure Case Building Types and Load Shapes</w:t>
        </w:r>
        <w:r>
          <w:rPr>
            <w:noProof/>
            <w:webHidden/>
          </w:rPr>
          <w:tab/>
        </w:r>
        <w:r>
          <w:rPr>
            <w:noProof/>
            <w:webHidden/>
          </w:rPr>
          <w:fldChar w:fldCharType="begin"/>
        </w:r>
        <w:r>
          <w:rPr>
            <w:noProof/>
            <w:webHidden/>
          </w:rPr>
          <w:instrText xml:space="preserve"> PAGEREF _Toc354582163 \h </w:instrText>
        </w:r>
        <w:r>
          <w:rPr>
            <w:noProof/>
            <w:webHidden/>
          </w:rPr>
        </w:r>
        <w:r>
          <w:rPr>
            <w:noProof/>
            <w:webHidden/>
          </w:rPr>
          <w:fldChar w:fldCharType="separate"/>
        </w:r>
        <w:r>
          <w:rPr>
            <w:noProof/>
            <w:webHidden/>
          </w:rPr>
          <w:t>10</w:t>
        </w:r>
        <w:r>
          <w:rPr>
            <w:noProof/>
            <w:webHidden/>
          </w:rPr>
          <w:fldChar w:fldCharType="end"/>
        </w:r>
      </w:hyperlink>
    </w:p>
    <w:p w:rsidR="005A1F9D" w:rsidRDefault="00ED21EE" w:rsidP="005A1F9D">
      <w:r>
        <w:fldChar w:fldCharType="end"/>
      </w:r>
      <w:bookmarkStart w:id="21" w:name="_GoBack"/>
      <w:bookmarkEnd w:id="21"/>
      <w:r w:rsidR="005A1F9D" w:rsidRPr="005A1F9D">
        <w:t xml:space="preserve"> </w:t>
      </w:r>
    </w:p>
    <w:p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2" w:name="_Toc304800201"/>
      <w:bookmarkStart w:id="23" w:name="_Toc324318337"/>
      <w:bookmarkStart w:id="24" w:name="_Toc324340481"/>
      <w:bookmarkStart w:id="25" w:name="_Toc172205732"/>
    </w:p>
    <w:p w:rsidR="00ED21EE" w:rsidRDefault="00ED21EE" w:rsidP="00ED21EE">
      <w:pPr>
        <w:pStyle w:val="Heading1"/>
      </w:pPr>
      <w:bookmarkStart w:id="26" w:name="_Toc354582128"/>
      <w:r>
        <w:t>Section 1. General Measure &amp; Baseline Data</w:t>
      </w:r>
      <w:bookmarkEnd w:id="22"/>
      <w:bookmarkEnd w:id="23"/>
      <w:bookmarkEnd w:id="24"/>
      <w:bookmarkEnd w:id="26"/>
    </w:p>
    <w:p w:rsidR="00E71EF1" w:rsidRDefault="001248A3" w:rsidP="001248A3">
      <w:pPr>
        <w:pStyle w:val="Heading2"/>
      </w:pPr>
      <w:bookmarkStart w:id="27" w:name="_Toc304800202"/>
      <w:bookmarkStart w:id="28" w:name="_Toc324318338"/>
      <w:bookmarkStart w:id="29" w:name="_Toc324340482"/>
      <w:bookmarkStart w:id="30" w:name="_Toc354582129"/>
      <w:bookmarkEnd w:id="25"/>
      <w:r>
        <w:t xml:space="preserve">1.1 </w:t>
      </w:r>
      <w:r w:rsidR="008C6AD1">
        <w:t xml:space="preserve">Product </w:t>
      </w:r>
      <w:r w:rsidR="00E71EF1" w:rsidRPr="001248A3">
        <w:t>Measure Description &amp; Background</w:t>
      </w:r>
      <w:bookmarkEnd w:id="27"/>
      <w:bookmarkEnd w:id="28"/>
      <w:bookmarkEnd w:id="29"/>
      <w:bookmarkEnd w:id="30"/>
    </w:p>
    <w:p w:rsidR="00521920" w:rsidRDefault="00521920" w:rsidP="00872913">
      <w:pPr>
        <w:rPr>
          <w:rFonts w:cs="Arial"/>
          <w:b/>
          <w:i/>
        </w:rPr>
      </w:pPr>
      <w:r w:rsidRPr="00521920">
        <w:rPr>
          <w:rFonts w:cs="Arial"/>
          <w:b/>
          <w:i/>
        </w:rPr>
        <w:t>Catalog Description</w:t>
      </w:r>
    </w:p>
    <w:p w:rsidR="00EE2E4F" w:rsidRDefault="00EE2E4F" w:rsidP="00872913">
      <w:pPr>
        <w:rPr>
          <w:rFonts w:cs="Arial"/>
          <w:i/>
          <w:sz w:val="20"/>
          <w:szCs w:val="20"/>
        </w:rPr>
      </w:pPr>
      <w:r w:rsidRPr="00CA5803">
        <w:rPr>
          <w:rFonts w:cs="Arial"/>
          <w:i/>
          <w:sz w:val="20"/>
          <w:szCs w:val="20"/>
        </w:rPr>
        <w:t xml:space="preserve">The purpose of the </w:t>
      </w:r>
      <w:r>
        <w:rPr>
          <w:rFonts w:cs="Arial"/>
          <w:i/>
          <w:sz w:val="20"/>
          <w:szCs w:val="20"/>
        </w:rPr>
        <w:t>H</w:t>
      </w:r>
      <w:r w:rsidRPr="00CA5803">
        <w:rPr>
          <w:rFonts w:cs="Arial"/>
          <w:i/>
          <w:sz w:val="20"/>
          <w:szCs w:val="20"/>
        </w:rPr>
        <w:t xml:space="preserve">ome </w:t>
      </w:r>
      <w:r>
        <w:rPr>
          <w:rFonts w:cs="Arial"/>
          <w:i/>
          <w:sz w:val="20"/>
          <w:szCs w:val="20"/>
        </w:rPr>
        <w:t>E</w:t>
      </w:r>
      <w:r w:rsidRPr="00CA5803">
        <w:rPr>
          <w:rFonts w:cs="Arial"/>
          <w:i/>
          <w:sz w:val="20"/>
          <w:szCs w:val="20"/>
        </w:rPr>
        <w:t xml:space="preserve">nergy </w:t>
      </w:r>
      <w:r>
        <w:rPr>
          <w:rFonts w:cs="Arial"/>
          <w:i/>
          <w:sz w:val="20"/>
          <w:szCs w:val="20"/>
        </w:rPr>
        <w:t>R</w:t>
      </w:r>
      <w:r w:rsidRPr="00CA5803">
        <w:rPr>
          <w:rFonts w:cs="Arial"/>
          <w:i/>
          <w:sz w:val="20"/>
          <w:szCs w:val="20"/>
        </w:rPr>
        <w:t>eports</w:t>
      </w:r>
      <w:r>
        <w:rPr>
          <w:rFonts w:cs="Arial"/>
          <w:i/>
          <w:sz w:val="20"/>
          <w:szCs w:val="20"/>
        </w:rPr>
        <w:t xml:space="preserve"> (HER)</w:t>
      </w:r>
      <w:r w:rsidRPr="00CA5803">
        <w:rPr>
          <w:rFonts w:cs="Arial"/>
          <w:i/>
          <w:sz w:val="20"/>
          <w:szCs w:val="20"/>
        </w:rPr>
        <w:t xml:space="preserve"> initiative is to reduce energy consumption by motivating no-cost energy conservation actions and self-installation of low cost energy savings measures.</w:t>
      </w:r>
      <w:r>
        <w:rPr>
          <w:rFonts w:cs="Arial"/>
          <w:i/>
          <w:sz w:val="20"/>
          <w:szCs w:val="20"/>
        </w:rPr>
        <w:t xml:space="preserve"> The HER program operates on the principle that, by providing customers information that compares a household’s energy use to that of similar households, customers will modify their behavior and/or </w:t>
      </w:r>
      <w:r w:rsidR="007106BE">
        <w:rPr>
          <w:rFonts w:cs="Arial"/>
          <w:i/>
          <w:sz w:val="20"/>
          <w:szCs w:val="20"/>
        </w:rPr>
        <w:t>make minor purchases</w:t>
      </w:r>
      <w:r>
        <w:rPr>
          <w:rFonts w:cs="Arial"/>
          <w:i/>
          <w:sz w:val="20"/>
          <w:szCs w:val="20"/>
        </w:rPr>
        <w:t xml:space="preserve"> which will lead to energy savings. The HER program employs </w:t>
      </w:r>
      <w:r w:rsidR="007106BE">
        <w:rPr>
          <w:rFonts w:cs="Arial"/>
          <w:i/>
          <w:sz w:val="20"/>
          <w:szCs w:val="20"/>
        </w:rPr>
        <w:t>randomized control trials</w:t>
      </w:r>
      <w:r>
        <w:rPr>
          <w:rFonts w:cs="Arial"/>
          <w:i/>
          <w:sz w:val="20"/>
          <w:szCs w:val="20"/>
        </w:rPr>
        <w:t>, and the determination of energy savings is done via billing analysis which compares energy use between the treatment and control groups.</w:t>
      </w:r>
    </w:p>
    <w:p w:rsidR="00C52701" w:rsidRDefault="00C52701" w:rsidP="00872913">
      <w:pPr>
        <w:rPr>
          <w:rFonts w:cs="Arial"/>
          <w:i/>
          <w:sz w:val="20"/>
          <w:szCs w:val="20"/>
        </w:rPr>
      </w:pPr>
    </w:p>
    <w:p w:rsidR="00C52701" w:rsidRPr="00C52701" w:rsidRDefault="00C52701" w:rsidP="00C52701">
      <w:pPr>
        <w:rPr>
          <w:rFonts w:cs="Arial"/>
          <w:i/>
          <w:sz w:val="20"/>
          <w:szCs w:val="20"/>
        </w:rPr>
      </w:pPr>
      <w:r w:rsidRPr="00C52701">
        <w:rPr>
          <w:rFonts w:cs="Arial"/>
          <w:i/>
          <w:sz w:val="20"/>
          <w:szCs w:val="20"/>
        </w:rPr>
        <w:t>PG&amp;E has engaged the vendor OPOWER to produce and deliver the reports. OPOWER is currently the largest and best established vendor in this domain. PG&amp;E has engaged Freeman,</w:t>
      </w:r>
      <w:r w:rsidR="007F1E71">
        <w:rPr>
          <w:rFonts w:cs="Arial"/>
          <w:i/>
          <w:sz w:val="20"/>
          <w:szCs w:val="20"/>
        </w:rPr>
        <w:t xml:space="preserve"> </w:t>
      </w:r>
      <w:r w:rsidRPr="00C52701">
        <w:rPr>
          <w:rFonts w:cs="Arial"/>
          <w:i/>
          <w:sz w:val="20"/>
          <w:szCs w:val="20"/>
        </w:rPr>
        <w:t xml:space="preserve">Sullivan and Company (FSC) to assist in the experimental design and data analysis. FSC is an acknowledged expert in the design of information feedback experiments. The key objectives of this research initiative are as follows: </w:t>
      </w:r>
    </w:p>
    <w:p w:rsidR="00C52701" w:rsidRPr="00C52701" w:rsidRDefault="00C52701" w:rsidP="00C52701">
      <w:pPr>
        <w:rPr>
          <w:rFonts w:cs="Arial"/>
          <w:i/>
          <w:sz w:val="20"/>
          <w:szCs w:val="20"/>
        </w:rPr>
      </w:pPr>
    </w:p>
    <w:p w:rsidR="00C52701" w:rsidRPr="00C52701" w:rsidRDefault="00C52701" w:rsidP="00C52701">
      <w:pPr>
        <w:pStyle w:val="ListParagraph"/>
        <w:numPr>
          <w:ilvl w:val="0"/>
          <w:numId w:val="31"/>
        </w:numPr>
        <w:rPr>
          <w:rFonts w:cs="Arial"/>
          <w:i/>
          <w:sz w:val="20"/>
          <w:szCs w:val="20"/>
        </w:rPr>
      </w:pPr>
      <w:r w:rsidRPr="00C52701">
        <w:rPr>
          <w:rFonts w:cs="Arial"/>
          <w:i/>
          <w:sz w:val="20"/>
          <w:szCs w:val="20"/>
        </w:rPr>
        <w:t>Estimate change</w:t>
      </w:r>
      <w:r w:rsidR="007106BE">
        <w:rPr>
          <w:rFonts w:cs="Arial"/>
          <w:i/>
          <w:sz w:val="20"/>
          <w:szCs w:val="20"/>
        </w:rPr>
        <w:t>s</w:t>
      </w:r>
      <w:r w:rsidRPr="00C52701">
        <w:rPr>
          <w:rFonts w:cs="Arial"/>
          <w:i/>
          <w:sz w:val="20"/>
          <w:szCs w:val="20"/>
        </w:rPr>
        <w:t xml:space="preserve"> in residential energy consumption resulting from exposure to home energy reports for a wide range of PG&amp;E residential customers with different characteristics</w:t>
      </w:r>
      <w:r w:rsidR="007106BE">
        <w:rPr>
          <w:rFonts w:cs="Arial"/>
          <w:i/>
          <w:sz w:val="20"/>
          <w:szCs w:val="20"/>
        </w:rPr>
        <w:t xml:space="preserve"> for each experiment conducted</w:t>
      </w:r>
      <w:r w:rsidRPr="00C52701">
        <w:rPr>
          <w:rFonts w:cs="Arial"/>
          <w:i/>
          <w:sz w:val="20"/>
          <w:szCs w:val="20"/>
        </w:rPr>
        <w:t>.</w:t>
      </w:r>
    </w:p>
    <w:p w:rsidR="00C52701" w:rsidRPr="00C52701" w:rsidRDefault="00C52701" w:rsidP="00C52701">
      <w:pPr>
        <w:pStyle w:val="ListParagraph"/>
        <w:numPr>
          <w:ilvl w:val="0"/>
          <w:numId w:val="31"/>
        </w:numPr>
        <w:rPr>
          <w:rFonts w:cs="Arial"/>
          <w:i/>
          <w:sz w:val="20"/>
          <w:szCs w:val="20"/>
        </w:rPr>
      </w:pPr>
      <w:r w:rsidRPr="00C52701">
        <w:rPr>
          <w:rFonts w:cs="Arial"/>
          <w:i/>
          <w:sz w:val="20"/>
          <w:szCs w:val="20"/>
        </w:rPr>
        <w:t>Assess persistence of change resulting from the reports over a period of at least two years.</w:t>
      </w:r>
    </w:p>
    <w:p w:rsidR="00C52701" w:rsidRPr="00C52701" w:rsidRDefault="00C52701" w:rsidP="00C52701">
      <w:pPr>
        <w:pStyle w:val="ListParagraph"/>
        <w:numPr>
          <w:ilvl w:val="0"/>
          <w:numId w:val="31"/>
        </w:numPr>
        <w:rPr>
          <w:rFonts w:cs="Arial"/>
          <w:i/>
          <w:sz w:val="20"/>
          <w:szCs w:val="20"/>
        </w:rPr>
      </w:pPr>
      <w:r w:rsidRPr="00C52701">
        <w:rPr>
          <w:rFonts w:cs="Arial"/>
          <w:i/>
          <w:sz w:val="20"/>
          <w:szCs w:val="20"/>
        </w:rPr>
        <w:t>Estimate the impact of relative frequency of report delivery on energy consumption.</w:t>
      </w:r>
    </w:p>
    <w:p w:rsidR="00EE2E4F" w:rsidRDefault="00EE2E4F" w:rsidP="00872913">
      <w:pPr>
        <w:rPr>
          <w:rFonts w:cs="Arial"/>
          <w:i/>
          <w:sz w:val="20"/>
          <w:szCs w:val="20"/>
        </w:rPr>
      </w:pPr>
    </w:p>
    <w:p w:rsidR="00521920" w:rsidRDefault="00521920" w:rsidP="00872913">
      <w:pPr>
        <w:rPr>
          <w:rFonts w:cs="Arial"/>
          <w:b/>
          <w:i/>
        </w:rPr>
      </w:pPr>
      <w:r>
        <w:rPr>
          <w:rFonts w:cs="Arial"/>
          <w:b/>
          <w:i/>
        </w:rPr>
        <w:t>Program Restrictions and Guidelines</w:t>
      </w:r>
    </w:p>
    <w:p w:rsidR="00521920" w:rsidRPr="00F951AA" w:rsidRDefault="007106BE" w:rsidP="00872913">
      <w:pPr>
        <w:rPr>
          <w:rFonts w:cs="Arial"/>
          <w:i/>
          <w:sz w:val="20"/>
          <w:szCs w:val="20"/>
        </w:rPr>
      </w:pPr>
      <w:r w:rsidRPr="00F951AA">
        <w:rPr>
          <w:rFonts w:cs="Arial"/>
          <w:i/>
          <w:sz w:val="20"/>
          <w:szCs w:val="20"/>
        </w:rPr>
        <w:t xml:space="preserve">This program is an “opt-out” program whereby selected households are mailed the reports without explicitly requesting them. </w:t>
      </w:r>
      <w:r w:rsidR="00252651" w:rsidRPr="00F951AA">
        <w:rPr>
          <w:rFonts w:cs="Arial"/>
          <w:i/>
          <w:sz w:val="20"/>
          <w:szCs w:val="20"/>
        </w:rPr>
        <w:t xml:space="preserve">Since the household characteristics that define the sample frame for each experiment (e.g., climate zone, fuel type, energy usage, time since account was established, etc.) is unique, each experiment requires its own analysis of energy savings. </w:t>
      </w:r>
    </w:p>
    <w:p w:rsidR="00521920" w:rsidRPr="00F951AA" w:rsidRDefault="00521920" w:rsidP="00480BAD">
      <w:pPr>
        <w:ind w:left="360"/>
        <w:rPr>
          <w:rFonts w:cs="Arial"/>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r w:rsidR="00A562A6" w:rsidRPr="00F951AA">
        <w:rPr>
          <w:rFonts w:cs="Arial"/>
          <w:i/>
          <w:sz w:val="20"/>
          <w:szCs w:val="20"/>
        </w:rPr>
        <w:t>These are the actual rules for the specific measure(</w:t>
      </w:r>
      <w:r w:rsidR="00ED7D3D" w:rsidRPr="00F951AA">
        <w:rPr>
          <w:rFonts w:cs="Arial"/>
          <w:i/>
          <w:sz w:val="20"/>
          <w:szCs w:val="20"/>
        </w:rPr>
        <w:t>s) described in this workpaper.</w:t>
      </w:r>
      <w:r w:rsidR="00A562A6" w:rsidRPr="00F951AA">
        <w:rPr>
          <w:rFonts w:cs="Arial"/>
          <w:i/>
          <w:sz w:val="20"/>
          <w:szCs w:val="20"/>
        </w:rPr>
        <w:t xml:space="preserve"> These form the basis of the savings and cost</w:t>
      </w:r>
      <w:r w:rsidR="00ED7D3D" w:rsidRPr="00F951AA">
        <w:rPr>
          <w:rFonts w:cs="Arial"/>
          <w:i/>
          <w:sz w:val="20"/>
          <w:szCs w:val="20"/>
        </w:rPr>
        <w:t xml:space="preserve"> calculations for the measures.</w:t>
      </w:r>
      <w:r w:rsidR="00A562A6" w:rsidRPr="00F951AA">
        <w:rPr>
          <w:rFonts w:cs="Arial"/>
          <w:i/>
          <w:sz w:val="20"/>
          <w:szCs w:val="20"/>
        </w:rPr>
        <w:t xml:space="preserve"> They must be presented EXACTLY as stated in the product catalog and customer materials.</w:t>
      </w:r>
    </w:p>
    <w:p w:rsidR="003E7422" w:rsidRPr="00F951AA" w:rsidRDefault="003E7422" w:rsidP="00480BAD">
      <w:pPr>
        <w:ind w:left="360"/>
        <w:rPr>
          <w:rFonts w:cs="Arial"/>
          <w:i/>
          <w:sz w:val="20"/>
          <w:szCs w:val="20"/>
        </w:rPr>
      </w:pPr>
    </w:p>
    <w:p w:rsidR="00197A23" w:rsidRPr="00F951AA" w:rsidRDefault="00521920">
      <w:pPr>
        <w:ind w:left="360"/>
        <w:rPr>
          <w:rFonts w:cs="Arial"/>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FA684E">
        <w:rPr>
          <w:rFonts w:cs="Arial"/>
          <w:i/>
          <w:sz w:val="20"/>
          <w:szCs w:val="20"/>
        </w:rPr>
        <w:t xml:space="preserve">The target for this program is single-family residences served by PG&amp;E. </w:t>
      </w:r>
      <w:r w:rsidR="00EE2E4F" w:rsidRPr="00F951AA">
        <w:rPr>
          <w:rFonts w:cs="Arial"/>
          <w:i/>
          <w:sz w:val="20"/>
          <w:szCs w:val="20"/>
        </w:rPr>
        <w:t xml:space="preserve">See </w:t>
      </w:r>
      <w:r w:rsidR="00252651" w:rsidRPr="00F951AA">
        <w:rPr>
          <w:rFonts w:cs="Arial"/>
          <w:i/>
          <w:sz w:val="20"/>
          <w:szCs w:val="20"/>
        </w:rPr>
        <w:t xml:space="preserve">initial </w:t>
      </w:r>
      <w:r w:rsidR="00EE2E4F" w:rsidRPr="00F951AA">
        <w:rPr>
          <w:rFonts w:cs="Arial"/>
          <w:i/>
          <w:sz w:val="20"/>
          <w:szCs w:val="20"/>
        </w:rPr>
        <w:t>sampling pla</w:t>
      </w:r>
      <w:r w:rsidR="001D35F0">
        <w:rPr>
          <w:rFonts w:cs="Arial"/>
          <w:i/>
          <w:sz w:val="20"/>
          <w:szCs w:val="20"/>
        </w:rPr>
        <w:t>n</w:t>
      </w:r>
      <w:r w:rsidR="001D35F0" w:rsidRPr="00F951AA">
        <w:rPr>
          <w:rFonts w:cs="Arial"/>
          <w:i/>
          <w:sz w:val="24"/>
          <w:vertAlign w:val="superscript"/>
        </w:rPr>
        <w:t>5</w:t>
      </w:r>
      <w:r w:rsidR="00EE2E4F" w:rsidRPr="00F951AA">
        <w:rPr>
          <w:rFonts w:cs="Arial"/>
          <w:i/>
          <w:sz w:val="20"/>
          <w:szCs w:val="20"/>
        </w:rPr>
        <w:t>. This document contains the background and initial plan for the Home Energy Reports program as submitted to Energy Division of the CPUC in May 2011.</w:t>
      </w:r>
      <w:r w:rsidR="00252651" w:rsidRPr="00F951AA">
        <w:rPr>
          <w:rFonts w:cs="Arial"/>
          <w:i/>
          <w:sz w:val="20"/>
          <w:szCs w:val="20"/>
        </w:rPr>
        <w:t xml:space="preserve"> Revisions will be made to the sampling plan to describe all experiments in the field.</w:t>
      </w:r>
    </w:p>
    <w:p w:rsidR="00197A23" w:rsidRDefault="00197A23" w:rsidP="00872913">
      <w:pPr>
        <w:rPr>
          <w:rFonts w:cs="Arial"/>
          <w:b/>
          <w:i/>
        </w:rPr>
      </w:pPr>
    </w:p>
    <w:p w:rsidR="00521920" w:rsidRPr="00004670" w:rsidRDefault="00806070" w:rsidP="00004670">
      <w:pPr>
        <w:pStyle w:val="Heading2"/>
      </w:pPr>
      <w:bookmarkStart w:id="31" w:name="_Toc354582130"/>
      <w:r w:rsidRPr="00004670">
        <w:t xml:space="preserve">1.2 Product </w:t>
      </w:r>
      <w:r w:rsidR="00521920" w:rsidRPr="00004670">
        <w:t>Technical Description</w:t>
      </w:r>
      <w:bookmarkEnd w:id="31"/>
    </w:p>
    <w:p w:rsidR="00771691" w:rsidRDefault="00771691" w:rsidP="00771691">
      <w:pPr>
        <w:rPr>
          <w:rFonts w:eastAsiaTheme="minorHAnsi" w:cs="Arial"/>
          <w:sz w:val="20"/>
          <w:szCs w:val="20"/>
        </w:rPr>
      </w:pPr>
      <w:bookmarkStart w:id="32" w:name="_Toc304800203"/>
      <w:bookmarkStart w:id="33" w:name="_Toc324318339"/>
      <w:bookmarkStart w:id="34" w:name="_Toc324340483"/>
    </w:p>
    <w:p w:rsidR="00CB1266" w:rsidRDefault="006B15A5" w:rsidP="00CB1266">
      <w:pPr>
        <w:rPr>
          <w:rFonts w:eastAsiaTheme="minorHAnsi" w:cs="Arial"/>
          <w:sz w:val="20"/>
          <w:szCs w:val="20"/>
        </w:rPr>
      </w:pPr>
      <w:r w:rsidRPr="006B15A5">
        <w:rPr>
          <w:rFonts w:eastAsiaTheme="minorHAnsi" w:cs="Arial"/>
          <w:sz w:val="20"/>
          <w:szCs w:val="20"/>
        </w:rPr>
        <w:t xml:space="preserve">The Home Energy Report (HER) program operates on the principle </w:t>
      </w:r>
      <w:r w:rsidR="00252651">
        <w:rPr>
          <w:rFonts w:eastAsiaTheme="minorHAnsi" w:cs="Arial"/>
          <w:sz w:val="20"/>
          <w:szCs w:val="20"/>
        </w:rPr>
        <w:t xml:space="preserve">that customers </w:t>
      </w:r>
      <w:r w:rsidR="00930254">
        <w:rPr>
          <w:rFonts w:eastAsiaTheme="minorHAnsi" w:cs="Arial"/>
          <w:sz w:val="20"/>
          <w:szCs w:val="20"/>
        </w:rPr>
        <w:t xml:space="preserve">in the treatment condition </w:t>
      </w:r>
      <w:r w:rsidR="0034634A">
        <w:rPr>
          <w:rFonts w:eastAsiaTheme="minorHAnsi" w:cs="Arial"/>
          <w:sz w:val="20"/>
          <w:szCs w:val="20"/>
        </w:rPr>
        <w:t>that</w:t>
      </w:r>
      <w:r w:rsidR="00252651">
        <w:rPr>
          <w:rFonts w:eastAsiaTheme="minorHAnsi" w:cs="Arial"/>
          <w:sz w:val="20"/>
          <w:szCs w:val="20"/>
        </w:rPr>
        <w:t xml:space="preserve"> are provided </w:t>
      </w:r>
      <w:r w:rsidR="0034634A">
        <w:rPr>
          <w:rFonts w:eastAsiaTheme="minorHAnsi" w:cs="Arial"/>
          <w:sz w:val="20"/>
          <w:szCs w:val="20"/>
        </w:rPr>
        <w:t xml:space="preserve">periodic </w:t>
      </w:r>
      <w:r w:rsidR="00252651">
        <w:rPr>
          <w:rFonts w:eastAsiaTheme="minorHAnsi" w:cs="Arial"/>
          <w:sz w:val="20"/>
          <w:szCs w:val="20"/>
        </w:rPr>
        <w:t>reports with energy use feedback and comparisons of energy use of similar neighbors wi</w:t>
      </w:r>
      <w:r w:rsidR="00571B06">
        <w:rPr>
          <w:rFonts w:eastAsiaTheme="minorHAnsi" w:cs="Arial"/>
          <w:sz w:val="20"/>
          <w:szCs w:val="20"/>
        </w:rPr>
        <w:t>ll reduce their energy use</w:t>
      </w:r>
      <w:r w:rsidR="00930254">
        <w:rPr>
          <w:rFonts w:eastAsiaTheme="minorHAnsi" w:cs="Arial"/>
          <w:sz w:val="20"/>
          <w:szCs w:val="20"/>
        </w:rPr>
        <w:t xml:space="preserve"> compared to customers in the control condition who are not</w:t>
      </w:r>
      <w:r w:rsidR="0034634A">
        <w:rPr>
          <w:rFonts w:eastAsiaTheme="minorHAnsi" w:cs="Arial"/>
          <w:sz w:val="20"/>
          <w:szCs w:val="20"/>
        </w:rPr>
        <w:t xml:space="preserve"> provided these reports</w:t>
      </w:r>
      <w:r w:rsidR="00571B06">
        <w:rPr>
          <w:rFonts w:eastAsiaTheme="minorHAnsi" w:cs="Arial"/>
          <w:sz w:val="20"/>
          <w:szCs w:val="20"/>
        </w:rPr>
        <w:t xml:space="preserve">. </w:t>
      </w:r>
      <w:r w:rsidR="0034634A">
        <w:rPr>
          <w:rFonts w:eastAsiaTheme="minorHAnsi" w:cs="Arial"/>
          <w:sz w:val="20"/>
          <w:szCs w:val="20"/>
        </w:rPr>
        <w:t>The impact of home energy reports experiments on ene</w:t>
      </w:r>
      <w:r w:rsidR="00571B06">
        <w:rPr>
          <w:rFonts w:eastAsiaTheme="minorHAnsi" w:cs="Arial"/>
          <w:sz w:val="20"/>
          <w:szCs w:val="20"/>
        </w:rPr>
        <w:t>rgy use has been</w:t>
      </w:r>
      <w:r w:rsidR="00252651">
        <w:rPr>
          <w:rFonts w:eastAsiaTheme="minorHAnsi" w:cs="Arial"/>
          <w:sz w:val="20"/>
          <w:szCs w:val="20"/>
        </w:rPr>
        <w:t xml:space="preserve"> </w:t>
      </w:r>
      <w:r w:rsidR="00C23D02">
        <w:rPr>
          <w:rFonts w:eastAsiaTheme="minorHAnsi" w:cs="Arial"/>
          <w:sz w:val="20"/>
          <w:szCs w:val="20"/>
        </w:rPr>
        <w:t xml:space="preserve">demonstrated in many jurisdictions </w:t>
      </w:r>
      <w:r w:rsidR="00571B06">
        <w:rPr>
          <w:rFonts w:eastAsiaTheme="minorHAnsi" w:cs="Arial"/>
          <w:sz w:val="20"/>
          <w:szCs w:val="20"/>
        </w:rPr>
        <w:t>by statistical comparisons conducted by multiple evaluation firms.</w:t>
      </w:r>
      <w:r w:rsidR="00930254">
        <w:rPr>
          <w:rFonts w:eastAsiaTheme="minorHAnsi" w:cs="Arial"/>
          <w:sz w:val="20"/>
          <w:szCs w:val="20"/>
        </w:rPr>
        <w:t xml:space="preserve"> </w:t>
      </w:r>
      <w:r w:rsidR="00CB1266" w:rsidRPr="006B15A5">
        <w:rPr>
          <w:rFonts w:eastAsiaTheme="minorHAnsi" w:cs="Arial"/>
          <w:sz w:val="20"/>
          <w:szCs w:val="20"/>
        </w:rPr>
        <w:t>Th</w:t>
      </w:r>
      <w:r w:rsidR="0034634A">
        <w:rPr>
          <w:rFonts w:eastAsiaTheme="minorHAnsi" w:cs="Arial"/>
          <w:sz w:val="20"/>
          <w:szCs w:val="20"/>
        </w:rPr>
        <w:t>e</w:t>
      </w:r>
      <w:r w:rsidR="00CB1266" w:rsidRPr="006B15A5">
        <w:rPr>
          <w:rFonts w:eastAsiaTheme="minorHAnsi" w:cs="Arial"/>
          <w:sz w:val="20"/>
          <w:szCs w:val="20"/>
        </w:rPr>
        <w:t xml:space="preserve"> </w:t>
      </w:r>
      <w:r w:rsidR="00CB1266">
        <w:rPr>
          <w:rFonts w:eastAsiaTheme="minorHAnsi" w:cs="Arial"/>
          <w:sz w:val="20"/>
          <w:szCs w:val="20"/>
        </w:rPr>
        <w:t xml:space="preserve">usage feedback </w:t>
      </w:r>
      <w:r w:rsidR="0034634A">
        <w:rPr>
          <w:rFonts w:eastAsiaTheme="minorHAnsi" w:cs="Arial"/>
          <w:sz w:val="20"/>
          <w:szCs w:val="20"/>
        </w:rPr>
        <w:t xml:space="preserve">that is the core of the reports </w:t>
      </w:r>
      <w:r w:rsidR="00CB1266" w:rsidRPr="006B15A5">
        <w:rPr>
          <w:rFonts w:eastAsiaTheme="minorHAnsi" w:cs="Arial"/>
          <w:sz w:val="20"/>
          <w:szCs w:val="20"/>
        </w:rPr>
        <w:t xml:space="preserve">is accompanied by tips on saving energy </w:t>
      </w:r>
      <w:r w:rsidR="0034634A">
        <w:rPr>
          <w:rFonts w:eastAsiaTheme="minorHAnsi" w:cs="Arial"/>
          <w:sz w:val="20"/>
          <w:szCs w:val="20"/>
        </w:rPr>
        <w:t>and</w:t>
      </w:r>
      <w:r w:rsidR="0034634A" w:rsidRPr="006B15A5">
        <w:rPr>
          <w:rFonts w:eastAsiaTheme="minorHAnsi" w:cs="Arial"/>
          <w:sz w:val="20"/>
          <w:szCs w:val="20"/>
        </w:rPr>
        <w:t xml:space="preserve"> </w:t>
      </w:r>
      <w:r w:rsidR="00CB1266" w:rsidRPr="006B15A5">
        <w:rPr>
          <w:rFonts w:eastAsiaTheme="minorHAnsi" w:cs="Arial"/>
          <w:sz w:val="20"/>
          <w:szCs w:val="20"/>
        </w:rPr>
        <w:t xml:space="preserve">suggestions to purchase more efficient equipment.  </w:t>
      </w:r>
      <w:r w:rsidR="00CB1266">
        <w:rPr>
          <w:rFonts w:eastAsiaTheme="minorHAnsi" w:cs="Arial"/>
          <w:sz w:val="20"/>
          <w:szCs w:val="20"/>
        </w:rPr>
        <w:t xml:space="preserve">The HER program employs </w:t>
      </w:r>
      <w:r w:rsidR="00CB0D2B">
        <w:rPr>
          <w:rFonts w:eastAsiaTheme="minorHAnsi" w:cs="Arial"/>
          <w:sz w:val="20"/>
          <w:szCs w:val="20"/>
        </w:rPr>
        <w:t xml:space="preserve">a randomized control </w:t>
      </w:r>
      <w:r w:rsidR="00CB1266">
        <w:rPr>
          <w:rFonts w:eastAsiaTheme="minorHAnsi" w:cs="Arial"/>
          <w:sz w:val="20"/>
          <w:szCs w:val="20"/>
        </w:rPr>
        <w:t xml:space="preserve">design whereby a homogeneous group of residential customers </w:t>
      </w:r>
      <w:r w:rsidR="00CB0D2B">
        <w:rPr>
          <w:rFonts w:eastAsiaTheme="minorHAnsi" w:cs="Arial"/>
          <w:sz w:val="20"/>
          <w:szCs w:val="20"/>
        </w:rPr>
        <w:t xml:space="preserve">defined by key usage and demographic characteristics </w:t>
      </w:r>
      <w:r w:rsidR="00CB1266">
        <w:rPr>
          <w:rFonts w:eastAsiaTheme="minorHAnsi" w:cs="Arial"/>
          <w:sz w:val="20"/>
          <w:szCs w:val="20"/>
        </w:rPr>
        <w:t>are randomly assigned to either receive the reports (the treatment group) or not (the control group). R</w:t>
      </w:r>
      <w:r w:rsidR="00CB1266" w:rsidRPr="006B15A5">
        <w:rPr>
          <w:rFonts w:eastAsiaTheme="minorHAnsi" w:cs="Arial"/>
          <w:sz w:val="20"/>
          <w:szCs w:val="20"/>
        </w:rPr>
        <w:t>andom assignment ensures that the treatment and control groups are equivalent from a s</w:t>
      </w:r>
      <w:r w:rsidR="00CB1266">
        <w:rPr>
          <w:rFonts w:eastAsiaTheme="minorHAnsi" w:cs="Arial"/>
          <w:sz w:val="20"/>
          <w:szCs w:val="20"/>
        </w:rPr>
        <w:t xml:space="preserve">tatistical standpoint, and </w:t>
      </w:r>
      <w:r w:rsidR="00CB1266" w:rsidRPr="006B15A5">
        <w:rPr>
          <w:rFonts w:eastAsiaTheme="minorHAnsi" w:cs="Arial"/>
          <w:sz w:val="20"/>
          <w:szCs w:val="20"/>
        </w:rPr>
        <w:t xml:space="preserve">the experimental design can </w:t>
      </w:r>
      <w:r w:rsidR="00CB1266">
        <w:rPr>
          <w:rFonts w:eastAsiaTheme="minorHAnsi" w:cs="Arial"/>
          <w:sz w:val="20"/>
          <w:szCs w:val="20"/>
        </w:rPr>
        <w:t>test</w:t>
      </w:r>
      <w:r w:rsidR="00CB1266" w:rsidRPr="006B15A5">
        <w:rPr>
          <w:rFonts w:eastAsiaTheme="minorHAnsi" w:cs="Arial"/>
          <w:sz w:val="20"/>
          <w:szCs w:val="20"/>
        </w:rPr>
        <w:t xml:space="preserve"> the hypothesis that </w:t>
      </w:r>
      <w:r w:rsidR="00CB1266">
        <w:rPr>
          <w:rFonts w:eastAsiaTheme="minorHAnsi" w:cs="Arial"/>
          <w:sz w:val="20"/>
          <w:szCs w:val="20"/>
        </w:rPr>
        <w:t xml:space="preserve">the reports lead to </w:t>
      </w:r>
      <w:r w:rsidR="00CB1266" w:rsidRPr="006B15A5">
        <w:rPr>
          <w:rFonts w:eastAsiaTheme="minorHAnsi" w:cs="Arial"/>
          <w:sz w:val="20"/>
          <w:szCs w:val="20"/>
        </w:rPr>
        <w:t>energy savings in the treatment group</w:t>
      </w:r>
      <w:r w:rsidR="00CB1266">
        <w:rPr>
          <w:rFonts w:eastAsiaTheme="minorHAnsi" w:cs="Arial"/>
          <w:sz w:val="20"/>
          <w:szCs w:val="20"/>
        </w:rPr>
        <w:t>. Other than the fact that the treatment group receives the reports, h</w:t>
      </w:r>
      <w:r w:rsidR="00CB1266" w:rsidRPr="006B15A5">
        <w:rPr>
          <w:rFonts w:eastAsiaTheme="minorHAnsi" w:cs="Arial"/>
          <w:sz w:val="20"/>
          <w:szCs w:val="20"/>
        </w:rPr>
        <w:t xml:space="preserve">ouseholds in the treatment and control groups are treated in the same fashion with respect to all other utility interactions.  </w:t>
      </w:r>
      <w:r w:rsidR="00CB0D2B">
        <w:rPr>
          <w:rFonts w:eastAsiaTheme="minorHAnsi" w:cs="Arial"/>
          <w:sz w:val="20"/>
          <w:szCs w:val="20"/>
        </w:rPr>
        <w:t>The r</w:t>
      </w:r>
      <w:r w:rsidR="00CB1266">
        <w:rPr>
          <w:rFonts w:eastAsiaTheme="minorHAnsi" w:cs="Arial"/>
          <w:sz w:val="20"/>
          <w:szCs w:val="20"/>
        </w:rPr>
        <w:t xml:space="preserve">andomized control </w:t>
      </w:r>
      <w:r w:rsidR="00CB0D2B">
        <w:rPr>
          <w:rFonts w:eastAsiaTheme="minorHAnsi" w:cs="Arial"/>
          <w:sz w:val="20"/>
          <w:szCs w:val="20"/>
        </w:rPr>
        <w:t xml:space="preserve">trial methodology </w:t>
      </w:r>
      <w:r w:rsidR="00CB1266">
        <w:rPr>
          <w:rFonts w:eastAsiaTheme="minorHAnsi" w:cs="Arial"/>
          <w:sz w:val="20"/>
          <w:szCs w:val="20"/>
        </w:rPr>
        <w:t>provides a comparison group so that the effectiveness of the treatment can be determined with precision.</w:t>
      </w:r>
    </w:p>
    <w:p w:rsidR="00CB1266" w:rsidRDefault="00CB1266" w:rsidP="00CB1266">
      <w:pPr>
        <w:rPr>
          <w:rFonts w:eastAsiaTheme="minorHAnsi" w:cs="Arial"/>
          <w:sz w:val="20"/>
          <w:szCs w:val="20"/>
        </w:rPr>
      </w:pPr>
    </w:p>
    <w:p w:rsidR="006B15A5" w:rsidRPr="00CB0D2B" w:rsidRDefault="006B15A5" w:rsidP="00771691">
      <w:pPr>
        <w:rPr>
          <w:rFonts w:eastAsiaTheme="minorHAnsi" w:cs="Arial"/>
          <w:sz w:val="20"/>
          <w:szCs w:val="20"/>
        </w:rPr>
      </w:pPr>
      <w:r w:rsidRPr="006B15A5">
        <w:rPr>
          <w:rFonts w:eastAsiaTheme="minorHAnsi" w:cs="Arial"/>
          <w:sz w:val="20"/>
          <w:szCs w:val="20"/>
        </w:rPr>
        <w:t xml:space="preserve">A number of independent evaluations of comparative usage programs around the country </w:t>
      </w:r>
      <w:r w:rsidR="005A1336">
        <w:rPr>
          <w:rFonts w:eastAsiaTheme="minorHAnsi" w:cs="Arial"/>
          <w:sz w:val="20"/>
          <w:szCs w:val="20"/>
        </w:rPr>
        <w:t>provide</w:t>
      </w:r>
      <w:r w:rsidR="00CB1266">
        <w:rPr>
          <w:rFonts w:eastAsiaTheme="minorHAnsi" w:cs="Arial"/>
          <w:sz w:val="20"/>
          <w:szCs w:val="20"/>
        </w:rPr>
        <w:t xml:space="preserve"> evidence of their effectiveness in </w:t>
      </w:r>
      <w:r w:rsidRPr="006B15A5">
        <w:rPr>
          <w:rFonts w:eastAsiaTheme="minorHAnsi" w:cs="Arial"/>
          <w:sz w:val="20"/>
          <w:szCs w:val="20"/>
        </w:rPr>
        <w:t xml:space="preserve">reducing energy demand. </w:t>
      </w:r>
      <w:r w:rsidR="00CB1266">
        <w:rPr>
          <w:rFonts w:eastAsiaTheme="minorHAnsi" w:cs="Arial"/>
          <w:sz w:val="20"/>
          <w:szCs w:val="20"/>
        </w:rPr>
        <w:t xml:space="preserve">A meta-analysis of HER programs conducted by Environmental Defense Fund demonstrates that households receiving the reports </w:t>
      </w:r>
      <w:r w:rsidRPr="006B15A5">
        <w:rPr>
          <w:rFonts w:eastAsiaTheme="minorHAnsi" w:cs="Arial"/>
          <w:sz w:val="20"/>
          <w:szCs w:val="20"/>
        </w:rPr>
        <w:t>reduce energy demand by 1.8% on average, with the effectiveness of individual programs ranging from 0.9% to 2.9% [EDF].</w:t>
      </w:r>
      <w:r w:rsidR="00CB0D2B">
        <w:rPr>
          <w:rFonts w:eastAsiaTheme="minorHAnsi" w:cs="Arial"/>
          <w:sz w:val="20"/>
          <w:szCs w:val="20"/>
        </w:rPr>
        <w:t xml:space="preserve"> Because the customer characteristics of each experiment are unique, savings for each experiment must be calculated on an </w:t>
      </w:r>
      <w:r w:rsidR="00CB0D2B">
        <w:rPr>
          <w:rFonts w:eastAsiaTheme="minorHAnsi" w:cs="Arial"/>
          <w:i/>
          <w:sz w:val="20"/>
          <w:szCs w:val="20"/>
        </w:rPr>
        <w:t>ex post</w:t>
      </w:r>
      <w:r w:rsidR="00CB0D2B">
        <w:rPr>
          <w:rFonts w:eastAsiaTheme="minorHAnsi" w:cs="Arial"/>
          <w:sz w:val="20"/>
          <w:szCs w:val="20"/>
        </w:rPr>
        <w:t xml:space="preserve"> basis.</w:t>
      </w:r>
    </w:p>
    <w:p w:rsidR="00CB1266" w:rsidRPr="006B15A5" w:rsidRDefault="00CB1266" w:rsidP="00771691">
      <w:pPr>
        <w:rPr>
          <w:rFonts w:eastAsiaTheme="minorHAnsi" w:cs="Arial"/>
          <w:sz w:val="20"/>
          <w:szCs w:val="20"/>
        </w:rPr>
      </w:pPr>
    </w:p>
    <w:p w:rsidR="006B15A5" w:rsidRPr="006B15A5" w:rsidRDefault="006B15A5" w:rsidP="00771691">
      <w:pPr>
        <w:rPr>
          <w:rFonts w:eastAsiaTheme="minorHAnsi" w:cs="Arial"/>
          <w:sz w:val="20"/>
          <w:szCs w:val="20"/>
        </w:rPr>
      </w:pPr>
      <w:r w:rsidRPr="006B15A5">
        <w:rPr>
          <w:rFonts w:eastAsiaTheme="minorHAnsi" w:cs="Arial"/>
          <w:sz w:val="20"/>
          <w:szCs w:val="20"/>
        </w:rPr>
        <w:t xml:space="preserve">The </w:t>
      </w:r>
      <w:r w:rsidR="00CB1266">
        <w:rPr>
          <w:rFonts w:eastAsiaTheme="minorHAnsi" w:cs="Arial"/>
          <w:sz w:val="20"/>
          <w:szCs w:val="20"/>
        </w:rPr>
        <w:t xml:space="preserve">HER </w:t>
      </w:r>
      <w:r w:rsidRPr="006B15A5">
        <w:rPr>
          <w:rFonts w:eastAsiaTheme="minorHAnsi" w:cs="Arial"/>
          <w:sz w:val="20"/>
          <w:szCs w:val="20"/>
        </w:rPr>
        <w:t>experiments are keyed to accounts</w:t>
      </w:r>
      <w:r w:rsidR="00CB0D2B">
        <w:rPr>
          <w:rFonts w:eastAsiaTheme="minorHAnsi" w:cs="Arial"/>
          <w:sz w:val="20"/>
          <w:szCs w:val="20"/>
        </w:rPr>
        <w:t>,</w:t>
      </w:r>
      <w:r w:rsidRPr="006B15A5">
        <w:rPr>
          <w:rFonts w:eastAsiaTheme="minorHAnsi" w:cs="Arial"/>
          <w:sz w:val="20"/>
          <w:szCs w:val="20"/>
        </w:rPr>
        <w:t xml:space="preserve"> not meters</w:t>
      </w:r>
      <w:r w:rsidR="00CB0D2B">
        <w:rPr>
          <w:rFonts w:eastAsiaTheme="minorHAnsi" w:cs="Arial"/>
          <w:sz w:val="20"/>
          <w:szCs w:val="20"/>
        </w:rPr>
        <w:t>,</w:t>
      </w:r>
      <w:r w:rsidRPr="006B15A5">
        <w:rPr>
          <w:rFonts w:eastAsiaTheme="minorHAnsi" w:cs="Arial"/>
          <w:sz w:val="20"/>
          <w:szCs w:val="20"/>
        </w:rPr>
        <w:t xml:space="preserve"> so that attrition among participants can be taken into account.</w:t>
      </w:r>
      <w:r w:rsidR="004F7E62">
        <w:rPr>
          <w:rFonts w:eastAsiaTheme="minorHAnsi" w:cs="Arial"/>
          <w:sz w:val="20"/>
          <w:szCs w:val="20"/>
        </w:rPr>
        <w:t xml:space="preserve"> There are two sources of attribution:</w:t>
      </w:r>
    </w:p>
    <w:p w:rsidR="00B87004" w:rsidRDefault="004F7E62" w:rsidP="00771691">
      <w:pPr>
        <w:numPr>
          <w:ilvl w:val="0"/>
          <w:numId w:val="27"/>
        </w:numPr>
        <w:contextualSpacing/>
        <w:rPr>
          <w:rFonts w:eastAsiaTheme="minorHAnsi" w:cs="Arial"/>
          <w:sz w:val="20"/>
          <w:szCs w:val="20"/>
        </w:rPr>
      </w:pPr>
      <w:r>
        <w:rPr>
          <w:rFonts w:eastAsiaTheme="minorHAnsi" w:cs="Arial"/>
          <w:sz w:val="20"/>
          <w:szCs w:val="20"/>
        </w:rPr>
        <w:t>Households requesting not to receive the reports (“o</w:t>
      </w:r>
      <w:r w:rsidR="006B15A5" w:rsidRPr="006B15A5">
        <w:rPr>
          <w:rFonts w:eastAsiaTheme="minorHAnsi" w:cs="Arial"/>
          <w:sz w:val="20"/>
          <w:szCs w:val="20"/>
        </w:rPr>
        <w:t>pt</w:t>
      </w:r>
      <w:r>
        <w:rPr>
          <w:rFonts w:eastAsiaTheme="minorHAnsi" w:cs="Arial"/>
          <w:sz w:val="20"/>
          <w:szCs w:val="20"/>
        </w:rPr>
        <w:t>-</w:t>
      </w:r>
      <w:r w:rsidR="006B15A5" w:rsidRPr="006B15A5">
        <w:rPr>
          <w:rFonts w:eastAsiaTheme="minorHAnsi" w:cs="Arial"/>
          <w:sz w:val="20"/>
          <w:szCs w:val="20"/>
        </w:rPr>
        <w:t>out</w:t>
      </w:r>
      <w:r>
        <w:rPr>
          <w:rFonts w:eastAsiaTheme="minorHAnsi" w:cs="Arial"/>
          <w:sz w:val="20"/>
          <w:szCs w:val="20"/>
        </w:rPr>
        <w:t xml:space="preserve">s”). The HER experiments are run on an opt-out basis. In practice this means that a group of potential </w:t>
      </w:r>
      <w:r w:rsidR="00CB0D2B">
        <w:rPr>
          <w:rFonts w:eastAsiaTheme="minorHAnsi" w:cs="Arial"/>
          <w:sz w:val="20"/>
          <w:szCs w:val="20"/>
        </w:rPr>
        <w:t xml:space="preserve">residential customers </w:t>
      </w:r>
      <w:r>
        <w:rPr>
          <w:rFonts w:eastAsiaTheme="minorHAnsi" w:cs="Arial"/>
          <w:sz w:val="20"/>
          <w:szCs w:val="20"/>
        </w:rPr>
        <w:t>that are homogeneous (with respect to building type, geography, and average past energy usage) are randomly assigned to either treatment or control conditions. Reports are mailed to all households in the treatment condition. About one half of one percent (</w:t>
      </w:r>
      <w:r w:rsidR="00CB1266">
        <w:rPr>
          <w:rFonts w:eastAsiaTheme="minorHAnsi" w:cs="Arial"/>
          <w:sz w:val="20"/>
          <w:szCs w:val="20"/>
        </w:rPr>
        <w:t>0.5%</w:t>
      </w:r>
      <w:r>
        <w:rPr>
          <w:rFonts w:eastAsiaTheme="minorHAnsi" w:cs="Arial"/>
          <w:sz w:val="20"/>
          <w:szCs w:val="20"/>
        </w:rPr>
        <w:t>) of treatment households request that they not be sent reports</w:t>
      </w:r>
      <w:r w:rsidR="00B87004">
        <w:rPr>
          <w:rFonts w:eastAsiaTheme="minorHAnsi" w:cs="Arial"/>
          <w:sz w:val="20"/>
          <w:szCs w:val="20"/>
        </w:rPr>
        <w:t xml:space="preserve"> (</w:t>
      </w:r>
      <w:r>
        <w:rPr>
          <w:rFonts w:eastAsiaTheme="minorHAnsi" w:cs="Arial"/>
          <w:sz w:val="20"/>
          <w:szCs w:val="20"/>
        </w:rPr>
        <w:t xml:space="preserve">they </w:t>
      </w:r>
      <w:r w:rsidR="00B87004">
        <w:rPr>
          <w:rFonts w:eastAsiaTheme="minorHAnsi" w:cs="Arial"/>
          <w:sz w:val="20"/>
          <w:szCs w:val="20"/>
        </w:rPr>
        <w:t>“</w:t>
      </w:r>
      <w:r w:rsidR="006B15A5" w:rsidRPr="006B15A5">
        <w:rPr>
          <w:rFonts w:eastAsiaTheme="minorHAnsi" w:cs="Arial"/>
          <w:sz w:val="20"/>
          <w:szCs w:val="20"/>
        </w:rPr>
        <w:t>opt-out</w:t>
      </w:r>
      <w:r w:rsidR="00B87004">
        <w:rPr>
          <w:rFonts w:eastAsiaTheme="minorHAnsi" w:cs="Arial"/>
          <w:sz w:val="20"/>
          <w:szCs w:val="20"/>
        </w:rPr>
        <w:t>”</w:t>
      </w:r>
      <w:r w:rsidR="006B15A5" w:rsidRPr="006B15A5">
        <w:rPr>
          <w:rFonts w:eastAsiaTheme="minorHAnsi" w:cs="Arial"/>
          <w:sz w:val="20"/>
          <w:szCs w:val="20"/>
        </w:rPr>
        <w:t xml:space="preserve"> of the program</w:t>
      </w:r>
      <w:r w:rsidR="00B87004">
        <w:rPr>
          <w:rFonts w:eastAsiaTheme="minorHAnsi" w:cs="Arial"/>
          <w:sz w:val="20"/>
          <w:szCs w:val="20"/>
        </w:rPr>
        <w:t>)</w:t>
      </w:r>
      <w:r w:rsidR="006B15A5" w:rsidRPr="006B15A5">
        <w:rPr>
          <w:rFonts w:eastAsiaTheme="minorHAnsi" w:cs="Arial"/>
          <w:sz w:val="20"/>
          <w:szCs w:val="20"/>
        </w:rPr>
        <w:t xml:space="preserve">. </w:t>
      </w:r>
      <w:r w:rsidR="00B87004">
        <w:rPr>
          <w:rFonts w:eastAsiaTheme="minorHAnsi" w:cs="Arial"/>
          <w:sz w:val="20"/>
          <w:szCs w:val="20"/>
        </w:rPr>
        <w:t xml:space="preserve"> Since households opting out of the program receive at least one report, they are </w:t>
      </w:r>
      <w:r>
        <w:rPr>
          <w:rFonts w:eastAsiaTheme="minorHAnsi" w:cs="Arial"/>
          <w:sz w:val="20"/>
          <w:szCs w:val="20"/>
        </w:rPr>
        <w:t xml:space="preserve">considered to have received the treatment and they are </w:t>
      </w:r>
      <w:r w:rsidR="00B87004">
        <w:rPr>
          <w:rFonts w:eastAsiaTheme="minorHAnsi" w:cs="Arial"/>
          <w:sz w:val="20"/>
          <w:szCs w:val="20"/>
        </w:rPr>
        <w:t>retained in the experiment</w:t>
      </w:r>
      <w:r>
        <w:rPr>
          <w:rFonts w:eastAsiaTheme="minorHAnsi" w:cs="Arial"/>
          <w:sz w:val="20"/>
          <w:szCs w:val="20"/>
        </w:rPr>
        <w:t xml:space="preserve"> with respect to being included in the treatment group for the ex post billing analysis</w:t>
      </w:r>
      <w:r w:rsidR="00B87004">
        <w:rPr>
          <w:rFonts w:eastAsiaTheme="minorHAnsi" w:cs="Arial"/>
          <w:sz w:val="20"/>
          <w:szCs w:val="20"/>
        </w:rPr>
        <w:t>.</w:t>
      </w:r>
    </w:p>
    <w:p w:rsidR="006B15A5" w:rsidRPr="006B15A5" w:rsidRDefault="004F7E62" w:rsidP="00771691">
      <w:pPr>
        <w:numPr>
          <w:ilvl w:val="0"/>
          <w:numId w:val="27"/>
        </w:numPr>
        <w:contextualSpacing/>
        <w:rPr>
          <w:rFonts w:eastAsiaTheme="minorHAnsi" w:cs="Arial"/>
          <w:sz w:val="20"/>
          <w:szCs w:val="20"/>
        </w:rPr>
      </w:pPr>
      <w:r>
        <w:rPr>
          <w:rFonts w:eastAsiaTheme="minorHAnsi" w:cs="Arial"/>
          <w:sz w:val="20"/>
          <w:szCs w:val="20"/>
        </w:rPr>
        <w:t xml:space="preserve">General attrition. Households that move away from their residence (e.g., </w:t>
      </w:r>
      <w:r w:rsidR="006B15A5" w:rsidRPr="006B15A5">
        <w:rPr>
          <w:rFonts w:eastAsiaTheme="minorHAnsi" w:cs="Arial"/>
          <w:sz w:val="20"/>
          <w:szCs w:val="20"/>
        </w:rPr>
        <w:t xml:space="preserve">moving, change of </w:t>
      </w:r>
      <w:r>
        <w:rPr>
          <w:rFonts w:eastAsiaTheme="minorHAnsi" w:cs="Arial"/>
          <w:sz w:val="20"/>
          <w:szCs w:val="20"/>
        </w:rPr>
        <w:t>utility billing address). Attrition</w:t>
      </w:r>
      <w:r w:rsidR="006B15A5" w:rsidRPr="006B15A5">
        <w:rPr>
          <w:rFonts w:eastAsiaTheme="minorHAnsi" w:cs="Arial"/>
          <w:sz w:val="20"/>
          <w:szCs w:val="20"/>
        </w:rPr>
        <w:t xml:space="preserve"> is estimated at </w:t>
      </w:r>
      <w:r w:rsidR="00CB0D2B">
        <w:rPr>
          <w:rFonts w:eastAsiaTheme="minorHAnsi" w:cs="Arial"/>
          <w:sz w:val="20"/>
          <w:szCs w:val="20"/>
        </w:rPr>
        <w:t>0.8</w:t>
      </w:r>
      <w:r w:rsidR="006B15A5" w:rsidRPr="006B15A5">
        <w:rPr>
          <w:rFonts w:eastAsiaTheme="minorHAnsi" w:cs="Arial"/>
          <w:sz w:val="20"/>
          <w:szCs w:val="20"/>
        </w:rPr>
        <w:t xml:space="preserve">% of the </w:t>
      </w:r>
      <w:r>
        <w:rPr>
          <w:rFonts w:eastAsiaTheme="minorHAnsi" w:cs="Arial"/>
          <w:sz w:val="20"/>
          <w:szCs w:val="20"/>
        </w:rPr>
        <w:t>treatment group</w:t>
      </w:r>
      <w:r w:rsidR="006B15A5" w:rsidRPr="006B15A5">
        <w:rPr>
          <w:rFonts w:eastAsiaTheme="minorHAnsi" w:cs="Arial"/>
          <w:sz w:val="20"/>
          <w:szCs w:val="20"/>
        </w:rPr>
        <w:t xml:space="preserve"> per month</w:t>
      </w:r>
      <w:r w:rsidR="00CB0D2B">
        <w:rPr>
          <w:rFonts w:eastAsiaTheme="minorHAnsi" w:cs="Arial"/>
          <w:sz w:val="20"/>
          <w:szCs w:val="20"/>
        </w:rPr>
        <w:t>, depending on the precise customer characteristics that define each experiment</w:t>
      </w:r>
      <w:r w:rsidR="006B15A5" w:rsidRPr="006B15A5">
        <w:rPr>
          <w:rFonts w:eastAsiaTheme="minorHAnsi" w:cs="Arial"/>
          <w:sz w:val="20"/>
          <w:szCs w:val="20"/>
        </w:rPr>
        <w:t xml:space="preserve">.  </w:t>
      </w:r>
      <w:r w:rsidR="00CB0D2B">
        <w:rPr>
          <w:rFonts w:eastAsiaTheme="minorHAnsi" w:cs="Arial"/>
          <w:sz w:val="20"/>
          <w:szCs w:val="20"/>
        </w:rPr>
        <w:t>Attriting</w:t>
      </w:r>
      <w:r w:rsidR="00CB0D2B" w:rsidRPr="006B15A5">
        <w:rPr>
          <w:rFonts w:eastAsiaTheme="minorHAnsi" w:cs="Arial"/>
          <w:sz w:val="20"/>
          <w:szCs w:val="20"/>
        </w:rPr>
        <w:t xml:space="preserve"> </w:t>
      </w:r>
      <w:r w:rsidR="006B15A5" w:rsidRPr="006B15A5">
        <w:rPr>
          <w:rFonts w:eastAsiaTheme="minorHAnsi" w:cs="Arial"/>
          <w:sz w:val="20"/>
          <w:szCs w:val="20"/>
        </w:rPr>
        <w:t xml:space="preserve">accounts are kept in the </w:t>
      </w:r>
      <w:r w:rsidR="00D967B1">
        <w:rPr>
          <w:rFonts w:eastAsiaTheme="minorHAnsi" w:cs="Arial"/>
          <w:sz w:val="20"/>
          <w:szCs w:val="20"/>
        </w:rPr>
        <w:t>experiment</w:t>
      </w:r>
      <w:r w:rsidR="00D967B1" w:rsidRPr="006B15A5">
        <w:rPr>
          <w:rFonts w:eastAsiaTheme="minorHAnsi" w:cs="Arial"/>
          <w:sz w:val="20"/>
          <w:szCs w:val="20"/>
        </w:rPr>
        <w:t xml:space="preserve"> </w:t>
      </w:r>
      <w:r w:rsidR="006B15A5" w:rsidRPr="006B15A5">
        <w:rPr>
          <w:rFonts w:eastAsiaTheme="minorHAnsi" w:cs="Arial"/>
          <w:sz w:val="20"/>
          <w:szCs w:val="20"/>
        </w:rPr>
        <w:t xml:space="preserve">until the meter is “stopped” at account closing.  </w:t>
      </w:r>
    </w:p>
    <w:p w:rsidR="004F7E62" w:rsidRDefault="004F7E62" w:rsidP="00771691">
      <w:pPr>
        <w:rPr>
          <w:rFonts w:eastAsiaTheme="minorHAnsi" w:cs="Arial"/>
          <w:sz w:val="20"/>
          <w:szCs w:val="20"/>
        </w:rPr>
      </w:pPr>
    </w:p>
    <w:p w:rsidR="006B15A5" w:rsidRPr="006B15A5" w:rsidRDefault="004F7E62" w:rsidP="00771691">
      <w:pPr>
        <w:rPr>
          <w:rFonts w:eastAsiaTheme="minorHAnsi" w:cs="Arial"/>
          <w:sz w:val="20"/>
          <w:szCs w:val="20"/>
        </w:rPr>
      </w:pPr>
      <w:r>
        <w:rPr>
          <w:rFonts w:eastAsiaTheme="minorHAnsi" w:cs="Arial"/>
          <w:sz w:val="20"/>
          <w:szCs w:val="20"/>
        </w:rPr>
        <w:t>To ensure that the energy savings claimed by HER is not duplicative of savings claimed elsewhere in the portfolio, two types of analysis will be undertaken</w:t>
      </w:r>
      <w:r w:rsidR="006B15A5" w:rsidRPr="006B15A5">
        <w:rPr>
          <w:rFonts w:eastAsiaTheme="minorHAnsi" w:cs="Arial"/>
          <w:sz w:val="20"/>
          <w:szCs w:val="20"/>
        </w:rPr>
        <w:t xml:space="preserve">:  </w:t>
      </w:r>
    </w:p>
    <w:p w:rsidR="006B15A5" w:rsidRPr="006B15A5" w:rsidRDefault="004F7E62" w:rsidP="00771691">
      <w:pPr>
        <w:numPr>
          <w:ilvl w:val="0"/>
          <w:numId w:val="28"/>
        </w:numPr>
        <w:contextualSpacing/>
        <w:rPr>
          <w:rFonts w:eastAsiaTheme="minorHAnsi" w:cs="Arial"/>
          <w:sz w:val="20"/>
          <w:szCs w:val="20"/>
        </w:rPr>
      </w:pPr>
      <w:r>
        <w:rPr>
          <w:rFonts w:eastAsiaTheme="minorHAnsi" w:cs="Arial"/>
          <w:sz w:val="20"/>
          <w:szCs w:val="20"/>
        </w:rPr>
        <w:t xml:space="preserve">Assessment of participation in direct rebate programs (“downstream” measures). A comparison of the relative uptake of downstream measures between treatment and control groups will be undertaken to determine whether </w:t>
      </w:r>
      <w:r w:rsidR="00C52701">
        <w:rPr>
          <w:rFonts w:eastAsiaTheme="minorHAnsi" w:cs="Arial"/>
          <w:sz w:val="20"/>
          <w:szCs w:val="20"/>
        </w:rPr>
        <w:t>there is a difference between the uptake of downstream measures between treatment and control groups.</w:t>
      </w:r>
    </w:p>
    <w:p w:rsidR="00EE2E4F" w:rsidRDefault="00FC4515" w:rsidP="00771691">
      <w:pPr>
        <w:numPr>
          <w:ilvl w:val="0"/>
          <w:numId w:val="28"/>
        </w:numPr>
        <w:contextualSpacing/>
        <w:rPr>
          <w:rFonts w:eastAsiaTheme="minorHAnsi" w:cs="Arial"/>
          <w:sz w:val="20"/>
          <w:szCs w:val="20"/>
        </w:rPr>
      </w:pPr>
      <w:r w:rsidRPr="00EE2E4F">
        <w:rPr>
          <w:rFonts w:eastAsiaTheme="minorHAnsi" w:cs="Arial"/>
          <w:sz w:val="20"/>
          <w:szCs w:val="20"/>
        </w:rPr>
        <w:t xml:space="preserve">Assessment of participation in manufacturer and reseller rebate programs (“upstream” measures). </w:t>
      </w:r>
      <w:r w:rsidR="006B15A5" w:rsidRPr="00EE2E4F">
        <w:rPr>
          <w:rFonts w:eastAsiaTheme="minorHAnsi" w:cs="Arial"/>
          <w:sz w:val="20"/>
          <w:szCs w:val="20"/>
        </w:rPr>
        <w:t xml:space="preserve">PG&amp;E is undertaking </w:t>
      </w:r>
      <w:r w:rsidR="00CB0D2B">
        <w:rPr>
          <w:rFonts w:eastAsiaTheme="minorHAnsi" w:cs="Arial"/>
          <w:sz w:val="20"/>
          <w:szCs w:val="20"/>
        </w:rPr>
        <w:t>home inventories</w:t>
      </w:r>
      <w:r w:rsidR="006B15A5" w:rsidRPr="00EE2E4F">
        <w:rPr>
          <w:rFonts w:eastAsiaTheme="minorHAnsi" w:cs="Arial"/>
          <w:sz w:val="20"/>
          <w:szCs w:val="20"/>
        </w:rPr>
        <w:t xml:space="preserve"> </w:t>
      </w:r>
      <w:r w:rsidR="00D92BFE">
        <w:rPr>
          <w:rFonts w:eastAsiaTheme="minorHAnsi" w:cs="Arial"/>
          <w:sz w:val="20"/>
          <w:szCs w:val="20"/>
        </w:rPr>
        <w:t xml:space="preserve">of </w:t>
      </w:r>
      <w:r w:rsidRPr="00EE2E4F">
        <w:rPr>
          <w:rFonts w:eastAsiaTheme="minorHAnsi" w:cs="Arial"/>
          <w:sz w:val="20"/>
          <w:szCs w:val="20"/>
        </w:rPr>
        <w:t>8</w:t>
      </w:r>
      <w:r w:rsidR="006B15A5" w:rsidRPr="00EE2E4F">
        <w:rPr>
          <w:rFonts w:eastAsiaTheme="minorHAnsi" w:cs="Arial"/>
          <w:sz w:val="20"/>
          <w:szCs w:val="20"/>
        </w:rPr>
        <w:t>00 randomly selected residences</w:t>
      </w:r>
      <w:r w:rsidRPr="00EE2E4F">
        <w:rPr>
          <w:rFonts w:eastAsiaTheme="minorHAnsi" w:cs="Arial"/>
          <w:sz w:val="20"/>
          <w:szCs w:val="20"/>
        </w:rPr>
        <w:t xml:space="preserve"> (half in treatment and half in control</w:t>
      </w:r>
      <w:r w:rsidR="00EE2E4F" w:rsidRPr="00EE2E4F">
        <w:rPr>
          <w:rFonts w:eastAsiaTheme="minorHAnsi" w:cs="Arial"/>
          <w:sz w:val="20"/>
          <w:szCs w:val="20"/>
        </w:rPr>
        <w:t xml:space="preserve">) to determine whether there is an increased uptake in the most important </w:t>
      </w:r>
      <w:r w:rsidR="00D967B1">
        <w:rPr>
          <w:rFonts w:eastAsiaTheme="minorHAnsi" w:cs="Arial"/>
          <w:sz w:val="20"/>
          <w:szCs w:val="20"/>
        </w:rPr>
        <w:t xml:space="preserve">upstream measures which involve </w:t>
      </w:r>
      <w:r w:rsidR="00EE2E4F" w:rsidRPr="00EE2E4F">
        <w:rPr>
          <w:rFonts w:eastAsiaTheme="minorHAnsi" w:cs="Arial"/>
          <w:sz w:val="20"/>
          <w:szCs w:val="20"/>
        </w:rPr>
        <w:t>manufacturer (CFL and LED) and reseller (</w:t>
      </w:r>
      <w:r w:rsidR="00D967B1">
        <w:rPr>
          <w:rFonts w:eastAsiaTheme="minorHAnsi" w:cs="Arial"/>
          <w:sz w:val="20"/>
          <w:szCs w:val="20"/>
        </w:rPr>
        <w:t xml:space="preserve">CFL, LED, and </w:t>
      </w:r>
      <w:r w:rsidR="00EE2E4F" w:rsidRPr="00EE2E4F">
        <w:rPr>
          <w:rFonts w:eastAsiaTheme="minorHAnsi" w:cs="Arial"/>
          <w:sz w:val="20"/>
          <w:szCs w:val="20"/>
        </w:rPr>
        <w:t xml:space="preserve">television) rebates. </w:t>
      </w:r>
    </w:p>
    <w:p w:rsidR="00EE2E4F" w:rsidRDefault="00EE2E4F" w:rsidP="00771691">
      <w:pPr>
        <w:rPr>
          <w:rFonts w:eastAsiaTheme="minorHAnsi" w:cs="Arial"/>
          <w:sz w:val="20"/>
          <w:szCs w:val="20"/>
        </w:rPr>
      </w:pPr>
    </w:p>
    <w:p w:rsidR="00BA2775" w:rsidRDefault="006B15A5" w:rsidP="00EE2E4F">
      <w:pPr>
        <w:rPr>
          <w:sz w:val="20"/>
          <w:szCs w:val="20"/>
        </w:rPr>
      </w:pPr>
      <w:r w:rsidRPr="006B15A5">
        <w:rPr>
          <w:rFonts w:eastAsiaTheme="minorHAnsi" w:cs="Arial"/>
          <w:sz w:val="20"/>
          <w:szCs w:val="20"/>
        </w:rPr>
        <w:t>For the purposes of this work</w:t>
      </w:r>
      <w:r w:rsidR="00C52701">
        <w:rPr>
          <w:rFonts w:eastAsiaTheme="minorHAnsi" w:cs="Arial"/>
          <w:sz w:val="20"/>
          <w:szCs w:val="20"/>
        </w:rPr>
        <w:t xml:space="preserve"> </w:t>
      </w:r>
      <w:r w:rsidRPr="006B15A5">
        <w:rPr>
          <w:rFonts w:eastAsiaTheme="minorHAnsi" w:cs="Arial"/>
          <w:sz w:val="20"/>
          <w:szCs w:val="20"/>
        </w:rPr>
        <w:t xml:space="preserve">paper, we characterize savings based on kWh, kW or Therms per household.  This will provide the regulators and others with a value for the program consistent with DEER. </w:t>
      </w:r>
      <w:bookmarkStart w:id="35" w:name="_Toc342311747"/>
      <w:r w:rsidR="00BA7443" w:rsidRPr="00EE2E4F">
        <w:rPr>
          <w:i/>
          <w:sz w:val="20"/>
          <w:szCs w:val="20"/>
        </w:rPr>
        <w:t xml:space="preserve">A more thorough explanation of the design approaches and research techniques can be had at </w:t>
      </w:r>
      <w:r w:rsidR="00BA7443" w:rsidRPr="00EE2E4F">
        <w:rPr>
          <w:sz w:val="20"/>
          <w:szCs w:val="20"/>
        </w:rPr>
        <w:t>Neenan and Robinson (EPRI)</w:t>
      </w:r>
      <w:r w:rsidR="00BA7443" w:rsidRPr="00EE2E4F">
        <w:rPr>
          <w:i/>
          <w:sz w:val="20"/>
          <w:szCs w:val="20"/>
        </w:rPr>
        <w:t xml:space="preserve"> </w:t>
      </w:r>
      <w:r w:rsidR="00BA7443" w:rsidRPr="00EE2E4F">
        <w:rPr>
          <w:rStyle w:val="EndnoteReference"/>
          <w:i/>
          <w:sz w:val="20"/>
          <w:szCs w:val="20"/>
        </w:rPr>
        <w:endnoteReference w:id="1"/>
      </w:r>
      <w:r w:rsidR="000E2194" w:rsidRPr="00EE2E4F">
        <w:rPr>
          <w:i/>
          <w:sz w:val="20"/>
          <w:szCs w:val="20"/>
        </w:rPr>
        <w:t xml:space="preserve"> and </w:t>
      </w:r>
      <w:r w:rsidR="00475C59" w:rsidRPr="00EE2E4F">
        <w:rPr>
          <w:sz w:val="20"/>
          <w:szCs w:val="20"/>
        </w:rPr>
        <w:t>State and Local Energy Efficiency Action Network (SEE Action)</w:t>
      </w:r>
      <w:r w:rsidR="00475C59" w:rsidRPr="00EE2E4F">
        <w:rPr>
          <w:rStyle w:val="EndnoteReference"/>
          <w:i/>
          <w:sz w:val="20"/>
          <w:szCs w:val="20"/>
        </w:rPr>
        <w:endnoteReference w:id="2"/>
      </w:r>
      <w:bookmarkEnd w:id="35"/>
    </w:p>
    <w:p w:rsidR="00156198" w:rsidRDefault="00156198" w:rsidP="00EE2E4F">
      <w:pPr>
        <w:rPr>
          <w:sz w:val="20"/>
          <w:szCs w:val="20"/>
        </w:rPr>
      </w:pPr>
    </w:p>
    <w:p w:rsidR="00156198" w:rsidRPr="00EE2E4F" w:rsidRDefault="00156198" w:rsidP="00156198">
      <w:pPr>
        <w:rPr>
          <w:rFonts w:eastAsiaTheme="minorHAnsi" w:cs="Arial"/>
          <w:sz w:val="20"/>
          <w:szCs w:val="20"/>
        </w:rPr>
      </w:pPr>
      <w:r>
        <w:rPr>
          <w:rFonts w:eastAsiaTheme="minorHAnsi" w:cs="Arial"/>
          <w:sz w:val="20"/>
          <w:szCs w:val="20"/>
        </w:rPr>
        <w:t>Decision 09-09-047</w:t>
      </w:r>
      <w:r w:rsidR="00C83F0A">
        <w:rPr>
          <w:rFonts w:eastAsiaTheme="minorHAnsi" w:cs="Arial"/>
          <w:sz w:val="20"/>
          <w:szCs w:val="20"/>
        </w:rPr>
        <w:t xml:space="preserve"> </w:t>
      </w:r>
      <w:r>
        <w:rPr>
          <w:rFonts w:eastAsiaTheme="minorHAnsi" w:cs="Arial"/>
          <w:sz w:val="20"/>
          <w:szCs w:val="20"/>
        </w:rPr>
        <w:t>(pg. 304)</w:t>
      </w:r>
      <w:r w:rsidR="00C83F0A" w:rsidRPr="00B9432C">
        <w:rPr>
          <w:rStyle w:val="EndnoteReference"/>
          <w:rFonts w:eastAsiaTheme="minorHAnsi" w:cs="Arial"/>
          <w:b/>
          <w:sz w:val="24"/>
        </w:rPr>
        <w:endnoteReference w:id="3"/>
      </w:r>
      <w:r>
        <w:rPr>
          <w:rFonts w:eastAsiaTheme="minorHAnsi" w:cs="Arial"/>
          <w:sz w:val="20"/>
          <w:szCs w:val="20"/>
        </w:rPr>
        <w:t xml:space="preserve"> authorizes the IOUs to make savings claims for </w:t>
      </w:r>
      <w:r w:rsidRPr="00156198">
        <w:rPr>
          <w:rFonts w:eastAsiaTheme="minorHAnsi" w:cs="Arial"/>
          <w:sz w:val="20"/>
          <w:szCs w:val="20"/>
        </w:rPr>
        <w:t xml:space="preserve">interventions </w:t>
      </w:r>
      <w:r>
        <w:rPr>
          <w:rFonts w:eastAsiaTheme="minorHAnsi" w:cs="Arial"/>
          <w:sz w:val="20"/>
          <w:szCs w:val="20"/>
        </w:rPr>
        <w:t xml:space="preserve">that use </w:t>
      </w:r>
      <w:r w:rsidRPr="00156198">
        <w:rPr>
          <w:rFonts w:eastAsiaTheme="minorHAnsi" w:cs="Arial"/>
          <w:sz w:val="20"/>
          <w:szCs w:val="20"/>
        </w:rPr>
        <w:t xml:space="preserve">a “neighbor comparison” approach </w:t>
      </w:r>
      <w:r>
        <w:rPr>
          <w:rFonts w:eastAsiaTheme="minorHAnsi" w:cs="Arial"/>
          <w:sz w:val="20"/>
          <w:szCs w:val="20"/>
        </w:rPr>
        <w:t>and</w:t>
      </w:r>
      <w:r w:rsidRPr="00156198">
        <w:rPr>
          <w:rFonts w:eastAsiaTheme="minorHAnsi" w:cs="Arial"/>
          <w:sz w:val="20"/>
          <w:szCs w:val="20"/>
        </w:rPr>
        <w:t xml:space="preserve"> a randomized control test </w:t>
      </w:r>
      <w:r>
        <w:rPr>
          <w:rFonts w:eastAsiaTheme="minorHAnsi" w:cs="Arial"/>
          <w:sz w:val="20"/>
          <w:szCs w:val="20"/>
        </w:rPr>
        <w:t>(</w:t>
      </w:r>
      <w:r w:rsidRPr="00156198">
        <w:rPr>
          <w:rFonts w:eastAsiaTheme="minorHAnsi" w:cs="Arial"/>
          <w:sz w:val="20"/>
          <w:szCs w:val="20"/>
        </w:rPr>
        <w:t>whereby customers are assigned to either treatment or control conditions</w:t>
      </w:r>
      <w:r>
        <w:rPr>
          <w:rFonts w:eastAsiaTheme="minorHAnsi" w:cs="Arial"/>
          <w:sz w:val="20"/>
          <w:szCs w:val="20"/>
        </w:rPr>
        <w:t>).</w:t>
      </w:r>
      <w:r w:rsidR="00120191">
        <w:rPr>
          <w:rFonts w:eastAsiaTheme="minorHAnsi" w:cs="Arial"/>
          <w:sz w:val="20"/>
          <w:szCs w:val="20"/>
        </w:rPr>
        <w:t xml:space="preserve"> </w:t>
      </w:r>
      <w:r w:rsidRPr="00156198">
        <w:rPr>
          <w:rFonts w:eastAsiaTheme="minorHAnsi" w:cs="Arial"/>
          <w:sz w:val="20"/>
          <w:szCs w:val="20"/>
        </w:rPr>
        <w:t xml:space="preserve"> Senate Bill 488, signed into law on October 11, 2009, requires the CPUC to evaluate certain residential benchmarking programs using an experimental design approach. The decision determining EM&amp;V processes for the 2010-2012 portfolio (D. 10-04-029) provides for savings claims for behavior-based programs based on experimental design (pp. 40-42, see Conclusion of Law 18; OP 13)</w:t>
      </w:r>
      <w:r w:rsidR="00C83F0A">
        <w:rPr>
          <w:rStyle w:val="EndnoteReference"/>
          <w:rFonts w:eastAsiaTheme="minorHAnsi" w:cs="Arial"/>
          <w:sz w:val="20"/>
          <w:szCs w:val="20"/>
        </w:rPr>
        <w:endnoteReference w:id="4"/>
      </w:r>
      <w:r w:rsidRPr="00156198">
        <w:rPr>
          <w:rFonts w:eastAsiaTheme="minorHAnsi" w:cs="Arial"/>
          <w:sz w:val="20"/>
          <w:szCs w:val="20"/>
        </w:rPr>
        <w:t xml:space="preserve">. Based on these decisions, PG&amp;E </w:t>
      </w:r>
      <w:r>
        <w:rPr>
          <w:rFonts w:eastAsiaTheme="minorHAnsi" w:cs="Arial"/>
          <w:sz w:val="20"/>
          <w:szCs w:val="20"/>
        </w:rPr>
        <w:t xml:space="preserve">will make ex post savings claims for HER. </w:t>
      </w:r>
    </w:p>
    <w:p w:rsidR="009C5CA7" w:rsidRDefault="009C5CA7" w:rsidP="009C5CA7">
      <w:pPr>
        <w:pStyle w:val="Heading2"/>
        <w:keepNext w:val="0"/>
      </w:pPr>
      <w:bookmarkStart w:id="36" w:name="_Toc354582131"/>
      <w:r>
        <w:t>1.</w:t>
      </w:r>
      <w:r w:rsidR="00806070">
        <w:t>3</w:t>
      </w:r>
      <w:r>
        <w:t xml:space="preserve"> </w:t>
      </w:r>
      <w:r w:rsidR="002E6162">
        <w:t xml:space="preserve">Measure Application </w:t>
      </w:r>
      <w:bookmarkEnd w:id="32"/>
      <w:r w:rsidR="002E6162">
        <w:t>Type</w:t>
      </w:r>
      <w:bookmarkEnd w:id="33"/>
      <w:bookmarkEnd w:id="34"/>
      <w:bookmarkEnd w:id="36"/>
      <w:r w:rsidR="00FA595F">
        <w:t xml:space="preserve"> </w:t>
      </w:r>
    </w:p>
    <w:p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rsidR="00BD02D0" w:rsidRPr="003541A6" w:rsidRDefault="00BD02D0" w:rsidP="00BD02D0">
      <w:pPr>
        <w:pStyle w:val="Caption"/>
        <w:keepNext/>
        <w:rPr>
          <w:rFonts w:ascii="Calibri" w:hAnsi="Calibri" w:cs="Calibri"/>
          <w:sz w:val="26"/>
          <w:szCs w:val="26"/>
        </w:rPr>
      </w:pPr>
      <w:bookmarkStart w:id="37" w:name="_Toc354582159"/>
      <w:r w:rsidRPr="003541A6">
        <w:t xml:space="preserve">Table </w:t>
      </w:r>
      <w:fldSimple w:instr=" SEQ Table \* ARABIC ">
        <w:r w:rsidR="005B4D0A">
          <w:rPr>
            <w:noProof/>
          </w:rPr>
          <w:t>1</w:t>
        </w:r>
      </w:fldSimple>
      <w:bookmarkStart w:id="38"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38"/>
      <w:r w:rsidR="00C87539">
        <w:rPr>
          <w:rStyle w:val="EndnoteReference"/>
          <w:rFonts w:cs="Arial"/>
        </w:rPr>
        <w:endnoteReference w:id="5"/>
      </w:r>
      <w:bookmarkEnd w:id="37"/>
    </w:p>
    <w:p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 xml:space="preserve">dentifies the measure application type in the Measure </w:t>
      </w:r>
      <w:r w:rsidR="00D92BFE" w:rsidRPr="00453CE7">
        <w:rPr>
          <w:rFonts w:ascii="Calibri" w:hAnsi="Calibri" w:cs="Calibri"/>
          <w:i/>
          <w:iCs/>
          <w:szCs w:val="22"/>
        </w:rPr>
        <w:t>Implementation</w:t>
      </w:r>
      <w:r w:rsidRPr="00453CE7">
        <w:rPr>
          <w:rFonts w:ascii="Calibri" w:hAnsi="Calibri" w:cs="Calibri"/>
          <w:i/>
          <w:iCs/>
          <w:szCs w:val="22"/>
        </w:rPr>
        <w:t xml:space="preserve"> table</w:t>
      </w:r>
      <w:r w:rsidR="003541A6">
        <w:rPr>
          <w:rFonts w:ascii="Calibri" w:hAnsi="Calibri" w:cs="Calibri"/>
          <w:i/>
          <w:iCs/>
          <w:szCs w:val="22"/>
        </w:rPr>
        <w:t xml:space="preserve"> in DEER2011.</w:t>
      </w:r>
    </w:p>
    <w:tbl>
      <w:tblPr>
        <w:tblW w:w="9090" w:type="dxa"/>
        <w:tblInd w:w="108" w:type="dxa"/>
        <w:tblLook w:val="04A0" w:firstRow="1" w:lastRow="0" w:firstColumn="1" w:lastColumn="0" w:noHBand="0" w:noVBand="1"/>
      </w:tblPr>
      <w:tblGrid>
        <w:gridCol w:w="900"/>
        <w:gridCol w:w="2610"/>
        <w:gridCol w:w="5580"/>
      </w:tblGrid>
      <w:tr w:rsidR="00DC4019" w:rsidRPr="00BD02D0"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rsidR="009C5CA7" w:rsidRPr="00172149" w:rsidRDefault="009C5CA7" w:rsidP="009C5CA7">
      <w:pPr>
        <w:rPr>
          <w:rFonts w:cs="Arial"/>
          <w:i/>
          <w:sz w:val="20"/>
          <w:szCs w:val="20"/>
        </w:rPr>
      </w:pPr>
    </w:p>
    <w:p w:rsidR="00D73550" w:rsidRPr="008F34D9" w:rsidRDefault="0087372C" w:rsidP="002E0043">
      <w:pPr>
        <w:rPr>
          <w:sz w:val="20"/>
          <w:szCs w:val="20"/>
        </w:rPr>
      </w:pPr>
      <w:r w:rsidRPr="008F34D9">
        <w:rPr>
          <w:sz w:val="20"/>
          <w:szCs w:val="20"/>
        </w:rPr>
        <w:t xml:space="preserve">We are </w:t>
      </w:r>
      <w:r w:rsidR="00F25647">
        <w:rPr>
          <w:sz w:val="20"/>
          <w:szCs w:val="20"/>
        </w:rPr>
        <w:t>recommending that</w:t>
      </w:r>
      <w:r w:rsidR="00F25647" w:rsidRPr="008F34D9">
        <w:rPr>
          <w:sz w:val="20"/>
          <w:szCs w:val="20"/>
        </w:rPr>
        <w:t xml:space="preserve"> </w:t>
      </w:r>
      <w:r w:rsidRPr="008F34D9">
        <w:rPr>
          <w:sz w:val="20"/>
          <w:szCs w:val="20"/>
        </w:rPr>
        <w:t xml:space="preserve">residential customers, on the basis of reports and recommendations sent to their homes, change their operation of energy using devices in their homes or change to more efficient ones absent participation in PG&amp;E programs aimed at rebating such transactions.  This program group of measures being defined as behavioral responses, </w:t>
      </w:r>
      <w:r w:rsidR="00F25647">
        <w:rPr>
          <w:sz w:val="20"/>
          <w:szCs w:val="20"/>
        </w:rPr>
        <w:t xml:space="preserve">and therefore </w:t>
      </w:r>
      <w:r w:rsidRPr="008F34D9">
        <w:rPr>
          <w:sz w:val="20"/>
          <w:szCs w:val="20"/>
        </w:rPr>
        <w:t>has no corollary in the DEER transaction types.  We would go so far as to say that we would require that CPUC develop a behavior modification transaction type to fit this class of measures.  For the purposes of submitting this init</w:t>
      </w:r>
      <w:r w:rsidR="00F25647">
        <w:rPr>
          <w:sz w:val="20"/>
          <w:szCs w:val="20"/>
        </w:rPr>
        <w:t xml:space="preserve">ial procedural description </w:t>
      </w:r>
      <w:r w:rsidRPr="008F34D9">
        <w:rPr>
          <w:sz w:val="20"/>
          <w:szCs w:val="20"/>
        </w:rPr>
        <w:t xml:space="preserve">of the </w:t>
      </w:r>
      <w:r w:rsidR="00F25647">
        <w:rPr>
          <w:sz w:val="20"/>
          <w:szCs w:val="20"/>
        </w:rPr>
        <w:t>program</w:t>
      </w:r>
      <w:r w:rsidRPr="008F34D9">
        <w:rPr>
          <w:sz w:val="20"/>
          <w:szCs w:val="20"/>
        </w:rPr>
        <w:t xml:space="preserve">, we will use the ROB designation as it is the only existing transaction type that approximates the circumstances of these measures.  </w:t>
      </w:r>
    </w:p>
    <w:p w:rsidR="00806070" w:rsidRDefault="00806070" w:rsidP="001248A3">
      <w:pPr>
        <w:pStyle w:val="Heading2"/>
      </w:pPr>
      <w:bookmarkStart w:id="39" w:name="_Toc304800204"/>
      <w:bookmarkStart w:id="40" w:name="_Toc324318340"/>
      <w:bookmarkStart w:id="41" w:name="_Toc324340484"/>
      <w:bookmarkStart w:id="42" w:name="_Toc354582132"/>
      <w:r>
        <w:t>1.4 Product Base Case and Measure Case Data</w:t>
      </w:r>
      <w:bookmarkEnd w:id="39"/>
      <w:bookmarkEnd w:id="40"/>
      <w:bookmarkEnd w:id="41"/>
      <w:bookmarkEnd w:id="42"/>
    </w:p>
    <w:p w:rsidR="00E71EF1" w:rsidRDefault="001248A3" w:rsidP="001248A3">
      <w:pPr>
        <w:pStyle w:val="Heading2"/>
      </w:pPr>
      <w:bookmarkStart w:id="43" w:name="_Toc304800205"/>
      <w:bookmarkStart w:id="44" w:name="_Toc324318341"/>
      <w:bookmarkStart w:id="45" w:name="_Toc324340485"/>
      <w:bookmarkStart w:id="46" w:name="_Toc354582133"/>
      <w:r>
        <w:t>1.</w:t>
      </w:r>
      <w:r w:rsidR="00806070">
        <w:t>4.1</w:t>
      </w:r>
      <w:r w:rsidR="00FA595F">
        <w:t xml:space="preserve"> </w:t>
      </w:r>
      <w:r w:rsidR="00C069A2" w:rsidRPr="001248A3">
        <w:t xml:space="preserve">DEER </w:t>
      </w:r>
      <w:r w:rsidR="008C6AD1">
        <w:t>Base Case and Measure Case Information</w:t>
      </w:r>
      <w:bookmarkEnd w:id="43"/>
      <w:bookmarkEnd w:id="44"/>
      <w:bookmarkEnd w:id="45"/>
      <w:bookmarkEnd w:id="46"/>
      <w:r w:rsidR="008C6AD1">
        <w:t xml:space="preserve"> </w:t>
      </w:r>
    </w:p>
    <w:p w:rsidR="002348AC" w:rsidRPr="009F1859" w:rsidRDefault="00450100" w:rsidP="009C5CA7">
      <w:pPr>
        <w:rPr>
          <w:color w:val="000000" w:themeColor="text1"/>
          <w:sz w:val="20"/>
          <w:szCs w:val="20"/>
        </w:rPr>
      </w:pPr>
      <w:r w:rsidRPr="00450100">
        <w:rPr>
          <w:color w:val="000000" w:themeColor="text1"/>
          <w:sz w:val="20"/>
          <w:szCs w:val="20"/>
        </w:rPr>
        <w:t>The DEER</w:t>
      </w:r>
      <w:r w:rsidR="007D66D9">
        <w:rPr>
          <w:color w:val="000000" w:themeColor="text1"/>
          <w:sz w:val="20"/>
          <w:szCs w:val="20"/>
        </w:rPr>
        <w:t xml:space="preserve"> </w:t>
      </w:r>
      <w:r w:rsidRPr="00450100">
        <w:rPr>
          <w:color w:val="000000" w:themeColor="text1"/>
          <w:sz w:val="20"/>
          <w:szCs w:val="20"/>
        </w:rPr>
        <w:t>Use / Technology Table has no reference that would correctly categorize these program measures.</w:t>
      </w:r>
      <w:r w:rsidRPr="00450100">
        <w:rPr>
          <w:color w:val="FF0000"/>
          <w:sz w:val="20"/>
          <w:szCs w:val="20"/>
        </w:rPr>
        <w:t xml:space="preserve"> </w:t>
      </w:r>
      <w:r w:rsidR="00156198">
        <w:rPr>
          <w:color w:val="000000" w:themeColor="text1"/>
          <w:sz w:val="20"/>
          <w:szCs w:val="20"/>
        </w:rPr>
        <w:t xml:space="preserve">These program measures are being counted as </w:t>
      </w:r>
      <w:r w:rsidR="00156198" w:rsidRPr="00120191">
        <w:rPr>
          <w:i/>
          <w:color w:val="000000" w:themeColor="text1"/>
          <w:sz w:val="20"/>
          <w:szCs w:val="20"/>
        </w:rPr>
        <w:t>ex post</w:t>
      </w:r>
      <w:r w:rsidR="00156198">
        <w:rPr>
          <w:color w:val="000000" w:themeColor="text1"/>
          <w:sz w:val="20"/>
          <w:szCs w:val="20"/>
        </w:rPr>
        <w:t xml:space="preserve"> savings pursuant to the guidance. Consequently the relevance of DEER impacts </w:t>
      </w:r>
      <w:r w:rsidR="0010761F">
        <w:rPr>
          <w:color w:val="000000" w:themeColor="text1"/>
          <w:sz w:val="20"/>
          <w:szCs w:val="20"/>
        </w:rPr>
        <w:t>is</w:t>
      </w:r>
      <w:r w:rsidR="00156198">
        <w:rPr>
          <w:color w:val="000000" w:themeColor="text1"/>
          <w:sz w:val="20"/>
          <w:szCs w:val="20"/>
        </w:rPr>
        <w:t xml:space="preserve"> moot. However, for the purpose of this document, we address these issues to clarify the difference between </w:t>
      </w:r>
      <w:r w:rsidR="00120191">
        <w:rPr>
          <w:color w:val="000000" w:themeColor="text1"/>
          <w:sz w:val="20"/>
          <w:szCs w:val="20"/>
        </w:rPr>
        <w:t xml:space="preserve">this </w:t>
      </w:r>
      <w:r w:rsidR="00156198">
        <w:rPr>
          <w:color w:val="000000" w:themeColor="text1"/>
          <w:sz w:val="20"/>
          <w:szCs w:val="20"/>
        </w:rPr>
        <w:t>program and a</w:t>
      </w:r>
      <w:r w:rsidR="00120191">
        <w:rPr>
          <w:color w:val="000000" w:themeColor="text1"/>
          <w:sz w:val="20"/>
          <w:szCs w:val="20"/>
        </w:rPr>
        <w:t xml:space="preserve">n </w:t>
      </w:r>
      <w:r w:rsidR="00120191" w:rsidRPr="00120191">
        <w:rPr>
          <w:i/>
          <w:color w:val="000000" w:themeColor="text1"/>
          <w:sz w:val="20"/>
          <w:szCs w:val="20"/>
        </w:rPr>
        <w:t>ex ante</w:t>
      </w:r>
      <w:r w:rsidR="00156198">
        <w:rPr>
          <w:color w:val="000000" w:themeColor="text1"/>
          <w:sz w:val="20"/>
          <w:szCs w:val="20"/>
        </w:rPr>
        <w:t xml:space="preserve"> work paper measure.</w:t>
      </w:r>
    </w:p>
    <w:p w:rsidR="00450100" w:rsidRDefault="00450100" w:rsidP="00EB2D3B">
      <w:pPr>
        <w:rPr>
          <w:rFonts w:cs="Arial"/>
          <w:sz w:val="20"/>
          <w:szCs w:val="20"/>
        </w:rPr>
      </w:pPr>
    </w:p>
    <w:p w:rsidR="00EB2D3B" w:rsidRPr="00450100" w:rsidRDefault="00EB2D3B" w:rsidP="00EB2D3B">
      <w:pPr>
        <w:rPr>
          <w:rFonts w:cs="Arial"/>
          <w:i/>
          <w:sz w:val="20"/>
          <w:szCs w:val="20"/>
        </w:rPr>
      </w:pPr>
      <w:r w:rsidRPr="00450100">
        <w:rPr>
          <w:rFonts w:cs="Arial"/>
          <w:i/>
          <w:sz w:val="20"/>
          <w:szCs w:val="20"/>
        </w:rPr>
        <w:t>DEER Values</w:t>
      </w:r>
      <w:r w:rsidR="00450100" w:rsidRPr="00450100">
        <w:rPr>
          <w:rFonts w:cs="Arial"/>
          <w:i/>
          <w:sz w:val="20"/>
          <w:szCs w:val="20"/>
        </w:rPr>
        <w:t xml:space="preserve">: </w:t>
      </w:r>
      <w:r w:rsidRPr="00450100">
        <w:rPr>
          <w:rFonts w:cs="Arial"/>
          <w:i/>
          <w:sz w:val="20"/>
          <w:szCs w:val="20"/>
        </w:rPr>
        <w:t xml:space="preserve"> Measure-specific values found in the database for energy efficient resources</w:t>
      </w:r>
    </w:p>
    <w:p w:rsidR="002348AC" w:rsidRDefault="00EB2D3B" w:rsidP="00EB2D3B">
      <w:pPr>
        <w:rPr>
          <w:b/>
          <w:highlight w:val="cyan"/>
        </w:rPr>
      </w:pPr>
      <w:r w:rsidRPr="00450100">
        <w:rPr>
          <w:rFonts w:cs="Arial"/>
          <w:i/>
          <w:sz w:val="20"/>
          <w:szCs w:val="20"/>
        </w:rPr>
        <w:t>(DEER) including net-to-gross (NTG), estimated useful life (EUL) and unit energy savings (UES) are not applicable to comparative usage programs</w:t>
      </w:r>
      <w:r>
        <w:rPr>
          <w:rStyle w:val="EndnoteReference"/>
          <w:rFonts w:cs="Arial"/>
          <w:sz w:val="20"/>
          <w:szCs w:val="20"/>
        </w:rPr>
        <w:endnoteReference w:id="6"/>
      </w:r>
      <w:r w:rsidRPr="00CC1129">
        <w:rPr>
          <w:rFonts w:cs="Arial"/>
          <w:sz w:val="20"/>
          <w:szCs w:val="20"/>
        </w:rPr>
        <w:t>.</w:t>
      </w:r>
    </w:p>
    <w:p w:rsidR="004734DC" w:rsidRDefault="004734DC" w:rsidP="00C85FC6">
      <w:pPr>
        <w:rPr>
          <w:rFonts w:cs="Arial"/>
          <w:sz w:val="20"/>
          <w:szCs w:val="20"/>
        </w:rPr>
      </w:pPr>
    </w:p>
    <w:p w:rsidR="00AF5B52" w:rsidRPr="00AF5B52" w:rsidRDefault="00C85FC6" w:rsidP="00C85FC6">
      <w:pPr>
        <w:rPr>
          <w:rFonts w:cs="Arial"/>
          <w:sz w:val="20"/>
          <w:szCs w:val="20"/>
        </w:rPr>
      </w:pPr>
      <w:r w:rsidRPr="00C85FC6">
        <w:rPr>
          <w:rFonts w:cs="Arial"/>
          <w:sz w:val="20"/>
          <w:szCs w:val="20"/>
        </w:rPr>
        <w:t xml:space="preserve">This is </w:t>
      </w:r>
      <w:r>
        <w:rPr>
          <w:rFonts w:cs="Arial"/>
          <w:sz w:val="20"/>
          <w:szCs w:val="20"/>
        </w:rPr>
        <w:t xml:space="preserve">set of measures based on altering customer behavior through a periodic reporting system.  It does not involve savings from any installed piece of equipment, control system or building feature. Consequently, </w:t>
      </w:r>
      <w:r w:rsidRPr="00C85FC6">
        <w:rPr>
          <w:rFonts w:cs="Arial"/>
          <w:sz w:val="20"/>
          <w:szCs w:val="20"/>
        </w:rPr>
        <w:t>t</w:t>
      </w:r>
      <w:r w:rsidR="009C5CA7" w:rsidRPr="00C85FC6">
        <w:rPr>
          <w:rFonts w:cs="Arial"/>
          <w:sz w:val="20"/>
          <w:szCs w:val="20"/>
        </w:rPr>
        <w:t xml:space="preserve">he DEER data </w:t>
      </w:r>
      <w:r w:rsidR="00AB68E3" w:rsidRPr="00C85FC6">
        <w:rPr>
          <w:rFonts w:cs="Arial"/>
          <w:sz w:val="20"/>
          <w:szCs w:val="20"/>
        </w:rPr>
        <w:t>do</w:t>
      </w:r>
      <w:r w:rsidR="00A172E6" w:rsidRPr="00C85FC6">
        <w:rPr>
          <w:rFonts w:cs="Arial"/>
          <w:sz w:val="20"/>
          <w:szCs w:val="20"/>
        </w:rPr>
        <w:t xml:space="preserve"> not contain </w:t>
      </w:r>
      <w:r w:rsidR="009C5CA7" w:rsidRPr="00C85FC6">
        <w:rPr>
          <w:rFonts w:cs="Arial"/>
          <w:sz w:val="20"/>
          <w:szCs w:val="20"/>
        </w:rPr>
        <w:t>(not) the appropriate information for this (these) measure(s).</w:t>
      </w:r>
      <w:r w:rsidR="00437BE1" w:rsidRPr="00C85FC6">
        <w:rPr>
          <w:rFonts w:cs="Arial"/>
          <w:sz w:val="20"/>
          <w:szCs w:val="20"/>
        </w:rPr>
        <w:t xml:space="preserve"> </w:t>
      </w:r>
    </w:p>
    <w:p w:rsidR="00454DAE" w:rsidRDefault="00454DAE" w:rsidP="00454DAE">
      <w:pPr>
        <w:rPr>
          <w:rFonts w:cs="Arial"/>
          <w:b/>
          <w:sz w:val="20"/>
          <w:szCs w:val="20"/>
        </w:rPr>
      </w:pPr>
      <w:bookmarkStart w:id="47" w:name="Net_to_Gross"/>
    </w:p>
    <w:p w:rsidR="008F48E1" w:rsidRPr="00454DAE" w:rsidRDefault="009C5CA7" w:rsidP="00454DAE">
      <w:pPr>
        <w:pStyle w:val="ListParagraph"/>
        <w:numPr>
          <w:ilvl w:val="0"/>
          <w:numId w:val="22"/>
        </w:numPr>
        <w:rPr>
          <w:rFonts w:cs="Arial"/>
          <w:b/>
          <w:i/>
          <w:sz w:val="20"/>
          <w:szCs w:val="20"/>
        </w:rPr>
      </w:pPr>
      <w:r w:rsidRPr="00454DAE">
        <w:rPr>
          <w:rFonts w:cs="Arial"/>
          <w:b/>
          <w:i/>
          <w:sz w:val="20"/>
          <w:szCs w:val="20"/>
        </w:rPr>
        <w:t>Net-to-Gross</w:t>
      </w:r>
      <w:bookmarkEnd w:id="47"/>
      <w:r w:rsidRPr="00454DAE">
        <w:rPr>
          <w:rFonts w:cs="Arial"/>
          <w:b/>
          <w:i/>
          <w:sz w:val="20"/>
          <w:szCs w:val="20"/>
        </w:rPr>
        <w:t xml:space="preserve"> Assumption:</w:t>
      </w:r>
      <w:r w:rsidR="00437BE1" w:rsidRPr="00454DAE">
        <w:rPr>
          <w:rFonts w:cs="Arial"/>
          <w:b/>
          <w:i/>
          <w:sz w:val="20"/>
          <w:szCs w:val="20"/>
        </w:rPr>
        <w:t xml:space="preserve"> </w:t>
      </w:r>
      <w:r w:rsidR="00454DAE" w:rsidRPr="00454DAE">
        <w:rPr>
          <w:rFonts w:cs="Arial"/>
          <w:b/>
          <w:i/>
          <w:sz w:val="20"/>
          <w:szCs w:val="20"/>
        </w:rPr>
        <w:t>See 1.4.3.</w:t>
      </w:r>
      <w:r w:rsidR="00454DAE">
        <w:rPr>
          <w:rFonts w:cs="Arial"/>
          <w:b/>
          <w:i/>
          <w:sz w:val="20"/>
          <w:szCs w:val="20"/>
        </w:rPr>
        <w:t>2</w:t>
      </w:r>
    </w:p>
    <w:p w:rsidR="008F48E1" w:rsidRPr="00454DAE" w:rsidRDefault="004D7301" w:rsidP="00454DAE">
      <w:pPr>
        <w:pStyle w:val="ListParagraph"/>
        <w:numPr>
          <w:ilvl w:val="0"/>
          <w:numId w:val="22"/>
        </w:numPr>
        <w:rPr>
          <w:rFonts w:cs="Arial"/>
          <w:b/>
          <w:i/>
          <w:color w:val="000000" w:themeColor="text1"/>
        </w:rPr>
      </w:pPr>
      <w:r w:rsidRPr="00454DAE">
        <w:rPr>
          <w:rFonts w:cs="Arial"/>
          <w:b/>
          <w:i/>
          <w:color w:val="000000" w:themeColor="text1"/>
          <w:sz w:val="20"/>
          <w:szCs w:val="20"/>
        </w:rPr>
        <w:t>Effective Useful Life:</w:t>
      </w:r>
      <w:r w:rsidR="00437BE1" w:rsidRPr="00454DAE">
        <w:rPr>
          <w:rFonts w:cs="Arial"/>
          <w:b/>
          <w:i/>
          <w:color w:val="000000" w:themeColor="text1"/>
          <w:sz w:val="20"/>
          <w:szCs w:val="20"/>
        </w:rPr>
        <w:t xml:space="preserve"> </w:t>
      </w:r>
      <w:r w:rsidR="00454DAE" w:rsidRPr="00454DAE">
        <w:rPr>
          <w:rFonts w:cs="Arial"/>
          <w:b/>
          <w:i/>
          <w:color w:val="000000" w:themeColor="text1"/>
          <w:sz w:val="20"/>
          <w:szCs w:val="20"/>
        </w:rPr>
        <w:t>See 1.4.3.</w:t>
      </w:r>
      <w:r w:rsidR="00454DAE">
        <w:rPr>
          <w:rFonts w:cs="Arial"/>
          <w:b/>
          <w:i/>
          <w:color w:val="000000" w:themeColor="text1"/>
          <w:sz w:val="20"/>
          <w:szCs w:val="20"/>
        </w:rPr>
        <w:t>2</w:t>
      </w:r>
      <w:r w:rsidRPr="00454DAE">
        <w:rPr>
          <w:rFonts w:cs="Arial"/>
          <w:b/>
          <w:i/>
          <w:color w:val="000000" w:themeColor="text1"/>
          <w:sz w:val="20"/>
          <w:szCs w:val="20"/>
        </w:rPr>
        <w:t xml:space="preserve"> </w:t>
      </w:r>
    </w:p>
    <w:p w:rsidR="008F48E1" w:rsidRPr="00454DAE" w:rsidRDefault="00020042" w:rsidP="00454DAE">
      <w:pPr>
        <w:pStyle w:val="ListParagraph"/>
        <w:numPr>
          <w:ilvl w:val="0"/>
          <w:numId w:val="22"/>
        </w:numPr>
        <w:rPr>
          <w:b/>
          <w:i/>
          <w:color w:val="0000FF"/>
          <w:sz w:val="20"/>
          <w:szCs w:val="20"/>
        </w:rPr>
      </w:pPr>
      <w:r w:rsidRPr="00840749">
        <w:rPr>
          <w:rFonts w:cs="Arial"/>
          <w:b/>
          <w:i/>
          <w:sz w:val="20"/>
          <w:szCs w:val="20"/>
        </w:rPr>
        <w:t>I</w:t>
      </w:r>
      <w:r w:rsidRPr="00454DAE">
        <w:rPr>
          <w:rFonts w:cs="Arial"/>
          <w:b/>
          <w:i/>
          <w:sz w:val="20"/>
          <w:szCs w:val="20"/>
        </w:rPr>
        <w:t>n-service rate</w:t>
      </w:r>
      <w:r w:rsidR="00806070" w:rsidRPr="00454DAE">
        <w:rPr>
          <w:rFonts w:cs="Arial"/>
          <w:b/>
          <w:i/>
          <w:sz w:val="20"/>
          <w:szCs w:val="20"/>
        </w:rPr>
        <w:t>/first year installation rate</w:t>
      </w:r>
      <w:r w:rsidR="00806070" w:rsidRPr="00454DAE">
        <w:rPr>
          <w:b/>
          <w:i/>
          <w:sz w:val="20"/>
          <w:szCs w:val="20"/>
        </w:rPr>
        <w:t>:</w:t>
      </w:r>
      <w:r w:rsidR="00454DAE" w:rsidRPr="00454DAE">
        <w:rPr>
          <w:b/>
          <w:i/>
          <w:sz w:val="20"/>
          <w:szCs w:val="20"/>
        </w:rPr>
        <w:t xml:space="preserve"> See 1.4.3.</w:t>
      </w:r>
      <w:r w:rsidR="00454DAE">
        <w:rPr>
          <w:b/>
          <w:i/>
          <w:sz w:val="20"/>
          <w:szCs w:val="20"/>
        </w:rPr>
        <w:t>2</w:t>
      </w:r>
    </w:p>
    <w:p w:rsidR="002E0043" w:rsidRPr="002E0043" w:rsidRDefault="001248A3" w:rsidP="002E0043">
      <w:pPr>
        <w:pStyle w:val="Heading2"/>
      </w:pPr>
      <w:bookmarkStart w:id="48" w:name="_Toc304800206"/>
      <w:bookmarkStart w:id="49" w:name="_Toc324318342"/>
      <w:bookmarkStart w:id="50" w:name="_Toc324340486"/>
      <w:bookmarkStart w:id="51" w:name="_Toc354582134"/>
      <w:r>
        <w:t>1.</w:t>
      </w:r>
      <w:r w:rsidR="00FA595F">
        <w:t>4</w:t>
      </w:r>
      <w:r w:rsidR="00793646">
        <w:t>.2</w:t>
      </w:r>
      <w:r w:rsidR="00FA595F">
        <w:t xml:space="preserve"> </w:t>
      </w:r>
      <w:r w:rsidR="00E71EF1" w:rsidRPr="001248A3">
        <w:t xml:space="preserve">Codes &amp; Standards Requirements </w:t>
      </w:r>
      <w:r w:rsidR="009C5CA7">
        <w:t>Base Case and Measure Information</w:t>
      </w:r>
      <w:bookmarkEnd w:id="48"/>
      <w:bookmarkEnd w:id="49"/>
      <w:bookmarkEnd w:id="50"/>
      <w:bookmarkEnd w:id="51"/>
    </w:p>
    <w:p w:rsidR="00D40D17" w:rsidRDefault="00D40D17" w:rsidP="00D40D17">
      <w:pPr>
        <w:rPr>
          <w:rFonts w:cs="Arial"/>
          <w:b/>
          <w:i/>
          <w:highlight w:val="yellow"/>
        </w:rPr>
      </w:pPr>
      <w:r w:rsidRPr="00C85FC6">
        <w:rPr>
          <w:rFonts w:cs="Arial"/>
          <w:sz w:val="20"/>
          <w:szCs w:val="20"/>
        </w:rPr>
        <w:t xml:space="preserve">This is </w:t>
      </w:r>
      <w:r>
        <w:rPr>
          <w:rFonts w:cs="Arial"/>
          <w:sz w:val="20"/>
          <w:szCs w:val="20"/>
        </w:rPr>
        <w:t>set of measures based on altering customer behavior through a periodic reporting system.  It does not involve savings from any installed piece of equipment, control system or building feature. Consequently</w:t>
      </w:r>
      <w:r w:rsidR="0010761F">
        <w:rPr>
          <w:rFonts w:cs="Arial"/>
          <w:sz w:val="20"/>
          <w:szCs w:val="20"/>
        </w:rPr>
        <w:t>:</w:t>
      </w:r>
    </w:p>
    <w:p w:rsidR="00D40D17" w:rsidRDefault="00D40D17" w:rsidP="00D40D17">
      <w:pPr>
        <w:rPr>
          <w:rFonts w:cs="Arial"/>
          <w:b/>
          <w:i/>
          <w:highlight w:val="yellow"/>
        </w:rPr>
      </w:pPr>
    </w:p>
    <w:p w:rsidR="00640BB6" w:rsidRPr="00454DAE" w:rsidRDefault="00EE53FF" w:rsidP="00454DAE">
      <w:pPr>
        <w:pStyle w:val="ListParagraph"/>
        <w:numPr>
          <w:ilvl w:val="0"/>
          <w:numId w:val="23"/>
        </w:numPr>
        <w:rPr>
          <w:rFonts w:cs="Arial"/>
          <w:i/>
          <w:sz w:val="20"/>
          <w:szCs w:val="20"/>
        </w:rPr>
      </w:pPr>
      <w:r w:rsidRPr="00454DAE">
        <w:rPr>
          <w:rFonts w:cs="Arial"/>
          <w:b/>
          <w:i/>
        </w:rPr>
        <w:t>Title 20:</w:t>
      </w:r>
      <w:r w:rsidRPr="00454DAE">
        <w:rPr>
          <w:rFonts w:cs="Arial"/>
        </w:rPr>
        <w:t xml:space="preserve"> </w:t>
      </w:r>
      <w:r w:rsidR="00B74917" w:rsidRPr="00454DAE">
        <w:rPr>
          <w:rFonts w:cs="Arial"/>
          <w:sz w:val="20"/>
          <w:szCs w:val="20"/>
        </w:rPr>
        <w:t>Th</w:t>
      </w:r>
      <w:r w:rsidRPr="00454DAE">
        <w:rPr>
          <w:rFonts w:cs="Arial"/>
          <w:sz w:val="20"/>
          <w:szCs w:val="20"/>
        </w:rPr>
        <w:t>ese measures do not fall under Title 20 of the California Energy Regulations.</w:t>
      </w:r>
      <w:r w:rsidR="00437BE1" w:rsidRPr="00454DAE">
        <w:rPr>
          <w:rFonts w:cs="Arial"/>
          <w:sz w:val="20"/>
          <w:szCs w:val="20"/>
        </w:rPr>
        <w:t xml:space="preserve"> </w:t>
      </w:r>
    </w:p>
    <w:p w:rsidR="00640BB6" w:rsidRPr="00454DAE" w:rsidRDefault="00EE53FF" w:rsidP="00454DAE">
      <w:pPr>
        <w:pStyle w:val="ListParagraph"/>
        <w:numPr>
          <w:ilvl w:val="0"/>
          <w:numId w:val="23"/>
        </w:numPr>
        <w:rPr>
          <w:i/>
        </w:rPr>
      </w:pPr>
      <w:r w:rsidRPr="00454DAE">
        <w:rPr>
          <w:rFonts w:cs="Arial"/>
          <w:b/>
          <w:i/>
        </w:rPr>
        <w:t>Title 24:</w:t>
      </w:r>
      <w:r w:rsidRPr="00D40D17">
        <w:t xml:space="preserve"> </w:t>
      </w:r>
      <w:r w:rsidRPr="00454DAE">
        <w:rPr>
          <w:rFonts w:cs="Arial"/>
          <w:sz w:val="20"/>
          <w:szCs w:val="20"/>
        </w:rPr>
        <w:t>These measures do not fall under Title 24 of the California Energy Regulations</w:t>
      </w:r>
      <w:r w:rsidR="00D40D17" w:rsidRPr="00454DAE">
        <w:rPr>
          <w:rFonts w:cs="Arial"/>
          <w:sz w:val="20"/>
          <w:szCs w:val="20"/>
        </w:rPr>
        <w:t>.</w:t>
      </w:r>
    </w:p>
    <w:p w:rsidR="00640BB6" w:rsidRPr="00454DAE" w:rsidRDefault="00EE53FF" w:rsidP="00454DAE">
      <w:pPr>
        <w:pStyle w:val="ListParagraph"/>
        <w:numPr>
          <w:ilvl w:val="0"/>
          <w:numId w:val="23"/>
        </w:numPr>
        <w:rPr>
          <w:rFonts w:cs="Arial"/>
          <w:b/>
          <w:i/>
          <w:color w:val="000000" w:themeColor="text1"/>
          <w:sz w:val="20"/>
          <w:szCs w:val="20"/>
        </w:rPr>
      </w:pPr>
      <w:r w:rsidRPr="00454DAE">
        <w:rPr>
          <w:rFonts w:cs="Arial"/>
          <w:b/>
          <w:i/>
          <w:color w:val="000000" w:themeColor="text1"/>
        </w:rPr>
        <w:t>Federal Standards:</w:t>
      </w:r>
      <w:r w:rsidRPr="00454DAE">
        <w:rPr>
          <w:color w:val="000000" w:themeColor="text1"/>
        </w:rPr>
        <w:t xml:space="preserve"> </w:t>
      </w:r>
      <w:r w:rsidRPr="00454DAE">
        <w:rPr>
          <w:rFonts w:cs="Arial"/>
          <w:color w:val="000000" w:themeColor="text1"/>
          <w:sz w:val="20"/>
          <w:szCs w:val="20"/>
        </w:rPr>
        <w:t>These measures) do (not) fall under Federal DOE or EPA Energy Regulations</w:t>
      </w:r>
      <w:r w:rsidR="00640BB6" w:rsidRPr="00454DAE">
        <w:rPr>
          <w:rFonts w:cs="Arial"/>
          <w:b/>
          <w:i/>
          <w:color w:val="000000" w:themeColor="text1"/>
          <w:sz w:val="20"/>
          <w:szCs w:val="20"/>
        </w:rPr>
        <w:t>.</w:t>
      </w:r>
    </w:p>
    <w:p w:rsidR="002E0043" w:rsidRDefault="001248A3" w:rsidP="002E0043">
      <w:pPr>
        <w:pStyle w:val="Heading2"/>
        <w:keepNext w:val="0"/>
      </w:pPr>
      <w:bookmarkStart w:id="52" w:name="_Toc304800207"/>
      <w:bookmarkStart w:id="53" w:name="_Toc324318343"/>
      <w:bookmarkStart w:id="54" w:name="_Toc324340487"/>
      <w:bookmarkStart w:id="55" w:name="_Toc354582135"/>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2"/>
      <w:bookmarkEnd w:id="53"/>
      <w:bookmarkEnd w:id="54"/>
      <w:bookmarkEnd w:id="55"/>
    </w:p>
    <w:p w:rsidR="009E2964" w:rsidRDefault="009E2964" w:rsidP="00A35CF8">
      <w:pPr>
        <w:rPr>
          <w:rFonts w:cs="Arial"/>
          <w:b/>
          <w:i/>
        </w:rPr>
      </w:pPr>
      <w:r w:rsidRPr="00C80E3F">
        <w:rPr>
          <w:rFonts w:cs="Arial"/>
          <w:b/>
          <w:i/>
        </w:rPr>
        <w:t xml:space="preserve">1.4.3.1 </w:t>
      </w:r>
      <w:r w:rsidR="00E12D94" w:rsidRPr="00E12D94">
        <w:rPr>
          <w:b/>
          <w:i/>
        </w:rPr>
        <w:t>PG&amp;E Home Energy Reports Initiative</w:t>
      </w:r>
      <w:r w:rsidR="00E12D94" w:rsidRPr="00E12D94">
        <w:rPr>
          <w:b/>
        </w:rPr>
        <w:t xml:space="preserve"> </w:t>
      </w:r>
      <w:r w:rsidR="00E12D94" w:rsidRPr="00E12D94">
        <w:rPr>
          <w:b/>
          <w:i/>
        </w:rPr>
        <w:t>Sampling Plan</w:t>
      </w:r>
      <w:r w:rsidR="00C80E3F" w:rsidRPr="009F1859">
        <w:rPr>
          <w:rStyle w:val="EndnoteReference"/>
          <w:rFonts w:cs="Arial"/>
          <w:b/>
          <w:i/>
          <w:sz w:val="24"/>
        </w:rPr>
        <w:endnoteReference w:id="7"/>
      </w:r>
    </w:p>
    <w:p w:rsidR="00432C65" w:rsidRDefault="00432C65" w:rsidP="00A35CF8">
      <w:pPr>
        <w:rPr>
          <w:rFonts w:cs="Arial"/>
          <w:b/>
          <w:i/>
          <w:sz w:val="20"/>
          <w:szCs w:val="20"/>
          <w:highlight w:val="cyan"/>
        </w:rPr>
      </w:pPr>
    </w:p>
    <w:p w:rsidR="00CA5803" w:rsidRDefault="00EE2E4F" w:rsidP="00CA5803">
      <w:pPr>
        <w:autoSpaceDE w:val="0"/>
        <w:autoSpaceDN w:val="0"/>
        <w:adjustRightInd w:val="0"/>
        <w:rPr>
          <w:rFonts w:cs="Arial"/>
          <w:i/>
          <w:sz w:val="20"/>
          <w:szCs w:val="20"/>
        </w:rPr>
      </w:pPr>
      <w:r>
        <w:rPr>
          <w:rFonts w:cs="Arial"/>
          <w:sz w:val="20"/>
          <w:szCs w:val="20"/>
        </w:rPr>
        <w:t xml:space="preserve">The attached sampling plan lays out the sample frames for each experimental wave of HER. </w:t>
      </w:r>
      <w:r w:rsidR="00CA5803" w:rsidRPr="00CA5803">
        <w:rPr>
          <w:rFonts w:cs="Arial"/>
          <w:i/>
          <w:sz w:val="20"/>
          <w:szCs w:val="20"/>
        </w:rPr>
        <w:t>Pacific Gas and Electric Company’s (PG&amp;E’s) “home energy reports” (also referred to as a “comparative billing program”) is a behavior-based energy efficiency initiative</w:t>
      </w:r>
      <w:r w:rsidR="00CA5803">
        <w:rPr>
          <w:rFonts w:cs="Arial"/>
          <w:i/>
          <w:sz w:val="20"/>
          <w:szCs w:val="20"/>
        </w:rPr>
        <w:t>.</w:t>
      </w:r>
      <w:r w:rsidR="00CA5803" w:rsidRPr="00CA5803">
        <w:rPr>
          <w:rFonts w:cs="Arial"/>
          <w:i/>
          <w:sz w:val="20"/>
          <w:szCs w:val="20"/>
        </w:rPr>
        <w:t xml:space="preserve"> Mail</w:t>
      </w:r>
      <w:r w:rsidR="00CA5803">
        <w:rPr>
          <w:rFonts w:cs="Arial"/>
          <w:i/>
          <w:sz w:val="20"/>
          <w:szCs w:val="20"/>
        </w:rPr>
        <w:t xml:space="preserve"> </w:t>
      </w:r>
      <w:r w:rsidR="00CA5803" w:rsidRPr="00CA5803">
        <w:rPr>
          <w:rFonts w:cs="Arial"/>
          <w:i/>
          <w:sz w:val="20"/>
          <w:szCs w:val="20"/>
        </w:rPr>
        <w:t>based</w:t>
      </w:r>
      <w:r w:rsidR="00CA5803">
        <w:rPr>
          <w:rFonts w:cs="Arial"/>
          <w:i/>
          <w:sz w:val="20"/>
          <w:szCs w:val="20"/>
        </w:rPr>
        <w:t>,</w:t>
      </w:r>
      <w:r w:rsidR="00CA5803" w:rsidRPr="00CA5803">
        <w:rPr>
          <w:rFonts w:cs="Arial"/>
          <w:i/>
          <w:sz w:val="20"/>
          <w:szCs w:val="20"/>
        </w:rPr>
        <w:t xml:space="preserve"> customized reports that compare energy use of specific customers to the average energy use of similar households are provided over time to selected residential customers (a sample of the reports is provided in Appendix B). The initiative will also assess whether the reports cause customers to participate in other energy efficiency programs as tracked by PG&amp;E’s internal databases.  </w:t>
      </w:r>
    </w:p>
    <w:p w:rsidR="003352A0" w:rsidRPr="00BA7D18" w:rsidRDefault="003352A0" w:rsidP="003352A0">
      <w:pPr>
        <w:rPr>
          <w:rFonts w:cs="Arial"/>
          <w:sz w:val="20"/>
          <w:szCs w:val="20"/>
          <w:highlight w:val="yellow"/>
        </w:rPr>
      </w:pPr>
    </w:p>
    <w:p w:rsidR="006560BD" w:rsidRDefault="006560BD" w:rsidP="006560BD">
      <w:pPr>
        <w:rPr>
          <w:rFonts w:cs="Arial"/>
          <w:b/>
          <w:i/>
        </w:rPr>
      </w:pPr>
      <w:bookmarkStart w:id="56" w:name="_Toc304800208"/>
      <w:bookmarkStart w:id="57" w:name="_Toc324318344"/>
      <w:bookmarkStart w:id="58" w:name="_Toc324340488"/>
      <w:r w:rsidRPr="00C80E3F">
        <w:rPr>
          <w:rFonts w:cs="Arial"/>
          <w:b/>
          <w:i/>
        </w:rPr>
        <w:t>1.4.3.</w:t>
      </w:r>
      <w:r>
        <w:rPr>
          <w:rFonts w:cs="Arial"/>
          <w:b/>
          <w:i/>
        </w:rPr>
        <w:t>2</w:t>
      </w:r>
      <w:r w:rsidRPr="00C80E3F">
        <w:rPr>
          <w:rFonts w:cs="Arial"/>
          <w:b/>
          <w:i/>
        </w:rPr>
        <w:t xml:space="preserve"> </w:t>
      </w:r>
      <w:r w:rsidR="003352A0" w:rsidRPr="003352A0">
        <w:rPr>
          <w:b/>
          <w:i/>
        </w:rPr>
        <w:t>IOU Proposal for Reporting Energy Savings for Comparative Usage Energy Efficiency Programs</w:t>
      </w:r>
      <w:r>
        <w:t xml:space="preserve"> </w:t>
      </w:r>
      <w:r w:rsidR="000C092B" w:rsidRPr="000C092B">
        <w:rPr>
          <w:b/>
          <w:i/>
        </w:rPr>
        <w:t>May 18, 2012</w:t>
      </w:r>
      <w:r w:rsidRPr="009F1859">
        <w:rPr>
          <w:rStyle w:val="EndnoteReference"/>
          <w:rFonts w:cs="Arial"/>
          <w:b/>
          <w:i/>
          <w:sz w:val="24"/>
        </w:rPr>
        <w:endnoteReference w:id="8"/>
      </w:r>
    </w:p>
    <w:p w:rsidR="00FD30A7" w:rsidRDefault="00FD30A7" w:rsidP="000C092B">
      <w:pPr>
        <w:rPr>
          <w:rFonts w:cs="Arial"/>
          <w:b/>
          <w:i/>
          <w:sz w:val="20"/>
          <w:szCs w:val="20"/>
        </w:rPr>
      </w:pPr>
    </w:p>
    <w:p w:rsidR="00F51CED" w:rsidRDefault="00F51CED" w:rsidP="000C092B">
      <w:pPr>
        <w:rPr>
          <w:rFonts w:cs="Arial"/>
          <w:b/>
          <w:i/>
          <w:sz w:val="20"/>
          <w:szCs w:val="20"/>
        </w:rPr>
      </w:pPr>
      <w:r>
        <w:rPr>
          <w:rFonts w:cs="Arial"/>
          <w:b/>
          <w:i/>
          <w:sz w:val="20"/>
          <w:szCs w:val="20"/>
        </w:rPr>
        <w:t>This document proposes utility reporting schemes for behaviorally based programs</w:t>
      </w:r>
      <w:r w:rsidR="00FD30A7">
        <w:rPr>
          <w:rFonts w:cs="Arial"/>
          <w:b/>
          <w:i/>
          <w:sz w:val="20"/>
          <w:szCs w:val="20"/>
        </w:rPr>
        <w:t xml:space="preserve"> and sets the parameters for reporting savings and other inputs to CPUC</w:t>
      </w:r>
      <w:r>
        <w:rPr>
          <w:rFonts w:cs="Arial"/>
          <w:b/>
          <w:i/>
          <w:sz w:val="20"/>
          <w:szCs w:val="20"/>
        </w:rPr>
        <w:t>.</w:t>
      </w:r>
    </w:p>
    <w:p w:rsidR="00F51CED" w:rsidRPr="00F51CED" w:rsidRDefault="00F51CED" w:rsidP="000C092B">
      <w:pPr>
        <w:rPr>
          <w:rFonts w:cs="Arial"/>
          <w:i/>
          <w:sz w:val="20"/>
          <w:szCs w:val="20"/>
        </w:rPr>
      </w:pPr>
      <w:r>
        <w:rPr>
          <w:rFonts w:cs="Arial"/>
          <w:b/>
          <w:i/>
          <w:sz w:val="20"/>
          <w:szCs w:val="20"/>
        </w:rPr>
        <w:t xml:space="preserve"> </w:t>
      </w:r>
    </w:p>
    <w:p w:rsidR="000C092B" w:rsidRPr="00F51CED" w:rsidRDefault="000C092B" w:rsidP="000C092B">
      <w:pPr>
        <w:rPr>
          <w:rFonts w:cs="Arial"/>
          <w:i/>
          <w:sz w:val="20"/>
          <w:szCs w:val="20"/>
        </w:rPr>
      </w:pPr>
      <w:r w:rsidRPr="00F51CED">
        <w:rPr>
          <w:rFonts w:cs="Arial"/>
          <w:i/>
          <w:sz w:val="20"/>
          <w:szCs w:val="20"/>
        </w:rPr>
        <w:t>Comparative usage programs provide utility customers feedback through reports showing</w:t>
      </w:r>
      <w:r w:rsidR="00FD30A7">
        <w:rPr>
          <w:rFonts w:cs="Arial"/>
          <w:i/>
          <w:sz w:val="20"/>
          <w:szCs w:val="20"/>
        </w:rPr>
        <w:t xml:space="preserve"> </w:t>
      </w:r>
      <w:r w:rsidRPr="00F51CED">
        <w:rPr>
          <w:rFonts w:cs="Arial"/>
          <w:i/>
          <w:sz w:val="20"/>
          <w:szCs w:val="20"/>
        </w:rPr>
        <w:t>household energy use and comparisons of energy use from similar neighbors. T</w:t>
      </w:r>
      <w:r w:rsidR="00F51CED" w:rsidRPr="00F51CED">
        <w:rPr>
          <w:rFonts w:cs="Arial"/>
          <w:i/>
          <w:sz w:val="20"/>
          <w:szCs w:val="20"/>
        </w:rPr>
        <w:t>hrough utility contact and communication,</w:t>
      </w:r>
      <w:r w:rsidR="00F51CED">
        <w:rPr>
          <w:rFonts w:cs="Arial"/>
          <w:i/>
          <w:sz w:val="20"/>
          <w:szCs w:val="20"/>
        </w:rPr>
        <w:t xml:space="preserve"> </w:t>
      </w:r>
      <w:r w:rsidRPr="00F51CED">
        <w:rPr>
          <w:rFonts w:cs="Arial"/>
          <w:i/>
          <w:sz w:val="20"/>
          <w:szCs w:val="20"/>
        </w:rPr>
        <w:t>customers will modify behaviors and undertake actions and/or</w:t>
      </w:r>
      <w:r w:rsidR="00F51CED" w:rsidRPr="00F51CED">
        <w:rPr>
          <w:rFonts w:cs="Arial"/>
          <w:i/>
          <w:sz w:val="20"/>
          <w:szCs w:val="20"/>
        </w:rPr>
        <w:t xml:space="preserve"> </w:t>
      </w:r>
      <w:r w:rsidRPr="00F51CED">
        <w:rPr>
          <w:rFonts w:cs="Arial"/>
          <w:i/>
          <w:sz w:val="20"/>
          <w:szCs w:val="20"/>
        </w:rPr>
        <w:t>make energy efficient product purchases that result in energy savings. Recent legislation and</w:t>
      </w:r>
      <w:r w:rsidR="00F51CED" w:rsidRPr="00F51CED">
        <w:rPr>
          <w:rFonts w:cs="Arial"/>
          <w:i/>
          <w:sz w:val="20"/>
          <w:szCs w:val="20"/>
        </w:rPr>
        <w:t xml:space="preserve"> </w:t>
      </w:r>
      <w:r w:rsidRPr="00F51CED">
        <w:rPr>
          <w:rFonts w:cs="Arial"/>
          <w:i/>
          <w:sz w:val="20"/>
          <w:szCs w:val="20"/>
        </w:rPr>
        <w:t>Commission decisions (see Appendix One for a summary) provide for the California Investor-</w:t>
      </w:r>
      <w:r w:rsidR="00F51CED" w:rsidRPr="00F51CED">
        <w:rPr>
          <w:rFonts w:cs="Arial"/>
          <w:i/>
          <w:sz w:val="20"/>
          <w:szCs w:val="20"/>
        </w:rPr>
        <w:t xml:space="preserve"> </w:t>
      </w:r>
      <w:r w:rsidRPr="00F51CED">
        <w:rPr>
          <w:rFonts w:cs="Arial"/>
          <w:i/>
          <w:sz w:val="20"/>
          <w:szCs w:val="20"/>
        </w:rPr>
        <w:t>Owned Utilities (IOUs) to claim energy savings resulting from such “comparative energy usage</w:t>
      </w:r>
      <w:r w:rsidR="00F51CED" w:rsidRPr="00F51CED">
        <w:rPr>
          <w:rFonts w:cs="Arial"/>
          <w:i/>
          <w:sz w:val="20"/>
          <w:szCs w:val="20"/>
        </w:rPr>
        <w:t xml:space="preserve"> </w:t>
      </w:r>
      <w:r w:rsidRPr="00F51CED">
        <w:rPr>
          <w:rFonts w:cs="Arial"/>
          <w:i/>
          <w:sz w:val="20"/>
          <w:szCs w:val="20"/>
        </w:rPr>
        <w:t>programs.” Senate Bill 488, signed into law on October 11, 2009, defines a comparative energy</w:t>
      </w:r>
      <w:r w:rsidR="00F51CED" w:rsidRPr="00F51CED">
        <w:rPr>
          <w:rFonts w:cs="Arial"/>
          <w:i/>
          <w:sz w:val="20"/>
          <w:szCs w:val="20"/>
        </w:rPr>
        <w:t xml:space="preserve"> </w:t>
      </w:r>
      <w:r w:rsidRPr="00F51CED">
        <w:rPr>
          <w:rFonts w:cs="Arial"/>
          <w:i/>
          <w:sz w:val="20"/>
          <w:szCs w:val="20"/>
        </w:rPr>
        <w:t>usage program as “…a program pursuant to which an electrical corporation or gas corporation</w:t>
      </w:r>
      <w:r w:rsidR="00F51CED">
        <w:rPr>
          <w:rFonts w:cs="Arial"/>
          <w:i/>
          <w:sz w:val="20"/>
          <w:szCs w:val="20"/>
        </w:rPr>
        <w:t xml:space="preserve"> </w:t>
      </w:r>
      <w:r w:rsidRPr="00F51CED">
        <w:rPr>
          <w:rFonts w:cs="Arial"/>
          <w:i/>
          <w:sz w:val="20"/>
          <w:szCs w:val="20"/>
        </w:rPr>
        <w:t>discloses information to residential subscribers relative to the amount of energy used by the</w:t>
      </w:r>
      <w:r w:rsidR="00F51CED">
        <w:rPr>
          <w:rFonts w:cs="Arial"/>
          <w:i/>
          <w:sz w:val="20"/>
          <w:szCs w:val="20"/>
        </w:rPr>
        <w:t xml:space="preserve"> </w:t>
      </w:r>
      <w:r w:rsidRPr="00F51CED">
        <w:rPr>
          <w:rFonts w:cs="Arial"/>
          <w:i/>
          <w:sz w:val="20"/>
          <w:szCs w:val="20"/>
        </w:rPr>
        <w:t>metered residence compared to similar residences in the subscriber’s geographical area.”</w:t>
      </w:r>
      <w:r w:rsidR="00F51CED">
        <w:rPr>
          <w:rFonts w:cs="Arial"/>
          <w:i/>
          <w:sz w:val="20"/>
          <w:szCs w:val="20"/>
        </w:rPr>
        <w:t xml:space="preserve">  </w:t>
      </w:r>
    </w:p>
    <w:p w:rsidR="00F51CED" w:rsidRDefault="00F51CED" w:rsidP="000C092B">
      <w:pPr>
        <w:rPr>
          <w:rFonts w:cs="Arial"/>
          <w:i/>
          <w:sz w:val="20"/>
          <w:szCs w:val="20"/>
        </w:rPr>
      </w:pPr>
    </w:p>
    <w:p w:rsidR="006560BD" w:rsidRPr="00F51CED" w:rsidRDefault="000C092B" w:rsidP="00FD30A7">
      <w:pPr>
        <w:rPr>
          <w:rFonts w:cs="Arial"/>
          <w:i/>
          <w:sz w:val="20"/>
          <w:szCs w:val="20"/>
        </w:rPr>
      </w:pPr>
      <w:r w:rsidRPr="00F51CED">
        <w:rPr>
          <w:rFonts w:cs="Arial"/>
          <w:i/>
          <w:sz w:val="20"/>
          <w:szCs w:val="20"/>
        </w:rPr>
        <w:t>Impacts of comparative energy usage programs can be assessed using experimental design</w:t>
      </w:r>
      <w:r w:rsidR="00F51CED">
        <w:rPr>
          <w:rFonts w:cs="Arial"/>
          <w:i/>
          <w:sz w:val="20"/>
          <w:szCs w:val="20"/>
        </w:rPr>
        <w:t xml:space="preserve"> </w:t>
      </w:r>
      <w:r w:rsidRPr="00F51CED">
        <w:rPr>
          <w:rFonts w:cs="Arial"/>
          <w:i/>
          <w:sz w:val="20"/>
          <w:szCs w:val="20"/>
        </w:rPr>
        <w:t>whereby a target group of similar households are randomly assigned to receive the reports</w:t>
      </w:r>
      <w:r w:rsidR="00F51CED">
        <w:rPr>
          <w:rFonts w:cs="Arial"/>
          <w:i/>
          <w:sz w:val="20"/>
          <w:szCs w:val="20"/>
        </w:rPr>
        <w:t xml:space="preserve"> </w:t>
      </w:r>
      <w:r w:rsidRPr="00F51CED">
        <w:rPr>
          <w:rFonts w:cs="Arial"/>
          <w:i/>
          <w:sz w:val="20"/>
          <w:szCs w:val="20"/>
        </w:rPr>
        <w:t>(“treatment”) or not (“control”). The random assignment ensures that the treatment and control</w:t>
      </w:r>
      <w:r w:rsidR="00F51CED">
        <w:rPr>
          <w:rFonts w:cs="Arial"/>
          <w:i/>
          <w:sz w:val="20"/>
          <w:szCs w:val="20"/>
        </w:rPr>
        <w:t xml:space="preserve"> </w:t>
      </w:r>
      <w:r w:rsidRPr="00F51CED">
        <w:rPr>
          <w:rFonts w:cs="Arial"/>
          <w:i/>
          <w:sz w:val="20"/>
          <w:szCs w:val="20"/>
        </w:rPr>
        <w:t>groups are equivalent from a statistical standpoint such that the experimental design establishes</w:t>
      </w:r>
      <w:r w:rsidR="00F51CED">
        <w:rPr>
          <w:rFonts w:cs="Arial"/>
          <w:i/>
          <w:sz w:val="20"/>
          <w:szCs w:val="20"/>
        </w:rPr>
        <w:t xml:space="preserve"> </w:t>
      </w:r>
      <w:r w:rsidRPr="00F51CED">
        <w:rPr>
          <w:rFonts w:cs="Arial"/>
          <w:i/>
          <w:sz w:val="20"/>
          <w:szCs w:val="20"/>
        </w:rPr>
        <w:t>whether the desired effects are more likely to occur in the intervention (or treatment) group due</w:t>
      </w:r>
      <w:r w:rsidR="007C55FD">
        <w:rPr>
          <w:rFonts w:cs="Arial"/>
          <w:i/>
          <w:sz w:val="20"/>
          <w:szCs w:val="20"/>
        </w:rPr>
        <w:t xml:space="preserve"> </w:t>
      </w:r>
      <w:r w:rsidRPr="00F51CED">
        <w:rPr>
          <w:rFonts w:cs="Arial"/>
          <w:i/>
          <w:sz w:val="20"/>
          <w:szCs w:val="20"/>
        </w:rPr>
        <w:t>to the program. Households in the treatment and control groups are treated in the same fashion</w:t>
      </w:r>
      <w:r w:rsidR="007C55FD">
        <w:rPr>
          <w:rFonts w:cs="Arial"/>
          <w:i/>
          <w:sz w:val="20"/>
          <w:szCs w:val="20"/>
        </w:rPr>
        <w:t xml:space="preserve"> </w:t>
      </w:r>
      <w:r w:rsidRPr="00F51CED">
        <w:rPr>
          <w:rFonts w:cs="Arial"/>
          <w:i/>
          <w:sz w:val="20"/>
          <w:szCs w:val="20"/>
        </w:rPr>
        <w:t xml:space="preserve">with respect to utility interactions </w:t>
      </w:r>
      <w:r w:rsidR="00FD30A7">
        <w:rPr>
          <w:rFonts w:cs="Arial"/>
          <w:i/>
          <w:sz w:val="20"/>
          <w:szCs w:val="20"/>
        </w:rPr>
        <w:t xml:space="preserve">outside of this particular intervention </w:t>
      </w:r>
      <w:r w:rsidRPr="00F51CED">
        <w:rPr>
          <w:rFonts w:cs="Arial"/>
          <w:i/>
          <w:sz w:val="20"/>
          <w:szCs w:val="20"/>
        </w:rPr>
        <w:t>(such as exposure to marketing programs and recruitment to</w:t>
      </w:r>
      <w:r w:rsidR="007C55FD">
        <w:rPr>
          <w:rFonts w:cs="Arial"/>
          <w:i/>
          <w:sz w:val="20"/>
          <w:szCs w:val="20"/>
        </w:rPr>
        <w:t xml:space="preserve"> </w:t>
      </w:r>
      <w:r w:rsidRPr="00F51CED">
        <w:rPr>
          <w:rFonts w:cs="Arial"/>
          <w:i/>
          <w:sz w:val="20"/>
          <w:szCs w:val="20"/>
        </w:rPr>
        <w:t xml:space="preserve">demand response programs). </w:t>
      </w:r>
    </w:p>
    <w:p w:rsidR="000C092B" w:rsidRDefault="000C092B" w:rsidP="000C092B">
      <w:pPr>
        <w:rPr>
          <w:rFonts w:cs="Arial"/>
          <w:b/>
          <w:i/>
          <w:sz w:val="20"/>
          <w:szCs w:val="20"/>
        </w:rPr>
      </w:pPr>
    </w:p>
    <w:p w:rsidR="000C092B" w:rsidRPr="007C55FD" w:rsidRDefault="000C092B" w:rsidP="000C092B">
      <w:pPr>
        <w:rPr>
          <w:rFonts w:cs="Arial"/>
          <w:b/>
          <w:i/>
          <w:sz w:val="20"/>
          <w:szCs w:val="20"/>
        </w:rPr>
      </w:pPr>
      <w:r w:rsidRPr="007C55FD">
        <w:rPr>
          <w:rFonts w:cs="Arial"/>
          <w:b/>
          <w:i/>
          <w:sz w:val="20"/>
          <w:szCs w:val="20"/>
        </w:rPr>
        <w:t>How Energy Savings Result from Comparative Usage Programs</w:t>
      </w:r>
    </w:p>
    <w:p w:rsidR="000C092B" w:rsidRPr="007C55FD" w:rsidRDefault="000C092B" w:rsidP="000C092B">
      <w:pPr>
        <w:rPr>
          <w:rFonts w:cs="Arial"/>
          <w:i/>
          <w:sz w:val="20"/>
          <w:szCs w:val="20"/>
        </w:rPr>
      </w:pPr>
      <w:r w:rsidRPr="007C55FD">
        <w:rPr>
          <w:rFonts w:cs="Arial"/>
          <w:i/>
          <w:sz w:val="20"/>
          <w:szCs w:val="20"/>
        </w:rPr>
        <w:t>The impacts of home energy reports have been tested in several jurisdictions across the nation</w:t>
      </w:r>
      <w:r w:rsidR="007C55FD" w:rsidRPr="007C55FD">
        <w:rPr>
          <w:rFonts w:cs="Arial"/>
          <w:i/>
          <w:sz w:val="20"/>
          <w:szCs w:val="20"/>
        </w:rPr>
        <w:t xml:space="preserve"> </w:t>
      </w:r>
      <w:r w:rsidRPr="007C55FD">
        <w:rPr>
          <w:rFonts w:cs="Arial"/>
          <w:i/>
          <w:sz w:val="20"/>
          <w:szCs w:val="20"/>
        </w:rPr>
        <w:t>by independent evaluators. These findings are based on the results of Randomized Controlled</w:t>
      </w:r>
      <w:r w:rsidR="007C55FD" w:rsidRPr="007C55FD">
        <w:rPr>
          <w:rFonts w:cs="Arial"/>
          <w:i/>
          <w:sz w:val="20"/>
          <w:szCs w:val="20"/>
        </w:rPr>
        <w:t xml:space="preserve"> </w:t>
      </w:r>
      <w:r w:rsidRPr="007C55FD">
        <w:rPr>
          <w:rFonts w:cs="Arial"/>
          <w:i/>
          <w:sz w:val="20"/>
          <w:szCs w:val="20"/>
        </w:rPr>
        <w:t>Trial (RCT) experiments that were conducted in a manner that makes it likely that the results are</w:t>
      </w:r>
      <w:r w:rsidR="007C55FD" w:rsidRPr="007C55FD">
        <w:rPr>
          <w:rFonts w:cs="Arial"/>
          <w:i/>
          <w:sz w:val="20"/>
          <w:szCs w:val="20"/>
        </w:rPr>
        <w:t xml:space="preserve"> </w:t>
      </w:r>
      <w:r w:rsidRPr="007C55FD">
        <w:rPr>
          <w:rFonts w:cs="Arial"/>
          <w:i/>
          <w:sz w:val="20"/>
          <w:szCs w:val="20"/>
        </w:rPr>
        <w:t>reliable and replicable. By comparing energy usage of similar treatment and control groups,</w:t>
      </w:r>
      <w:r w:rsidR="007C55FD" w:rsidRPr="007C55FD">
        <w:rPr>
          <w:rFonts w:cs="Arial"/>
          <w:i/>
          <w:sz w:val="20"/>
          <w:szCs w:val="20"/>
        </w:rPr>
        <w:t xml:space="preserve"> </w:t>
      </w:r>
      <w:r w:rsidRPr="007C55FD">
        <w:rPr>
          <w:rFonts w:cs="Arial"/>
          <w:i/>
          <w:sz w:val="20"/>
          <w:szCs w:val="20"/>
        </w:rPr>
        <w:t>evaluations of RCT experiments employing comparative usage feedback result in energy savings</w:t>
      </w:r>
      <w:r w:rsidR="007C55FD" w:rsidRPr="007C55FD">
        <w:rPr>
          <w:rFonts w:cs="Arial"/>
          <w:i/>
          <w:sz w:val="20"/>
          <w:szCs w:val="20"/>
        </w:rPr>
        <w:t xml:space="preserve"> </w:t>
      </w:r>
      <w:r w:rsidRPr="007C55FD">
        <w:rPr>
          <w:rFonts w:cs="Arial"/>
          <w:i/>
          <w:sz w:val="20"/>
          <w:szCs w:val="20"/>
        </w:rPr>
        <w:t>rates of between 1% and 3% for electricity and between 0.5% and 1.5% for natural gas.</w:t>
      </w:r>
    </w:p>
    <w:p w:rsidR="007C55FD" w:rsidRPr="007C55FD" w:rsidRDefault="007C55FD" w:rsidP="000C092B">
      <w:pPr>
        <w:rPr>
          <w:rFonts w:cs="Arial"/>
          <w:i/>
          <w:sz w:val="20"/>
          <w:szCs w:val="20"/>
        </w:rPr>
      </w:pPr>
    </w:p>
    <w:p w:rsidR="000C092B" w:rsidRPr="007C55FD" w:rsidRDefault="000C092B" w:rsidP="000C092B">
      <w:pPr>
        <w:rPr>
          <w:rFonts w:cs="Arial"/>
          <w:i/>
          <w:sz w:val="20"/>
          <w:szCs w:val="20"/>
        </w:rPr>
      </w:pPr>
      <w:r w:rsidRPr="007C55FD">
        <w:rPr>
          <w:rFonts w:cs="Arial"/>
          <w:i/>
          <w:sz w:val="20"/>
          <w:szCs w:val="20"/>
        </w:rPr>
        <w:t>Energy savings resulting from comparative usage programs may be divided into three types of</w:t>
      </w:r>
      <w:r w:rsidR="007C55FD" w:rsidRPr="007C55FD">
        <w:rPr>
          <w:rFonts w:cs="Arial"/>
          <w:i/>
          <w:sz w:val="20"/>
          <w:szCs w:val="20"/>
        </w:rPr>
        <w:t xml:space="preserve"> </w:t>
      </w:r>
      <w:r w:rsidRPr="007C55FD">
        <w:rPr>
          <w:rFonts w:cs="Arial"/>
          <w:i/>
          <w:sz w:val="20"/>
          <w:szCs w:val="20"/>
        </w:rPr>
        <w:t>actions:</w:t>
      </w:r>
    </w:p>
    <w:p w:rsidR="000C092B" w:rsidRPr="007C55FD" w:rsidRDefault="000C092B" w:rsidP="000C092B">
      <w:pPr>
        <w:rPr>
          <w:rFonts w:cs="Arial"/>
          <w:i/>
          <w:sz w:val="20"/>
          <w:szCs w:val="20"/>
        </w:rPr>
      </w:pPr>
      <w:r w:rsidRPr="007C55FD">
        <w:rPr>
          <w:rFonts w:cs="Arial"/>
          <w:i/>
          <w:sz w:val="20"/>
          <w:szCs w:val="20"/>
        </w:rPr>
        <w:t>1. Behavioral changes or practices that affect equipment use (e.g., switching off lights,</w:t>
      </w:r>
      <w:r w:rsidR="007C55FD" w:rsidRPr="007C55FD">
        <w:rPr>
          <w:rFonts w:cs="Arial"/>
          <w:i/>
          <w:sz w:val="20"/>
          <w:szCs w:val="20"/>
        </w:rPr>
        <w:t xml:space="preserve"> </w:t>
      </w:r>
      <w:r w:rsidRPr="007C55FD">
        <w:rPr>
          <w:rFonts w:cs="Arial"/>
          <w:i/>
          <w:sz w:val="20"/>
          <w:szCs w:val="20"/>
        </w:rPr>
        <w:t>unplugging unused appliances, and adjusting thermostat settings to limit heating and</w:t>
      </w:r>
      <w:r w:rsidR="007C55FD" w:rsidRPr="007C55FD">
        <w:rPr>
          <w:rFonts w:cs="Arial"/>
          <w:i/>
          <w:sz w:val="20"/>
          <w:szCs w:val="20"/>
        </w:rPr>
        <w:t xml:space="preserve"> </w:t>
      </w:r>
      <w:r w:rsidRPr="007C55FD">
        <w:rPr>
          <w:rFonts w:cs="Arial"/>
          <w:i/>
          <w:sz w:val="20"/>
          <w:szCs w:val="20"/>
        </w:rPr>
        <w:t>cooling),</w:t>
      </w:r>
    </w:p>
    <w:p w:rsidR="000C092B" w:rsidRPr="007C55FD" w:rsidRDefault="000C092B" w:rsidP="000C092B">
      <w:pPr>
        <w:rPr>
          <w:rFonts w:cs="Arial"/>
          <w:i/>
          <w:sz w:val="20"/>
          <w:szCs w:val="20"/>
        </w:rPr>
      </w:pPr>
      <w:r w:rsidRPr="007C55FD">
        <w:rPr>
          <w:rFonts w:cs="Arial"/>
          <w:i/>
          <w:sz w:val="20"/>
          <w:szCs w:val="20"/>
        </w:rPr>
        <w:t>2. Behavioral changes in the purchase and installation of equipment not rebated by the</w:t>
      </w:r>
      <w:r w:rsidR="007C55FD">
        <w:rPr>
          <w:rFonts w:cs="Arial"/>
          <w:i/>
          <w:sz w:val="20"/>
          <w:szCs w:val="20"/>
        </w:rPr>
        <w:t xml:space="preserve"> </w:t>
      </w:r>
      <w:r w:rsidRPr="007C55FD">
        <w:rPr>
          <w:rFonts w:cs="Arial"/>
          <w:i/>
          <w:sz w:val="20"/>
          <w:szCs w:val="20"/>
        </w:rPr>
        <w:t>current IOU EE incentives programs (depending on the programs offered by a particular</w:t>
      </w:r>
      <w:r w:rsidR="007C55FD">
        <w:rPr>
          <w:rFonts w:cs="Arial"/>
          <w:i/>
          <w:sz w:val="20"/>
          <w:szCs w:val="20"/>
        </w:rPr>
        <w:t xml:space="preserve"> </w:t>
      </w:r>
      <w:r w:rsidRPr="007C55FD">
        <w:rPr>
          <w:rFonts w:cs="Arial"/>
          <w:i/>
          <w:sz w:val="20"/>
          <w:szCs w:val="20"/>
        </w:rPr>
        <w:t>utility, these may include purchase and/or replacement of HVAC filters, door and</w:t>
      </w:r>
      <w:r w:rsidR="007C55FD">
        <w:rPr>
          <w:rFonts w:cs="Arial"/>
          <w:i/>
          <w:sz w:val="20"/>
          <w:szCs w:val="20"/>
        </w:rPr>
        <w:t xml:space="preserve"> </w:t>
      </w:r>
      <w:r w:rsidRPr="007C55FD">
        <w:rPr>
          <w:rFonts w:cs="Arial"/>
          <w:i/>
          <w:sz w:val="20"/>
          <w:szCs w:val="20"/>
        </w:rPr>
        <w:t>window seals, and “smart” power strips, etc.), and</w:t>
      </w:r>
    </w:p>
    <w:p w:rsidR="000C092B" w:rsidRDefault="000C092B" w:rsidP="000C092B">
      <w:pPr>
        <w:rPr>
          <w:rFonts w:cs="Arial"/>
          <w:b/>
          <w:i/>
          <w:sz w:val="20"/>
          <w:szCs w:val="20"/>
          <w:highlight w:val="cyan"/>
        </w:rPr>
      </w:pPr>
      <w:r w:rsidRPr="007C55FD">
        <w:rPr>
          <w:rFonts w:cs="Arial"/>
          <w:i/>
          <w:sz w:val="20"/>
          <w:szCs w:val="20"/>
        </w:rPr>
        <w:t>3. Behavioral changes in the purchase and installation of energy efficient equipment</w:t>
      </w:r>
      <w:r w:rsidR="007C55FD">
        <w:rPr>
          <w:rFonts w:cs="Arial"/>
          <w:i/>
          <w:sz w:val="20"/>
          <w:szCs w:val="20"/>
        </w:rPr>
        <w:t xml:space="preserve"> </w:t>
      </w:r>
      <w:r w:rsidRPr="007C55FD">
        <w:rPr>
          <w:rFonts w:cs="Arial"/>
          <w:i/>
          <w:sz w:val="20"/>
          <w:szCs w:val="20"/>
        </w:rPr>
        <w:t xml:space="preserve">rebated by the current IOU EE incentive </w:t>
      </w:r>
      <w:r w:rsidR="007C55FD" w:rsidRPr="007C55FD">
        <w:rPr>
          <w:rFonts w:cs="Arial"/>
          <w:i/>
          <w:sz w:val="20"/>
          <w:szCs w:val="20"/>
        </w:rPr>
        <w:t>programs.</w:t>
      </w:r>
    </w:p>
    <w:p w:rsidR="007C55FD" w:rsidRDefault="007C55FD" w:rsidP="009C3607">
      <w:pPr>
        <w:rPr>
          <w:rFonts w:cs="Arial"/>
          <w:i/>
          <w:color w:val="FF0000"/>
          <w:sz w:val="20"/>
          <w:szCs w:val="20"/>
        </w:rPr>
      </w:pPr>
    </w:p>
    <w:p w:rsidR="006560BD" w:rsidRDefault="006560BD" w:rsidP="006560BD">
      <w:pPr>
        <w:rPr>
          <w:rFonts w:cs="Arial"/>
          <w:b/>
          <w:sz w:val="20"/>
          <w:szCs w:val="20"/>
        </w:rPr>
      </w:pPr>
      <w:r>
        <w:rPr>
          <w:rFonts w:cs="Arial"/>
          <w:b/>
          <w:sz w:val="20"/>
          <w:szCs w:val="20"/>
        </w:rPr>
        <w:t>Base Case Costs and Measure Case Costs</w:t>
      </w:r>
    </w:p>
    <w:p w:rsidR="006560BD" w:rsidRDefault="006560BD" w:rsidP="006560BD">
      <w:pPr>
        <w:rPr>
          <w:rFonts w:cs="Arial"/>
          <w:b/>
          <w:sz w:val="20"/>
          <w:szCs w:val="20"/>
        </w:rPr>
      </w:pPr>
    </w:p>
    <w:p w:rsidR="006560BD" w:rsidRDefault="006560BD" w:rsidP="006560BD">
      <w:pPr>
        <w:rPr>
          <w:rFonts w:cs="Arial"/>
          <w:b/>
          <w:sz w:val="20"/>
          <w:szCs w:val="20"/>
        </w:rPr>
      </w:pPr>
      <w:r>
        <w:rPr>
          <w:rFonts w:cs="Arial"/>
          <w:b/>
          <w:sz w:val="20"/>
          <w:szCs w:val="20"/>
        </w:rPr>
        <w:t>Costs</w:t>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DEER Version and Impact Ids</w:t>
      </w:r>
    </w:p>
    <w:p w:rsidR="006560BD" w:rsidRPr="0030154F" w:rsidRDefault="006560BD" w:rsidP="008943CC">
      <w:pPr>
        <w:numPr>
          <w:ilvl w:val="0"/>
          <w:numId w:val="11"/>
        </w:numPr>
        <w:rPr>
          <w:rFonts w:cs="Arial"/>
          <w:sz w:val="20"/>
          <w:szCs w:val="20"/>
        </w:rPr>
      </w:pPr>
      <w:r w:rsidRPr="0030154F">
        <w:rPr>
          <w:rFonts w:cs="Arial"/>
          <w:sz w:val="20"/>
          <w:szCs w:val="20"/>
        </w:rPr>
        <w:t xml:space="preserve">The [Base Case / Measure Case / Incremental] Costs were </w:t>
      </w:r>
      <w:r w:rsidR="0030154F" w:rsidRPr="0030154F">
        <w:rPr>
          <w:rFonts w:cs="Arial"/>
          <w:sz w:val="20"/>
          <w:szCs w:val="20"/>
        </w:rPr>
        <w:t>derived</w:t>
      </w:r>
      <w:r w:rsidRPr="0030154F">
        <w:rPr>
          <w:rFonts w:cs="Arial"/>
          <w:sz w:val="20"/>
          <w:szCs w:val="20"/>
        </w:rPr>
        <w:t xml:space="preserve"> from </w:t>
      </w:r>
      <w:r w:rsidR="008943CC" w:rsidRPr="008943CC">
        <w:rPr>
          <w:rFonts w:cs="Arial"/>
          <w:i/>
          <w:sz w:val="20"/>
          <w:szCs w:val="20"/>
        </w:rPr>
        <w:t>IOU Proposal for Reporting Energy Savings for Comparative Usage Energy Efficiency Programs</w:t>
      </w:r>
      <w:r w:rsidRPr="0030154F">
        <w:rPr>
          <w:rFonts w:cs="Arial"/>
          <w:sz w:val="20"/>
          <w:szCs w:val="20"/>
        </w:rPr>
        <w:t xml:space="preserve"> Study directly, they match the intended measures for climate zones and building types and ages.</w:t>
      </w:r>
    </w:p>
    <w:p w:rsidR="00450100" w:rsidRPr="00BC48EC" w:rsidRDefault="00450100" w:rsidP="0030154F">
      <w:pPr>
        <w:pStyle w:val="ListParagraph"/>
        <w:numPr>
          <w:ilvl w:val="2"/>
          <w:numId w:val="24"/>
        </w:numPr>
        <w:tabs>
          <w:tab w:val="clear" w:pos="1080"/>
        </w:tabs>
        <w:ind w:left="360"/>
        <w:rPr>
          <w:rFonts w:cs="Arial"/>
          <w:i/>
          <w:sz w:val="20"/>
          <w:szCs w:val="20"/>
        </w:rPr>
      </w:pPr>
      <w:r w:rsidRPr="00BC48EC">
        <w:rPr>
          <w:rFonts w:cs="Arial"/>
          <w:i/>
          <w:sz w:val="20"/>
          <w:szCs w:val="20"/>
        </w:rPr>
        <w:t>Incremental Measure Costs (IMC) and Negative Therm Interactive Effects. As is detailed above, comparative usage programs cause energy savings through behavior change and equipment purchases. IMCs and negative Therm interactive effects will be treated in the following manner for each class of energy savings as detailed below. Energy savings resulting from:</w:t>
      </w:r>
    </w:p>
    <w:p w:rsidR="00450100" w:rsidRPr="00BC48EC" w:rsidRDefault="00450100" w:rsidP="0030154F">
      <w:pPr>
        <w:pStyle w:val="ListParagraph"/>
        <w:numPr>
          <w:ilvl w:val="1"/>
          <w:numId w:val="11"/>
        </w:numPr>
        <w:tabs>
          <w:tab w:val="clear" w:pos="360"/>
        </w:tabs>
        <w:ind w:left="720"/>
        <w:rPr>
          <w:rFonts w:cs="Arial"/>
          <w:i/>
          <w:sz w:val="20"/>
          <w:szCs w:val="20"/>
        </w:rPr>
      </w:pPr>
      <w:r w:rsidRPr="00BC48EC">
        <w:rPr>
          <w:rFonts w:cs="Arial"/>
          <w:i/>
          <w:sz w:val="20"/>
          <w:szCs w:val="20"/>
        </w:rPr>
        <w:t>Behavioral changes (such as adjustment of thermostat and water heater settings) have no IMCs or known interactive effects, so none will be reported.</w:t>
      </w:r>
    </w:p>
    <w:p w:rsidR="00450100" w:rsidRDefault="00450100" w:rsidP="0030154F">
      <w:pPr>
        <w:pStyle w:val="ListParagraph"/>
        <w:numPr>
          <w:ilvl w:val="1"/>
          <w:numId w:val="11"/>
        </w:numPr>
        <w:tabs>
          <w:tab w:val="clear" w:pos="360"/>
        </w:tabs>
        <w:ind w:left="720"/>
        <w:rPr>
          <w:rFonts w:cs="Arial"/>
          <w:sz w:val="20"/>
          <w:szCs w:val="20"/>
        </w:rPr>
      </w:pPr>
      <w:r w:rsidRPr="00BC48EC">
        <w:rPr>
          <w:rFonts w:cs="Arial"/>
          <w:i/>
          <w:sz w:val="20"/>
          <w:szCs w:val="20"/>
        </w:rPr>
        <w:t>Equipment purchases that, as determined by utility records (for downstream measures) and by home inventories and surveys (for upstream measures), have been claimed through another utility program and will be omitted from savings claims for comparative usage programs</w:t>
      </w:r>
      <w:r w:rsidR="00FD30A7">
        <w:rPr>
          <w:rFonts w:cs="Arial"/>
          <w:i/>
          <w:sz w:val="20"/>
          <w:szCs w:val="20"/>
        </w:rPr>
        <w:t xml:space="preserve"> </w:t>
      </w:r>
      <w:r w:rsidR="00FD30A7" w:rsidRPr="00FD30A7">
        <w:rPr>
          <w:rFonts w:cs="Arial"/>
          <w:sz w:val="20"/>
          <w:szCs w:val="20"/>
        </w:rPr>
        <w:t>as these analyses are developed</w:t>
      </w:r>
      <w:r w:rsidRPr="00BC48EC">
        <w:rPr>
          <w:rFonts w:cs="Arial"/>
          <w:i/>
          <w:sz w:val="20"/>
          <w:szCs w:val="20"/>
        </w:rPr>
        <w:t>, to avoid double-counting. Since savings claims for comparative usage programs will not include energy savings attributable to these types of purchases</w:t>
      </w:r>
      <w:r w:rsidR="0010761F">
        <w:rPr>
          <w:rFonts w:cs="Arial"/>
          <w:i/>
          <w:sz w:val="20"/>
          <w:szCs w:val="20"/>
        </w:rPr>
        <w:t>,</w:t>
      </w:r>
      <w:r w:rsidRPr="00BC48EC">
        <w:rPr>
          <w:rFonts w:cs="Arial"/>
          <w:i/>
          <w:sz w:val="20"/>
          <w:szCs w:val="20"/>
        </w:rPr>
        <w:t xml:space="preserve"> IMCs and negative Therm effects will be reported through the savings claims for those equipment purchases</w:t>
      </w:r>
      <w:r w:rsidR="00BC48EC">
        <w:rPr>
          <w:rStyle w:val="EndnoteReference"/>
          <w:rFonts w:cs="Arial"/>
          <w:i/>
          <w:sz w:val="20"/>
          <w:szCs w:val="20"/>
        </w:rPr>
        <w:endnoteReference w:id="9"/>
      </w:r>
      <w:r w:rsidRPr="00BC48EC">
        <w:rPr>
          <w:rFonts w:cs="Arial"/>
          <w:i/>
          <w:sz w:val="20"/>
          <w:szCs w:val="20"/>
        </w:rPr>
        <w:t>.</w:t>
      </w:r>
    </w:p>
    <w:p w:rsidR="0030154F" w:rsidRPr="0030154F" w:rsidRDefault="0030154F" w:rsidP="0030154F">
      <w:pPr>
        <w:ind w:left="360"/>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980"/>
      </w:tblGrid>
      <w:tr w:rsidR="006560BD" w:rsidRPr="00783DAC" w:rsidTr="00646075">
        <w:tc>
          <w:tcPr>
            <w:tcW w:w="1016" w:type="dxa"/>
            <w:shd w:val="clear" w:color="auto" w:fill="auto"/>
          </w:tcPr>
          <w:p w:rsidR="006560BD" w:rsidRPr="00783DAC" w:rsidRDefault="006560BD" w:rsidP="00CC1129">
            <w:pPr>
              <w:keepNext/>
              <w:rPr>
                <w:rFonts w:cs="Arial"/>
                <w:b/>
                <w:sz w:val="20"/>
                <w:szCs w:val="20"/>
              </w:rPr>
            </w:pPr>
          </w:p>
        </w:tc>
        <w:tc>
          <w:tcPr>
            <w:tcW w:w="1072" w:type="dxa"/>
            <w:shd w:val="clear" w:color="auto" w:fill="auto"/>
          </w:tcPr>
          <w:p w:rsidR="006560BD" w:rsidRPr="00783DAC" w:rsidRDefault="006560BD" w:rsidP="00CC1129">
            <w:pPr>
              <w:keepNext/>
              <w:rPr>
                <w:rFonts w:cs="Arial"/>
                <w:b/>
                <w:sz w:val="20"/>
                <w:szCs w:val="20"/>
              </w:rPr>
            </w:pPr>
          </w:p>
        </w:tc>
        <w:tc>
          <w:tcPr>
            <w:tcW w:w="939" w:type="dxa"/>
            <w:shd w:val="clear" w:color="auto" w:fill="auto"/>
          </w:tcPr>
          <w:p w:rsidR="006560BD" w:rsidRPr="00783DAC" w:rsidRDefault="006560BD" w:rsidP="00CC1129">
            <w:pPr>
              <w:keepNext/>
              <w:rPr>
                <w:rFonts w:cs="Arial"/>
                <w:b/>
                <w:sz w:val="20"/>
                <w:szCs w:val="20"/>
              </w:rPr>
            </w:pPr>
          </w:p>
        </w:tc>
        <w:tc>
          <w:tcPr>
            <w:tcW w:w="4281" w:type="dxa"/>
            <w:gridSpan w:val="3"/>
            <w:shd w:val="clear" w:color="auto" w:fill="auto"/>
          </w:tcPr>
          <w:p w:rsidR="006560BD" w:rsidRPr="00783DAC" w:rsidRDefault="006560BD" w:rsidP="00CC1129">
            <w:pPr>
              <w:keepNext/>
              <w:jc w:val="center"/>
              <w:rPr>
                <w:rFonts w:cs="Arial"/>
                <w:b/>
                <w:sz w:val="20"/>
                <w:szCs w:val="20"/>
              </w:rPr>
            </w:pPr>
            <w:r w:rsidRPr="00783DAC">
              <w:rPr>
                <w:rFonts w:cs="Arial"/>
                <w:b/>
                <w:sz w:val="20"/>
                <w:szCs w:val="20"/>
              </w:rPr>
              <w:t>Costs ($)</w:t>
            </w:r>
          </w:p>
        </w:tc>
        <w:tc>
          <w:tcPr>
            <w:tcW w:w="1980" w:type="dxa"/>
            <w:shd w:val="clear" w:color="auto" w:fill="auto"/>
          </w:tcPr>
          <w:p w:rsidR="006560BD" w:rsidRPr="00783DAC" w:rsidRDefault="006560BD" w:rsidP="00CC1129">
            <w:pPr>
              <w:keepNext/>
              <w:rPr>
                <w:rFonts w:cs="Arial"/>
                <w:b/>
                <w:sz w:val="20"/>
                <w:szCs w:val="20"/>
              </w:rPr>
            </w:pPr>
          </w:p>
        </w:tc>
      </w:tr>
      <w:tr w:rsidR="006560BD" w:rsidRPr="00783DAC" w:rsidTr="00646075">
        <w:tc>
          <w:tcPr>
            <w:tcW w:w="1016" w:type="dxa"/>
            <w:shd w:val="clear" w:color="auto" w:fill="auto"/>
          </w:tcPr>
          <w:p w:rsidR="006560BD" w:rsidRPr="00783DAC" w:rsidRDefault="006560BD" w:rsidP="00CC1129">
            <w:pPr>
              <w:keepNext/>
              <w:rPr>
                <w:rFonts w:cs="Arial"/>
                <w:b/>
                <w:sz w:val="20"/>
                <w:szCs w:val="20"/>
              </w:rPr>
            </w:pPr>
            <w:r w:rsidRPr="00783DAC">
              <w:rPr>
                <w:rFonts w:cs="Arial"/>
                <w:b/>
                <w:sz w:val="20"/>
                <w:szCs w:val="20"/>
              </w:rPr>
              <w:t>Building type</w:t>
            </w:r>
            <w:r>
              <w:rPr>
                <w:rFonts w:cs="Arial"/>
                <w:b/>
                <w:sz w:val="20"/>
                <w:szCs w:val="20"/>
              </w:rPr>
              <w:t xml:space="preserve"> </w:t>
            </w:r>
          </w:p>
        </w:tc>
        <w:tc>
          <w:tcPr>
            <w:tcW w:w="1072" w:type="dxa"/>
            <w:shd w:val="clear" w:color="auto" w:fill="auto"/>
          </w:tcPr>
          <w:p w:rsidR="006560BD" w:rsidRPr="00783DAC" w:rsidRDefault="006560BD" w:rsidP="00CC1129">
            <w:pPr>
              <w:keepNext/>
              <w:rPr>
                <w:rFonts w:cs="Arial"/>
                <w:b/>
                <w:sz w:val="20"/>
                <w:szCs w:val="20"/>
              </w:rPr>
            </w:pPr>
            <w:r w:rsidRPr="00783DAC">
              <w:rPr>
                <w:rFonts w:cs="Arial"/>
                <w:b/>
                <w:sz w:val="20"/>
                <w:szCs w:val="20"/>
              </w:rPr>
              <w:t>Bldg Vintage</w:t>
            </w:r>
            <w:r>
              <w:rPr>
                <w:rFonts w:cs="Arial"/>
                <w:b/>
                <w:sz w:val="20"/>
                <w:szCs w:val="20"/>
              </w:rPr>
              <w:t xml:space="preserve"> </w:t>
            </w:r>
          </w:p>
        </w:tc>
        <w:tc>
          <w:tcPr>
            <w:tcW w:w="939" w:type="dxa"/>
            <w:shd w:val="clear" w:color="auto" w:fill="auto"/>
          </w:tcPr>
          <w:p w:rsidR="006560BD" w:rsidRPr="00783DAC" w:rsidRDefault="006560BD" w:rsidP="00CC1129">
            <w:pPr>
              <w:keepNext/>
              <w:rPr>
                <w:rFonts w:cs="Arial"/>
                <w:b/>
                <w:sz w:val="20"/>
                <w:szCs w:val="20"/>
              </w:rPr>
            </w:pPr>
            <w:r w:rsidRPr="00783DAC">
              <w:rPr>
                <w:rFonts w:cs="Arial"/>
                <w:b/>
                <w:sz w:val="20"/>
                <w:szCs w:val="20"/>
              </w:rPr>
              <w:t>Climate Zone</w:t>
            </w:r>
            <w:r>
              <w:rPr>
                <w:rFonts w:cs="Arial"/>
                <w:b/>
                <w:sz w:val="20"/>
                <w:szCs w:val="20"/>
              </w:rPr>
              <w:t xml:space="preserve"> </w:t>
            </w:r>
          </w:p>
        </w:tc>
        <w:tc>
          <w:tcPr>
            <w:tcW w:w="1401" w:type="dxa"/>
            <w:shd w:val="clear" w:color="auto" w:fill="auto"/>
          </w:tcPr>
          <w:p w:rsidR="006560BD" w:rsidRPr="00783DAC" w:rsidRDefault="006560BD" w:rsidP="00CC1129">
            <w:pPr>
              <w:keepNext/>
              <w:rPr>
                <w:rFonts w:cs="Arial"/>
                <w:b/>
                <w:sz w:val="20"/>
                <w:szCs w:val="20"/>
              </w:rPr>
            </w:pPr>
            <w:r w:rsidRPr="00783DAC">
              <w:rPr>
                <w:rFonts w:cs="Arial"/>
                <w:b/>
                <w:sz w:val="20"/>
                <w:szCs w:val="20"/>
              </w:rPr>
              <w:t>Base Case</w:t>
            </w:r>
          </w:p>
        </w:tc>
        <w:tc>
          <w:tcPr>
            <w:tcW w:w="1620" w:type="dxa"/>
            <w:shd w:val="clear" w:color="auto" w:fill="auto"/>
          </w:tcPr>
          <w:p w:rsidR="006560BD" w:rsidRPr="00783DAC" w:rsidRDefault="006560BD" w:rsidP="00CC1129">
            <w:pPr>
              <w:keepNext/>
              <w:rPr>
                <w:rFonts w:cs="Arial"/>
                <w:b/>
                <w:sz w:val="20"/>
                <w:szCs w:val="20"/>
              </w:rPr>
            </w:pPr>
            <w:r w:rsidRPr="00783DAC">
              <w:rPr>
                <w:rFonts w:cs="Arial"/>
                <w:b/>
                <w:sz w:val="20"/>
                <w:szCs w:val="20"/>
              </w:rPr>
              <w:t>Measure Case</w:t>
            </w:r>
          </w:p>
        </w:tc>
        <w:tc>
          <w:tcPr>
            <w:tcW w:w="1260" w:type="dxa"/>
            <w:shd w:val="clear" w:color="auto" w:fill="auto"/>
          </w:tcPr>
          <w:p w:rsidR="006560BD" w:rsidRPr="00783DAC" w:rsidRDefault="006560BD" w:rsidP="00CC1129">
            <w:pPr>
              <w:keepNext/>
              <w:rPr>
                <w:rFonts w:cs="Arial"/>
                <w:b/>
                <w:sz w:val="20"/>
                <w:szCs w:val="20"/>
              </w:rPr>
            </w:pPr>
            <w:r w:rsidRPr="00783DAC">
              <w:rPr>
                <w:rFonts w:cs="Arial"/>
                <w:b/>
                <w:sz w:val="20"/>
                <w:szCs w:val="20"/>
              </w:rPr>
              <w:t xml:space="preserve">IMC </w:t>
            </w:r>
          </w:p>
        </w:tc>
        <w:tc>
          <w:tcPr>
            <w:tcW w:w="1980" w:type="dxa"/>
            <w:shd w:val="clear" w:color="auto" w:fill="auto"/>
          </w:tcPr>
          <w:p w:rsidR="006560BD" w:rsidRPr="00783DAC" w:rsidRDefault="006560BD" w:rsidP="00CC1129">
            <w:pPr>
              <w:keepNext/>
              <w:rPr>
                <w:rFonts w:cs="Arial"/>
                <w:b/>
                <w:sz w:val="20"/>
                <w:szCs w:val="20"/>
              </w:rPr>
            </w:pPr>
            <w:r w:rsidRPr="00783DAC">
              <w:rPr>
                <w:rFonts w:cs="Arial"/>
                <w:b/>
                <w:sz w:val="20"/>
                <w:szCs w:val="20"/>
              </w:rPr>
              <w:t>Specific study reference</w:t>
            </w:r>
          </w:p>
        </w:tc>
      </w:tr>
      <w:tr w:rsidR="006560BD" w:rsidRPr="00783DAC" w:rsidTr="00646075">
        <w:tc>
          <w:tcPr>
            <w:tcW w:w="1016" w:type="dxa"/>
            <w:shd w:val="clear" w:color="auto" w:fill="auto"/>
          </w:tcPr>
          <w:p w:rsidR="006560BD" w:rsidRPr="00783DAC" w:rsidRDefault="0030154F" w:rsidP="00CC1129">
            <w:pPr>
              <w:keepNext/>
              <w:rPr>
                <w:rFonts w:cs="Arial"/>
                <w:b/>
                <w:sz w:val="20"/>
                <w:szCs w:val="20"/>
              </w:rPr>
            </w:pPr>
            <w:r>
              <w:rPr>
                <w:rFonts w:cs="Arial"/>
                <w:b/>
                <w:sz w:val="20"/>
                <w:szCs w:val="20"/>
              </w:rPr>
              <w:t>RES</w:t>
            </w:r>
          </w:p>
        </w:tc>
        <w:tc>
          <w:tcPr>
            <w:tcW w:w="1072" w:type="dxa"/>
            <w:shd w:val="clear" w:color="auto" w:fill="auto"/>
          </w:tcPr>
          <w:p w:rsidR="006560BD" w:rsidRPr="00783DAC" w:rsidRDefault="0030154F" w:rsidP="00CC1129">
            <w:pPr>
              <w:keepNext/>
              <w:rPr>
                <w:rFonts w:cs="Arial"/>
                <w:b/>
                <w:sz w:val="20"/>
                <w:szCs w:val="20"/>
              </w:rPr>
            </w:pPr>
            <w:r>
              <w:rPr>
                <w:rFonts w:cs="Arial"/>
                <w:b/>
                <w:sz w:val="20"/>
                <w:szCs w:val="20"/>
              </w:rPr>
              <w:t>ALL</w:t>
            </w:r>
          </w:p>
        </w:tc>
        <w:tc>
          <w:tcPr>
            <w:tcW w:w="939" w:type="dxa"/>
            <w:shd w:val="clear" w:color="auto" w:fill="auto"/>
          </w:tcPr>
          <w:p w:rsidR="006560BD" w:rsidRPr="00783DAC" w:rsidRDefault="0030154F" w:rsidP="00CC1129">
            <w:pPr>
              <w:keepNext/>
              <w:rPr>
                <w:rFonts w:cs="Arial"/>
                <w:b/>
                <w:sz w:val="20"/>
                <w:szCs w:val="20"/>
              </w:rPr>
            </w:pPr>
            <w:r>
              <w:rPr>
                <w:rFonts w:cs="Arial"/>
                <w:b/>
                <w:sz w:val="20"/>
                <w:szCs w:val="20"/>
              </w:rPr>
              <w:t>ALL</w:t>
            </w:r>
          </w:p>
        </w:tc>
        <w:tc>
          <w:tcPr>
            <w:tcW w:w="1401" w:type="dxa"/>
            <w:shd w:val="clear" w:color="auto" w:fill="auto"/>
          </w:tcPr>
          <w:p w:rsidR="006560BD" w:rsidRPr="009F1859" w:rsidRDefault="0030154F" w:rsidP="00CC1129">
            <w:pPr>
              <w:keepNext/>
              <w:spacing w:before="40" w:after="40"/>
              <w:rPr>
                <w:rFonts w:cs="Arial"/>
                <w:b/>
                <w:sz w:val="20"/>
                <w:szCs w:val="20"/>
                <w:highlight w:val="yellow"/>
              </w:rPr>
            </w:pPr>
            <w:r w:rsidRPr="009F1859">
              <w:rPr>
                <w:rFonts w:cs="Arial"/>
                <w:b/>
                <w:sz w:val="20"/>
                <w:szCs w:val="20"/>
                <w:highlight w:val="yellow"/>
              </w:rPr>
              <w:t>0</w:t>
            </w:r>
          </w:p>
        </w:tc>
        <w:tc>
          <w:tcPr>
            <w:tcW w:w="1620" w:type="dxa"/>
            <w:shd w:val="clear" w:color="auto" w:fill="auto"/>
          </w:tcPr>
          <w:p w:rsidR="006560BD" w:rsidRPr="009F1859" w:rsidRDefault="0030154F" w:rsidP="00CC1129">
            <w:pPr>
              <w:keepNext/>
              <w:spacing w:before="40" w:after="40"/>
              <w:rPr>
                <w:rFonts w:cs="Arial"/>
                <w:b/>
                <w:sz w:val="20"/>
                <w:szCs w:val="20"/>
                <w:highlight w:val="yellow"/>
              </w:rPr>
            </w:pPr>
            <w:r w:rsidRPr="009F1859">
              <w:rPr>
                <w:rFonts w:cs="Arial"/>
                <w:b/>
                <w:sz w:val="20"/>
                <w:szCs w:val="20"/>
                <w:highlight w:val="yellow"/>
              </w:rPr>
              <w:t>0</w:t>
            </w:r>
          </w:p>
        </w:tc>
        <w:tc>
          <w:tcPr>
            <w:tcW w:w="1260" w:type="dxa"/>
            <w:shd w:val="clear" w:color="auto" w:fill="auto"/>
          </w:tcPr>
          <w:p w:rsidR="006560BD" w:rsidRPr="009F1859" w:rsidRDefault="0030154F" w:rsidP="00CC1129">
            <w:pPr>
              <w:keepNext/>
              <w:spacing w:before="40" w:after="40"/>
              <w:rPr>
                <w:rFonts w:cs="Arial"/>
                <w:b/>
                <w:sz w:val="20"/>
                <w:szCs w:val="20"/>
                <w:highlight w:val="yellow"/>
              </w:rPr>
            </w:pPr>
            <w:r w:rsidRPr="009F1859">
              <w:rPr>
                <w:rFonts w:cs="Arial"/>
                <w:b/>
                <w:sz w:val="20"/>
                <w:szCs w:val="20"/>
                <w:highlight w:val="yellow"/>
              </w:rPr>
              <w:t>0</w:t>
            </w:r>
          </w:p>
        </w:tc>
        <w:tc>
          <w:tcPr>
            <w:tcW w:w="1980" w:type="dxa"/>
            <w:shd w:val="clear" w:color="auto" w:fill="auto"/>
          </w:tcPr>
          <w:p w:rsidR="006560BD" w:rsidRPr="00783DAC" w:rsidRDefault="0030154F" w:rsidP="00CC1129">
            <w:pPr>
              <w:keepNext/>
              <w:rPr>
                <w:rFonts w:cs="Arial"/>
                <w:b/>
                <w:sz w:val="20"/>
                <w:szCs w:val="20"/>
              </w:rPr>
            </w:pPr>
            <w:r>
              <w:rPr>
                <w:rFonts w:cs="Arial"/>
                <w:b/>
                <w:sz w:val="20"/>
                <w:szCs w:val="20"/>
              </w:rPr>
              <w:t>See Study.</w:t>
            </w:r>
          </w:p>
        </w:tc>
      </w:tr>
    </w:tbl>
    <w:p w:rsidR="006560BD" w:rsidRPr="00432C65" w:rsidRDefault="006560BD" w:rsidP="006560BD">
      <w:pPr>
        <w:rPr>
          <w:rFonts w:cs="Arial"/>
          <w:sz w:val="20"/>
          <w:szCs w:val="20"/>
        </w:rPr>
      </w:pPr>
    </w:p>
    <w:p w:rsidR="006560BD" w:rsidRDefault="006560BD" w:rsidP="006560BD">
      <w:pPr>
        <w:rPr>
          <w:rFonts w:cs="Arial"/>
          <w:i/>
          <w:sz w:val="20"/>
          <w:szCs w:val="20"/>
        </w:rPr>
      </w:pPr>
      <w:r w:rsidRPr="00432C65">
        <w:rPr>
          <w:rFonts w:cs="Arial"/>
          <w:b/>
          <w:sz w:val="20"/>
          <w:szCs w:val="20"/>
        </w:rPr>
        <w:t>Effective Useful Life:</w:t>
      </w:r>
      <w:r>
        <w:rPr>
          <w:rFonts w:cs="Arial"/>
          <w:sz w:val="20"/>
          <w:szCs w:val="20"/>
        </w:rPr>
        <w:t xml:space="preserve"> </w:t>
      </w:r>
    </w:p>
    <w:p w:rsidR="006560BD" w:rsidRPr="00EB2D3B" w:rsidRDefault="006560BD" w:rsidP="00EB2D3B">
      <w:pPr>
        <w:numPr>
          <w:ilvl w:val="0"/>
          <w:numId w:val="18"/>
        </w:numPr>
        <w:rPr>
          <w:rFonts w:cs="Arial"/>
          <w:sz w:val="20"/>
          <w:szCs w:val="20"/>
        </w:rPr>
      </w:pPr>
      <w:r w:rsidRPr="00EB2D3B">
        <w:rPr>
          <w:rFonts w:cs="Arial"/>
          <w:sz w:val="20"/>
          <w:szCs w:val="20"/>
        </w:rPr>
        <w:t xml:space="preserve">The Effective Useful Life estimates were downloaded from </w:t>
      </w:r>
      <w:r w:rsidR="00EB2D3B" w:rsidRPr="00EB2D3B">
        <w:rPr>
          <w:rFonts w:cs="Arial"/>
          <w:sz w:val="20"/>
          <w:szCs w:val="20"/>
        </w:rPr>
        <w:t>the “</w:t>
      </w:r>
      <w:r w:rsidR="00EB2D3B" w:rsidRPr="00EB2D3B">
        <w:rPr>
          <w:rFonts w:cs="Arial"/>
          <w:i/>
          <w:sz w:val="20"/>
          <w:szCs w:val="20"/>
        </w:rPr>
        <w:t>IOU Proposal for Reporting Energy Savings for Comparative Usage Energy Efficiency Programs”</w:t>
      </w:r>
      <w:r w:rsidRPr="00EB2D3B">
        <w:rPr>
          <w:rFonts w:cs="Arial"/>
          <w:sz w:val="20"/>
          <w:szCs w:val="20"/>
        </w:rPr>
        <w:t xml:space="preserve"> Study directly, they match the intended measures for climate zones and building types and vintages.</w:t>
      </w:r>
    </w:p>
    <w:p w:rsidR="006560BD" w:rsidRPr="00137AC7" w:rsidRDefault="00322EC9" w:rsidP="00322EC9">
      <w:pPr>
        <w:rPr>
          <w:sz w:val="20"/>
          <w:szCs w:val="20"/>
        </w:rPr>
      </w:pPr>
      <w:r w:rsidRPr="00EB2D3B">
        <w:rPr>
          <w:sz w:val="20"/>
          <w:szCs w:val="20"/>
        </w:rPr>
        <w:t>EUL is the estimate of the median number of years that the</w:t>
      </w:r>
      <w:r w:rsidR="00EB2D3B" w:rsidRPr="00EB2D3B">
        <w:rPr>
          <w:sz w:val="20"/>
          <w:szCs w:val="20"/>
        </w:rPr>
        <w:t xml:space="preserve"> </w:t>
      </w:r>
      <w:r w:rsidRPr="00EB2D3B">
        <w:rPr>
          <w:sz w:val="20"/>
          <w:szCs w:val="20"/>
        </w:rPr>
        <w:t>measures installed under an energy efficiency program are still in place and operable</w:t>
      </w:r>
      <w:r w:rsidR="00EB2D3B" w:rsidRPr="00EB2D3B">
        <w:rPr>
          <w:sz w:val="20"/>
          <w:szCs w:val="20"/>
        </w:rPr>
        <w:t xml:space="preserve"> </w:t>
      </w:r>
      <w:r w:rsidRPr="00EB2D3B">
        <w:rPr>
          <w:sz w:val="20"/>
          <w:szCs w:val="20"/>
        </w:rPr>
        <w:t>(retained). The intent of comparative usage programs is to affect behavioral change, and</w:t>
      </w:r>
      <w:r w:rsidR="00EB2D3B" w:rsidRPr="00EB2D3B">
        <w:rPr>
          <w:sz w:val="20"/>
          <w:szCs w:val="20"/>
        </w:rPr>
        <w:t xml:space="preserve"> </w:t>
      </w:r>
      <w:r w:rsidRPr="00EB2D3B">
        <w:rPr>
          <w:sz w:val="20"/>
          <w:szCs w:val="20"/>
        </w:rPr>
        <w:t>studies in multiple jurisdictions confirm that energy savings continues for as long as</w:t>
      </w:r>
      <w:r w:rsidR="00EB2D3B" w:rsidRPr="00EB2D3B">
        <w:rPr>
          <w:sz w:val="20"/>
          <w:szCs w:val="20"/>
        </w:rPr>
        <w:t xml:space="preserve"> </w:t>
      </w:r>
      <w:r w:rsidRPr="00EB2D3B">
        <w:rPr>
          <w:sz w:val="20"/>
          <w:szCs w:val="20"/>
        </w:rPr>
        <w:t xml:space="preserve">comparative usage reports are provided to households. </w:t>
      </w:r>
      <w:r w:rsidR="0010761F">
        <w:rPr>
          <w:sz w:val="20"/>
          <w:szCs w:val="20"/>
        </w:rPr>
        <w:t>Some recent studies indicate that there are r</w:t>
      </w:r>
      <w:r w:rsidR="0010761F" w:rsidRPr="00137AC7">
        <w:rPr>
          <w:sz w:val="20"/>
          <w:szCs w:val="20"/>
        </w:rPr>
        <w:t xml:space="preserve">esidual effects from these programs that continue after cessation of report </w:t>
      </w:r>
      <w:r w:rsidR="00AA5E66" w:rsidRPr="00137AC7">
        <w:rPr>
          <w:sz w:val="20"/>
          <w:szCs w:val="20"/>
        </w:rPr>
        <w:t>deliveries</w:t>
      </w:r>
      <w:r w:rsidR="0010761F" w:rsidRPr="00137AC7">
        <w:rPr>
          <w:sz w:val="20"/>
          <w:szCs w:val="20"/>
        </w:rPr>
        <w:t xml:space="preserve">. </w:t>
      </w:r>
      <w:r w:rsidRPr="00137AC7">
        <w:rPr>
          <w:sz w:val="20"/>
          <w:szCs w:val="20"/>
        </w:rPr>
        <w:t>PG&amp;E will claim savings as</w:t>
      </w:r>
      <w:r w:rsidR="00EB2D3B" w:rsidRPr="00137AC7">
        <w:rPr>
          <w:sz w:val="20"/>
          <w:szCs w:val="20"/>
        </w:rPr>
        <w:t xml:space="preserve"> </w:t>
      </w:r>
      <w:r w:rsidRPr="00137AC7">
        <w:rPr>
          <w:sz w:val="20"/>
          <w:szCs w:val="20"/>
        </w:rPr>
        <w:t>measured by energy usage in the treatment groups compared to the control groups for</w:t>
      </w:r>
      <w:r w:rsidR="00EB2D3B" w:rsidRPr="00137AC7">
        <w:rPr>
          <w:sz w:val="20"/>
          <w:szCs w:val="20"/>
        </w:rPr>
        <w:t xml:space="preserve"> </w:t>
      </w:r>
      <w:r w:rsidRPr="00137AC7">
        <w:rPr>
          <w:sz w:val="20"/>
          <w:szCs w:val="20"/>
        </w:rPr>
        <w:t>the duration that the reports are mailed. PG&amp;E will undertake studies to understand the</w:t>
      </w:r>
      <w:r w:rsidR="00EB2D3B" w:rsidRPr="00137AC7">
        <w:rPr>
          <w:sz w:val="20"/>
          <w:szCs w:val="20"/>
        </w:rPr>
        <w:t xml:space="preserve"> </w:t>
      </w:r>
      <w:r w:rsidRPr="00137AC7">
        <w:rPr>
          <w:sz w:val="20"/>
          <w:szCs w:val="20"/>
        </w:rPr>
        <w:t>decay rate of the treatment effect</w:t>
      </w:r>
      <w:r w:rsidR="00120191">
        <w:rPr>
          <w:sz w:val="20"/>
          <w:szCs w:val="20"/>
        </w:rPr>
        <w:t xml:space="preserve"> should a particular program or measure be terminated.</w:t>
      </w:r>
      <w:r w:rsidRPr="00137AC7">
        <w:rPr>
          <w:rStyle w:val="EndnoteReference"/>
          <w:b/>
          <w:sz w:val="24"/>
        </w:rPr>
        <w:endnoteReference w:id="10"/>
      </w:r>
      <w:r w:rsidRPr="00137AC7">
        <w:rPr>
          <w:sz w:val="20"/>
          <w:szCs w:val="20"/>
        </w:rPr>
        <w:t>.</w:t>
      </w:r>
      <w:r w:rsidR="00C52701" w:rsidRPr="00137AC7">
        <w:rPr>
          <w:sz w:val="20"/>
          <w:szCs w:val="20"/>
        </w:rPr>
        <w:t xml:space="preserve"> </w:t>
      </w:r>
    </w:p>
    <w:p w:rsidR="00C52701" w:rsidRPr="00137AC7" w:rsidRDefault="00C52701" w:rsidP="00322EC9">
      <w:pPr>
        <w:rPr>
          <w:sz w:val="20"/>
          <w:szCs w:val="20"/>
        </w:rPr>
      </w:pPr>
    </w:p>
    <w:p w:rsidR="00EB2D3B" w:rsidRDefault="00EB2D3B" w:rsidP="00322EC9">
      <w:pPr>
        <w:rPr>
          <w:sz w:val="20"/>
          <w:szCs w:val="20"/>
        </w:rPr>
      </w:pPr>
      <w:r w:rsidRPr="00137AC7">
        <w:rPr>
          <w:sz w:val="20"/>
          <w:szCs w:val="20"/>
        </w:rPr>
        <w:t xml:space="preserve">As a result, PG&amp;E is claiming the savings on a </w:t>
      </w:r>
      <w:r w:rsidR="00AC6C60" w:rsidRPr="00120191">
        <w:rPr>
          <w:sz w:val="20"/>
          <w:szCs w:val="20"/>
        </w:rPr>
        <w:t>quarter to quarter</w:t>
      </w:r>
      <w:r w:rsidRPr="00137AC7">
        <w:rPr>
          <w:sz w:val="20"/>
          <w:szCs w:val="20"/>
        </w:rPr>
        <w:t xml:space="preserve"> basis for all “Waves” of the program.  The EUL will be </w:t>
      </w:r>
      <w:r w:rsidR="00AC6C60" w:rsidRPr="00120191">
        <w:rPr>
          <w:sz w:val="20"/>
          <w:szCs w:val="20"/>
        </w:rPr>
        <w:t>20 years</w:t>
      </w:r>
      <w:r w:rsidR="00AC6C60" w:rsidRPr="00137AC7">
        <w:rPr>
          <w:sz w:val="20"/>
          <w:szCs w:val="20"/>
        </w:rPr>
        <w:t xml:space="preserve"> </w:t>
      </w:r>
      <w:r w:rsidRPr="00137AC7">
        <w:rPr>
          <w:sz w:val="20"/>
          <w:szCs w:val="20"/>
        </w:rPr>
        <w:t>for each Wave</w:t>
      </w:r>
      <w:r w:rsidR="00137AC7">
        <w:rPr>
          <w:sz w:val="20"/>
          <w:szCs w:val="20"/>
        </w:rPr>
        <w:t xml:space="preserve"> from the start of report deliveries,</w:t>
      </w:r>
      <w:r w:rsidR="00AC6C60" w:rsidRPr="00137AC7">
        <w:rPr>
          <w:sz w:val="20"/>
          <w:szCs w:val="20"/>
        </w:rPr>
        <w:t xml:space="preserve"> </w:t>
      </w:r>
      <w:r w:rsidR="00137AC7" w:rsidRPr="00137AC7">
        <w:rPr>
          <w:sz w:val="20"/>
          <w:szCs w:val="20"/>
        </w:rPr>
        <w:t>stipulating that the EUL will shorten to an appropriate length determined by study should the program end for any particular wave or group of customers</w:t>
      </w:r>
      <w:r w:rsidR="00120191">
        <w:rPr>
          <w:sz w:val="20"/>
          <w:szCs w:val="20"/>
        </w:rPr>
        <w:t>.</w:t>
      </w:r>
    </w:p>
    <w:p w:rsidR="00EB2D3B" w:rsidRPr="00EB2D3B" w:rsidRDefault="00EB2D3B" w:rsidP="00322EC9">
      <w:pPr>
        <w:rPr>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328"/>
      </w:tblGrid>
      <w:tr w:rsidR="006560BD" w:rsidRPr="00275856" w:rsidTr="00CC1129">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 xml:space="preserve">Building type </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 xml:space="preserve">Bldg Vintage </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 xml:space="preserve">Climate Zone </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EUL (yrs)</w:t>
            </w:r>
          </w:p>
        </w:tc>
        <w:tc>
          <w:tcPr>
            <w:tcW w:w="0" w:type="auto"/>
          </w:tcPr>
          <w:p w:rsidR="006560BD" w:rsidRPr="00137AC7" w:rsidRDefault="006560BD" w:rsidP="00CC1129">
            <w:pPr>
              <w:rPr>
                <w:rFonts w:cs="Arial"/>
                <w:b/>
                <w:sz w:val="20"/>
                <w:szCs w:val="20"/>
              </w:rPr>
            </w:pPr>
            <w:r w:rsidRPr="00137AC7">
              <w:rPr>
                <w:rFonts w:cs="Arial"/>
                <w:b/>
                <w:sz w:val="20"/>
                <w:szCs w:val="20"/>
              </w:rPr>
              <w:t>RUL (yrs)</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DEER Version</w:t>
            </w:r>
          </w:p>
        </w:tc>
        <w:tc>
          <w:tcPr>
            <w:tcW w:w="0" w:type="auto"/>
            <w:shd w:val="clear" w:color="auto" w:fill="auto"/>
          </w:tcPr>
          <w:p w:rsidR="006560BD" w:rsidRPr="00137AC7" w:rsidRDefault="006560BD" w:rsidP="00CC1129">
            <w:pPr>
              <w:rPr>
                <w:rFonts w:cs="Arial"/>
                <w:b/>
                <w:sz w:val="20"/>
                <w:szCs w:val="20"/>
              </w:rPr>
            </w:pPr>
            <w:r w:rsidRPr="00137AC7">
              <w:rPr>
                <w:rFonts w:cs="Arial"/>
                <w:b/>
                <w:sz w:val="20"/>
                <w:szCs w:val="20"/>
              </w:rPr>
              <w:t>Impact IDs</w:t>
            </w:r>
          </w:p>
        </w:tc>
      </w:tr>
      <w:tr w:rsidR="006560BD" w:rsidRPr="00783DAC" w:rsidTr="00CC1129">
        <w:tc>
          <w:tcPr>
            <w:tcW w:w="0" w:type="auto"/>
            <w:shd w:val="clear" w:color="auto" w:fill="auto"/>
          </w:tcPr>
          <w:p w:rsidR="006560BD" w:rsidRPr="00137AC7" w:rsidRDefault="00EB2D3B" w:rsidP="00CC1129">
            <w:pPr>
              <w:rPr>
                <w:rFonts w:cs="Arial"/>
                <w:b/>
                <w:sz w:val="20"/>
                <w:szCs w:val="20"/>
              </w:rPr>
            </w:pPr>
            <w:r w:rsidRPr="00137AC7">
              <w:rPr>
                <w:rFonts w:cs="Arial"/>
                <w:b/>
                <w:sz w:val="20"/>
                <w:szCs w:val="20"/>
              </w:rPr>
              <w:t xml:space="preserve">RES </w:t>
            </w:r>
          </w:p>
        </w:tc>
        <w:tc>
          <w:tcPr>
            <w:tcW w:w="0" w:type="auto"/>
            <w:shd w:val="clear" w:color="auto" w:fill="auto"/>
          </w:tcPr>
          <w:p w:rsidR="006560BD" w:rsidRPr="00137AC7" w:rsidRDefault="00EB2D3B" w:rsidP="00CC1129">
            <w:pPr>
              <w:spacing w:before="40" w:after="40"/>
              <w:rPr>
                <w:rFonts w:cs="Arial"/>
                <w:b/>
                <w:sz w:val="20"/>
                <w:szCs w:val="20"/>
              </w:rPr>
            </w:pPr>
            <w:r w:rsidRPr="00137AC7">
              <w:rPr>
                <w:rFonts w:cs="Arial"/>
                <w:b/>
                <w:sz w:val="20"/>
                <w:szCs w:val="20"/>
              </w:rPr>
              <w:t>ALL</w:t>
            </w:r>
          </w:p>
        </w:tc>
        <w:tc>
          <w:tcPr>
            <w:tcW w:w="0" w:type="auto"/>
            <w:shd w:val="clear" w:color="auto" w:fill="auto"/>
          </w:tcPr>
          <w:p w:rsidR="006560BD" w:rsidRPr="00137AC7" w:rsidRDefault="00EB2D3B" w:rsidP="00CC1129">
            <w:pPr>
              <w:spacing w:before="40" w:after="40"/>
              <w:rPr>
                <w:rFonts w:cs="Arial"/>
                <w:b/>
                <w:sz w:val="20"/>
                <w:szCs w:val="20"/>
              </w:rPr>
            </w:pPr>
            <w:r w:rsidRPr="00137AC7">
              <w:rPr>
                <w:rFonts w:cs="Arial"/>
                <w:b/>
                <w:sz w:val="20"/>
                <w:szCs w:val="20"/>
              </w:rPr>
              <w:t xml:space="preserve">ALL </w:t>
            </w:r>
          </w:p>
        </w:tc>
        <w:tc>
          <w:tcPr>
            <w:tcW w:w="0" w:type="auto"/>
            <w:shd w:val="clear" w:color="auto" w:fill="auto"/>
          </w:tcPr>
          <w:p w:rsidR="006560BD" w:rsidRPr="00137AC7" w:rsidRDefault="00137AC7" w:rsidP="00CC1129">
            <w:pPr>
              <w:spacing w:before="40" w:after="40"/>
              <w:rPr>
                <w:rFonts w:cs="Arial"/>
                <w:b/>
                <w:sz w:val="20"/>
                <w:szCs w:val="20"/>
              </w:rPr>
            </w:pPr>
            <w:r w:rsidRPr="00137AC7">
              <w:rPr>
                <w:rFonts w:cs="Arial"/>
                <w:b/>
                <w:sz w:val="20"/>
                <w:szCs w:val="20"/>
              </w:rPr>
              <w:t>20</w:t>
            </w:r>
          </w:p>
        </w:tc>
        <w:tc>
          <w:tcPr>
            <w:tcW w:w="0" w:type="auto"/>
          </w:tcPr>
          <w:p w:rsidR="006560BD" w:rsidRPr="00137AC7" w:rsidRDefault="00EB2D3B" w:rsidP="00CC1129">
            <w:pPr>
              <w:spacing w:before="40" w:after="40"/>
              <w:rPr>
                <w:rFonts w:cs="Arial"/>
                <w:b/>
                <w:sz w:val="20"/>
                <w:szCs w:val="20"/>
              </w:rPr>
            </w:pPr>
            <w:r w:rsidRPr="00137AC7">
              <w:rPr>
                <w:rFonts w:cs="Arial"/>
                <w:b/>
                <w:sz w:val="20"/>
                <w:szCs w:val="20"/>
              </w:rPr>
              <w:t>DNA</w:t>
            </w:r>
          </w:p>
        </w:tc>
        <w:tc>
          <w:tcPr>
            <w:tcW w:w="0" w:type="auto"/>
            <w:shd w:val="clear" w:color="auto" w:fill="auto"/>
          </w:tcPr>
          <w:p w:rsidR="006560BD" w:rsidRPr="00137AC7" w:rsidRDefault="00EB2D3B" w:rsidP="00CC1129">
            <w:pPr>
              <w:spacing w:before="40" w:after="40"/>
              <w:rPr>
                <w:rFonts w:cs="Arial"/>
                <w:b/>
                <w:sz w:val="20"/>
                <w:szCs w:val="20"/>
              </w:rPr>
            </w:pPr>
            <w:r w:rsidRPr="00137AC7">
              <w:rPr>
                <w:rFonts w:cs="Arial"/>
                <w:b/>
                <w:sz w:val="20"/>
                <w:szCs w:val="20"/>
              </w:rPr>
              <w:t>From Study</w:t>
            </w:r>
          </w:p>
        </w:tc>
        <w:tc>
          <w:tcPr>
            <w:tcW w:w="0" w:type="auto"/>
            <w:shd w:val="clear" w:color="auto" w:fill="auto"/>
          </w:tcPr>
          <w:p w:rsidR="006560BD" w:rsidRPr="00137AC7" w:rsidRDefault="00EB2D3B" w:rsidP="00CC1129">
            <w:pPr>
              <w:rPr>
                <w:rFonts w:cs="Arial"/>
                <w:b/>
                <w:sz w:val="20"/>
                <w:szCs w:val="20"/>
              </w:rPr>
            </w:pPr>
            <w:r w:rsidRPr="00137AC7">
              <w:rPr>
                <w:rFonts w:cs="Arial"/>
                <w:b/>
                <w:sz w:val="20"/>
                <w:szCs w:val="20"/>
              </w:rPr>
              <w:t>From Study</w:t>
            </w:r>
          </w:p>
        </w:tc>
      </w:tr>
    </w:tbl>
    <w:p w:rsidR="006560BD" w:rsidRPr="00432C65" w:rsidRDefault="006560BD" w:rsidP="006560BD">
      <w:pPr>
        <w:rPr>
          <w:rFonts w:cs="Arial"/>
          <w:b/>
          <w:sz w:val="20"/>
          <w:szCs w:val="20"/>
        </w:rPr>
      </w:pPr>
    </w:p>
    <w:p w:rsidR="006560BD" w:rsidRDefault="006560BD" w:rsidP="006560BD">
      <w:pPr>
        <w:rPr>
          <w:rFonts w:cs="Arial"/>
          <w:sz w:val="20"/>
          <w:szCs w:val="20"/>
        </w:rPr>
      </w:pPr>
      <w:r w:rsidRPr="00432C65">
        <w:rPr>
          <w:rFonts w:cs="Arial"/>
          <w:b/>
          <w:sz w:val="20"/>
          <w:szCs w:val="20"/>
        </w:rPr>
        <w:t>Net-to-Gross Assumption:</w:t>
      </w:r>
    </w:p>
    <w:p w:rsidR="006560BD" w:rsidRPr="00B872D0" w:rsidRDefault="00B872D0" w:rsidP="006560BD">
      <w:pPr>
        <w:rPr>
          <w:rFonts w:cs="Arial"/>
          <w:sz w:val="20"/>
          <w:szCs w:val="20"/>
        </w:rPr>
      </w:pPr>
      <w:r w:rsidRPr="00B872D0">
        <w:rPr>
          <w:rFonts w:cs="Arial"/>
          <w:sz w:val="20"/>
          <w:szCs w:val="20"/>
        </w:rPr>
        <w:t>The Net to Gross Ratio assumptions are noted below.  Because of the nature of the program and the method of analysis, any further application of net to gross is considered redundant.</w:t>
      </w:r>
    </w:p>
    <w:p w:rsidR="00B872D0" w:rsidRDefault="00B872D0" w:rsidP="006560BD">
      <w:pPr>
        <w:rPr>
          <w:rFonts w:cs="Arial"/>
          <w:sz w:val="20"/>
          <w:szCs w:val="20"/>
        </w:rPr>
      </w:pPr>
    </w:p>
    <w:p w:rsidR="006560BD" w:rsidRPr="00432C65" w:rsidRDefault="006560BD" w:rsidP="006560BD">
      <w:pPr>
        <w:rPr>
          <w:rFonts w:cs="Arial"/>
          <w:sz w:val="20"/>
          <w:szCs w:val="20"/>
        </w:rPr>
      </w:pPr>
      <w:r w:rsidRPr="00432C65">
        <w:rPr>
          <w:rFonts w:cs="Arial"/>
          <w:sz w:val="20"/>
          <w:szCs w:val="20"/>
        </w:rPr>
        <w:t xml:space="preserve">Table </w:t>
      </w:r>
      <w:r w:rsidR="00FD30A7">
        <w:rPr>
          <w:rFonts w:cs="Arial"/>
          <w:sz w:val="20"/>
          <w:szCs w:val="20"/>
        </w:rPr>
        <w:t>2</w:t>
      </w:r>
      <w:r w:rsidRPr="00432C65">
        <w:rPr>
          <w:rFonts w:cs="Arial"/>
          <w:sz w:val="20"/>
          <w:szCs w:val="20"/>
        </w:rPr>
        <w:t xml:space="preserve"> below summarizes all applicable Net-to-Gross ratios for programs that may be used by this measure.</w:t>
      </w:r>
    </w:p>
    <w:p w:rsidR="006560BD" w:rsidRPr="00432C65" w:rsidRDefault="006560BD" w:rsidP="006560BD">
      <w:pPr>
        <w:rPr>
          <w:rFonts w:cs="Arial"/>
          <w:color w:val="FF0000"/>
          <w:sz w:val="20"/>
          <w:szCs w:val="20"/>
        </w:rPr>
      </w:pPr>
    </w:p>
    <w:p w:rsidR="006560BD" w:rsidRPr="00432C65" w:rsidRDefault="006560BD" w:rsidP="006560BD">
      <w:pPr>
        <w:pStyle w:val="Caption"/>
        <w:keepNext/>
        <w:jc w:val="center"/>
        <w:rPr>
          <w:rFonts w:cs="Arial"/>
        </w:rPr>
      </w:pPr>
      <w:bookmarkStart w:id="59" w:name="_Toc354582160"/>
      <w:r w:rsidRPr="00432C65">
        <w:rPr>
          <w:rFonts w:cs="Arial"/>
        </w:rPr>
        <w:t xml:space="preserve">Table </w:t>
      </w:r>
      <w:r w:rsidRPr="00432C65">
        <w:rPr>
          <w:rFonts w:cs="Arial"/>
        </w:rPr>
        <w:fldChar w:fldCharType="begin"/>
      </w:r>
      <w:r w:rsidRPr="00432C65">
        <w:rPr>
          <w:rFonts w:cs="Arial"/>
        </w:rPr>
        <w:instrText xml:space="preserve"> SEQ Table \* ARABIC \s 1 </w:instrText>
      </w:r>
      <w:r w:rsidRPr="00432C65">
        <w:rPr>
          <w:rFonts w:cs="Arial"/>
        </w:rPr>
        <w:fldChar w:fldCharType="separate"/>
      </w:r>
      <w:r w:rsidR="005B4D0A">
        <w:rPr>
          <w:rFonts w:cs="Arial"/>
          <w:noProof/>
        </w:rPr>
        <w:t>2</w:t>
      </w:r>
      <w:r w:rsidRPr="00432C65">
        <w:rPr>
          <w:rFonts w:cs="Arial"/>
        </w:rPr>
        <w:fldChar w:fldCharType="end"/>
      </w:r>
      <w:r>
        <w:rPr>
          <w:rFonts w:cs="Arial"/>
        </w:rPr>
        <w:t xml:space="preserve"> </w:t>
      </w:r>
      <w:r w:rsidRPr="00432C65">
        <w:rPr>
          <w:rFonts w:cs="Arial"/>
        </w:rPr>
        <w:t>Net-to-Gross Ratios</w:t>
      </w:r>
      <w:bookmarkEnd w:id="59"/>
    </w:p>
    <w:tbl>
      <w:tblPr>
        <w:tblW w:w="4098" w:type="pct"/>
        <w:tblInd w:w="828" w:type="dxa"/>
        <w:tblBorders>
          <w:insideH w:val="single" w:sz="18" w:space="0" w:color="FFFFFF"/>
          <w:insideV w:val="single" w:sz="18" w:space="0" w:color="FFFFFF"/>
        </w:tblBorders>
        <w:tblLook w:val="01E0" w:firstRow="1" w:lastRow="1" w:firstColumn="1" w:lastColumn="1" w:noHBand="0" w:noVBand="0"/>
      </w:tblPr>
      <w:tblGrid>
        <w:gridCol w:w="4360"/>
        <w:gridCol w:w="1041"/>
        <w:gridCol w:w="2447"/>
      </w:tblGrid>
      <w:tr w:rsidR="006560BD" w:rsidRPr="00783DAC" w:rsidTr="00CC1129">
        <w:tc>
          <w:tcPr>
            <w:tcW w:w="2778" w:type="pct"/>
            <w:shd w:val="pct20" w:color="000000" w:fill="FFFFFF"/>
          </w:tcPr>
          <w:p w:rsidR="006560BD" w:rsidRPr="00783DAC" w:rsidRDefault="006560BD" w:rsidP="00CC1129">
            <w:pPr>
              <w:jc w:val="center"/>
              <w:rPr>
                <w:rFonts w:cs="Arial"/>
                <w:b/>
                <w:bCs/>
                <w:sz w:val="20"/>
                <w:szCs w:val="20"/>
              </w:rPr>
            </w:pPr>
            <w:r w:rsidRPr="00783DAC">
              <w:rPr>
                <w:rFonts w:cs="Arial"/>
                <w:b/>
                <w:bCs/>
                <w:sz w:val="20"/>
                <w:szCs w:val="20"/>
              </w:rPr>
              <w:t>Program Approach</w:t>
            </w:r>
          </w:p>
        </w:tc>
        <w:tc>
          <w:tcPr>
            <w:tcW w:w="663" w:type="pct"/>
            <w:shd w:val="pct20" w:color="000000" w:fill="FFFFFF"/>
          </w:tcPr>
          <w:p w:rsidR="006560BD" w:rsidRPr="00783DAC" w:rsidRDefault="006560BD" w:rsidP="00CC1129">
            <w:pPr>
              <w:jc w:val="center"/>
              <w:rPr>
                <w:rFonts w:cs="Arial"/>
                <w:b/>
                <w:bCs/>
                <w:sz w:val="20"/>
                <w:szCs w:val="20"/>
              </w:rPr>
            </w:pPr>
            <w:r w:rsidRPr="00783DAC">
              <w:rPr>
                <w:rFonts w:cs="Arial"/>
                <w:b/>
                <w:bCs/>
                <w:sz w:val="20"/>
                <w:szCs w:val="20"/>
              </w:rPr>
              <w:t>NTG</w:t>
            </w:r>
          </w:p>
        </w:tc>
        <w:tc>
          <w:tcPr>
            <w:tcW w:w="1559" w:type="pct"/>
            <w:shd w:val="pct20" w:color="000000" w:fill="FFFFFF"/>
          </w:tcPr>
          <w:p w:rsidR="006560BD" w:rsidRPr="00783DAC" w:rsidRDefault="006560BD" w:rsidP="00CC1129">
            <w:pPr>
              <w:jc w:val="center"/>
              <w:rPr>
                <w:rFonts w:cs="Arial"/>
                <w:b/>
                <w:bCs/>
                <w:sz w:val="20"/>
                <w:szCs w:val="20"/>
              </w:rPr>
            </w:pPr>
            <w:r w:rsidRPr="00783DAC">
              <w:rPr>
                <w:rFonts w:cs="Arial"/>
                <w:b/>
                <w:bCs/>
                <w:sz w:val="20"/>
                <w:szCs w:val="20"/>
              </w:rPr>
              <w:t>Study Reference</w:t>
            </w:r>
          </w:p>
        </w:tc>
      </w:tr>
      <w:tr w:rsidR="006560BD" w:rsidRPr="00783DAC" w:rsidTr="00CC1129">
        <w:tc>
          <w:tcPr>
            <w:tcW w:w="2778" w:type="pct"/>
            <w:shd w:val="pct5" w:color="000000" w:fill="FFFFFF"/>
          </w:tcPr>
          <w:p w:rsidR="006560BD" w:rsidRPr="00783DAC" w:rsidRDefault="00B872D0" w:rsidP="00CC1129">
            <w:pPr>
              <w:rPr>
                <w:rFonts w:cs="Arial"/>
                <w:sz w:val="20"/>
                <w:szCs w:val="20"/>
              </w:rPr>
            </w:pPr>
            <w:r>
              <w:rPr>
                <w:rFonts w:cs="Arial"/>
                <w:sz w:val="20"/>
                <w:szCs w:val="20"/>
              </w:rPr>
              <w:t>Home Energy Reports</w:t>
            </w:r>
          </w:p>
        </w:tc>
        <w:tc>
          <w:tcPr>
            <w:tcW w:w="663" w:type="pct"/>
            <w:shd w:val="pct5" w:color="000000" w:fill="FFFFFF"/>
          </w:tcPr>
          <w:p w:rsidR="006560BD" w:rsidRPr="00783DAC" w:rsidRDefault="00B872D0" w:rsidP="00CC1129">
            <w:pPr>
              <w:jc w:val="center"/>
              <w:rPr>
                <w:rFonts w:cs="Arial"/>
                <w:sz w:val="20"/>
                <w:szCs w:val="20"/>
              </w:rPr>
            </w:pPr>
            <w:r>
              <w:rPr>
                <w:rFonts w:cs="Arial"/>
                <w:sz w:val="20"/>
                <w:szCs w:val="20"/>
              </w:rPr>
              <w:t>1.0</w:t>
            </w:r>
          </w:p>
        </w:tc>
        <w:tc>
          <w:tcPr>
            <w:tcW w:w="1559" w:type="pct"/>
            <w:shd w:val="pct5" w:color="000000" w:fill="FFFFFF"/>
          </w:tcPr>
          <w:p w:rsidR="006560BD" w:rsidRPr="00783DAC" w:rsidRDefault="00B872D0" w:rsidP="00CC1129">
            <w:pPr>
              <w:jc w:val="center"/>
              <w:rPr>
                <w:rFonts w:cs="Arial"/>
                <w:sz w:val="20"/>
                <w:szCs w:val="20"/>
              </w:rPr>
            </w:pPr>
            <w:r>
              <w:rPr>
                <w:rFonts w:cs="Arial"/>
                <w:sz w:val="20"/>
                <w:szCs w:val="20"/>
              </w:rPr>
              <w:t>See Below</w:t>
            </w:r>
          </w:p>
        </w:tc>
      </w:tr>
    </w:tbl>
    <w:p w:rsidR="006560BD" w:rsidRDefault="006560BD" w:rsidP="006560BD">
      <w:pPr>
        <w:rPr>
          <w:rFonts w:cs="Arial"/>
          <w:i/>
          <w:sz w:val="20"/>
          <w:szCs w:val="20"/>
          <w:highlight w:val="cyan"/>
        </w:rPr>
      </w:pPr>
    </w:p>
    <w:p w:rsidR="00B872D0" w:rsidRPr="00B872D0" w:rsidRDefault="00B872D0" w:rsidP="00B872D0">
      <w:pPr>
        <w:pStyle w:val="ListParagraph"/>
        <w:numPr>
          <w:ilvl w:val="0"/>
          <w:numId w:val="20"/>
        </w:numPr>
        <w:ind w:left="360"/>
        <w:rPr>
          <w:rFonts w:cs="Arial"/>
          <w:sz w:val="20"/>
          <w:szCs w:val="20"/>
        </w:rPr>
      </w:pPr>
      <w:r w:rsidRPr="00B872D0">
        <w:rPr>
          <w:rFonts w:cs="Arial"/>
          <w:sz w:val="20"/>
          <w:szCs w:val="20"/>
        </w:rPr>
        <w:t>Net-to-Gross (NTG). NTG is an adjustment made so that only energy efficiency gains that are a direct result of an energy efficiency program are reflected. We propose that NTG be treated for each of the types of savings resulting from behavioral programs:</w:t>
      </w:r>
    </w:p>
    <w:p w:rsidR="00B872D0" w:rsidRPr="00B872D0" w:rsidRDefault="00B872D0" w:rsidP="00B872D0">
      <w:pPr>
        <w:pStyle w:val="ListParagraph"/>
        <w:numPr>
          <w:ilvl w:val="1"/>
          <w:numId w:val="20"/>
        </w:numPr>
        <w:ind w:left="720"/>
        <w:rPr>
          <w:rFonts w:cs="Arial"/>
          <w:sz w:val="20"/>
          <w:szCs w:val="20"/>
          <w:u w:val="single"/>
        </w:rPr>
      </w:pPr>
      <w:r w:rsidRPr="00B872D0">
        <w:rPr>
          <w:rFonts w:cs="Arial"/>
          <w:sz w:val="20"/>
          <w:szCs w:val="20"/>
        </w:rPr>
        <w:t xml:space="preserve">Behavioral changes in practices and equipment installations resulting from the treatment will be reported without additional NTG adjustment. </w:t>
      </w:r>
      <w:r w:rsidRPr="00B872D0">
        <w:rPr>
          <w:rFonts w:cs="Arial"/>
          <w:sz w:val="20"/>
          <w:szCs w:val="20"/>
          <w:u w:val="single"/>
        </w:rPr>
        <w:t>By definition, experimental design isolates the unique impact of the comparative usage program to the treatment group, so the reported results will be “net” impacts.</w:t>
      </w:r>
    </w:p>
    <w:p w:rsidR="006560BD" w:rsidRPr="00B872D0" w:rsidRDefault="00B872D0" w:rsidP="00B872D0">
      <w:pPr>
        <w:pStyle w:val="ListParagraph"/>
        <w:numPr>
          <w:ilvl w:val="1"/>
          <w:numId w:val="20"/>
        </w:numPr>
        <w:ind w:left="720"/>
        <w:rPr>
          <w:rFonts w:cs="Arial"/>
          <w:b/>
          <w:sz w:val="20"/>
          <w:szCs w:val="20"/>
        </w:rPr>
      </w:pPr>
      <w:r w:rsidRPr="00B872D0">
        <w:rPr>
          <w:rFonts w:cs="Arial"/>
          <w:sz w:val="20"/>
          <w:szCs w:val="20"/>
        </w:rPr>
        <w:t>Equipment purchases that have been rebated and claimed by another utility program will not be included in the savings claim, so any NTG adjustment would be made through the savings claims for those measures rather than through savings claims for behavioral programs. Consequently no NTG adjustment would be applicable</w:t>
      </w:r>
      <w:r>
        <w:rPr>
          <w:rStyle w:val="EndnoteReference"/>
          <w:rFonts w:cs="Arial"/>
          <w:sz w:val="20"/>
          <w:szCs w:val="20"/>
        </w:rPr>
        <w:endnoteReference w:id="11"/>
      </w:r>
    </w:p>
    <w:p w:rsidR="00646075" w:rsidRDefault="00646075" w:rsidP="006560BD">
      <w:pPr>
        <w:rPr>
          <w:rFonts w:cs="Arial"/>
          <w:b/>
          <w:sz w:val="20"/>
          <w:szCs w:val="20"/>
        </w:rPr>
      </w:pPr>
    </w:p>
    <w:p w:rsidR="006560BD" w:rsidRDefault="002E32D8" w:rsidP="006560BD">
      <w:pPr>
        <w:rPr>
          <w:rFonts w:cs="Arial"/>
          <w:i/>
          <w:sz w:val="20"/>
          <w:szCs w:val="20"/>
        </w:rPr>
      </w:pPr>
      <w:r>
        <w:rPr>
          <w:rFonts w:cs="Arial"/>
          <w:b/>
          <w:sz w:val="20"/>
          <w:szCs w:val="20"/>
        </w:rPr>
        <w:t>I</w:t>
      </w:r>
      <w:r w:rsidR="006560BD">
        <w:rPr>
          <w:rFonts w:cs="Arial"/>
          <w:b/>
          <w:sz w:val="20"/>
          <w:szCs w:val="20"/>
        </w:rPr>
        <w:t>n-service rate</w:t>
      </w:r>
      <w:r w:rsidR="006560BD" w:rsidRPr="00432C65">
        <w:rPr>
          <w:rFonts w:cs="Arial"/>
          <w:b/>
          <w:sz w:val="20"/>
          <w:szCs w:val="20"/>
        </w:rPr>
        <w:t>/first year installation rate</w:t>
      </w:r>
      <w:r w:rsidR="006560BD" w:rsidRPr="00432C65">
        <w:rPr>
          <w:rFonts w:cs="Arial"/>
          <w:sz w:val="20"/>
          <w:szCs w:val="20"/>
        </w:rPr>
        <w:t>:</w:t>
      </w:r>
      <w:r w:rsidR="006560BD">
        <w:rPr>
          <w:rFonts w:cs="Arial"/>
          <w:sz w:val="20"/>
          <w:szCs w:val="20"/>
        </w:rPr>
        <w:t xml:space="preserve"> </w:t>
      </w:r>
    </w:p>
    <w:p w:rsidR="002E32D8" w:rsidRPr="002E32D8" w:rsidRDefault="006560BD" w:rsidP="002E32D8">
      <w:pPr>
        <w:numPr>
          <w:ilvl w:val="0"/>
          <w:numId w:val="11"/>
        </w:numPr>
        <w:rPr>
          <w:rFonts w:cs="Arial"/>
          <w:sz w:val="20"/>
          <w:szCs w:val="20"/>
        </w:rPr>
      </w:pPr>
      <w:r w:rsidRPr="002E32D8">
        <w:rPr>
          <w:rFonts w:cs="Arial"/>
          <w:sz w:val="20"/>
          <w:szCs w:val="20"/>
        </w:rPr>
        <w:t xml:space="preserve">The in-service rates </w:t>
      </w:r>
      <w:r w:rsidR="002E32D8" w:rsidRPr="002E32D8">
        <w:rPr>
          <w:rFonts w:cs="Arial"/>
          <w:sz w:val="20"/>
          <w:szCs w:val="20"/>
        </w:rPr>
        <w:t>are not relevant to this particular set of measures since savings are derived from actions taken as the result of the communications with the customer</w:t>
      </w:r>
      <w:r w:rsidR="00FD30A7">
        <w:rPr>
          <w:rFonts w:cs="Arial"/>
          <w:sz w:val="20"/>
          <w:szCs w:val="20"/>
        </w:rPr>
        <w:t>.</w:t>
      </w:r>
      <w:r w:rsidR="002E32D8" w:rsidRPr="002E32D8">
        <w:rPr>
          <w:rFonts w:cs="Arial"/>
          <w:sz w:val="20"/>
          <w:szCs w:val="20"/>
        </w:rPr>
        <w:t xml:space="preserve">  ISR = 1.0</w:t>
      </w:r>
      <w:r w:rsidRPr="002E32D8">
        <w:rPr>
          <w:rFonts w:cs="Arial"/>
          <w:sz w:val="20"/>
          <w:szCs w:val="20"/>
        </w:rPr>
        <w:t xml:space="preserve"> </w:t>
      </w:r>
    </w:p>
    <w:p w:rsidR="003352A0" w:rsidRPr="002E32D8" w:rsidRDefault="003352A0" w:rsidP="00CC1129">
      <w:pPr>
        <w:ind w:left="720"/>
        <w:rPr>
          <w:rFonts w:cs="Arial"/>
          <w:sz w:val="20"/>
          <w:szCs w:val="20"/>
          <w:highlight w:val="yellow"/>
        </w:rPr>
      </w:pPr>
    </w:p>
    <w:p w:rsidR="00B96C23" w:rsidRDefault="00B96C23" w:rsidP="00B96C23">
      <w:pPr>
        <w:rPr>
          <w:rFonts w:cs="Arial"/>
          <w:b/>
          <w:i/>
        </w:rPr>
      </w:pPr>
      <w:r w:rsidRPr="00C80E3F">
        <w:rPr>
          <w:rFonts w:cs="Arial"/>
          <w:b/>
          <w:i/>
        </w:rPr>
        <w:t>1.4.3.</w:t>
      </w:r>
      <w:r>
        <w:rPr>
          <w:rFonts w:cs="Arial"/>
          <w:b/>
          <w:i/>
        </w:rPr>
        <w:t>3</w:t>
      </w:r>
      <w:r w:rsidRPr="00C80E3F">
        <w:rPr>
          <w:rFonts w:cs="Arial"/>
          <w:b/>
          <w:i/>
        </w:rPr>
        <w:t xml:space="preserve"> </w:t>
      </w:r>
      <w:r w:rsidRPr="00B96C23">
        <w:rPr>
          <w:b/>
          <w:i/>
        </w:rPr>
        <w:t>Evaluation, Measurement and Verification (EM&amp;V) of Residential Behavior-Based</w:t>
      </w:r>
      <w:r w:rsidRPr="00B96C23">
        <w:rPr>
          <w:b/>
        </w:rPr>
        <w:t xml:space="preserve"> </w:t>
      </w:r>
      <w:r w:rsidRPr="00B96C23">
        <w:rPr>
          <w:b/>
          <w:i/>
        </w:rPr>
        <w:t>Energy Efficiency Programs</w:t>
      </w:r>
      <w:r>
        <w:rPr>
          <w:rStyle w:val="EndnoteReference"/>
          <w:rFonts w:cs="Arial"/>
          <w:b/>
          <w:i/>
        </w:rPr>
        <w:endnoteReference w:id="12"/>
      </w:r>
    </w:p>
    <w:p w:rsidR="00B96C23" w:rsidRDefault="00B96C23" w:rsidP="00B96C23">
      <w:pPr>
        <w:rPr>
          <w:rFonts w:cs="Arial"/>
          <w:b/>
          <w:i/>
          <w:sz w:val="20"/>
          <w:szCs w:val="20"/>
          <w:highlight w:val="cyan"/>
        </w:rPr>
      </w:pPr>
    </w:p>
    <w:p w:rsidR="00C42D59" w:rsidRPr="00C42D59" w:rsidRDefault="00C42D59" w:rsidP="00C42D59">
      <w:pPr>
        <w:pStyle w:val="Default"/>
        <w:rPr>
          <w:rFonts w:ascii="Arial" w:hAnsi="Arial" w:cs="Arial"/>
          <w:sz w:val="20"/>
          <w:szCs w:val="20"/>
        </w:rPr>
      </w:pPr>
      <w:r w:rsidRPr="00C42D59">
        <w:rPr>
          <w:rFonts w:ascii="Arial" w:hAnsi="Arial" w:cs="Arial"/>
          <w:i/>
          <w:sz w:val="20"/>
          <w:szCs w:val="20"/>
        </w:rPr>
        <w:t>This report provides guidance and recommendations on methodologies that can be used for estimating energy savings impacts resulting from residential behavior-based efficiency programs. Regulators, program administrators, and stakeholders can have a high degree of confidence in the validity of energy savings estimates from behavior-based programs if the evaluation methods that are recommended in this report are followed. These recommended evaluation methods are rigorous in part because large-scale behavior-based energy efficiency programs are a relatively new strategy in the energy efficiency industry and savings per average household are small. Thus, at least until more experience with the documentation of energy savings with this category of programs is obtained, rigorous evaluation methods are needed so that policymakers can be confident that savings estimates are valid (i.e., that the estimates are unbiased and precise)</w:t>
      </w:r>
      <w:r w:rsidRPr="00C42D59">
        <w:rPr>
          <w:rFonts w:ascii="Arial" w:hAnsi="Arial" w:cs="Arial"/>
          <w:sz w:val="20"/>
          <w:szCs w:val="20"/>
        </w:rPr>
        <w:t xml:space="preserve">. </w:t>
      </w:r>
    </w:p>
    <w:p w:rsidR="00C42D59" w:rsidRDefault="00C42D59" w:rsidP="00C42D59">
      <w:pPr>
        <w:pStyle w:val="Default"/>
        <w:rPr>
          <w:rFonts w:ascii="Arial" w:hAnsi="Arial" w:cs="Arial"/>
          <w:sz w:val="20"/>
          <w:szCs w:val="20"/>
        </w:rPr>
      </w:pPr>
    </w:p>
    <w:p w:rsidR="00C42D59" w:rsidRDefault="00C42D59" w:rsidP="00C42D59">
      <w:pPr>
        <w:pStyle w:val="Default"/>
        <w:rPr>
          <w:rFonts w:ascii="Arial" w:hAnsi="Arial" w:cs="Arial"/>
          <w:i/>
          <w:sz w:val="20"/>
          <w:szCs w:val="20"/>
        </w:rPr>
      </w:pPr>
      <w:r>
        <w:rPr>
          <w:rFonts w:ascii="Arial" w:hAnsi="Arial" w:cs="Arial"/>
          <w:sz w:val="20"/>
          <w:szCs w:val="20"/>
        </w:rPr>
        <w:t>The document discusses techniques</w:t>
      </w:r>
      <w:r w:rsidRPr="00C42D59">
        <w:rPr>
          <w:rFonts w:ascii="Arial" w:hAnsi="Arial" w:cs="Arial"/>
          <w:i/>
          <w:sz w:val="20"/>
          <w:szCs w:val="20"/>
        </w:rPr>
        <w:t xml:space="preserve"> for ensuring that the estimated savings impacts for a behavior-based energy efficiency program are valid for a given program participant population and a given time frame (the first year[s] of the program); this is commonly referred to as </w:t>
      </w:r>
      <w:r w:rsidRPr="00C42D59">
        <w:rPr>
          <w:rFonts w:ascii="Arial" w:hAnsi="Arial" w:cs="Arial"/>
          <w:iCs/>
          <w:sz w:val="20"/>
          <w:szCs w:val="20"/>
        </w:rPr>
        <w:t>internal validity.</w:t>
      </w:r>
      <w:r w:rsidRPr="00C42D59">
        <w:rPr>
          <w:rFonts w:ascii="Arial" w:hAnsi="Arial" w:cs="Arial"/>
          <w:i/>
          <w:iCs/>
          <w:sz w:val="20"/>
          <w:szCs w:val="20"/>
        </w:rPr>
        <w:t xml:space="preserve"> </w:t>
      </w:r>
      <w:r w:rsidRPr="00C42D59">
        <w:rPr>
          <w:rFonts w:ascii="Arial" w:hAnsi="Arial" w:cs="Arial"/>
          <w:i/>
          <w:sz w:val="20"/>
          <w:szCs w:val="20"/>
        </w:rPr>
        <w:t xml:space="preserve">Methods for ensuring internal validity are well established and are being utilized by several behavior-based programs. </w:t>
      </w:r>
    </w:p>
    <w:p w:rsidR="00C42D59" w:rsidRDefault="00C42D59" w:rsidP="00C42D59">
      <w:pPr>
        <w:pStyle w:val="Default"/>
        <w:rPr>
          <w:rFonts w:ascii="Arial" w:hAnsi="Arial" w:cs="Arial"/>
          <w:i/>
          <w:sz w:val="20"/>
          <w:szCs w:val="20"/>
        </w:rPr>
      </w:pPr>
    </w:p>
    <w:p w:rsidR="00C42D59" w:rsidRPr="00C42D59" w:rsidRDefault="00C42D59" w:rsidP="00C42D59">
      <w:pPr>
        <w:pStyle w:val="Default"/>
        <w:rPr>
          <w:rFonts w:ascii="Arial" w:hAnsi="Arial" w:cs="Arial"/>
          <w:sz w:val="20"/>
          <w:szCs w:val="20"/>
        </w:rPr>
      </w:pPr>
      <w:r>
        <w:rPr>
          <w:rFonts w:ascii="Arial" w:hAnsi="Arial" w:cs="Arial"/>
          <w:sz w:val="20"/>
          <w:szCs w:val="20"/>
        </w:rPr>
        <w:t>It</w:t>
      </w:r>
      <w:r w:rsidRPr="00C42D59">
        <w:rPr>
          <w:rFonts w:ascii="Arial" w:hAnsi="Arial" w:cs="Arial"/>
          <w:sz w:val="20"/>
          <w:szCs w:val="20"/>
        </w:rPr>
        <w:t xml:space="preserve"> also discuss</w:t>
      </w:r>
      <w:r>
        <w:rPr>
          <w:rFonts w:ascii="Arial" w:hAnsi="Arial" w:cs="Arial"/>
          <w:sz w:val="20"/>
          <w:szCs w:val="20"/>
        </w:rPr>
        <w:t>es</w:t>
      </w:r>
      <w:r w:rsidRPr="00C42D59">
        <w:rPr>
          <w:rFonts w:ascii="Arial" w:hAnsi="Arial" w:cs="Arial"/>
          <w:sz w:val="20"/>
          <w:szCs w:val="20"/>
        </w:rPr>
        <w:t xml:space="preserve"> </w:t>
      </w:r>
      <w:r w:rsidRPr="00C42D59">
        <w:rPr>
          <w:rFonts w:ascii="Arial" w:hAnsi="Arial" w:cs="Arial"/>
          <w:i/>
          <w:sz w:val="20"/>
          <w:szCs w:val="20"/>
        </w:rPr>
        <w:t>several evaluation design and analysis factors that affect the internal validity of the estimated savings impact: the evaluation design, the length of historical data collection, the estimation method, potential evaluator conflicts of interest, and the exclusion of data from households that opt out of a program or close accounts during the study period</w:t>
      </w:r>
      <w:r w:rsidRPr="00C42D59">
        <w:rPr>
          <w:rFonts w:ascii="Arial" w:hAnsi="Arial" w:cs="Arial"/>
          <w:sz w:val="20"/>
          <w:szCs w:val="20"/>
        </w:rPr>
        <w:t xml:space="preserve">. </w:t>
      </w:r>
      <w:r>
        <w:rPr>
          <w:rFonts w:ascii="Arial" w:hAnsi="Arial" w:cs="Arial"/>
          <w:sz w:val="20"/>
          <w:szCs w:val="20"/>
        </w:rPr>
        <w:t>It</w:t>
      </w:r>
      <w:r w:rsidRPr="00C42D59">
        <w:rPr>
          <w:rFonts w:ascii="Arial" w:hAnsi="Arial" w:cs="Arial"/>
          <w:sz w:val="20"/>
          <w:szCs w:val="20"/>
        </w:rPr>
        <w:t xml:space="preserve"> also discuss</w:t>
      </w:r>
      <w:r>
        <w:rPr>
          <w:rFonts w:ascii="Arial" w:hAnsi="Arial" w:cs="Arial"/>
          <w:sz w:val="20"/>
          <w:szCs w:val="20"/>
        </w:rPr>
        <w:t>es</w:t>
      </w:r>
      <w:r w:rsidRPr="00C42D59">
        <w:rPr>
          <w:rFonts w:ascii="Arial" w:hAnsi="Arial" w:cs="Arial"/>
          <w:sz w:val="20"/>
          <w:szCs w:val="20"/>
        </w:rPr>
        <w:t xml:space="preserve"> </w:t>
      </w:r>
      <w:r w:rsidRPr="00C42D59">
        <w:rPr>
          <w:rFonts w:ascii="Arial" w:hAnsi="Arial" w:cs="Arial"/>
          <w:i/>
          <w:sz w:val="20"/>
          <w:szCs w:val="20"/>
        </w:rPr>
        <w:t xml:space="preserve">methods for avoiding the double counting of energy savings by more than one efficiency program. </w:t>
      </w:r>
    </w:p>
    <w:p w:rsidR="00C42D59" w:rsidRDefault="00C42D59" w:rsidP="00C42D59">
      <w:pPr>
        <w:rPr>
          <w:rFonts w:cs="Arial"/>
          <w:sz w:val="20"/>
          <w:szCs w:val="20"/>
        </w:rPr>
      </w:pPr>
    </w:p>
    <w:p w:rsidR="00C42D59" w:rsidRDefault="00C42D59" w:rsidP="00C42D59">
      <w:pPr>
        <w:rPr>
          <w:rFonts w:cs="Arial"/>
          <w:sz w:val="20"/>
          <w:szCs w:val="20"/>
        </w:rPr>
      </w:pPr>
      <w:r>
        <w:rPr>
          <w:rFonts w:cs="Arial"/>
          <w:sz w:val="20"/>
          <w:szCs w:val="20"/>
        </w:rPr>
        <w:t>The contribution of this document is the derivation and definition of the operative mathematical models underlying this series of program interventions. These models can be seen in Section 2.1 and are pulled directly from this work.</w:t>
      </w:r>
    </w:p>
    <w:p w:rsidR="009C5CA7" w:rsidRDefault="001248A3" w:rsidP="002E0043">
      <w:pPr>
        <w:pStyle w:val="Heading2"/>
        <w:keepNext w:val="0"/>
      </w:pPr>
      <w:bookmarkStart w:id="60" w:name="_Toc354582136"/>
      <w:r>
        <w:t>1.</w:t>
      </w:r>
      <w:r w:rsidR="00264B03">
        <w:t xml:space="preserve">4.4 </w:t>
      </w:r>
      <w:r w:rsidR="009C5CA7">
        <w:t xml:space="preserve">Assumptions and </w:t>
      </w:r>
      <w:r w:rsidR="00264B03">
        <w:t>Calculations from other sources—Base and Measure Cases</w:t>
      </w:r>
      <w:bookmarkEnd w:id="56"/>
      <w:bookmarkEnd w:id="57"/>
      <w:bookmarkEnd w:id="58"/>
      <w:bookmarkEnd w:id="60"/>
    </w:p>
    <w:p w:rsidR="00A172E6" w:rsidRDefault="00A172E6" w:rsidP="00A172E6">
      <w:pPr>
        <w:rPr>
          <w:rFonts w:cs="Arial"/>
          <w:sz w:val="20"/>
          <w:szCs w:val="20"/>
        </w:rPr>
      </w:pPr>
      <w:r w:rsidRPr="009F1859">
        <w:rPr>
          <w:rFonts w:cs="Arial"/>
          <w:sz w:val="20"/>
          <w:szCs w:val="20"/>
        </w:rPr>
        <w:t>There are no further data or calculations provided for the support of the measures in this work</w:t>
      </w:r>
      <w:r w:rsidR="00275856" w:rsidRPr="009F1859">
        <w:rPr>
          <w:rFonts w:cs="Arial"/>
          <w:sz w:val="20"/>
          <w:szCs w:val="20"/>
        </w:rPr>
        <w:t xml:space="preserve"> </w:t>
      </w:r>
      <w:r w:rsidRPr="009F1859">
        <w:rPr>
          <w:rFonts w:cs="Arial"/>
          <w:sz w:val="20"/>
          <w:szCs w:val="20"/>
        </w:rPr>
        <w:t>paper.</w:t>
      </w:r>
    </w:p>
    <w:p w:rsidR="00490650" w:rsidRDefault="00490650" w:rsidP="00063FA7">
      <w:pPr>
        <w:rPr>
          <w:rFonts w:cs="Arial"/>
          <w:b/>
          <w:i/>
          <w:sz w:val="28"/>
          <w:szCs w:val="28"/>
        </w:rPr>
      </w:pPr>
    </w:p>
    <w:p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1178BE" w:rsidRPr="00137AC7" w:rsidRDefault="00FF4E87" w:rsidP="001C2942">
      <w:pPr>
        <w:pStyle w:val="Reminders"/>
        <w:rPr>
          <w:rFonts w:ascii="Arial" w:hAnsi="Arial" w:cs="Arial"/>
          <w:i w:val="0"/>
          <w:color w:val="auto"/>
          <w:sz w:val="20"/>
          <w:szCs w:val="20"/>
        </w:rPr>
      </w:pPr>
      <w:r w:rsidRPr="00137AC7">
        <w:rPr>
          <w:rFonts w:ascii="Arial" w:hAnsi="Arial" w:cs="Arial"/>
          <w:i w:val="0"/>
          <w:color w:val="auto"/>
          <w:sz w:val="20"/>
          <w:szCs w:val="20"/>
        </w:rPr>
        <w:t xml:space="preserve">We are required </w:t>
      </w:r>
      <w:r w:rsidR="001C2942" w:rsidRPr="00137AC7">
        <w:rPr>
          <w:rFonts w:ascii="Arial" w:hAnsi="Arial" w:cs="Arial"/>
          <w:i w:val="0"/>
          <w:color w:val="auto"/>
          <w:sz w:val="20"/>
          <w:szCs w:val="20"/>
        </w:rPr>
        <w:t>by CPUC decision 06-06-063 dated June 29, 2006</w:t>
      </w:r>
      <w:r w:rsidRPr="00137AC7">
        <w:rPr>
          <w:rFonts w:ascii="Arial" w:hAnsi="Arial" w:cs="Arial"/>
          <w:i w:val="0"/>
          <w:color w:val="auto"/>
          <w:sz w:val="20"/>
          <w:szCs w:val="20"/>
        </w:rPr>
        <w:t xml:space="preserve"> to apply </w:t>
      </w:r>
      <w:r w:rsidR="001C2942" w:rsidRPr="00137AC7">
        <w:rPr>
          <w:rFonts w:ascii="Arial" w:hAnsi="Arial" w:cs="Arial"/>
          <w:i w:val="0"/>
          <w:color w:val="auto"/>
          <w:sz w:val="20"/>
          <w:szCs w:val="20"/>
        </w:rPr>
        <w:t xml:space="preserve">time-of-use (TOU) adjustment factors </w:t>
      </w:r>
      <w:r w:rsidRPr="00137AC7">
        <w:rPr>
          <w:rFonts w:ascii="Arial" w:hAnsi="Arial" w:cs="Arial"/>
          <w:i w:val="0"/>
          <w:color w:val="auto"/>
          <w:sz w:val="20"/>
          <w:szCs w:val="20"/>
        </w:rPr>
        <w:t>on</w:t>
      </w:r>
      <w:r w:rsidR="001C2942" w:rsidRPr="00137AC7">
        <w:rPr>
          <w:rFonts w:ascii="Arial" w:hAnsi="Arial" w:cs="Arial"/>
          <w:i w:val="0"/>
          <w:color w:val="auto"/>
          <w:sz w:val="20"/>
          <w:szCs w:val="20"/>
        </w:rPr>
        <w:t xml:space="preserve"> residential A/C and commercial A/C (packaged and split-system direct-expansion cooling) measures only.</w:t>
      </w:r>
      <w:r w:rsidR="00437BE1" w:rsidRPr="00137AC7">
        <w:rPr>
          <w:rFonts w:ascii="Arial" w:hAnsi="Arial" w:cs="Arial"/>
          <w:i w:val="0"/>
          <w:color w:val="auto"/>
          <w:sz w:val="20"/>
          <w:szCs w:val="20"/>
        </w:rPr>
        <w:t xml:space="preserve"> </w:t>
      </w:r>
      <w:r w:rsidR="001C2942" w:rsidRPr="00137AC7">
        <w:rPr>
          <w:rFonts w:ascii="Arial" w:hAnsi="Arial" w:cs="Arial"/>
          <w:i w:val="0"/>
          <w:color w:val="auto"/>
          <w:sz w:val="20"/>
          <w:szCs w:val="20"/>
        </w:rPr>
        <w:t xml:space="preserve"> Since </w:t>
      </w:r>
      <w:r w:rsidR="00137AC7" w:rsidRPr="00137AC7">
        <w:rPr>
          <w:rFonts w:ascii="Arial" w:hAnsi="Arial" w:cs="Arial"/>
          <w:i w:val="0"/>
          <w:color w:val="auto"/>
          <w:sz w:val="20"/>
          <w:szCs w:val="20"/>
        </w:rPr>
        <w:t>PG&amp;E is not claiming electric Demand savings</w:t>
      </w:r>
      <w:r w:rsidR="001C2942" w:rsidRPr="00137AC7">
        <w:rPr>
          <w:rFonts w:ascii="Arial" w:hAnsi="Arial" w:cs="Arial"/>
          <w:i w:val="0"/>
          <w:color w:val="auto"/>
          <w:sz w:val="20"/>
          <w:szCs w:val="20"/>
        </w:rPr>
        <w:t>, the TOU adjustment factor is 0.</w:t>
      </w:r>
      <w:r w:rsidR="00437BE1" w:rsidRPr="00137AC7">
        <w:rPr>
          <w:rFonts w:ascii="Arial" w:hAnsi="Arial" w:cs="Arial"/>
          <w:i w:val="0"/>
          <w:color w:val="auto"/>
          <w:sz w:val="20"/>
          <w:szCs w:val="20"/>
        </w:rPr>
        <w:t xml:space="preserve"> </w:t>
      </w:r>
    </w:p>
    <w:p w:rsidR="005B4D0A" w:rsidRPr="00137AC7" w:rsidRDefault="001C2942" w:rsidP="005B4D0A">
      <w:pPr>
        <w:pStyle w:val="Caption"/>
        <w:keepNext/>
        <w:rPr>
          <w:rFonts w:cs="Arial"/>
          <w:b w:val="0"/>
        </w:rPr>
      </w:pPr>
      <w:r w:rsidRPr="00137AC7">
        <w:rPr>
          <w:rFonts w:cs="Arial"/>
          <w:b w:val="0"/>
        </w:rPr>
        <w:t xml:space="preserve">The specific values and results are summarized in </w:t>
      </w:r>
      <w:r w:rsidRPr="00137AC7">
        <w:rPr>
          <w:rFonts w:cs="Arial"/>
          <w:b w:val="0"/>
        </w:rPr>
        <w:fldChar w:fldCharType="begin"/>
      </w:r>
      <w:r w:rsidRPr="00137AC7">
        <w:rPr>
          <w:rFonts w:cs="Arial"/>
          <w:b w:val="0"/>
        </w:rPr>
        <w:instrText xml:space="preserve"> REF _Ref242757962 \h  \* MERGEFORMAT </w:instrText>
      </w:r>
      <w:r w:rsidRPr="00137AC7">
        <w:rPr>
          <w:rFonts w:cs="Arial"/>
          <w:b w:val="0"/>
        </w:rPr>
      </w:r>
      <w:r w:rsidRPr="00137AC7">
        <w:rPr>
          <w:rFonts w:cs="Arial"/>
          <w:b w:val="0"/>
        </w:rPr>
        <w:fldChar w:fldCharType="separate"/>
      </w:r>
    </w:p>
    <w:p w:rsidR="001C2942" w:rsidRPr="00137AC7" w:rsidRDefault="005B4D0A" w:rsidP="001C2942">
      <w:pPr>
        <w:pStyle w:val="Caption"/>
        <w:keepNext/>
        <w:rPr>
          <w:rFonts w:cs="Arial"/>
          <w:b w:val="0"/>
        </w:rPr>
      </w:pPr>
      <w:r w:rsidRPr="00137AC7">
        <w:rPr>
          <w:rFonts w:cs="Arial"/>
          <w:b w:val="0"/>
          <w:noProof/>
        </w:rPr>
        <w:t xml:space="preserve">Table </w:t>
      </w:r>
      <w:r w:rsidRPr="00137AC7">
        <w:rPr>
          <w:rFonts w:cs="Arial"/>
          <w:noProof/>
        </w:rPr>
        <w:t>4</w:t>
      </w:r>
      <w:r w:rsidR="001C2942" w:rsidRPr="00137AC7">
        <w:rPr>
          <w:rFonts w:cs="Arial"/>
          <w:b w:val="0"/>
        </w:rPr>
        <w:fldChar w:fldCharType="end"/>
      </w:r>
      <w:r w:rsidR="001C2942" w:rsidRPr="00137AC7">
        <w:rPr>
          <w:rFonts w:cs="Arial"/>
          <w:b w:val="0"/>
        </w:rPr>
        <w:t>.</w:t>
      </w:r>
    </w:p>
    <w:p w:rsidR="001C2942" w:rsidRPr="00137AC7" w:rsidRDefault="001C2942" w:rsidP="001C2942">
      <w:pPr>
        <w:pStyle w:val="Caption"/>
        <w:keepNext/>
        <w:jc w:val="center"/>
        <w:rPr>
          <w:rFonts w:cs="Arial"/>
        </w:rPr>
      </w:pPr>
      <w:bookmarkStart w:id="61" w:name="_Ref242757962"/>
    </w:p>
    <w:p w:rsidR="001C2942" w:rsidRPr="00137AC7" w:rsidRDefault="001C2942" w:rsidP="001C2942">
      <w:pPr>
        <w:pStyle w:val="Caption"/>
        <w:keepNext/>
        <w:jc w:val="center"/>
        <w:rPr>
          <w:rFonts w:cs="Arial"/>
        </w:rPr>
      </w:pPr>
      <w:bookmarkStart w:id="62" w:name="_Toc354582161"/>
      <w:r w:rsidRPr="00137AC7">
        <w:rPr>
          <w:rFonts w:cs="Arial"/>
        </w:rPr>
        <w:t xml:space="preserve">Table </w:t>
      </w:r>
      <w:r w:rsidRPr="00FA0BF0">
        <w:rPr>
          <w:rFonts w:cs="Arial"/>
        </w:rPr>
        <w:fldChar w:fldCharType="begin"/>
      </w:r>
      <w:r w:rsidRPr="00120191">
        <w:rPr>
          <w:rFonts w:cs="Arial"/>
        </w:rPr>
        <w:instrText xml:space="preserve"> SEQ Table \* ARABIC </w:instrText>
      </w:r>
      <w:r w:rsidRPr="00FA0BF0">
        <w:rPr>
          <w:rFonts w:cs="Arial"/>
        </w:rPr>
        <w:fldChar w:fldCharType="separate"/>
      </w:r>
      <w:r w:rsidR="005B4D0A" w:rsidRPr="00120191">
        <w:rPr>
          <w:rFonts w:cs="Arial"/>
          <w:noProof/>
        </w:rPr>
        <w:t>4</w:t>
      </w:r>
      <w:r w:rsidRPr="00FA0BF0">
        <w:rPr>
          <w:rFonts w:cs="Arial"/>
        </w:rPr>
        <w:fldChar w:fldCharType="end"/>
      </w:r>
      <w:bookmarkEnd w:id="61"/>
      <w:r w:rsidR="00437BE1" w:rsidRPr="00137AC7">
        <w:rPr>
          <w:rFonts w:cs="Arial"/>
        </w:rPr>
        <w:t xml:space="preserve"> </w:t>
      </w:r>
      <w:r w:rsidRPr="00137AC7">
        <w:rPr>
          <w:rFonts w:cs="Arial"/>
        </w:rPr>
        <w:t>TOU Adjustment Factors</w:t>
      </w:r>
      <w:bookmarkEnd w:id="62"/>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137AC7" w:rsidTr="001E4C31">
        <w:tc>
          <w:tcPr>
            <w:tcW w:w="1578"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color w:val="F2F2F2"/>
                <w:sz w:val="20"/>
                <w:szCs w:val="20"/>
              </w:rPr>
              <w:t>Measure</w:t>
            </w:r>
          </w:p>
        </w:tc>
        <w:tc>
          <w:tcPr>
            <w:tcW w:w="712"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i/>
                <w:color w:val="F2F2F2"/>
                <w:sz w:val="20"/>
                <w:szCs w:val="20"/>
              </w:rPr>
              <w:t>kW</w:t>
            </w:r>
            <w:r w:rsidRPr="00137AC7">
              <w:rPr>
                <w:rFonts w:cs="Arial"/>
                <w:b/>
                <w:bCs/>
                <w:i/>
                <w:color w:val="F2F2F2"/>
                <w:sz w:val="20"/>
                <w:szCs w:val="20"/>
                <w:vertAlign w:val="subscript"/>
              </w:rPr>
              <w:t>AC</w:t>
            </w:r>
          </w:p>
        </w:tc>
        <w:tc>
          <w:tcPr>
            <w:tcW w:w="1355"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i/>
                <w:color w:val="F2F2F2"/>
                <w:sz w:val="20"/>
                <w:szCs w:val="20"/>
              </w:rPr>
              <w:t>kW</w:t>
            </w:r>
            <w:r w:rsidRPr="00137AC7">
              <w:rPr>
                <w:rFonts w:cs="Arial"/>
                <w:b/>
                <w:bCs/>
                <w:i/>
                <w:color w:val="F2F2F2"/>
                <w:sz w:val="20"/>
                <w:szCs w:val="20"/>
                <w:vertAlign w:val="subscript"/>
              </w:rPr>
              <w:t>Total</w:t>
            </w:r>
          </w:p>
        </w:tc>
        <w:tc>
          <w:tcPr>
            <w:tcW w:w="1355" w:type="pct"/>
            <w:shd w:val="clear" w:color="auto" w:fill="262626"/>
            <w:vAlign w:val="bottom"/>
          </w:tcPr>
          <w:p w:rsidR="001C2942" w:rsidRPr="00137AC7" w:rsidRDefault="001C2942" w:rsidP="001E4C31">
            <w:pPr>
              <w:keepLines/>
              <w:jc w:val="center"/>
              <w:rPr>
                <w:rFonts w:cs="Arial"/>
                <w:b/>
                <w:bCs/>
                <w:color w:val="F2F2F2"/>
                <w:sz w:val="20"/>
                <w:szCs w:val="20"/>
              </w:rPr>
            </w:pPr>
            <w:r w:rsidRPr="00137AC7">
              <w:rPr>
                <w:rFonts w:cs="Arial"/>
                <w:b/>
                <w:bCs/>
                <w:color w:val="F2F2F2"/>
                <w:sz w:val="20"/>
                <w:szCs w:val="20"/>
              </w:rPr>
              <w:t>%</w:t>
            </w:r>
          </w:p>
        </w:tc>
      </w:tr>
      <w:tr w:rsidR="001C2942" w:rsidRPr="00EB43BA" w:rsidTr="001E4C31">
        <w:tc>
          <w:tcPr>
            <w:tcW w:w="1578" w:type="pct"/>
            <w:shd w:val="pct5" w:color="000000" w:fill="FFFFFF"/>
            <w:vAlign w:val="bottom"/>
          </w:tcPr>
          <w:p w:rsidR="001C2942" w:rsidRPr="00137AC7" w:rsidRDefault="001178BE" w:rsidP="001E4C31">
            <w:pPr>
              <w:jc w:val="center"/>
              <w:rPr>
                <w:rFonts w:cs="Arial"/>
                <w:sz w:val="20"/>
                <w:szCs w:val="20"/>
              </w:rPr>
            </w:pPr>
            <w:r w:rsidRPr="00137AC7">
              <w:rPr>
                <w:rFonts w:cs="Arial"/>
                <w:sz w:val="20"/>
                <w:szCs w:val="20"/>
              </w:rPr>
              <w:t>AC unit etc.</w:t>
            </w:r>
          </w:p>
        </w:tc>
        <w:tc>
          <w:tcPr>
            <w:tcW w:w="712" w:type="pct"/>
            <w:shd w:val="pct5" w:color="000000" w:fill="FFFFFF"/>
            <w:vAlign w:val="bottom"/>
          </w:tcPr>
          <w:p w:rsidR="001C2942" w:rsidRPr="00137AC7" w:rsidRDefault="001C2942" w:rsidP="001E4C31">
            <w:pPr>
              <w:jc w:val="center"/>
              <w:rPr>
                <w:rFonts w:cs="Arial"/>
                <w:sz w:val="20"/>
                <w:szCs w:val="20"/>
              </w:rPr>
            </w:pPr>
            <w:r w:rsidRPr="00137AC7">
              <w:rPr>
                <w:rFonts w:cs="Arial"/>
                <w:sz w:val="20"/>
                <w:szCs w:val="20"/>
              </w:rPr>
              <w:t>0</w:t>
            </w:r>
          </w:p>
        </w:tc>
        <w:tc>
          <w:tcPr>
            <w:tcW w:w="1355" w:type="pct"/>
            <w:shd w:val="pct5" w:color="000000" w:fill="FFFFFF"/>
            <w:vAlign w:val="bottom"/>
          </w:tcPr>
          <w:p w:rsidR="001C2942" w:rsidRPr="00137AC7" w:rsidRDefault="001C2942" w:rsidP="001E4C31">
            <w:pPr>
              <w:jc w:val="center"/>
              <w:rPr>
                <w:rFonts w:cs="Arial"/>
                <w:sz w:val="20"/>
                <w:szCs w:val="20"/>
              </w:rPr>
            </w:pPr>
            <w:r w:rsidRPr="00137AC7">
              <w:rPr>
                <w:rFonts w:cs="Arial"/>
                <w:sz w:val="20"/>
                <w:szCs w:val="20"/>
              </w:rPr>
              <w:t>0</w:t>
            </w:r>
          </w:p>
        </w:tc>
        <w:tc>
          <w:tcPr>
            <w:tcW w:w="1355" w:type="pct"/>
            <w:shd w:val="pct5" w:color="000000" w:fill="FFFFFF"/>
            <w:vAlign w:val="bottom"/>
          </w:tcPr>
          <w:p w:rsidR="001C2942" w:rsidRPr="00137AC7" w:rsidRDefault="001C2942" w:rsidP="001E4C31">
            <w:pPr>
              <w:jc w:val="center"/>
              <w:rPr>
                <w:rFonts w:cs="Arial"/>
                <w:sz w:val="20"/>
                <w:szCs w:val="20"/>
              </w:rPr>
            </w:pPr>
            <w:r w:rsidRPr="00137AC7">
              <w:rPr>
                <w:rFonts w:cs="Arial"/>
                <w:sz w:val="20"/>
                <w:szCs w:val="20"/>
              </w:rPr>
              <w:t>0</w:t>
            </w:r>
          </w:p>
        </w:tc>
      </w:tr>
    </w:tbl>
    <w:p w:rsidR="001C2942" w:rsidRDefault="001C2942" w:rsidP="00A02F0A"/>
    <w:p w:rsidR="00C069A2" w:rsidRPr="00EA38B4" w:rsidRDefault="001248A3" w:rsidP="001178BE">
      <w:pPr>
        <w:keepNext/>
        <w:rPr>
          <w:rFonts w:cs="Arial"/>
          <w:b/>
          <w:i/>
          <w:sz w:val="28"/>
          <w:szCs w:val="28"/>
        </w:rPr>
      </w:pPr>
      <w:bookmarkStart w:id="63"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3"/>
      <w:r w:rsidR="00814500" w:rsidRPr="00EA38B4">
        <w:rPr>
          <w:rFonts w:cs="Arial"/>
          <w:b/>
          <w:i/>
          <w:sz w:val="28"/>
          <w:szCs w:val="28"/>
        </w:rPr>
        <w:t xml:space="preserve"> </w:t>
      </w:r>
    </w:p>
    <w:p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rsidR="001A3026" w:rsidRPr="00ED4EC4" w:rsidRDefault="001A3026"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C10325" w:rsidRPr="00783DAC" w:rsidTr="004A1A2E">
        <w:tc>
          <w:tcPr>
            <w:tcW w:w="1772" w:type="dxa"/>
            <w:shd w:val="pct5"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rsidR="00C10325" w:rsidRPr="00137AC7" w:rsidRDefault="00C10325" w:rsidP="001E4C31">
            <w:pPr>
              <w:keepNext/>
              <w:jc w:val="center"/>
              <w:rPr>
                <w:rFonts w:cs="Arial"/>
                <w:sz w:val="20"/>
                <w:szCs w:val="20"/>
              </w:rPr>
            </w:pPr>
            <w:r w:rsidRPr="00137AC7">
              <w:rPr>
                <w:rFonts w:cs="Arial"/>
                <w:sz w:val="20"/>
                <w:szCs w:val="20"/>
              </w:rPr>
              <w:t>SFm only</w:t>
            </w:r>
          </w:p>
        </w:tc>
        <w:tc>
          <w:tcPr>
            <w:tcW w:w="1461" w:type="dxa"/>
            <w:shd w:val="pct5" w:color="000000" w:fill="FFFFFF"/>
            <w:vAlign w:val="bottom"/>
          </w:tcPr>
          <w:p w:rsidR="00C10325" w:rsidRPr="00137AC7" w:rsidRDefault="00C10325" w:rsidP="001E4C31">
            <w:pPr>
              <w:keepNext/>
              <w:jc w:val="center"/>
              <w:rPr>
                <w:rFonts w:cs="Arial"/>
                <w:sz w:val="20"/>
                <w:szCs w:val="20"/>
              </w:rPr>
            </w:pPr>
            <w:r w:rsidRPr="00137AC7">
              <w:rPr>
                <w:rFonts w:cs="Arial"/>
                <w:sz w:val="20"/>
                <w:szCs w:val="20"/>
              </w:rPr>
              <w:t>N/A</w:t>
            </w:r>
          </w:p>
        </w:tc>
        <w:tc>
          <w:tcPr>
            <w:tcW w:w="1399" w:type="dxa"/>
            <w:shd w:val="pct5" w:color="000000" w:fill="FFFFFF"/>
          </w:tcPr>
          <w:p w:rsidR="00C10325" w:rsidRPr="00137AC7" w:rsidRDefault="00C10325" w:rsidP="001E4C31">
            <w:pPr>
              <w:keepNext/>
              <w:jc w:val="center"/>
              <w:rPr>
                <w:rFonts w:cs="Arial"/>
                <w:i/>
                <w:sz w:val="20"/>
                <w:szCs w:val="20"/>
              </w:rPr>
            </w:pPr>
            <w:r w:rsidRPr="00137AC7">
              <w:rPr>
                <w:rFonts w:cs="Arial"/>
                <w:sz w:val="20"/>
                <w:szCs w:val="20"/>
              </w:rPr>
              <w:t>N/A</w:t>
            </w:r>
          </w:p>
        </w:tc>
        <w:tc>
          <w:tcPr>
            <w:tcW w:w="1473" w:type="dxa"/>
            <w:shd w:val="pct5" w:color="000000" w:fill="FFFFFF"/>
            <w:vAlign w:val="bottom"/>
          </w:tcPr>
          <w:p w:rsidR="00C10325" w:rsidRPr="00137AC7" w:rsidRDefault="00025EBE" w:rsidP="001E4C31">
            <w:pPr>
              <w:keepNext/>
              <w:jc w:val="center"/>
              <w:rPr>
                <w:rFonts w:cs="Arial"/>
                <w:i/>
                <w:sz w:val="20"/>
                <w:szCs w:val="20"/>
              </w:rPr>
            </w:pPr>
            <w:r w:rsidRPr="00137AC7">
              <w:rPr>
                <w:rFonts w:cs="Arial"/>
                <w:i/>
                <w:sz w:val="20"/>
                <w:szCs w:val="20"/>
              </w:rPr>
              <w:t>ex post</w:t>
            </w:r>
          </w:p>
        </w:tc>
        <w:tc>
          <w:tcPr>
            <w:tcW w:w="1736" w:type="dxa"/>
            <w:shd w:val="pct5" w:color="000000" w:fill="FFFFFF"/>
            <w:vAlign w:val="bottom"/>
          </w:tcPr>
          <w:p w:rsidR="00C10325" w:rsidRPr="00137AC7" w:rsidRDefault="00C10325" w:rsidP="00C10325">
            <w:pPr>
              <w:keepNext/>
              <w:jc w:val="center"/>
              <w:rPr>
                <w:rFonts w:cs="Arial"/>
                <w:i/>
                <w:sz w:val="20"/>
                <w:szCs w:val="20"/>
              </w:rPr>
            </w:pPr>
            <w:r w:rsidRPr="00137AC7">
              <w:rPr>
                <w:rFonts w:cs="Arial"/>
                <w:i/>
                <w:sz w:val="20"/>
                <w:szCs w:val="20"/>
              </w:rPr>
              <w:t>Section 1.4.3.4</w:t>
            </w:r>
          </w:p>
        </w:tc>
      </w:tr>
      <w:tr w:rsidR="00C10325" w:rsidRPr="00783DAC" w:rsidTr="004A1A2E">
        <w:tc>
          <w:tcPr>
            <w:tcW w:w="1772" w:type="dxa"/>
            <w:shd w:val="pct20"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Gas Savings</w:t>
            </w:r>
          </w:p>
        </w:tc>
        <w:tc>
          <w:tcPr>
            <w:tcW w:w="1735"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SFm only</w:t>
            </w:r>
          </w:p>
        </w:tc>
        <w:tc>
          <w:tcPr>
            <w:tcW w:w="1461"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399"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473" w:type="dxa"/>
            <w:shd w:val="pct20" w:color="000000" w:fill="FFFFFF"/>
            <w:vAlign w:val="bottom"/>
          </w:tcPr>
          <w:p w:rsidR="00C10325" w:rsidRPr="00137AC7" w:rsidRDefault="00025EBE" w:rsidP="001E4C31">
            <w:pPr>
              <w:keepNext/>
              <w:jc w:val="center"/>
              <w:rPr>
                <w:rFonts w:cs="Arial"/>
                <w:sz w:val="20"/>
                <w:szCs w:val="20"/>
              </w:rPr>
            </w:pPr>
            <w:r w:rsidRPr="00137AC7">
              <w:rPr>
                <w:rFonts w:cs="Arial"/>
                <w:i/>
                <w:sz w:val="20"/>
                <w:szCs w:val="20"/>
              </w:rPr>
              <w:t>ex post</w:t>
            </w:r>
          </w:p>
        </w:tc>
        <w:tc>
          <w:tcPr>
            <w:tcW w:w="1736" w:type="dxa"/>
            <w:shd w:val="pct20" w:color="000000" w:fill="FFFFFF"/>
            <w:vAlign w:val="bottom"/>
          </w:tcPr>
          <w:p w:rsidR="00C10325" w:rsidRPr="00137AC7" w:rsidRDefault="00C10325" w:rsidP="001E4C31">
            <w:pPr>
              <w:keepNext/>
              <w:jc w:val="center"/>
              <w:rPr>
                <w:rFonts w:cs="Arial"/>
                <w:sz w:val="20"/>
                <w:szCs w:val="20"/>
              </w:rPr>
            </w:pPr>
            <w:r w:rsidRPr="00137AC7">
              <w:rPr>
                <w:rFonts w:cs="Arial"/>
                <w:i/>
                <w:sz w:val="20"/>
                <w:szCs w:val="20"/>
              </w:rPr>
              <w:t>Section 1.4.3.4</w:t>
            </w:r>
          </w:p>
        </w:tc>
      </w:tr>
      <w:tr w:rsidR="00C10325" w:rsidRPr="00783DAC" w:rsidTr="00C10325">
        <w:tc>
          <w:tcPr>
            <w:tcW w:w="1772" w:type="dxa"/>
            <w:shd w:val="pct5"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center"/>
          </w:tcPr>
          <w:p w:rsidR="00C10325" w:rsidRPr="00137AC7" w:rsidRDefault="00C10325" w:rsidP="00C10325">
            <w:pPr>
              <w:keepNext/>
              <w:jc w:val="center"/>
              <w:rPr>
                <w:rFonts w:cs="Arial"/>
                <w:sz w:val="20"/>
                <w:szCs w:val="20"/>
              </w:rPr>
            </w:pPr>
            <w:r w:rsidRPr="00137AC7">
              <w:rPr>
                <w:rFonts w:cs="Arial"/>
                <w:sz w:val="20"/>
                <w:szCs w:val="20"/>
              </w:rPr>
              <w:t>SFm only</w:t>
            </w:r>
          </w:p>
        </w:tc>
        <w:tc>
          <w:tcPr>
            <w:tcW w:w="1461" w:type="dxa"/>
            <w:shd w:val="pct5" w:color="000000" w:fill="FFFFFF"/>
            <w:vAlign w:val="center"/>
          </w:tcPr>
          <w:p w:rsidR="00C10325" w:rsidRPr="00137AC7" w:rsidRDefault="00C10325" w:rsidP="00C10325">
            <w:pPr>
              <w:keepNext/>
              <w:jc w:val="center"/>
              <w:rPr>
                <w:rFonts w:cs="Arial"/>
                <w:sz w:val="20"/>
                <w:szCs w:val="20"/>
              </w:rPr>
            </w:pPr>
            <w:r w:rsidRPr="00137AC7">
              <w:rPr>
                <w:rFonts w:cs="Arial"/>
                <w:sz w:val="20"/>
                <w:szCs w:val="20"/>
              </w:rPr>
              <w:t>N/A</w:t>
            </w:r>
          </w:p>
        </w:tc>
        <w:tc>
          <w:tcPr>
            <w:tcW w:w="1399" w:type="dxa"/>
            <w:shd w:val="pct5" w:color="000000" w:fill="FFFFFF"/>
            <w:vAlign w:val="center"/>
          </w:tcPr>
          <w:p w:rsidR="00C10325" w:rsidRPr="00137AC7" w:rsidRDefault="00C10325" w:rsidP="00C10325">
            <w:pPr>
              <w:keepNext/>
              <w:jc w:val="center"/>
              <w:rPr>
                <w:rFonts w:cs="Arial"/>
                <w:sz w:val="20"/>
                <w:szCs w:val="20"/>
              </w:rPr>
            </w:pPr>
            <w:r w:rsidRPr="00137AC7">
              <w:rPr>
                <w:rFonts w:cs="Arial"/>
                <w:sz w:val="20"/>
                <w:szCs w:val="20"/>
              </w:rPr>
              <w:t>N/A</w:t>
            </w:r>
          </w:p>
        </w:tc>
        <w:tc>
          <w:tcPr>
            <w:tcW w:w="1473" w:type="dxa"/>
            <w:shd w:val="pct5" w:color="000000" w:fill="FFFFFF"/>
            <w:vAlign w:val="center"/>
          </w:tcPr>
          <w:p w:rsidR="00C10325" w:rsidRPr="00137AC7" w:rsidRDefault="00C10325" w:rsidP="00C10325">
            <w:pPr>
              <w:keepNext/>
              <w:jc w:val="center"/>
              <w:rPr>
                <w:rFonts w:cs="Arial"/>
                <w:sz w:val="20"/>
                <w:szCs w:val="20"/>
              </w:rPr>
            </w:pPr>
            <w:r w:rsidRPr="00137AC7">
              <w:rPr>
                <w:rFonts w:cs="Arial"/>
                <w:sz w:val="20"/>
                <w:szCs w:val="20"/>
              </w:rPr>
              <w:t>N/A</w:t>
            </w:r>
          </w:p>
        </w:tc>
        <w:tc>
          <w:tcPr>
            <w:tcW w:w="1736" w:type="dxa"/>
            <w:shd w:val="pct5" w:color="000000" w:fill="FFFFFF"/>
            <w:vAlign w:val="center"/>
          </w:tcPr>
          <w:p w:rsidR="00C10325" w:rsidRPr="00137AC7" w:rsidRDefault="00C10325" w:rsidP="00C10325">
            <w:pPr>
              <w:keepNext/>
              <w:jc w:val="center"/>
              <w:rPr>
                <w:rFonts w:cs="Arial"/>
                <w:sz w:val="20"/>
                <w:szCs w:val="20"/>
              </w:rPr>
            </w:pPr>
            <w:r w:rsidRPr="00137AC7">
              <w:rPr>
                <w:rFonts w:cs="Arial"/>
                <w:i/>
                <w:sz w:val="20"/>
                <w:szCs w:val="20"/>
              </w:rPr>
              <w:t>Section 1.4.3.2</w:t>
            </w:r>
          </w:p>
        </w:tc>
      </w:tr>
      <w:tr w:rsidR="00C10325" w:rsidRPr="00783DAC" w:rsidTr="004A1A2E">
        <w:tc>
          <w:tcPr>
            <w:tcW w:w="1772" w:type="dxa"/>
            <w:shd w:val="pct20"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SFm only</w:t>
            </w:r>
          </w:p>
        </w:tc>
        <w:tc>
          <w:tcPr>
            <w:tcW w:w="1461"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399"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473" w:type="dxa"/>
            <w:shd w:val="pct20" w:color="000000" w:fill="FFFFFF"/>
            <w:vAlign w:val="bottom"/>
          </w:tcPr>
          <w:p w:rsidR="00C10325" w:rsidRPr="00137AC7" w:rsidRDefault="00C10325" w:rsidP="001E4C31">
            <w:pPr>
              <w:keepNext/>
              <w:jc w:val="center"/>
              <w:rPr>
                <w:rFonts w:cs="Arial"/>
                <w:sz w:val="20"/>
                <w:szCs w:val="20"/>
              </w:rPr>
            </w:pPr>
            <w:r w:rsidRPr="00137AC7">
              <w:rPr>
                <w:rFonts w:cs="Arial"/>
                <w:sz w:val="20"/>
                <w:szCs w:val="20"/>
              </w:rPr>
              <w:t>0</w:t>
            </w:r>
          </w:p>
        </w:tc>
        <w:tc>
          <w:tcPr>
            <w:tcW w:w="1736" w:type="dxa"/>
            <w:shd w:val="pct20" w:color="000000" w:fill="FFFFFF"/>
          </w:tcPr>
          <w:p w:rsidR="00C10325" w:rsidRPr="00137AC7" w:rsidRDefault="00C10325" w:rsidP="001E4C31">
            <w:pPr>
              <w:keepNext/>
              <w:jc w:val="center"/>
              <w:rPr>
                <w:rFonts w:cs="Arial"/>
                <w:sz w:val="20"/>
                <w:szCs w:val="20"/>
              </w:rPr>
            </w:pPr>
            <w:r w:rsidRPr="00137AC7">
              <w:rPr>
                <w:rFonts w:cs="Arial"/>
                <w:i/>
                <w:sz w:val="20"/>
                <w:szCs w:val="20"/>
              </w:rPr>
              <w:t>Section 1.4.3.2</w:t>
            </w:r>
          </w:p>
        </w:tc>
      </w:tr>
      <w:tr w:rsidR="00C10325" w:rsidRPr="00783DAC" w:rsidTr="00C10325">
        <w:tc>
          <w:tcPr>
            <w:tcW w:w="1772" w:type="dxa"/>
            <w:shd w:val="pct5"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tcPr>
          <w:p w:rsidR="00C10325" w:rsidRPr="00137AC7" w:rsidRDefault="00C10325" w:rsidP="001E4C31">
            <w:pPr>
              <w:keepNext/>
              <w:jc w:val="center"/>
              <w:rPr>
                <w:rFonts w:cs="Arial"/>
                <w:sz w:val="20"/>
                <w:szCs w:val="20"/>
              </w:rPr>
            </w:pPr>
            <w:r w:rsidRPr="00137AC7">
              <w:rPr>
                <w:rFonts w:cs="Arial"/>
                <w:sz w:val="20"/>
                <w:szCs w:val="20"/>
              </w:rPr>
              <w:t>SFm only</w:t>
            </w:r>
          </w:p>
        </w:tc>
        <w:tc>
          <w:tcPr>
            <w:tcW w:w="1461" w:type="dxa"/>
            <w:shd w:val="pct5" w:color="000000" w:fill="FFFFFF"/>
            <w:vAlign w:val="center"/>
          </w:tcPr>
          <w:p w:rsidR="00C10325" w:rsidRPr="00137AC7" w:rsidRDefault="00C10325" w:rsidP="00C10325">
            <w:pPr>
              <w:keepNext/>
              <w:jc w:val="center"/>
              <w:rPr>
                <w:rFonts w:cs="Arial"/>
                <w:sz w:val="20"/>
                <w:szCs w:val="20"/>
              </w:rPr>
            </w:pPr>
            <w:r w:rsidRPr="00137AC7">
              <w:rPr>
                <w:rFonts w:cs="Arial"/>
                <w:sz w:val="20"/>
                <w:szCs w:val="20"/>
              </w:rPr>
              <w:t>N/A</w:t>
            </w:r>
          </w:p>
        </w:tc>
        <w:tc>
          <w:tcPr>
            <w:tcW w:w="1399" w:type="dxa"/>
            <w:shd w:val="pct5" w:color="000000" w:fill="FFFFFF"/>
            <w:vAlign w:val="center"/>
          </w:tcPr>
          <w:p w:rsidR="00C10325" w:rsidRPr="00137AC7" w:rsidRDefault="00C10325" w:rsidP="00C10325">
            <w:pPr>
              <w:keepNext/>
              <w:jc w:val="center"/>
              <w:rPr>
                <w:rFonts w:cs="Arial"/>
                <w:sz w:val="20"/>
                <w:szCs w:val="20"/>
              </w:rPr>
            </w:pPr>
            <w:r w:rsidRPr="00137AC7">
              <w:rPr>
                <w:rFonts w:cs="Arial"/>
                <w:sz w:val="20"/>
                <w:szCs w:val="20"/>
              </w:rPr>
              <w:t>N/A</w:t>
            </w:r>
          </w:p>
        </w:tc>
        <w:tc>
          <w:tcPr>
            <w:tcW w:w="1473" w:type="dxa"/>
            <w:shd w:val="pct5" w:color="000000" w:fill="FFFFFF"/>
            <w:vAlign w:val="center"/>
          </w:tcPr>
          <w:p w:rsidR="00C10325" w:rsidRPr="00137AC7" w:rsidRDefault="00C10325" w:rsidP="00C10325">
            <w:pPr>
              <w:keepNext/>
              <w:jc w:val="center"/>
              <w:rPr>
                <w:rFonts w:cs="Arial"/>
                <w:sz w:val="20"/>
                <w:szCs w:val="20"/>
              </w:rPr>
            </w:pPr>
            <w:r w:rsidRPr="00137AC7">
              <w:rPr>
                <w:rFonts w:cs="Arial"/>
                <w:sz w:val="20"/>
                <w:szCs w:val="20"/>
              </w:rPr>
              <w:t>0</w:t>
            </w:r>
          </w:p>
        </w:tc>
        <w:tc>
          <w:tcPr>
            <w:tcW w:w="1736" w:type="dxa"/>
            <w:shd w:val="pct5" w:color="000000" w:fill="FFFFFF"/>
            <w:vAlign w:val="center"/>
          </w:tcPr>
          <w:p w:rsidR="00C10325" w:rsidRPr="00137AC7" w:rsidRDefault="00C10325" w:rsidP="00C10325">
            <w:pPr>
              <w:keepNext/>
              <w:jc w:val="center"/>
              <w:rPr>
                <w:rFonts w:cs="Arial"/>
                <w:sz w:val="20"/>
                <w:szCs w:val="20"/>
              </w:rPr>
            </w:pPr>
            <w:r w:rsidRPr="00137AC7">
              <w:rPr>
                <w:rFonts w:cs="Arial"/>
                <w:i/>
                <w:sz w:val="20"/>
                <w:szCs w:val="20"/>
              </w:rPr>
              <w:t>Section 1.4.3.2</w:t>
            </w:r>
          </w:p>
        </w:tc>
      </w:tr>
      <w:tr w:rsidR="00C10325" w:rsidRPr="00783DAC" w:rsidTr="00120191">
        <w:tc>
          <w:tcPr>
            <w:tcW w:w="1772" w:type="dxa"/>
            <w:shd w:val="pct20"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EUL /RUL</w:t>
            </w:r>
          </w:p>
        </w:tc>
        <w:tc>
          <w:tcPr>
            <w:tcW w:w="1735"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SFm only</w:t>
            </w:r>
          </w:p>
        </w:tc>
        <w:tc>
          <w:tcPr>
            <w:tcW w:w="1461"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399"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473" w:type="dxa"/>
            <w:shd w:val="pct20" w:color="000000" w:fill="FFFFFF"/>
            <w:vAlign w:val="center"/>
          </w:tcPr>
          <w:p w:rsidR="00C10325" w:rsidRPr="00137AC7" w:rsidRDefault="00137AC7" w:rsidP="00120191">
            <w:pPr>
              <w:keepNext/>
              <w:jc w:val="center"/>
              <w:rPr>
                <w:rFonts w:cs="Arial"/>
                <w:sz w:val="20"/>
                <w:szCs w:val="20"/>
              </w:rPr>
            </w:pPr>
            <w:r w:rsidRPr="00137AC7">
              <w:rPr>
                <w:rFonts w:cs="Arial"/>
                <w:sz w:val="20"/>
                <w:szCs w:val="20"/>
              </w:rPr>
              <w:t xml:space="preserve">20 </w:t>
            </w:r>
            <w:r w:rsidR="00C10325" w:rsidRPr="00137AC7">
              <w:rPr>
                <w:rFonts w:cs="Arial"/>
                <w:sz w:val="20"/>
                <w:szCs w:val="20"/>
              </w:rPr>
              <w:t>year</w:t>
            </w:r>
            <w:r w:rsidRPr="00137AC7">
              <w:rPr>
                <w:rFonts w:cs="Arial"/>
                <w:sz w:val="20"/>
                <w:szCs w:val="20"/>
              </w:rPr>
              <w:t>s</w:t>
            </w:r>
          </w:p>
        </w:tc>
        <w:tc>
          <w:tcPr>
            <w:tcW w:w="1736" w:type="dxa"/>
            <w:shd w:val="pct20" w:color="000000" w:fill="FFFFFF"/>
          </w:tcPr>
          <w:p w:rsidR="00C10325" w:rsidRPr="00120191" w:rsidRDefault="00C10325" w:rsidP="001E4C31">
            <w:pPr>
              <w:keepNext/>
              <w:spacing w:before="40" w:after="40"/>
              <w:jc w:val="center"/>
              <w:rPr>
                <w:rFonts w:cs="Arial"/>
                <w:sz w:val="20"/>
                <w:szCs w:val="20"/>
              </w:rPr>
            </w:pPr>
            <w:r w:rsidRPr="00137AC7">
              <w:rPr>
                <w:rFonts w:cs="Arial"/>
                <w:i/>
                <w:sz w:val="20"/>
                <w:szCs w:val="20"/>
              </w:rPr>
              <w:t>Section 1.4.3.2</w:t>
            </w:r>
          </w:p>
        </w:tc>
      </w:tr>
      <w:tr w:rsidR="00C10325" w:rsidRPr="00783DAC" w:rsidTr="004A1A2E">
        <w:tc>
          <w:tcPr>
            <w:tcW w:w="1772" w:type="dxa"/>
            <w:shd w:val="pct5"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rsidR="00C10325" w:rsidRPr="00137AC7" w:rsidRDefault="00C10325" w:rsidP="00C10325">
            <w:pPr>
              <w:keepNext/>
              <w:jc w:val="center"/>
              <w:rPr>
                <w:rFonts w:cs="Arial"/>
                <w:sz w:val="20"/>
                <w:szCs w:val="20"/>
              </w:rPr>
            </w:pPr>
            <w:r w:rsidRPr="00137AC7">
              <w:rPr>
                <w:rFonts w:cs="Arial"/>
                <w:sz w:val="20"/>
                <w:szCs w:val="20"/>
              </w:rPr>
              <w:t xml:space="preserve">One </w:t>
            </w:r>
          </w:p>
        </w:tc>
        <w:tc>
          <w:tcPr>
            <w:tcW w:w="1461" w:type="dxa"/>
            <w:shd w:val="pct5"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399" w:type="dxa"/>
            <w:shd w:val="pct5"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473" w:type="dxa"/>
            <w:shd w:val="pct5" w:color="000000" w:fill="FFFFFF"/>
            <w:vAlign w:val="bottom"/>
          </w:tcPr>
          <w:p w:rsidR="00C10325" w:rsidRPr="00137AC7" w:rsidRDefault="00C10325" w:rsidP="001E4C31">
            <w:pPr>
              <w:keepNext/>
              <w:jc w:val="center"/>
              <w:rPr>
                <w:rFonts w:cs="Arial"/>
                <w:sz w:val="20"/>
                <w:szCs w:val="20"/>
              </w:rPr>
            </w:pPr>
            <w:r w:rsidRPr="00137AC7">
              <w:rPr>
                <w:rFonts w:cs="Arial"/>
                <w:sz w:val="20"/>
                <w:szCs w:val="20"/>
              </w:rPr>
              <w:t>1.0</w:t>
            </w:r>
          </w:p>
        </w:tc>
        <w:tc>
          <w:tcPr>
            <w:tcW w:w="1736" w:type="dxa"/>
            <w:shd w:val="pct5" w:color="000000" w:fill="FFFFFF"/>
          </w:tcPr>
          <w:p w:rsidR="00C10325" w:rsidRPr="00137AC7" w:rsidRDefault="00C10325" w:rsidP="001E4C31">
            <w:pPr>
              <w:keepNext/>
              <w:jc w:val="center"/>
              <w:rPr>
                <w:rFonts w:cs="Arial"/>
                <w:sz w:val="20"/>
                <w:szCs w:val="20"/>
              </w:rPr>
            </w:pPr>
            <w:r w:rsidRPr="00137AC7">
              <w:rPr>
                <w:rFonts w:cs="Arial"/>
                <w:i/>
                <w:sz w:val="20"/>
                <w:szCs w:val="20"/>
              </w:rPr>
              <w:t>Section 1.4.3.2</w:t>
            </w:r>
          </w:p>
        </w:tc>
      </w:tr>
      <w:tr w:rsidR="00C10325" w:rsidRPr="00783DAC" w:rsidTr="004A1A2E">
        <w:tc>
          <w:tcPr>
            <w:tcW w:w="1772" w:type="dxa"/>
            <w:shd w:val="pct20" w:color="000000" w:fill="FFFFFF"/>
            <w:vAlign w:val="bottom"/>
          </w:tcPr>
          <w:p w:rsidR="00C10325" w:rsidRPr="001E4C31" w:rsidRDefault="00C10325"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rsidR="00C10325" w:rsidRPr="00137AC7" w:rsidRDefault="00C10325" w:rsidP="00C10325">
            <w:pPr>
              <w:keepNext/>
              <w:jc w:val="center"/>
              <w:rPr>
                <w:rFonts w:cs="Arial"/>
                <w:sz w:val="20"/>
                <w:szCs w:val="20"/>
              </w:rPr>
            </w:pPr>
            <w:r w:rsidRPr="00137AC7">
              <w:rPr>
                <w:rFonts w:cs="Arial"/>
                <w:sz w:val="20"/>
                <w:szCs w:val="20"/>
              </w:rPr>
              <w:t xml:space="preserve">Applies --No </w:t>
            </w:r>
          </w:p>
        </w:tc>
        <w:tc>
          <w:tcPr>
            <w:tcW w:w="1461"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399" w:type="dxa"/>
            <w:shd w:val="pct20" w:color="000000" w:fill="FFFFFF"/>
          </w:tcPr>
          <w:p w:rsidR="00C10325" w:rsidRPr="00137AC7" w:rsidRDefault="00C10325" w:rsidP="001E4C31">
            <w:pPr>
              <w:keepNext/>
              <w:jc w:val="center"/>
              <w:rPr>
                <w:rFonts w:cs="Arial"/>
                <w:sz w:val="20"/>
                <w:szCs w:val="20"/>
              </w:rPr>
            </w:pPr>
            <w:r w:rsidRPr="00137AC7">
              <w:rPr>
                <w:rFonts w:cs="Arial"/>
                <w:sz w:val="20"/>
                <w:szCs w:val="20"/>
              </w:rPr>
              <w:t>N/A</w:t>
            </w:r>
          </w:p>
        </w:tc>
        <w:tc>
          <w:tcPr>
            <w:tcW w:w="1473" w:type="dxa"/>
            <w:shd w:val="pct20" w:color="000000" w:fill="FFFFFF"/>
            <w:vAlign w:val="bottom"/>
          </w:tcPr>
          <w:p w:rsidR="00C10325" w:rsidRPr="00137AC7" w:rsidRDefault="00C10325" w:rsidP="001E4C31">
            <w:pPr>
              <w:keepNext/>
              <w:jc w:val="center"/>
              <w:rPr>
                <w:rFonts w:cs="Arial"/>
                <w:sz w:val="20"/>
                <w:szCs w:val="20"/>
              </w:rPr>
            </w:pPr>
            <w:r w:rsidRPr="00137AC7">
              <w:rPr>
                <w:rFonts w:cs="Arial"/>
                <w:sz w:val="20"/>
                <w:szCs w:val="20"/>
              </w:rPr>
              <w:t>1.0</w:t>
            </w:r>
          </w:p>
        </w:tc>
        <w:tc>
          <w:tcPr>
            <w:tcW w:w="1736" w:type="dxa"/>
            <w:shd w:val="pct20" w:color="000000" w:fill="FFFFFF"/>
          </w:tcPr>
          <w:p w:rsidR="00C10325" w:rsidRPr="00137AC7" w:rsidRDefault="00C10325" w:rsidP="001E4C31">
            <w:pPr>
              <w:keepNext/>
              <w:jc w:val="center"/>
              <w:rPr>
                <w:rFonts w:cs="Arial"/>
                <w:sz w:val="20"/>
                <w:szCs w:val="20"/>
              </w:rPr>
            </w:pPr>
            <w:r w:rsidRPr="00137AC7">
              <w:rPr>
                <w:rFonts w:cs="Arial"/>
                <w:i/>
                <w:sz w:val="20"/>
                <w:szCs w:val="20"/>
              </w:rPr>
              <w:t>Section 1.4.3.2</w:t>
            </w:r>
          </w:p>
        </w:tc>
      </w:tr>
      <w:tr w:rsidR="00C10325" w:rsidRPr="00783DAC" w:rsidTr="004A1A2E">
        <w:tc>
          <w:tcPr>
            <w:tcW w:w="1772" w:type="dxa"/>
            <w:shd w:val="pct5" w:color="000000" w:fill="FFFFFF"/>
            <w:vAlign w:val="bottom"/>
          </w:tcPr>
          <w:p w:rsidR="00C10325" w:rsidRPr="001E4C31" w:rsidRDefault="00C10325"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rsidR="00C10325" w:rsidRPr="00137AC7" w:rsidRDefault="00C10325" w:rsidP="001E4C31">
            <w:pPr>
              <w:jc w:val="center"/>
              <w:rPr>
                <w:rFonts w:cs="Arial"/>
                <w:i/>
                <w:sz w:val="20"/>
                <w:szCs w:val="20"/>
              </w:rPr>
            </w:pPr>
            <w:r w:rsidRPr="00137AC7">
              <w:rPr>
                <w:rFonts w:cs="Arial"/>
                <w:i/>
                <w:sz w:val="20"/>
                <w:szCs w:val="20"/>
              </w:rPr>
              <w:t>A/C projects only</w:t>
            </w:r>
          </w:p>
        </w:tc>
        <w:tc>
          <w:tcPr>
            <w:tcW w:w="1461" w:type="dxa"/>
            <w:shd w:val="pct5" w:color="000000" w:fill="FFFFFF"/>
          </w:tcPr>
          <w:p w:rsidR="00C10325" w:rsidRPr="00137AC7" w:rsidRDefault="00C10325" w:rsidP="001E4C31">
            <w:pPr>
              <w:jc w:val="center"/>
              <w:rPr>
                <w:rFonts w:cs="Arial"/>
                <w:i/>
                <w:sz w:val="20"/>
                <w:szCs w:val="20"/>
              </w:rPr>
            </w:pPr>
            <w:r w:rsidRPr="00137AC7">
              <w:rPr>
                <w:rFonts w:cs="Arial"/>
                <w:sz w:val="20"/>
                <w:szCs w:val="20"/>
              </w:rPr>
              <w:t>N/A</w:t>
            </w:r>
          </w:p>
        </w:tc>
        <w:tc>
          <w:tcPr>
            <w:tcW w:w="1399" w:type="dxa"/>
            <w:shd w:val="pct5" w:color="000000" w:fill="FFFFFF"/>
          </w:tcPr>
          <w:p w:rsidR="00C10325" w:rsidRPr="00137AC7" w:rsidRDefault="00C10325" w:rsidP="001E4C31">
            <w:pPr>
              <w:jc w:val="center"/>
              <w:rPr>
                <w:rFonts w:cs="Arial"/>
                <w:i/>
                <w:sz w:val="20"/>
                <w:szCs w:val="20"/>
              </w:rPr>
            </w:pPr>
            <w:r w:rsidRPr="00137AC7">
              <w:rPr>
                <w:rFonts w:cs="Arial"/>
                <w:sz w:val="20"/>
                <w:szCs w:val="20"/>
              </w:rPr>
              <w:t>N/A</w:t>
            </w:r>
          </w:p>
        </w:tc>
        <w:tc>
          <w:tcPr>
            <w:tcW w:w="1473" w:type="dxa"/>
            <w:shd w:val="pct5" w:color="000000" w:fill="FFFFFF"/>
            <w:vAlign w:val="bottom"/>
          </w:tcPr>
          <w:p w:rsidR="00C10325" w:rsidRPr="000C3A71" w:rsidRDefault="000C3A71" w:rsidP="001E4C31">
            <w:pPr>
              <w:jc w:val="center"/>
              <w:rPr>
                <w:rFonts w:cs="Arial"/>
                <w:b/>
                <w:sz w:val="20"/>
                <w:szCs w:val="20"/>
              </w:rPr>
            </w:pPr>
            <w:r w:rsidRPr="000C3A71">
              <w:rPr>
                <w:rFonts w:cs="Arial"/>
                <w:b/>
                <w:sz w:val="20"/>
                <w:szCs w:val="20"/>
              </w:rPr>
              <w:t>0.0</w:t>
            </w:r>
          </w:p>
        </w:tc>
        <w:tc>
          <w:tcPr>
            <w:tcW w:w="1736" w:type="dxa"/>
            <w:shd w:val="pct5" w:color="000000" w:fill="FFFFFF"/>
            <w:vAlign w:val="bottom"/>
          </w:tcPr>
          <w:p w:rsidR="00C10325" w:rsidRPr="00137AC7" w:rsidRDefault="00C10325" w:rsidP="001E4C31">
            <w:pPr>
              <w:jc w:val="center"/>
              <w:rPr>
                <w:rFonts w:cs="Arial"/>
                <w:i/>
                <w:sz w:val="20"/>
                <w:szCs w:val="20"/>
              </w:rPr>
            </w:pPr>
            <w:r w:rsidRPr="00137AC7">
              <w:rPr>
                <w:rFonts w:cs="Arial"/>
                <w:i/>
                <w:sz w:val="20"/>
                <w:szCs w:val="20"/>
              </w:rPr>
              <w:t>Section 1.4.5</w:t>
            </w:r>
          </w:p>
        </w:tc>
      </w:tr>
    </w:tbl>
    <w:p w:rsidR="00C069A2" w:rsidRDefault="001A3026" w:rsidP="00C41E61">
      <w:pPr>
        <w:pStyle w:val="Heading1"/>
      </w:pPr>
      <w:r>
        <w:rPr>
          <w:sz w:val="20"/>
          <w:szCs w:val="20"/>
        </w:rPr>
        <w:br w:type="page"/>
      </w:r>
      <w:bookmarkStart w:id="64" w:name="_Toc304800210"/>
      <w:bookmarkStart w:id="65" w:name="_Toc324340489"/>
      <w:bookmarkStart w:id="66" w:name="_Toc354582137"/>
      <w:r w:rsidR="00CF3FF0" w:rsidRPr="00CF3FF0">
        <w:t xml:space="preserve">Section </w:t>
      </w:r>
      <w:r w:rsidR="00C069A2" w:rsidRPr="00CF3FF0">
        <w:t>2</w:t>
      </w:r>
      <w:r w:rsidR="003129E8" w:rsidRPr="00CF3FF0">
        <w:t>.</w:t>
      </w:r>
      <w:r w:rsidR="00C069A2" w:rsidRPr="00CF3FF0">
        <w:t xml:space="preserve"> Calculation Methods</w:t>
      </w:r>
      <w:bookmarkEnd w:id="64"/>
      <w:bookmarkEnd w:id="65"/>
      <w:bookmarkEnd w:id="66"/>
    </w:p>
    <w:p w:rsidR="00C069A2" w:rsidRDefault="00C069A2" w:rsidP="00D20486">
      <w:pPr>
        <w:pStyle w:val="Heading2"/>
      </w:pPr>
      <w:bookmarkStart w:id="67" w:name="_Toc304800211"/>
      <w:bookmarkStart w:id="68" w:name="_Toc324318365"/>
      <w:bookmarkStart w:id="69" w:name="_Toc324340494"/>
      <w:bookmarkStart w:id="70" w:name="_Toc354582138"/>
      <w:r>
        <w:t xml:space="preserve">2.1 </w:t>
      </w:r>
      <w:r w:rsidR="007878B9">
        <w:t xml:space="preserve">Electric </w:t>
      </w:r>
      <w:r>
        <w:t>Energy Savings Estimation Methodologies</w:t>
      </w:r>
      <w:bookmarkEnd w:id="67"/>
      <w:bookmarkEnd w:id="68"/>
      <w:bookmarkEnd w:id="69"/>
      <w:bookmarkEnd w:id="70"/>
    </w:p>
    <w:p w:rsidR="00025EBE" w:rsidRPr="009F1859" w:rsidRDefault="00025EBE" w:rsidP="00BC4FDF">
      <w:pPr>
        <w:numPr>
          <w:ilvl w:val="0"/>
          <w:numId w:val="16"/>
        </w:numPr>
        <w:tabs>
          <w:tab w:val="clear" w:pos="1440"/>
          <w:tab w:val="num" w:pos="360"/>
        </w:tabs>
        <w:ind w:left="360"/>
        <w:rPr>
          <w:rFonts w:cs="Arial"/>
          <w:i/>
          <w:sz w:val="20"/>
          <w:szCs w:val="20"/>
        </w:rPr>
      </w:pPr>
      <w:r>
        <w:rPr>
          <w:rFonts w:cs="Arial"/>
          <w:sz w:val="20"/>
          <w:szCs w:val="20"/>
        </w:rPr>
        <w:t>This section describes the overall ex post analysis technique for calculating savings resulting from this program. There are no ex ante values calculated as the result of this section.</w:t>
      </w:r>
    </w:p>
    <w:p w:rsidR="00BC4FDF" w:rsidRPr="00A95746" w:rsidRDefault="00A95746" w:rsidP="00BC4FDF">
      <w:pPr>
        <w:numPr>
          <w:ilvl w:val="0"/>
          <w:numId w:val="16"/>
        </w:numPr>
        <w:tabs>
          <w:tab w:val="clear" w:pos="1440"/>
          <w:tab w:val="num" w:pos="360"/>
        </w:tabs>
        <w:ind w:left="360"/>
        <w:rPr>
          <w:rFonts w:cs="Arial"/>
          <w:i/>
          <w:sz w:val="20"/>
          <w:szCs w:val="20"/>
        </w:rPr>
      </w:pPr>
      <w:r w:rsidRPr="00BC4FDF">
        <w:rPr>
          <w:rFonts w:cs="Arial"/>
          <w:sz w:val="20"/>
          <w:szCs w:val="20"/>
        </w:rPr>
        <w:t>This measure includes HVAC interactive effects savings</w:t>
      </w:r>
      <w:r w:rsidR="00BC4FDF">
        <w:rPr>
          <w:rFonts w:cs="Arial"/>
          <w:sz w:val="20"/>
          <w:szCs w:val="20"/>
        </w:rPr>
        <w:t>, as noted in 1.4.3.2</w:t>
      </w:r>
    </w:p>
    <w:p w:rsidR="004967A2" w:rsidRPr="00BC4FDF" w:rsidRDefault="00A95746" w:rsidP="00126A4E">
      <w:pPr>
        <w:numPr>
          <w:ilvl w:val="0"/>
          <w:numId w:val="14"/>
        </w:numPr>
        <w:tabs>
          <w:tab w:val="clear" w:pos="1440"/>
        </w:tabs>
        <w:ind w:left="360"/>
        <w:rPr>
          <w:rFonts w:cs="Arial"/>
          <w:i/>
          <w:sz w:val="20"/>
          <w:szCs w:val="20"/>
        </w:rPr>
      </w:pPr>
      <w:r w:rsidRPr="00BC4FDF">
        <w:rPr>
          <w:rFonts w:cs="Arial"/>
          <w:sz w:val="20"/>
          <w:szCs w:val="20"/>
        </w:rPr>
        <w:t xml:space="preserve">This measure is not an Early Retirement measure. </w:t>
      </w:r>
    </w:p>
    <w:p w:rsidR="00BC4FDF" w:rsidRDefault="00BC4FDF" w:rsidP="00126A4E">
      <w:pPr>
        <w:rPr>
          <w:rFonts w:cs="Arial"/>
          <w:i/>
          <w:sz w:val="20"/>
          <w:szCs w:val="20"/>
        </w:rPr>
      </w:pPr>
    </w:p>
    <w:p w:rsidR="007D66D9" w:rsidRDefault="007D66D9" w:rsidP="00126A4E">
      <w:pPr>
        <w:rPr>
          <w:rFonts w:cs="Arial"/>
          <w:sz w:val="20"/>
          <w:szCs w:val="20"/>
        </w:rPr>
      </w:pPr>
      <w:r>
        <w:rPr>
          <w:rFonts w:cs="Arial"/>
          <w:sz w:val="20"/>
          <w:szCs w:val="20"/>
        </w:rPr>
        <w:t>The electric and gas savings are taken directly from billing data collected on the members of each of the control and treatment groups of each wave as described in sections 1.2 and 1.4.  The analytical analysis of the data requires the following assumptions:</w:t>
      </w:r>
    </w:p>
    <w:p w:rsidR="007D66D9" w:rsidRDefault="007D66D9" w:rsidP="00126A4E">
      <w:pPr>
        <w:rPr>
          <w:rFonts w:cs="Arial"/>
          <w:sz w:val="20"/>
          <w:szCs w:val="20"/>
        </w:rPr>
      </w:pPr>
    </w:p>
    <w:p w:rsidR="007D66D9" w:rsidRDefault="007D66D9" w:rsidP="007D66D9">
      <w:pPr>
        <w:pStyle w:val="ListParagraph"/>
        <w:numPr>
          <w:ilvl w:val="0"/>
          <w:numId w:val="29"/>
        </w:numPr>
        <w:rPr>
          <w:rFonts w:cs="Arial"/>
          <w:sz w:val="20"/>
          <w:szCs w:val="20"/>
        </w:rPr>
      </w:pPr>
      <w:r>
        <w:rPr>
          <w:rFonts w:cs="Arial"/>
          <w:sz w:val="20"/>
          <w:szCs w:val="20"/>
        </w:rPr>
        <w:t xml:space="preserve">The calculation of savings derives from </w:t>
      </w:r>
      <w:r w:rsidR="00C52701">
        <w:rPr>
          <w:rFonts w:cs="Arial"/>
          <w:sz w:val="20"/>
          <w:szCs w:val="20"/>
        </w:rPr>
        <w:t>a panel-based regression analysis w</w:t>
      </w:r>
      <w:r>
        <w:rPr>
          <w:rFonts w:cs="Arial"/>
          <w:sz w:val="20"/>
          <w:szCs w:val="20"/>
        </w:rPr>
        <w:t>here</w:t>
      </w:r>
      <w:r w:rsidR="00C52701">
        <w:rPr>
          <w:rFonts w:cs="Arial"/>
          <w:sz w:val="20"/>
          <w:szCs w:val="20"/>
        </w:rPr>
        <w:t>by</w:t>
      </w:r>
      <w:r>
        <w:rPr>
          <w:rFonts w:cs="Arial"/>
          <w:sz w:val="20"/>
          <w:szCs w:val="20"/>
        </w:rPr>
        <w:t xml:space="preserve"> the aggregate energy use of the control group and that of the treatment group are </w:t>
      </w:r>
      <w:r w:rsidR="00C52701">
        <w:rPr>
          <w:rFonts w:cs="Arial"/>
          <w:sz w:val="20"/>
          <w:szCs w:val="20"/>
        </w:rPr>
        <w:t>compared</w:t>
      </w:r>
      <w:r>
        <w:rPr>
          <w:rFonts w:cs="Arial"/>
          <w:sz w:val="20"/>
          <w:szCs w:val="20"/>
        </w:rPr>
        <w:t xml:space="preserve"> over a period of time</w:t>
      </w:r>
      <w:r w:rsidR="00C52701">
        <w:rPr>
          <w:rFonts w:cs="Arial"/>
          <w:sz w:val="20"/>
          <w:szCs w:val="20"/>
        </w:rPr>
        <w:t xml:space="preserve">. </w:t>
      </w:r>
      <w:r w:rsidR="00F300A5">
        <w:rPr>
          <w:rFonts w:cs="Arial"/>
          <w:sz w:val="20"/>
          <w:szCs w:val="20"/>
        </w:rPr>
        <w:t xml:space="preserve"> </w:t>
      </w:r>
      <w:r w:rsidR="00120191">
        <w:rPr>
          <w:rFonts w:cs="Arial"/>
          <w:sz w:val="20"/>
          <w:szCs w:val="20"/>
        </w:rPr>
        <w:t xml:space="preserve">This is discussed in Section 1.4.3.3 and </w:t>
      </w:r>
      <w:r w:rsidR="00F300A5">
        <w:rPr>
          <w:rFonts w:cs="Arial"/>
          <w:sz w:val="20"/>
          <w:szCs w:val="20"/>
        </w:rPr>
        <w:t>other References (see Reference List).</w:t>
      </w:r>
      <w:r w:rsidR="00120191">
        <w:rPr>
          <w:rFonts w:cs="Arial"/>
          <w:sz w:val="20"/>
          <w:szCs w:val="20"/>
        </w:rPr>
        <w:t xml:space="preserve"> </w:t>
      </w:r>
      <w:r>
        <w:rPr>
          <w:rFonts w:cs="Arial"/>
          <w:sz w:val="20"/>
          <w:szCs w:val="20"/>
        </w:rPr>
        <w:t xml:space="preserve"> </w:t>
      </w:r>
      <w:r w:rsidR="00F300A5">
        <w:rPr>
          <w:rFonts w:cs="Arial"/>
          <w:sz w:val="20"/>
          <w:szCs w:val="20"/>
        </w:rPr>
        <w:t xml:space="preserve">The </w:t>
      </w:r>
      <w:r>
        <w:rPr>
          <w:rFonts w:cs="Arial"/>
          <w:sz w:val="20"/>
          <w:szCs w:val="20"/>
        </w:rPr>
        <w:t xml:space="preserve">beginning and ending </w:t>
      </w:r>
      <w:r w:rsidR="00C839DB">
        <w:rPr>
          <w:rFonts w:cs="Arial"/>
          <w:sz w:val="20"/>
          <w:szCs w:val="20"/>
        </w:rPr>
        <w:t>billing aggregates are compared using regression analysis to determine a mean value of difference in the savings or increases in use</w:t>
      </w:r>
      <w:r w:rsidR="005A1336">
        <w:rPr>
          <w:rFonts w:cs="Arial"/>
          <w:sz w:val="20"/>
          <w:szCs w:val="20"/>
        </w:rPr>
        <w:t>.</w:t>
      </w:r>
    </w:p>
    <w:p w:rsidR="00C839DB" w:rsidRDefault="00C839DB" w:rsidP="007D66D9">
      <w:pPr>
        <w:pStyle w:val="ListParagraph"/>
        <w:numPr>
          <w:ilvl w:val="0"/>
          <w:numId w:val="29"/>
        </w:numPr>
        <w:rPr>
          <w:rFonts w:cs="Arial"/>
          <w:sz w:val="20"/>
          <w:szCs w:val="20"/>
        </w:rPr>
      </w:pPr>
      <w:r>
        <w:rPr>
          <w:rFonts w:cs="Arial"/>
          <w:sz w:val="20"/>
          <w:szCs w:val="20"/>
        </w:rPr>
        <w:t xml:space="preserve">The participants are counted based on rules set out in 1.2 and 1.4, opt outs are continued to be counted while move outs are not.  The </w:t>
      </w:r>
      <w:r w:rsidR="00B06452">
        <w:rPr>
          <w:rFonts w:cs="Arial"/>
          <w:sz w:val="20"/>
          <w:szCs w:val="20"/>
        </w:rPr>
        <w:t>number of participants in each group constituting the control and treatment groups is</w:t>
      </w:r>
      <w:r>
        <w:rPr>
          <w:rFonts w:cs="Arial"/>
          <w:sz w:val="20"/>
          <w:szCs w:val="20"/>
        </w:rPr>
        <w:t xml:space="preserve"> counted as the participants in the group at the end of the test period.</w:t>
      </w:r>
    </w:p>
    <w:p w:rsidR="00C839DB" w:rsidRDefault="00C839DB" w:rsidP="0060457B">
      <w:pPr>
        <w:rPr>
          <w:rFonts w:cs="Arial"/>
          <w:sz w:val="20"/>
          <w:szCs w:val="20"/>
        </w:rPr>
      </w:pPr>
    </w:p>
    <w:p w:rsidR="0060457B" w:rsidRDefault="00204448" w:rsidP="0060457B">
      <w:pPr>
        <w:rPr>
          <w:rFonts w:cs="Arial"/>
          <w:sz w:val="20"/>
          <w:szCs w:val="20"/>
        </w:rPr>
      </w:pPr>
      <w:r>
        <w:rPr>
          <w:rFonts w:cs="Arial"/>
          <w:sz w:val="20"/>
          <w:szCs w:val="20"/>
        </w:rPr>
        <w:t xml:space="preserve">So the analysis is </w:t>
      </w:r>
    </w:p>
    <w:p w:rsidR="00204448" w:rsidRDefault="00204448" w:rsidP="0060457B">
      <w:pPr>
        <w:rPr>
          <w:rFonts w:cs="Arial"/>
          <w:sz w:val="20"/>
          <w:szCs w:val="20"/>
        </w:rPr>
      </w:pPr>
    </w:p>
    <w:p w:rsidR="00204448" w:rsidRPr="00204448" w:rsidRDefault="00204448" w:rsidP="0060457B">
      <w:pPr>
        <w:rPr>
          <w:rFonts w:cs="Arial"/>
          <w:sz w:val="20"/>
          <w:szCs w:val="20"/>
        </w:rPr>
      </w:pPr>
      <w:r w:rsidRPr="00204448">
        <w:rPr>
          <w:rFonts w:cs="Arial"/>
          <w:sz w:val="20"/>
          <w:szCs w:val="20"/>
        </w:rPr>
        <w:t>Energy saved =</w:t>
      </w:r>
      <w:r w:rsidRPr="00204448">
        <w:rPr>
          <w:rFonts w:cs="Arial"/>
          <w:sz w:val="20"/>
          <w:szCs w:val="20"/>
        </w:rPr>
        <w:tab/>
      </w:r>
      <w:r w:rsidRPr="00204448">
        <w:rPr>
          <w:sz w:val="20"/>
          <w:szCs w:val="20"/>
        </w:rPr>
        <w:t xml:space="preserve">Average change in energy use (average energy saved) for the </w:t>
      </w:r>
      <w:r w:rsidR="002D758F" w:rsidRPr="00204448">
        <w:rPr>
          <w:sz w:val="20"/>
          <w:szCs w:val="20"/>
        </w:rPr>
        <w:t xml:space="preserve">control </w:t>
      </w:r>
      <w:r w:rsidRPr="00204448">
        <w:rPr>
          <w:sz w:val="20"/>
          <w:szCs w:val="20"/>
        </w:rPr>
        <w:t xml:space="preserve">group - Average change in energy use (average energy saved) for the </w:t>
      </w:r>
      <w:r w:rsidR="002D758F" w:rsidRPr="00204448">
        <w:rPr>
          <w:sz w:val="20"/>
          <w:szCs w:val="20"/>
        </w:rPr>
        <w:t xml:space="preserve">treatment </w:t>
      </w:r>
      <w:r w:rsidRPr="00204448">
        <w:rPr>
          <w:sz w:val="20"/>
          <w:szCs w:val="20"/>
        </w:rPr>
        <w:t>group</w:t>
      </w:r>
    </w:p>
    <w:p w:rsidR="00204448" w:rsidRDefault="00204448" w:rsidP="0060457B">
      <w:pPr>
        <w:rPr>
          <w:rFonts w:cs="Arial"/>
          <w:sz w:val="20"/>
          <w:szCs w:val="20"/>
        </w:rPr>
      </w:pPr>
    </w:p>
    <w:p w:rsidR="002D758F" w:rsidRPr="00204448" w:rsidRDefault="00C638FA" w:rsidP="0060457B">
      <w:pPr>
        <w:rPr>
          <w:rFonts w:cs="Arial"/>
          <w:sz w:val="20"/>
          <w:szCs w:val="20"/>
        </w:rPr>
      </w:pPr>
      <w:r>
        <w:rPr>
          <w:rFonts w:cs="Arial"/>
          <w:sz w:val="20"/>
          <w:szCs w:val="20"/>
        </w:rPr>
        <w:t>O</w:t>
      </w:r>
      <w:r w:rsidR="002D758F">
        <w:rPr>
          <w:rFonts w:cs="Arial"/>
          <w:sz w:val="20"/>
          <w:szCs w:val="20"/>
        </w:rPr>
        <w:t>r</w:t>
      </w:r>
      <w:r w:rsidR="002D758F" w:rsidRPr="009F1859">
        <w:rPr>
          <w:rStyle w:val="EndnoteReference"/>
          <w:rFonts w:cs="Arial"/>
          <w:b/>
          <w:sz w:val="24"/>
        </w:rPr>
        <w:endnoteReference w:id="13"/>
      </w:r>
    </w:p>
    <w:p w:rsidR="00204448" w:rsidRDefault="00204448" w:rsidP="0060457B">
      <w:pPr>
        <w:rPr>
          <w:rFonts w:cs="Arial"/>
          <w:sz w:val="20"/>
          <w:szCs w:val="20"/>
        </w:rPr>
      </w:pPr>
    </w:p>
    <w:p w:rsidR="00F044AB" w:rsidRPr="00F044AB" w:rsidRDefault="0060457B" w:rsidP="00F044AB">
      <w:pPr>
        <w:rPr>
          <w:rFonts w:cs="Arial"/>
          <w:sz w:val="56"/>
          <w:szCs w:val="56"/>
          <w:vertAlign w:val="subscript"/>
        </w:rPr>
      </w:pPr>
      <w:r w:rsidRPr="0048376E">
        <w:rPr>
          <w:rFonts w:cs="Arial"/>
          <w:sz w:val="36"/>
          <w:szCs w:val="36"/>
        </w:rPr>
        <w:t>S</w:t>
      </w:r>
      <w:r>
        <w:rPr>
          <w:rFonts w:cs="Arial"/>
          <w:sz w:val="20"/>
          <w:szCs w:val="20"/>
        </w:rPr>
        <w:t xml:space="preserve">   </w:t>
      </w:r>
      <w:r w:rsidRPr="0048376E">
        <w:rPr>
          <w:rFonts w:cs="Arial"/>
          <w:sz w:val="40"/>
          <w:szCs w:val="40"/>
        </w:rPr>
        <w:t>=</w:t>
      </w:r>
      <w:r>
        <w:rPr>
          <w:rFonts w:cs="Arial"/>
          <w:sz w:val="20"/>
          <w:szCs w:val="20"/>
        </w:rPr>
        <w:t xml:space="preserve">  </w:t>
      </w:r>
      <w:r w:rsidR="00F044AB">
        <w:rPr>
          <w:rFonts w:cs="Arial"/>
          <w:sz w:val="20"/>
          <w:szCs w:val="20"/>
        </w:rPr>
        <w:t xml:space="preserve">  </w:t>
      </w:r>
      <w:r w:rsidR="008808F1" w:rsidRPr="008808F1">
        <w:rPr>
          <w:rFonts w:cs="Arial"/>
          <w:sz w:val="56"/>
          <w:szCs w:val="56"/>
        </w:rPr>
        <w:t>[</w:t>
      </w:r>
      <w:r w:rsidRPr="0060457B">
        <w:rPr>
          <w:rFonts w:cs="Arial"/>
          <w:sz w:val="56"/>
          <w:szCs w:val="56"/>
        </w:rPr>
        <w:t>∑</w:t>
      </w:r>
      <w:r w:rsidR="00F044AB">
        <w:rPr>
          <w:rFonts w:cs="Arial"/>
          <w:sz w:val="56"/>
          <w:szCs w:val="56"/>
        </w:rPr>
        <w:tab/>
      </w:r>
      <w:r w:rsidR="00F044AB">
        <w:rPr>
          <w:rFonts w:cs="Arial"/>
          <w:sz w:val="56"/>
          <w:szCs w:val="56"/>
        </w:rPr>
        <w:tab/>
      </w:r>
      <w:r w:rsidR="00F044AB" w:rsidRPr="0060457B">
        <w:rPr>
          <w:rFonts w:cs="Arial"/>
          <w:sz w:val="56"/>
          <w:szCs w:val="56"/>
        </w:rPr>
        <w:t>∑</w:t>
      </w:r>
      <w:r w:rsidR="00F044AB">
        <w:rPr>
          <w:rFonts w:cs="Arial"/>
          <w:sz w:val="56"/>
          <w:szCs w:val="56"/>
        </w:rPr>
        <w:tab/>
      </w:r>
      <w:r w:rsidR="00F044AB" w:rsidRPr="00F044AB">
        <w:rPr>
          <w:rFonts w:ascii="Times New Roman" w:hAnsi="Times New Roman"/>
          <w:sz w:val="32"/>
          <w:szCs w:val="32"/>
        </w:rPr>
        <w:t>y</w:t>
      </w:r>
      <w:r w:rsidR="00F044AB" w:rsidRPr="00F044AB">
        <w:rPr>
          <w:rFonts w:ascii="Times New Roman" w:hAnsi="Times New Roman"/>
          <w:i/>
          <w:sz w:val="32"/>
          <w:szCs w:val="32"/>
          <w:vertAlign w:val="subscript"/>
        </w:rPr>
        <w:t>it</w:t>
      </w:r>
      <w:r w:rsidR="00F044AB">
        <w:rPr>
          <w:rFonts w:ascii="Times New Roman" w:hAnsi="Times New Roman"/>
          <w:i/>
          <w:sz w:val="32"/>
          <w:szCs w:val="32"/>
          <w:vertAlign w:val="subscript"/>
        </w:rPr>
        <w:t xml:space="preserve"> </w:t>
      </w:r>
      <w:r w:rsidR="00F044AB">
        <w:rPr>
          <w:rFonts w:ascii="Times New Roman" w:hAnsi="Times New Roman"/>
          <w:i/>
          <w:sz w:val="32"/>
          <w:szCs w:val="32"/>
          <w:vertAlign w:val="subscript"/>
        </w:rPr>
        <w:tab/>
      </w:r>
      <w:r w:rsidR="00F044AB">
        <w:rPr>
          <w:rFonts w:ascii="Times New Roman" w:hAnsi="Times New Roman"/>
          <w:sz w:val="56"/>
          <w:szCs w:val="56"/>
          <w:vertAlign w:val="subscript"/>
        </w:rPr>
        <w:t xml:space="preserve"> </w:t>
      </w:r>
      <w:r w:rsidR="00F044AB" w:rsidRPr="00A1098E">
        <w:rPr>
          <w:rFonts w:ascii="Times New Roman" w:hAnsi="Times New Roman"/>
          <w:b/>
          <w:sz w:val="56"/>
          <w:szCs w:val="56"/>
          <w:vertAlign w:val="subscript"/>
        </w:rPr>
        <w:t>-</w:t>
      </w:r>
      <w:r w:rsidR="00F044AB">
        <w:rPr>
          <w:rFonts w:ascii="Times New Roman" w:hAnsi="Times New Roman"/>
          <w:sz w:val="56"/>
          <w:szCs w:val="56"/>
          <w:vertAlign w:val="subscript"/>
        </w:rPr>
        <w:t xml:space="preserve">   </w:t>
      </w:r>
      <w:r w:rsidR="00F044AB">
        <w:rPr>
          <w:rFonts w:ascii="Times New Roman" w:hAnsi="Times New Roman"/>
          <w:sz w:val="56"/>
          <w:szCs w:val="56"/>
          <w:vertAlign w:val="subscript"/>
        </w:rPr>
        <w:tab/>
      </w:r>
      <w:r w:rsidR="00F044AB" w:rsidRPr="0060457B">
        <w:rPr>
          <w:rFonts w:cs="Arial"/>
          <w:sz w:val="56"/>
          <w:szCs w:val="56"/>
        </w:rPr>
        <w:t>∑</w:t>
      </w:r>
      <w:r w:rsidR="00F044AB">
        <w:rPr>
          <w:rFonts w:cs="Arial"/>
          <w:sz w:val="56"/>
          <w:szCs w:val="56"/>
        </w:rPr>
        <w:tab/>
      </w:r>
      <w:r w:rsidR="00F044AB">
        <w:rPr>
          <w:rFonts w:cs="Arial"/>
          <w:sz w:val="56"/>
          <w:szCs w:val="56"/>
        </w:rPr>
        <w:tab/>
        <w:t xml:space="preserve">  </w:t>
      </w:r>
      <w:r w:rsidR="00F044AB" w:rsidRPr="0060457B">
        <w:rPr>
          <w:rFonts w:cs="Arial"/>
          <w:sz w:val="56"/>
          <w:szCs w:val="56"/>
        </w:rPr>
        <w:t>∑</w:t>
      </w:r>
      <w:r w:rsidR="00F044AB">
        <w:rPr>
          <w:rFonts w:cs="Arial"/>
          <w:sz w:val="56"/>
          <w:szCs w:val="56"/>
        </w:rPr>
        <w:tab/>
      </w:r>
      <w:r w:rsidR="00204448">
        <w:rPr>
          <w:rFonts w:cs="Arial"/>
          <w:sz w:val="56"/>
          <w:szCs w:val="56"/>
        </w:rPr>
        <w:t xml:space="preserve">  </w:t>
      </w:r>
      <w:r w:rsidR="00F044AB" w:rsidRPr="00F044AB">
        <w:rPr>
          <w:rFonts w:ascii="Times New Roman" w:hAnsi="Times New Roman"/>
          <w:sz w:val="32"/>
          <w:szCs w:val="32"/>
        </w:rPr>
        <w:t>y</w:t>
      </w:r>
      <w:r w:rsidR="00F044AB" w:rsidRPr="00F044AB">
        <w:rPr>
          <w:rFonts w:ascii="Times New Roman" w:hAnsi="Times New Roman"/>
          <w:i/>
          <w:sz w:val="32"/>
          <w:szCs w:val="32"/>
          <w:vertAlign w:val="subscript"/>
        </w:rPr>
        <w:t>it</w:t>
      </w:r>
      <w:r w:rsidR="00F044AB">
        <w:rPr>
          <w:rFonts w:ascii="Times New Roman" w:hAnsi="Times New Roman"/>
          <w:i/>
          <w:sz w:val="32"/>
          <w:szCs w:val="32"/>
          <w:vertAlign w:val="subscript"/>
        </w:rPr>
        <w:t xml:space="preserve"> </w:t>
      </w:r>
      <w:r w:rsidR="00F044AB">
        <w:rPr>
          <w:rFonts w:ascii="Times New Roman" w:hAnsi="Times New Roman"/>
          <w:i/>
          <w:sz w:val="32"/>
          <w:szCs w:val="32"/>
          <w:vertAlign w:val="subscript"/>
        </w:rPr>
        <w:tab/>
      </w:r>
      <w:r w:rsidR="008808F1" w:rsidRPr="008808F1">
        <w:rPr>
          <w:rFonts w:cs="Arial"/>
          <w:sz w:val="52"/>
          <w:szCs w:val="52"/>
        </w:rPr>
        <w:t>]</w:t>
      </w:r>
      <w:r w:rsidR="00F044AB">
        <w:rPr>
          <w:rFonts w:ascii="Times New Roman" w:hAnsi="Times New Roman"/>
          <w:sz w:val="56"/>
          <w:szCs w:val="56"/>
          <w:vertAlign w:val="subscript"/>
        </w:rPr>
        <w:t xml:space="preserve">  </w:t>
      </w:r>
      <w:r w:rsidR="00503645" w:rsidRPr="0048376E">
        <w:rPr>
          <w:rFonts w:ascii="Times New Roman" w:hAnsi="Times New Roman"/>
          <w:b/>
          <w:sz w:val="56"/>
          <w:szCs w:val="56"/>
          <w:vertAlign w:val="subscript"/>
        </w:rPr>
        <w:t>-</w:t>
      </w:r>
    </w:p>
    <w:p w:rsidR="00F044AB" w:rsidRDefault="00204448" w:rsidP="00F044AB">
      <w:pPr>
        <w:rPr>
          <w:rFonts w:cs="Arial"/>
          <w:sz w:val="20"/>
          <w:szCs w:val="20"/>
        </w:rPr>
      </w:pPr>
      <w:r>
        <w:rPr>
          <w:rFonts w:cs="Arial"/>
          <w:sz w:val="20"/>
          <w:szCs w:val="20"/>
        </w:rPr>
        <w:t xml:space="preserve">      </w:t>
      </w:r>
      <w:r w:rsidR="00F044AB">
        <w:rPr>
          <w:rFonts w:ascii="Times New Roman" w:hAnsi="Times New Roman"/>
          <w:i/>
          <w:sz w:val="20"/>
          <w:szCs w:val="20"/>
        </w:rPr>
        <w:t xml:space="preserve">i  </w:t>
      </w:r>
      <w:r w:rsidR="00F044AB">
        <w:rPr>
          <w:rFonts w:cs="Arial"/>
          <w:sz w:val="20"/>
          <w:szCs w:val="20"/>
        </w:rPr>
        <w:t xml:space="preserve">≡ </w:t>
      </w:r>
      <w:r w:rsidR="00503645">
        <w:rPr>
          <w:rFonts w:cs="Arial"/>
          <w:sz w:val="16"/>
          <w:szCs w:val="16"/>
        </w:rPr>
        <w:t>treatment</w:t>
      </w:r>
      <w:r w:rsidR="00503645" w:rsidRPr="00F044AB">
        <w:rPr>
          <w:rFonts w:cs="Arial"/>
          <w:sz w:val="16"/>
          <w:szCs w:val="16"/>
        </w:rPr>
        <w:t xml:space="preserve"> group</w:t>
      </w:r>
      <w:r w:rsidR="00F044AB">
        <w:rPr>
          <w:rFonts w:cs="Arial"/>
          <w:sz w:val="16"/>
          <w:szCs w:val="16"/>
        </w:rPr>
        <w:t xml:space="preserve">    t ≡ </w:t>
      </w:r>
      <w:r w:rsidR="00503645">
        <w:rPr>
          <w:rFonts w:cs="Arial"/>
          <w:sz w:val="16"/>
          <w:szCs w:val="16"/>
        </w:rPr>
        <w:t>pre</w:t>
      </w:r>
      <w:r w:rsidR="00F044AB">
        <w:rPr>
          <w:rFonts w:cs="Arial"/>
          <w:sz w:val="16"/>
          <w:szCs w:val="16"/>
        </w:rPr>
        <w:t xml:space="preserve">program   </w:t>
      </w:r>
      <w:r w:rsidR="00F044AB">
        <w:rPr>
          <w:rFonts w:cs="Arial"/>
          <w:sz w:val="16"/>
          <w:szCs w:val="16"/>
        </w:rPr>
        <w:tab/>
      </w:r>
      <w:r>
        <w:rPr>
          <w:rFonts w:cs="Arial"/>
          <w:sz w:val="16"/>
          <w:szCs w:val="16"/>
        </w:rPr>
        <w:t xml:space="preserve">       </w:t>
      </w:r>
      <w:r w:rsidR="00F044AB">
        <w:rPr>
          <w:rFonts w:ascii="Times New Roman" w:hAnsi="Times New Roman"/>
          <w:i/>
          <w:sz w:val="20"/>
          <w:szCs w:val="20"/>
        </w:rPr>
        <w:t xml:space="preserve">i  </w:t>
      </w:r>
      <w:r w:rsidR="00F044AB">
        <w:rPr>
          <w:rFonts w:cs="Arial"/>
          <w:sz w:val="20"/>
          <w:szCs w:val="20"/>
        </w:rPr>
        <w:t xml:space="preserve">≡ </w:t>
      </w:r>
      <w:r w:rsidR="00F044AB">
        <w:rPr>
          <w:rFonts w:cs="Arial"/>
          <w:sz w:val="16"/>
          <w:szCs w:val="16"/>
        </w:rPr>
        <w:t>treatment</w:t>
      </w:r>
      <w:r w:rsidR="00F044AB" w:rsidRPr="00F044AB">
        <w:rPr>
          <w:rFonts w:cs="Arial"/>
          <w:sz w:val="16"/>
          <w:szCs w:val="16"/>
        </w:rPr>
        <w:t xml:space="preserve"> group</w:t>
      </w:r>
      <w:r w:rsidR="00F044AB">
        <w:rPr>
          <w:rFonts w:cs="Arial"/>
          <w:sz w:val="16"/>
          <w:szCs w:val="16"/>
        </w:rPr>
        <w:t xml:space="preserve">    t ≡ post</w:t>
      </w:r>
      <w:r w:rsidR="00B06452">
        <w:rPr>
          <w:rFonts w:cs="Arial"/>
          <w:sz w:val="16"/>
          <w:szCs w:val="16"/>
        </w:rPr>
        <w:t xml:space="preserve"> </w:t>
      </w:r>
      <w:r w:rsidR="00F044AB">
        <w:rPr>
          <w:rFonts w:cs="Arial"/>
          <w:sz w:val="16"/>
          <w:szCs w:val="16"/>
        </w:rPr>
        <w:t xml:space="preserve">program </w:t>
      </w:r>
    </w:p>
    <w:p w:rsidR="00503645" w:rsidRPr="00F044AB" w:rsidRDefault="0048376E" w:rsidP="00503645">
      <w:pPr>
        <w:rPr>
          <w:rFonts w:cs="Arial"/>
          <w:sz w:val="56"/>
          <w:szCs w:val="56"/>
          <w:vertAlign w:val="subscript"/>
        </w:rPr>
      </w:pPr>
      <w:r>
        <w:rPr>
          <w:rFonts w:cs="Arial"/>
          <w:sz w:val="56"/>
          <w:szCs w:val="56"/>
        </w:rPr>
        <w:t xml:space="preserve">      </w:t>
      </w:r>
      <w:r w:rsidR="00503645" w:rsidRPr="008808F1">
        <w:rPr>
          <w:rFonts w:cs="Arial"/>
          <w:sz w:val="56"/>
          <w:szCs w:val="56"/>
        </w:rPr>
        <w:t>[</w:t>
      </w:r>
      <w:r w:rsidR="00503645" w:rsidRPr="0060457B">
        <w:rPr>
          <w:rFonts w:cs="Arial"/>
          <w:sz w:val="56"/>
          <w:szCs w:val="56"/>
        </w:rPr>
        <w:t>∑</w:t>
      </w:r>
      <w:r w:rsidR="00503645">
        <w:rPr>
          <w:rFonts w:cs="Arial"/>
          <w:sz w:val="56"/>
          <w:szCs w:val="56"/>
        </w:rPr>
        <w:tab/>
      </w:r>
      <w:r w:rsidR="00503645">
        <w:rPr>
          <w:rFonts w:cs="Arial"/>
          <w:sz w:val="56"/>
          <w:szCs w:val="56"/>
        </w:rPr>
        <w:tab/>
      </w:r>
      <w:r w:rsidR="00503645" w:rsidRPr="0060457B">
        <w:rPr>
          <w:rFonts w:cs="Arial"/>
          <w:sz w:val="56"/>
          <w:szCs w:val="56"/>
        </w:rPr>
        <w:t>∑</w:t>
      </w:r>
      <w:r w:rsidR="00503645">
        <w:rPr>
          <w:rFonts w:cs="Arial"/>
          <w:sz w:val="56"/>
          <w:szCs w:val="56"/>
        </w:rPr>
        <w:tab/>
      </w:r>
      <w:r w:rsidR="00503645" w:rsidRPr="00F044AB">
        <w:rPr>
          <w:rFonts w:ascii="Times New Roman" w:hAnsi="Times New Roman"/>
          <w:sz w:val="32"/>
          <w:szCs w:val="32"/>
        </w:rPr>
        <w:t>y</w:t>
      </w:r>
      <w:r w:rsidR="00503645" w:rsidRPr="00F044AB">
        <w:rPr>
          <w:rFonts w:ascii="Times New Roman" w:hAnsi="Times New Roman"/>
          <w:i/>
          <w:sz w:val="32"/>
          <w:szCs w:val="32"/>
          <w:vertAlign w:val="subscript"/>
        </w:rPr>
        <w:t>it</w:t>
      </w:r>
      <w:r w:rsidR="00503645">
        <w:rPr>
          <w:rFonts w:ascii="Times New Roman" w:hAnsi="Times New Roman"/>
          <w:i/>
          <w:sz w:val="32"/>
          <w:szCs w:val="32"/>
          <w:vertAlign w:val="subscript"/>
        </w:rPr>
        <w:t xml:space="preserve"> </w:t>
      </w:r>
      <w:r w:rsidR="00503645">
        <w:rPr>
          <w:rFonts w:ascii="Times New Roman" w:hAnsi="Times New Roman"/>
          <w:i/>
          <w:sz w:val="32"/>
          <w:szCs w:val="32"/>
          <w:vertAlign w:val="subscript"/>
        </w:rPr>
        <w:tab/>
      </w:r>
      <w:r w:rsidR="00503645">
        <w:rPr>
          <w:rFonts w:ascii="Times New Roman" w:hAnsi="Times New Roman"/>
          <w:sz w:val="56"/>
          <w:szCs w:val="56"/>
          <w:vertAlign w:val="subscript"/>
        </w:rPr>
        <w:t xml:space="preserve"> </w:t>
      </w:r>
      <w:r w:rsidR="00503645" w:rsidRPr="00A1098E">
        <w:rPr>
          <w:rFonts w:ascii="Times New Roman" w:hAnsi="Times New Roman"/>
          <w:b/>
          <w:sz w:val="56"/>
          <w:szCs w:val="56"/>
          <w:vertAlign w:val="subscript"/>
        </w:rPr>
        <w:t>-</w:t>
      </w:r>
      <w:r w:rsidR="00503645">
        <w:rPr>
          <w:rFonts w:ascii="Times New Roman" w:hAnsi="Times New Roman"/>
          <w:sz w:val="56"/>
          <w:szCs w:val="56"/>
          <w:vertAlign w:val="subscript"/>
        </w:rPr>
        <w:t xml:space="preserve">   </w:t>
      </w:r>
      <w:r w:rsidR="00503645">
        <w:rPr>
          <w:rFonts w:ascii="Times New Roman" w:hAnsi="Times New Roman"/>
          <w:sz w:val="56"/>
          <w:szCs w:val="56"/>
          <w:vertAlign w:val="subscript"/>
        </w:rPr>
        <w:tab/>
      </w:r>
      <w:r w:rsidR="00503645" w:rsidRPr="0060457B">
        <w:rPr>
          <w:rFonts w:cs="Arial"/>
          <w:sz w:val="56"/>
          <w:szCs w:val="56"/>
        </w:rPr>
        <w:t>∑</w:t>
      </w:r>
      <w:r w:rsidR="00503645">
        <w:rPr>
          <w:rFonts w:cs="Arial"/>
          <w:sz w:val="56"/>
          <w:szCs w:val="56"/>
        </w:rPr>
        <w:tab/>
      </w:r>
      <w:r w:rsidR="00503645">
        <w:rPr>
          <w:rFonts w:cs="Arial"/>
          <w:sz w:val="56"/>
          <w:szCs w:val="56"/>
        </w:rPr>
        <w:tab/>
        <w:t xml:space="preserve">  </w:t>
      </w:r>
      <w:r w:rsidR="00503645" w:rsidRPr="0060457B">
        <w:rPr>
          <w:rFonts w:cs="Arial"/>
          <w:sz w:val="56"/>
          <w:szCs w:val="56"/>
        </w:rPr>
        <w:t>∑</w:t>
      </w:r>
      <w:r w:rsidR="00503645">
        <w:rPr>
          <w:rFonts w:cs="Arial"/>
          <w:sz w:val="56"/>
          <w:szCs w:val="56"/>
        </w:rPr>
        <w:tab/>
        <w:t xml:space="preserve">  </w:t>
      </w:r>
      <w:r w:rsidR="00503645" w:rsidRPr="00F044AB">
        <w:rPr>
          <w:rFonts w:ascii="Times New Roman" w:hAnsi="Times New Roman"/>
          <w:sz w:val="32"/>
          <w:szCs w:val="32"/>
        </w:rPr>
        <w:t>y</w:t>
      </w:r>
      <w:r w:rsidR="00503645" w:rsidRPr="00F044AB">
        <w:rPr>
          <w:rFonts w:ascii="Times New Roman" w:hAnsi="Times New Roman"/>
          <w:i/>
          <w:sz w:val="32"/>
          <w:szCs w:val="32"/>
          <w:vertAlign w:val="subscript"/>
        </w:rPr>
        <w:t>it</w:t>
      </w:r>
      <w:r w:rsidR="00503645">
        <w:rPr>
          <w:rFonts w:ascii="Times New Roman" w:hAnsi="Times New Roman"/>
          <w:i/>
          <w:sz w:val="32"/>
          <w:szCs w:val="32"/>
          <w:vertAlign w:val="subscript"/>
        </w:rPr>
        <w:t xml:space="preserve"> </w:t>
      </w:r>
      <w:r w:rsidR="00503645">
        <w:rPr>
          <w:rFonts w:ascii="Times New Roman" w:hAnsi="Times New Roman"/>
          <w:i/>
          <w:sz w:val="32"/>
          <w:szCs w:val="32"/>
          <w:vertAlign w:val="subscript"/>
        </w:rPr>
        <w:tab/>
      </w:r>
      <w:r w:rsidR="00503645" w:rsidRPr="008808F1">
        <w:rPr>
          <w:rFonts w:cs="Arial"/>
          <w:sz w:val="52"/>
          <w:szCs w:val="52"/>
        </w:rPr>
        <w:t>]</w:t>
      </w:r>
    </w:p>
    <w:p w:rsidR="00503645" w:rsidRDefault="00503645" w:rsidP="00503645">
      <w:pPr>
        <w:rPr>
          <w:rFonts w:cs="Arial"/>
          <w:sz w:val="20"/>
          <w:szCs w:val="20"/>
        </w:rPr>
      </w:pPr>
      <w:r>
        <w:rPr>
          <w:rFonts w:cs="Arial"/>
          <w:sz w:val="20"/>
          <w:szCs w:val="20"/>
        </w:rPr>
        <w:t xml:space="preserve">      </w:t>
      </w:r>
      <w:r>
        <w:rPr>
          <w:rFonts w:ascii="Times New Roman" w:hAnsi="Times New Roman"/>
          <w:i/>
          <w:sz w:val="20"/>
          <w:szCs w:val="20"/>
        </w:rPr>
        <w:t xml:space="preserve">i  </w:t>
      </w:r>
      <w:r>
        <w:rPr>
          <w:rFonts w:cs="Arial"/>
          <w:sz w:val="20"/>
          <w:szCs w:val="20"/>
        </w:rPr>
        <w:t xml:space="preserve">≡ </w:t>
      </w:r>
      <w:r w:rsidRPr="00F044AB">
        <w:rPr>
          <w:rFonts w:cs="Arial"/>
          <w:sz w:val="16"/>
          <w:szCs w:val="16"/>
        </w:rPr>
        <w:t>control group</w:t>
      </w:r>
      <w:r>
        <w:rPr>
          <w:rFonts w:cs="Arial"/>
          <w:sz w:val="16"/>
          <w:szCs w:val="16"/>
        </w:rPr>
        <w:t xml:space="preserve">    t ≡ preprogram   </w:t>
      </w:r>
      <w:r>
        <w:rPr>
          <w:rFonts w:cs="Arial"/>
          <w:sz w:val="16"/>
          <w:szCs w:val="16"/>
        </w:rPr>
        <w:tab/>
        <w:t xml:space="preserve">       </w:t>
      </w:r>
      <w:r>
        <w:rPr>
          <w:rFonts w:ascii="Times New Roman" w:hAnsi="Times New Roman"/>
          <w:i/>
          <w:sz w:val="20"/>
          <w:szCs w:val="20"/>
        </w:rPr>
        <w:t xml:space="preserve">i  </w:t>
      </w:r>
      <w:r>
        <w:rPr>
          <w:rFonts w:cs="Arial"/>
          <w:sz w:val="20"/>
          <w:szCs w:val="20"/>
        </w:rPr>
        <w:t xml:space="preserve">≡ </w:t>
      </w:r>
      <w:r w:rsidRPr="00F044AB">
        <w:rPr>
          <w:rFonts w:cs="Arial"/>
          <w:sz w:val="16"/>
          <w:szCs w:val="16"/>
        </w:rPr>
        <w:t>control group</w:t>
      </w:r>
      <w:r>
        <w:rPr>
          <w:rFonts w:cs="Arial"/>
          <w:sz w:val="16"/>
          <w:szCs w:val="16"/>
        </w:rPr>
        <w:t xml:space="preserve">    t ≡ post</w:t>
      </w:r>
      <w:r w:rsidR="00B06452">
        <w:rPr>
          <w:rFonts w:cs="Arial"/>
          <w:sz w:val="16"/>
          <w:szCs w:val="16"/>
        </w:rPr>
        <w:t xml:space="preserve"> </w:t>
      </w:r>
      <w:r>
        <w:rPr>
          <w:rFonts w:cs="Arial"/>
          <w:sz w:val="16"/>
          <w:szCs w:val="16"/>
        </w:rPr>
        <w:t xml:space="preserve">program </w:t>
      </w:r>
    </w:p>
    <w:p w:rsidR="00F044AB" w:rsidRDefault="00F044AB" w:rsidP="00F044AB">
      <w:pPr>
        <w:rPr>
          <w:rFonts w:cs="Arial"/>
          <w:sz w:val="20"/>
          <w:szCs w:val="20"/>
        </w:rPr>
      </w:pPr>
    </w:p>
    <w:p w:rsidR="00F044AB" w:rsidRDefault="00F044AB" w:rsidP="00F044AB">
      <w:pPr>
        <w:rPr>
          <w:rFonts w:cs="Arial"/>
          <w:sz w:val="20"/>
          <w:szCs w:val="20"/>
        </w:rPr>
      </w:pPr>
      <w:r>
        <w:rPr>
          <w:rFonts w:cs="Arial"/>
          <w:sz w:val="20"/>
          <w:szCs w:val="20"/>
        </w:rPr>
        <w:t>where</w:t>
      </w:r>
      <w:r w:rsidR="002D758F">
        <w:rPr>
          <w:rStyle w:val="EndnoteReference"/>
          <w:rFonts w:cs="Arial"/>
          <w:sz w:val="20"/>
          <w:szCs w:val="20"/>
        </w:rPr>
        <w:endnoteReference w:id="14"/>
      </w:r>
      <w:r>
        <w:rPr>
          <w:rFonts w:cs="Arial"/>
          <w:sz w:val="20"/>
          <w:szCs w:val="20"/>
        </w:rPr>
        <w:t xml:space="preserve"> </w:t>
      </w:r>
      <w:r w:rsidR="00C61EDD">
        <w:rPr>
          <w:rFonts w:cs="Arial"/>
          <w:sz w:val="20"/>
          <w:szCs w:val="20"/>
        </w:rPr>
        <w:t xml:space="preserve">  </w:t>
      </w:r>
    </w:p>
    <w:p w:rsidR="00F044AB" w:rsidRDefault="00F044AB" w:rsidP="00F044AB">
      <w:pPr>
        <w:rPr>
          <w:rFonts w:cs="Arial"/>
          <w:sz w:val="20"/>
          <w:szCs w:val="20"/>
        </w:rPr>
      </w:pPr>
    </w:p>
    <w:p w:rsidR="00204448" w:rsidRDefault="00F044AB" w:rsidP="00F044AB">
      <w:pPr>
        <w:rPr>
          <w:rFonts w:cs="Arial"/>
          <w:sz w:val="20"/>
          <w:szCs w:val="20"/>
        </w:rPr>
      </w:pPr>
      <w:r w:rsidRPr="00F044AB">
        <w:rPr>
          <w:rFonts w:ascii="Times New Roman" w:hAnsi="Times New Roman"/>
          <w:sz w:val="32"/>
          <w:szCs w:val="32"/>
        </w:rPr>
        <w:t>y</w:t>
      </w:r>
      <w:r w:rsidRPr="00F044AB">
        <w:rPr>
          <w:rFonts w:ascii="Times New Roman" w:hAnsi="Times New Roman"/>
          <w:i/>
          <w:sz w:val="32"/>
          <w:szCs w:val="32"/>
          <w:vertAlign w:val="subscript"/>
        </w:rPr>
        <w:t>it</w:t>
      </w:r>
      <w:r>
        <w:rPr>
          <w:rFonts w:ascii="Times New Roman" w:hAnsi="Times New Roman"/>
          <w:i/>
          <w:sz w:val="32"/>
          <w:szCs w:val="32"/>
          <w:vertAlign w:val="subscript"/>
        </w:rPr>
        <w:t xml:space="preserve">  </w:t>
      </w:r>
      <w:r>
        <w:rPr>
          <w:rFonts w:ascii="Times New Roman" w:hAnsi="Times New Roman"/>
          <w:sz w:val="32"/>
          <w:szCs w:val="32"/>
        </w:rPr>
        <w:t xml:space="preserve">= </w:t>
      </w:r>
      <w:r w:rsidR="00C61EDD">
        <w:rPr>
          <w:rFonts w:ascii="Times New Roman" w:hAnsi="Times New Roman"/>
          <w:sz w:val="32"/>
          <w:szCs w:val="32"/>
        </w:rPr>
        <w:t>µ</w:t>
      </w:r>
      <w:r w:rsidR="00796424" w:rsidRPr="00796424">
        <w:rPr>
          <w:rFonts w:ascii="Times New Roman" w:hAnsi="Times New Roman"/>
          <w:i/>
          <w:sz w:val="32"/>
          <w:szCs w:val="32"/>
          <w:vertAlign w:val="subscript"/>
        </w:rPr>
        <w:t>i</w:t>
      </w:r>
      <w:r>
        <w:rPr>
          <w:rFonts w:ascii="Times New Roman" w:hAnsi="Times New Roman"/>
          <w:sz w:val="32"/>
          <w:szCs w:val="32"/>
        </w:rPr>
        <w:t xml:space="preserve"> </w:t>
      </w:r>
      <w:r w:rsidR="00C638FA">
        <w:rPr>
          <w:rFonts w:ascii="Times New Roman" w:hAnsi="Times New Roman"/>
          <w:sz w:val="32"/>
          <w:szCs w:val="32"/>
        </w:rPr>
        <w:t xml:space="preserve">+ </w:t>
      </w:r>
      <w:r>
        <w:rPr>
          <w:rFonts w:ascii="Times New Roman" w:hAnsi="Times New Roman"/>
          <w:sz w:val="32"/>
          <w:szCs w:val="32"/>
        </w:rPr>
        <w:t>β</w:t>
      </w:r>
      <w:r w:rsidRPr="00F044AB">
        <w:rPr>
          <w:rFonts w:ascii="Times New Roman" w:hAnsi="Times New Roman"/>
          <w:sz w:val="32"/>
          <w:szCs w:val="32"/>
        </w:rPr>
        <w:t>treat</w:t>
      </w:r>
      <w:r w:rsidRPr="00F044AB">
        <w:rPr>
          <w:rFonts w:ascii="Times New Roman" w:hAnsi="Times New Roman"/>
          <w:i/>
          <w:sz w:val="32"/>
          <w:szCs w:val="32"/>
          <w:vertAlign w:val="subscript"/>
        </w:rPr>
        <w:t>i</w:t>
      </w:r>
      <w:r>
        <w:rPr>
          <w:rFonts w:ascii="Times New Roman" w:hAnsi="Times New Roman"/>
          <w:sz w:val="32"/>
          <w:szCs w:val="32"/>
        </w:rPr>
        <w:t xml:space="preserve"> </w:t>
      </w:r>
      <w:r w:rsidR="00C638FA">
        <w:rPr>
          <w:rFonts w:ascii="Times New Roman" w:hAnsi="Times New Roman"/>
          <w:sz w:val="32"/>
          <w:szCs w:val="32"/>
        </w:rPr>
        <w:t>+</w:t>
      </w:r>
      <w:r w:rsidR="00796424" w:rsidRPr="007F46DE">
        <w:rPr>
          <w:rFonts w:ascii="Times New Roman" w:hAnsi="Times New Roman"/>
          <w:sz w:val="96"/>
          <w:szCs w:val="96"/>
          <w:vertAlign w:val="subscript"/>
        </w:rPr>
        <w:t>ᵟ</w:t>
      </w:r>
      <w:r w:rsidR="00796424">
        <w:rPr>
          <w:rFonts w:ascii="Times New Roman" w:hAnsi="Times New Roman"/>
          <w:sz w:val="32"/>
          <w:szCs w:val="32"/>
        </w:rPr>
        <w:t xml:space="preserve">Month of </w:t>
      </w:r>
      <w:r w:rsidR="00A823E7">
        <w:rPr>
          <w:rFonts w:ascii="Times New Roman" w:hAnsi="Times New Roman"/>
          <w:sz w:val="32"/>
          <w:szCs w:val="32"/>
        </w:rPr>
        <w:t>Sample</w:t>
      </w:r>
      <w:r w:rsidR="00A823E7" w:rsidRPr="00A823E7">
        <w:rPr>
          <w:rFonts w:ascii="Times New Roman" w:hAnsi="Times New Roman"/>
          <w:i/>
          <w:sz w:val="32"/>
          <w:szCs w:val="32"/>
          <w:vertAlign w:val="subscript"/>
        </w:rPr>
        <w:t>i</w:t>
      </w:r>
      <w:r w:rsidR="00C638FA">
        <w:rPr>
          <w:rFonts w:ascii="Times New Roman" w:hAnsi="Times New Roman"/>
          <w:sz w:val="32"/>
          <w:szCs w:val="32"/>
        </w:rPr>
        <w:t xml:space="preserve"> +</w:t>
      </w:r>
      <w:r>
        <w:rPr>
          <w:rFonts w:ascii="Times New Roman" w:hAnsi="Times New Roman"/>
          <w:sz w:val="32"/>
          <w:szCs w:val="32"/>
        </w:rPr>
        <w:t>ε</w:t>
      </w:r>
      <w:r w:rsidRPr="00F044AB">
        <w:rPr>
          <w:rFonts w:ascii="Times New Roman" w:hAnsi="Times New Roman"/>
          <w:i/>
          <w:sz w:val="32"/>
          <w:szCs w:val="32"/>
          <w:vertAlign w:val="subscript"/>
        </w:rPr>
        <w:t>it</w:t>
      </w:r>
      <w:r w:rsidR="00204448">
        <w:rPr>
          <w:rFonts w:ascii="Times New Roman" w:hAnsi="Times New Roman"/>
          <w:i/>
          <w:sz w:val="32"/>
          <w:szCs w:val="32"/>
          <w:vertAlign w:val="subscript"/>
        </w:rPr>
        <w:t xml:space="preserve">  </w:t>
      </w:r>
      <w:r w:rsidR="00204448" w:rsidRPr="00204448">
        <w:rPr>
          <w:rFonts w:cs="Arial"/>
          <w:sz w:val="20"/>
          <w:szCs w:val="20"/>
        </w:rPr>
        <w:t>where</w:t>
      </w:r>
      <w:r w:rsidR="00204448">
        <w:rPr>
          <w:rFonts w:cs="Arial"/>
          <w:sz w:val="20"/>
          <w:szCs w:val="20"/>
        </w:rPr>
        <w:t xml:space="preserve">; </w:t>
      </w:r>
    </w:p>
    <w:p w:rsidR="00204448" w:rsidRDefault="00A823E7" w:rsidP="00F044AB">
      <w:pPr>
        <w:rPr>
          <w:rFonts w:cs="Arial"/>
          <w:sz w:val="20"/>
          <w:szCs w:val="20"/>
        </w:rPr>
      </w:pPr>
      <w:r>
        <w:rPr>
          <w:rFonts w:cs="Arial"/>
          <w:sz w:val="20"/>
          <w:szCs w:val="20"/>
        </w:rPr>
        <w:t xml:space="preserve"> </w:t>
      </w:r>
      <w:r>
        <w:rPr>
          <w:rFonts w:ascii="Times New Roman" w:hAnsi="Times New Roman"/>
          <w:sz w:val="32"/>
          <w:szCs w:val="32"/>
        </w:rPr>
        <w:t>µ</w:t>
      </w:r>
      <w:r w:rsidRPr="00796424">
        <w:rPr>
          <w:rFonts w:ascii="Times New Roman" w:hAnsi="Times New Roman"/>
          <w:i/>
          <w:sz w:val="32"/>
          <w:szCs w:val="32"/>
          <w:vertAlign w:val="subscript"/>
        </w:rPr>
        <w:t>i</w:t>
      </w:r>
      <w:r>
        <w:rPr>
          <w:rFonts w:ascii="Times New Roman" w:hAnsi="Times New Roman"/>
          <w:i/>
          <w:sz w:val="32"/>
          <w:szCs w:val="32"/>
          <w:vertAlign w:val="subscript"/>
        </w:rPr>
        <w:t xml:space="preserve"> </w:t>
      </w:r>
      <w:r w:rsidRPr="00A823E7">
        <w:rPr>
          <w:rFonts w:cs="Arial"/>
          <w:sz w:val="20"/>
          <w:szCs w:val="20"/>
        </w:rPr>
        <w:t>=</w:t>
      </w:r>
      <w:r>
        <w:rPr>
          <w:rFonts w:cs="Arial"/>
          <w:sz w:val="20"/>
          <w:szCs w:val="20"/>
        </w:rPr>
        <w:t xml:space="preserve"> Household fixed effects</w:t>
      </w:r>
    </w:p>
    <w:p w:rsidR="00204448" w:rsidRDefault="00204448" w:rsidP="00F044AB">
      <w:pPr>
        <w:rPr>
          <w:rFonts w:cs="Arial"/>
          <w:sz w:val="20"/>
          <w:szCs w:val="20"/>
        </w:rPr>
      </w:pPr>
      <w:r w:rsidRPr="00204448">
        <w:rPr>
          <w:rFonts w:ascii="Times New Roman" w:hAnsi="Times New Roman"/>
          <w:sz w:val="32"/>
          <w:szCs w:val="32"/>
        </w:rPr>
        <w:t xml:space="preserve"> βtreat</w:t>
      </w:r>
      <w:r w:rsidRPr="00204448">
        <w:rPr>
          <w:rFonts w:ascii="Times New Roman" w:hAnsi="Times New Roman"/>
          <w:i/>
          <w:sz w:val="32"/>
          <w:szCs w:val="32"/>
          <w:vertAlign w:val="subscript"/>
        </w:rPr>
        <w:t>i</w:t>
      </w:r>
      <w:r w:rsidRPr="00204448">
        <w:rPr>
          <w:rFonts w:ascii="Times New Roman" w:hAnsi="Times New Roman"/>
          <w:sz w:val="32"/>
          <w:szCs w:val="32"/>
        </w:rPr>
        <w:t xml:space="preserve"> </w:t>
      </w:r>
      <w:r>
        <w:rPr>
          <w:rFonts w:cs="Arial"/>
          <w:sz w:val="20"/>
          <w:szCs w:val="20"/>
        </w:rPr>
        <w:t xml:space="preserve"> = indicating whether house</w:t>
      </w:r>
      <w:r w:rsidRPr="00204448">
        <w:rPr>
          <w:rFonts w:cs="Arial"/>
          <w:sz w:val="20"/>
          <w:szCs w:val="20"/>
        </w:rPr>
        <w:t>hold is in the treatment or control groups</w:t>
      </w:r>
      <w:r>
        <w:rPr>
          <w:rFonts w:cs="Arial"/>
          <w:sz w:val="20"/>
          <w:szCs w:val="20"/>
        </w:rPr>
        <w:t xml:space="preserve"> </w:t>
      </w:r>
    </w:p>
    <w:p w:rsidR="00204448" w:rsidRPr="00204448" w:rsidRDefault="00204448" w:rsidP="00F044AB">
      <w:pPr>
        <w:rPr>
          <w:rFonts w:cs="Arial"/>
          <w:sz w:val="20"/>
          <w:szCs w:val="20"/>
        </w:rPr>
      </w:pPr>
      <w:r w:rsidRPr="00204448">
        <w:rPr>
          <w:rFonts w:ascii="Times New Roman" w:hAnsi="Times New Roman"/>
          <w:sz w:val="32"/>
          <w:szCs w:val="32"/>
        </w:rPr>
        <w:t xml:space="preserve"> β </w:t>
      </w:r>
      <w:r>
        <w:rPr>
          <w:rFonts w:cs="Arial"/>
          <w:sz w:val="20"/>
          <w:szCs w:val="20"/>
        </w:rPr>
        <w:t xml:space="preserve">= estimated household savings impact, </w:t>
      </w:r>
    </w:p>
    <w:p w:rsidR="00A823E7" w:rsidRPr="00A823E7" w:rsidRDefault="00204448" w:rsidP="00F044AB">
      <w:pPr>
        <w:rPr>
          <w:rFonts w:cs="Arial"/>
          <w:sz w:val="20"/>
          <w:szCs w:val="20"/>
        </w:rPr>
      </w:pPr>
      <w:r>
        <w:rPr>
          <w:rFonts w:ascii="Times New Roman" w:hAnsi="Times New Roman"/>
          <w:sz w:val="32"/>
          <w:szCs w:val="32"/>
        </w:rPr>
        <w:t xml:space="preserve"> </w:t>
      </w:r>
      <w:r w:rsidR="00A823E7" w:rsidRPr="00796424">
        <w:rPr>
          <w:rFonts w:ascii="Times New Roman" w:hAnsi="Times New Roman"/>
          <w:sz w:val="96"/>
          <w:szCs w:val="96"/>
          <w:vertAlign w:val="subscript"/>
        </w:rPr>
        <w:t>ᵟ</w:t>
      </w:r>
      <w:r w:rsidR="00A823E7">
        <w:rPr>
          <w:rFonts w:ascii="Times New Roman" w:hAnsi="Times New Roman"/>
          <w:sz w:val="32"/>
          <w:szCs w:val="32"/>
        </w:rPr>
        <w:t>Month of Sample</w:t>
      </w:r>
      <w:r w:rsidR="00A823E7" w:rsidRPr="00A823E7">
        <w:rPr>
          <w:rFonts w:ascii="Times New Roman" w:hAnsi="Times New Roman"/>
          <w:i/>
          <w:sz w:val="32"/>
          <w:szCs w:val="32"/>
          <w:vertAlign w:val="subscript"/>
        </w:rPr>
        <w:t>i</w:t>
      </w:r>
      <w:r w:rsidR="00A823E7">
        <w:rPr>
          <w:rFonts w:ascii="Times New Roman" w:hAnsi="Times New Roman"/>
          <w:i/>
          <w:sz w:val="32"/>
          <w:szCs w:val="32"/>
          <w:vertAlign w:val="subscript"/>
        </w:rPr>
        <w:t xml:space="preserve"> </w:t>
      </w:r>
      <w:r w:rsidR="00A823E7">
        <w:rPr>
          <w:rFonts w:cs="Arial"/>
          <w:sz w:val="20"/>
          <w:szCs w:val="20"/>
        </w:rPr>
        <w:t>=a time variable indicating the month of the data sample from 1 to the last month the sample (e.g.,1 to 36 )</w:t>
      </w:r>
    </w:p>
    <w:p w:rsidR="00F044AB" w:rsidRDefault="00B06452" w:rsidP="00F044AB">
      <w:pPr>
        <w:rPr>
          <w:rFonts w:cs="Arial"/>
          <w:sz w:val="20"/>
          <w:szCs w:val="20"/>
        </w:rPr>
      </w:pPr>
      <w:r>
        <w:rPr>
          <w:rFonts w:ascii="Times New Roman" w:hAnsi="Times New Roman"/>
          <w:sz w:val="32"/>
          <w:szCs w:val="32"/>
        </w:rPr>
        <w:t>ε</w:t>
      </w:r>
      <w:r w:rsidRPr="00F044AB">
        <w:rPr>
          <w:rFonts w:ascii="Times New Roman" w:hAnsi="Times New Roman"/>
          <w:i/>
          <w:sz w:val="32"/>
          <w:szCs w:val="32"/>
          <w:vertAlign w:val="subscript"/>
        </w:rPr>
        <w:t>it</w:t>
      </w:r>
      <w:r>
        <w:rPr>
          <w:rFonts w:ascii="Times New Roman" w:hAnsi="Times New Roman"/>
          <w:i/>
          <w:sz w:val="32"/>
          <w:szCs w:val="32"/>
          <w:vertAlign w:val="subscript"/>
        </w:rPr>
        <w:t xml:space="preserve"> =</w:t>
      </w:r>
      <w:r w:rsidR="00204448" w:rsidRPr="00204448">
        <w:rPr>
          <w:rFonts w:cs="Arial"/>
          <w:sz w:val="20"/>
          <w:szCs w:val="20"/>
        </w:rPr>
        <w:t xml:space="preserve"> error</w:t>
      </w:r>
    </w:p>
    <w:p w:rsidR="002D758F" w:rsidRDefault="002D758F" w:rsidP="00F044AB">
      <w:pPr>
        <w:rPr>
          <w:rFonts w:cs="Arial"/>
          <w:sz w:val="20"/>
          <w:szCs w:val="20"/>
        </w:rPr>
      </w:pPr>
    </w:p>
    <w:p w:rsidR="002D758F" w:rsidRDefault="002D758F" w:rsidP="00F044AB">
      <w:pPr>
        <w:rPr>
          <w:rFonts w:cs="Arial"/>
          <w:sz w:val="20"/>
          <w:szCs w:val="20"/>
        </w:rPr>
      </w:pPr>
      <w:r w:rsidRPr="002D758F">
        <w:rPr>
          <w:rFonts w:ascii="Times New Roman" w:hAnsi="Times New Roman"/>
          <w:i/>
          <w:sz w:val="20"/>
          <w:szCs w:val="20"/>
        </w:rPr>
        <w:t xml:space="preserve">i </w:t>
      </w:r>
      <w:r>
        <w:rPr>
          <w:rFonts w:cs="Arial"/>
          <w:sz w:val="20"/>
          <w:szCs w:val="20"/>
        </w:rPr>
        <w:t>= household in a designated group</w:t>
      </w:r>
    </w:p>
    <w:p w:rsidR="002D758F" w:rsidRPr="00204448" w:rsidRDefault="002D758F" w:rsidP="00F044AB">
      <w:pPr>
        <w:rPr>
          <w:rFonts w:cs="Arial"/>
          <w:sz w:val="20"/>
          <w:szCs w:val="20"/>
        </w:rPr>
      </w:pPr>
      <w:r w:rsidRPr="002D758F">
        <w:rPr>
          <w:rFonts w:ascii="Times New Roman" w:hAnsi="Times New Roman"/>
          <w:i/>
          <w:sz w:val="20"/>
          <w:szCs w:val="20"/>
        </w:rPr>
        <w:t xml:space="preserve">t </w:t>
      </w:r>
      <w:r>
        <w:rPr>
          <w:rFonts w:cs="Arial"/>
          <w:sz w:val="20"/>
          <w:szCs w:val="20"/>
        </w:rPr>
        <w:t>= time in the test, indicated here as the “end” of the test period.</w:t>
      </w:r>
    </w:p>
    <w:p w:rsidR="0060457B" w:rsidRDefault="0060457B" w:rsidP="0060457B">
      <w:pPr>
        <w:rPr>
          <w:rFonts w:cs="Arial"/>
          <w:sz w:val="20"/>
          <w:szCs w:val="20"/>
          <w:vertAlign w:val="subscript"/>
        </w:rPr>
      </w:pPr>
    </w:p>
    <w:p w:rsidR="002D758F" w:rsidRDefault="002D758F" w:rsidP="0060457B">
      <w:pPr>
        <w:rPr>
          <w:rFonts w:cs="Arial"/>
          <w:sz w:val="20"/>
          <w:szCs w:val="20"/>
        </w:rPr>
      </w:pPr>
      <w:r>
        <w:rPr>
          <w:rFonts w:cs="Arial"/>
          <w:sz w:val="20"/>
          <w:szCs w:val="20"/>
        </w:rPr>
        <w:t>S</w:t>
      </w:r>
      <w:r w:rsidRPr="002D758F">
        <w:rPr>
          <w:rFonts w:cs="Arial"/>
          <w:sz w:val="20"/>
          <w:szCs w:val="20"/>
        </w:rPr>
        <w:t>ince our intent for the purpo</w:t>
      </w:r>
      <w:r>
        <w:rPr>
          <w:rFonts w:cs="Arial"/>
          <w:sz w:val="20"/>
          <w:szCs w:val="20"/>
        </w:rPr>
        <w:t>s</w:t>
      </w:r>
      <w:r w:rsidRPr="002D758F">
        <w:rPr>
          <w:rFonts w:cs="Arial"/>
          <w:sz w:val="20"/>
          <w:szCs w:val="20"/>
        </w:rPr>
        <w:t>es</w:t>
      </w:r>
      <w:r>
        <w:rPr>
          <w:rFonts w:cs="Arial"/>
          <w:sz w:val="20"/>
          <w:szCs w:val="20"/>
        </w:rPr>
        <w:t xml:space="preserve"> of this work paper is to define </w:t>
      </w:r>
      <w:r w:rsidR="00546537">
        <w:rPr>
          <w:rFonts w:cs="Arial"/>
          <w:sz w:val="20"/>
          <w:szCs w:val="20"/>
        </w:rPr>
        <w:t xml:space="preserve">the process of calculating </w:t>
      </w:r>
      <w:r>
        <w:rPr>
          <w:rFonts w:cs="Arial"/>
          <w:sz w:val="20"/>
          <w:szCs w:val="20"/>
        </w:rPr>
        <w:t xml:space="preserve">the savings </w:t>
      </w:r>
      <w:r w:rsidR="00546537">
        <w:rPr>
          <w:rFonts w:cs="Arial"/>
          <w:sz w:val="20"/>
          <w:szCs w:val="20"/>
        </w:rPr>
        <w:t xml:space="preserve">for the </w:t>
      </w:r>
      <w:r w:rsidR="00546537" w:rsidRPr="00C20044">
        <w:rPr>
          <w:rFonts w:cs="Arial"/>
          <w:i/>
          <w:sz w:val="20"/>
          <w:szCs w:val="20"/>
        </w:rPr>
        <w:t>ex post</w:t>
      </w:r>
      <w:r w:rsidR="00546537">
        <w:rPr>
          <w:rFonts w:cs="Arial"/>
          <w:sz w:val="20"/>
          <w:szCs w:val="20"/>
        </w:rPr>
        <w:t xml:space="preserve"> analysis of the program</w:t>
      </w:r>
      <w:r w:rsidR="00564F30">
        <w:rPr>
          <w:rFonts w:cs="Arial"/>
          <w:sz w:val="20"/>
          <w:szCs w:val="20"/>
        </w:rPr>
        <w:t xml:space="preserve"> and a</w:t>
      </w:r>
      <w:r>
        <w:rPr>
          <w:rFonts w:cs="Arial"/>
          <w:sz w:val="20"/>
          <w:szCs w:val="20"/>
        </w:rPr>
        <w:t>s noted in 1.2 and various sections of 1.4</w:t>
      </w:r>
      <w:r w:rsidR="00564F30">
        <w:rPr>
          <w:rFonts w:cs="Arial"/>
          <w:sz w:val="20"/>
          <w:szCs w:val="20"/>
        </w:rPr>
        <w:t>,</w:t>
      </w:r>
      <w:r>
        <w:rPr>
          <w:rFonts w:cs="Arial"/>
          <w:sz w:val="20"/>
          <w:szCs w:val="20"/>
        </w:rPr>
        <w:t xml:space="preserve"> this includes the effects of opt outs, “move outs”  and other statistical variances during the treatment period.  Since we are using billing data for randomly selected </w:t>
      </w:r>
      <w:r w:rsidR="00742BD9">
        <w:rPr>
          <w:rFonts w:cs="Arial"/>
          <w:sz w:val="20"/>
          <w:szCs w:val="20"/>
        </w:rPr>
        <w:t xml:space="preserve">user </w:t>
      </w:r>
      <w:r w:rsidR="00D00997">
        <w:rPr>
          <w:rFonts w:cs="Arial"/>
          <w:sz w:val="20"/>
          <w:szCs w:val="20"/>
        </w:rPr>
        <w:t>quartiles</w:t>
      </w:r>
      <w:r w:rsidR="00742BD9">
        <w:rPr>
          <w:rFonts w:cs="Arial"/>
          <w:sz w:val="20"/>
          <w:szCs w:val="20"/>
        </w:rPr>
        <w:t xml:space="preserve"> and weather areas, these variables are also considered to be accounted for.  The further analysis of participants for rebate activity and the 400 household plug survey should account for the participation in PG&amp;E rebate programs.  Interactive effects are built in due to the use of billing data. </w:t>
      </w:r>
    </w:p>
    <w:p w:rsidR="00742BD9" w:rsidRDefault="00742BD9" w:rsidP="0060457B">
      <w:pPr>
        <w:rPr>
          <w:rFonts w:cs="Arial"/>
          <w:sz w:val="20"/>
          <w:szCs w:val="20"/>
        </w:rPr>
      </w:pPr>
    </w:p>
    <w:p w:rsidR="00C069A2" w:rsidRDefault="0030550A" w:rsidP="002E0043">
      <w:pPr>
        <w:pStyle w:val="Heading2"/>
        <w:keepNext w:val="0"/>
      </w:pPr>
      <w:bookmarkStart w:id="71" w:name="_Toc304800212"/>
      <w:bookmarkStart w:id="72" w:name="_Toc324318366"/>
      <w:bookmarkStart w:id="73" w:name="_Toc324340495"/>
      <w:bookmarkStart w:id="74" w:name="_Toc354582139"/>
      <w:r>
        <w:t>2.2. Demand R</w:t>
      </w:r>
      <w:r w:rsidR="00C069A2">
        <w:t>eduction Estimation Methodologies</w:t>
      </w:r>
      <w:bookmarkEnd w:id="71"/>
      <w:bookmarkEnd w:id="72"/>
      <w:bookmarkEnd w:id="73"/>
      <w:bookmarkEnd w:id="74"/>
    </w:p>
    <w:p w:rsidR="00A95746" w:rsidRPr="00BC4FDF" w:rsidRDefault="000C3A71" w:rsidP="00A95746">
      <w:pPr>
        <w:numPr>
          <w:ilvl w:val="0"/>
          <w:numId w:val="15"/>
        </w:numPr>
        <w:tabs>
          <w:tab w:val="clear" w:pos="1440"/>
        </w:tabs>
        <w:ind w:left="360"/>
        <w:rPr>
          <w:rFonts w:cs="Arial"/>
          <w:sz w:val="20"/>
          <w:szCs w:val="20"/>
        </w:rPr>
      </w:pPr>
      <w:r>
        <w:rPr>
          <w:rFonts w:cs="Arial"/>
          <w:sz w:val="20"/>
          <w:szCs w:val="20"/>
        </w:rPr>
        <w:t xml:space="preserve">PG&amp;E does not intend to claim Electric Demand Savings from the HER program at this time.  The company may reconsider its position should analysis </w:t>
      </w:r>
      <w:r w:rsidR="005A1336">
        <w:rPr>
          <w:rFonts w:cs="Arial"/>
          <w:sz w:val="20"/>
          <w:szCs w:val="20"/>
        </w:rPr>
        <w:t>and</w:t>
      </w:r>
      <w:r>
        <w:rPr>
          <w:rFonts w:cs="Arial"/>
          <w:sz w:val="20"/>
          <w:szCs w:val="20"/>
        </w:rPr>
        <w:t xml:space="preserve"> studies of the program reveal kW savings that can be verified under the appropriate ED approved procedures. </w:t>
      </w:r>
    </w:p>
    <w:p w:rsidR="00542990" w:rsidRPr="00CF3FF0" w:rsidRDefault="00542990" w:rsidP="003F3DED">
      <w:pPr>
        <w:ind w:left="720"/>
        <w:rPr>
          <w:rFonts w:cs="Arial"/>
          <w:i/>
          <w:sz w:val="20"/>
          <w:szCs w:val="20"/>
        </w:rPr>
      </w:pPr>
    </w:p>
    <w:p w:rsidR="007878B9" w:rsidRPr="00BF0332" w:rsidRDefault="00276ED1" w:rsidP="00BF0332">
      <w:pPr>
        <w:pStyle w:val="Heading2"/>
      </w:pPr>
      <w:bookmarkStart w:id="75" w:name="_Toc304800213"/>
      <w:bookmarkStart w:id="76" w:name="_Toc324318367"/>
      <w:bookmarkStart w:id="77" w:name="_Toc324340496"/>
      <w:bookmarkStart w:id="78" w:name="_Toc354582140"/>
      <w:r w:rsidRPr="00BF0332">
        <w:t xml:space="preserve">2.3. </w:t>
      </w:r>
      <w:r w:rsidR="007878B9" w:rsidRPr="00BF0332">
        <w:t>Gas Energy Savings Estimation Methodologies</w:t>
      </w:r>
      <w:bookmarkEnd w:id="75"/>
      <w:bookmarkEnd w:id="76"/>
      <w:bookmarkEnd w:id="77"/>
      <w:bookmarkEnd w:id="78"/>
    </w:p>
    <w:p w:rsidR="00025EBE" w:rsidRPr="00FB6EA3" w:rsidRDefault="00025EBE" w:rsidP="00025EBE">
      <w:pPr>
        <w:numPr>
          <w:ilvl w:val="0"/>
          <w:numId w:val="16"/>
        </w:numPr>
        <w:tabs>
          <w:tab w:val="clear" w:pos="1440"/>
          <w:tab w:val="num" w:pos="360"/>
        </w:tabs>
        <w:ind w:left="360"/>
        <w:rPr>
          <w:rFonts w:cs="Arial"/>
          <w:i/>
          <w:sz w:val="20"/>
          <w:szCs w:val="20"/>
        </w:rPr>
      </w:pPr>
      <w:r>
        <w:rPr>
          <w:rFonts w:cs="Arial"/>
          <w:sz w:val="20"/>
          <w:szCs w:val="20"/>
        </w:rPr>
        <w:t>This section describes the overall ex post analysis technique for calculating savings resulting from this program. There are no ex ante values calculated as the result of this section.</w:t>
      </w:r>
    </w:p>
    <w:p w:rsidR="00CF3FF0" w:rsidRPr="00A95746" w:rsidRDefault="00CF3FF0" w:rsidP="00CF3FF0">
      <w:pPr>
        <w:numPr>
          <w:ilvl w:val="0"/>
          <w:numId w:val="16"/>
        </w:numPr>
        <w:tabs>
          <w:tab w:val="clear" w:pos="1440"/>
          <w:tab w:val="num" w:pos="360"/>
        </w:tabs>
        <w:ind w:left="360"/>
        <w:rPr>
          <w:rFonts w:cs="Arial"/>
          <w:i/>
          <w:sz w:val="20"/>
          <w:szCs w:val="20"/>
        </w:rPr>
      </w:pPr>
      <w:r w:rsidRPr="008F34D9">
        <w:rPr>
          <w:rFonts w:cs="Arial"/>
          <w:sz w:val="20"/>
          <w:szCs w:val="20"/>
        </w:rPr>
        <w:t>This measure includes HVAC interactive effects savings</w:t>
      </w:r>
      <w:r w:rsidR="008F34D9">
        <w:rPr>
          <w:rFonts w:cs="Arial"/>
          <w:sz w:val="20"/>
          <w:szCs w:val="20"/>
        </w:rPr>
        <w:t>, as noted in 1.4.3.2</w:t>
      </w:r>
    </w:p>
    <w:p w:rsidR="00A95746" w:rsidRPr="00A95746" w:rsidRDefault="00A95746" w:rsidP="00CF3FF0">
      <w:pPr>
        <w:numPr>
          <w:ilvl w:val="0"/>
          <w:numId w:val="16"/>
        </w:numPr>
        <w:tabs>
          <w:tab w:val="clear" w:pos="1440"/>
          <w:tab w:val="num" w:pos="360"/>
        </w:tabs>
        <w:ind w:left="360"/>
        <w:rPr>
          <w:rFonts w:cs="Arial"/>
          <w:i/>
          <w:sz w:val="20"/>
          <w:szCs w:val="20"/>
        </w:rPr>
      </w:pPr>
      <w:r w:rsidRPr="00A95746">
        <w:rPr>
          <w:rFonts w:cs="Arial"/>
          <w:sz w:val="20"/>
          <w:szCs w:val="20"/>
        </w:rPr>
        <w:t>This measure</w:t>
      </w:r>
      <w:r w:rsidRPr="008F34D9">
        <w:rPr>
          <w:rFonts w:cs="Arial"/>
          <w:sz w:val="20"/>
          <w:szCs w:val="20"/>
        </w:rPr>
        <w:t xml:space="preserve"> is not</w:t>
      </w:r>
      <w:r>
        <w:rPr>
          <w:rFonts w:cs="Arial"/>
          <w:sz w:val="20"/>
          <w:szCs w:val="20"/>
        </w:rPr>
        <w:t xml:space="preserve"> an Early Retirement measure. </w:t>
      </w:r>
    </w:p>
    <w:p w:rsidR="00A95746" w:rsidRDefault="00A95746" w:rsidP="00A95746">
      <w:pPr>
        <w:rPr>
          <w:rFonts w:cs="Arial"/>
          <w:i/>
          <w:sz w:val="20"/>
          <w:szCs w:val="20"/>
        </w:rPr>
      </w:pPr>
    </w:p>
    <w:p w:rsidR="000C3A71" w:rsidRDefault="000C798C" w:rsidP="00A95746">
      <w:pPr>
        <w:rPr>
          <w:rFonts w:cs="Arial"/>
          <w:sz w:val="20"/>
          <w:szCs w:val="20"/>
        </w:rPr>
      </w:pPr>
      <w:r>
        <w:rPr>
          <w:rFonts w:cs="Arial"/>
          <w:sz w:val="20"/>
          <w:szCs w:val="20"/>
        </w:rPr>
        <w:t>The gas energy savings for each measure follow the same process as do the electric savings except</w:t>
      </w:r>
      <w:r w:rsidR="00C20044">
        <w:rPr>
          <w:rFonts w:cs="Arial"/>
          <w:sz w:val="20"/>
          <w:szCs w:val="20"/>
        </w:rPr>
        <w:t xml:space="preserve"> they utilize</w:t>
      </w:r>
      <w:r>
        <w:rPr>
          <w:rFonts w:cs="Arial"/>
          <w:sz w:val="20"/>
          <w:szCs w:val="20"/>
        </w:rPr>
        <w:t xml:space="preserve"> gas billing data </w:t>
      </w:r>
      <w:r w:rsidR="00C20044">
        <w:rPr>
          <w:rFonts w:cs="Arial"/>
          <w:sz w:val="20"/>
          <w:szCs w:val="20"/>
        </w:rPr>
        <w:t xml:space="preserve">rather than electric billing data </w:t>
      </w:r>
      <w:r>
        <w:rPr>
          <w:rFonts w:cs="Arial"/>
          <w:sz w:val="20"/>
          <w:szCs w:val="20"/>
        </w:rPr>
        <w:t>for the affected households.</w:t>
      </w:r>
    </w:p>
    <w:p w:rsidR="00B06452" w:rsidRDefault="00B06452" w:rsidP="00B06452">
      <w:pPr>
        <w:rPr>
          <w:rFonts w:cs="Arial"/>
          <w:sz w:val="20"/>
          <w:szCs w:val="20"/>
        </w:rPr>
      </w:pPr>
    </w:p>
    <w:p w:rsidR="00B7164C" w:rsidRPr="007A4D97" w:rsidRDefault="000C3A71" w:rsidP="00B06452">
      <w:pPr>
        <w:rPr>
          <w:i/>
          <w:sz w:val="28"/>
          <w:szCs w:val="28"/>
        </w:rPr>
      </w:pPr>
      <w:r>
        <w:rPr>
          <w:rFonts w:cs="Arial"/>
          <w:sz w:val="20"/>
          <w:szCs w:val="20"/>
        </w:rPr>
        <w:br w:type="page"/>
      </w:r>
      <w:bookmarkStart w:id="79" w:name="_Toc304800214"/>
      <w:bookmarkStart w:id="80" w:name="_Toc324318368"/>
      <w:bookmarkStart w:id="81" w:name="_Toc324340497"/>
      <w:r w:rsidR="00C069A2" w:rsidRPr="007A4D97">
        <w:rPr>
          <w:i/>
          <w:sz w:val="28"/>
          <w:szCs w:val="28"/>
        </w:rPr>
        <w:t>Section 3</w:t>
      </w:r>
      <w:r w:rsidR="003129E8" w:rsidRPr="007A4D97">
        <w:rPr>
          <w:i/>
          <w:sz w:val="28"/>
          <w:szCs w:val="28"/>
        </w:rPr>
        <w:t>.</w:t>
      </w:r>
      <w:r w:rsidR="00C069A2" w:rsidRPr="007A4D97">
        <w:rPr>
          <w:i/>
          <w:sz w:val="28"/>
          <w:szCs w:val="28"/>
        </w:rPr>
        <w:t xml:space="preserve"> Load Shapes</w:t>
      </w:r>
      <w:bookmarkEnd w:id="79"/>
      <w:bookmarkEnd w:id="80"/>
      <w:bookmarkEnd w:id="81"/>
      <w:r w:rsidR="00844B27" w:rsidRPr="007A4D97">
        <w:rPr>
          <w:i/>
          <w:sz w:val="28"/>
          <w:szCs w:val="28"/>
        </w:rPr>
        <w:t xml:space="preserve"> </w:t>
      </w:r>
    </w:p>
    <w:p w:rsidR="00423B48" w:rsidRPr="00423B48" w:rsidRDefault="00391CE7" w:rsidP="00423B48">
      <w:pPr>
        <w:pStyle w:val="Reminder"/>
        <w:rPr>
          <w:rFonts w:ascii="Arial" w:hAnsi="Arial" w:cs="Arial"/>
          <w:color w:val="auto"/>
          <w:sz w:val="20"/>
          <w:szCs w:val="20"/>
          <w:highlight w:val="cyan"/>
        </w:rPr>
      </w:pPr>
      <w:r w:rsidRPr="00DA5D3B">
        <w:rPr>
          <w:rFonts w:ascii="Arial" w:hAnsi="Arial" w:cs="Arial"/>
          <w:i w:val="0"/>
          <w:color w:val="auto"/>
          <w:sz w:val="20"/>
          <w:szCs w:val="20"/>
        </w:rPr>
        <w:t>The load shape for this program is, in</w:t>
      </w:r>
      <w:r>
        <w:rPr>
          <w:rFonts w:ascii="Arial" w:hAnsi="Arial" w:cs="Arial"/>
          <w:i w:val="0"/>
          <w:color w:val="auto"/>
          <w:sz w:val="20"/>
          <w:szCs w:val="20"/>
        </w:rPr>
        <w:t xml:space="preserve"> </w:t>
      </w:r>
      <w:r w:rsidRPr="00DA5D3B">
        <w:rPr>
          <w:rFonts w:ascii="Arial" w:hAnsi="Arial" w:cs="Arial"/>
          <w:i w:val="0"/>
          <w:color w:val="auto"/>
          <w:sz w:val="20"/>
          <w:szCs w:val="20"/>
        </w:rPr>
        <w:t>fact</w:t>
      </w:r>
      <w:r>
        <w:rPr>
          <w:rFonts w:ascii="Arial" w:hAnsi="Arial" w:cs="Arial"/>
          <w:i w:val="0"/>
          <w:color w:val="auto"/>
          <w:sz w:val="20"/>
          <w:szCs w:val="20"/>
        </w:rPr>
        <w:t>,</w:t>
      </w:r>
      <w:r w:rsidRPr="00DA5D3B">
        <w:rPr>
          <w:rFonts w:ascii="Arial" w:hAnsi="Arial" w:cs="Arial"/>
          <w:i w:val="0"/>
          <w:color w:val="auto"/>
          <w:sz w:val="20"/>
          <w:szCs w:val="20"/>
        </w:rPr>
        <w:t xml:space="preserve"> determined by actual billing data adjusted </w:t>
      </w:r>
      <w:r w:rsidR="005A1336" w:rsidRPr="00DA5D3B">
        <w:rPr>
          <w:rFonts w:ascii="Arial" w:hAnsi="Arial" w:cs="Arial"/>
          <w:i w:val="0"/>
          <w:color w:val="auto"/>
          <w:sz w:val="20"/>
          <w:szCs w:val="20"/>
        </w:rPr>
        <w:t>ex</w:t>
      </w:r>
      <w:r w:rsidR="005A1336">
        <w:rPr>
          <w:rFonts w:ascii="Arial" w:hAnsi="Arial" w:cs="Arial"/>
          <w:i w:val="0"/>
          <w:color w:val="auto"/>
          <w:sz w:val="20"/>
          <w:szCs w:val="20"/>
        </w:rPr>
        <w:t>-</w:t>
      </w:r>
      <w:r w:rsidR="005A1336" w:rsidRPr="00DA5D3B">
        <w:rPr>
          <w:rFonts w:ascii="Arial" w:hAnsi="Arial" w:cs="Arial"/>
          <w:i w:val="0"/>
          <w:color w:val="auto"/>
          <w:sz w:val="20"/>
          <w:szCs w:val="20"/>
        </w:rPr>
        <w:t>post</w:t>
      </w:r>
      <w:r w:rsidRPr="00DA5D3B">
        <w:rPr>
          <w:rFonts w:ascii="Arial" w:hAnsi="Arial" w:cs="Arial"/>
          <w:i w:val="0"/>
          <w:color w:val="auto"/>
          <w:sz w:val="20"/>
          <w:szCs w:val="20"/>
        </w:rPr>
        <w:t xml:space="preserve"> by rebate participation and statistical analysis</w:t>
      </w:r>
      <w:r>
        <w:rPr>
          <w:rFonts w:ascii="Arial" w:hAnsi="Arial" w:cs="Arial"/>
          <w:i w:val="0"/>
          <w:color w:val="auto"/>
          <w:sz w:val="20"/>
          <w:szCs w:val="20"/>
        </w:rPr>
        <w:t xml:space="preserve">. We expect that load shapes for the impacts of the program can be generated to determine daily and monthly results for E3 analysis of the program.  However, this analysis is not as yet complete and we have provided a </w:t>
      </w:r>
      <w:r w:rsidR="00DA5D3B">
        <w:rPr>
          <w:rFonts w:ascii="Arial" w:hAnsi="Arial" w:cs="Arial"/>
          <w:i w:val="0"/>
          <w:color w:val="auto"/>
          <w:sz w:val="20"/>
          <w:szCs w:val="20"/>
        </w:rPr>
        <w:t xml:space="preserve">“strawman” Load Profile suitable for initial valuation of the program. </w:t>
      </w:r>
    </w:p>
    <w:p w:rsidR="00DC0EE2" w:rsidRDefault="00DC0EE2" w:rsidP="00423B48">
      <w:pPr>
        <w:pStyle w:val="Reminders"/>
        <w:rPr>
          <w:rFonts w:ascii="Arial" w:hAnsi="Arial" w:cs="Arial"/>
          <w:color w:val="auto"/>
          <w:sz w:val="20"/>
          <w:szCs w:val="20"/>
        </w:rPr>
      </w:pPr>
    </w:p>
    <w:p w:rsidR="00FC7CE4" w:rsidRDefault="00DC0EE2" w:rsidP="00FC7CE4">
      <w:pPr>
        <w:pStyle w:val="Reminders"/>
        <w:rPr>
          <w:color w:val="1F497D"/>
        </w:rPr>
      </w:pPr>
      <w:r>
        <w:rPr>
          <w:rFonts w:ascii="Calibri" w:eastAsiaTheme="minorHAnsi" w:hAnsi="Calibri" w:cs="Calibri"/>
          <w:noProof/>
          <w:szCs w:val="22"/>
        </w:rPr>
        <w:drawing>
          <wp:inline distT="0" distB="0" distL="0" distR="0" wp14:anchorId="58C151AC" wp14:editId="0B670FCD">
            <wp:extent cx="4581525" cy="2762250"/>
            <wp:effectExtent l="0" t="0" r="9525"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581525" cy="2762250"/>
                    </a:xfrm>
                    <a:prstGeom prst="rect">
                      <a:avLst/>
                    </a:prstGeom>
                    <a:noFill/>
                  </pic:spPr>
                </pic:pic>
              </a:graphicData>
            </a:graphic>
          </wp:inline>
        </w:drawing>
      </w:r>
      <w:r w:rsidR="00FC7CE4" w:rsidRPr="00FC7CE4">
        <w:rPr>
          <w:color w:val="1F497D"/>
        </w:rPr>
        <w:t xml:space="preserve"> </w:t>
      </w:r>
    </w:p>
    <w:p w:rsidR="00FC7CE4" w:rsidRDefault="00FC7CE4" w:rsidP="00FC7CE4">
      <w:pPr>
        <w:pStyle w:val="Reminders"/>
        <w:rPr>
          <w:color w:val="1F497D"/>
        </w:rPr>
      </w:pPr>
    </w:p>
    <w:p w:rsidR="00FC7CE4" w:rsidRPr="00FC7CE4" w:rsidRDefault="00FC7CE4" w:rsidP="00FC7CE4">
      <w:pPr>
        <w:pStyle w:val="Reminders"/>
        <w:rPr>
          <w:rFonts w:ascii="Arial" w:hAnsi="Arial" w:cs="Arial"/>
          <w:i w:val="0"/>
          <w:color w:val="1F497D"/>
          <w:sz w:val="20"/>
          <w:szCs w:val="20"/>
        </w:rPr>
      </w:pPr>
      <w:r w:rsidRPr="00FC7CE4">
        <w:rPr>
          <w:rFonts w:ascii="Arial" w:hAnsi="Arial" w:cs="Arial"/>
          <w:i w:val="0"/>
          <w:color w:val="1F497D"/>
          <w:sz w:val="20"/>
          <w:szCs w:val="20"/>
        </w:rPr>
        <w:t>This is the monthly load shape for   RES      DEER:RefgFrzr_HighEff (Target Sector and Electric End Use Shape) from the E3:</w:t>
      </w:r>
    </w:p>
    <w:p w:rsidR="00DC0EE2" w:rsidRPr="009943A0" w:rsidRDefault="00DC0EE2" w:rsidP="00423B48">
      <w:pPr>
        <w:pStyle w:val="Reminders"/>
        <w:rPr>
          <w:rFonts w:ascii="Arial" w:hAnsi="Arial" w:cs="Arial"/>
          <w:color w:val="auto"/>
          <w:sz w:val="20"/>
          <w:szCs w:val="20"/>
        </w:rPr>
      </w:pPr>
    </w:p>
    <w:p w:rsidR="00B7164C" w:rsidRPr="007A4D97" w:rsidRDefault="00BF0332" w:rsidP="0087599D">
      <w:pPr>
        <w:pStyle w:val="Heading2"/>
      </w:pPr>
      <w:bookmarkStart w:id="82" w:name="_Toc173742996"/>
      <w:bookmarkStart w:id="83" w:name="_Toc304800215"/>
      <w:bookmarkStart w:id="84" w:name="_Toc324318369"/>
      <w:bookmarkStart w:id="85" w:name="_Toc324340498"/>
      <w:bookmarkStart w:id="86" w:name="_Toc354582141"/>
      <w:r w:rsidRPr="007A4D97">
        <w:t>3.1 Base Case</w:t>
      </w:r>
      <w:r w:rsidR="00B7164C" w:rsidRPr="007A4D97">
        <w:t xml:space="preserve"> Load Shapes</w:t>
      </w:r>
      <w:bookmarkEnd w:id="82"/>
      <w:bookmarkEnd w:id="83"/>
      <w:bookmarkEnd w:id="84"/>
      <w:bookmarkEnd w:id="85"/>
      <w:bookmarkEnd w:id="86"/>
    </w:p>
    <w:p w:rsidR="008840FA" w:rsidRDefault="00B66898" w:rsidP="008840FA">
      <w:pPr>
        <w:rPr>
          <w:rFonts w:cs="Arial"/>
          <w:sz w:val="20"/>
          <w:szCs w:val="20"/>
        </w:rPr>
      </w:pPr>
      <w:bookmarkStart w:id="87" w:name="_Toc173742997"/>
      <w:r>
        <w:rPr>
          <w:rFonts w:cs="Arial"/>
          <w:sz w:val="20"/>
          <w:szCs w:val="20"/>
        </w:rPr>
        <w:t>T</w:t>
      </w:r>
      <w:r w:rsidR="008840FA" w:rsidRPr="007A4D97">
        <w:rPr>
          <w:rFonts w:cs="Arial"/>
          <w:sz w:val="20"/>
          <w:szCs w:val="20"/>
        </w:rPr>
        <w:t xml:space="preserve">he </w:t>
      </w:r>
      <w:r w:rsidR="00391CE7">
        <w:rPr>
          <w:rFonts w:cs="Arial"/>
          <w:sz w:val="20"/>
          <w:szCs w:val="20"/>
        </w:rPr>
        <w:t>most conservative</w:t>
      </w:r>
      <w:r w:rsidR="00391CE7" w:rsidRPr="007A4D97">
        <w:rPr>
          <w:rFonts w:cs="Arial"/>
          <w:sz w:val="20"/>
          <w:szCs w:val="20"/>
        </w:rPr>
        <w:t xml:space="preserve"> </w:t>
      </w:r>
      <w:r w:rsidR="008840FA" w:rsidRPr="007A4D97">
        <w:rPr>
          <w:rFonts w:cs="Arial"/>
          <w:sz w:val="20"/>
          <w:szCs w:val="20"/>
        </w:rPr>
        <w:t xml:space="preserve">load shape </w:t>
      </w:r>
      <w:r w:rsidR="00391CE7">
        <w:rPr>
          <w:rFonts w:cs="Arial"/>
          <w:sz w:val="20"/>
          <w:szCs w:val="20"/>
        </w:rPr>
        <w:t xml:space="preserve">which fits the linear nature of the data over monthly periods </w:t>
      </w:r>
      <w:r w:rsidR="008840FA" w:rsidRPr="007A4D97">
        <w:rPr>
          <w:rFonts w:cs="Arial"/>
          <w:sz w:val="20"/>
          <w:szCs w:val="20"/>
        </w:rPr>
        <w:t xml:space="preserve">chosen for this measure is the </w:t>
      </w:r>
      <w:r w:rsidR="008840FA" w:rsidRPr="00DA5D3B">
        <w:rPr>
          <w:rFonts w:cs="Arial"/>
          <w:sz w:val="20"/>
          <w:szCs w:val="20"/>
        </w:rPr>
        <w:t>DEER:</w:t>
      </w:r>
      <w:r w:rsidR="00DA5D3B">
        <w:rPr>
          <w:rFonts w:cs="Arial"/>
          <w:sz w:val="20"/>
          <w:szCs w:val="20"/>
        </w:rPr>
        <w:t xml:space="preserve"> </w:t>
      </w:r>
      <w:r w:rsidR="00DA5D3B" w:rsidRPr="00DA5D3B">
        <w:rPr>
          <w:rFonts w:cs="Arial"/>
          <w:sz w:val="20"/>
          <w:szCs w:val="20"/>
        </w:rPr>
        <w:t>R</w:t>
      </w:r>
      <w:r w:rsidR="00DA5D3B">
        <w:rPr>
          <w:rFonts w:cs="Arial"/>
          <w:sz w:val="20"/>
          <w:szCs w:val="20"/>
        </w:rPr>
        <w:t xml:space="preserve">es. </w:t>
      </w:r>
      <w:r w:rsidR="00391CE7">
        <w:rPr>
          <w:rFonts w:cs="Arial"/>
          <w:sz w:val="20"/>
          <w:szCs w:val="20"/>
        </w:rPr>
        <w:t xml:space="preserve">Refrigerator –Freezer </w:t>
      </w:r>
      <w:r w:rsidR="005A1336">
        <w:rPr>
          <w:rFonts w:cs="Arial"/>
          <w:sz w:val="20"/>
          <w:szCs w:val="20"/>
        </w:rPr>
        <w:t xml:space="preserve">Monthly </w:t>
      </w:r>
      <w:r w:rsidR="005A1336" w:rsidRPr="007A4D97">
        <w:rPr>
          <w:rFonts w:cs="Arial"/>
          <w:sz w:val="20"/>
          <w:szCs w:val="20"/>
        </w:rPr>
        <w:t>shape</w:t>
      </w:r>
      <w:r w:rsidR="008840FA" w:rsidRPr="007A4D97">
        <w:rPr>
          <w:rFonts w:cs="Arial"/>
          <w:sz w:val="20"/>
          <w:szCs w:val="20"/>
        </w:rPr>
        <w:t>.</w:t>
      </w:r>
      <w:r w:rsidR="00437BE1">
        <w:rPr>
          <w:rFonts w:cs="Arial"/>
          <w:sz w:val="20"/>
          <w:szCs w:val="20"/>
        </w:rPr>
        <w:t xml:space="preserve"> </w:t>
      </w:r>
      <w:r w:rsidR="008840FA" w:rsidRPr="007A4D97">
        <w:rPr>
          <w:rFonts w:cs="Arial"/>
          <w:sz w:val="20"/>
          <w:szCs w:val="20"/>
        </w:rPr>
        <w:t xml:space="preserve">See </w:t>
      </w:r>
      <w:r w:rsidR="00391CE7" w:rsidRPr="007A4D97">
        <w:rPr>
          <w:rFonts w:cs="Arial"/>
          <w:sz w:val="20"/>
          <w:szCs w:val="20"/>
        </w:rPr>
        <w:fldChar w:fldCharType="begin"/>
      </w:r>
      <w:r w:rsidR="00391CE7" w:rsidRPr="007A4D97">
        <w:rPr>
          <w:rFonts w:cs="Arial"/>
          <w:sz w:val="20"/>
          <w:szCs w:val="20"/>
        </w:rPr>
        <w:instrText xml:space="preserve"> REF _Ref296597958 \h  \* MERGEFORMAT </w:instrText>
      </w:r>
      <w:r w:rsidR="00391CE7" w:rsidRPr="007A4D97">
        <w:rPr>
          <w:rFonts w:cs="Arial"/>
          <w:sz w:val="20"/>
          <w:szCs w:val="20"/>
        </w:rPr>
      </w:r>
      <w:r w:rsidR="00391CE7" w:rsidRPr="007A4D97">
        <w:rPr>
          <w:rFonts w:cs="Arial"/>
          <w:sz w:val="20"/>
          <w:szCs w:val="20"/>
        </w:rPr>
        <w:fldChar w:fldCharType="separate"/>
      </w:r>
      <w:r w:rsidR="00391CE7" w:rsidRPr="005B4D0A">
        <w:rPr>
          <w:rFonts w:cs="Arial"/>
          <w:sz w:val="20"/>
          <w:szCs w:val="20"/>
        </w:rPr>
        <w:t xml:space="preserve">Table </w:t>
      </w:r>
      <w:r w:rsidR="00391CE7">
        <w:rPr>
          <w:rFonts w:cs="Arial"/>
          <w:noProof/>
          <w:sz w:val="20"/>
          <w:szCs w:val="20"/>
        </w:rPr>
        <w:t>6</w:t>
      </w:r>
      <w:r w:rsidR="00391CE7" w:rsidRPr="007A4D97">
        <w:rPr>
          <w:rFonts w:cs="Arial"/>
          <w:sz w:val="20"/>
          <w:szCs w:val="20"/>
        </w:rPr>
        <w:fldChar w:fldCharType="end"/>
      </w:r>
      <w:r w:rsidR="00391CE7" w:rsidRPr="007A4D97">
        <w:rPr>
          <w:rFonts w:cs="Arial"/>
          <w:sz w:val="20"/>
          <w:szCs w:val="20"/>
        </w:rPr>
        <w:t xml:space="preserve"> </w:t>
      </w:r>
      <w:r w:rsidR="008840FA" w:rsidRPr="007A4D97">
        <w:rPr>
          <w:rFonts w:cs="Arial"/>
          <w:sz w:val="20"/>
          <w:szCs w:val="20"/>
        </w:rPr>
        <w:t>for a list of all Building Types and Load Shapes.</w:t>
      </w:r>
      <w:r w:rsidR="00437BE1">
        <w:rPr>
          <w:rFonts w:cs="Arial"/>
          <w:sz w:val="20"/>
          <w:szCs w:val="20"/>
        </w:rPr>
        <w:t xml:space="preserve"> </w:t>
      </w:r>
      <w:r w:rsidR="008840FA" w:rsidRPr="007A4D97">
        <w:rPr>
          <w:rFonts w:cs="Arial"/>
          <w:sz w:val="20"/>
          <w:szCs w:val="20"/>
        </w:rPr>
        <w:t>See the KEMA report [31] for a more thorough discussion regarding the load shapes for this measure.</w:t>
      </w:r>
    </w:p>
    <w:p w:rsidR="00B66898" w:rsidRDefault="00B66898" w:rsidP="007F2147">
      <w:pPr>
        <w:pStyle w:val="Caption"/>
        <w:rPr>
          <w:rFonts w:cs="Arial"/>
        </w:rPr>
      </w:pPr>
    </w:p>
    <w:p w:rsidR="008840FA" w:rsidRPr="007A4D97" w:rsidRDefault="008840FA" w:rsidP="008840FA">
      <w:pPr>
        <w:pStyle w:val="Caption"/>
        <w:jc w:val="center"/>
        <w:rPr>
          <w:rFonts w:cs="Arial"/>
          <w:b w:val="0"/>
        </w:rPr>
      </w:pPr>
      <w:bookmarkStart w:id="88" w:name="_Toc354582162"/>
      <w:r w:rsidRPr="007A4D97">
        <w:rPr>
          <w:rFonts w:cs="Arial"/>
        </w:rPr>
        <w:t xml:space="preserve">Table </w:t>
      </w:r>
      <w:r w:rsidRPr="007A4D97">
        <w:rPr>
          <w:rFonts w:cs="Arial"/>
        </w:rPr>
        <w:fldChar w:fldCharType="begin"/>
      </w:r>
      <w:r w:rsidRPr="007A4D97">
        <w:rPr>
          <w:rFonts w:cs="Arial"/>
        </w:rPr>
        <w:instrText xml:space="preserve"> SEQ Table \* ARABIC </w:instrText>
      </w:r>
      <w:r w:rsidRPr="007A4D97">
        <w:rPr>
          <w:rFonts w:cs="Arial"/>
        </w:rPr>
        <w:fldChar w:fldCharType="separate"/>
      </w:r>
      <w:r w:rsidR="005B4D0A">
        <w:rPr>
          <w:rFonts w:cs="Arial"/>
          <w:noProof/>
        </w:rPr>
        <w:t>6</w:t>
      </w:r>
      <w:r w:rsidRPr="007A4D97">
        <w:rPr>
          <w:rFonts w:cs="Arial"/>
        </w:rPr>
        <w:fldChar w:fldCharType="end"/>
      </w:r>
      <w:r w:rsidRPr="007A4D97">
        <w:rPr>
          <w:rFonts w:cs="Arial"/>
        </w:rPr>
        <w:t xml:space="preserve"> </w:t>
      </w:r>
      <w:r w:rsidR="00A95AB5">
        <w:rPr>
          <w:rFonts w:cs="Arial"/>
        </w:rPr>
        <w:t xml:space="preserve">Base Case </w:t>
      </w:r>
      <w:r w:rsidRPr="007A4D97">
        <w:rPr>
          <w:rFonts w:cs="Arial"/>
        </w:rPr>
        <w:t>Building Types and Load Shapes</w:t>
      </w:r>
      <w:bookmarkEnd w:id="88"/>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115"/>
        <w:gridCol w:w="2065"/>
        <w:gridCol w:w="4310"/>
      </w:tblGrid>
      <w:tr w:rsidR="009B1863" w:rsidRPr="001E4C31" w:rsidTr="00DA5D3B">
        <w:tc>
          <w:tcPr>
            <w:tcW w:w="1246"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216"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2538" w:type="pct"/>
            <w:shd w:val="clear" w:color="auto" w:fill="262626"/>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rsidTr="00DA5D3B">
        <w:tc>
          <w:tcPr>
            <w:tcW w:w="1246" w:type="pct"/>
            <w:shd w:val="pct5" w:color="000000" w:fill="FFFFFF"/>
            <w:vAlign w:val="bottom"/>
          </w:tcPr>
          <w:p w:rsidR="008840FA" w:rsidRPr="00DA5D3B" w:rsidRDefault="00391CE7" w:rsidP="001E4C31">
            <w:pPr>
              <w:jc w:val="center"/>
              <w:rPr>
                <w:rFonts w:cs="Arial"/>
                <w:sz w:val="20"/>
                <w:szCs w:val="20"/>
              </w:rPr>
            </w:pPr>
            <w:r w:rsidRPr="00DA5D3B">
              <w:rPr>
                <w:rFonts w:cs="Arial"/>
                <w:sz w:val="20"/>
                <w:szCs w:val="20"/>
              </w:rPr>
              <w:t>Single Family Residence</w:t>
            </w:r>
          </w:p>
        </w:tc>
        <w:tc>
          <w:tcPr>
            <w:tcW w:w="1216" w:type="pct"/>
            <w:shd w:val="pct5" w:color="000000" w:fill="FFFFFF"/>
            <w:vAlign w:val="bottom"/>
          </w:tcPr>
          <w:p w:rsidR="008840FA" w:rsidRPr="00DA5D3B" w:rsidRDefault="008840FA" w:rsidP="001E4C31">
            <w:pPr>
              <w:jc w:val="center"/>
              <w:rPr>
                <w:rFonts w:cs="Arial"/>
                <w:sz w:val="20"/>
                <w:szCs w:val="20"/>
              </w:rPr>
            </w:pPr>
            <w:r w:rsidRPr="00DA5D3B">
              <w:rPr>
                <w:rFonts w:cs="Arial"/>
                <w:sz w:val="20"/>
                <w:szCs w:val="20"/>
              </w:rPr>
              <w:t>RES</w:t>
            </w:r>
          </w:p>
        </w:tc>
        <w:tc>
          <w:tcPr>
            <w:tcW w:w="2538" w:type="pct"/>
            <w:shd w:val="pct5" w:color="000000" w:fill="FFFFFF"/>
            <w:vAlign w:val="bottom"/>
          </w:tcPr>
          <w:p w:rsidR="008840FA" w:rsidRPr="00DA5D3B" w:rsidRDefault="00391CE7" w:rsidP="001E4C31">
            <w:pPr>
              <w:jc w:val="center"/>
              <w:rPr>
                <w:rFonts w:cs="Arial"/>
                <w:sz w:val="20"/>
                <w:szCs w:val="20"/>
              </w:rPr>
            </w:pPr>
            <w:r w:rsidRPr="00DA5D3B">
              <w:rPr>
                <w:color w:val="1F497D"/>
              </w:rPr>
              <w:t>DEER:RefgFrzr_HighEff</w:t>
            </w:r>
          </w:p>
        </w:tc>
      </w:tr>
    </w:tbl>
    <w:p w:rsidR="008840FA" w:rsidRPr="007A4D97" w:rsidRDefault="008840FA" w:rsidP="00B7164C">
      <w:pPr>
        <w:rPr>
          <w:rFonts w:cs="Arial"/>
          <w:sz w:val="20"/>
          <w:szCs w:val="20"/>
        </w:rPr>
      </w:pPr>
    </w:p>
    <w:p w:rsidR="00B7164C" w:rsidRPr="007A4D97" w:rsidRDefault="00B7164C" w:rsidP="00D20486">
      <w:pPr>
        <w:pStyle w:val="Heading2"/>
        <w:keepNext w:val="0"/>
      </w:pPr>
      <w:bookmarkStart w:id="89" w:name="_Toc304800216"/>
      <w:bookmarkStart w:id="90" w:name="_Toc324318370"/>
      <w:bookmarkStart w:id="91" w:name="_Toc324340499"/>
      <w:bookmarkStart w:id="92" w:name="_Toc354582142"/>
      <w:r w:rsidRPr="007A4D97">
        <w:t>3.2 Measure Load Shapes</w:t>
      </w:r>
      <w:bookmarkEnd w:id="87"/>
      <w:bookmarkEnd w:id="89"/>
      <w:bookmarkEnd w:id="90"/>
      <w:bookmarkEnd w:id="91"/>
      <w:bookmarkEnd w:id="92"/>
    </w:p>
    <w:p w:rsidR="00B7164C" w:rsidRDefault="00B7164C" w:rsidP="003C6DFA">
      <w:pPr>
        <w:rPr>
          <w:rFonts w:cs="Arial"/>
          <w:sz w:val="20"/>
          <w:szCs w:val="20"/>
        </w:rPr>
      </w:pPr>
    </w:p>
    <w:p w:rsidR="00B66898" w:rsidRDefault="009B6201" w:rsidP="003C6DFA">
      <w:pPr>
        <w:rPr>
          <w:rFonts w:cs="Arial"/>
          <w:sz w:val="20"/>
          <w:szCs w:val="20"/>
        </w:rPr>
      </w:pPr>
      <w:r w:rsidRPr="00DA5D3B">
        <w:rPr>
          <w:rFonts w:cs="Arial"/>
          <w:sz w:val="20"/>
          <w:szCs w:val="20"/>
        </w:rPr>
        <w:t xml:space="preserve">The </w:t>
      </w:r>
      <w:r w:rsidR="00F47D9D" w:rsidRPr="00DA5D3B">
        <w:rPr>
          <w:rFonts w:cs="Arial"/>
          <w:sz w:val="20"/>
          <w:szCs w:val="20"/>
        </w:rPr>
        <w:t>measure load shape for this measure is</w:t>
      </w:r>
      <w:r w:rsidR="00AB2D9E" w:rsidRPr="00DA5D3B">
        <w:rPr>
          <w:rFonts w:cs="Arial"/>
          <w:sz w:val="20"/>
          <w:szCs w:val="20"/>
        </w:rPr>
        <w:t xml:space="preserve"> determined based o</w:t>
      </w:r>
      <w:r w:rsidR="00F47D9D" w:rsidRPr="00DA5D3B">
        <w:rPr>
          <w:rFonts w:cs="Arial"/>
          <w:sz w:val="20"/>
          <w:szCs w:val="20"/>
        </w:rPr>
        <w:t>n</w:t>
      </w:r>
      <w:r w:rsidR="00AB2D9E" w:rsidRPr="00DA5D3B">
        <w:rPr>
          <w:rFonts w:cs="Arial"/>
          <w:sz w:val="20"/>
          <w:szCs w:val="20"/>
        </w:rPr>
        <w:t xml:space="preserve"> the applicable </w:t>
      </w:r>
      <w:r w:rsidR="00F47D9D" w:rsidRPr="00DA5D3B">
        <w:rPr>
          <w:rFonts w:cs="Arial"/>
          <w:sz w:val="20"/>
          <w:szCs w:val="20"/>
        </w:rPr>
        <w:t>residential</w:t>
      </w:r>
      <w:r w:rsidR="00F47D9D" w:rsidRPr="00DA5D3B">
        <w:rPr>
          <w:rFonts w:cs="Arial"/>
          <w:i/>
          <w:color w:val="FF0000"/>
          <w:sz w:val="20"/>
          <w:szCs w:val="20"/>
        </w:rPr>
        <w:t xml:space="preserve"> </w:t>
      </w:r>
      <w:r w:rsidR="00AB2D9E" w:rsidRPr="00DA5D3B">
        <w:rPr>
          <w:rFonts w:cs="Arial"/>
          <w:sz w:val="20"/>
          <w:szCs w:val="20"/>
        </w:rPr>
        <w:t>market sector</w:t>
      </w:r>
      <w:r w:rsidR="00F47D9D" w:rsidRPr="00DA5D3B">
        <w:rPr>
          <w:rFonts w:cs="Arial"/>
          <w:sz w:val="20"/>
          <w:szCs w:val="20"/>
        </w:rPr>
        <w:t xml:space="preserve"> and the </w:t>
      </w:r>
      <w:r w:rsidR="00391CE7" w:rsidRPr="00DA5D3B">
        <w:rPr>
          <w:rFonts w:cs="Arial"/>
          <w:sz w:val="20"/>
          <w:szCs w:val="20"/>
        </w:rPr>
        <w:t>Refrigerator F</w:t>
      </w:r>
      <w:r w:rsidR="00DA5D3B">
        <w:rPr>
          <w:rFonts w:cs="Arial"/>
          <w:sz w:val="20"/>
          <w:szCs w:val="20"/>
        </w:rPr>
        <w:t>r</w:t>
      </w:r>
      <w:r w:rsidR="00391CE7" w:rsidRPr="00DA5D3B">
        <w:rPr>
          <w:rFonts w:cs="Arial"/>
          <w:sz w:val="20"/>
          <w:szCs w:val="20"/>
        </w:rPr>
        <w:t>eezer</w:t>
      </w:r>
      <w:r w:rsidR="00F47D9D" w:rsidRPr="00DA5D3B">
        <w:rPr>
          <w:rFonts w:cs="Arial"/>
          <w:sz w:val="20"/>
          <w:szCs w:val="20"/>
        </w:rPr>
        <w:t xml:space="preserve"> end-use.</w:t>
      </w:r>
      <w:r w:rsidR="00437BE1" w:rsidRPr="00DA5D3B">
        <w:rPr>
          <w:rFonts w:cs="Arial"/>
          <w:sz w:val="20"/>
          <w:szCs w:val="20"/>
        </w:rPr>
        <w:t xml:space="preserve"> </w:t>
      </w:r>
      <w:r w:rsidR="00B66898" w:rsidRPr="00DA5D3B">
        <w:rPr>
          <w:rFonts w:cs="Arial"/>
          <w:sz w:val="20"/>
          <w:szCs w:val="20"/>
        </w:rPr>
        <w:t xml:space="preserve">This load shape is </w:t>
      </w:r>
      <w:r w:rsidR="00391CE7" w:rsidRPr="00DA5D3B">
        <w:rPr>
          <w:rFonts w:cs="Arial"/>
          <w:sz w:val="20"/>
          <w:szCs w:val="20"/>
        </w:rPr>
        <w:t>from the same as the base case due to the statistical and random nature of the savings generated by this program</w:t>
      </w:r>
      <w:r w:rsidR="00B66898" w:rsidRPr="00DA5D3B">
        <w:rPr>
          <w:rFonts w:cs="Arial"/>
          <w:sz w:val="20"/>
          <w:szCs w:val="20"/>
        </w:rPr>
        <w:t xml:space="preserve"> and is shown by the load shapes listed below.</w:t>
      </w:r>
      <w:r w:rsidR="00B66898">
        <w:rPr>
          <w:rFonts w:cs="Arial"/>
          <w:sz w:val="20"/>
          <w:szCs w:val="20"/>
        </w:rPr>
        <w:t xml:space="preserve"> </w:t>
      </w:r>
    </w:p>
    <w:p w:rsidR="00DF3395" w:rsidRPr="007A4D97" w:rsidRDefault="00B66898" w:rsidP="003C6DFA">
      <w:pPr>
        <w:rPr>
          <w:rFonts w:cs="Arial"/>
          <w:sz w:val="20"/>
          <w:szCs w:val="20"/>
        </w:rPr>
      </w:pPr>
      <w:r>
        <w:rPr>
          <w:rFonts w:cs="Arial"/>
          <w:sz w:val="20"/>
          <w:szCs w:val="20"/>
        </w:rPr>
        <w:t xml:space="preserve"> </w:t>
      </w:r>
    </w:p>
    <w:p w:rsidR="00D87EFF" w:rsidRPr="00AF1807" w:rsidRDefault="00D87EFF" w:rsidP="00D87EFF">
      <w:pPr>
        <w:pStyle w:val="Caption"/>
        <w:jc w:val="center"/>
        <w:rPr>
          <w:rFonts w:cs="Arial"/>
          <w:b w:val="0"/>
        </w:rPr>
      </w:pPr>
      <w:bookmarkStart w:id="93" w:name="_Ref296597958"/>
      <w:bookmarkStart w:id="94" w:name="_Toc354582163"/>
      <w:r w:rsidRPr="00AF1807">
        <w:rPr>
          <w:rFonts w:cs="Arial"/>
        </w:rPr>
        <w:t xml:space="preserve">Table </w:t>
      </w:r>
      <w:r w:rsidRPr="00AF1807">
        <w:rPr>
          <w:rFonts w:cs="Arial"/>
        </w:rPr>
        <w:fldChar w:fldCharType="begin"/>
      </w:r>
      <w:r w:rsidRPr="00AF1807">
        <w:rPr>
          <w:rFonts w:cs="Arial"/>
        </w:rPr>
        <w:instrText xml:space="preserve"> SEQ Table \* ARABIC </w:instrText>
      </w:r>
      <w:r w:rsidRPr="00AF1807">
        <w:rPr>
          <w:rFonts w:cs="Arial"/>
        </w:rPr>
        <w:fldChar w:fldCharType="separate"/>
      </w:r>
      <w:r w:rsidR="005B4D0A">
        <w:rPr>
          <w:rFonts w:cs="Arial"/>
          <w:noProof/>
        </w:rPr>
        <w:t>7</w:t>
      </w:r>
      <w:r w:rsidRPr="00AF1807">
        <w:rPr>
          <w:rFonts w:cs="Arial"/>
        </w:rPr>
        <w:fldChar w:fldCharType="end"/>
      </w:r>
      <w:bookmarkEnd w:id="93"/>
      <w:r w:rsidRPr="00AF1807">
        <w:rPr>
          <w:rFonts w:cs="Arial"/>
        </w:rPr>
        <w:t xml:space="preserve"> </w:t>
      </w:r>
      <w:r w:rsidR="00A95AB5" w:rsidRPr="00AF1807">
        <w:rPr>
          <w:rFonts w:cs="Arial"/>
        </w:rPr>
        <w:t xml:space="preserve">Measure Case </w:t>
      </w:r>
      <w:r w:rsidRPr="00AF1807">
        <w:rPr>
          <w:rFonts w:cs="Arial"/>
        </w:rPr>
        <w:t>Building Types and Load Shapes</w:t>
      </w:r>
      <w:bookmarkEnd w:id="94"/>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77"/>
        <w:gridCol w:w="2925"/>
        <w:gridCol w:w="2588"/>
      </w:tblGrid>
      <w:tr w:rsidR="00D87EFF" w:rsidRPr="001E4C31" w:rsidTr="001E4C31">
        <w:tc>
          <w:tcPr>
            <w:tcW w:w="1760"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262626"/>
            <w:vAlign w:val="bottom"/>
          </w:tcPr>
          <w:p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D87EFF" w:rsidRPr="0013080C" w:rsidTr="001E4C31">
        <w:tc>
          <w:tcPr>
            <w:tcW w:w="1760" w:type="pct"/>
            <w:shd w:val="pct5" w:color="000000" w:fill="FFFFFF"/>
            <w:vAlign w:val="bottom"/>
          </w:tcPr>
          <w:p w:rsidR="00D87EFF" w:rsidRPr="00DA5D3B" w:rsidRDefault="00391CE7" w:rsidP="001E4C31">
            <w:pPr>
              <w:jc w:val="center"/>
              <w:rPr>
                <w:rFonts w:cs="Arial"/>
                <w:sz w:val="20"/>
                <w:szCs w:val="20"/>
              </w:rPr>
            </w:pPr>
            <w:r w:rsidRPr="00DA5D3B">
              <w:rPr>
                <w:rFonts w:cs="Arial"/>
                <w:sz w:val="20"/>
                <w:szCs w:val="20"/>
              </w:rPr>
              <w:t xml:space="preserve">Single Family </w:t>
            </w:r>
            <w:r w:rsidR="00B06452">
              <w:rPr>
                <w:rFonts w:cs="Arial"/>
                <w:sz w:val="20"/>
                <w:szCs w:val="20"/>
              </w:rPr>
              <w:t>R</w:t>
            </w:r>
            <w:r w:rsidR="00B06452" w:rsidRPr="00DA5D3B">
              <w:rPr>
                <w:rFonts w:cs="Arial"/>
                <w:sz w:val="20"/>
                <w:szCs w:val="20"/>
              </w:rPr>
              <w:t>esidence</w:t>
            </w:r>
          </w:p>
        </w:tc>
        <w:tc>
          <w:tcPr>
            <w:tcW w:w="1729" w:type="pct"/>
            <w:shd w:val="pct5" w:color="000000" w:fill="FFFFFF"/>
            <w:vAlign w:val="bottom"/>
          </w:tcPr>
          <w:p w:rsidR="00D87EFF" w:rsidRPr="00DA5D3B" w:rsidRDefault="00D87EFF" w:rsidP="001E4C31">
            <w:pPr>
              <w:jc w:val="center"/>
              <w:rPr>
                <w:rFonts w:cs="Arial"/>
                <w:sz w:val="20"/>
                <w:szCs w:val="20"/>
              </w:rPr>
            </w:pPr>
            <w:r w:rsidRPr="00DA5D3B">
              <w:rPr>
                <w:rFonts w:cs="Arial"/>
                <w:sz w:val="20"/>
                <w:szCs w:val="20"/>
              </w:rPr>
              <w:t>RES</w:t>
            </w:r>
          </w:p>
        </w:tc>
        <w:tc>
          <w:tcPr>
            <w:tcW w:w="1511" w:type="pct"/>
            <w:shd w:val="pct5" w:color="000000" w:fill="FFFFFF"/>
            <w:vAlign w:val="bottom"/>
          </w:tcPr>
          <w:p w:rsidR="00D87EFF" w:rsidRPr="00DA5D3B" w:rsidRDefault="00391CE7" w:rsidP="001E4C31">
            <w:pPr>
              <w:jc w:val="center"/>
              <w:rPr>
                <w:rFonts w:cs="Arial"/>
                <w:sz w:val="20"/>
                <w:szCs w:val="20"/>
              </w:rPr>
            </w:pPr>
            <w:r w:rsidRPr="00DA5D3B">
              <w:t>DEER:RefgFrzr_HighEff</w:t>
            </w:r>
          </w:p>
        </w:tc>
      </w:tr>
    </w:tbl>
    <w:p w:rsidR="00D87EFF" w:rsidRPr="002E0043" w:rsidRDefault="00D87EFF" w:rsidP="002E0043"/>
    <w:p w:rsidR="0091058D" w:rsidRDefault="00C069A2" w:rsidP="00663A00">
      <w:pPr>
        <w:pStyle w:val="Heading1"/>
        <w:keepNext w:val="0"/>
      </w:pPr>
      <w:bookmarkStart w:id="95" w:name="_Toc304800217"/>
      <w:bookmarkStart w:id="96" w:name="_Toc324318371"/>
      <w:bookmarkStart w:id="97" w:name="_Toc324340500"/>
      <w:bookmarkStart w:id="98" w:name="_Toc354582143"/>
      <w:r>
        <w:t>Section 4</w:t>
      </w:r>
      <w:r w:rsidR="003129E8">
        <w:t>.</w:t>
      </w:r>
      <w:r>
        <w:t xml:space="preserve"> Base Case &amp; Measure Costs</w:t>
      </w:r>
      <w:bookmarkEnd w:id="95"/>
      <w:bookmarkEnd w:id="96"/>
      <w:bookmarkEnd w:id="97"/>
      <w:bookmarkEnd w:id="98"/>
    </w:p>
    <w:p w:rsidR="00B16BE4" w:rsidRDefault="00B16BE4" w:rsidP="00B16BE4"/>
    <w:p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rsidTr="0064609B">
        <w:trPr>
          <w:trHeight w:val="255"/>
        </w:trPr>
        <w:tc>
          <w:tcPr>
            <w:tcW w:w="1964" w:type="dxa"/>
            <w:shd w:val="clear" w:color="auto" w:fill="262626"/>
            <w:noWrap/>
            <w:vAlign w:val="bottom"/>
          </w:tcPr>
          <w:p w:rsidR="00B16BE4" w:rsidRPr="001E4C31" w:rsidRDefault="003541A6" w:rsidP="003541A6">
            <w:pPr>
              <w:jc w:val="center"/>
              <w:rPr>
                <w:rFonts w:cs="Arial"/>
                <w:b/>
              </w:rPr>
            </w:pPr>
            <w:bookmarkStart w:id="99"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rsidR="00B16BE4" w:rsidRPr="001E4C31" w:rsidRDefault="00B16BE4" w:rsidP="001E4C31">
            <w:pPr>
              <w:jc w:val="center"/>
              <w:rPr>
                <w:rFonts w:cs="Arial"/>
                <w:b/>
              </w:rPr>
            </w:pPr>
            <w:r w:rsidRPr="001E4C31">
              <w:rPr>
                <w:rFonts w:cs="Arial"/>
                <w:b/>
              </w:rPr>
              <w:t>First Baseline Period Gross Measure Cost (RUL)</w:t>
            </w:r>
          </w:p>
        </w:tc>
        <w:tc>
          <w:tcPr>
            <w:tcW w:w="2790" w:type="dxa"/>
            <w:shd w:val="clear" w:color="auto" w:fill="262626"/>
            <w:noWrap/>
            <w:vAlign w:val="bottom"/>
          </w:tcPr>
          <w:p w:rsidR="00B16BE4" w:rsidRPr="001E4C31" w:rsidRDefault="00B16BE4" w:rsidP="001E4C31">
            <w:pPr>
              <w:jc w:val="center"/>
              <w:rPr>
                <w:rFonts w:cs="Arial"/>
                <w:b/>
              </w:rPr>
            </w:pPr>
            <w:r w:rsidRPr="001E4C31">
              <w:rPr>
                <w:rFonts w:cs="Arial"/>
                <w:b/>
              </w:rPr>
              <w:t>Second Baseline Period Gross Measure Cost (EUL – RUL)</w:t>
            </w:r>
          </w:p>
        </w:tc>
      </w:tr>
      <w:tr w:rsidR="009B1863" w:rsidRPr="00104A00" w:rsidTr="001E4C31">
        <w:trPr>
          <w:trHeight w:val="170"/>
        </w:trPr>
        <w:tc>
          <w:tcPr>
            <w:tcW w:w="1964" w:type="dxa"/>
            <w:shd w:val="pct20" w:color="000000" w:fill="FFFFFF"/>
            <w:noWrap/>
            <w:vAlign w:val="bottom"/>
          </w:tcPr>
          <w:p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170"/>
        </w:trPr>
        <w:tc>
          <w:tcPr>
            <w:tcW w:w="1964" w:type="dxa"/>
            <w:shd w:val="pct5" w:color="000000" w:fill="FFFFFF"/>
            <w:noWrap/>
            <w:vAlign w:val="bottom"/>
          </w:tcPr>
          <w:p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255"/>
        </w:trPr>
        <w:tc>
          <w:tcPr>
            <w:tcW w:w="1964" w:type="dxa"/>
            <w:shd w:val="pct20" w:color="000000" w:fill="FFFFFF"/>
            <w:noWrap/>
            <w:vAlign w:val="bottom"/>
          </w:tcPr>
          <w:p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RUL/</w:t>
            </w:r>
          </w:p>
          <w:p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rsidR="006D5AAB" w:rsidRDefault="006D5AAB" w:rsidP="00D20486">
      <w:pPr>
        <w:pStyle w:val="Heading2"/>
        <w:keepNext w:val="0"/>
      </w:pPr>
    </w:p>
    <w:p w:rsidR="001B242B" w:rsidRPr="00F55847" w:rsidRDefault="00C069A2" w:rsidP="00D20486">
      <w:pPr>
        <w:pStyle w:val="Heading2"/>
        <w:keepNext w:val="0"/>
      </w:pPr>
      <w:bookmarkStart w:id="100" w:name="_Toc324318372"/>
      <w:bookmarkStart w:id="101" w:name="_Toc324340501"/>
      <w:bookmarkStart w:id="102" w:name="_Toc354582144"/>
      <w:r>
        <w:t>4.1 Base Case</w:t>
      </w:r>
      <w:r w:rsidR="00C221D5">
        <w:t>(</w:t>
      </w:r>
      <w:r>
        <w:t>s</w:t>
      </w:r>
      <w:r w:rsidR="00C221D5">
        <w:t>)</w:t>
      </w:r>
      <w:r>
        <w:t xml:space="preserve"> Costs</w:t>
      </w:r>
      <w:bookmarkEnd w:id="99"/>
      <w:bookmarkEnd w:id="100"/>
      <w:bookmarkEnd w:id="101"/>
      <w:bookmarkEnd w:id="102"/>
    </w:p>
    <w:p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w:t>
      </w:r>
      <w:r w:rsidRPr="005479CB">
        <w:rPr>
          <w:rFonts w:cs="Arial"/>
          <w:sz w:val="20"/>
          <w:szCs w:val="20"/>
        </w:rPr>
        <w:t xml:space="preserve"> is</w:t>
      </w:r>
      <w:r>
        <w:rPr>
          <w:rFonts w:cs="Arial"/>
          <w:sz w:val="20"/>
          <w:szCs w:val="20"/>
        </w:rPr>
        <w:t xml:space="preserve"> appropriate to </w:t>
      </w:r>
      <w:r w:rsidRPr="00B06452">
        <w:rPr>
          <w:rFonts w:cs="Arial"/>
          <w:sz w:val="20"/>
          <w:szCs w:val="20"/>
        </w:rPr>
        <w:t>this</w:t>
      </w:r>
      <w:r w:rsidR="00B06452">
        <w:rPr>
          <w:rFonts w:cs="Arial"/>
          <w:sz w:val="20"/>
          <w:szCs w:val="20"/>
        </w:rPr>
        <w:t xml:space="preserve"> program</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rsidR="00BD0D15" w:rsidRDefault="00BD0D15" w:rsidP="00AB2D9E">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A01631">
        <w:tc>
          <w:tcPr>
            <w:tcW w:w="1028" w:type="dxa"/>
            <w:shd w:val="clear" w:color="auto" w:fill="auto"/>
          </w:tcPr>
          <w:p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rsidR="00DD1C47" w:rsidRDefault="00DD1C47" w:rsidP="00AB2D9E">
            <w:pPr>
              <w:rPr>
                <w:rFonts w:cs="Arial"/>
                <w:b/>
                <w:sz w:val="20"/>
                <w:szCs w:val="20"/>
              </w:rPr>
            </w:pPr>
            <w:r w:rsidRPr="00A01631">
              <w:rPr>
                <w:rFonts w:cs="Arial"/>
                <w:b/>
                <w:sz w:val="20"/>
                <w:szCs w:val="20"/>
              </w:rPr>
              <w:t>Baseline</w:t>
            </w:r>
          </w:p>
          <w:p w:rsidR="00B06452" w:rsidRPr="00B06452" w:rsidRDefault="00B06452" w:rsidP="00B06452">
            <w:pPr>
              <w:rPr>
                <w:rFonts w:cs="Arial"/>
                <w:b/>
                <w:i/>
                <w:sz w:val="18"/>
                <w:szCs w:val="18"/>
              </w:rPr>
            </w:pPr>
            <w:r w:rsidRPr="00B06452">
              <w:rPr>
                <w:rFonts w:cs="Arial"/>
                <w:b/>
                <w:i/>
                <w:sz w:val="18"/>
                <w:szCs w:val="18"/>
              </w:rPr>
              <w:t>(Control Group)</w:t>
            </w:r>
          </w:p>
        </w:tc>
        <w:tc>
          <w:tcPr>
            <w:tcW w:w="1440" w:type="dxa"/>
            <w:shd w:val="clear" w:color="auto" w:fill="auto"/>
          </w:tcPr>
          <w:p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rsidTr="00A01631">
        <w:tc>
          <w:tcPr>
            <w:tcW w:w="1028" w:type="dxa"/>
            <w:shd w:val="clear" w:color="auto" w:fill="auto"/>
          </w:tcPr>
          <w:p w:rsidR="00DD1C47" w:rsidRPr="00A01631" w:rsidRDefault="009B46A6" w:rsidP="00AB2D9E">
            <w:pPr>
              <w:rPr>
                <w:rFonts w:cs="Arial"/>
                <w:i/>
                <w:sz w:val="20"/>
                <w:szCs w:val="20"/>
              </w:rPr>
            </w:pPr>
            <w:r>
              <w:rPr>
                <w:rFonts w:cs="Arial"/>
                <w:i/>
                <w:sz w:val="20"/>
                <w:szCs w:val="20"/>
              </w:rPr>
              <w:t>All</w:t>
            </w:r>
          </w:p>
        </w:tc>
        <w:tc>
          <w:tcPr>
            <w:tcW w:w="1420" w:type="dxa"/>
            <w:shd w:val="clear" w:color="auto" w:fill="auto"/>
          </w:tcPr>
          <w:p w:rsidR="00DD1C47" w:rsidRPr="00A01631" w:rsidRDefault="00430775" w:rsidP="00AB2D9E">
            <w:pPr>
              <w:rPr>
                <w:rFonts w:cs="Arial"/>
                <w:i/>
                <w:sz w:val="20"/>
                <w:szCs w:val="20"/>
              </w:rPr>
            </w:pPr>
            <w:r w:rsidRPr="005479CB">
              <w:rPr>
                <w:rFonts w:cs="Arial"/>
                <w:sz w:val="20"/>
                <w:szCs w:val="20"/>
              </w:rPr>
              <w:t>ROB</w:t>
            </w:r>
          </w:p>
        </w:tc>
        <w:tc>
          <w:tcPr>
            <w:tcW w:w="1620" w:type="dxa"/>
            <w:shd w:val="clear" w:color="auto" w:fill="auto"/>
          </w:tcPr>
          <w:p w:rsidR="00DD1C47" w:rsidRPr="00A01631" w:rsidRDefault="009B46A6" w:rsidP="00AB2D9E">
            <w:pPr>
              <w:rPr>
                <w:rFonts w:cs="Arial"/>
                <w:i/>
                <w:sz w:val="20"/>
                <w:szCs w:val="20"/>
              </w:rPr>
            </w:pPr>
            <w:r>
              <w:rPr>
                <w:rFonts w:cs="Arial"/>
                <w:i/>
                <w:sz w:val="20"/>
                <w:szCs w:val="20"/>
              </w:rPr>
              <w:t xml:space="preserve">Existing Customer Behavior </w:t>
            </w:r>
          </w:p>
        </w:tc>
        <w:tc>
          <w:tcPr>
            <w:tcW w:w="1440" w:type="dxa"/>
            <w:shd w:val="clear" w:color="auto" w:fill="auto"/>
          </w:tcPr>
          <w:p w:rsidR="00DD1C47" w:rsidRPr="00A01631" w:rsidRDefault="009B46A6" w:rsidP="00AB2D9E">
            <w:pPr>
              <w:rPr>
                <w:rFonts w:cs="Arial"/>
                <w:i/>
                <w:sz w:val="20"/>
                <w:szCs w:val="20"/>
              </w:rPr>
            </w:pPr>
            <w:r>
              <w:rPr>
                <w:rFonts w:cs="Arial"/>
                <w:i/>
                <w:sz w:val="20"/>
                <w:szCs w:val="20"/>
              </w:rPr>
              <w:t>0</w:t>
            </w:r>
          </w:p>
        </w:tc>
        <w:tc>
          <w:tcPr>
            <w:tcW w:w="1341" w:type="dxa"/>
            <w:shd w:val="clear" w:color="auto" w:fill="auto"/>
          </w:tcPr>
          <w:p w:rsidR="00DD1C47" w:rsidRPr="00A01631" w:rsidRDefault="009B46A6" w:rsidP="00AB2D9E">
            <w:pPr>
              <w:rPr>
                <w:rFonts w:cs="Arial"/>
                <w:i/>
                <w:sz w:val="20"/>
                <w:szCs w:val="20"/>
              </w:rPr>
            </w:pPr>
            <w:r>
              <w:rPr>
                <w:rFonts w:cs="Arial"/>
                <w:i/>
                <w:sz w:val="20"/>
                <w:szCs w:val="20"/>
              </w:rPr>
              <w:t>0</w:t>
            </w:r>
          </w:p>
        </w:tc>
        <w:tc>
          <w:tcPr>
            <w:tcW w:w="1513" w:type="dxa"/>
            <w:shd w:val="clear" w:color="auto" w:fill="auto"/>
          </w:tcPr>
          <w:p w:rsidR="00DD1C47" w:rsidRPr="00A01631" w:rsidRDefault="009B46A6" w:rsidP="00AB2D9E">
            <w:pPr>
              <w:rPr>
                <w:rFonts w:cs="Arial"/>
                <w:i/>
                <w:sz w:val="20"/>
                <w:szCs w:val="20"/>
              </w:rPr>
            </w:pPr>
            <w:r>
              <w:rPr>
                <w:rFonts w:cs="Arial"/>
                <w:i/>
                <w:sz w:val="20"/>
                <w:szCs w:val="20"/>
              </w:rPr>
              <w:t>0</w:t>
            </w:r>
          </w:p>
        </w:tc>
        <w:tc>
          <w:tcPr>
            <w:tcW w:w="1214" w:type="dxa"/>
            <w:shd w:val="clear" w:color="auto" w:fill="auto"/>
          </w:tcPr>
          <w:p w:rsidR="00DD1C47" w:rsidRPr="00A01631" w:rsidRDefault="009B46A6" w:rsidP="00AB2D9E">
            <w:pPr>
              <w:rPr>
                <w:rFonts w:cs="Arial"/>
                <w:i/>
                <w:sz w:val="20"/>
                <w:szCs w:val="20"/>
              </w:rPr>
            </w:pPr>
            <w:r>
              <w:rPr>
                <w:rFonts w:cs="Arial"/>
                <w:i/>
                <w:sz w:val="20"/>
                <w:szCs w:val="20"/>
              </w:rPr>
              <w:t>0</w:t>
            </w:r>
          </w:p>
        </w:tc>
      </w:tr>
    </w:tbl>
    <w:p w:rsidR="00BD0D15" w:rsidRPr="00DD1C47" w:rsidRDefault="00DD1C47" w:rsidP="00AB2D9E">
      <w:pPr>
        <w:rPr>
          <w:rFonts w:cs="Arial"/>
          <w:i/>
          <w:sz w:val="20"/>
          <w:szCs w:val="20"/>
        </w:rPr>
      </w:pPr>
      <w:r w:rsidRPr="00DD1C47">
        <w:rPr>
          <w:rFonts w:cs="Arial"/>
          <w:i/>
          <w:sz w:val="20"/>
          <w:szCs w:val="20"/>
        </w:rPr>
        <w:t>All costs are noted as $ per measure unit</w:t>
      </w:r>
    </w:p>
    <w:p w:rsidR="00BD0D15" w:rsidRDefault="00BD0D15" w:rsidP="00AB2D9E">
      <w:pPr>
        <w:rPr>
          <w:i/>
        </w:rPr>
      </w:pPr>
    </w:p>
    <w:p w:rsidR="00C069A2" w:rsidRDefault="00663A00" w:rsidP="002E0043">
      <w:pPr>
        <w:pStyle w:val="Heading2"/>
        <w:keepNext w:val="0"/>
      </w:pPr>
      <w:bookmarkStart w:id="103" w:name="_Toc304800219"/>
      <w:bookmarkStart w:id="104" w:name="_Toc324318373"/>
      <w:bookmarkStart w:id="105" w:name="_Toc324340502"/>
      <w:bookmarkStart w:id="106" w:name="_Toc354582145"/>
      <w:r>
        <w:t>4.2 Meas</w:t>
      </w:r>
      <w:r w:rsidR="00C069A2">
        <w:t xml:space="preserve">ure </w:t>
      </w:r>
      <w:r w:rsidR="00930877">
        <w:t xml:space="preserve">Case </w:t>
      </w:r>
      <w:r w:rsidR="00C069A2">
        <w:t>Costs</w:t>
      </w:r>
      <w:bookmarkEnd w:id="103"/>
      <w:bookmarkEnd w:id="104"/>
      <w:bookmarkEnd w:id="105"/>
      <w:bookmarkEnd w:id="106"/>
      <w:r w:rsidR="00930877">
        <w:t xml:space="preserve"> </w:t>
      </w:r>
    </w:p>
    <w:p w:rsidR="00DD1C47" w:rsidRPr="00B06452"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Pr="00195F2F">
        <w:rPr>
          <w:rFonts w:cs="Arial"/>
          <w:sz w:val="20"/>
          <w:szCs w:val="20"/>
        </w:rPr>
        <w:t>) is</w:t>
      </w:r>
      <w:r>
        <w:rPr>
          <w:rFonts w:cs="Arial"/>
          <w:sz w:val="20"/>
          <w:szCs w:val="20"/>
        </w:rPr>
        <w:t xml:space="preserve"> appropriate to </w:t>
      </w:r>
      <w:r w:rsidRPr="00B06452">
        <w:rPr>
          <w:rFonts w:cs="Arial"/>
          <w:sz w:val="20"/>
          <w:szCs w:val="20"/>
        </w:rPr>
        <w:t>this</w:t>
      </w:r>
      <w:r w:rsidR="00B06452" w:rsidRPr="00B06452">
        <w:rPr>
          <w:rFonts w:cs="Arial"/>
          <w:sz w:val="20"/>
          <w:szCs w:val="20"/>
        </w:rPr>
        <w:t xml:space="preserve"> program</w:t>
      </w:r>
      <w:r w:rsidRPr="00B06452">
        <w:rPr>
          <w:rFonts w:cs="Arial"/>
          <w:sz w:val="20"/>
          <w:szCs w:val="20"/>
        </w:rPr>
        <w:t>. The Measure Case Costs are:</w:t>
      </w:r>
    </w:p>
    <w:p w:rsidR="00DD1C47" w:rsidRPr="00EE0F69"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710"/>
        <w:gridCol w:w="1350"/>
        <w:gridCol w:w="1341"/>
        <w:gridCol w:w="1513"/>
        <w:gridCol w:w="1214"/>
      </w:tblGrid>
      <w:tr w:rsidR="00DD1C47" w:rsidRPr="00B06452" w:rsidTr="00B06452">
        <w:tc>
          <w:tcPr>
            <w:tcW w:w="1028" w:type="dxa"/>
            <w:shd w:val="clear" w:color="auto" w:fill="auto"/>
          </w:tcPr>
          <w:p w:rsidR="00DD1C47" w:rsidRPr="00B06452" w:rsidRDefault="00DD1C47" w:rsidP="003F57BD">
            <w:pPr>
              <w:rPr>
                <w:rFonts w:cs="Arial"/>
                <w:b/>
                <w:i/>
                <w:sz w:val="20"/>
                <w:szCs w:val="20"/>
              </w:rPr>
            </w:pPr>
            <w:r w:rsidRPr="00B06452">
              <w:rPr>
                <w:rFonts w:cs="Arial"/>
                <w:b/>
                <w:i/>
                <w:sz w:val="20"/>
                <w:szCs w:val="20"/>
              </w:rPr>
              <w:t>Measure Code</w:t>
            </w:r>
          </w:p>
        </w:tc>
        <w:tc>
          <w:tcPr>
            <w:tcW w:w="1420" w:type="dxa"/>
            <w:shd w:val="clear" w:color="auto" w:fill="auto"/>
          </w:tcPr>
          <w:p w:rsidR="00DD1C47" w:rsidRPr="00B06452" w:rsidRDefault="003541A6" w:rsidP="003541A6">
            <w:pPr>
              <w:rPr>
                <w:rFonts w:cs="Arial"/>
                <w:b/>
                <w:sz w:val="20"/>
                <w:szCs w:val="20"/>
              </w:rPr>
            </w:pPr>
            <w:r w:rsidRPr="00B06452">
              <w:rPr>
                <w:rFonts w:cs="Arial"/>
                <w:b/>
                <w:sz w:val="20"/>
                <w:szCs w:val="20"/>
              </w:rPr>
              <w:t>Measure Application Type</w:t>
            </w:r>
          </w:p>
        </w:tc>
        <w:tc>
          <w:tcPr>
            <w:tcW w:w="1710" w:type="dxa"/>
            <w:shd w:val="clear" w:color="auto" w:fill="auto"/>
          </w:tcPr>
          <w:p w:rsidR="00DD1C47" w:rsidRDefault="00B06452" w:rsidP="003F57BD">
            <w:pPr>
              <w:rPr>
                <w:rFonts w:cs="Arial"/>
                <w:b/>
                <w:sz w:val="20"/>
                <w:szCs w:val="20"/>
              </w:rPr>
            </w:pPr>
            <w:r>
              <w:rPr>
                <w:rFonts w:cs="Arial"/>
                <w:b/>
                <w:sz w:val="20"/>
                <w:szCs w:val="20"/>
              </w:rPr>
              <w:t>Measure Usage</w:t>
            </w:r>
          </w:p>
          <w:p w:rsidR="00B06452" w:rsidRPr="00B06452" w:rsidRDefault="00B06452" w:rsidP="003F57BD">
            <w:pPr>
              <w:rPr>
                <w:rFonts w:cs="Arial"/>
                <w:b/>
                <w:sz w:val="18"/>
                <w:szCs w:val="18"/>
              </w:rPr>
            </w:pPr>
            <w:r w:rsidRPr="00B06452">
              <w:rPr>
                <w:rFonts w:cs="Arial"/>
                <w:b/>
                <w:sz w:val="18"/>
                <w:szCs w:val="18"/>
              </w:rPr>
              <w:t>(Treatment Group)</w:t>
            </w:r>
          </w:p>
        </w:tc>
        <w:tc>
          <w:tcPr>
            <w:tcW w:w="1350" w:type="dxa"/>
            <w:shd w:val="clear" w:color="auto" w:fill="auto"/>
          </w:tcPr>
          <w:p w:rsidR="00DD1C47" w:rsidRPr="00B06452" w:rsidRDefault="00DD1C47" w:rsidP="003F57BD">
            <w:pPr>
              <w:rPr>
                <w:rFonts w:cs="Arial"/>
                <w:b/>
                <w:sz w:val="20"/>
                <w:szCs w:val="20"/>
              </w:rPr>
            </w:pPr>
            <w:r w:rsidRPr="00B06452">
              <w:rPr>
                <w:rFonts w:cs="Arial"/>
                <w:b/>
                <w:sz w:val="20"/>
                <w:szCs w:val="20"/>
              </w:rPr>
              <w:t>Equipment Cost</w:t>
            </w:r>
          </w:p>
        </w:tc>
        <w:tc>
          <w:tcPr>
            <w:tcW w:w="1341" w:type="dxa"/>
            <w:shd w:val="clear" w:color="auto" w:fill="auto"/>
          </w:tcPr>
          <w:p w:rsidR="00DD1C47" w:rsidRPr="00B06452" w:rsidRDefault="00DD1C47" w:rsidP="003F57BD">
            <w:pPr>
              <w:rPr>
                <w:rFonts w:cs="Arial"/>
                <w:b/>
                <w:sz w:val="20"/>
                <w:szCs w:val="20"/>
              </w:rPr>
            </w:pPr>
            <w:r w:rsidRPr="00B06452">
              <w:rPr>
                <w:rFonts w:cs="Arial"/>
                <w:b/>
                <w:sz w:val="20"/>
                <w:szCs w:val="20"/>
              </w:rPr>
              <w:t>Labor / Installation Cost</w:t>
            </w:r>
          </w:p>
        </w:tc>
        <w:tc>
          <w:tcPr>
            <w:tcW w:w="1513" w:type="dxa"/>
            <w:shd w:val="clear" w:color="auto" w:fill="auto"/>
          </w:tcPr>
          <w:p w:rsidR="00DD1C47" w:rsidRPr="00B06452" w:rsidRDefault="00DD1C47" w:rsidP="003F57BD">
            <w:pPr>
              <w:rPr>
                <w:rFonts w:cs="Arial"/>
                <w:b/>
                <w:sz w:val="20"/>
                <w:szCs w:val="20"/>
              </w:rPr>
            </w:pPr>
            <w:r w:rsidRPr="00B06452">
              <w:rPr>
                <w:rFonts w:cs="Arial"/>
                <w:b/>
                <w:sz w:val="20"/>
                <w:szCs w:val="20"/>
              </w:rPr>
              <w:t>Maintenance / Other Cost</w:t>
            </w:r>
          </w:p>
        </w:tc>
        <w:tc>
          <w:tcPr>
            <w:tcW w:w="1214" w:type="dxa"/>
            <w:shd w:val="clear" w:color="auto" w:fill="auto"/>
          </w:tcPr>
          <w:p w:rsidR="00DD1C47" w:rsidRPr="00B06452" w:rsidRDefault="00DD1C47" w:rsidP="003F57BD">
            <w:pPr>
              <w:rPr>
                <w:rFonts w:cs="Arial"/>
                <w:b/>
                <w:sz w:val="20"/>
                <w:szCs w:val="20"/>
              </w:rPr>
            </w:pPr>
            <w:r w:rsidRPr="00B06452">
              <w:rPr>
                <w:rFonts w:cs="Arial"/>
                <w:b/>
                <w:sz w:val="20"/>
                <w:szCs w:val="20"/>
              </w:rPr>
              <w:t>Total Measure Case Cost</w:t>
            </w:r>
          </w:p>
        </w:tc>
      </w:tr>
      <w:tr w:rsidR="00DD1C47" w:rsidRPr="00A01631" w:rsidTr="00B06452">
        <w:tc>
          <w:tcPr>
            <w:tcW w:w="1028" w:type="dxa"/>
            <w:shd w:val="clear" w:color="auto" w:fill="auto"/>
          </w:tcPr>
          <w:p w:rsidR="00DD1C47" w:rsidRPr="00EE0F69" w:rsidRDefault="00DD1C47" w:rsidP="003F57BD">
            <w:pPr>
              <w:rPr>
                <w:rFonts w:cs="Arial"/>
                <w:i/>
                <w:sz w:val="20"/>
                <w:szCs w:val="20"/>
              </w:rPr>
            </w:pPr>
          </w:p>
        </w:tc>
        <w:tc>
          <w:tcPr>
            <w:tcW w:w="1420" w:type="dxa"/>
            <w:shd w:val="clear" w:color="auto" w:fill="auto"/>
          </w:tcPr>
          <w:p w:rsidR="00DD1C47" w:rsidRPr="00B06452" w:rsidRDefault="006B7EDD" w:rsidP="003F57BD">
            <w:pPr>
              <w:rPr>
                <w:rFonts w:cs="Arial"/>
                <w:i/>
                <w:sz w:val="20"/>
                <w:szCs w:val="20"/>
              </w:rPr>
            </w:pPr>
            <w:r w:rsidRPr="00B06452">
              <w:rPr>
                <w:rFonts w:cs="Arial"/>
                <w:sz w:val="20"/>
                <w:szCs w:val="20"/>
              </w:rPr>
              <w:t>ROB</w:t>
            </w:r>
          </w:p>
        </w:tc>
        <w:tc>
          <w:tcPr>
            <w:tcW w:w="1710" w:type="dxa"/>
            <w:shd w:val="clear" w:color="auto" w:fill="auto"/>
          </w:tcPr>
          <w:p w:rsidR="00DD1C47" w:rsidRPr="00A01631" w:rsidRDefault="009B46A6" w:rsidP="003F57BD">
            <w:pPr>
              <w:rPr>
                <w:rFonts w:cs="Arial"/>
                <w:i/>
                <w:sz w:val="20"/>
                <w:szCs w:val="20"/>
              </w:rPr>
            </w:pPr>
            <w:r w:rsidRPr="00B06452">
              <w:rPr>
                <w:rFonts w:cs="Arial"/>
                <w:i/>
                <w:sz w:val="20"/>
                <w:szCs w:val="20"/>
              </w:rPr>
              <w:t>Resulting Customer Behavior</w:t>
            </w:r>
          </w:p>
        </w:tc>
        <w:tc>
          <w:tcPr>
            <w:tcW w:w="1350" w:type="dxa"/>
            <w:shd w:val="clear" w:color="auto" w:fill="auto"/>
          </w:tcPr>
          <w:p w:rsidR="00DD1C47" w:rsidRPr="00A01631" w:rsidRDefault="00B06452" w:rsidP="003F57BD">
            <w:pPr>
              <w:rPr>
                <w:rFonts w:cs="Arial"/>
                <w:i/>
                <w:sz w:val="20"/>
                <w:szCs w:val="20"/>
              </w:rPr>
            </w:pPr>
            <w:r>
              <w:rPr>
                <w:rFonts w:cs="Arial"/>
                <w:i/>
                <w:sz w:val="20"/>
                <w:szCs w:val="20"/>
              </w:rPr>
              <w:t>0</w:t>
            </w:r>
          </w:p>
        </w:tc>
        <w:tc>
          <w:tcPr>
            <w:tcW w:w="1341" w:type="dxa"/>
            <w:shd w:val="clear" w:color="auto" w:fill="auto"/>
          </w:tcPr>
          <w:p w:rsidR="00DD1C47" w:rsidRPr="00A01631" w:rsidRDefault="00B06452" w:rsidP="003F57BD">
            <w:pPr>
              <w:rPr>
                <w:rFonts w:cs="Arial"/>
                <w:i/>
                <w:sz w:val="20"/>
                <w:szCs w:val="20"/>
              </w:rPr>
            </w:pPr>
            <w:r>
              <w:rPr>
                <w:rFonts w:cs="Arial"/>
                <w:i/>
                <w:sz w:val="20"/>
                <w:szCs w:val="20"/>
              </w:rPr>
              <w:t>0</w:t>
            </w:r>
          </w:p>
        </w:tc>
        <w:tc>
          <w:tcPr>
            <w:tcW w:w="1513" w:type="dxa"/>
            <w:shd w:val="clear" w:color="auto" w:fill="auto"/>
          </w:tcPr>
          <w:p w:rsidR="00DD1C47" w:rsidRPr="00A01631" w:rsidRDefault="00B06452" w:rsidP="003F57BD">
            <w:pPr>
              <w:rPr>
                <w:rFonts w:cs="Arial"/>
                <w:i/>
                <w:sz w:val="20"/>
                <w:szCs w:val="20"/>
              </w:rPr>
            </w:pPr>
            <w:r>
              <w:rPr>
                <w:rFonts w:cs="Arial"/>
                <w:i/>
                <w:sz w:val="20"/>
                <w:szCs w:val="20"/>
              </w:rPr>
              <w:t>0</w:t>
            </w:r>
          </w:p>
        </w:tc>
        <w:tc>
          <w:tcPr>
            <w:tcW w:w="1214" w:type="dxa"/>
            <w:shd w:val="clear" w:color="auto" w:fill="auto"/>
          </w:tcPr>
          <w:p w:rsidR="00DD1C47" w:rsidRPr="00A01631" w:rsidRDefault="00B06452" w:rsidP="003F57BD">
            <w:pPr>
              <w:rPr>
                <w:rFonts w:cs="Arial"/>
                <w:i/>
                <w:sz w:val="20"/>
                <w:szCs w:val="20"/>
              </w:rPr>
            </w:pPr>
            <w:r>
              <w:rPr>
                <w:rFonts w:cs="Arial"/>
                <w:i/>
                <w:sz w:val="20"/>
                <w:szCs w:val="20"/>
              </w:rPr>
              <w:t>0</w:t>
            </w:r>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30550A" w:rsidRDefault="0030550A" w:rsidP="002E0043">
      <w:pPr>
        <w:pStyle w:val="Heading2"/>
        <w:keepNext w:val="0"/>
      </w:pPr>
      <w:bookmarkStart w:id="107" w:name="_Toc304800220"/>
      <w:bookmarkStart w:id="108" w:name="_Toc324318374"/>
      <w:bookmarkStart w:id="109" w:name="_Toc324340503"/>
      <w:bookmarkStart w:id="110" w:name="_Toc354582146"/>
      <w:r>
        <w:t>4.3 Incremental &amp; Full Measure Costs</w:t>
      </w:r>
      <w:bookmarkEnd w:id="107"/>
      <w:bookmarkEnd w:id="108"/>
      <w:bookmarkEnd w:id="109"/>
      <w:bookmarkEnd w:id="11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rsidTr="0064609B">
        <w:trPr>
          <w:trHeight w:val="255"/>
        </w:trPr>
        <w:tc>
          <w:tcPr>
            <w:tcW w:w="1305" w:type="dxa"/>
            <w:shd w:val="clear" w:color="auto" w:fill="0D0D0D"/>
            <w:noWrap/>
            <w:vAlign w:val="bottom"/>
          </w:tcPr>
          <w:p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rsidR="003F57BD" w:rsidRPr="00623BA1" w:rsidRDefault="003F57BD" w:rsidP="00623BA1">
            <w:pPr>
              <w:jc w:val="center"/>
              <w:rPr>
                <w:rFonts w:cs="Arial"/>
                <w:b/>
                <w:sz w:val="20"/>
                <w:szCs w:val="20"/>
              </w:rPr>
            </w:pPr>
            <w:r w:rsidRPr="00623BA1">
              <w:rPr>
                <w:rFonts w:cs="Arial"/>
                <w:b/>
                <w:sz w:val="20"/>
                <w:szCs w:val="20"/>
              </w:rPr>
              <w:t>Gross Measure Cost</w:t>
            </w:r>
          </w:p>
          <w:p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Gross Measure Cost</w:t>
            </w:r>
          </w:p>
          <w:p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Incremental Measure Cost</w:t>
            </w:r>
          </w:p>
        </w:tc>
      </w:tr>
      <w:tr w:rsidR="003F57BD" w:rsidRPr="003F57BD" w:rsidTr="00F30878">
        <w:trPr>
          <w:trHeight w:val="170"/>
        </w:trPr>
        <w:tc>
          <w:tcPr>
            <w:tcW w:w="1305"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cs="Arial"/>
          <w:i/>
        </w:rPr>
      </w:pPr>
    </w:p>
    <w:p w:rsidR="001E4C31" w:rsidRPr="001E4C31" w:rsidRDefault="003F57BD" w:rsidP="001E4C31">
      <w:pPr>
        <w:pStyle w:val="Heading1"/>
        <w:rPr>
          <w:i/>
        </w:rPr>
      </w:pPr>
      <w:bookmarkStart w:id="111" w:name="_Toc324318375"/>
      <w:bookmarkStart w:id="112" w:name="_Toc324340504"/>
      <w:bookmarkStart w:id="113" w:name="_Toc354582147"/>
      <w:r w:rsidRPr="003F57BD">
        <w:rPr>
          <w:i/>
        </w:rPr>
        <w:t>4.3.1 Gross Measure Cost</w:t>
      </w:r>
      <w:bookmarkEnd w:id="111"/>
      <w:bookmarkEnd w:id="112"/>
      <w:bookmarkEnd w:id="113"/>
    </w:p>
    <w:p w:rsidR="003F57BD" w:rsidRPr="003F57BD" w:rsidRDefault="003F57BD" w:rsidP="003F57BD">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p>
    <w:p w:rsidR="00F32479" w:rsidRDefault="00F32479" w:rsidP="00F32479">
      <w:pPr>
        <w:rPr>
          <w:rFonts w:cs="Arial"/>
          <w:sz w:val="20"/>
          <w:szCs w:val="20"/>
          <w:highlight w:val="yellow"/>
        </w:rPr>
      </w:pPr>
    </w:p>
    <w:p w:rsidR="00F32479" w:rsidRPr="00EE0F69" w:rsidRDefault="00F32479" w:rsidP="00F32479">
      <w:pPr>
        <w:rPr>
          <w:rFonts w:cs="Arial"/>
          <w:sz w:val="20"/>
          <w:szCs w:val="20"/>
        </w:rPr>
      </w:pPr>
      <w:r w:rsidRPr="00EE0F69">
        <w:rPr>
          <w:rFonts w:cs="Arial"/>
          <w:sz w:val="20"/>
          <w:szCs w:val="20"/>
        </w:rPr>
        <w:t xml:space="preserve">This </w:t>
      </w:r>
      <w:r w:rsidR="003541A6" w:rsidRPr="00EE0F69">
        <w:rPr>
          <w:rFonts w:cs="Arial"/>
          <w:sz w:val="20"/>
          <w:szCs w:val="20"/>
        </w:rPr>
        <w:t>Measure Application Type</w:t>
      </w:r>
      <w:r w:rsidRPr="00EE0F69">
        <w:rPr>
          <w:rFonts w:cs="Arial"/>
          <w:sz w:val="20"/>
          <w:szCs w:val="20"/>
        </w:rPr>
        <w:t xml:space="preserve"> is</w:t>
      </w:r>
      <w:r w:rsidR="003541A6" w:rsidRPr="00EE0F69">
        <w:rPr>
          <w:rFonts w:cs="Arial"/>
          <w:sz w:val="20"/>
          <w:szCs w:val="20"/>
        </w:rPr>
        <w:t xml:space="preserve"> </w:t>
      </w:r>
      <w:r w:rsidRPr="00EE0F69">
        <w:rPr>
          <w:rFonts w:cs="Arial"/>
          <w:b/>
          <w:sz w:val="20"/>
          <w:szCs w:val="20"/>
        </w:rPr>
        <w:t>ROB</w:t>
      </w:r>
      <w:r w:rsidRPr="00EE0F69">
        <w:rPr>
          <w:rFonts w:cs="Arial"/>
          <w:sz w:val="20"/>
          <w:szCs w:val="20"/>
        </w:rPr>
        <w:t>, so the Gross Measure Cost (GMC) is represented by the equation below:</w:t>
      </w:r>
    </w:p>
    <w:p w:rsidR="00F32479" w:rsidRPr="00EE0F69" w:rsidRDefault="00F32479" w:rsidP="00F32479">
      <w:pPr>
        <w:rPr>
          <w:rFonts w:cs="Arial"/>
          <w:sz w:val="20"/>
          <w:szCs w:val="20"/>
        </w:rPr>
      </w:pPr>
    </w:p>
    <w:p w:rsidR="00F32479" w:rsidRPr="00EE0F69" w:rsidRDefault="00F32479" w:rsidP="00F32479">
      <w:pPr>
        <w:ind w:firstLine="720"/>
        <w:rPr>
          <w:rFonts w:cs="Arial"/>
          <w:sz w:val="20"/>
          <w:szCs w:val="20"/>
        </w:rPr>
      </w:pPr>
      <w:r w:rsidRPr="00EE0F69">
        <w:rPr>
          <w:rFonts w:cs="Arial"/>
          <w:sz w:val="20"/>
          <w:szCs w:val="20"/>
        </w:rPr>
        <w:t>GMC = (Measure Equipment Cost + Measure Labor Cost) –</w:t>
      </w:r>
    </w:p>
    <w:p w:rsidR="00F32479" w:rsidRPr="00EE0F69" w:rsidRDefault="00437BE1" w:rsidP="00F32479">
      <w:pPr>
        <w:ind w:left="720" w:firstLine="720"/>
        <w:rPr>
          <w:rFonts w:cs="Arial"/>
          <w:sz w:val="20"/>
          <w:szCs w:val="20"/>
        </w:rPr>
      </w:pPr>
      <w:r w:rsidRPr="00EE0F69">
        <w:rPr>
          <w:rFonts w:cs="Arial"/>
          <w:sz w:val="20"/>
          <w:szCs w:val="20"/>
        </w:rPr>
        <w:t xml:space="preserve"> </w:t>
      </w:r>
      <w:r w:rsidR="00F32479" w:rsidRPr="00EE0F69">
        <w:rPr>
          <w:rFonts w:cs="Arial"/>
          <w:sz w:val="20"/>
          <w:szCs w:val="20"/>
        </w:rPr>
        <w:t xml:space="preserve">  (Base Case Equipment Cost + Base Case Labor Cost)</w:t>
      </w:r>
    </w:p>
    <w:p w:rsidR="00F32479" w:rsidRPr="00EE0F69" w:rsidRDefault="00F32479" w:rsidP="00F32479">
      <w:pPr>
        <w:rPr>
          <w:rFonts w:cs="Arial"/>
          <w:b/>
          <w:sz w:val="20"/>
          <w:szCs w:val="20"/>
        </w:rPr>
      </w:pPr>
    </w:p>
    <w:p w:rsidR="00F32479" w:rsidRPr="00EE0F69" w:rsidRDefault="00F32479" w:rsidP="00F32479">
      <w:pPr>
        <w:ind w:left="720" w:right="720"/>
        <w:rPr>
          <w:rFonts w:cs="Arial"/>
          <w:sz w:val="20"/>
          <w:szCs w:val="20"/>
        </w:rPr>
      </w:pPr>
      <w:r w:rsidRPr="00EE0F69">
        <w:rPr>
          <w:rFonts w:cs="Arial"/>
          <w:sz w:val="20"/>
          <w:szCs w:val="20"/>
        </w:rPr>
        <w:t>*Note: We assume that, unless stated otherwise, the measure case labor and base case labor are assumed to be the same value reducing the equation to the following:</w:t>
      </w:r>
    </w:p>
    <w:p w:rsidR="00F32479" w:rsidRPr="00EE0F69" w:rsidRDefault="00F32479" w:rsidP="00F32479">
      <w:pPr>
        <w:ind w:left="720" w:right="720"/>
        <w:rPr>
          <w:rFonts w:cs="Arial"/>
          <w:sz w:val="20"/>
          <w:szCs w:val="20"/>
        </w:rPr>
      </w:pPr>
    </w:p>
    <w:p w:rsidR="00F32479" w:rsidRPr="00EE0F69" w:rsidRDefault="00F32479" w:rsidP="00F32479">
      <w:pPr>
        <w:ind w:firstLine="720"/>
        <w:rPr>
          <w:rFonts w:cs="Arial"/>
          <w:i/>
          <w:sz w:val="20"/>
          <w:szCs w:val="20"/>
        </w:rPr>
      </w:pPr>
      <w:r w:rsidRPr="00EE0F69">
        <w:rPr>
          <w:rFonts w:cs="Arial"/>
          <w:sz w:val="20"/>
          <w:szCs w:val="20"/>
        </w:rPr>
        <w:t>GMC = Measure Equipment Cost – Base Case Equipment</w:t>
      </w:r>
      <w:r w:rsidRPr="00EE0F69">
        <w:rPr>
          <w:rFonts w:cs="Arial"/>
          <w:i/>
          <w:sz w:val="20"/>
          <w:szCs w:val="20"/>
        </w:rPr>
        <w:t xml:space="preserve"> Cost</w:t>
      </w:r>
    </w:p>
    <w:p w:rsidR="00F32479" w:rsidRPr="00EE0F69" w:rsidRDefault="00F32479" w:rsidP="00F32479">
      <w:pPr>
        <w:ind w:firstLine="720"/>
        <w:rPr>
          <w:rFonts w:cs="Arial"/>
          <w:i/>
          <w:sz w:val="20"/>
          <w:szCs w:val="20"/>
        </w:rPr>
      </w:pPr>
    </w:p>
    <w:p w:rsidR="00F32479" w:rsidRPr="003F57BD" w:rsidRDefault="00F32479" w:rsidP="00F32479">
      <w:pPr>
        <w:ind w:firstLine="720"/>
        <w:rPr>
          <w:rFonts w:cs="Arial"/>
          <w:i/>
          <w:sz w:val="20"/>
          <w:szCs w:val="20"/>
        </w:rPr>
      </w:pPr>
      <w:r w:rsidRPr="00EE0F69">
        <w:rPr>
          <w:rFonts w:cs="Arial"/>
          <w:i/>
          <w:sz w:val="20"/>
          <w:szCs w:val="20"/>
        </w:rPr>
        <w:t>GMC = $</w:t>
      </w:r>
      <w:r w:rsidR="00EE0F69" w:rsidRPr="00EE0F69">
        <w:rPr>
          <w:rFonts w:cs="Arial"/>
          <w:i/>
          <w:sz w:val="20"/>
          <w:szCs w:val="20"/>
        </w:rPr>
        <w:t>0.00</w:t>
      </w:r>
      <w:r w:rsidRPr="00EE0F69">
        <w:rPr>
          <w:rFonts w:cs="Arial"/>
          <w:i/>
          <w:sz w:val="20"/>
          <w:szCs w:val="20"/>
        </w:rPr>
        <w:t xml:space="preserve">    per (unit) - $ </w:t>
      </w:r>
      <w:r w:rsidR="00EE0F69" w:rsidRPr="00EE0F69">
        <w:rPr>
          <w:rFonts w:cs="Arial"/>
          <w:i/>
          <w:sz w:val="20"/>
          <w:szCs w:val="20"/>
        </w:rPr>
        <w:t>0.00</w:t>
      </w:r>
      <w:r w:rsidRPr="00EE0F69">
        <w:rPr>
          <w:rFonts w:cs="Arial"/>
          <w:i/>
          <w:sz w:val="20"/>
          <w:szCs w:val="20"/>
        </w:rPr>
        <w:t xml:space="preserve">   per (unit) = $</w:t>
      </w:r>
      <w:r w:rsidR="00EE0F69" w:rsidRPr="00EE0F69">
        <w:rPr>
          <w:rFonts w:cs="Arial"/>
          <w:i/>
          <w:sz w:val="20"/>
          <w:szCs w:val="20"/>
        </w:rPr>
        <w:t>0.00</w:t>
      </w:r>
      <w:r w:rsidRPr="00EE0F69">
        <w:rPr>
          <w:rFonts w:cs="Arial"/>
          <w:i/>
          <w:sz w:val="20"/>
          <w:szCs w:val="20"/>
        </w:rPr>
        <w:t xml:space="preserve">  per unit</w:t>
      </w:r>
    </w:p>
    <w:p w:rsidR="003F57BD" w:rsidRPr="009B1863" w:rsidRDefault="003F57BD" w:rsidP="00663A00">
      <w:pPr>
        <w:rPr>
          <w:i/>
          <w:sz w:val="20"/>
          <w:szCs w:val="20"/>
        </w:rPr>
      </w:pPr>
    </w:p>
    <w:p w:rsidR="00A47BFE" w:rsidRDefault="001E4C31" w:rsidP="001E4C31">
      <w:pPr>
        <w:pStyle w:val="Heading1"/>
        <w:rPr>
          <w:i/>
        </w:rPr>
      </w:pPr>
      <w:bookmarkStart w:id="114" w:name="_Toc324318376"/>
      <w:bookmarkStart w:id="115" w:name="_Toc324340505"/>
      <w:bookmarkStart w:id="116" w:name="_Toc304800221"/>
      <w:bookmarkStart w:id="117" w:name="_Toc354582148"/>
      <w:r>
        <w:rPr>
          <w:i/>
        </w:rPr>
        <w:t xml:space="preserve">4.3.2 </w:t>
      </w:r>
      <w:r w:rsidR="00A47BFE" w:rsidRPr="00A47BFE">
        <w:rPr>
          <w:i/>
        </w:rPr>
        <w:t>Incremental Measure Costs</w:t>
      </w:r>
      <w:bookmarkEnd w:id="114"/>
      <w:bookmarkEnd w:id="115"/>
      <w:bookmarkEnd w:id="117"/>
    </w:p>
    <w:p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rsidR="00ED3B31" w:rsidRDefault="00ED3B31" w:rsidP="00ED3B31">
      <w:pPr>
        <w:rPr>
          <w:rFonts w:cs="Arial"/>
          <w:szCs w:val="22"/>
        </w:rPr>
      </w:pPr>
    </w:p>
    <w:p w:rsidR="00ED3B31" w:rsidRPr="00EE0F69" w:rsidRDefault="00192B77" w:rsidP="00ED3B31">
      <w:pPr>
        <w:rPr>
          <w:rFonts w:cs="Arial"/>
          <w:sz w:val="20"/>
          <w:szCs w:val="20"/>
        </w:rPr>
      </w:pPr>
      <w:r w:rsidRPr="00EE0F69">
        <w:rPr>
          <w:rFonts w:cs="Arial"/>
          <w:sz w:val="20"/>
          <w:szCs w:val="20"/>
        </w:rPr>
        <w:t>This</w:t>
      </w:r>
      <w:r w:rsidR="00ED3B31" w:rsidRPr="00EE0F69">
        <w:rPr>
          <w:rFonts w:cs="Arial"/>
          <w:sz w:val="20"/>
          <w:szCs w:val="20"/>
        </w:rPr>
        <w:t xml:space="preserve"> </w:t>
      </w:r>
      <w:r w:rsidR="002E6162" w:rsidRPr="00EE0F69">
        <w:rPr>
          <w:rFonts w:cs="Arial"/>
          <w:sz w:val="20"/>
          <w:szCs w:val="20"/>
        </w:rPr>
        <w:t>Measure Application Types</w:t>
      </w:r>
      <w:r w:rsidR="00ED3B31" w:rsidRPr="00EE0F69">
        <w:rPr>
          <w:rFonts w:cs="Arial"/>
          <w:sz w:val="20"/>
          <w:szCs w:val="20"/>
        </w:rPr>
        <w:t xml:space="preserve"> is</w:t>
      </w:r>
      <w:r w:rsidR="00B94DA4" w:rsidRPr="00EE0F69">
        <w:rPr>
          <w:rFonts w:cs="Arial"/>
          <w:sz w:val="20"/>
          <w:szCs w:val="20"/>
        </w:rPr>
        <w:t xml:space="preserve"> </w:t>
      </w:r>
      <w:r w:rsidR="00ED3B31" w:rsidRPr="00EE0F69">
        <w:rPr>
          <w:rFonts w:cs="Arial"/>
          <w:b/>
          <w:sz w:val="20"/>
          <w:szCs w:val="20"/>
        </w:rPr>
        <w:t xml:space="preserve">ROB </w:t>
      </w:r>
      <w:r w:rsidR="00ED3B31" w:rsidRPr="00EE0F69">
        <w:rPr>
          <w:rFonts w:cs="Arial"/>
          <w:sz w:val="20"/>
          <w:szCs w:val="20"/>
        </w:rPr>
        <w:t xml:space="preserve">so the Gross Measure Cost (GMC) is represented by the </w:t>
      </w:r>
      <w:r w:rsidRPr="00EE0F69">
        <w:rPr>
          <w:rFonts w:cs="Arial"/>
          <w:sz w:val="20"/>
          <w:szCs w:val="20"/>
        </w:rPr>
        <w:t xml:space="preserve">appropriate </w:t>
      </w:r>
      <w:r w:rsidR="00ED3B31" w:rsidRPr="00EE0F69">
        <w:rPr>
          <w:rFonts w:cs="Arial"/>
          <w:sz w:val="20"/>
          <w:szCs w:val="20"/>
        </w:rPr>
        <w:t>equation below:</w:t>
      </w:r>
    </w:p>
    <w:p w:rsidR="00ED3B31" w:rsidRPr="00EE0F69" w:rsidRDefault="00ED3B31" w:rsidP="00ED3B31">
      <w:pPr>
        <w:rPr>
          <w:rFonts w:cs="Arial"/>
          <w:szCs w:val="22"/>
        </w:rPr>
      </w:pPr>
    </w:p>
    <w:p w:rsidR="00ED3B31" w:rsidRPr="00EE0F69" w:rsidRDefault="00ED3B31" w:rsidP="00ED3B31">
      <w:pPr>
        <w:ind w:firstLine="720"/>
        <w:rPr>
          <w:rFonts w:cs="Arial"/>
          <w:sz w:val="20"/>
          <w:szCs w:val="20"/>
        </w:rPr>
      </w:pPr>
      <w:r w:rsidRPr="00EE0F69">
        <w:rPr>
          <w:rFonts w:cs="Arial"/>
          <w:sz w:val="20"/>
          <w:szCs w:val="20"/>
        </w:rPr>
        <w:t>IMC = (Measure Equipment Cost + Measure Labor Cost) –</w:t>
      </w:r>
    </w:p>
    <w:p w:rsidR="00ED3B31" w:rsidRPr="00EE0F69" w:rsidRDefault="00ED3B31" w:rsidP="00ED3B31">
      <w:pPr>
        <w:ind w:left="720" w:firstLine="720"/>
        <w:rPr>
          <w:rFonts w:cs="Arial"/>
          <w:sz w:val="20"/>
          <w:szCs w:val="20"/>
        </w:rPr>
      </w:pPr>
      <w:r w:rsidRPr="00EE0F69">
        <w:rPr>
          <w:rFonts w:cs="Arial"/>
          <w:sz w:val="20"/>
          <w:szCs w:val="20"/>
        </w:rPr>
        <w:t xml:space="preserve">    (Base Case Equipment Cost + Base Case Labor Cost)</w:t>
      </w:r>
    </w:p>
    <w:p w:rsidR="00ED3B31" w:rsidRPr="00EE0F69" w:rsidRDefault="00ED3B31" w:rsidP="00ED3B31">
      <w:pPr>
        <w:rPr>
          <w:rFonts w:cs="Arial"/>
          <w:b/>
          <w:szCs w:val="22"/>
        </w:rPr>
      </w:pPr>
    </w:p>
    <w:p w:rsidR="00ED3B31" w:rsidRPr="00EE0F69" w:rsidRDefault="00ED3B31" w:rsidP="00ED3B31">
      <w:pPr>
        <w:ind w:left="720" w:right="720"/>
        <w:rPr>
          <w:rFonts w:cs="Arial"/>
          <w:sz w:val="20"/>
          <w:szCs w:val="20"/>
        </w:rPr>
      </w:pPr>
      <w:r w:rsidRPr="00EE0F69">
        <w:rPr>
          <w:rFonts w:cs="Arial"/>
          <w:sz w:val="20"/>
          <w:szCs w:val="20"/>
        </w:rPr>
        <w:t xml:space="preserve">*Note: Unless stated otherwise the measure case and base case labor </w:t>
      </w:r>
      <w:r w:rsidR="00192B77" w:rsidRPr="00EE0F69">
        <w:rPr>
          <w:rFonts w:cs="Arial"/>
          <w:sz w:val="20"/>
          <w:szCs w:val="20"/>
        </w:rPr>
        <w:t xml:space="preserve">costs </w:t>
      </w:r>
      <w:r w:rsidRPr="00EE0F69">
        <w:rPr>
          <w:rFonts w:cs="Arial"/>
          <w:sz w:val="20"/>
          <w:szCs w:val="20"/>
        </w:rPr>
        <w:t xml:space="preserve">are </w:t>
      </w:r>
      <w:r w:rsidR="00192B77" w:rsidRPr="00EE0F69">
        <w:rPr>
          <w:rFonts w:cs="Arial"/>
          <w:sz w:val="20"/>
          <w:szCs w:val="20"/>
        </w:rPr>
        <w:t>typically the same,</w:t>
      </w:r>
      <w:r w:rsidRPr="00EE0F69">
        <w:rPr>
          <w:rFonts w:cs="Arial"/>
          <w:sz w:val="20"/>
          <w:szCs w:val="20"/>
        </w:rPr>
        <w:t xml:space="preserve"> reducing the equation to the following:</w:t>
      </w:r>
    </w:p>
    <w:p w:rsidR="00ED3B31" w:rsidRPr="00EE0F69" w:rsidRDefault="00ED3B31" w:rsidP="00ED3B31">
      <w:pPr>
        <w:ind w:left="720" w:right="720"/>
        <w:rPr>
          <w:rFonts w:cs="Arial"/>
          <w:sz w:val="20"/>
          <w:szCs w:val="20"/>
        </w:rPr>
      </w:pPr>
    </w:p>
    <w:p w:rsidR="00ED3B31" w:rsidRPr="00EE0F69" w:rsidRDefault="00ED3B31" w:rsidP="00ED3B31">
      <w:pPr>
        <w:ind w:firstLine="720"/>
        <w:rPr>
          <w:rFonts w:cs="Arial"/>
          <w:sz w:val="20"/>
          <w:szCs w:val="20"/>
        </w:rPr>
      </w:pPr>
      <w:r w:rsidRPr="00EE0F69">
        <w:rPr>
          <w:rFonts w:cs="Arial"/>
          <w:sz w:val="20"/>
          <w:szCs w:val="20"/>
        </w:rPr>
        <w:t>IMC = Measure Equipment Cost – Base Case Equipment Cost</w:t>
      </w:r>
    </w:p>
    <w:p w:rsidR="00ED3B31" w:rsidRPr="00EE0F69" w:rsidRDefault="00ED3B31" w:rsidP="00ED3B31">
      <w:pPr>
        <w:ind w:firstLine="720"/>
        <w:rPr>
          <w:rFonts w:cs="Arial"/>
          <w:sz w:val="20"/>
          <w:szCs w:val="20"/>
        </w:rPr>
      </w:pPr>
    </w:p>
    <w:p w:rsidR="00ED3B31" w:rsidRPr="00ED3B31" w:rsidRDefault="00ED3B31" w:rsidP="00ED3B31">
      <w:pPr>
        <w:ind w:firstLine="720"/>
        <w:rPr>
          <w:rFonts w:cs="Arial"/>
          <w:i/>
          <w:sz w:val="20"/>
          <w:szCs w:val="20"/>
        </w:rPr>
      </w:pPr>
      <w:r w:rsidRPr="00EE0F69">
        <w:rPr>
          <w:rFonts w:cs="Arial"/>
          <w:i/>
          <w:sz w:val="20"/>
          <w:szCs w:val="20"/>
        </w:rPr>
        <w:t xml:space="preserve">IMC = </w:t>
      </w:r>
      <w:r w:rsidR="00EE0F69" w:rsidRPr="00EE0F69">
        <w:rPr>
          <w:rFonts w:cs="Arial"/>
          <w:i/>
          <w:sz w:val="20"/>
          <w:szCs w:val="20"/>
        </w:rPr>
        <w:t>$0.00    per (unit) - $ 0.00   per (unit) = $0.00  per unit</w:t>
      </w:r>
    </w:p>
    <w:p w:rsidR="00ED3B31" w:rsidRDefault="00ED3B31" w:rsidP="00ED3B31">
      <w:pPr>
        <w:rPr>
          <w:rFonts w:cs="Arial"/>
          <w:szCs w:val="22"/>
        </w:rPr>
      </w:pPr>
    </w:p>
    <w:p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rsidTr="00A01631">
        <w:tc>
          <w:tcPr>
            <w:tcW w:w="758" w:type="pct"/>
            <w:shd w:val="clear" w:color="auto" w:fill="auto"/>
          </w:tcPr>
          <w:p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15"/>
            </w:r>
          </w:p>
        </w:tc>
        <w:tc>
          <w:tcPr>
            <w:tcW w:w="737" w:type="pct"/>
            <w:shd w:val="clear" w:color="auto" w:fill="auto"/>
          </w:tcPr>
          <w:p w:rsidR="002F3610" w:rsidRPr="00A01631" w:rsidRDefault="002F3610" w:rsidP="002F3610">
            <w:pPr>
              <w:rPr>
                <w:rFonts w:cs="Arial"/>
                <w:b/>
                <w:sz w:val="20"/>
                <w:szCs w:val="20"/>
              </w:rPr>
            </w:pPr>
            <w:r w:rsidRPr="00A01631">
              <w:rPr>
                <w:rFonts w:cs="Arial"/>
                <w:b/>
                <w:sz w:val="20"/>
                <w:szCs w:val="20"/>
              </w:rPr>
              <w:t>Gross Measure Case Cost</w:t>
            </w:r>
          </w:p>
        </w:tc>
        <w:tc>
          <w:tcPr>
            <w:tcW w:w="960" w:type="pct"/>
            <w:shd w:val="clear" w:color="auto" w:fill="auto"/>
          </w:tcPr>
          <w:p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rsidTr="00B94DA4">
        <w:trPr>
          <w:trHeight w:val="287"/>
        </w:trPr>
        <w:tc>
          <w:tcPr>
            <w:tcW w:w="758" w:type="pct"/>
            <w:shd w:val="clear" w:color="auto" w:fill="auto"/>
          </w:tcPr>
          <w:p w:rsidR="002F3610" w:rsidRPr="00A01631" w:rsidRDefault="002F3610" w:rsidP="002F3610">
            <w:pPr>
              <w:rPr>
                <w:rFonts w:cs="Arial"/>
                <w:b/>
                <w:sz w:val="20"/>
                <w:szCs w:val="20"/>
              </w:rPr>
            </w:pPr>
          </w:p>
        </w:tc>
        <w:tc>
          <w:tcPr>
            <w:tcW w:w="968" w:type="pct"/>
            <w:shd w:val="clear" w:color="auto" w:fill="auto"/>
          </w:tcPr>
          <w:p w:rsidR="002F3610" w:rsidRPr="00A01631" w:rsidRDefault="00B94DA4" w:rsidP="00B94DA4">
            <w:pPr>
              <w:rPr>
                <w:rFonts w:cs="Arial"/>
                <w:b/>
                <w:sz w:val="20"/>
                <w:szCs w:val="20"/>
              </w:rPr>
            </w:pPr>
            <w:r w:rsidRPr="00EE0F69">
              <w:rPr>
                <w:rFonts w:cs="Arial"/>
                <w:sz w:val="20"/>
                <w:szCs w:val="20"/>
              </w:rPr>
              <w:t>ROB</w:t>
            </w:r>
            <w:r>
              <w:rPr>
                <w:rFonts w:cs="Arial"/>
                <w:sz w:val="20"/>
                <w:szCs w:val="20"/>
              </w:rPr>
              <w:t xml:space="preserve"> </w:t>
            </w:r>
          </w:p>
        </w:tc>
        <w:tc>
          <w:tcPr>
            <w:tcW w:w="838" w:type="pct"/>
            <w:shd w:val="clear" w:color="auto" w:fill="auto"/>
          </w:tcPr>
          <w:p w:rsidR="002F3610" w:rsidRPr="00A01631" w:rsidRDefault="00EE0F69" w:rsidP="002F3610">
            <w:pPr>
              <w:rPr>
                <w:rFonts w:cs="Arial"/>
                <w:b/>
                <w:sz w:val="20"/>
                <w:szCs w:val="20"/>
              </w:rPr>
            </w:pPr>
            <w:r>
              <w:rPr>
                <w:rFonts w:cs="Arial"/>
                <w:b/>
                <w:sz w:val="20"/>
                <w:szCs w:val="20"/>
              </w:rPr>
              <w:t>0</w:t>
            </w:r>
          </w:p>
        </w:tc>
        <w:tc>
          <w:tcPr>
            <w:tcW w:w="739" w:type="pct"/>
            <w:shd w:val="clear" w:color="auto" w:fill="auto"/>
          </w:tcPr>
          <w:p w:rsidR="002F3610" w:rsidRPr="00A01631" w:rsidRDefault="00EE0F69" w:rsidP="002F3610">
            <w:pPr>
              <w:rPr>
                <w:rFonts w:cs="Arial"/>
                <w:b/>
                <w:sz w:val="20"/>
                <w:szCs w:val="20"/>
              </w:rPr>
            </w:pPr>
            <w:r>
              <w:rPr>
                <w:rFonts w:cs="Arial"/>
                <w:b/>
                <w:sz w:val="20"/>
                <w:szCs w:val="20"/>
              </w:rPr>
              <w:t>0</w:t>
            </w:r>
          </w:p>
        </w:tc>
        <w:tc>
          <w:tcPr>
            <w:tcW w:w="737" w:type="pct"/>
            <w:shd w:val="clear" w:color="auto" w:fill="auto"/>
          </w:tcPr>
          <w:p w:rsidR="002F3610" w:rsidRPr="00A01631" w:rsidRDefault="00EE0F69" w:rsidP="002F3610">
            <w:pPr>
              <w:rPr>
                <w:rFonts w:cs="Arial"/>
                <w:b/>
                <w:sz w:val="20"/>
                <w:szCs w:val="20"/>
              </w:rPr>
            </w:pPr>
            <w:r>
              <w:rPr>
                <w:rFonts w:cs="Arial"/>
                <w:b/>
                <w:sz w:val="20"/>
                <w:szCs w:val="20"/>
              </w:rPr>
              <w:t>0</w:t>
            </w:r>
          </w:p>
        </w:tc>
        <w:tc>
          <w:tcPr>
            <w:tcW w:w="960" w:type="pct"/>
            <w:shd w:val="clear" w:color="auto" w:fill="auto"/>
          </w:tcPr>
          <w:p w:rsidR="002F3610" w:rsidRPr="00A01631" w:rsidRDefault="00EE0F69" w:rsidP="002F3610">
            <w:pPr>
              <w:rPr>
                <w:rFonts w:cs="Arial"/>
                <w:b/>
                <w:sz w:val="20"/>
                <w:szCs w:val="20"/>
              </w:rPr>
            </w:pPr>
            <w:r>
              <w:rPr>
                <w:rFonts w:cs="Arial"/>
                <w:b/>
                <w:sz w:val="20"/>
                <w:szCs w:val="20"/>
              </w:rPr>
              <w:t>0</w:t>
            </w:r>
          </w:p>
        </w:tc>
      </w:tr>
    </w:tbl>
    <w:p w:rsidR="002F3610" w:rsidRPr="002F3610" w:rsidRDefault="002F3610" w:rsidP="002F3610">
      <w:pPr>
        <w:ind w:firstLine="720"/>
        <w:rPr>
          <w:rFonts w:cs="Arial"/>
          <w:b/>
          <w:sz w:val="20"/>
          <w:szCs w:val="20"/>
        </w:rPr>
      </w:pPr>
    </w:p>
    <w:p w:rsidR="00A47BFE" w:rsidRPr="00ED3B31" w:rsidRDefault="00A47BFE" w:rsidP="00786700">
      <w:pPr>
        <w:pStyle w:val="Heading1"/>
        <w:rPr>
          <w:sz w:val="20"/>
          <w:szCs w:val="20"/>
        </w:rPr>
      </w:pPr>
    </w:p>
    <w:p w:rsidR="00626129" w:rsidRDefault="00915CE6" w:rsidP="000966CC">
      <w:pPr>
        <w:pStyle w:val="Heading1"/>
      </w:pPr>
      <w:bookmarkStart w:id="120" w:name="_MON_1382719630"/>
      <w:bookmarkStart w:id="121" w:name="_Toc324340506"/>
      <w:bookmarkStart w:id="122" w:name="_Toc324318377"/>
      <w:bookmarkStart w:id="123" w:name="_Toc324340404"/>
      <w:bookmarkEnd w:id="120"/>
      <w:r>
        <w:br w:type="page"/>
      </w:r>
      <w:bookmarkStart w:id="124" w:name="_Toc324318378"/>
      <w:bookmarkStart w:id="125" w:name="_Toc324340508"/>
      <w:bookmarkStart w:id="126" w:name="_Toc304800222"/>
      <w:bookmarkStart w:id="127" w:name="_Toc354582149"/>
      <w:bookmarkEnd w:id="116"/>
      <w:bookmarkEnd w:id="121"/>
      <w:bookmarkEnd w:id="122"/>
      <w:bookmarkEnd w:id="123"/>
      <w:r w:rsidR="00626129">
        <w:t>Input Appendices</w:t>
      </w:r>
      <w:bookmarkEnd w:id="124"/>
      <w:bookmarkEnd w:id="125"/>
      <w:bookmarkEnd w:id="127"/>
    </w:p>
    <w:p w:rsidR="00DC0EE2" w:rsidRPr="00FA0BF0" w:rsidRDefault="00DC0EE2" w:rsidP="00DC0EE2">
      <w:pPr>
        <w:rPr>
          <w:color w:val="1F497D"/>
          <w:sz w:val="20"/>
          <w:szCs w:val="20"/>
        </w:rPr>
      </w:pPr>
      <w:r w:rsidRPr="00FA0BF0">
        <w:rPr>
          <w:color w:val="1F497D"/>
          <w:sz w:val="20"/>
          <w:szCs w:val="20"/>
        </w:rPr>
        <w:t>Email from Doug Naaf to Steve Blanc, 12/11/12 9:44AM</w:t>
      </w:r>
    </w:p>
    <w:p w:rsidR="00DC0EE2" w:rsidRPr="00FA0BF0" w:rsidRDefault="00DC0EE2" w:rsidP="00DC0EE2">
      <w:pPr>
        <w:rPr>
          <w:color w:val="1F497D"/>
          <w:sz w:val="20"/>
          <w:szCs w:val="20"/>
        </w:rPr>
      </w:pPr>
    </w:p>
    <w:p w:rsidR="00DC0EE2" w:rsidRPr="00FA0BF0" w:rsidRDefault="00DC0EE2" w:rsidP="00DC0EE2">
      <w:pPr>
        <w:rPr>
          <w:color w:val="1F497D"/>
          <w:sz w:val="20"/>
          <w:szCs w:val="20"/>
        </w:rPr>
      </w:pPr>
      <w:r w:rsidRPr="00FA0BF0">
        <w:rPr>
          <w:color w:val="1F497D"/>
          <w:sz w:val="20"/>
          <w:szCs w:val="20"/>
        </w:rPr>
        <w:t>This is the monthly load shape for</w:t>
      </w:r>
      <w:r w:rsidR="00490650" w:rsidRPr="00FA0BF0">
        <w:rPr>
          <w:color w:val="1F497D"/>
          <w:sz w:val="20"/>
          <w:szCs w:val="20"/>
        </w:rPr>
        <w:t xml:space="preserve"> </w:t>
      </w:r>
      <w:r w:rsidRPr="00FA0BF0">
        <w:rPr>
          <w:color w:val="1F497D"/>
          <w:sz w:val="20"/>
          <w:szCs w:val="20"/>
        </w:rPr>
        <w:t xml:space="preserve"> </w:t>
      </w:r>
      <w:r w:rsidR="00490650" w:rsidRPr="00FA0BF0">
        <w:rPr>
          <w:color w:val="1F497D"/>
          <w:sz w:val="20"/>
          <w:szCs w:val="20"/>
        </w:rPr>
        <w:t xml:space="preserve">RES </w:t>
      </w:r>
      <w:r w:rsidRPr="00FA0BF0">
        <w:rPr>
          <w:color w:val="1F497D"/>
          <w:sz w:val="20"/>
          <w:szCs w:val="20"/>
        </w:rPr>
        <w:t>DEER:RefgFrzr_HighEff (Target Sector and Electric End Use Shape) from the E3:</w:t>
      </w:r>
    </w:p>
    <w:p w:rsidR="00DC0EE2" w:rsidRPr="00FA0BF0" w:rsidRDefault="00DC0EE2" w:rsidP="00DC0EE2">
      <w:pPr>
        <w:rPr>
          <w:color w:val="1F497D"/>
          <w:sz w:val="20"/>
          <w:szCs w:val="20"/>
        </w:rPr>
      </w:pPr>
    </w:p>
    <w:p w:rsidR="00DC0EE2" w:rsidRPr="00FA0BF0" w:rsidRDefault="00DC0EE2" w:rsidP="00DC0EE2">
      <w:pPr>
        <w:rPr>
          <w:rFonts w:ascii="Calibri" w:eastAsiaTheme="minorHAnsi" w:hAnsi="Calibri" w:cs="Calibri"/>
          <w:color w:val="1F497D"/>
          <w:sz w:val="20"/>
          <w:szCs w:val="20"/>
        </w:rPr>
      </w:pPr>
      <w:r w:rsidRPr="00FA0BF0">
        <w:rPr>
          <w:color w:val="1F497D"/>
          <w:sz w:val="20"/>
          <w:szCs w:val="20"/>
        </w:rPr>
        <w:t>This is about as flat a load shape as the E3 has, varying from .06 to a little over .10, per month.</w:t>
      </w:r>
    </w:p>
    <w:tbl>
      <w:tblPr>
        <w:tblW w:w="1920" w:type="dxa"/>
        <w:tblInd w:w="93" w:type="dxa"/>
        <w:tblLook w:val="04A0" w:firstRow="1" w:lastRow="0" w:firstColumn="1" w:lastColumn="0" w:noHBand="0" w:noVBand="1"/>
      </w:tblPr>
      <w:tblGrid>
        <w:gridCol w:w="983"/>
        <w:gridCol w:w="1106"/>
      </w:tblGrid>
      <w:tr w:rsidR="00FA0BF0" w:rsidRPr="00FA0BF0" w:rsidTr="00FA0BF0">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tcPr>
          <w:p w:rsidR="00FA0BF0" w:rsidRPr="00FA0BF0" w:rsidRDefault="00FA0BF0" w:rsidP="00FA0BF0">
            <w:pPr>
              <w:jc w:val="center"/>
              <w:rPr>
                <w:rFonts w:cs="Arial"/>
                <w:b/>
                <w:bCs/>
                <w:sz w:val="20"/>
                <w:szCs w:val="20"/>
              </w:rPr>
            </w:pPr>
            <w:r>
              <w:rPr>
                <w:rFonts w:cs="Arial"/>
                <w:b/>
                <w:bCs/>
                <w:color w:val="FFFFFF"/>
                <w:sz w:val="20"/>
                <w:szCs w:val="20"/>
              </w:rPr>
              <w:t>Monthly (</w:t>
            </w:r>
            <w:r w:rsidRPr="00FA0BF0">
              <w:rPr>
                <w:rFonts w:cs="Arial"/>
                <w:b/>
                <w:bCs/>
                <w:sz w:val="20"/>
                <w:szCs w:val="20"/>
              </w:rPr>
              <w:t>kWh/ Annual kWh)</w:t>
            </w:r>
          </w:p>
          <w:p w:rsidR="00FA0BF0" w:rsidRPr="00FA0BF0" w:rsidRDefault="00FA0BF0" w:rsidP="00FA0BF0">
            <w:pPr>
              <w:jc w:val="center"/>
              <w:rPr>
                <w:rFonts w:cs="Arial"/>
                <w:color w:val="000000"/>
                <w:sz w:val="20"/>
                <w:szCs w:val="20"/>
              </w:rPr>
            </w:pPr>
          </w:p>
        </w:tc>
        <w:tc>
          <w:tcPr>
            <w:tcW w:w="960" w:type="dxa"/>
            <w:tcBorders>
              <w:top w:val="single" w:sz="8" w:space="0" w:color="auto"/>
              <w:left w:val="nil"/>
              <w:bottom w:val="single" w:sz="8" w:space="0" w:color="auto"/>
              <w:right w:val="single" w:sz="8" w:space="0" w:color="auto"/>
            </w:tcBorders>
            <w:shd w:val="clear" w:color="auto" w:fill="auto"/>
            <w:noWrap/>
            <w:vAlign w:val="center"/>
          </w:tcPr>
          <w:p w:rsidR="00FA0BF0" w:rsidRPr="00FA0BF0" w:rsidRDefault="00FA0BF0" w:rsidP="00FA0BF0">
            <w:pPr>
              <w:jc w:val="right"/>
              <w:rPr>
                <w:rFonts w:cs="Arial"/>
                <w:color w:val="000000"/>
                <w:sz w:val="20"/>
                <w:szCs w:val="20"/>
              </w:rPr>
            </w:pPr>
            <w:r>
              <w:rPr>
                <w:rFonts w:ascii="Calibri" w:eastAsiaTheme="minorHAnsi" w:hAnsi="Calibri" w:cs="Calibri"/>
                <w:noProof/>
                <w:szCs w:val="22"/>
              </w:rPr>
              <w:drawing>
                <wp:anchor distT="0" distB="0" distL="114300" distR="114300" simplePos="0" relativeHeight="251659264" behindDoc="0" locked="0" layoutInCell="1" allowOverlap="1" wp14:anchorId="0BD5D68F" wp14:editId="2594F070">
                  <wp:simplePos x="0" y="0"/>
                  <wp:positionH relativeFrom="column">
                    <wp:posOffset>975995</wp:posOffset>
                  </wp:positionH>
                  <wp:positionV relativeFrom="paragraph">
                    <wp:posOffset>64135</wp:posOffset>
                  </wp:positionV>
                  <wp:extent cx="4305300" cy="2628900"/>
                  <wp:effectExtent l="0" t="0" r="0" b="0"/>
                  <wp:wrapNone/>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05300" cy="2628900"/>
                          </a:xfrm>
                          <a:prstGeom prst="rect">
                            <a:avLst/>
                          </a:prstGeom>
                          <a:noFill/>
                        </pic:spPr>
                      </pic:pic>
                    </a:graphicData>
                  </a:graphic>
                  <wp14:sizeRelH relativeFrom="page">
                    <wp14:pctWidth>0</wp14:pctWidth>
                  </wp14:sizeRelH>
                  <wp14:sizeRelV relativeFrom="page">
                    <wp14:pctHeight>0</wp14:pctHeight>
                  </wp14:sizeRelV>
                </wp:anchor>
              </w:drawing>
            </w:r>
          </w:p>
        </w:tc>
      </w:tr>
      <w:tr w:rsidR="00FA0BF0" w:rsidRPr="00FA0BF0" w:rsidTr="00FA0BF0">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Jan</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FA0BF0" w:rsidRPr="00FA0BF0" w:rsidRDefault="00FA0BF0" w:rsidP="00FA0BF0">
            <w:pPr>
              <w:jc w:val="right"/>
              <w:rPr>
                <w:rFonts w:cs="Arial"/>
                <w:color w:val="000000"/>
                <w:sz w:val="20"/>
                <w:szCs w:val="20"/>
              </w:rPr>
            </w:pPr>
            <w:r w:rsidRPr="00FA0BF0">
              <w:rPr>
                <w:rFonts w:cs="Arial"/>
                <w:color w:val="000000"/>
                <w:sz w:val="20"/>
                <w:szCs w:val="20"/>
              </w:rPr>
              <w:t>0.068159</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Feb</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0.064584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Mar</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0.074515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Apr</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0.078836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May</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0.087198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Jun</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0.094059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Jul</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0.103834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Aug</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0.102265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Sep</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0.093883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Oct</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0.093235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Nov</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0.071865 </w:t>
            </w:r>
          </w:p>
        </w:tc>
      </w:tr>
      <w:tr w:rsidR="00FA0BF0" w:rsidRPr="00FA0BF0" w:rsidTr="00FA0BF0">
        <w:trPr>
          <w:trHeight w:val="27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rsidR="00FA0BF0" w:rsidRPr="00FA0BF0" w:rsidRDefault="00FA0BF0" w:rsidP="00FA0BF0">
            <w:pPr>
              <w:jc w:val="center"/>
              <w:rPr>
                <w:rFonts w:cs="Arial"/>
                <w:color w:val="000000"/>
                <w:sz w:val="20"/>
                <w:szCs w:val="20"/>
              </w:rPr>
            </w:pPr>
            <w:r w:rsidRPr="00FA0BF0">
              <w:rPr>
                <w:rFonts w:cs="Arial"/>
                <w:color w:val="000000"/>
                <w:sz w:val="20"/>
                <w:szCs w:val="20"/>
              </w:rPr>
              <w:t>Dec</w:t>
            </w:r>
          </w:p>
        </w:tc>
        <w:tc>
          <w:tcPr>
            <w:tcW w:w="960" w:type="dxa"/>
            <w:tcBorders>
              <w:top w:val="nil"/>
              <w:left w:val="nil"/>
              <w:bottom w:val="single" w:sz="8" w:space="0" w:color="auto"/>
              <w:right w:val="single" w:sz="8" w:space="0" w:color="auto"/>
            </w:tcBorders>
            <w:shd w:val="clear" w:color="auto" w:fill="auto"/>
            <w:noWrap/>
            <w:vAlign w:val="center"/>
            <w:hideMark/>
          </w:tcPr>
          <w:p w:rsidR="00FA0BF0" w:rsidRPr="00FA0BF0" w:rsidRDefault="00FA0BF0" w:rsidP="00FA0BF0">
            <w:pPr>
              <w:rPr>
                <w:rFonts w:cs="Arial"/>
                <w:color w:val="000000"/>
                <w:sz w:val="20"/>
                <w:szCs w:val="20"/>
              </w:rPr>
            </w:pPr>
            <w:r w:rsidRPr="00FA0BF0">
              <w:rPr>
                <w:rFonts w:cs="Arial"/>
                <w:color w:val="000000"/>
                <w:sz w:val="20"/>
                <w:szCs w:val="20"/>
              </w:rPr>
              <w:t xml:space="preserve"> 0.067569 </w:t>
            </w:r>
          </w:p>
        </w:tc>
      </w:tr>
    </w:tbl>
    <w:p w:rsidR="00DC0EE2" w:rsidRDefault="00DC0EE2" w:rsidP="00DC0EE2">
      <w:pPr>
        <w:rPr>
          <w:color w:val="1F497D"/>
        </w:rPr>
      </w:pPr>
    </w:p>
    <w:p w:rsidR="00DC0EE2" w:rsidRPr="00DC0EE2" w:rsidRDefault="00DC0EE2" w:rsidP="00026ED5"/>
    <w:p w:rsidR="00C839DB" w:rsidRDefault="00C839DB">
      <w:pPr>
        <w:rPr>
          <w:rFonts w:cs="Arial"/>
          <w:b/>
          <w:bCs/>
          <w:kern w:val="32"/>
          <w:sz w:val="32"/>
          <w:szCs w:val="32"/>
        </w:rPr>
      </w:pPr>
      <w:bookmarkStart w:id="128" w:name="_Toc324318383"/>
      <w:bookmarkStart w:id="129" w:name="_Toc324340513"/>
    </w:p>
    <w:p w:rsidR="00AF1807" w:rsidRDefault="00AF1807" w:rsidP="000966CC">
      <w:pPr>
        <w:pStyle w:val="Heading1"/>
        <w:sectPr w:rsidR="00AF1807" w:rsidSect="009B00D1">
          <w:headerReference w:type="default" r:id="rId25"/>
          <w:footerReference w:type="default" r:id="rId26"/>
          <w:endnotePr>
            <w:numFmt w:val="decimal"/>
          </w:endnotePr>
          <w:pgSz w:w="12240" w:h="15840"/>
          <w:pgMar w:top="1440" w:right="1440" w:bottom="1440" w:left="1440" w:header="720" w:footer="720" w:gutter="0"/>
          <w:pgNumType w:start="1" w:chapStyle="1"/>
          <w:cols w:space="720"/>
          <w:docGrid w:linePitch="360"/>
        </w:sectPr>
      </w:pPr>
    </w:p>
    <w:p w:rsidR="006B4563" w:rsidRDefault="000966CC" w:rsidP="000966CC">
      <w:pPr>
        <w:pStyle w:val="Heading1"/>
      </w:pPr>
      <w:bookmarkStart w:id="130" w:name="_Toc354582150"/>
      <w:r>
        <w:t>References</w:t>
      </w:r>
      <w:bookmarkEnd w:id="128"/>
      <w:bookmarkEnd w:id="129"/>
      <w:bookmarkEnd w:id="130"/>
      <w:r w:rsidR="00844B27">
        <w:t xml:space="preserve"> </w:t>
      </w:r>
    </w:p>
    <w:bookmarkEnd w:id="126"/>
    <w:p w:rsidR="00C35F3E" w:rsidRDefault="00C35F3E" w:rsidP="00C35F3E">
      <w:r>
        <w:t xml:space="preserve">PG&amp;E CES EM&amp;V Dept.; </w:t>
      </w:r>
      <w:r>
        <w:rPr>
          <w:i/>
        </w:rPr>
        <w:t>IOU Proposal for Reporting Energy Savings for Comparative Usage</w:t>
      </w:r>
      <w:r>
        <w:t xml:space="preserve"> </w:t>
      </w:r>
      <w:r w:rsidRPr="00C35F3E">
        <w:rPr>
          <w:i/>
        </w:rPr>
        <w:t>Energy Efficiency Programs</w:t>
      </w:r>
      <w:r>
        <w:rPr>
          <w:i/>
        </w:rPr>
        <w:t>,</w:t>
      </w:r>
      <w:r>
        <w:t xml:space="preserve"> May </w:t>
      </w:r>
      <w:r w:rsidR="00AA4D7A">
        <w:t xml:space="preserve">8, </w:t>
      </w:r>
      <w:r>
        <w:t>201</w:t>
      </w:r>
      <w:r w:rsidR="00AA4D7A">
        <w:t>2</w:t>
      </w:r>
      <w:r>
        <w:t xml:space="preserve"> Revision</w:t>
      </w:r>
    </w:p>
    <w:p w:rsidR="009D7A24" w:rsidRDefault="009D7A24" w:rsidP="00F55847"/>
    <w:p w:rsidR="00132D43" w:rsidRDefault="00322F5E" w:rsidP="00671943">
      <w:r>
        <w:t xml:space="preserve">PG&amp;E CES EM&amp;V Dept. </w:t>
      </w:r>
      <w:r w:rsidRPr="00322F5E">
        <w:rPr>
          <w:i/>
        </w:rPr>
        <w:t>PG&amp;E Home Energy Reports Initiative</w:t>
      </w:r>
      <w:r>
        <w:t xml:space="preserve"> </w:t>
      </w:r>
      <w:r w:rsidRPr="00AA4D7A">
        <w:rPr>
          <w:i/>
        </w:rPr>
        <w:t>Sampling Plan</w:t>
      </w:r>
      <w:r>
        <w:t xml:space="preserve"> </w:t>
      </w:r>
      <w:r w:rsidR="00C35F3E">
        <w:t>May 17,2011 Revisio</w:t>
      </w:r>
      <w:r w:rsidR="00E12D94">
        <w:t>n</w:t>
      </w:r>
    </w:p>
    <w:p w:rsidR="00322F5E" w:rsidRDefault="00322F5E" w:rsidP="00671943"/>
    <w:p w:rsidR="00132D43" w:rsidRDefault="00746952" w:rsidP="00671943">
      <w:r>
        <w:t xml:space="preserve">State and Local Energy Efficiency Action Network (SEE Action); </w:t>
      </w:r>
      <w:r>
        <w:rPr>
          <w:i/>
        </w:rPr>
        <w:t>Evaluation, Measurement and Verification (EM&amp;V) of Residential Behavior-Based</w:t>
      </w:r>
      <w:r w:rsidR="001515B0">
        <w:t xml:space="preserve"> </w:t>
      </w:r>
      <w:r w:rsidRPr="00746952">
        <w:rPr>
          <w:i/>
        </w:rPr>
        <w:t>Energy Efficiency Programs: Issues and Recommendations;</w:t>
      </w:r>
      <w:r>
        <w:t xml:space="preserve"> May 2012; </w:t>
      </w:r>
      <w:hyperlink r:id="rId27" w:history="1">
        <w:r w:rsidRPr="00A72CF9">
          <w:rPr>
            <w:rStyle w:val="Hyperlink"/>
          </w:rPr>
          <w:t>www.seeaction.gov</w:t>
        </w:r>
      </w:hyperlink>
      <w:r>
        <w:t xml:space="preserve"> </w:t>
      </w:r>
    </w:p>
    <w:p w:rsidR="00AA4D7A" w:rsidRDefault="00AA4D7A" w:rsidP="00671943"/>
    <w:p w:rsidR="00AA4D7A" w:rsidRDefault="00AA4D7A" w:rsidP="00671943">
      <w:r>
        <w:t xml:space="preserve">Davis, Matt; </w:t>
      </w:r>
      <w:r w:rsidRPr="00AA4D7A">
        <w:rPr>
          <w:i/>
        </w:rPr>
        <w:t>Behavior and Energy Savings</w:t>
      </w:r>
      <w:r>
        <w:rPr>
          <w:i/>
        </w:rPr>
        <w:t xml:space="preserve">, Evidence from a Series of Experimental Interventions; </w:t>
      </w:r>
      <w:r w:rsidRPr="00AA4D7A">
        <w:t>Environmental Defense Fund</w:t>
      </w:r>
      <w:r>
        <w:t>; 2011</w:t>
      </w:r>
    </w:p>
    <w:p w:rsidR="00AA4D7A" w:rsidRDefault="00AA4D7A" w:rsidP="00671943"/>
    <w:p w:rsidR="00AA4D7A" w:rsidRPr="00AA4D7A" w:rsidRDefault="00AA4D7A" w:rsidP="00671943">
      <w:pPr>
        <w:rPr>
          <w:i/>
        </w:rPr>
      </w:pPr>
      <w:r>
        <w:t xml:space="preserve">Agnew, Ken, etal.; </w:t>
      </w:r>
      <w:r>
        <w:rPr>
          <w:i/>
        </w:rPr>
        <w:t xml:space="preserve">Mo’Power to the Customer:  An evaluation of a Duel Fuel Home Energy Reports Program; </w:t>
      </w:r>
      <w:r w:rsidR="00C85FC6" w:rsidRPr="00C85FC6">
        <w:t>KEMA</w:t>
      </w:r>
    </w:p>
    <w:p w:rsidR="00AA4D7A" w:rsidRDefault="00AA4D7A" w:rsidP="00671943"/>
    <w:p w:rsidR="00A5253D" w:rsidRPr="00A5253D" w:rsidRDefault="00A5253D" w:rsidP="00A5253D">
      <w:pPr>
        <w:autoSpaceDE w:val="0"/>
        <w:autoSpaceDN w:val="0"/>
        <w:adjustRightInd w:val="0"/>
        <w:rPr>
          <w:rFonts w:cs="Arial"/>
          <w:szCs w:val="22"/>
        </w:rPr>
      </w:pPr>
      <w:r w:rsidRPr="00A5253D">
        <w:rPr>
          <w:rFonts w:eastAsiaTheme="minorEastAsia" w:cs="Arial"/>
          <w:szCs w:val="22"/>
        </w:rPr>
        <w:t xml:space="preserve">B.F. Neenan,J.K.G. Robinson; </w:t>
      </w:r>
      <w:r w:rsidRPr="00A5253D">
        <w:rPr>
          <w:rFonts w:cs="Arial"/>
          <w:i/>
          <w:szCs w:val="22"/>
        </w:rPr>
        <w:t>Guidelines for Designing Effective Energy Information  Feedback Pilots: Research Protocols</w:t>
      </w:r>
      <w:r>
        <w:rPr>
          <w:rFonts w:cs="Arial"/>
          <w:i/>
          <w:szCs w:val="22"/>
        </w:rPr>
        <w:t xml:space="preserve"> 1020855</w:t>
      </w:r>
      <w:r w:rsidRPr="00A5253D">
        <w:rPr>
          <w:rFonts w:cs="Arial"/>
          <w:i/>
          <w:szCs w:val="22"/>
        </w:rPr>
        <w:t>;</w:t>
      </w:r>
      <w:r w:rsidRPr="00A5253D">
        <w:rPr>
          <w:rFonts w:cs="Arial"/>
          <w:szCs w:val="22"/>
        </w:rPr>
        <w:t xml:space="preserve"> Electric Power Research Institute</w:t>
      </w:r>
      <w:r>
        <w:rPr>
          <w:rFonts w:cs="Arial"/>
          <w:szCs w:val="22"/>
        </w:rPr>
        <w:t xml:space="preserve"> (EPRI)</w:t>
      </w:r>
      <w:r w:rsidRPr="00A5253D">
        <w:rPr>
          <w:rFonts w:cs="Arial"/>
          <w:szCs w:val="22"/>
        </w:rPr>
        <w:t>;</w:t>
      </w:r>
      <w:r>
        <w:rPr>
          <w:rFonts w:cs="Arial"/>
          <w:szCs w:val="22"/>
        </w:rPr>
        <w:t xml:space="preserve"> Final Report April 2010; </w:t>
      </w:r>
      <w:hyperlink r:id="rId28" w:history="1">
        <w:r w:rsidRPr="009F044F">
          <w:rPr>
            <w:rStyle w:val="Hyperlink"/>
            <w:rFonts w:cs="Arial"/>
            <w:szCs w:val="22"/>
          </w:rPr>
          <w:t>www.EPRI.com</w:t>
        </w:r>
      </w:hyperlink>
      <w:r>
        <w:rPr>
          <w:rFonts w:cs="Arial"/>
          <w:szCs w:val="22"/>
        </w:rPr>
        <w:t xml:space="preserve"> </w:t>
      </w:r>
    </w:p>
    <w:p w:rsidR="004124F7" w:rsidRPr="006021AF" w:rsidRDefault="004124F7" w:rsidP="00671943"/>
    <w:p w:rsidR="004124F7" w:rsidRDefault="004124F7" w:rsidP="004124F7">
      <w:r w:rsidRPr="004124F7">
        <w:t>Allcott</w:t>
      </w:r>
      <w:r>
        <w:t>,</w:t>
      </w:r>
      <w:r w:rsidRPr="004124F7">
        <w:t xml:space="preserve"> Hunt and Rogers</w:t>
      </w:r>
      <w:r>
        <w:t>,</w:t>
      </w:r>
      <w:r w:rsidRPr="004124F7">
        <w:t xml:space="preserve"> Todd</w:t>
      </w:r>
      <w:r>
        <w:t>;</w:t>
      </w:r>
      <w:r>
        <w:rPr>
          <w:i/>
        </w:rPr>
        <w:t xml:space="preserve"> </w:t>
      </w:r>
      <w:r w:rsidRPr="004124F7">
        <w:rPr>
          <w:i/>
        </w:rPr>
        <w:t>The Short-Run and Long-Run Effects of Behavioral Interventions:</w:t>
      </w:r>
      <w:r>
        <w:rPr>
          <w:i/>
        </w:rPr>
        <w:t xml:space="preserve"> </w:t>
      </w:r>
      <w:r w:rsidRPr="004124F7">
        <w:rPr>
          <w:i/>
        </w:rPr>
        <w:t>Experimental Evidence from Energy Conservation</w:t>
      </w:r>
      <w:r>
        <w:rPr>
          <w:i/>
        </w:rPr>
        <w:t xml:space="preserve">; </w:t>
      </w:r>
      <w:r w:rsidRPr="004124F7">
        <w:t>October</w:t>
      </w:r>
      <w:r>
        <w:t xml:space="preserve"> </w:t>
      </w:r>
      <w:r w:rsidRPr="004124F7">
        <w:t>16,</w:t>
      </w:r>
      <w:r>
        <w:t xml:space="preserve"> </w:t>
      </w:r>
      <w:r w:rsidRPr="004124F7">
        <w:t>2012</w:t>
      </w:r>
    </w:p>
    <w:p w:rsidR="006021AF" w:rsidRDefault="006021AF" w:rsidP="004124F7"/>
    <w:p w:rsidR="000E7219" w:rsidRDefault="000E7219" w:rsidP="004124F7">
      <w:pPr>
        <w:rPr>
          <w:rFonts w:cs="Arial"/>
          <w:szCs w:val="22"/>
        </w:rPr>
      </w:pPr>
      <w:r w:rsidRPr="000E7219">
        <w:rPr>
          <w:szCs w:val="22"/>
        </w:rPr>
        <w:t xml:space="preserve">California Public Utilities Commission, </w:t>
      </w:r>
      <w:r w:rsidRPr="000E7219">
        <w:rPr>
          <w:rFonts w:cs="Arial"/>
          <w:szCs w:val="22"/>
        </w:rPr>
        <w:t>Decision 09-09-047 September 24, 2009 -- Application of Southern California Edison Company (U338E) for Approval of its 2009-2011Energy Efficiency Program Plans and Associated Public Goods Charge (PGC) and Procurement Funding Requests, Date of Issuance 10/1/2009</w:t>
      </w:r>
    </w:p>
    <w:p w:rsidR="000E7219" w:rsidRDefault="000E7219" w:rsidP="004124F7">
      <w:pPr>
        <w:rPr>
          <w:rFonts w:cs="Arial"/>
          <w:szCs w:val="22"/>
        </w:rPr>
      </w:pPr>
    </w:p>
    <w:p w:rsidR="000E7219" w:rsidRPr="000E7219" w:rsidRDefault="000E7219" w:rsidP="004124F7">
      <w:pPr>
        <w:rPr>
          <w:szCs w:val="22"/>
        </w:rPr>
      </w:pPr>
      <w:r w:rsidRPr="000E7219">
        <w:rPr>
          <w:szCs w:val="22"/>
        </w:rPr>
        <w:t>California Public Utilities Commission, Decision 10-04-029 April 8, 2010 -- Application of Southern California Edison Company (U338E) for Approval of its 2009-2011 Energy Efficiency Program Plans and Associated Public Goods Charge (PGC) and Procurement Funding Requests, Date of Issuance 4/21/2010</w:t>
      </w:r>
    </w:p>
    <w:p w:rsidR="000E7219" w:rsidRDefault="000E7219" w:rsidP="004124F7">
      <w:pPr>
        <w:rPr>
          <w:b/>
          <w:sz w:val="24"/>
        </w:rPr>
      </w:pPr>
    </w:p>
    <w:p w:rsidR="00487AEF" w:rsidRPr="00487AEF" w:rsidRDefault="00487AEF" w:rsidP="004124F7">
      <w:pPr>
        <w:rPr>
          <w:b/>
          <w:sz w:val="24"/>
        </w:rPr>
      </w:pPr>
      <w:r w:rsidRPr="00487AEF">
        <w:rPr>
          <w:b/>
          <w:sz w:val="24"/>
        </w:rPr>
        <w:t xml:space="preserve">Endnotes </w:t>
      </w:r>
    </w:p>
    <w:sectPr w:rsidR="00487AEF" w:rsidRPr="00487AEF"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336" w:rsidRDefault="005A1336">
      <w:r>
        <w:separator/>
      </w:r>
    </w:p>
    <w:p w:rsidR="005A1336" w:rsidRDefault="005A1336"/>
  </w:endnote>
  <w:endnote w:type="continuationSeparator" w:id="0">
    <w:p w:rsidR="005A1336" w:rsidRDefault="005A1336">
      <w:r>
        <w:continuationSeparator/>
      </w:r>
    </w:p>
    <w:p w:rsidR="005A1336" w:rsidRDefault="005A1336"/>
  </w:endnote>
  <w:endnote w:id="1">
    <w:p w:rsidR="005A1336" w:rsidRDefault="005A1336" w:rsidP="00475C59">
      <w:pPr>
        <w:pStyle w:val="EndnoteText"/>
        <w:ind w:left="180" w:hanging="180"/>
        <w:rPr>
          <w:rStyle w:val="Hyperlink"/>
          <w:rFonts w:cs="Arial"/>
          <w:szCs w:val="22"/>
        </w:rPr>
      </w:pPr>
      <w:r w:rsidRPr="00BA7443">
        <w:rPr>
          <w:rStyle w:val="EndnoteReference"/>
          <w:b/>
          <w:sz w:val="24"/>
          <w:szCs w:val="24"/>
        </w:rPr>
        <w:endnoteRef/>
      </w:r>
      <w:r>
        <w:t xml:space="preserve"> </w:t>
      </w:r>
      <w:r w:rsidRPr="00A5253D">
        <w:rPr>
          <w:rFonts w:eastAsiaTheme="minorEastAsia" w:cs="Arial"/>
          <w:szCs w:val="22"/>
        </w:rPr>
        <w:t xml:space="preserve">B.F. Neenan,J.K.G. Robinson; </w:t>
      </w:r>
      <w:r w:rsidRPr="00A5253D">
        <w:rPr>
          <w:rFonts w:cs="Arial"/>
          <w:i/>
          <w:szCs w:val="22"/>
        </w:rPr>
        <w:t>Guidelines for Designing Effective Energy Information  Feedback Pilots: Research Protocols</w:t>
      </w:r>
      <w:r>
        <w:rPr>
          <w:rFonts w:cs="Arial"/>
          <w:i/>
          <w:szCs w:val="22"/>
        </w:rPr>
        <w:t xml:space="preserve"> 1020855</w:t>
      </w:r>
      <w:r w:rsidRPr="00A5253D">
        <w:rPr>
          <w:rFonts w:cs="Arial"/>
          <w:i/>
          <w:szCs w:val="22"/>
        </w:rPr>
        <w:t>;</w:t>
      </w:r>
      <w:r w:rsidRPr="00A5253D">
        <w:rPr>
          <w:rFonts w:cs="Arial"/>
          <w:szCs w:val="22"/>
        </w:rPr>
        <w:t xml:space="preserve"> Electric Power Research Institute</w:t>
      </w:r>
      <w:r>
        <w:rPr>
          <w:rFonts w:cs="Arial"/>
          <w:szCs w:val="22"/>
        </w:rPr>
        <w:t xml:space="preserve"> (EPRI)</w:t>
      </w:r>
      <w:r w:rsidRPr="00A5253D">
        <w:rPr>
          <w:rFonts w:cs="Arial"/>
          <w:szCs w:val="22"/>
        </w:rPr>
        <w:t>;</w:t>
      </w:r>
      <w:r>
        <w:rPr>
          <w:rFonts w:cs="Arial"/>
          <w:szCs w:val="22"/>
        </w:rPr>
        <w:t xml:space="preserve"> Final Report April 2010; </w:t>
      </w:r>
      <w:hyperlink r:id="rId1" w:history="1">
        <w:r w:rsidRPr="009F044F">
          <w:rPr>
            <w:rStyle w:val="Hyperlink"/>
            <w:rFonts w:cs="Arial"/>
            <w:szCs w:val="22"/>
          </w:rPr>
          <w:t>www.EPRI.com</w:t>
        </w:r>
      </w:hyperlink>
    </w:p>
    <w:p w:rsidR="005A1336" w:rsidRDefault="005A1336" w:rsidP="00475C59">
      <w:pPr>
        <w:pStyle w:val="EndnoteText"/>
        <w:ind w:left="180" w:hanging="180"/>
      </w:pPr>
    </w:p>
  </w:endnote>
  <w:endnote w:id="2">
    <w:p w:rsidR="005A1336" w:rsidRDefault="005A1336" w:rsidP="00475C59">
      <w:pPr>
        <w:pStyle w:val="EndnoteText"/>
        <w:ind w:left="180" w:hanging="180"/>
      </w:pPr>
      <w:r w:rsidRPr="00475C59">
        <w:rPr>
          <w:rStyle w:val="EndnoteReference"/>
          <w:b/>
          <w:sz w:val="24"/>
          <w:szCs w:val="24"/>
        </w:rPr>
        <w:endnoteRef/>
      </w:r>
      <w:r>
        <w:t xml:space="preserve"> </w:t>
      </w:r>
      <w:r w:rsidRPr="00475C59">
        <w:t xml:space="preserve">State and Local Energy Efficiency Action Network (SEE Action); Evaluation, Measurement and Verification (EM&amp;V) of Residential Behavior-Based Energy Efficiency Programs: Issues and Recommendations; May 2012; </w:t>
      </w:r>
      <w:hyperlink r:id="rId2" w:history="1">
        <w:r w:rsidRPr="000D5340">
          <w:rPr>
            <w:rStyle w:val="Hyperlink"/>
          </w:rPr>
          <w:t>www.seeaction.gov</w:t>
        </w:r>
      </w:hyperlink>
    </w:p>
  </w:endnote>
  <w:endnote w:id="3">
    <w:p w:rsidR="005A1336" w:rsidRDefault="005A1336" w:rsidP="002338F3">
      <w:pPr>
        <w:pStyle w:val="EndnoteText"/>
      </w:pPr>
      <w:r w:rsidRPr="000E7219">
        <w:rPr>
          <w:rStyle w:val="EndnoteReference"/>
          <w:b/>
          <w:sz w:val="24"/>
          <w:szCs w:val="24"/>
        </w:rPr>
        <w:endnoteRef/>
      </w:r>
      <w:r>
        <w:t xml:space="preserve"> </w:t>
      </w:r>
      <w:r w:rsidRPr="000E7219">
        <w:t xml:space="preserve">California Public Utilities Commission, </w:t>
      </w:r>
      <w:r w:rsidRPr="000E7219">
        <w:rPr>
          <w:rFonts w:cs="Arial"/>
        </w:rPr>
        <w:t>Decision 09-09-047 September 24, 2009 -- Application of Southern California Edison</w:t>
      </w:r>
      <w:r>
        <w:rPr>
          <w:rFonts w:cs="Arial"/>
        </w:rPr>
        <w:t xml:space="preserve"> </w:t>
      </w:r>
      <w:r w:rsidRPr="000E7219">
        <w:rPr>
          <w:rFonts w:cs="Arial"/>
        </w:rPr>
        <w:t>Company (U338E) for Approval of its 2009-2011Energy Efficiency Program Plans and Associated</w:t>
      </w:r>
      <w:r>
        <w:rPr>
          <w:rFonts w:cs="Arial"/>
        </w:rPr>
        <w:t xml:space="preserve"> </w:t>
      </w:r>
      <w:r w:rsidRPr="000E7219">
        <w:rPr>
          <w:rFonts w:cs="Arial"/>
        </w:rPr>
        <w:t>Public Goods Charge (PGC) and Procurement</w:t>
      </w:r>
      <w:r>
        <w:rPr>
          <w:rFonts w:cs="Arial"/>
        </w:rPr>
        <w:t xml:space="preserve"> </w:t>
      </w:r>
      <w:r w:rsidRPr="000E7219">
        <w:rPr>
          <w:rFonts w:cs="Arial"/>
        </w:rPr>
        <w:t>Funding Requests</w:t>
      </w:r>
      <w:r>
        <w:rPr>
          <w:rFonts w:cs="Arial"/>
        </w:rPr>
        <w:t xml:space="preserve">, </w:t>
      </w:r>
      <w:r w:rsidRPr="000E7219">
        <w:rPr>
          <w:rFonts w:cs="Arial"/>
        </w:rPr>
        <w:t>Date of Issuance 10/1/2009</w:t>
      </w:r>
      <w:r>
        <w:rPr>
          <w:rFonts w:cs="Arial"/>
        </w:rPr>
        <w:t>; pg. 304</w:t>
      </w:r>
    </w:p>
  </w:endnote>
  <w:endnote w:id="4">
    <w:p w:rsidR="005A1336" w:rsidRDefault="005A1336" w:rsidP="000E7219">
      <w:pPr>
        <w:pStyle w:val="EndnoteText"/>
      </w:pPr>
      <w:r w:rsidRPr="000E7219">
        <w:rPr>
          <w:rStyle w:val="EndnoteReference"/>
          <w:b/>
          <w:sz w:val="24"/>
          <w:szCs w:val="24"/>
        </w:rPr>
        <w:endnoteRef/>
      </w:r>
      <w:r w:rsidRPr="000E7219">
        <w:rPr>
          <w:b/>
          <w:sz w:val="24"/>
          <w:szCs w:val="24"/>
        </w:rPr>
        <w:t xml:space="preserve"> </w:t>
      </w:r>
      <w:r w:rsidRPr="000E7219">
        <w:t>California Public Utilities Commission, Decision 10-04-029 April 8, 2010</w:t>
      </w:r>
      <w:r>
        <w:t xml:space="preserve"> -- Application of Southern California Edison Company (U338E) for Approval of its 2009-2011 Energy Efficiency Program Plans and Associated Public Goods Charge (PGC) and Procurement Funding Requests,</w:t>
      </w:r>
      <w:r w:rsidRPr="000E7219">
        <w:t xml:space="preserve"> Date of Issuance 4/21/2010, pp.40-42</w:t>
      </w:r>
    </w:p>
    <w:p w:rsidR="005A1336" w:rsidRPr="000E7219" w:rsidRDefault="005A1336" w:rsidP="000E7219">
      <w:pPr>
        <w:pStyle w:val="EndnoteText"/>
      </w:pPr>
    </w:p>
  </w:endnote>
  <w:endnote w:id="5">
    <w:p w:rsidR="005A1336" w:rsidRDefault="005A1336" w:rsidP="00475C59">
      <w:pPr>
        <w:pStyle w:val="EndnoteText"/>
        <w:ind w:left="180" w:hanging="180"/>
        <w:rPr>
          <w:rFonts w:cs="Arial"/>
          <w:i/>
        </w:rPr>
      </w:pPr>
      <w:r w:rsidRPr="00D3514E">
        <w:rPr>
          <w:rStyle w:val="EndnoteReference"/>
          <w:b/>
          <w:sz w:val="24"/>
          <w:szCs w:val="24"/>
        </w:rPr>
        <w:endnoteRef/>
      </w:r>
      <w:r w:rsidRPr="00D3514E">
        <w:rPr>
          <w:b/>
          <w:sz w:val="24"/>
          <w:szCs w:val="24"/>
        </w:rPr>
        <w:t xml:space="preserve"> </w:t>
      </w:r>
      <w:r w:rsidRPr="00784500">
        <w:rPr>
          <w:rFonts w:cs="Arial"/>
        </w:rPr>
        <w:t>The DEER Measure Cost Data Users Guide</w:t>
      </w:r>
      <w:r>
        <w:rPr>
          <w:rFonts w:cs="Arial"/>
        </w:rPr>
        <w:t xml:space="preserve"> found on </w:t>
      </w:r>
      <w:hyperlink r:id="rId3"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rsidR="005A1336" w:rsidRDefault="005A1336" w:rsidP="00475C59">
      <w:pPr>
        <w:pStyle w:val="EndnoteText"/>
        <w:ind w:left="180" w:hanging="180"/>
      </w:pPr>
    </w:p>
  </w:endnote>
  <w:endnote w:id="6">
    <w:p w:rsidR="005A1336" w:rsidRDefault="005A1336" w:rsidP="00475C59">
      <w:pPr>
        <w:pStyle w:val="EndnoteText"/>
        <w:ind w:left="180" w:hanging="180"/>
      </w:pPr>
      <w:r w:rsidRPr="00EB2D3B">
        <w:rPr>
          <w:rStyle w:val="EndnoteReference"/>
          <w:b/>
          <w:sz w:val="24"/>
          <w:szCs w:val="24"/>
        </w:rPr>
        <w:endnoteRef/>
      </w:r>
      <w:r w:rsidRPr="00EB2D3B">
        <w:rPr>
          <w:b/>
          <w:sz w:val="24"/>
          <w:szCs w:val="24"/>
        </w:rPr>
        <w:t xml:space="preserve"> </w:t>
      </w:r>
      <w:r>
        <w:t xml:space="preserve">PG&amp;E CES EM&amp;V Dept.; </w:t>
      </w:r>
      <w:r>
        <w:rPr>
          <w:i/>
        </w:rPr>
        <w:t>IOU Proposal for Reporting Energy Savings for Comparative Usage</w:t>
      </w:r>
      <w:r>
        <w:t xml:space="preserve"> </w:t>
      </w:r>
      <w:r w:rsidRPr="00C35F3E">
        <w:rPr>
          <w:i/>
        </w:rPr>
        <w:t>Energy Efficiency Programs</w:t>
      </w:r>
      <w:r>
        <w:rPr>
          <w:i/>
        </w:rPr>
        <w:t>,</w:t>
      </w:r>
      <w:r>
        <w:t xml:space="preserve"> May 8, 2012 Revision; pg 4</w:t>
      </w:r>
    </w:p>
    <w:p w:rsidR="005A1336" w:rsidRDefault="005A1336" w:rsidP="00475C59">
      <w:pPr>
        <w:pStyle w:val="EndnoteText"/>
        <w:ind w:left="180" w:hanging="180"/>
      </w:pPr>
    </w:p>
  </w:endnote>
  <w:endnote w:id="7">
    <w:p w:rsidR="005A1336" w:rsidRPr="00475C59" w:rsidRDefault="005A1336" w:rsidP="00475C59">
      <w:pPr>
        <w:ind w:left="180" w:hanging="180"/>
        <w:rPr>
          <w:sz w:val="20"/>
          <w:szCs w:val="20"/>
        </w:rPr>
      </w:pPr>
      <w:r w:rsidRPr="00D3514E">
        <w:rPr>
          <w:rStyle w:val="EndnoteReference"/>
          <w:rFonts w:cs="Arial"/>
          <w:b/>
          <w:sz w:val="24"/>
        </w:rPr>
        <w:endnoteRef/>
      </w:r>
      <w:r>
        <w:t xml:space="preserve"> </w:t>
      </w:r>
      <w:r w:rsidRPr="00475C59">
        <w:rPr>
          <w:sz w:val="20"/>
          <w:szCs w:val="20"/>
        </w:rPr>
        <w:t xml:space="preserve">PG&amp;E CES EM&amp;V Dept. </w:t>
      </w:r>
      <w:r w:rsidRPr="00475C59">
        <w:rPr>
          <w:i/>
          <w:sz w:val="20"/>
          <w:szCs w:val="20"/>
        </w:rPr>
        <w:t>PG&amp;E Home Energy Reports Initiative</w:t>
      </w:r>
      <w:r w:rsidRPr="00475C59">
        <w:rPr>
          <w:sz w:val="20"/>
          <w:szCs w:val="20"/>
        </w:rPr>
        <w:t xml:space="preserve"> </w:t>
      </w:r>
      <w:r w:rsidRPr="00475C59">
        <w:rPr>
          <w:i/>
          <w:sz w:val="20"/>
          <w:szCs w:val="20"/>
        </w:rPr>
        <w:t>Sampling Plan</w:t>
      </w:r>
      <w:r w:rsidRPr="00475C59">
        <w:rPr>
          <w:sz w:val="20"/>
          <w:szCs w:val="20"/>
        </w:rPr>
        <w:t xml:space="preserve"> May 17,2011 Revision</w:t>
      </w:r>
    </w:p>
    <w:p w:rsidR="005A1336" w:rsidRDefault="005A1336" w:rsidP="00475C59">
      <w:pPr>
        <w:pStyle w:val="EndnoteText"/>
        <w:ind w:left="180" w:hanging="180"/>
      </w:pPr>
    </w:p>
  </w:endnote>
  <w:endnote w:id="8">
    <w:p w:rsidR="005A1336" w:rsidRDefault="005A1336" w:rsidP="00475C59">
      <w:pPr>
        <w:ind w:left="180" w:hanging="180"/>
      </w:pPr>
      <w:r w:rsidRPr="00D3514E">
        <w:rPr>
          <w:rStyle w:val="EndnoteReference"/>
          <w:rFonts w:cs="Arial"/>
          <w:b/>
          <w:sz w:val="24"/>
        </w:rPr>
        <w:endnoteRef/>
      </w:r>
      <w:r>
        <w:t xml:space="preserve"> </w:t>
      </w:r>
      <w:r w:rsidRPr="00475C59">
        <w:rPr>
          <w:sz w:val="20"/>
          <w:szCs w:val="20"/>
        </w:rPr>
        <w:t xml:space="preserve">PG&amp;E CES EM&amp;V Dept.; </w:t>
      </w:r>
      <w:r w:rsidRPr="00475C59">
        <w:rPr>
          <w:i/>
          <w:sz w:val="20"/>
          <w:szCs w:val="20"/>
        </w:rPr>
        <w:t>IOU Proposal for Reporting Energy Savings for Comparative Usage</w:t>
      </w:r>
      <w:r w:rsidRPr="00475C59">
        <w:rPr>
          <w:sz w:val="20"/>
          <w:szCs w:val="20"/>
        </w:rPr>
        <w:t xml:space="preserve"> </w:t>
      </w:r>
      <w:r w:rsidRPr="00475C59">
        <w:rPr>
          <w:i/>
          <w:sz w:val="20"/>
          <w:szCs w:val="20"/>
        </w:rPr>
        <w:t>Energy Efficiency Programs,</w:t>
      </w:r>
      <w:r w:rsidRPr="00475C59">
        <w:rPr>
          <w:sz w:val="20"/>
          <w:szCs w:val="20"/>
        </w:rPr>
        <w:t xml:space="preserve"> May 8, 2012 Revision</w:t>
      </w:r>
      <w:r>
        <w:rPr>
          <w:sz w:val="20"/>
          <w:szCs w:val="20"/>
        </w:rPr>
        <w:t>; pg 4</w:t>
      </w:r>
    </w:p>
    <w:p w:rsidR="005A1336" w:rsidRDefault="005A1336" w:rsidP="00475C59">
      <w:pPr>
        <w:ind w:left="180" w:hanging="180"/>
      </w:pPr>
    </w:p>
  </w:endnote>
  <w:endnote w:id="9">
    <w:p w:rsidR="005A1336" w:rsidRDefault="005A1336" w:rsidP="00475C59">
      <w:pPr>
        <w:pStyle w:val="EndnoteText"/>
        <w:ind w:left="180" w:hanging="180"/>
      </w:pPr>
      <w:r w:rsidRPr="00BC48EC">
        <w:rPr>
          <w:rStyle w:val="EndnoteReference"/>
          <w:b/>
          <w:sz w:val="24"/>
          <w:szCs w:val="24"/>
        </w:rPr>
        <w:endnoteRef/>
      </w:r>
      <w:r>
        <w:t xml:space="preserve"> PG&amp;E CES EM&amp;V Dept.; </w:t>
      </w:r>
      <w:r>
        <w:rPr>
          <w:i/>
        </w:rPr>
        <w:t>IOU Proposal for Reporting Energy Savings for Comparative Usage</w:t>
      </w:r>
      <w:r>
        <w:t xml:space="preserve"> </w:t>
      </w:r>
      <w:r w:rsidRPr="00C35F3E">
        <w:rPr>
          <w:i/>
        </w:rPr>
        <w:t>Energy Efficiency Programs</w:t>
      </w:r>
      <w:r>
        <w:rPr>
          <w:i/>
        </w:rPr>
        <w:t>,</w:t>
      </w:r>
      <w:r>
        <w:t xml:space="preserve"> May 8, 2012 Revision; pg 4</w:t>
      </w:r>
    </w:p>
    <w:p w:rsidR="005A1336" w:rsidRDefault="005A1336" w:rsidP="00475C59">
      <w:pPr>
        <w:pStyle w:val="EndnoteText"/>
        <w:ind w:left="180" w:hanging="180"/>
      </w:pPr>
    </w:p>
  </w:endnote>
  <w:endnote w:id="10">
    <w:p w:rsidR="005A1336" w:rsidRDefault="005A1336" w:rsidP="00475C59">
      <w:pPr>
        <w:ind w:left="180" w:hanging="180"/>
      </w:pPr>
      <w:r w:rsidRPr="00322EC9">
        <w:rPr>
          <w:rStyle w:val="EndnoteReference"/>
          <w:b/>
          <w:sz w:val="24"/>
        </w:rPr>
        <w:endnoteRef/>
      </w:r>
      <w:r>
        <w:t xml:space="preserve"> </w:t>
      </w:r>
      <w:r w:rsidRPr="00BC48EC">
        <w:rPr>
          <w:sz w:val="20"/>
          <w:szCs w:val="20"/>
        </w:rPr>
        <w:t xml:space="preserve">PG&amp;E CES EM&amp;V Dept.; </w:t>
      </w:r>
      <w:r w:rsidRPr="00BC48EC">
        <w:rPr>
          <w:i/>
          <w:sz w:val="20"/>
          <w:szCs w:val="20"/>
        </w:rPr>
        <w:t>IOU Proposal for Reporting Energy Savings for Comparative Usage</w:t>
      </w:r>
      <w:r w:rsidRPr="00BC48EC">
        <w:rPr>
          <w:sz w:val="20"/>
          <w:szCs w:val="20"/>
        </w:rPr>
        <w:t xml:space="preserve"> </w:t>
      </w:r>
      <w:r w:rsidRPr="00BC48EC">
        <w:rPr>
          <w:i/>
          <w:sz w:val="20"/>
          <w:szCs w:val="20"/>
        </w:rPr>
        <w:t>Energy Efficiency Programs,</w:t>
      </w:r>
      <w:r w:rsidRPr="00BC48EC">
        <w:rPr>
          <w:sz w:val="20"/>
          <w:szCs w:val="20"/>
        </w:rPr>
        <w:t xml:space="preserve"> May 8, 2012 Revision; pg 4</w:t>
      </w:r>
    </w:p>
    <w:p w:rsidR="005A1336" w:rsidRDefault="005A1336" w:rsidP="00475C59">
      <w:pPr>
        <w:pStyle w:val="EndnoteText"/>
        <w:ind w:left="180" w:hanging="180"/>
      </w:pPr>
    </w:p>
  </w:endnote>
  <w:endnote w:id="11">
    <w:p w:rsidR="005A1336" w:rsidRDefault="005A1336" w:rsidP="00C638FA">
      <w:pPr>
        <w:ind w:left="180" w:hanging="180"/>
      </w:pPr>
      <w:r w:rsidRPr="00CC1129">
        <w:rPr>
          <w:rStyle w:val="EndnoteReference"/>
          <w:b/>
          <w:sz w:val="24"/>
        </w:rPr>
        <w:endnoteRef/>
      </w:r>
      <w:r>
        <w:t xml:space="preserve"> </w:t>
      </w:r>
      <w:r w:rsidRPr="00BC48EC">
        <w:rPr>
          <w:sz w:val="20"/>
          <w:szCs w:val="20"/>
        </w:rPr>
        <w:t xml:space="preserve">PG&amp;E CES EM&amp;V Dept.; </w:t>
      </w:r>
      <w:r w:rsidRPr="00BC48EC">
        <w:rPr>
          <w:i/>
          <w:sz w:val="20"/>
          <w:szCs w:val="20"/>
        </w:rPr>
        <w:t>IOU Proposal for Reporting Energy Savings for Comparative Usage</w:t>
      </w:r>
      <w:r w:rsidRPr="00BC48EC">
        <w:rPr>
          <w:sz w:val="20"/>
          <w:szCs w:val="20"/>
        </w:rPr>
        <w:t xml:space="preserve"> </w:t>
      </w:r>
      <w:r w:rsidRPr="00BC48EC">
        <w:rPr>
          <w:i/>
          <w:sz w:val="20"/>
          <w:szCs w:val="20"/>
        </w:rPr>
        <w:t>Energy Efficiency Programs,</w:t>
      </w:r>
      <w:r w:rsidRPr="00BC48EC">
        <w:rPr>
          <w:sz w:val="20"/>
          <w:szCs w:val="20"/>
        </w:rPr>
        <w:t xml:space="preserve"> May 8, 2012 Revision; pg 4</w:t>
      </w:r>
    </w:p>
  </w:endnote>
  <w:endnote w:id="12">
    <w:p w:rsidR="005A1336" w:rsidRDefault="005A1336" w:rsidP="00475C59">
      <w:pPr>
        <w:ind w:left="180" w:hanging="180"/>
      </w:pPr>
      <w:r w:rsidRPr="00D3514E">
        <w:rPr>
          <w:rStyle w:val="EndnoteReference"/>
          <w:rFonts w:cs="Arial"/>
          <w:b/>
          <w:sz w:val="24"/>
        </w:rPr>
        <w:endnoteRef/>
      </w:r>
      <w:r>
        <w:t xml:space="preserve"> </w:t>
      </w:r>
      <w:r w:rsidRPr="00BC48EC">
        <w:rPr>
          <w:sz w:val="20"/>
          <w:szCs w:val="20"/>
        </w:rPr>
        <w:t xml:space="preserve">State and Local Energy Efficiency Action Network (SEE Action); </w:t>
      </w:r>
      <w:r w:rsidRPr="00BC48EC">
        <w:rPr>
          <w:i/>
          <w:sz w:val="20"/>
          <w:szCs w:val="20"/>
        </w:rPr>
        <w:t>Evaluation, Measurement and Verification (EM&amp;V) of Residential Behavior-Based</w:t>
      </w:r>
      <w:r w:rsidRPr="00BC48EC">
        <w:rPr>
          <w:sz w:val="20"/>
          <w:szCs w:val="20"/>
        </w:rPr>
        <w:t xml:space="preserve"> </w:t>
      </w:r>
      <w:r w:rsidRPr="00BC48EC">
        <w:rPr>
          <w:i/>
          <w:sz w:val="20"/>
          <w:szCs w:val="20"/>
        </w:rPr>
        <w:t>Energy Efficiency Programs: Issues and Recommendations;</w:t>
      </w:r>
      <w:r w:rsidRPr="00BC48EC">
        <w:rPr>
          <w:sz w:val="20"/>
          <w:szCs w:val="20"/>
        </w:rPr>
        <w:t xml:space="preserve"> May 2012; </w:t>
      </w:r>
      <w:hyperlink r:id="rId4" w:history="1">
        <w:r w:rsidRPr="00BC48EC">
          <w:rPr>
            <w:rStyle w:val="Hyperlink"/>
            <w:sz w:val="20"/>
            <w:szCs w:val="20"/>
          </w:rPr>
          <w:t>www.seeaction.gov</w:t>
        </w:r>
      </w:hyperlink>
    </w:p>
  </w:endnote>
  <w:endnote w:id="13">
    <w:p w:rsidR="005A1336" w:rsidRPr="002D758F" w:rsidRDefault="005A1336">
      <w:pPr>
        <w:pStyle w:val="EndnoteText"/>
      </w:pPr>
      <w:r w:rsidRPr="002D758F">
        <w:rPr>
          <w:rStyle w:val="EndnoteReference"/>
          <w:b/>
          <w:sz w:val="24"/>
          <w:szCs w:val="24"/>
        </w:rPr>
        <w:endnoteRef/>
      </w:r>
      <w:r w:rsidRPr="002D758F">
        <w:rPr>
          <w:b/>
          <w:sz w:val="24"/>
          <w:szCs w:val="24"/>
        </w:rPr>
        <w:t xml:space="preserve"> </w:t>
      </w:r>
      <w:r w:rsidRPr="00BC48EC">
        <w:t>State and Local Energy Efficiency Action Network (SEE Action)</w:t>
      </w:r>
      <w:r>
        <w:t>;  pg. 64.</w:t>
      </w:r>
    </w:p>
  </w:endnote>
  <w:endnote w:id="14">
    <w:p w:rsidR="005A1336" w:rsidRDefault="005A1336">
      <w:pPr>
        <w:pStyle w:val="EndnoteText"/>
      </w:pPr>
      <w:r w:rsidRPr="002D758F">
        <w:rPr>
          <w:rStyle w:val="EndnoteReference"/>
          <w:b/>
          <w:sz w:val="24"/>
          <w:szCs w:val="24"/>
        </w:rPr>
        <w:endnoteRef/>
      </w:r>
      <w:r>
        <w:t xml:space="preserve"> Ibid, pg. 63</w:t>
      </w:r>
    </w:p>
  </w:endnote>
  <w:endnote w:id="15">
    <w:p w:rsidR="005A1336" w:rsidRDefault="005A1336" w:rsidP="00475C59">
      <w:pPr>
        <w:pStyle w:val="EndnoteText"/>
        <w:ind w:left="180" w:hanging="180"/>
      </w:pPr>
      <w:r w:rsidRPr="00D3514E">
        <w:rPr>
          <w:rStyle w:val="EndnoteReference"/>
          <w:b/>
          <w:sz w:val="24"/>
          <w:szCs w:val="24"/>
        </w:rPr>
        <w:endnoteRef/>
      </w:r>
      <w:r>
        <w:t xml:space="preserve"> SCE, Measure Cost Revision 5 revised for PG&amp;E by S.L. Blanc 2012</w:t>
      </w:r>
    </w:p>
    <w:p w:rsidR="005A1336" w:rsidRDefault="005A1336">
      <w:pPr>
        <w:pStyle w:val="EndnoteText"/>
      </w:pPr>
      <w:r w:rsidRPr="003D298F">
        <w:t xml:space="preserve"> </w:t>
      </w:r>
      <w:bookmarkStart w:id="118" w:name="_MON_1398086104"/>
      <w:bookmarkStart w:id="119" w:name="_MON_1398083315"/>
      <w:bookmarkEnd w:id="118"/>
      <w:bookmarkEnd w:id="119"/>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1336" w:rsidRDefault="005A13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Pr="00846195" w:rsidRDefault="005A1336"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5A1336" w:rsidRDefault="005A1336"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5A1336" w:rsidRDefault="005A1336" w:rsidP="00D7047A">
    <w:pPr>
      <w:pStyle w:val="Footer"/>
      <w:rPr>
        <w:b/>
        <w:sz w:val="20"/>
        <w:szCs w:val="20"/>
      </w:rPr>
    </w:pPr>
    <w:r>
      <w:rPr>
        <w:b/>
        <w:sz w:val="20"/>
        <w:szCs w:val="20"/>
      </w:rPr>
      <w:t>Pacific Gas &amp; Electric Company</w:t>
    </w:r>
  </w:p>
  <w:p w:rsidR="005A1336" w:rsidRPr="00844B27" w:rsidRDefault="005A1336"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PGECOALL107 R0 Home Energy Reports 121201.docx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Pr="002E0E3F" w:rsidRDefault="005A1336" w:rsidP="00274A7E">
    <w:pPr>
      <w:pStyle w:val="Footer"/>
      <w:jc w:val="right"/>
      <w:rPr>
        <w:rFonts w:cs="Arial"/>
        <w:b/>
        <w:sz w:val="36"/>
        <w:szCs w:val="36"/>
      </w:rPr>
    </w:pPr>
    <w:r>
      <w:rPr>
        <w:rFonts w:cs="Arial"/>
        <w:b/>
        <w:sz w:val="36"/>
        <w:szCs w:val="36"/>
      </w:rPr>
      <w:t>3/01/2013</w:t>
    </w:r>
  </w:p>
  <w:p w:rsidR="005A1336" w:rsidRDefault="005A133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A1336" w:rsidRDefault="005A133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Pr="0043050A" w:rsidRDefault="005A1336" w:rsidP="000D0941">
    <w:pPr>
      <w:pStyle w:val="Footer"/>
      <w:pBdr>
        <w:top w:val="single" w:sz="4" w:space="1" w:color="auto"/>
      </w:pBdr>
      <w:tabs>
        <w:tab w:val="clear" w:pos="4320"/>
        <w:tab w:val="clear" w:pos="8640"/>
        <w:tab w:val="right" w:pos="9360"/>
      </w:tabs>
      <w:rPr>
        <w:b/>
        <w:color w:val="000000" w:themeColor="text1"/>
        <w:sz w:val="20"/>
        <w:szCs w:val="20"/>
      </w:rPr>
    </w:pPr>
    <w:r w:rsidRPr="0043050A">
      <w:rPr>
        <w:b/>
        <w:color w:val="000000" w:themeColor="text1"/>
        <w:sz w:val="20"/>
        <w:szCs w:val="20"/>
      </w:rPr>
      <w:t>PGECOALL107 Home Energy Report, Revision 0</w:t>
    </w:r>
    <w:r w:rsidRPr="0043050A">
      <w:rPr>
        <w:b/>
        <w:color w:val="000000" w:themeColor="text1"/>
        <w:sz w:val="20"/>
        <w:szCs w:val="20"/>
      </w:rPr>
      <w:tab/>
      <w:t>03/01/13</w:t>
    </w:r>
  </w:p>
  <w:p w:rsidR="005A1336" w:rsidRDefault="005A1336" w:rsidP="00C747DF">
    <w:pPr>
      <w:pStyle w:val="Footer"/>
      <w:tabs>
        <w:tab w:val="clear" w:pos="4320"/>
        <w:tab w:val="clear" w:pos="8640"/>
        <w:tab w:val="right" w:pos="9360"/>
      </w:tabs>
      <w:rPr>
        <w:b/>
        <w:color w:val="0000FF"/>
        <w:sz w:val="20"/>
        <w:szCs w:val="20"/>
      </w:rPr>
    </w:pPr>
    <w:r w:rsidRPr="0043050A">
      <w:rPr>
        <w:b/>
        <w:color w:val="000000" w:themeColor="text1"/>
        <w:sz w:val="20"/>
        <w:szCs w:val="20"/>
      </w:rPr>
      <w:fldChar w:fldCharType="begin"/>
    </w:r>
    <w:r w:rsidRPr="0043050A">
      <w:rPr>
        <w:b/>
        <w:color w:val="000000" w:themeColor="text1"/>
        <w:sz w:val="20"/>
        <w:szCs w:val="20"/>
      </w:rPr>
      <w:instrText xml:space="preserve"> FILENAME </w:instrText>
    </w:r>
    <w:r w:rsidRPr="0043050A">
      <w:rPr>
        <w:b/>
        <w:color w:val="000000" w:themeColor="text1"/>
        <w:sz w:val="20"/>
        <w:szCs w:val="20"/>
      </w:rPr>
      <w:fldChar w:fldCharType="separate"/>
    </w:r>
    <w:r w:rsidRPr="0043050A">
      <w:rPr>
        <w:b/>
        <w:noProof/>
        <w:color w:val="000000" w:themeColor="text1"/>
        <w:sz w:val="20"/>
        <w:szCs w:val="20"/>
      </w:rPr>
      <w:t>PGECOALL107 R0 Home Energy Reports 130301.docx</w:t>
    </w:r>
    <w:r w:rsidRPr="0043050A">
      <w:rPr>
        <w:b/>
        <w:color w:val="000000" w:themeColor="text1"/>
        <w:sz w:val="20"/>
        <w:szCs w:val="20"/>
      </w:rPr>
      <w:fldChar w:fldCharType="end"/>
    </w:r>
    <w:r>
      <w:rPr>
        <w:b/>
        <w:color w:val="0000FF"/>
        <w:sz w:val="20"/>
        <w:szCs w:val="20"/>
      </w:rPr>
      <w:tab/>
    </w:r>
    <w:r>
      <w:rPr>
        <w:b/>
        <w:color w:val="0000FF"/>
        <w:sz w:val="20"/>
        <w:szCs w:val="20"/>
      </w:rPr>
      <w:fldChar w:fldCharType="begin"/>
    </w:r>
    <w:r>
      <w:rPr>
        <w:b/>
        <w:color w:val="0000FF"/>
        <w:sz w:val="20"/>
        <w:szCs w:val="20"/>
      </w:rPr>
      <w:instrText xml:space="preserve"> PAGE  \* roman  \* MERGEFORMAT </w:instrText>
    </w:r>
    <w:r>
      <w:rPr>
        <w:b/>
        <w:color w:val="0000FF"/>
        <w:sz w:val="20"/>
        <w:szCs w:val="20"/>
      </w:rPr>
      <w:fldChar w:fldCharType="separate"/>
    </w:r>
    <w:r w:rsidR="009B00D1">
      <w:rPr>
        <w:b/>
        <w:noProof/>
        <w:color w:val="0000FF"/>
        <w:sz w:val="20"/>
        <w:szCs w:val="20"/>
      </w:rPr>
      <w:t>vi</w:t>
    </w:r>
    <w:r>
      <w:rPr>
        <w:b/>
        <w:color w:val="0000F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Pr="002E0E3F" w:rsidRDefault="005A1336" w:rsidP="00D7047A">
    <w:pPr>
      <w:pStyle w:val="Footer"/>
      <w:jc w:val="right"/>
      <w:rPr>
        <w:rFonts w:cs="Arial"/>
        <w:b/>
        <w:sz w:val="36"/>
        <w:szCs w:val="36"/>
      </w:rPr>
    </w:pPr>
    <w:r>
      <w:rPr>
        <w:rFonts w:cs="Arial"/>
        <w:b/>
        <w:sz w:val="36"/>
        <w:szCs w:val="36"/>
      </w:rPr>
      <w:t>Date of Last Revision</w:t>
    </w:r>
  </w:p>
  <w:p w:rsidR="005A1336" w:rsidRDefault="005A133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Pr="001640F7" w:rsidRDefault="005A1336" w:rsidP="000D0941">
    <w:pPr>
      <w:pStyle w:val="Footer"/>
      <w:pBdr>
        <w:top w:val="single" w:sz="4" w:space="1" w:color="auto"/>
      </w:pBdr>
      <w:tabs>
        <w:tab w:val="clear" w:pos="4320"/>
        <w:tab w:val="clear" w:pos="8640"/>
        <w:tab w:val="right" w:pos="9360"/>
      </w:tabs>
      <w:rPr>
        <w:b/>
        <w:color w:val="000000" w:themeColor="text1"/>
        <w:sz w:val="20"/>
        <w:szCs w:val="20"/>
      </w:rPr>
    </w:pPr>
    <w:r w:rsidRPr="001640F7">
      <w:rPr>
        <w:b/>
        <w:color w:val="000000" w:themeColor="text1"/>
        <w:sz w:val="20"/>
        <w:szCs w:val="20"/>
      </w:rPr>
      <w:t>PGECOALL107 Home Energy Report, Revision 0</w:t>
    </w:r>
    <w:r w:rsidRPr="001640F7">
      <w:rPr>
        <w:b/>
        <w:color w:val="000000" w:themeColor="text1"/>
        <w:sz w:val="20"/>
        <w:szCs w:val="20"/>
      </w:rPr>
      <w:tab/>
      <w:t>3/01/13</w:t>
    </w:r>
  </w:p>
  <w:p w:rsidR="005A1336" w:rsidRDefault="005A1336" w:rsidP="00C747DF">
    <w:pPr>
      <w:pStyle w:val="Footer"/>
      <w:tabs>
        <w:tab w:val="clear" w:pos="4320"/>
        <w:tab w:val="clear" w:pos="8640"/>
        <w:tab w:val="right" w:pos="9360"/>
      </w:tabs>
      <w:rPr>
        <w:b/>
        <w:color w:val="0000FF"/>
        <w:sz w:val="20"/>
        <w:szCs w:val="20"/>
      </w:rPr>
    </w:pPr>
    <w:r w:rsidRPr="001640F7">
      <w:rPr>
        <w:b/>
        <w:color w:val="000000" w:themeColor="text1"/>
        <w:sz w:val="20"/>
        <w:szCs w:val="20"/>
      </w:rPr>
      <w:fldChar w:fldCharType="begin"/>
    </w:r>
    <w:r w:rsidRPr="001640F7">
      <w:rPr>
        <w:b/>
        <w:color w:val="000000" w:themeColor="text1"/>
        <w:sz w:val="20"/>
        <w:szCs w:val="20"/>
      </w:rPr>
      <w:instrText xml:space="preserve"> FILENAME </w:instrText>
    </w:r>
    <w:r w:rsidRPr="001640F7">
      <w:rPr>
        <w:b/>
        <w:color w:val="000000" w:themeColor="text1"/>
        <w:sz w:val="20"/>
        <w:szCs w:val="20"/>
      </w:rPr>
      <w:fldChar w:fldCharType="separate"/>
    </w:r>
    <w:r w:rsidRPr="001640F7">
      <w:rPr>
        <w:b/>
        <w:noProof/>
        <w:color w:val="000000" w:themeColor="text1"/>
        <w:sz w:val="20"/>
        <w:szCs w:val="20"/>
      </w:rPr>
      <w:t>PGECOALL107 R0 Home Energy Reports 130301.docx</w:t>
    </w:r>
    <w:r w:rsidRPr="001640F7">
      <w:rPr>
        <w:b/>
        <w:color w:val="000000" w:themeColor="text1"/>
        <w:sz w:val="20"/>
        <w:szCs w:val="20"/>
      </w:rPr>
      <w:fldChar w:fldCharType="end"/>
    </w:r>
    <w:r>
      <w:rPr>
        <w:b/>
        <w:color w:val="0000FF"/>
        <w:sz w:val="20"/>
        <w:szCs w:val="20"/>
      </w:rPr>
      <w:t xml:space="preserve"> </w:t>
    </w:r>
    <w:r>
      <w:rPr>
        <w:b/>
        <w:color w:val="0000FF"/>
        <w:sz w:val="20"/>
        <w:szCs w:val="20"/>
      </w:rPr>
      <w:tab/>
    </w:r>
    <w:r>
      <w:rPr>
        <w:b/>
        <w:color w:val="0000FF"/>
        <w:sz w:val="20"/>
        <w:szCs w:val="20"/>
      </w:rPr>
      <w:fldChar w:fldCharType="begin"/>
    </w:r>
    <w:r>
      <w:rPr>
        <w:b/>
        <w:color w:val="0000FF"/>
        <w:sz w:val="20"/>
        <w:szCs w:val="20"/>
      </w:rPr>
      <w:instrText xml:space="preserve"> PAGE  \* Arabic  \* MERGEFORMAT </w:instrText>
    </w:r>
    <w:r>
      <w:rPr>
        <w:b/>
        <w:color w:val="0000FF"/>
        <w:sz w:val="20"/>
        <w:szCs w:val="20"/>
      </w:rPr>
      <w:fldChar w:fldCharType="separate"/>
    </w:r>
    <w:r w:rsidR="009B00D1">
      <w:rPr>
        <w:b/>
        <w:noProof/>
        <w:color w:val="0000FF"/>
        <w:sz w:val="20"/>
        <w:szCs w:val="20"/>
      </w:rPr>
      <w:t>14</w:t>
    </w:r>
    <w:r>
      <w:rPr>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336" w:rsidRDefault="005A1336">
      <w:r>
        <w:separator/>
      </w:r>
    </w:p>
    <w:p w:rsidR="005A1336" w:rsidRDefault="005A1336"/>
  </w:footnote>
  <w:footnote w:type="continuationSeparator" w:id="0">
    <w:p w:rsidR="005A1336" w:rsidRDefault="005A1336">
      <w:r>
        <w:continuationSeparator/>
      </w:r>
    </w:p>
    <w:p w:rsidR="005A1336" w:rsidRDefault="005A13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pPr>
      <w:pStyle w:val="Header"/>
    </w:pPr>
    <w:r>
      <w:rPr>
        <w:noProof/>
      </w:rPr>
      <w:pict w14:anchorId="2B0A5A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rsidP="001A573F">
    <w:pPr>
      <w:pStyle w:val="Header"/>
      <w:jc w:val="right"/>
    </w:pPr>
  </w:p>
  <w:p w:rsidR="005A1336" w:rsidRDefault="005A1336"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pPr>
      <w:pStyle w:val="Header"/>
    </w:pPr>
    <w:r>
      <w:rPr>
        <w:noProof/>
      </w:rPr>
      <w:pict w14:anchorId="46600A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rsidP="001A573F">
    <w:pPr>
      <w:pStyle w:val="Header"/>
      <w:jc w:val="right"/>
    </w:pPr>
  </w:p>
  <w:p w:rsidR="005A1336" w:rsidRDefault="005A1336"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pPr>
      <w:pStyle w:val="Header"/>
    </w:pPr>
    <w:r>
      <w:rPr>
        <w:noProof/>
      </w:rPr>
      <w:pict w14:anchorId="6D899A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336" w:rsidRDefault="005A1336" w:rsidP="001A573F">
    <w:pPr>
      <w:pStyle w:val="Header"/>
      <w:jc w:val="right"/>
    </w:pPr>
  </w:p>
  <w:p w:rsidR="005A1336" w:rsidRDefault="005A1336" w:rsidP="001A573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D11009A"/>
    <w:multiLevelType w:val="hybridMultilevel"/>
    <w:tmpl w:val="2098E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6E29EF"/>
    <w:multiLevelType w:val="hybridMultilevel"/>
    <w:tmpl w:val="039E3C3C"/>
    <w:lvl w:ilvl="0" w:tplc="0922C32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D4673A8"/>
    <w:multiLevelType w:val="hybridMultilevel"/>
    <w:tmpl w:val="ACBE6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2D3596C"/>
    <w:multiLevelType w:val="hybridMultilevel"/>
    <w:tmpl w:val="63868A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8F22D97"/>
    <w:multiLevelType w:val="hybridMultilevel"/>
    <w:tmpl w:val="6A666272"/>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1">
      <w:start w:val="1"/>
      <w:numFmt w:val="bullet"/>
      <w:lvlText w:val=""/>
      <w:lvlJc w:val="left"/>
      <w:pPr>
        <w:tabs>
          <w:tab w:val="num" w:pos="1080"/>
        </w:tabs>
        <w:ind w:left="1080" w:hanging="360"/>
      </w:pPr>
      <w:rPr>
        <w:rFonts w:ascii="Symbol" w:hAnsi="Symbol" w:hint="default"/>
      </w:rPr>
    </w:lvl>
    <w:lvl w:ilvl="3" w:tplc="04090001">
      <w:start w:val="1"/>
      <w:numFmt w:val="bullet"/>
      <w:lvlText w:val=""/>
      <w:lvlJc w:val="left"/>
      <w:pPr>
        <w:tabs>
          <w:tab w:val="num" w:pos="1800"/>
        </w:tabs>
        <w:ind w:left="1800" w:hanging="360"/>
      </w:pPr>
      <w:rPr>
        <w:rFonts w:ascii="Symbol" w:hAnsi="Symbol" w:hint="default"/>
      </w:rPr>
    </w:lvl>
    <w:lvl w:ilvl="4" w:tplc="EEE08AFC">
      <w:numFmt w:val="bullet"/>
      <w:lvlText w:val="•"/>
      <w:lvlJc w:val="left"/>
      <w:pPr>
        <w:ind w:left="2520" w:hanging="360"/>
      </w:pPr>
      <w:rPr>
        <w:rFonts w:ascii="Arial" w:eastAsia="Times New Roman" w:hAnsi="Arial" w:cs="Aria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4CE65E8D"/>
    <w:multiLevelType w:val="hybridMultilevel"/>
    <w:tmpl w:val="CCFA0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5E1BED"/>
    <w:multiLevelType w:val="hybridMultilevel"/>
    <w:tmpl w:val="DE588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9A4F17"/>
    <w:multiLevelType w:val="hybridMultilevel"/>
    <w:tmpl w:val="8CD8C164"/>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EEE08AFC">
      <w:numFmt w:val="bullet"/>
      <w:lvlText w:val="•"/>
      <w:lvlJc w:val="left"/>
      <w:pPr>
        <w:ind w:left="2520" w:hanging="360"/>
      </w:pPr>
      <w:rPr>
        <w:rFonts w:ascii="Arial" w:eastAsia="Times New Roman" w:hAnsi="Arial" w:cs="Aria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61D33340"/>
    <w:multiLevelType w:val="hybridMultilevel"/>
    <w:tmpl w:val="EE5A9B34"/>
    <w:lvl w:ilvl="0" w:tplc="539A9D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D258D1"/>
    <w:multiLevelType w:val="hybridMultilevel"/>
    <w:tmpl w:val="7F823922"/>
    <w:lvl w:ilvl="0" w:tplc="9F8C635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C269F7"/>
    <w:multiLevelType w:val="hybridMultilevel"/>
    <w:tmpl w:val="0DA86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47477F"/>
    <w:multiLevelType w:val="hybridMultilevel"/>
    <w:tmpl w:val="E26E2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4A1A69"/>
    <w:multiLevelType w:val="hybridMultilevel"/>
    <w:tmpl w:val="D7903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CD311A"/>
    <w:multiLevelType w:val="hybridMultilevel"/>
    <w:tmpl w:val="D100A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820856"/>
    <w:multiLevelType w:val="singleLevel"/>
    <w:tmpl w:val="6C78A414"/>
    <w:lvl w:ilvl="0">
      <w:start w:val="1"/>
      <w:numFmt w:val="decimal"/>
      <w:lvlText w:val="%1."/>
      <w:legacy w:legacy="1" w:legacySpace="0" w:legacyIndent="0"/>
      <w:lvlJc w:val="left"/>
    </w:lvl>
  </w:abstractNum>
  <w:abstractNum w:abstractNumId="3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5"/>
  </w:num>
  <w:num w:numId="4">
    <w:abstractNumId w:val="8"/>
  </w:num>
  <w:num w:numId="5">
    <w:abstractNumId w:val="29"/>
  </w:num>
  <w:num w:numId="6">
    <w:abstractNumId w:val="10"/>
  </w:num>
  <w:num w:numId="7">
    <w:abstractNumId w:val="6"/>
  </w:num>
  <w:num w:numId="8">
    <w:abstractNumId w:val="13"/>
  </w:num>
  <w:num w:numId="9">
    <w:abstractNumId w:val="9"/>
  </w:num>
  <w:num w:numId="10">
    <w:abstractNumId w:val="1"/>
  </w:num>
  <w:num w:numId="11">
    <w:abstractNumId w:val="20"/>
  </w:num>
  <w:num w:numId="12">
    <w:abstractNumId w:val="21"/>
  </w:num>
  <w:num w:numId="13">
    <w:abstractNumId w:val="4"/>
  </w:num>
  <w:num w:numId="14">
    <w:abstractNumId w:val="31"/>
  </w:num>
  <w:num w:numId="15">
    <w:abstractNumId w:val="15"/>
  </w:num>
  <w:num w:numId="16">
    <w:abstractNumId w:val="16"/>
  </w:num>
  <w:num w:numId="17">
    <w:abstractNumId w:val="0"/>
  </w:num>
  <w:num w:numId="18">
    <w:abstractNumId w:val="30"/>
  </w:num>
  <w:num w:numId="19">
    <w:abstractNumId w:val="23"/>
  </w:num>
  <w:num w:numId="20">
    <w:abstractNumId w:val="19"/>
  </w:num>
  <w:num w:numId="21">
    <w:abstractNumId w:val="7"/>
  </w:num>
  <w:num w:numId="22">
    <w:abstractNumId w:val="12"/>
  </w:num>
  <w:num w:numId="23">
    <w:abstractNumId w:val="25"/>
  </w:num>
  <w:num w:numId="24">
    <w:abstractNumId w:val="17"/>
  </w:num>
  <w:num w:numId="25">
    <w:abstractNumId w:val="27"/>
  </w:num>
  <w:num w:numId="26">
    <w:abstractNumId w:val="26"/>
  </w:num>
  <w:num w:numId="27">
    <w:abstractNumId w:val="2"/>
  </w:num>
  <w:num w:numId="28">
    <w:abstractNumId w:val="14"/>
  </w:num>
  <w:num w:numId="29">
    <w:abstractNumId w:val="18"/>
  </w:num>
  <w:num w:numId="30">
    <w:abstractNumId w:val="24"/>
  </w:num>
  <w:num w:numId="31">
    <w:abstractNumId w:val="28"/>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1C1"/>
    <w:rsid w:val="00003527"/>
    <w:rsid w:val="00004670"/>
    <w:rsid w:val="00005E70"/>
    <w:rsid w:val="00011111"/>
    <w:rsid w:val="00012F86"/>
    <w:rsid w:val="00014740"/>
    <w:rsid w:val="00014EC1"/>
    <w:rsid w:val="000170B5"/>
    <w:rsid w:val="00017488"/>
    <w:rsid w:val="00020042"/>
    <w:rsid w:val="0002129F"/>
    <w:rsid w:val="00024AA9"/>
    <w:rsid w:val="00025EBE"/>
    <w:rsid w:val="00026ED5"/>
    <w:rsid w:val="00026F78"/>
    <w:rsid w:val="000272C2"/>
    <w:rsid w:val="00027B0C"/>
    <w:rsid w:val="0003064A"/>
    <w:rsid w:val="00032B63"/>
    <w:rsid w:val="000351CB"/>
    <w:rsid w:val="000374A5"/>
    <w:rsid w:val="00044570"/>
    <w:rsid w:val="00054702"/>
    <w:rsid w:val="00056348"/>
    <w:rsid w:val="00056B95"/>
    <w:rsid w:val="000571F6"/>
    <w:rsid w:val="00057C09"/>
    <w:rsid w:val="0006325C"/>
    <w:rsid w:val="00063FA7"/>
    <w:rsid w:val="0006490F"/>
    <w:rsid w:val="00065A01"/>
    <w:rsid w:val="00066D5B"/>
    <w:rsid w:val="000678A2"/>
    <w:rsid w:val="00067EB5"/>
    <w:rsid w:val="000701EB"/>
    <w:rsid w:val="000719AA"/>
    <w:rsid w:val="000749EA"/>
    <w:rsid w:val="0007589E"/>
    <w:rsid w:val="00077161"/>
    <w:rsid w:val="000814B9"/>
    <w:rsid w:val="00083BB8"/>
    <w:rsid w:val="000842B9"/>
    <w:rsid w:val="000853AB"/>
    <w:rsid w:val="00085DF5"/>
    <w:rsid w:val="00086594"/>
    <w:rsid w:val="00087378"/>
    <w:rsid w:val="00095411"/>
    <w:rsid w:val="00095610"/>
    <w:rsid w:val="000966CC"/>
    <w:rsid w:val="000A06AB"/>
    <w:rsid w:val="000A17BE"/>
    <w:rsid w:val="000A2ABA"/>
    <w:rsid w:val="000A2FB3"/>
    <w:rsid w:val="000A48F2"/>
    <w:rsid w:val="000B0B1E"/>
    <w:rsid w:val="000C092B"/>
    <w:rsid w:val="000C0FD3"/>
    <w:rsid w:val="000C2497"/>
    <w:rsid w:val="000C3A71"/>
    <w:rsid w:val="000C5B2D"/>
    <w:rsid w:val="000C6D7B"/>
    <w:rsid w:val="000C798C"/>
    <w:rsid w:val="000D0941"/>
    <w:rsid w:val="000D17B9"/>
    <w:rsid w:val="000E132D"/>
    <w:rsid w:val="000E2194"/>
    <w:rsid w:val="000E22C9"/>
    <w:rsid w:val="000E31B5"/>
    <w:rsid w:val="000E7219"/>
    <w:rsid w:val="000E722C"/>
    <w:rsid w:val="000F0069"/>
    <w:rsid w:val="000F11DD"/>
    <w:rsid w:val="0010761F"/>
    <w:rsid w:val="00113464"/>
    <w:rsid w:val="00115EB1"/>
    <w:rsid w:val="001178BE"/>
    <w:rsid w:val="00120191"/>
    <w:rsid w:val="0012176A"/>
    <w:rsid w:val="00121A22"/>
    <w:rsid w:val="001248A3"/>
    <w:rsid w:val="00124F32"/>
    <w:rsid w:val="00126483"/>
    <w:rsid w:val="00126A4E"/>
    <w:rsid w:val="00127CC8"/>
    <w:rsid w:val="0013046A"/>
    <w:rsid w:val="0013080C"/>
    <w:rsid w:val="0013087E"/>
    <w:rsid w:val="00132D43"/>
    <w:rsid w:val="00133198"/>
    <w:rsid w:val="00133C60"/>
    <w:rsid w:val="00136D56"/>
    <w:rsid w:val="00137AC7"/>
    <w:rsid w:val="0014227F"/>
    <w:rsid w:val="00146434"/>
    <w:rsid w:val="001465B1"/>
    <w:rsid w:val="00150EC7"/>
    <w:rsid w:val="001515B0"/>
    <w:rsid w:val="00155EF5"/>
    <w:rsid w:val="00156198"/>
    <w:rsid w:val="001640F7"/>
    <w:rsid w:val="00165B2A"/>
    <w:rsid w:val="00167F2B"/>
    <w:rsid w:val="0017179F"/>
    <w:rsid w:val="00172149"/>
    <w:rsid w:val="00175673"/>
    <w:rsid w:val="00176431"/>
    <w:rsid w:val="00183C8E"/>
    <w:rsid w:val="00191C69"/>
    <w:rsid w:val="00192B77"/>
    <w:rsid w:val="001946B1"/>
    <w:rsid w:val="00194E14"/>
    <w:rsid w:val="00195F2F"/>
    <w:rsid w:val="001965AF"/>
    <w:rsid w:val="00196D7C"/>
    <w:rsid w:val="00197A23"/>
    <w:rsid w:val="001A3026"/>
    <w:rsid w:val="001A4516"/>
    <w:rsid w:val="001A550C"/>
    <w:rsid w:val="001A573F"/>
    <w:rsid w:val="001A64C6"/>
    <w:rsid w:val="001A7081"/>
    <w:rsid w:val="001A70AD"/>
    <w:rsid w:val="001A73E3"/>
    <w:rsid w:val="001A79B1"/>
    <w:rsid w:val="001B238D"/>
    <w:rsid w:val="001B242B"/>
    <w:rsid w:val="001B4ACB"/>
    <w:rsid w:val="001B5E15"/>
    <w:rsid w:val="001B75E6"/>
    <w:rsid w:val="001B792D"/>
    <w:rsid w:val="001C0CB0"/>
    <w:rsid w:val="001C2942"/>
    <w:rsid w:val="001D11CE"/>
    <w:rsid w:val="001D16C2"/>
    <w:rsid w:val="001D35F0"/>
    <w:rsid w:val="001D3F48"/>
    <w:rsid w:val="001D40B7"/>
    <w:rsid w:val="001D483C"/>
    <w:rsid w:val="001D51A4"/>
    <w:rsid w:val="001E4C31"/>
    <w:rsid w:val="001E7CA0"/>
    <w:rsid w:val="001F4083"/>
    <w:rsid w:val="001F60D5"/>
    <w:rsid w:val="001F627F"/>
    <w:rsid w:val="001F7023"/>
    <w:rsid w:val="00200174"/>
    <w:rsid w:val="00204448"/>
    <w:rsid w:val="00211BAC"/>
    <w:rsid w:val="002129D0"/>
    <w:rsid w:val="002154B2"/>
    <w:rsid w:val="002170D6"/>
    <w:rsid w:val="002203EA"/>
    <w:rsid w:val="0022055B"/>
    <w:rsid w:val="0022067C"/>
    <w:rsid w:val="002207C3"/>
    <w:rsid w:val="0022428B"/>
    <w:rsid w:val="002257FA"/>
    <w:rsid w:val="002338F3"/>
    <w:rsid w:val="002348AC"/>
    <w:rsid w:val="00235694"/>
    <w:rsid w:val="00236BB3"/>
    <w:rsid w:val="00236F73"/>
    <w:rsid w:val="0024233E"/>
    <w:rsid w:val="00243BAC"/>
    <w:rsid w:val="00244BD6"/>
    <w:rsid w:val="00245A56"/>
    <w:rsid w:val="002466F4"/>
    <w:rsid w:val="00251E83"/>
    <w:rsid w:val="00252352"/>
    <w:rsid w:val="00252651"/>
    <w:rsid w:val="00254417"/>
    <w:rsid w:val="00255067"/>
    <w:rsid w:val="0025738E"/>
    <w:rsid w:val="00257989"/>
    <w:rsid w:val="002628B9"/>
    <w:rsid w:val="00264B03"/>
    <w:rsid w:val="00267547"/>
    <w:rsid w:val="0027474D"/>
    <w:rsid w:val="00274A7E"/>
    <w:rsid w:val="00275856"/>
    <w:rsid w:val="00276918"/>
    <w:rsid w:val="00276ED1"/>
    <w:rsid w:val="002775AB"/>
    <w:rsid w:val="0027792C"/>
    <w:rsid w:val="00282786"/>
    <w:rsid w:val="00283CA0"/>
    <w:rsid w:val="0028430F"/>
    <w:rsid w:val="00285AF5"/>
    <w:rsid w:val="00287034"/>
    <w:rsid w:val="0028709C"/>
    <w:rsid w:val="00291D75"/>
    <w:rsid w:val="00295B67"/>
    <w:rsid w:val="002A2C2E"/>
    <w:rsid w:val="002A4B6C"/>
    <w:rsid w:val="002A669E"/>
    <w:rsid w:val="002B0ECF"/>
    <w:rsid w:val="002B4FEF"/>
    <w:rsid w:val="002C12FA"/>
    <w:rsid w:val="002C21F9"/>
    <w:rsid w:val="002C26EB"/>
    <w:rsid w:val="002C321E"/>
    <w:rsid w:val="002C392D"/>
    <w:rsid w:val="002C42E0"/>
    <w:rsid w:val="002C47FB"/>
    <w:rsid w:val="002C4F1C"/>
    <w:rsid w:val="002C518C"/>
    <w:rsid w:val="002C7B46"/>
    <w:rsid w:val="002D0F51"/>
    <w:rsid w:val="002D27DC"/>
    <w:rsid w:val="002D4621"/>
    <w:rsid w:val="002D5030"/>
    <w:rsid w:val="002D6F06"/>
    <w:rsid w:val="002D758F"/>
    <w:rsid w:val="002E0043"/>
    <w:rsid w:val="002E32D8"/>
    <w:rsid w:val="002E40A2"/>
    <w:rsid w:val="002E47B4"/>
    <w:rsid w:val="002E4B46"/>
    <w:rsid w:val="002E5671"/>
    <w:rsid w:val="002E6162"/>
    <w:rsid w:val="002F105C"/>
    <w:rsid w:val="002F2C2F"/>
    <w:rsid w:val="002F2D19"/>
    <w:rsid w:val="002F3610"/>
    <w:rsid w:val="002F3FE5"/>
    <w:rsid w:val="002F4E8C"/>
    <w:rsid w:val="0030080B"/>
    <w:rsid w:val="0030114D"/>
    <w:rsid w:val="0030154F"/>
    <w:rsid w:val="00301C8B"/>
    <w:rsid w:val="00302B74"/>
    <w:rsid w:val="003032B7"/>
    <w:rsid w:val="0030550A"/>
    <w:rsid w:val="003112EE"/>
    <w:rsid w:val="003129E8"/>
    <w:rsid w:val="00315AB7"/>
    <w:rsid w:val="00322EC9"/>
    <w:rsid w:val="00322F5E"/>
    <w:rsid w:val="00324AFE"/>
    <w:rsid w:val="00324D0F"/>
    <w:rsid w:val="003259CD"/>
    <w:rsid w:val="0032657A"/>
    <w:rsid w:val="00331516"/>
    <w:rsid w:val="00333E01"/>
    <w:rsid w:val="00335017"/>
    <w:rsid w:val="003352A0"/>
    <w:rsid w:val="003408A4"/>
    <w:rsid w:val="00340DAD"/>
    <w:rsid w:val="00342330"/>
    <w:rsid w:val="00345971"/>
    <w:rsid w:val="00345DE6"/>
    <w:rsid w:val="0034634A"/>
    <w:rsid w:val="0034647B"/>
    <w:rsid w:val="00350382"/>
    <w:rsid w:val="00353DC2"/>
    <w:rsid w:val="003541A6"/>
    <w:rsid w:val="00354E1F"/>
    <w:rsid w:val="00362067"/>
    <w:rsid w:val="00374640"/>
    <w:rsid w:val="00377407"/>
    <w:rsid w:val="0038391A"/>
    <w:rsid w:val="0038717C"/>
    <w:rsid w:val="00391CE7"/>
    <w:rsid w:val="00392B5E"/>
    <w:rsid w:val="00392C05"/>
    <w:rsid w:val="00393618"/>
    <w:rsid w:val="00393D41"/>
    <w:rsid w:val="00395845"/>
    <w:rsid w:val="00395C77"/>
    <w:rsid w:val="00396E93"/>
    <w:rsid w:val="003A1B51"/>
    <w:rsid w:val="003A648E"/>
    <w:rsid w:val="003A66D0"/>
    <w:rsid w:val="003A7230"/>
    <w:rsid w:val="003B384E"/>
    <w:rsid w:val="003B48D2"/>
    <w:rsid w:val="003B51DE"/>
    <w:rsid w:val="003B6B5B"/>
    <w:rsid w:val="003C27C4"/>
    <w:rsid w:val="003C3A3C"/>
    <w:rsid w:val="003C48C5"/>
    <w:rsid w:val="003C58E8"/>
    <w:rsid w:val="003C5980"/>
    <w:rsid w:val="003C6DFA"/>
    <w:rsid w:val="003D04BC"/>
    <w:rsid w:val="003D298F"/>
    <w:rsid w:val="003D36AD"/>
    <w:rsid w:val="003D3F36"/>
    <w:rsid w:val="003D5191"/>
    <w:rsid w:val="003D60B8"/>
    <w:rsid w:val="003E0FDC"/>
    <w:rsid w:val="003E15A5"/>
    <w:rsid w:val="003E24CE"/>
    <w:rsid w:val="003E3441"/>
    <w:rsid w:val="003E3941"/>
    <w:rsid w:val="003E4EEC"/>
    <w:rsid w:val="003E540D"/>
    <w:rsid w:val="003E7422"/>
    <w:rsid w:val="003E7CF9"/>
    <w:rsid w:val="003E7D3D"/>
    <w:rsid w:val="003E7E0A"/>
    <w:rsid w:val="003F0CBE"/>
    <w:rsid w:val="003F0D8A"/>
    <w:rsid w:val="003F3179"/>
    <w:rsid w:val="003F3DED"/>
    <w:rsid w:val="003F57BD"/>
    <w:rsid w:val="003F5B70"/>
    <w:rsid w:val="004018B3"/>
    <w:rsid w:val="0040323C"/>
    <w:rsid w:val="00403FBE"/>
    <w:rsid w:val="00406D56"/>
    <w:rsid w:val="00406EDD"/>
    <w:rsid w:val="004078BB"/>
    <w:rsid w:val="004124F7"/>
    <w:rsid w:val="0041339D"/>
    <w:rsid w:val="0041365D"/>
    <w:rsid w:val="004153D7"/>
    <w:rsid w:val="00415754"/>
    <w:rsid w:val="004162E3"/>
    <w:rsid w:val="004203C9"/>
    <w:rsid w:val="00421ED8"/>
    <w:rsid w:val="0042297B"/>
    <w:rsid w:val="00422F19"/>
    <w:rsid w:val="00423B48"/>
    <w:rsid w:val="00425FE9"/>
    <w:rsid w:val="00427131"/>
    <w:rsid w:val="0043050A"/>
    <w:rsid w:val="00430775"/>
    <w:rsid w:val="004323E9"/>
    <w:rsid w:val="00432C65"/>
    <w:rsid w:val="004339ED"/>
    <w:rsid w:val="00433B89"/>
    <w:rsid w:val="00436F7E"/>
    <w:rsid w:val="00437947"/>
    <w:rsid w:val="00437BE1"/>
    <w:rsid w:val="00440E9F"/>
    <w:rsid w:val="0044128D"/>
    <w:rsid w:val="004419D3"/>
    <w:rsid w:val="0044337C"/>
    <w:rsid w:val="00445790"/>
    <w:rsid w:val="00450100"/>
    <w:rsid w:val="00450273"/>
    <w:rsid w:val="004509A5"/>
    <w:rsid w:val="00453CE7"/>
    <w:rsid w:val="00454DAE"/>
    <w:rsid w:val="004551F3"/>
    <w:rsid w:val="00455856"/>
    <w:rsid w:val="004563F1"/>
    <w:rsid w:val="004602EC"/>
    <w:rsid w:val="00460626"/>
    <w:rsid w:val="004617A6"/>
    <w:rsid w:val="00466CD6"/>
    <w:rsid w:val="00467FE9"/>
    <w:rsid w:val="004734DC"/>
    <w:rsid w:val="00474025"/>
    <w:rsid w:val="00475C59"/>
    <w:rsid w:val="0048008C"/>
    <w:rsid w:val="004809C9"/>
    <w:rsid w:val="00480BAD"/>
    <w:rsid w:val="00480C7E"/>
    <w:rsid w:val="00481EE4"/>
    <w:rsid w:val="00481F63"/>
    <w:rsid w:val="0048376E"/>
    <w:rsid w:val="00486CF9"/>
    <w:rsid w:val="00487A47"/>
    <w:rsid w:val="00487AEF"/>
    <w:rsid w:val="00487D95"/>
    <w:rsid w:val="00490650"/>
    <w:rsid w:val="00492048"/>
    <w:rsid w:val="004959B4"/>
    <w:rsid w:val="004967A2"/>
    <w:rsid w:val="00497CD3"/>
    <w:rsid w:val="004A1A2E"/>
    <w:rsid w:val="004A2D46"/>
    <w:rsid w:val="004A3A35"/>
    <w:rsid w:val="004A6FCA"/>
    <w:rsid w:val="004B0F48"/>
    <w:rsid w:val="004B2CFB"/>
    <w:rsid w:val="004B4489"/>
    <w:rsid w:val="004C4E2A"/>
    <w:rsid w:val="004C56D1"/>
    <w:rsid w:val="004D2C76"/>
    <w:rsid w:val="004D3B5D"/>
    <w:rsid w:val="004D58D5"/>
    <w:rsid w:val="004D71AF"/>
    <w:rsid w:val="004D7301"/>
    <w:rsid w:val="004E2777"/>
    <w:rsid w:val="004F1DB8"/>
    <w:rsid w:val="004F21BC"/>
    <w:rsid w:val="004F3EDB"/>
    <w:rsid w:val="004F55EC"/>
    <w:rsid w:val="004F61DD"/>
    <w:rsid w:val="004F7E62"/>
    <w:rsid w:val="00502569"/>
    <w:rsid w:val="00503556"/>
    <w:rsid w:val="00503645"/>
    <w:rsid w:val="00504C90"/>
    <w:rsid w:val="00506204"/>
    <w:rsid w:val="00511171"/>
    <w:rsid w:val="005136CC"/>
    <w:rsid w:val="00513858"/>
    <w:rsid w:val="00514B37"/>
    <w:rsid w:val="00514EEC"/>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46537"/>
    <w:rsid w:val="005479CB"/>
    <w:rsid w:val="00551EF3"/>
    <w:rsid w:val="00554084"/>
    <w:rsid w:val="00554299"/>
    <w:rsid w:val="00557E24"/>
    <w:rsid w:val="00560593"/>
    <w:rsid w:val="0056163A"/>
    <w:rsid w:val="00562217"/>
    <w:rsid w:val="00563BE5"/>
    <w:rsid w:val="00564F30"/>
    <w:rsid w:val="00567397"/>
    <w:rsid w:val="00571B06"/>
    <w:rsid w:val="00574FBD"/>
    <w:rsid w:val="005764C6"/>
    <w:rsid w:val="005773BB"/>
    <w:rsid w:val="00577B7E"/>
    <w:rsid w:val="005842B6"/>
    <w:rsid w:val="00585C83"/>
    <w:rsid w:val="00586604"/>
    <w:rsid w:val="00587DDD"/>
    <w:rsid w:val="00591FDD"/>
    <w:rsid w:val="005A1336"/>
    <w:rsid w:val="005A1F9D"/>
    <w:rsid w:val="005A3798"/>
    <w:rsid w:val="005A6210"/>
    <w:rsid w:val="005A67E5"/>
    <w:rsid w:val="005A7302"/>
    <w:rsid w:val="005B00A6"/>
    <w:rsid w:val="005B4D0A"/>
    <w:rsid w:val="005C078F"/>
    <w:rsid w:val="005C2844"/>
    <w:rsid w:val="005C59AC"/>
    <w:rsid w:val="005C7F3F"/>
    <w:rsid w:val="005D2879"/>
    <w:rsid w:val="005D6266"/>
    <w:rsid w:val="005E2187"/>
    <w:rsid w:val="005E4FE9"/>
    <w:rsid w:val="005E7281"/>
    <w:rsid w:val="005F19E0"/>
    <w:rsid w:val="005F39F1"/>
    <w:rsid w:val="005F3E96"/>
    <w:rsid w:val="005F57B5"/>
    <w:rsid w:val="005F7AA1"/>
    <w:rsid w:val="006021AF"/>
    <w:rsid w:val="0060457B"/>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75"/>
    <w:rsid w:val="0064609B"/>
    <w:rsid w:val="00652DD9"/>
    <w:rsid w:val="006559C8"/>
    <w:rsid w:val="006560BD"/>
    <w:rsid w:val="00657405"/>
    <w:rsid w:val="006605C2"/>
    <w:rsid w:val="00661864"/>
    <w:rsid w:val="00661961"/>
    <w:rsid w:val="00663A00"/>
    <w:rsid w:val="00664FA6"/>
    <w:rsid w:val="0066632E"/>
    <w:rsid w:val="00671943"/>
    <w:rsid w:val="00673682"/>
    <w:rsid w:val="006832A4"/>
    <w:rsid w:val="006846E9"/>
    <w:rsid w:val="006872DB"/>
    <w:rsid w:val="00695ED2"/>
    <w:rsid w:val="006A1022"/>
    <w:rsid w:val="006A1A83"/>
    <w:rsid w:val="006A2C4B"/>
    <w:rsid w:val="006A541C"/>
    <w:rsid w:val="006A55D2"/>
    <w:rsid w:val="006A7557"/>
    <w:rsid w:val="006B15A5"/>
    <w:rsid w:val="006B42B8"/>
    <w:rsid w:val="006B4563"/>
    <w:rsid w:val="006B6104"/>
    <w:rsid w:val="006B763D"/>
    <w:rsid w:val="006B7C33"/>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06BE"/>
    <w:rsid w:val="00712407"/>
    <w:rsid w:val="00712477"/>
    <w:rsid w:val="00716B41"/>
    <w:rsid w:val="00721A54"/>
    <w:rsid w:val="00721C75"/>
    <w:rsid w:val="007228DB"/>
    <w:rsid w:val="00723862"/>
    <w:rsid w:val="00731859"/>
    <w:rsid w:val="00733275"/>
    <w:rsid w:val="00735A4C"/>
    <w:rsid w:val="00735CB1"/>
    <w:rsid w:val="00741F74"/>
    <w:rsid w:val="00742BD9"/>
    <w:rsid w:val="00742E8A"/>
    <w:rsid w:val="007431B7"/>
    <w:rsid w:val="00745482"/>
    <w:rsid w:val="0074677C"/>
    <w:rsid w:val="00746952"/>
    <w:rsid w:val="00746DDC"/>
    <w:rsid w:val="007475AA"/>
    <w:rsid w:val="0075061C"/>
    <w:rsid w:val="00754D25"/>
    <w:rsid w:val="00755961"/>
    <w:rsid w:val="00756A18"/>
    <w:rsid w:val="00757590"/>
    <w:rsid w:val="00762F0E"/>
    <w:rsid w:val="007652CE"/>
    <w:rsid w:val="00765936"/>
    <w:rsid w:val="0077018C"/>
    <w:rsid w:val="00770DA8"/>
    <w:rsid w:val="00771691"/>
    <w:rsid w:val="0077416A"/>
    <w:rsid w:val="0077706D"/>
    <w:rsid w:val="00781316"/>
    <w:rsid w:val="007821CF"/>
    <w:rsid w:val="00783DAC"/>
    <w:rsid w:val="00784500"/>
    <w:rsid w:val="00785112"/>
    <w:rsid w:val="00785DCD"/>
    <w:rsid w:val="00786700"/>
    <w:rsid w:val="007878B9"/>
    <w:rsid w:val="00790C15"/>
    <w:rsid w:val="007931BC"/>
    <w:rsid w:val="00793646"/>
    <w:rsid w:val="0079521E"/>
    <w:rsid w:val="00796071"/>
    <w:rsid w:val="00796424"/>
    <w:rsid w:val="007A0C2E"/>
    <w:rsid w:val="007A1510"/>
    <w:rsid w:val="007A4D97"/>
    <w:rsid w:val="007A768C"/>
    <w:rsid w:val="007B2CAC"/>
    <w:rsid w:val="007B2E26"/>
    <w:rsid w:val="007B44FB"/>
    <w:rsid w:val="007C0E38"/>
    <w:rsid w:val="007C18E3"/>
    <w:rsid w:val="007C4E08"/>
    <w:rsid w:val="007C55FD"/>
    <w:rsid w:val="007C6842"/>
    <w:rsid w:val="007D0411"/>
    <w:rsid w:val="007D1E01"/>
    <w:rsid w:val="007D2F4C"/>
    <w:rsid w:val="007D3DFF"/>
    <w:rsid w:val="007D3F38"/>
    <w:rsid w:val="007D4823"/>
    <w:rsid w:val="007D4DB8"/>
    <w:rsid w:val="007D66D9"/>
    <w:rsid w:val="007E2197"/>
    <w:rsid w:val="007E3304"/>
    <w:rsid w:val="007E3854"/>
    <w:rsid w:val="007F101A"/>
    <w:rsid w:val="007F1E48"/>
    <w:rsid w:val="007F1E71"/>
    <w:rsid w:val="007F2147"/>
    <w:rsid w:val="007F36E9"/>
    <w:rsid w:val="007F4605"/>
    <w:rsid w:val="007F46DE"/>
    <w:rsid w:val="007F6C7D"/>
    <w:rsid w:val="008026F6"/>
    <w:rsid w:val="00803F84"/>
    <w:rsid w:val="00806070"/>
    <w:rsid w:val="00806EE8"/>
    <w:rsid w:val="00811D89"/>
    <w:rsid w:val="00814500"/>
    <w:rsid w:val="008207C9"/>
    <w:rsid w:val="00822F77"/>
    <w:rsid w:val="00833AF7"/>
    <w:rsid w:val="00834023"/>
    <w:rsid w:val="00835579"/>
    <w:rsid w:val="00836F9B"/>
    <w:rsid w:val="00840749"/>
    <w:rsid w:val="00844106"/>
    <w:rsid w:val="00844B27"/>
    <w:rsid w:val="00844D29"/>
    <w:rsid w:val="00846195"/>
    <w:rsid w:val="00846FA0"/>
    <w:rsid w:val="008479B6"/>
    <w:rsid w:val="00851ABA"/>
    <w:rsid w:val="0086002F"/>
    <w:rsid w:val="00863F9D"/>
    <w:rsid w:val="008645F9"/>
    <w:rsid w:val="0086628A"/>
    <w:rsid w:val="00871279"/>
    <w:rsid w:val="00872913"/>
    <w:rsid w:val="0087372C"/>
    <w:rsid w:val="00873F82"/>
    <w:rsid w:val="0087599D"/>
    <w:rsid w:val="008808F1"/>
    <w:rsid w:val="00880CA5"/>
    <w:rsid w:val="008817B1"/>
    <w:rsid w:val="008834BB"/>
    <w:rsid w:val="008840FA"/>
    <w:rsid w:val="0088444D"/>
    <w:rsid w:val="008846D2"/>
    <w:rsid w:val="00890F95"/>
    <w:rsid w:val="0089311A"/>
    <w:rsid w:val="008943CC"/>
    <w:rsid w:val="008946C3"/>
    <w:rsid w:val="008948E0"/>
    <w:rsid w:val="0089528C"/>
    <w:rsid w:val="008A1884"/>
    <w:rsid w:val="008A6467"/>
    <w:rsid w:val="008B034D"/>
    <w:rsid w:val="008B0BBC"/>
    <w:rsid w:val="008B4153"/>
    <w:rsid w:val="008B5356"/>
    <w:rsid w:val="008B7927"/>
    <w:rsid w:val="008B7C85"/>
    <w:rsid w:val="008C5AF3"/>
    <w:rsid w:val="008C5D00"/>
    <w:rsid w:val="008C6AD1"/>
    <w:rsid w:val="008C71B5"/>
    <w:rsid w:val="008E431F"/>
    <w:rsid w:val="008E5E12"/>
    <w:rsid w:val="008F0D2A"/>
    <w:rsid w:val="008F12D4"/>
    <w:rsid w:val="008F17A0"/>
    <w:rsid w:val="008F23EF"/>
    <w:rsid w:val="008F34D9"/>
    <w:rsid w:val="008F386F"/>
    <w:rsid w:val="008F48E1"/>
    <w:rsid w:val="008F5BD0"/>
    <w:rsid w:val="009003FE"/>
    <w:rsid w:val="00903876"/>
    <w:rsid w:val="00903C95"/>
    <w:rsid w:val="009046D4"/>
    <w:rsid w:val="0091058D"/>
    <w:rsid w:val="00913858"/>
    <w:rsid w:val="00913A0F"/>
    <w:rsid w:val="00914959"/>
    <w:rsid w:val="00915CE6"/>
    <w:rsid w:val="00916468"/>
    <w:rsid w:val="009168A1"/>
    <w:rsid w:val="00924681"/>
    <w:rsid w:val="0092622E"/>
    <w:rsid w:val="00930254"/>
    <w:rsid w:val="00930877"/>
    <w:rsid w:val="00932DA5"/>
    <w:rsid w:val="009343A3"/>
    <w:rsid w:val="00935690"/>
    <w:rsid w:val="0094458D"/>
    <w:rsid w:val="00945CB0"/>
    <w:rsid w:val="00951188"/>
    <w:rsid w:val="00955732"/>
    <w:rsid w:val="00955CBA"/>
    <w:rsid w:val="00955F9B"/>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21B"/>
    <w:rsid w:val="009A16BE"/>
    <w:rsid w:val="009A2337"/>
    <w:rsid w:val="009A2E00"/>
    <w:rsid w:val="009A355A"/>
    <w:rsid w:val="009A36DC"/>
    <w:rsid w:val="009A5CE8"/>
    <w:rsid w:val="009A7B5A"/>
    <w:rsid w:val="009A7F79"/>
    <w:rsid w:val="009B00D1"/>
    <w:rsid w:val="009B1863"/>
    <w:rsid w:val="009B2BDC"/>
    <w:rsid w:val="009B46A6"/>
    <w:rsid w:val="009B549D"/>
    <w:rsid w:val="009B5F5D"/>
    <w:rsid w:val="009B6090"/>
    <w:rsid w:val="009B6201"/>
    <w:rsid w:val="009B6326"/>
    <w:rsid w:val="009B73BA"/>
    <w:rsid w:val="009C10D9"/>
    <w:rsid w:val="009C3607"/>
    <w:rsid w:val="009C425A"/>
    <w:rsid w:val="009C5CA7"/>
    <w:rsid w:val="009D03F8"/>
    <w:rsid w:val="009D1DF4"/>
    <w:rsid w:val="009D747D"/>
    <w:rsid w:val="009D7A24"/>
    <w:rsid w:val="009E00E4"/>
    <w:rsid w:val="009E0D20"/>
    <w:rsid w:val="009E0F6B"/>
    <w:rsid w:val="009E23B7"/>
    <w:rsid w:val="009E27D7"/>
    <w:rsid w:val="009E2964"/>
    <w:rsid w:val="009E5D18"/>
    <w:rsid w:val="009E7DCD"/>
    <w:rsid w:val="009F1859"/>
    <w:rsid w:val="009F55F9"/>
    <w:rsid w:val="009F5CC0"/>
    <w:rsid w:val="009F6F8B"/>
    <w:rsid w:val="009F7164"/>
    <w:rsid w:val="00A01631"/>
    <w:rsid w:val="00A02F0A"/>
    <w:rsid w:val="00A03E14"/>
    <w:rsid w:val="00A1074D"/>
    <w:rsid w:val="00A1098E"/>
    <w:rsid w:val="00A127DD"/>
    <w:rsid w:val="00A14E6C"/>
    <w:rsid w:val="00A167EC"/>
    <w:rsid w:val="00A172E6"/>
    <w:rsid w:val="00A24434"/>
    <w:rsid w:val="00A24C8D"/>
    <w:rsid w:val="00A26F15"/>
    <w:rsid w:val="00A30E37"/>
    <w:rsid w:val="00A35CF8"/>
    <w:rsid w:val="00A360E7"/>
    <w:rsid w:val="00A400FB"/>
    <w:rsid w:val="00A443D1"/>
    <w:rsid w:val="00A456B3"/>
    <w:rsid w:val="00A47BFE"/>
    <w:rsid w:val="00A5087E"/>
    <w:rsid w:val="00A51808"/>
    <w:rsid w:val="00A51D78"/>
    <w:rsid w:val="00A51EA8"/>
    <w:rsid w:val="00A5253D"/>
    <w:rsid w:val="00A549C3"/>
    <w:rsid w:val="00A55DD1"/>
    <w:rsid w:val="00A561A8"/>
    <w:rsid w:val="00A562A6"/>
    <w:rsid w:val="00A614C3"/>
    <w:rsid w:val="00A646B3"/>
    <w:rsid w:val="00A7007B"/>
    <w:rsid w:val="00A71623"/>
    <w:rsid w:val="00A71F50"/>
    <w:rsid w:val="00A81CF8"/>
    <w:rsid w:val="00A823E7"/>
    <w:rsid w:val="00A84B87"/>
    <w:rsid w:val="00A84D4B"/>
    <w:rsid w:val="00A8592D"/>
    <w:rsid w:val="00A905AD"/>
    <w:rsid w:val="00A90D08"/>
    <w:rsid w:val="00A93FFF"/>
    <w:rsid w:val="00A95746"/>
    <w:rsid w:val="00A95AB5"/>
    <w:rsid w:val="00A96D45"/>
    <w:rsid w:val="00A973EE"/>
    <w:rsid w:val="00AA18DD"/>
    <w:rsid w:val="00AA1F91"/>
    <w:rsid w:val="00AA4D7A"/>
    <w:rsid w:val="00AA5CE1"/>
    <w:rsid w:val="00AA5E66"/>
    <w:rsid w:val="00AB2137"/>
    <w:rsid w:val="00AB2D9E"/>
    <w:rsid w:val="00AB4404"/>
    <w:rsid w:val="00AB491F"/>
    <w:rsid w:val="00AB68E3"/>
    <w:rsid w:val="00AC0F04"/>
    <w:rsid w:val="00AC21EE"/>
    <w:rsid w:val="00AC3B22"/>
    <w:rsid w:val="00AC4101"/>
    <w:rsid w:val="00AC5597"/>
    <w:rsid w:val="00AC6C3F"/>
    <w:rsid w:val="00AC6C60"/>
    <w:rsid w:val="00AD0116"/>
    <w:rsid w:val="00AD1B42"/>
    <w:rsid w:val="00AD4177"/>
    <w:rsid w:val="00AD4B84"/>
    <w:rsid w:val="00AE23BE"/>
    <w:rsid w:val="00AE32EE"/>
    <w:rsid w:val="00AE5772"/>
    <w:rsid w:val="00AF0AC0"/>
    <w:rsid w:val="00AF1807"/>
    <w:rsid w:val="00AF4CA9"/>
    <w:rsid w:val="00AF5B52"/>
    <w:rsid w:val="00B008BF"/>
    <w:rsid w:val="00B03052"/>
    <w:rsid w:val="00B03D19"/>
    <w:rsid w:val="00B03EFF"/>
    <w:rsid w:val="00B06452"/>
    <w:rsid w:val="00B06BF0"/>
    <w:rsid w:val="00B07460"/>
    <w:rsid w:val="00B14BDF"/>
    <w:rsid w:val="00B16978"/>
    <w:rsid w:val="00B16BE4"/>
    <w:rsid w:val="00B17EBB"/>
    <w:rsid w:val="00B24A6F"/>
    <w:rsid w:val="00B278DB"/>
    <w:rsid w:val="00B30D4F"/>
    <w:rsid w:val="00B32EEA"/>
    <w:rsid w:val="00B3434E"/>
    <w:rsid w:val="00B351FD"/>
    <w:rsid w:val="00B35BFD"/>
    <w:rsid w:val="00B421F2"/>
    <w:rsid w:val="00B42822"/>
    <w:rsid w:val="00B42C54"/>
    <w:rsid w:val="00B4395A"/>
    <w:rsid w:val="00B44D59"/>
    <w:rsid w:val="00B4553E"/>
    <w:rsid w:val="00B46773"/>
    <w:rsid w:val="00B46C07"/>
    <w:rsid w:val="00B47091"/>
    <w:rsid w:val="00B4731E"/>
    <w:rsid w:val="00B47E14"/>
    <w:rsid w:val="00B54256"/>
    <w:rsid w:val="00B545F4"/>
    <w:rsid w:val="00B56303"/>
    <w:rsid w:val="00B64F62"/>
    <w:rsid w:val="00B66898"/>
    <w:rsid w:val="00B7164C"/>
    <w:rsid w:val="00B74832"/>
    <w:rsid w:val="00B74917"/>
    <w:rsid w:val="00B807AB"/>
    <w:rsid w:val="00B80F53"/>
    <w:rsid w:val="00B82E26"/>
    <w:rsid w:val="00B87004"/>
    <w:rsid w:val="00B872D0"/>
    <w:rsid w:val="00B9432C"/>
    <w:rsid w:val="00B94DA4"/>
    <w:rsid w:val="00B95FBC"/>
    <w:rsid w:val="00B96C23"/>
    <w:rsid w:val="00B97C44"/>
    <w:rsid w:val="00BA05AE"/>
    <w:rsid w:val="00BA2775"/>
    <w:rsid w:val="00BA2FA3"/>
    <w:rsid w:val="00BA6418"/>
    <w:rsid w:val="00BA6E5A"/>
    <w:rsid w:val="00BA7443"/>
    <w:rsid w:val="00BA7D18"/>
    <w:rsid w:val="00BB3A8F"/>
    <w:rsid w:val="00BB3E59"/>
    <w:rsid w:val="00BC19F6"/>
    <w:rsid w:val="00BC2A83"/>
    <w:rsid w:val="00BC2F90"/>
    <w:rsid w:val="00BC3B7C"/>
    <w:rsid w:val="00BC48EC"/>
    <w:rsid w:val="00BC4FDF"/>
    <w:rsid w:val="00BD02D0"/>
    <w:rsid w:val="00BD0D15"/>
    <w:rsid w:val="00BD1760"/>
    <w:rsid w:val="00BD5425"/>
    <w:rsid w:val="00BF020B"/>
    <w:rsid w:val="00BF0332"/>
    <w:rsid w:val="00BF03E9"/>
    <w:rsid w:val="00BF5EF4"/>
    <w:rsid w:val="00BF5FCC"/>
    <w:rsid w:val="00C00FA2"/>
    <w:rsid w:val="00C069A2"/>
    <w:rsid w:val="00C069EC"/>
    <w:rsid w:val="00C10325"/>
    <w:rsid w:val="00C17416"/>
    <w:rsid w:val="00C1748F"/>
    <w:rsid w:val="00C20044"/>
    <w:rsid w:val="00C221D5"/>
    <w:rsid w:val="00C2280A"/>
    <w:rsid w:val="00C23D02"/>
    <w:rsid w:val="00C2652B"/>
    <w:rsid w:val="00C274E0"/>
    <w:rsid w:val="00C30598"/>
    <w:rsid w:val="00C3265F"/>
    <w:rsid w:val="00C346C7"/>
    <w:rsid w:val="00C3595D"/>
    <w:rsid w:val="00C35F3E"/>
    <w:rsid w:val="00C373FB"/>
    <w:rsid w:val="00C41E61"/>
    <w:rsid w:val="00C42D59"/>
    <w:rsid w:val="00C45C85"/>
    <w:rsid w:val="00C515CA"/>
    <w:rsid w:val="00C52701"/>
    <w:rsid w:val="00C533E6"/>
    <w:rsid w:val="00C56730"/>
    <w:rsid w:val="00C6024F"/>
    <w:rsid w:val="00C60CE3"/>
    <w:rsid w:val="00C61EDD"/>
    <w:rsid w:val="00C638FA"/>
    <w:rsid w:val="00C63D95"/>
    <w:rsid w:val="00C64B94"/>
    <w:rsid w:val="00C739BF"/>
    <w:rsid w:val="00C747DF"/>
    <w:rsid w:val="00C74F44"/>
    <w:rsid w:val="00C768C1"/>
    <w:rsid w:val="00C76C24"/>
    <w:rsid w:val="00C80E3F"/>
    <w:rsid w:val="00C811C4"/>
    <w:rsid w:val="00C839DB"/>
    <w:rsid w:val="00C83F0A"/>
    <w:rsid w:val="00C85FC6"/>
    <w:rsid w:val="00C87539"/>
    <w:rsid w:val="00C90663"/>
    <w:rsid w:val="00C93DCA"/>
    <w:rsid w:val="00C93E6E"/>
    <w:rsid w:val="00CA071B"/>
    <w:rsid w:val="00CA5466"/>
    <w:rsid w:val="00CA5803"/>
    <w:rsid w:val="00CA591D"/>
    <w:rsid w:val="00CA734B"/>
    <w:rsid w:val="00CB0475"/>
    <w:rsid w:val="00CB0D2B"/>
    <w:rsid w:val="00CB1266"/>
    <w:rsid w:val="00CB2C4F"/>
    <w:rsid w:val="00CB3583"/>
    <w:rsid w:val="00CB6A8C"/>
    <w:rsid w:val="00CC1129"/>
    <w:rsid w:val="00CC34FF"/>
    <w:rsid w:val="00CC44F0"/>
    <w:rsid w:val="00CD0E5B"/>
    <w:rsid w:val="00CD0FE9"/>
    <w:rsid w:val="00CD396E"/>
    <w:rsid w:val="00CD5104"/>
    <w:rsid w:val="00CD6046"/>
    <w:rsid w:val="00CE06A5"/>
    <w:rsid w:val="00CE202E"/>
    <w:rsid w:val="00CE2229"/>
    <w:rsid w:val="00CE374E"/>
    <w:rsid w:val="00CE4117"/>
    <w:rsid w:val="00CF0534"/>
    <w:rsid w:val="00CF3FF0"/>
    <w:rsid w:val="00CF41AF"/>
    <w:rsid w:val="00CF4567"/>
    <w:rsid w:val="00CF53AB"/>
    <w:rsid w:val="00CF6815"/>
    <w:rsid w:val="00D00997"/>
    <w:rsid w:val="00D04D3D"/>
    <w:rsid w:val="00D11B02"/>
    <w:rsid w:val="00D1202C"/>
    <w:rsid w:val="00D12617"/>
    <w:rsid w:val="00D146E1"/>
    <w:rsid w:val="00D16DDF"/>
    <w:rsid w:val="00D16E24"/>
    <w:rsid w:val="00D20486"/>
    <w:rsid w:val="00D228D8"/>
    <w:rsid w:val="00D31439"/>
    <w:rsid w:val="00D33677"/>
    <w:rsid w:val="00D34934"/>
    <w:rsid w:val="00D3514E"/>
    <w:rsid w:val="00D373EC"/>
    <w:rsid w:val="00D37BC7"/>
    <w:rsid w:val="00D40D17"/>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74AA5"/>
    <w:rsid w:val="00D838F7"/>
    <w:rsid w:val="00D8479E"/>
    <w:rsid w:val="00D868F1"/>
    <w:rsid w:val="00D87EFF"/>
    <w:rsid w:val="00D904D3"/>
    <w:rsid w:val="00D91AE6"/>
    <w:rsid w:val="00D92BFE"/>
    <w:rsid w:val="00D941E0"/>
    <w:rsid w:val="00D95840"/>
    <w:rsid w:val="00D967B1"/>
    <w:rsid w:val="00DA554C"/>
    <w:rsid w:val="00DA5D3B"/>
    <w:rsid w:val="00DA5F07"/>
    <w:rsid w:val="00DB42FB"/>
    <w:rsid w:val="00DB7AEE"/>
    <w:rsid w:val="00DB7B82"/>
    <w:rsid w:val="00DC0EE2"/>
    <w:rsid w:val="00DC39C4"/>
    <w:rsid w:val="00DC4019"/>
    <w:rsid w:val="00DC4568"/>
    <w:rsid w:val="00DC73D1"/>
    <w:rsid w:val="00DD0941"/>
    <w:rsid w:val="00DD15A0"/>
    <w:rsid w:val="00DD1C47"/>
    <w:rsid w:val="00DD6B5E"/>
    <w:rsid w:val="00DE21B1"/>
    <w:rsid w:val="00DE4BF6"/>
    <w:rsid w:val="00DE69D0"/>
    <w:rsid w:val="00DE7070"/>
    <w:rsid w:val="00DE77A3"/>
    <w:rsid w:val="00DF02F6"/>
    <w:rsid w:val="00DF21B8"/>
    <w:rsid w:val="00DF31EE"/>
    <w:rsid w:val="00DF3395"/>
    <w:rsid w:val="00DF4FDC"/>
    <w:rsid w:val="00DF5D36"/>
    <w:rsid w:val="00DF7681"/>
    <w:rsid w:val="00E02D36"/>
    <w:rsid w:val="00E03431"/>
    <w:rsid w:val="00E04E43"/>
    <w:rsid w:val="00E05E74"/>
    <w:rsid w:val="00E0756F"/>
    <w:rsid w:val="00E079A3"/>
    <w:rsid w:val="00E10650"/>
    <w:rsid w:val="00E12D94"/>
    <w:rsid w:val="00E149CE"/>
    <w:rsid w:val="00E16AC4"/>
    <w:rsid w:val="00E17251"/>
    <w:rsid w:val="00E17C58"/>
    <w:rsid w:val="00E2178D"/>
    <w:rsid w:val="00E23958"/>
    <w:rsid w:val="00E23AD4"/>
    <w:rsid w:val="00E23BEC"/>
    <w:rsid w:val="00E23EC3"/>
    <w:rsid w:val="00E24E4D"/>
    <w:rsid w:val="00E2618B"/>
    <w:rsid w:val="00E26725"/>
    <w:rsid w:val="00E267F1"/>
    <w:rsid w:val="00E34AE1"/>
    <w:rsid w:val="00E34E73"/>
    <w:rsid w:val="00E375C8"/>
    <w:rsid w:val="00E4302B"/>
    <w:rsid w:val="00E528AF"/>
    <w:rsid w:val="00E53131"/>
    <w:rsid w:val="00E5518E"/>
    <w:rsid w:val="00E56222"/>
    <w:rsid w:val="00E566D8"/>
    <w:rsid w:val="00E57743"/>
    <w:rsid w:val="00E577C9"/>
    <w:rsid w:val="00E57A97"/>
    <w:rsid w:val="00E62C06"/>
    <w:rsid w:val="00E62DD3"/>
    <w:rsid w:val="00E65F9A"/>
    <w:rsid w:val="00E66D8F"/>
    <w:rsid w:val="00E6742D"/>
    <w:rsid w:val="00E71707"/>
    <w:rsid w:val="00E71EF1"/>
    <w:rsid w:val="00E72D12"/>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687D"/>
    <w:rsid w:val="00E9724F"/>
    <w:rsid w:val="00EA0528"/>
    <w:rsid w:val="00EA347E"/>
    <w:rsid w:val="00EA38B4"/>
    <w:rsid w:val="00EA4E02"/>
    <w:rsid w:val="00EA6276"/>
    <w:rsid w:val="00EB048C"/>
    <w:rsid w:val="00EB2C67"/>
    <w:rsid w:val="00EB2D3B"/>
    <w:rsid w:val="00EB367C"/>
    <w:rsid w:val="00EB43BA"/>
    <w:rsid w:val="00EB4429"/>
    <w:rsid w:val="00EB46D0"/>
    <w:rsid w:val="00EB4700"/>
    <w:rsid w:val="00EB7F72"/>
    <w:rsid w:val="00EC1B9C"/>
    <w:rsid w:val="00EC4357"/>
    <w:rsid w:val="00EC45F7"/>
    <w:rsid w:val="00EC49A4"/>
    <w:rsid w:val="00EC4EF3"/>
    <w:rsid w:val="00ED20C9"/>
    <w:rsid w:val="00ED21EE"/>
    <w:rsid w:val="00ED272D"/>
    <w:rsid w:val="00ED37E1"/>
    <w:rsid w:val="00ED3B31"/>
    <w:rsid w:val="00ED4EC4"/>
    <w:rsid w:val="00ED6C04"/>
    <w:rsid w:val="00ED7D3D"/>
    <w:rsid w:val="00EE0F69"/>
    <w:rsid w:val="00EE2E4F"/>
    <w:rsid w:val="00EE4094"/>
    <w:rsid w:val="00EE4C9D"/>
    <w:rsid w:val="00EE4D57"/>
    <w:rsid w:val="00EE52ED"/>
    <w:rsid w:val="00EE53FF"/>
    <w:rsid w:val="00EE5E83"/>
    <w:rsid w:val="00EE7092"/>
    <w:rsid w:val="00EF2F5C"/>
    <w:rsid w:val="00EF3A92"/>
    <w:rsid w:val="00EF5910"/>
    <w:rsid w:val="00EF7590"/>
    <w:rsid w:val="00F01C13"/>
    <w:rsid w:val="00F024CA"/>
    <w:rsid w:val="00F0354F"/>
    <w:rsid w:val="00F044AB"/>
    <w:rsid w:val="00F1013F"/>
    <w:rsid w:val="00F10A99"/>
    <w:rsid w:val="00F138A2"/>
    <w:rsid w:val="00F154EB"/>
    <w:rsid w:val="00F20632"/>
    <w:rsid w:val="00F212E0"/>
    <w:rsid w:val="00F23738"/>
    <w:rsid w:val="00F2392E"/>
    <w:rsid w:val="00F25647"/>
    <w:rsid w:val="00F300A5"/>
    <w:rsid w:val="00F30846"/>
    <w:rsid w:val="00F30878"/>
    <w:rsid w:val="00F30CAB"/>
    <w:rsid w:val="00F32479"/>
    <w:rsid w:val="00F327DF"/>
    <w:rsid w:val="00F33121"/>
    <w:rsid w:val="00F33769"/>
    <w:rsid w:val="00F36CAE"/>
    <w:rsid w:val="00F36DEB"/>
    <w:rsid w:val="00F406FD"/>
    <w:rsid w:val="00F414D0"/>
    <w:rsid w:val="00F434DF"/>
    <w:rsid w:val="00F4532C"/>
    <w:rsid w:val="00F47D9D"/>
    <w:rsid w:val="00F50558"/>
    <w:rsid w:val="00F50A8E"/>
    <w:rsid w:val="00F51CED"/>
    <w:rsid w:val="00F52372"/>
    <w:rsid w:val="00F52572"/>
    <w:rsid w:val="00F55847"/>
    <w:rsid w:val="00F57142"/>
    <w:rsid w:val="00F5756D"/>
    <w:rsid w:val="00F621AD"/>
    <w:rsid w:val="00F630A2"/>
    <w:rsid w:val="00F63E1C"/>
    <w:rsid w:val="00F652AB"/>
    <w:rsid w:val="00F65942"/>
    <w:rsid w:val="00F72AA0"/>
    <w:rsid w:val="00F72B2C"/>
    <w:rsid w:val="00F76A40"/>
    <w:rsid w:val="00F80C07"/>
    <w:rsid w:val="00F87264"/>
    <w:rsid w:val="00F90278"/>
    <w:rsid w:val="00F908E9"/>
    <w:rsid w:val="00F951AA"/>
    <w:rsid w:val="00F96C94"/>
    <w:rsid w:val="00FA0BF0"/>
    <w:rsid w:val="00FA2B8F"/>
    <w:rsid w:val="00FA2EF2"/>
    <w:rsid w:val="00FA47E6"/>
    <w:rsid w:val="00FA56D6"/>
    <w:rsid w:val="00FA595F"/>
    <w:rsid w:val="00FA684E"/>
    <w:rsid w:val="00FA6C24"/>
    <w:rsid w:val="00FB12C0"/>
    <w:rsid w:val="00FB651A"/>
    <w:rsid w:val="00FC0CB3"/>
    <w:rsid w:val="00FC2999"/>
    <w:rsid w:val="00FC4515"/>
    <w:rsid w:val="00FC765F"/>
    <w:rsid w:val="00FC781D"/>
    <w:rsid w:val="00FC7CE4"/>
    <w:rsid w:val="00FD1861"/>
    <w:rsid w:val="00FD2C88"/>
    <w:rsid w:val="00FD30A7"/>
    <w:rsid w:val="00FD5375"/>
    <w:rsid w:val="00FD61A3"/>
    <w:rsid w:val="00FD66C9"/>
    <w:rsid w:val="00FD79F6"/>
    <w:rsid w:val="00FE0371"/>
    <w:rsid w:val="00FE079D"/>
    <w:rsid w:val="00FE1258"/>
    <w:rsid w:val="00FE31D0"/>
    <w:rsid w:val="00FE3581"/>
    <w:rsid w:val="00FE7A3F"/>
    <w:rsid w:val="00FF0A6F"/>
    <w:rsid w:val="00FF14CE"/>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B872D0"/>
    <w:pPr>
      <w:ind w:left="720"/>
      <w:contextualSpacing/>
    </w:pPr>
  </w:style>
  <w:style w:type="character" w:styleId="PlaceholderText">
    <w:name w:val="Placeholder Text"/>
    <w:basedOn w:val="DefaultParagraphFont"/>
    <w:uiPriority w:val="99"/>
    <w:semiHidden/>
    <w:rsid w:val="00AB491F"/>
    <w:rPr>
      <w:color w:val="808080"/>
    </w:rPr>
  </w:style>
  <w:style w:type="paragraph" w:customStyle="1" w:styleId="Footnote">
    <w:name w:val="Footnote"/>
    <w:basedOn w:val="FootnoteText"/>
    <w:qFormat/>
    <w:rsid w:val="00396E93"/>
    <w:pPr>
      <w:spacing w:after="120"/>
    </w:pPr>
    <w:rPr>
      <w:rFonts w:ascii="Franklin Gothic Book" w:hAnsi="Franklin Gothic Book"/>
      <w:sz w:val="18"/>
    </w:rPr>
  </w:style>
  <w:style w:type="paragraph" w:customStyle="1" w:styleId="LetterSalutation">
    <w:name w:val="Letter Salutation"/>
    <w:next w:val="Normal"/>
    <w:qFormat/>
    <w:rsid w:val="00396E93"/>
    <w:pPr>
      <w:spacing w:before="400" w:after="200"/>
    </w:pPr>
    <w:rPr>
      <w:rFonts w:ascii="Verdana" w:eastAsiaTheme="minorEastAsia" w:hAnsi="Verdana" w:cstheme="minorBidi"/>
      <w:sz w:val="18"/>
      <w:szCs w:val="22"/>
    </w:rPr>
  </w:style>
  <w:style w:type="paragraph" w:customStyle="1" w:styleId="Default">
    <w:name w:val="Default"/>
    <w:rsid w:val="00C42D59"/>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uiPriority w:val="99"/>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B872D0"/>
    <w:pPr>
      <w:ind w:left="720"/>
      <w:contextualSpacing/>
    </w:pPr>
  </w:style>
  <w:style w:type="character" w:styleId="PlaceholderText">
    <w:name w:val="Placeholder Text"/>
    <w:basedOn w:val="DefaultParagraphFont"/>
    <w:uiPriority w:val="99"/>
    <w:semiHidden/>
    <w:rsid w:val="00AB491F"/>
    <w:rPr>
      <w:color w:val="808080"/>
    </w:rPr>
  </w:style>
  <w:style w:type="paragraph" w:customStyle="1" w:styleId="Footnote">
    <w:name w:val="Footnote"/>
    <w:basedOn w:val="FootnoteText"/>
    <w:qFormat/>
    <w:rsid w:val="00396E93"/>
    <w:pPr>
      <w:spacing w:after="120"/>
    </w:pPr>
    <w:rPr>
      <w:rFonts w:ascii="Franklin Gothic Book" w:hAnsi="Franklin Gothic Book"/>
      <w:sz w:val="18"/>
    </w:rPr>
  </w:style>
  <w:style w:type="paragraph" w:customStyle="1" w:styleId="LetterSalutation">
    <w:name w:val="Letter Salutation"/>
    <w:next w:val="Normal"/>
    <w:qFormat/>
    <w:rsid w:val="00396E93"/>
    <w:pPr>
      <w:spacing w:before="400" w:after="200"/>
    </w:pPr>
    <w:rPr>
      <w:rFonts w:ascii="Verdana" w:eastAsiaTheme="minorEastAsia" w:hAnsi="Verdana" w:cstheme="minorBidi"/>
      <w:sz w:val="18"/>
      <w:szCs w:val="22"/>
    </w:rPr>
  </w:style>
  <w:style w:type="paragraph" w:customStyle="1" w:styleId="Default">
    <w:name w:val="Default"/>
    <w:rsid w:val="00C42D5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31384463">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1059085613">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8312955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hyperlink" Target="http://www.EPRI.com" TargetMode="Externa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www.seeaction.gov" TargetMode="External"/><Relationship Id="rId30" Type="http://schemas.openxmlformats.org/officeDocument/2006/relationships/theme" Target="theme/theme1.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2" Type="http://schemas.openxmlformats.org/officeDocument/2006/relationships/hyperlink" Target="http://www.seeaction.gov" TargetMode="External"/><Relationship Id="rId1" Type="http://schemas.openxmlformats.org/officeDocument/2006/relationships/hyperlink" Target="http://www.EPRI.com" TargetMode="External"/><Relationship Id="rId4" Type="http://schemas.openxmlformats.org/officeDocument/2006/relationships/hyperlink" Target="http://www.seeaction.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4E56-104E-4524-9907-9F647E8A4177}">
  <ds:schemaRefs>
    <ds:schemaRef ds:uri="http://purl.org/dc/dcmityp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88DBF530-C965-4B15-B1DA-647783510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21</Pages>
  <Words>6087</Words>
  <Characters>36478</Characters>
  <Application>Microsoft Office Word</Application>
  <DocSecurity>0</DocSecurity>
  <Lines>303</Lines>
  <Paragraphs>84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42481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2012-12-03T22:58:00Z</cp:lastPrinted>
  <dcterms:created xsi:type="dcterms:W3CDTF">2013-04-24T22:55:00Z</dcterms:created>
  <dcterms:modified xsi:type="dcterms:W3CDTF">2013-04-24T22:55:00Z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